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846D" w14:textId="77777777" w:rsidR="000F4801" w:rsidRDefault="000F4801" w:rsidP="00292EAF">
      <w:pPr>
        <w:spacing w:after="120" w:line="240" w:lineRule="auto"/>
        <w:jc w:val="center"/>
        <w:rPr>
          <w:rFonts w:ascii="Times New Roman" w:hAnsi="Times New Roman" w:cs="Times New Roman"/>
          <w:b/>
          <w:sz w:val="24"/>
          <w:szCs w:val="24"/>
        </w:rPr>
      </w:pPr>
      <w:r w:rsidRPr="000F4801">
        <w:rPr>
          <w:rFonts w:ascii="Times New Roman" w:hAnsi="Times New Roman" w:cs="Times New Roman"/>
          <w:b/>
          <w:sz w:val="24"/>
          <w:szCs w:val="24"/>
        </w:rPr>
        <w:t>Leveraging Digital Waqf Applications to Promote Cash Waqf Social Responsibility Among Social Enterprises</w:t>
      </w:r>
    </w:p>
    <w:p w14:paraId="313172C0"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31E36F4"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2CEC4247"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F1C3788"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71844B59"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1A16E429"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FB197BF"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69910088"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98C3A77"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20681236"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FCE2837"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651DC39"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68272C6"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14A20B34"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07CB031E"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81853EE"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1C20C11D"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D4C11F7"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C9C05F7"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08833792"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140C181"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34911A9E"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2E033C2A"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0CCCC6A0"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5DB87903"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7A27EEB6"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67C437D4"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7C8EE98A" w14:textId="77777777" w:rsidR="00156959" w:rsidRDefault="00156959" w:rsidP="00292EAF">
      <w:pPr>
        <w:spacing w:after="120" w:line="240" w:lineRule="auto"/>
        <w:jc w:val="center"/>
        <w:rPr>
          <w:rFonts w:ascii="Times New Roman" w:eastAsia="Palatino Linotype" w:hAnsi="Times New Roman" w:cs="Times New Roman"/>
          <w:b/>
          <w:bCs/>
          <w:sz w:val="24"/>
          <w:szCs w:val="24"/>
          <w:lang w:val="en-MY"/>
        </w:rPr>
      </w:pPr>
    </w:p>
    <w:p w14:paraId="1C9A4E06" w14:textId="193F8745" w:rsidR="00156959" w:rsidRDefault="00156959" w:rsidP="00156959">
      <w:pPr>
        <w:spacing w:after="120" w:line="240" w:lineRule="auto"/>
        <w:rPr>
          <w:rFonts w:ascii="Times New Roman" w:eastAsia="Palatino Linotype" w:hAnsi="Times New Roman" w:cs="Times New Roman"/>
          <w:b/>
          <w:bCs/>
          <w:sz w:val="24"/>
          <w:szCs w:val="24"/>
          <w:lang w:val="en-MY"/>
        </w:rPr>
      </w:pPr>
      <w:r>
        <w:rPr>
          <w:rFonts w:ascii="Times New Roman" w:eastAsia="Palatino Linotype" w:hAnsi="Times New Roman" w:cs="Times New Roman"/>
          <w:b/>
          <w:bCs/>
          <w:sz w:val="24"/>
          <w:szCs w:val="24"/>
          <w:lang w:val="en-MY"/>
        </w:rPr>
        <w:lastRenderedPageBreak/>
        <w:t>Authors Information</w:t>
      </w:r>
    </w:p>
    <w:p w14:paraId="353530E4" w14:textId="54A177F7" w:rsidR="00156959" w:rsidRDefault="00156959" w:rsidP="00156959">
      <w:pPr>
        <w:spacing w:after="120" w:line="240" w:lineRule="auto"/>
        <w:rPr>
          <w:rFonts w:ascii="Times New Roman" w:eastAsia="Palatino Linotype" w:hAnsi="Times New Roman" w:cs="Times New Roman"/>
          <w:b/>
          <w:bCs/>
          <w:sz w:val="24"/>
          <w:szCs w:val="24"/>
          <w:lang w:val="en-MY"/>
        </w:rPr>
      </w:pPr>
    </w:p>
    <w:p w14:paraId="09CE4C13" w14:textId="566737FF" w:rsidR="00156959" w:rsidRPr="00253459" w:rsidRDefault="005B1FDE" w:rsidP="005B1FDE">
      <w:pPr>
        <w:spacing w:after="0" w:line="240" w:lineRule="auto"/>
        <w:rPr>
          <w:rFonts w:ascii="Times New Roman" w:hAnsi="Times New Roman" w:cs="Times New Roman"/>
          <w:color w:val="000000" w:themeColor="text1"/>
          <w:sz w:val="22"/>
          <w:lang w:val="en-US"/>
        </w:rPr>
      </w:pPr>
      <w:r w:rsidRPr="00253459">
        <w:rPr>
          <w:rStyle w:val="Strong"/>
          <w:rFonts w:ascii="Times New Roman" w:hAnsi="Times New Roman" w:cs="Times New Roman"/>
          <w:sz w:val="22"/>
        </w:rPr>
        <w:t>Muhammad Aiman Awalluddin</w:t>
      </w:r>
      <w:r w:rsidRPr="00253459">
        <w:rPr>
          <w:rStyle w:val="Strong"/>
          <w:rFonts w:ascii="Times New Roman" w:hAnsi="Times New Roman" w:cs="Times New Roman"/>
          <w:sz w:val="22"/>
          <w:lang w:val="en-US"/>
        </w:rPr>
        <w:t>*</w:t>
      </w:r>
      <w:r w:rsidRPr="00253459">
        <w:rPr>
          <w:rFonts w:ascii="Times New Roman" w:hAnsi="Times New Roman" w:cs="Times New Roman"/>
          <w:sz w:val="22"/>
        </w:rPr>
        <w:br/>
        <w:t>Faculty of Administrative Science and Policy Studies</w:t>
      </w:r>
      <w:r w:rsidRPr="00253459">
        <w:rPr>
          <w:rFonts w:ascii="Times New Roman" w:hAnsi="Times New Roman" w:cs="Times New Roman"/>
          <w:sz w:val="22"/>
        </w:rPr>
        <w:br/>
        <w:t>Universiti Teknologi MARA (UiTM)</w:t>
      </w:r>
      <w:r w:rsidRPr="00253459">
        <w:rPr>
          <w:rFonts w:ascii="Times New Roman" w:hAnsi="Times New Roman" w:cs="Times New Roman"/>
          <w:sz w:val="22"/>
          <w:lang w:val="en-US"/>
        </w:rPr>
        <w:t>,</w:t>
      </w:r>
      <w:r w:rsidRPr="00253459">
        <w:rPr>
          <w:rFonts w:ascii="Times New Roman" w:hAnsi="Times New Roman" w:cs="Times New Roman"/>
          <w:sz w:val="22"/>
        </w:rPr>
        <w:t xml:space="preserve"> Malaysia</w:t>
      </w:r>
      <w:r w:rsidRPr="00253459">
        <w:rPr>
          <w:rFonts w:ascii="Times New Roman" w:hAnsi="Times New Roman" w:cs="Times New Roman"/>
          <w:sz w:val="22"/>
        </w:rPr>
        <w:br/>
        <w:t xml:space="preserve">Email: </w:t>
      </w:r>
      <w:hyperlink r:id="rId8" w:history="1">
        <w:r w:rsidRPr="00253459">
          <w:rPr>
            <w:rStyle w:val="Hyperlink"/>
            <w:rFonts w:ascii="Times New Roman" w:hAnsi="Times New Roman" w:cs="Times New Roman"/>
            <w:color w:val="000000" w:themeColor="text1"/>
            <w:sz w:val="22"/>
            <w:u w:val="none"/>
            <w:lang w:val="en-US"/>
          </w:rPr>
          <w:t>mdaiman@uitm.edu.my</w:t>
        </w:r>
      </w:hyperlink>
    </w:p>
    <w:p w14:paraId="493EF72D" w14:textId="707F2E15" w:rsidR="005B1FDE" w:rsidRPr="00253459" w:rsidRDefault="005B1FDE" w:rsidP="005B1FDE">
      <w:pPr>
        <w:spacing w:after="0" w:line="240" w:lineRule="auto"/>
        <w:rPr>
          <w:rFonts w:ascii="Times New Roman" w:hAnsi="Times New Roman" w:cs="Times New Roman"/>
          <w:color w:val="000000" w:themeColor="text1"/>
          <w:sz w:val="22"/>
          <w:lang w:val="en-US"/>
        </w:rPr>
      </w:pPr>
      <w:r w:rsidRPr="00253459">
        <w:rPr>
          <w:rFonts w:ascii="Times New Roman" w:hAnsi="Times New Roman" w:cs="Times New Roman"/>
          <w:color w:val="000000" w:themeColor="text1"/>
          <w:sz w:val="22"/>
          <w:lang w:val="en-US"/>
        </w:rPr>
        <w:t xml:space="preserve">ORCID: </w:t>
      </w:r>
      <w:r w:rsidRPr="00253459">
        <w:rPr>
          <w:rFonts w:ascii="Times New Roman" w:hAnsi="Times New Roman" w:cs="Times New Roman"/>
          <w:color w:val="000000" w:themeColor="text1"/>
          <w:sz w:val="22"/>
          <w:lang w:val="en-US"/>
        </w:rPr>
        <w:t>0000-0002-3409-1153</w:t>
      </w:r>
    </w:p>
    <w:p w14:paraId="405EF70F" w14:textId="77777777" w:rsidR="005B1FDE" w:rsidRPr="00253459" w:rsidRDefault="005B1FDE" w:rsidP="005B1FDE">
      <w:pPr>
        <w:spacing w:after="0" w:line="240" w:lineRule="auto"/>
        <w:rPr>
          <w:rFonts w:ascii="Times New Roman" w:hAnsi="Times New Roman" w:cs="Times New Roman"/>
          <w:sz w:val="22"/>
          <w:lang w:val="en-US"/>
        </w:rPr>
      </w:pPr>
    </w:p>
    <w:p w14:paraId="11C8B70D" w14:textId="5A17D084" w:rsidR="005B1FDE" w:rsidRPr="00253459" w:rsidRDefault="005B1FDE" w:rsidP="005B1FDE">
      <w:pPr>
        <w:spacing w:after="120" w:line="240" w:lineRule="auto"/>
        <w:rPr>
          <w:rFonts w:ascii="Times New Roman" w:hAnsi="Times New Roman" w:cs="Times New Roman"/>
          <w:sz w:val="22"/>
          <w:lang w:val="en-US"/>
        </w:rPr>
      </w:pPr>
      <w:r w:rsidRPr="00253459">
        <w:rPr>
          <w:rFonts w:ascii="Times New Roman" w:hAnsi="Times New Roman" w:cs="Times New Roman"/>
          <w:sz w:val="22"/>
          <w:lang w:val="en-US"/>
        </w:rPr>
        <w:t>*Corresponding Author</w:t>
      </w:r>
    </w:p>
    <w:p w14:paraId="5EA73F94" w14:textId="78FDBD0F" w:rsidR="005B1FDE" w:rsidRPr="00253459" w:rsidRDefault="005B1FDE" w:rsidP="005B1FDE">
      <w:pPr>
        <w:spacing w:after="0" w:line="240" w:lineRule="auto"/>
        <w:rPr>
          <w:rFonts w:ascii="Times New Roman" w:hAnsi="Times New Roman" w:cs="Times New Roman"/>
          <w:b/>
          <w:bCs/>
          <w:sz w:val="22"/>
          <w:lang w:val="en-US"/>
        </w:rPr>
      </w:pPr>
      <w:r w:rsidRPr="00253459">
        <w:rPr>
          <w:rFonts w:ascii="Times New Roman" w:hAnsi="Times New Roman" w:cs="Times New Roman"/>
          <w:b/>
          <w:bCs/>
          <w:sz w:val="22"/>
          <w:lang w:val="en-US"/>
        </w:rPr>
        <w:t xml:space="preserve">Anisa Safiah </w:t>
      </w:r>
      <w:proofErr w:type="spellStart"/>
      <w:r w:rsidRPr="00253459">
        <w:rPr>
          <w:rFonts w:ascii="Times New Roman" w:hAnsi="Times New Roman" w:cs="Times New Roman"/>
          <w:b/>
          <w:bCs/>
          <w:sz w:val="22"/>
          <w:lang w:val="en-US"/>
        </w:rPr>
        <w:t>Maznorbalia</w:t>
      </w:r>
      <w:proofErr w:type="spellEnd"/>
    </w:p>
    <w:p w14:paraId="394AD0C0" w14:textId="245E7BA6" w:rsidR="005B1FDE" w:rsidRPr="00253459" w:rsidRDefault="005B1FDE" w:rsidP="005B1FDE">
      <w:pPr>
        <w:spacing w:after="0" w:line="240" w:lineRule="auto"/>
        <w:rPr>
          <w:rFonts w:ascii="Times New Roman" w:hAnsi="Times New Roman" w:cs="Times New Roman"/>
          <w:sz w:val="22"/>
          <w:lang w:val="en-US"/>
        </w:rPr>
      </w:pPr>
      <w:r w:rsidRPr="00253459">
        <w:rPr>
          <w:rFonts w:ascii="Times New Roman" w:hAnsi="Times New Roman" w:cs="Times New Roman"/>
          <w:sz w:val="22"/>
          <w:lang w:val="en-US"/>
        </w:rPr>
        <w:t xml:space="preserve">The Hong </w:t>
      </w:r>
      <w:proofErr w:type="spellStart"/>
      <w:r w:rsidRPr="00253459">
        <w:rPr>
          <w:rFonts w:ascii="Times New Roman" w:hAnsi="Times New Roman" w:cs="Times New Roman"/>
          <w:sz w:val="22"/>
          <w:lang w:val="en-US"/>
        </w:rPr>
        <w:t>Piow</w:t>
      </w:r>
      <w:proofErr w:type="spellEnd"/>
      <w:r w:rsidRPr="00253459">
        <w:rPr>
          <w:rFonts w:ascii="Times New Roman" w:hAnsi="Times New Roman" w:cs="Times New Roman"/>
          <w:sz w:val="22"/>
          <w:lang w:val="en-US"/>
        </w:rPr>
        <w:t xml:space="preserve"> Faculty of Business and Finance</w:t>
      </w:r>
    </w:p>
    <w:p w14:paraId="57BA6399" w14:textId="26ED1F42" w:rsidR="005B1FDE" w:rsidRPr="00253459" w:rsidRDefault="005B1FDE" w:rsidP="005B1FDE">
      <w:pPr>
        <w:spacing w:after="0" w:line="240" w:lineRule="auto"/>
        <w:rPr>
          <w:rFonts w:ascii="Times New Roman" w:hAnsi="Times New Roman" w:cs="Times New Roman"/>
          <w:sz w:val="22"/>
          <w:lang w:val="sv-SE"/>
        </w:rPr>
      </w:pPr>
      <w:r w:rsidRPr="00253459">
        <w:rPr>
          <w:rFonts w:ascii="Times New Roman" w:hAnsi="Times New Roman" w:cs="Times New Roman"/>
          <w:sz w:val="22"/>
          <w:lang w:val="sv-SE"/>
        </w:rPr>
        <w:t>Universiti Tunku Abdul Rahman, Malaysia</w:t>
      </w:r>
    </w:p>
    <w:p w14:paraId="71D4F1E7" w14:textId="5CEE6D9A" w:rsidR="005B1FDE" w:rsidRPr="00253459" w:rsidRDefault="005B1FDE" w:rsidP="005B1FDE">
      <w:pPr>
        <w:spacing w:after="0" w:line="240" w:lineRule="auto"/>
        <w:rPr>
          <w:rFonts w:ascii="Times New Roman" w:hAnsi="Times New Roman" w:cs="Times New Roman"/>
          <w:sz w:val="22"/>
          <w:lang w:val="sv-SE"/>
        </w:rPr>
      </w:pPr>
      <w:r w:rsidRPr="00253459">
        <w:rPr>
          <w:rFonts w:ascii="Times New Roman" w:hAnsi="Times New Roman" w:cs="Times New Roman"/>
          <w:sz w:val="22"/>
          <w:lang w:val="sv-SE"/>
        </w:rPr>
        <w:t>Email:safiah@@utar.edu.my</w:t>
      </w:r>
    </w:p>
    <w:p w14:paraId="41EF9086" w14:textId="1BE18EFA" w:rsidR="00BF0936" w:rsidRPr="00253459" w:rsidRDefault="00BF0936" w:rsidP="005B1FDE">
      <w:pPr>
        <w:spacing w:after="0" w:line="240" w:lineRule="auto"/>
        <w:rPr>
          <w:rFonts w:ascii="Times New Roman" w:hAnsi="Times New Roman" w:cs="Times New Roman"/>
          <w:sz w:val="22"/>
          <w:lang w:val="sv-SE"/>
        </w:rPr>
      </w:pPr>
      <w:r w:rsidRPr="00253459">
        <w:rPr>
          <w:rFonts w:ascii="Times New Roman" w:hAnsi="Times New Roman" w:cs="Times New Roman"/>
          <w:sz w:val="22"/>
          <w:lang w:val="sv-SE"/>
        </w:rPr>
        <w:t>ORCID:</w:t>
      </w:r>
      <w:r w:rsidRPr="00253459">
        <w:rPr>
          <w:rFonts w:ascii="Times New Roman" w:hAnsi="Times New Roman" w:cs="Times New Roman"/>
          <w:sz w:val="22"/>
          <w:lang w:val="sv-SE"/>
        </w:rPr>
        <w:t xml:space="preserve"> 0000-0002-2378-3840</w:t>
      </w:r>
    </w:p>
    <w:p w14:paraId="7D107D40" w14:textId="7CA201DF" w:rsidR="005B1FDE" w:rsidRPr="00253459" w:rsidRDefault="005B1FDE" w:rsidP="005B1FDE">
      <w:pPr>
        <w:spacing w:after="0" w:line="240" w:lineRule="auto"/>
        <w:rPr>
          <w:rFonts w:ascii="Times New Roman" w:hAnsi="Times New Roman" w:cs="Times New Roman"/>
          <w:sz w:val="22"/>
          <w:lang w:val="sv-SE"/>
        </w:rPr>
      </w:pPr>
    </w:p>
    <w:p w14:paraId="6E2ED181" w14:textId="4CB7DBD4" w:rsidR="005B1FDE" w:rsidRPr="00253459" w:rsidRDefault="005B1FDE" w:rsidP="005B1FDE">
      <w:pPr>
        <w:spacing w:after="0" w:line="240" w:lineRule="auto"/>
        <w:rPr>
          <w:rFonts w:ascii="Times New Roman" w:hAnsi="Times New Roman" w:cs="Times New Roman"/>
          <w:b/>
          <w:bCs/>
          <w:sz w:val="22"/>
          <w:lang w:val="sv-SE"/>
        </w:rPr>
      </w:pPr>
      <w:r w:rsidRPr="00253459">
        <w:rPr>
          <w:rFonts w:ascii="Times New Roman" w:hAnsi="Times New Roman" w:cs="Times New Roman"/>
          <w:b/>
          <w:bCs/>
          <w:sz w:val="22"/>
          <w:lang w:val="sv-SE"/>
        </w:rPr>
        <w:t>Farhana Hanim Mohsin</w:t>
      </w:r>
    </w:p>
    <w:p w14:paraId="46EA7304" w14:textId="77777777" w:rsidR="005B1FDE" w:rsidRPr="00253459" w:rsidRDefault="005B1FDE" w:rsidP="00BF0936">
      <w:pPr>
        <w:spacing w:after="0" w:line="240" w:lineRule="auto"/>
        <w:rPr>
          <w:rFonts w:ascii="Times New Roman" w:hAnsi="Times New Roman" w:cs="Times New Roman"/>
          <w:sz w:val="22"/>
          <w:lang w:val="en-MY"/>
        </w:rPr>
      </w:pPr>
      <w:bookmarkStart w:id="0" w:name="_Hlk213183075"/>
      <w:r w:rsidRPr="00253459">
        <w:rPr>
          <w:rFonts w:ascii="Times New Roman" w:hAnsi="Times New Roman" w:cs="Times New Roman"/>
          <w:sz w:val="22"/>
          <w:lang w:val="en-MY"/>
        </w:rPr>
        <w:t xml:space="preserve">The Hong </w:t>
      </w:r>
      <w:proofErr w:type="spellStart"/>
      <w:r w:rsidRPr="00253459">
        <w:rPr>
          <w:rFonts w:ascii="Times New Roman" w:hAnsi="Times New Roman" w:cs="Times New Roman"/>
          <w:sz w:val="22"/>
          <w:lang w:val="en-MY"/>
        </w:rPr>
        <w:t>Piow</w:t>
      </w:r>
      <w:proofErr w:type="spellEnd"/>
      <w:r w:rsidRPr="00253459">
        <w:rPr>
          <w:rFonts w:ascii="Times New Roman" w:hAnsi="Times New Roman" w:cs="Times New Roman"/>
          <w:sz w:val="22"/>
          <w:lang w:val="en-MY"/>
        </w:rPr>
        <w:t xml:space="preserve"> Faculty of Business and Finance</w:t>
      </w:r>
    </w:p>
    <w:p w14:paraId="4479284F" w14:textId="2B4B4981" w:rsidR="005B1FDE" w:rsidRPr="00253459" w:rsidRDefault="005B1FDE" w:rsidP="00BF0936">
      <w:pPr>
        <w:spacing w:after="0" w:line="240" w:lineRule="auto"/>
        <w:rPr>
          <w:rFonts w:ascii="Times New Roman" w:hAnsi="Times New Roman" w:cs="Times New Roman"/>
          <w:sz w:val="22"/>
          <w:lang w:val="sv-SE"/>
        </w:rPr>
      </w:pPr>
      <w:r w:rsidRPr="00253459">
        <w:rPr>
          <w:rFonts w:ascii="Times New Roman" w:hAnsi="Times New Roman" w:cs="Times New Roman"/>
          <w:sz w:val="22"/>
          <w:lang w:val="sv-SE"/>
        </w:rPr>
        <w:t>Universiti Tunku Abdul Rahman, Malaysia</w:t>
      </w:r>
    </w:p>
    <w:p w14:paraId="2BFFFABD" w14:textId="77777777" w:rsidR="00BF0936" w:rsidRPr="00253459" w:rsidRDefault="005B1FDE" w:rsidP="00BF0936">
      <w:pPr>
        <w:spacing w:after="0" w:line="240" w:lineRule="auto"/>
        <w:rPr>
          <w:rFonts w:ascii="Times New Roman" w:eastAsia="Palatino Linotype" w:hAnsi="Times New Roman" w:cs="Times New Roman"/>
          <w:color w:val="000000" w:themeColor="text1"/>
          <w:sz w:val="22"/>
          <w:lang w:val="en-MY"/>
        </w:rPr>
      </w:pPr>
      <w:r w:rsidRPr="00253459">
        <w:rPr>
          <w:rFonts w:ascii="Times New Roman" w:eastAsia="Palatino Linotype" w:hAnsi="Times New Roman" w:cs="Times New Roman"/>
          <w:sz w:val="22"/>
          <w:lang w:val="en-MY"/>
        </w:rPr>
        <w:t xml:space="preserve">Email: </w:t>
      </w:r>
      <w:hyperlink r:id="rId9" w:history="1">
        <w:r w:rsidRPr="00253459">
          <w:rPr>
            <w:rStyle w:val="Hyperlink"/>
            <w:rFonts w:ascii="Times New Roman" w:eastAsia="Palatino Linotype" w:hAnsi="Times New Roman" w:cs="Times New Roman"/>
            <w:color w:val="000000" w:themeColor="text1"/>
            <w:sz w:val="22"/>
            <w:u w:val="none"/>
            <w:lang w:val="en-MY"/>
          </w:rPr>
          <w:t>farhanam@utar.edu.my</w:t>
        </w:r>
      </w:hyperlink>
    </w:p>
    <w:p w14:paraId="477CAE2D" w14:textId="1040DAEE" w:rsidR="00BF0936" w:rsidRPr="00253459" w:rsidRDefault="00BF0936" w:rsidP="00BF0936">
      <w:pPr>
        <w:spacing w:after="0" w:line="240" w:lineRule="auto"/>
        <w:rPr>
          <w:rFonts w:ascii="Times New Roman" w:eastAsia="Palatino Linotype" w:hAnsi="Times New Roman" w:cs="Times New Roman"/>
          <w:color w:val="000000" w:themeColor="text1"/>
          <w:sz w:val="22"/>
          <w:lang w:val="en-MY"/>
        </w:rPr>
      </w:pPr>
      <w:r w:rsidRPr="00253459">
        <w:rPr>
          <w:rFonts w:ascii="Times New Roman" w:eastAsia="Palatino Linotype" w:hAnsi="Times New Roman" w:cs="Times New Roman"/>
          <w:color w:val="000000" w:themeColor="text1"/>
          <w:sz w:val="22"/>
          <w:lang w:val="en-MY"/>
        </w:rPr>
        <w:t xml:space="preserve">ORCID: </w:t>
      </w:r>
      <w:r w:rsidRPr="00253459">
        <w:rPr>
          <w:rFonts w:ascii="Times New Roman" w:eastAsia="Palatino Linotype" w:hAnsi="Times New Roman" w:cs="Times New Roman"/>
          <w:color w:val="000000" w:themeColor="text1"/>
          <w:sz w:val="22"/>
          <w:lang w:val="en-MY"/>
        </w:rPr>
        <w:t>0000-0003-3392-4333</w:t>
      </w:r>
    </w:p>
    <w:p w14:paraId="231B8BAB" w14:textId="77777777" w:rsidR="00BF0936" w:rsidRPr="00253459" w:rsidRDefault="00BF0936" w:rsidP="00BF0936">
      <w:pPr>
        <w:spacing w:after="0" w:line="240" w:lineRule="auto"/>
        <w:rPr>
          <w:rFonts w:ascii="Times New Roman" w:eastAsia="Palatino Linotype" w:hAnsi="Times New Roman" w:cs="Times New Roman"/>
          <w:color w:val="000000" w:themeColor="text1"/>
          <w:sz w:val="22"/>
          <w:lang w:val="en-MY"/>
        </w:rPr>
      </w:pPr>
    </w:p>
    <w:bookmarkEnd w:id="0"/>
    <w:p w14:paraId="045DC1F4" w14:textId="36A9FE71" w:rsidR="005B1FDE" w:rsidRPr="00253459" w:rsidRDefault="005B1FDE" w:rsidP="005B1FDE">
      <w:pPr>
        <w:spacing w:after="0" w:line="240" w:lineRule="auto"/>
        <w:rPr>
          <w:rFonts w:ascii="Times New Roman" w:eastAsia="Palatino Linotype" w:hAnsi="Times New Roman" w:cs="Times New Roman"/>
          <w:b/>
          <w:bCs/>
          <w:color w:val="000000" w:themeColor="text1"/>
          <w:sz w:val="22"/>
          <w:lang w:val="en-MY"/>
        </w:rPr>
      </w:pPr>
      <w:proofErr w:type="spellStart"/>
      <w:r w:rsidRPr="00253459">
        <w:rPr>
          <w:rFonts w:ascii="Times New Roman" w:eastAsia="Palatino Linotype" w:hAnsi="Times New Roman" w:cs="Times New Roman"/>
          <w:b/>
          <w:bCs/>
          <w:color w:val="000000" w:themeColor="text1"/>
          <w:sz w:val="22"/>
          <w:lang w:val="en-MY"/>
        </w:rPr>
        <w:t>Hemaniswarri</w:t>
      </w:r>
      <w:proofErr w:type="spellEnd"/>
      <w:r w:rsidRPr="00253459">
        <w:rPr>
          <w:rFonts w:ascii="Times New Roman" w:eastAsia="Palatino Linotype" w:hAnsi="Times New Roman" w:cs="Times New Roman"/>
          <w:b/>
          <w:bCs/>
          <w:color w:val="000000" w:themeColor="text1"/>
          <w:sz w:val="22"/>
          <w:lang w:val="en-MY"/>
        </w:rPr>
        <w:t xml:space="preserve"> Dewi </w:t>
      </w:r>
      <w:proofErr w:type="spellStart"/>
      <w:r w:rsidRPr="00253459">
        <w:rPr>
          <w:rFonts w:ascii="Times New Roman" w:eastAsia="Palatino Linotype" w:hAnsi="Times New Roman" w:cs="Times New Roman"/>
          <w:b/>
          <w:bCs/>
          <w:color w:val="000000" w:themeColor="text1"/>
          <w:sz w:val="22"/>
          <w:lang w:val="en-MY"/>
        </w:rPr>
        <w:t>Dewadas</w:t>
      </w:r>
      <w:proofErr w:type="spellEnd"/>
    </w:p>
    <w:p w14:paraId="464704B6" w14:textId="77777777" w:rsidR="005B1FDE" w:rsidRPr="00253459" w:rsidRDefault="005B1FDE" w:rsidP="005B1FDE">
      <w:pPr>
        <w:spacing w:after="0" w:line="240" w:lineRule="auto"/>
        <w:rPr>
          <w:rFonts w:ascii="Times New Roman" w:eastAsia="Palatino Linotype" w:hAnsi="Times New Roman" w:cs="Times New Roman"/>
          <w:color w:val="000000" w:themeColor="text1"/>
          <w:sz w:val="22"/>
          <w:lang w:val="en-MY"/>
        </w:rPr>
      </w:pPr>
      <w:r w:rsidRPr="00253459">
        <w:rPr>
          <w:rFonts w:ascii="Times New Roman" w:eastAsia="Palatino Linotype" w:hAnsi="Times New Roman" w:cs="Times New Roman"/>
          <w:color w:val="000000" w:themeColor="text1"/>
          <w:sz w:val="22"/>
          <w:lang w:val="en-MY"/>
        </w:rPr>
        <w:t xml:space="preserve">The Hong </w:t>
      </w:r>
      <w:proofErr w:type="spellStart"/>
      <w:r w:rsidRPr="00253459">
        <w:rPr>
          <w:rFonts w:ascii="Times New Roman" w:eastAsia="Palatino Linotype" w:hAnsi="Times New Roman" w:cs="Times New Roman"/>
          <w:color w:val="000000" w:themeColor="text1"/>
          <w:sz w:val="22"/>
          <w:lang w:val="en-MY"/>
        </w:rPr>
        <w:t>Piow</w:t>
      </w:r>
      <w:proofErr w:type="spellEnd"/>
      <w:r w:rsidRPr="00253459">
        <w:rPr>
          <w:rFonts w:ascii="Times New Roman" w:eastAsia="Palatino Linotype" w:hAnsi="Times New Roman" w:cs="Times New Roman"/>
          <w:color w:val="000000" w:themeColor="text1"/>
          <w:sz w:val="22"/>
          <w:lang w:val="en-MY"/>
        </w:rPr>
        <w:t xml:space="preserve"> Faculty of Business and Finance</w:t>
      </w:r>
    </w:p>
    <w:p w14:paraId="2D8C8BD4" w14:textId="77777777" w:rsidR="005B1FDE" w:rsidRPr="00253459" w:rsidRDefault="005B1FDE" w:rsidP="005B1FDE">
      <w:pPr>
        <w:spacing w:after="0" w:line="240" w:lineRule="auto"/>
        <w:rPr>
          <w:rFonts w:ascii="Times New Roman" w:eastAsia="Palatino Linotype" w:hAnsi="Times New Roman" w:cs="Times New Roman"/>
          <w:color w:val="000000" w:themeColor="text1"/>
          <w:sz w:val="22"/>
          <w:lang w:val="en-MY"/>
        </w:rPr>
      </w:pPr>
      <w:proofErr w:type="spellStart"/>
      <w:r w:rsidRPr="00253459">
        <w:rPr>
          <w:rFonts w:ascii="Times New Roman" w:eastAsia="Palatino Linotype" w:hAnsi="Times New Roman" w:cs="Times New Roman"/>
          <w:color w:val="000000" w:themeColor="text1"/>
          <w:sz w:val="22"/>
          <w:lang w:val="en-MY"/>
        </w:rPr>
        <w:t>Universiti</w:t>
      </w:r>
      <w:proofErr w:type="spellEnd"/>
      <w:r w:rsidRPr="00253459">
        <w:rPr>
          <w:rFonts w:ascii="Times New Roman" w:eastAsia="Palatino Linotype" w:hAnsi="Times New Roman" w:cs="Times New Roman"/>
          <w:color w:val="000000" w:themeColor="text1"/>
          <w:sz w:val="22"/>
          <w:lang w:val="en-MY"/>
        </w:rPr>
        <w:t xml:space="preserve"> </w:t>
      </w:r>
      <w:proofErr w:type="spellStart"/>
      <w:r w:rsidRPr="00253459">
        <w:rPr>
          <w:rFonts w:ascii="Times New Roman" w:eastAsia="Palatino Linotype" w:hAnsi="Times New Roman" w:cs="Times New Roman"/>
          <w:color w:val="000000" w:themeColor="text1"/>
          <w:sz w:val="22"/>
          <w:lang w:val="en-MY"/>
        </w:rPr>
        <w:t>Tunku</w:t>
      </w:r>
      <w:proofErr w:type="spellEnd"/>
      <w:r w:rsidRPr="00253459">
        <w:rPr>
          <w:rFonts w:ascii="Times New Roman" w:eastAsia="Palatino Linotype" w:hAnsi="Times New Roman" w:cs="Times New Roman"/>
          <w:color w:val="000000" w:themeColor="text1"/>
          <w:sz w:val="22"/>
          <w:lang w:val="en-MY"/>
        </w:rPr>
        <w:t xml:space="preserve"> Abdul Rahman, Malaysia</w:t>
      </w:r>
    </w:p>
    <w:p w14:paraId="32931410" w14:textId="3736DAD2" w:rsidR="005B1FDE" w:rsidRPr="00253459" w:rsidRDefault="005B1FDE" w:rsidP="005B1FDE">
      <w:pPr>
        <w:spacing w:after="0" w:line="240" w:lineRule="auto"/>
        <w:rPr>
          <w:rFonts w:ascii="Times New Roman" w:eastAsia="Palatino Linotype" w:hAnsi="Times New Roman" w:cs="Times New Roman"/>
          <w:color w:val="000000" w:themeColor="text1"/>
          <w:sz w:val="22"/>
          <w:lang w:val="en-MY"/>
        </w:rPr>
      </w:pPr>
      <w:r w:rsidRPr="00253459">
        <w:rPr>
          <w:rFonts w:ascii="Times New Roman" w:eastAsia="Palatino Linotype" w:hAnsi="Times New Roman" w:cs="Times New Roman"/>
          <w:color w:val="000000" w:themeColor="text1"/>
          <w:sz w:val="22"/>
          <w:lang w:val="en-MY"/>
        </w:rPr>
        <w:t xml:space="preserve">Email: </w:t>
      </w:r>
      <w:r w:rsidRPr="00253459">
        <w:rPr>
          <w:rFonts w:ascii="Times New Roman" w:eastAsia="Palatino Linotype" w:hAnsi="Times New Roman" w:cs="Times New Roman"/>
          <w:color w:val="000000" w:themeColor="text1"/>
          <w:sz w:val="22"/>
          <w:lang w:val="en-MY"/>
        </w:rPr>
        <w:t>hemaniswarri@utar.edu.my</w:t>
      </w:r>
    </w:p>
    <w:p w14:paraId="4E758780" w14:textId="700B5F77" w:rsidR="00BF0936" w:rsidRPr="00253459" w:rsidRDefault="00BF0936" w:rsidP="005B1FDE">
      <w:pPr>
        <w:spacing w:after="0" w:line="240" w:lineRule="auto"/>
        <w:rPr>
          <w:rFonts w:ascii="Times New Roman" w:eastAsia="Palatino Linotype" w:hAnsi="Times New Roman" w:cs="Times New Roman"/>
          <w:color w:val="000000" w:themeColor="text1"/>
          <w:sz w:val="22"/>
          <w:lang w:val="en-MY"/>
        </w:rPr>
      </w:pPr>
      <w:r w:rsidRPr="00253459">
        <w:rPr>
          <w:rFonts w:ascii="Times New Roman" w:eastAsia="Palatino Linotype" w:hAnsi="Times New Roman" w:cs="Times New Roman"/>
          <w:color w:val="000000" w:themeColor="text1"/>
          <w:sz w:val="22"/>
          <w:lang w:val="en-MY"/>
        </w:rPr>
        <w:t xml:space="preserve">ORCID: </w:t>
      </w:r>
      <w:r w:rsidRPr="00253459">
        <w:rPr>
          <w:rFonts w:ascii="Times New Roman" w:eastAsia="Palatino Linotype" w:hAnsi="Times New Roman" w:cs="Times New Roman"/>
          <w:color w:val="000000" w:themeColor="text1"/>
          <w:sz w:val="22"/>
          <w:lang w:val="en-MY"/>
        </w:rPr>
        <w:t>0000-0003-1377-7655</w:t>
      </w:r>
    </w:p>
    <w:p w14:paraId="59CE45C2" w14:textId="77777777" w:rsidR="005B1FDE" w:rsidRPr="00253459" w:rsidRDefault="005B1FDE" w:rsidP="005B1FDE">
      <w:pPr>
        <w:spacing w:after="120" w:line="240" w:lineRule="auto"/>
        <w:rPr>
          <w:rFonts w:ascii="Times New Roman" w:eastAsia="Palatino Linotype" w:hAnsi="Times New Roman" w:cs="Times New Roman"/>
          <w:sz w:val="22"/>
          <w:lang w:val="en-MY"/>
        </w:rPr>
      </w:pPr>
    </w:p>
    <w:p w14:paraId="651DF48E" w14:textId="472C4FBB" w:rsidR="005B1FDE" w:rsidRPr="00253459" w:rsidRDefault="005B1FDE" w:rsidP="005B1FDE">
      <w:pPr>
        <w:spacing w:after="120" w:line="240" w:lineRule="auto"/>
        <w:rPr>
          <w:rFonts w:ascii="Times New Roman" w:eastAsia="Palatino Linotype" w:hAnsi="Times New Roman" w:cs="Times New Roman"/>
          <w:sz w:val="22"/>
          <w:lang w:val="en-MY"/>
        </w:rPr>
      </w:pPr>
    </w:p>
    <w:p w14:paraId="09FBA12A" w14:textId="77777777" w:rsidR="005B1FDE" w:rsidRPr="00253459" w:rsidRDefault="005B1FDE" w:rsidP="005B1FDE">
      <w:pPr>
        <w:spacing w:after="120" w:line="240" w:lineRule="auto"/>
        <w:rPr>
          <w:rFonts w:ascii="Times New Roman" w:eastAsia="Palatino Linotype" w:hAnsi="Times New Roman" w:cs="Times New Roman"/>
          <w:sz w:val="22"/>
          <w:lang w:val="en-MY"/>
        </w:rPr>
      </w:pPr>
    </w:p>
    <w:p w14:paraId="720F54E2"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7AAA4175"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7CB212BD"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6734EA84"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7E618718"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5A982B65" w14:textId="77777777" w:rsidR="00156959" w:rsidRPr="005B1FDE" w:rsidRDefault="00156959" w:rsidP="00292EAF">
      <w:pPr>
        <w:spacing w:after="120" w:line="240" w:lineRule="auto"/>
        <w:jc w:val="center"/>
        <w:rPr>
          <w:rFonts w:ascii="Times New Roman" w:eastAsia="Palatino Linotype" w:hAnsi="Times New Roman" w:cs="Times New Roman"/>
          <w:b/>
          <w:bCs/>
          <w:sz w:val="24"/>
          <w:szCs w:val="24"/>
          <w:lang w:val="en-MY"/>
        </w:rPr>
      </w:pPr>
    </w:p>
    <w:p w14:paraId="7EC87A2C" w14:textId="7F5A5BE1" w:rsidR="00156959" w:rsidRDefault="00156959" w:rsidP="00BF0936">
      <w:pPr>
        <w:spacing w:after="120" w:line="240" w:lineRule="auto"/>
        <w:rPr>
          <w:rFonts w:ascii="Times New Roman" w:eastAsia="Palatino Linotype" w:hAnsi="Times New Roman" w:cs="Times New Roman"/>
          <w:b/>
          <w:bCs/>
          <w:sz w:val="24"/>
          <w:szCs w:val="24"/>
          <w:lang w:val="en-MY"/>
        </w:rPr>
      </w:pPr>
    </w:p>
    <w:p w14:paraId="6DC5FEF9" w14:textId="77777777" w:rsidR="00156959" w:rsidRPr="005B1FDE" w:rsidRDefault="00156959" w:rsidP="002B0D97">
      <w:pPr>
        <w:spacing w:after="120" w:line="240" w:lineRule="auto"/>
        <w:rPr>
          <w:rFonts w:ascii="Times New Roman" w:eastAsia="Palatino Linotype" w:hAnsi="Times New Roman" w:cs="Times New Roman"/>
          <w:b/>
          <w:bCs/>
          <w:sz w:val="24"/>
          <w:szCs w:val="24"/>
          <w:lang w:val="en-MY"/>
        </w:rPr>
      </w:pPr>
    </w:p>
    <w:p w14:paraId="5BE9B21C" w14:textId="6C03EDC8" w:rsidR="00E74A60" w:rsidRPr="00BF0936" w:rsidRDefault="00D01785" w:rsidP="00292EAF">
      <w:pPr>
        <w:spacing w:after="120" w:line="240" w:lineRule="auto"/>
        <w:jc w:val="center"/>
        <w:rPr>
          <w:rFonts w:ascii="Times New Roman" w:eastAsia="Palatino Linotype" w:hAnsi="Times New Roman" w:cs="Times New Roman"/>
          <w:b/>
          <w:bCs/>
          <w:sz w:val="22"/>
          <w:lang w:val="en-MY"/>
        </w:rPr>
      </w:pPr>
      <w:r w:rsidRPr="00BF0936">
        <w:rPr>
          <w:rFonts w:ascii="Times New Roman" w:eastAsia="Palatino Linotype" w:hAnsi="Times New Roman" w:cs="Times New Roman"/>
          <w:b/>
          <w:bCs/>
          <w:sz w:val="22"/>
          <w:lang w:val="en-MY"/>
        </w:rPr>
        <w:lastRenderedPageBreak/>
        <w:t>ABSTRACT</w:t>
      </w:r>
    </w:p>
    <w:p w14:paraId="23718835" w14:textId="76338817" w:rsidR="00421C26" w:rsidRPr="00BF0936" w:rsidRDefault="000F4801" w:rsidP="00421C26">
      <w:pPr>
        <w:spacing w:after="0" w:line="240" w:lineRule="auto"/>
        <w:jc w:val="both"/>
        <w:rPr>
          <w:rFonts w:ascii="Times New Roman" w:hAnsi="Times New Roman" w:cs="Times New Roman"/>
          <w:iCs/>
          <w:sz w:val="22"/>
          <w:lang w:val="en-US"/>
        </w:rPr>
      </w:pPr>
      <w:r w:rsidRPr="00BF0936">
        <w:rPr>
          <w:rFonts w:ascii="Times New Roman" w:hAnsi="Times New Roman" w:cs="Times New Roman"/>
          <w:iCs/>
          <w:sz w:val="22"/>
          <w:lang w:val="en-US"/>
        </w:rPr>
        <w:t>This study examines the role of digital waqf as an Islamic social instrument for promoting cash waqf social responsibility (CWSR) among social enterprises. As a form of Islamic philanthropy, cash waqf has long contributed to social welfare, yet its traditional implementation has been hindered by limited accessibility, transparency, and donor engagement. The emergence of digital platforms provides new avenues to overcome these challenges by enhancing inclusivity, accountability, and innovation. Guided by the diffusion of innovation theory and social capital perspectives, this research explores how digital waqf applications can foster CWSR intentions and practices among micro and small social enterprises. Qualitative interviews with seven respondents (R1–R7) reveal seven core themes influencing adoption. First, the relative advantage and accessibility of digital platforms encourage broader participation and faster contributions. Second, alignment with Islamic and ethical values motivates enterprises to integrate social responsibility into their operations. Third, simplicity and user-friendliness support donor engagement. Fourth, observability, trialability, and peer influence enhance adoption through visible social outcomes and community trust. Fifth, affordability and cost-effectiveness are critical for smaller enterprises. Sixth, institutional and technological support from financial institutions, waqf authorities, and fintech providers reinforces legitimacy and governance. Finally, networked trust and social influence strengthen confidence in digital waqf systems. By integrating insights from Islamic finance, social entrepreneurship, and digital innovation, this study provides a multidisciplinary understanding of how digital waqf can serve as a catalyst for sustainable social responsibility and the empowerment of social enterprises through Islamic social instruments.</w:t>
      </w:r>
    </w:p>
    <w:p w14:paraId="31F8D923" w14:textId="77777777" w:rsidR="000F4801" w:rsidRPr="00BF0936" w:rsidRDefault="000F4801" w:rsidP="00421C26">
      <w:pPr>
        <w:spacing w:after="0" w:line="240" w:lineRule="auto"/>
        <w:jc w:val="both"/>
        <w:rPr>
          <w:rFonts w:ascii="Times New Roman" w:hAnsi="Times New Roman" w:cs="Times New Roman"/>
          <w:iCs/>
          <w:sz w:val="22"/>
          <w:lang w:val="en-US"/>
        </w:rPr>
      </w:pPr>
    </w:p>
    <w:p w14:paraId="26F66607" w14:textId="1A4212B4" w:rsidR="000E4409" w:rsidRPr="00BF0936" w:rsidRDefault="000E4409" w:rsidP="00292EAF">
      <w:pPr>
        <w:spacing w:after="0" w:line="240" w:lineRule="auto"/>
        <w:jc w:val="both"/>
        <w:rPr>
          <w:rFonts w:ascii="Times New Roman" w:hAnsi="Times New Roman" w:cs="Times New Roman"/>
          <w:iCs/>
          <w:sz w:val="22"/>
        </w:rPr>
      </w:pPr>
      <w:r w:rsidRPr="00BF0936">
        <w:rPr>
          <w:rFonts w:ascii="Times New Roman" w:hAnsi="Times New Roman" w:cs="Times New Roman"/>
          <w:b/>
          <w:bCs/>
          <w:iCs/>
          <w:sz w:val="22"/>
          <w:lang w:val="en-US"/>
        </w:rPr>
        <w:t>Keywords</w:t>
      </w:r>
      <w:r w:rsidRPr="00BF0936">
        <w:rPr>
          <w:rFonts w:ascii="Times New Roman" w:hAnsi="Times New Roman" w:cs="Times New Roman"/>
          <w:iCs/>
          <w:sz w:val="22"/>
          <w:lang w:val="en-US"/>
        </w:rPr>
        <w:t>:</w:t>
      </w:r>
      <w:r w:rsidRPr="00BF0936">
        <w:rPr>
          <w:rFonts w:ascii="Times New Roman" w:hAnsi="Times New Roman" w:cs="Times New Roman"/>
          <w:i/>
          <w:sz w:val="22"/>
          <w:lang w:val="en-US"/>
        </w:rPr>
        <w:t xml:space="preserve"> </w:t>
      </w:r>
      <w:r w:rsidR="000E3C07" w:rsidRPr="00BF0936">
        <w:rPr>
          <w:rFonts w:ascii="Times New Roman" w:hAnsi="Times New Roman" w:cs="Times New Roman"/>
          <w:i/>
          <w:sz w:val="22"/>
          <w:lang w:val="en-US"/>
        </w:rPr>
        <w:t>Digital waqf</w:t>
      </w:r>
      <w:r w:rsidRPr="00BF0936">
        <w:rPr>
          <w:rFonts w:ascii="Times New Roman" w:hAnsi="Times New Roman" w:cs="Times New Roman"/>
          <w:i/>
          <w:sz w:val="22"/>
          <w:lang w:val="en-US"/>
        </w:rPr>
        <w:t xml:space="preserve">, </w:t>
      </w:r>
      <w:r w:rsidR="0067350A" w:rsidRPr="00BF0936">
        <w:rPr>
          <w:rFonts w:ascii="Times New Roman" w:hAnsi="Times New Roman" w:cs="Times New Roman"/>
          <w:i/>
          <w:sz w:val="22"/>
          <w:lang w:val="en-US"/>
        </w:rPr>
        <w:t>Social-enterprise</w:t>
      </w:r>
      <w:r w:rsidRPr="00BF0936">
        <w:rPr>
          <w:rFonts w:ascii="Times New Roman" w:hAnsi="Times New Roman" w:cs="Times New Roman"/>
          <w:i/>
          <w:sz w:val="22"/>
          <w:lang w:val="en-US"/>
        </w:rPr>
        <w:t xml:space="preserve">, </w:t>
      </w:r>
      <w:r w:rsidR="00BC7FAC" w:rsidRPr="00BF0936">
        <w:rPr>
          <w:rFonts w:ascii="Times New Roman" w:hAnsi="Times New Roman" w:cs="Times New Roman"/>
          <w:i/>
          <w:sz w:val="22"/>
          <w:lang w:val="en-US"/>
        </w:rPr>
        <w:t>Sustainability</w:t>
      </w:r>
      <w:r w:rsidR="000E3C07" w:rsidRPr="00BF0936">
        <w:rPr>
          <w:rFonts w:ascii="Times New Roman" w:hAnsi="Times New Roman" w:cs="Times New Roman"/>
          <w:i/>
          <w:sz w:val="22"/>
          <w:lang w:val="en-US"/>
        </w:rPr>
        <w:t>, Social Responsibility</w:t>
      </w:r>
      <w:r w:rsidR="008742FB" w:rsidRPr="00BF0936">
        <w:rPr>
          <w:rFonts w:ascii="Times New Roman" w:hAnsi="Times New Roman" w:cs="Times New Roman"/>
          <w:i/>
          <w:sz w:val="22"/>
          <w:lang w:val="en-US"/>
        </w:rPr>
        <w:t xml:space="preserve">, </w:t>
      </w:r>
      <w:r w:rsidR="00025BB8" w:rsidRPr="00BF0936">
        <w:rPr>
          <w:rFonts w:ascii="Times New Roman" w:hAnsi="Times New Roman" w:cs="Times New Roman"/>
          <w:i/>
          <w:sz w:val="22"/>
          <w:lang w:val="en-US"/>
        </w:rPr>
        <w:t>Development Strategy</w:t>
      </w:r>
    </w:p>
    <w:p w14:paraId="60436544" w14:textId="77777777" w:rsidR="00AA62E8" w:rsidRPr="00292EAF" w:rsidRDefault="00AA62E8" w:rsidP="00292EAF">
      <w:pPr>
        <w:spacing w:after="120" w:line="240" w:lineRule="auto"/>
        <w:jc w:val="both"/>
        <w:rPr>
          <w:rFonts w:ascii="Times New Roman" w:eastAsia="Palatino Linotype" w:hAnsi="Times New Roman" w:cs="Times New Roman"/>
          <w:b/>
          <w:sz w:val="24"/>
          <w:szCs w:val="24"/>
        </w:rPr>
      </w:pPr>
    </w:p>
    <w:p w14:paraId="329F4112" w14:textId="63FF737E" w:rsidR="00511D77" w:rsidRPr="00BF0936" w:rsidRDefault="00511D77" w:rsidP="00292EAF">
      <w:pPr>
        <w:spacing w:after="12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rPr>
        <w:t>I. INTRODUCTION</w:t>
      </w:r>
      <w:r w:rsidR="00311E6B" w:rsidRPr="00BF0936">
        <w:rPr>
          <w:rFonts w:ascii="Times New Roman" w:eastAsia="Palatino Linotype" w:hAnsi="Times New Roman" w:cs="Times New Roman"/>
          <w:b/>
          <w:sz w:val="22"/>
          <w:lang w:val="en-US"/>
        </w:rPr>
        <w:t xml:space="preserve"> </w:t>
      </w:r>
    </w:p>
    <w:p w14:paraId="4F63A5BF" w14:textId="71EA77D1" w:rsidR="00D61C93" w:rsidRPr="00BF0936" w:rsidRDefault="00A3261C"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Contemporaneous waqf has drawn significant a</w:t>
      </w:r>
      <w:r w:rsidR="00267175" w:rsidRPr="00BF0936">
        <w:rPr>
          <w:rFonts w:ascii="Times New Roman" w:eastAsia="Palatino Linotype" w:hAnsi="Times New Roman" w:cs="Times New Roman"/>
          <w:bCs/>
          <w:sz w:val="22"/>
          <w:lang w:val="en-US"/>
        </w:rPr>
        <w:t>cademic attention and study</w:t>
      </w:r>
      <w:r w:rsidRPr="00BF0936">
        <w:rPr>
          <w:rFonts w:ascii="Times New Roman" w:eastAsia="Palatino Linotype" w:hAnsi="Times New Roman" w:cs="Times New Roman"/>
          <w:bCs/>
          <w:sz w:val="22"/>
          <w:lang w:val="en-US"/>
        </w:rPr>
        <w:t xml:space="preserve"> and has quickly developed into a new </w:t>
      </w:r>
      <w:r w:rsidR="00983854" w:rsidRPr="00BF0936">
        <w:rPr>
          <w:rFonts w:ascii="Times New Roman" w:eastAsia="Palatino Linotype" w:hAnsi="Times New Roman" w:cs="Times New Roman"/>
          <w:bCs/>
          <w:sz w:val="22"/>
          <w:lang w:val="en-US"/>
        </w:rPr>
        <w:t>study area</w:t>
      </w:r>
      <w:r w:rsidRPr="00BF0936">
        <w:rPr>
          <w:rFonts w:ascii="Times New Roman" w:eastAsia="Palatino Linotype" w:hAnsi="Times New Roman" w:cs="Times New Roman"/>
          <w:bCs/>
          <w:sz w:val="22"/>
          <w:lang w:val="en-US"/>
        </w:rPr>
        <w:t xml:space="preserve">. Often called an Islamic social instrument, waqf is a unique way to raise Muslims' quality of life. It is recurring and comes under the purview of </w:t>
      </w:r>
      <w:proofErr w:type="spellStart"/>
      <w:r w:rsidRPr="00BF0936">
        <w:rPr>
          <w:rFonts w:ascii="Times New Roman" w:eastAsia="Palatino Linotype" w:hAnsi="Times New Roman" w:cs="Times New Roman"/>
          <w:bCs/>
          <w:sz w:val="22"/>
          <w:lang w:val="en-US"/>
        </w:rPr>
        <w:t>sadaqah</w:t>
      </w:r>
      <w:proofErr w:type="spellEnd"/>
      <w:r w:rsidRPr="00BF0936">
        <w:rPr>
          <w:rFonts w:ascii="Times New Roman" w:eastAsia="Palatino Linotype" w:hAnsi="Times New Roman" w:cs="Times New Roman"/>
          <w:bCs/>
          <w:sz w:val="22"/>
          <w:lang w:val="en-US"/>
        </w:rPr>
        <w:t xml:space="preserve"> (charitable giving). Waqf receives its financial support for social action from individual voluntary donations. Waqf and corporate entities have drawn more attention in recent years. Academics and corporate players are attempting to link business as the primary contribution of waqf </w:t>
      </w:r>
      <w:r w:rsidR="00F91B12" w:rsidRPr="00BF0936">
        <w:rPr>
          <w:rFonts w:ascii="Times New Roman" w:eastAsia="Palatino Linotype" w:hAnsi="Times New Roman" w:cs="Times New Roman"/>
          <w:bCs/>
          <w:sz w:val="22"/>
          <w:lang w:val="en-US"/>
        </w:rPr>
        <w:fldChar w:fldCharType="begin"/>
      </w:r>
      <w:r w:rsidR="00F91B12" w:rsidRPr="00BF0936">
        <w:rPr>
          <w:rFonts w:ascii="Times New Roman" w:eastAsia="Palatino Linotype" w:hAnsi="Times New Roman" w:cs="Times New Roman"/>
          <w:bCs/>
          <w:sz w:val="22"/>
          <w:lang w:val="en-US"/>
        </w:rPr>
        <w:instrText xml:space="preserve"> ADDIN ZOTERO_ITEM CSL_CITATION {"citationID":"JOyVXYJs","properties":{"formattedCitation":"(Darus et al., 2017; Harto et al., 2022; Raimi et al., 2014)","plainCitation":"(Darus et al., 2017; Harto et al., 2022; Raimi et al., 2014)","noteIndex":0},"citationItems":[{"id":2376,"uris":["http://zotero.org/users/11920205/items/E88WDZYQ"],"itemData":{"id":2376,"type":"article-journal","abstract":"Engaging in social responsibility practices is currently being viewed as essential to Islamic organizations. The potential of using waqf as a source of funding for such practices has not been vastly explored. The aim of this study is to provide evidence of the current corporate social responsibility (CSR) practices of Islamic financial institutions (IFIs) and to examine the viability of using waqf for the purpose of CSR. Content analyses of the annual and sustainability reports of twenty-four (24) IFIs in Malaysia for a four (4) year period from 2010 to 2013 were undertaken to provide insights on their current CSR practices. The CSR disclosure items were categorized into vital and recommended items, where the vital elements denote key activities that are essential and are to be undertaken while the recommended items refer to discretionary activities that may be carried out. Semi-structured interviews with three (3) Waqf experts were also carried out to draw their opinions about waqf. The results of the study revealed that for the vital items, the IFIs in Malaysia were focusing their CSR practices on the workplace while for the recommended items the focus was on community issues. Corporate waqf is viewed as a viable alternative that organizations can use to help address social issues of the community. However, there are critical issues that needed to be dealt with to transformed waqf practices in the country.","container-title":"Research in International Business and Finance","DOI":"10.1016/j.ribaf.2017.07.030","ISSN":"02755319","note":"publisher: Elsevier Ltd","page":"959-965","title":"Empowering social responsibility of Islamic organizations through Waqf","volume":"42","author":[{"family":"Darus","given":"Faizah"},{"family":"Ahmad Shukri","given":"Nurul Huda"},{"family":"Yusoff","given":"Haslinda"},{"family":"Ramli","given":"Aliza"},{"family":"Mohamed Zain","given":"Mustaffa"},{"family":"Abu Bakar","given":"Nur Ain"}],"issued":{"date-parts":[["2017",12,1]]}}},{"id":4943,"uris":["http://zotero.org/users/11920205/items/W5CFUDEM"],"itemData":{"id":4943,"type":"article-journal","abstract":"Purpose  - The purpose of this study was to determine the effect of corporate social responsibility (CSR) on increasing company growth through Micro Waqf Banks (a case study of Micro Waqf Bank customers during the covid 19 pandemic).   Method  - The data were analyzed through the stages of reduction, display, and heuristic data, that is concluding from various data and findings obtained by researchers both from secondary data and primary data.   Result  - Micro Waqf Banks provide loans with small margins so that cheap funding is needed, namely from government grants and CSR from companies, even from personal sources. But in practice, the institution has difficulty in the process of increasing the funding so that, in general, it still comes from government grants. From the results of the study, 50% of business customers increased so Micro Waqf Banks could affect the economic improvement of community members, especially Micro Waqf Bank customers.   Implication  - MSMEs have increased from 10-40% so that it directly affects the economy of Micro Waqf Bank customers. This also indirectly affects the community's economy because of the associated economic cycle even during the COVID-19 pandemic.  Originality  - This research is the first research using CSR and Micro Waqf Banks to increase company growth directly and to the country's economic growth indirectly.","container-title":"Journal of Islamic Accounting and Finance Research","ISSN":"2714-8122","issue":"1","language":"en","license":"Copyright (c) 2022 Journal of Islamic Accounting and Finance Research","note":"number: 1\npublisher: Universitas Islam Negeri (UIN) Walisongo Semarang","page":"131-154","source":"journal.walisongo.ac.id","title":"The role of corporate social responsibility in increasing company growth through micro waqf bank as a solution for economic resilience in the pandemic","volume":"4","author":[{"family":"Harto","given":"Puji"},{"family":"Warno","given":"Warno"},{"family":"Achmad","given":"Tarmizi"}],"issued":{"date-parts":[["2022",7,19]]}}},{"id":1479,"uris":["http://zotero.org/users/11920205/items/8ZGNW5UG"],"itemData":{"id":1479,"type":"article-journal","abstract":"Purpose – Poverty is a plague which has continental manifestation, but its impact is heavily felt in several Muslim majority nations (MMNs), where unemployment, illiteracy, chronic diseases, food shortage, sectarian wars and wave of militancy are surging at alarming rates. The purpose of this paper is to develop a faith-based model (FBM) to complement the conventional poverty reduction models. Experiences have shown that FBMs find more acceptability among Muslim nations because they have theoretical and theological underpinnings from the Qur’an and Hadith, as opposed to conventional models that are often viewed with suspicion, sequel to Islamic revivalism. Design/methodology/approach – This research adopts a qualitative research method relying on secondary data/information sourced from CIA Factbook, previous scholarly works, working papers, case studies and relevant internet resources. In line with methodological approach of qualitative research, the secondary data/information were subjected to content and thematic analyses (CTA) from which facts, figures and presumptions were derived to support the FBM. Findings – The paper justified the plausibility of integrating corporate social responsibility (CSR), Waqf system (WS) and Zakat system (TZS) as FBM for poverty reduction, enterprise development and economic empowerment in MMNs. Research limitations/implications – The gap left behind by the paper is for future researchers to carry out an empirical investigation on the viability or otherwise of the FBM. This could include the governance structure, operational modalities and regulatory frameworks that would enhance the functioning of the FBM. Practical implications – FBM framework is practically a corporate social investment (CSI), which would be heavily funded by Zakat payers, CSR donations and Waqf. The funds would be deployed to poverty reduction in a number of ways ranging from training, micro-credit support for SMEs, apprenticeships, setting up technology business incubation centres, cluster development, infrastructural development in industrial parks, as well as providing welfare support services to the poor, marginalised communities and other economically disadvantaged groups. Originality/value – The theoretical research is a contribution to theory and practice of CSR in the field of management and Islamic economics. It has developed a FBM for adoption by MMNs who are hesitant in adopting western model for fear of compromising their ethical values. Keywords","container-title":"World Journal of Entrepreneurship, Management and Sustainable Development","DOI":"10.1108/wjemsd-09-2013-0052","ISSN":"2042-5961","issue":"3","note":"publisher: Emerald","page":"228-242","title":"Corporate social responsibility, Waqf system and Zakat system as faith-based model for poverty reduction","volume":"10","author":[{"family":"Raimi","given":"Lukman"},{"family":"Patel","given":"Ashok"},{"family":"Adelopo","given":"Ismail"}],"issued":{"date-parts":[["2014",7,8]]}}}],"schema":"https://github.com/citation-style-language/schema/raw/master/csl-citation.json"} </w:instrText>
      </w:r>
      <w:r w:rsidR="00F91B12"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(Darus et al., 2017; Harto et al., 2022; Raimi et al., 2014)</w:t>
      </w:r>
      <w:r w:rsidR="00F91B12"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The primary goal is to fully </w:t>
      </w:r>
      <w:r w:rsidR="00983854" w:rsidRPr="00BF0936">
        <w:rPr>
          <w:rFonts w:ascii="Times New Roman" w:eastAsia="Palatino Linotype" w:hAnsi="Times New Roman" w:cs="Times New Roman"/>
          <w:bCs/>
          <w:sz w:val="22"/>
          <w:lang w:val="en-US"/>
        </w:rPr>
        <w:t>use</w:t>
      </w:r>
      <w:r w:rsidRPr="00BF0936">
        <w:rPr>
          <w:rFonts w:ascii="Times New Roman" w:eastAsia="Palatino Linotype" w:hAnsi="Times New Roman" w:cs="Times New Roman"/>
          <w:bCs/>
          <w:sz w:val="22"/>
          <w:lang w:val="en-US"/>
        </w:rPr>
        <w:t xml:space="preserve"> waqf features and use waqf practice to advance business social responsibility</w:t>
      </w:r>
      <w:r w:rsidR="00D61C93" w:rsidRPr="00BF0936">
        <w:rPr>
          <w:rFonts w:ascii="Times New Roman" w:eastAsia="Palatino Linotype" w:hAnsi="Times New Roman" w:cs="Times New Roman"/>
          <w:bCs/>
          <w:sz w:val="22"/>
          <w:lang w:val="en-US"/>
        </w:rPr>
        <w:t>.</w:t>
      </w:r>
    </w:p>
    <w:p w14:paraId="57732175" w14:textId="5F92CB7F" w:rsidR="005C304D" w:rsidRPr="00BF0936" w:rsidRDefault="005C304D"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Corporate waqf like </w:t>
      </w:r>
      <w:proofErr w:type="spellStart"/>
      <w:r w:rsidRPr="00BF0936">
        <w:rPr>
          <w:rFonts w:ascii="Times New Roman" w:eastAsia="Palatino Linotype" w:hAnsi="Times New Roman" w:cs="Times New Roman"/>
          <w:bCs/>
          <w:sz w:val="22"/>
          <w:lang w:val="en-US"/>
        </w:rPr>
        <w:t>Koc</w:t>
      </w:r>
      <w:proofErr w:type="spellEnd"/>
      <w:r w:rsidRPr="00BF0936">
        <w:rPr>
          <w:rFonts w:ascii="Times New Roman" w:eastAsia="Palatino Linotype" w:hAnsi="Times New Roman" w:cs="Times New Roman"/>
          <w:bCs/>
          <w:sz w:val="22"/>
          <w:lang w:val="en-US"/>
        </w:rPr>
        <w:t xml:space="preserve"> Holding in Turkey and Johor Corporation in Malaysia </w:t>
      </w:r>
      <w:r w:rsidR="00983854" w:rsidRPr="00BF0936">
        <w:rPr>
          <w:rFonts w:ascii="Times New Roman" w:eastAsia="Palatino Linotype" w:hAnsi="Times New Roman" w:cs="Times New Roman"/>
          <w:bCs/>
          <w:sz w:val="22"/>
          <w:lang w:val="en-US"/>
        </w:rPr>
        <w:t>remind</w:t>
      </w:r>
      <w:r w:rsidRPr="00BF0936">
        <w:rPr>
          <w:rFonts w:ascii="Times New Roman" w:eastAsia="Palatino Linotype" w:hAnsi="Times New Roman" w:cs="Times New Roman"/>
          <w:bCs/>
          <w:sz w:val="22"/>
          <w:lang w:val="en-US"/>
        </w:rPr>
        <w:t xml:space="preserve"> all kinds of businesses, including microenterprises, to contribute to the monetary waqf for social development. But these kinds of </w:t>
      </w:r>
      <w:r w:rsidR="00F31CF0" w:rsidRPr="00BF0936">
        <w:rPr>
          <w:rFonts w:ascii="Times New Roman" w:eastAsia="Palatino Linotype" w:hAnsi="Times New Roman" w:cs="Times New Roman"/>
          <w:bCs/>
          <w:sz w:val="22"/>
          <w:lang w:val="en-US"/>
        </w:rPr>
        <w:t>practices</w:t>
      </w:r>
      <w:r w:rsidRPr="00BF0936">
        <w:rPr>
          <w:rFonts w:ascii="Times New Roman" w:eastAsia="Palatino Linotype" w:hAnsi="Times New Roman" w:cs="Times New Roman"/>
          <w:bCs/>
          <w:sz w:val="22"/>
          <w:lang w:val="en-US"/>
        </w:rPr>
        <w:t xml:space="preserve"> are </w:t>
      </w:r>
      <w:r w:rsidRPr="00BF0936">
        <w:rPr>
          <w:rFonts w:ascii="Times New Roman" w:eastAsia="Palatino Linotype" w:hAnsi="Times New Roman" w:cs="Times New Roman"/>
          <w:bCs/>
          <w:sz w:val="22"/>
          <w:lang w:val="en-US"/>
        </w:rPr>
        <w:lastRenderedPageBreak/>
        <w:t xml:space="preserve">missed, and most of the recommended strategies are geared towards the general public and multinational companies, neglecting the role-playing of micro, small, and medium-sized enterprises (MSMEs) </w:t>
      </w:r>
      <w:r w:rsidRPr="00BF0936">
        <w:rPr>
          <w:rFonts w:ascii="Times New Roman" w:eastAsia="Palatino Linotype" w:hAnsi="Times New Roman" w:cs="Times New Roman"/>
          <w:bCs/>
          <w:sz w:val="22"/>
          <w:lang w:val="en-US"/>
        </w:rPr>
        <w:fldChar w:fldCharType="begin"/>
      </w:r>
      <w:r w:rsidR="00E41455" w:rsidRPr="00BF0936">
        <w:rPr>
          <w:rFonts w:ascii="Times New Roman" w:eastAsia="Palatino Linotype" w:hAnsi="Times New Roman" w:cs="Times New Roman"/>
          <w:bCs/>
          <w:sz w:val="22"/>
          <w:lang w:val="en-US"/>
        </w:rPr>
        <w:instrText xml:space="preserve"> ADDIN ZOTERO_ITEM CSL_CITATION {"citationID":"gGV12GXc","properties":{"formattedCitation":"(Raja Adnan et al., 2021; Susamto et al., 2024; Y\\uc0\\u225{}\\uc0\\u241{}ez-Araque et al., 2021)","plainCitation":"(Raja Adnan et al., 2021; Susamto et al., 2024; Yáñez-Araque et al., 2021)","noteIndex":0},"citationItems":[{"id":4947,"uris":["http://zotero.org/users/11920205/items/5LGITPNW"],"itemData":{"id":4947,"type":"article-journal","abstract":"Purpose This research paper aims to determine the factors needed to propose a platform where waqf (Islamic endowment) organizations can collaborate with government public hospitals to develop corporate waqf hospitals. Consequently, the elements of governance and sustainability are included in the management of corporate waqf hospitals thereby leading to the corporatization of public hospitals. Design/methodology/approach This study adopts the qualitative research methodology and undertakes content analysis of data collected from journal articles, magazines and official websites. Data analysis involves open coding with NVivo 12. Findings General findings from the literature review have shown that architectural and engineering fundamentals were essential factors in the success of past waqf hospitals of the era between 8th and 14th centuries. In that era, the decentralized waqf-based hospitals employed the mutawalli (the trustee/manager of the waqf assets) to govern the administration of the hospitals. Present corporate waqf hospitals can exploit the elements identified from past waqf-based hospitals and additionally adopt the private-public partnership model in the form of a muḍārabah (profit-sharing contract) agreement to design a sustainable waqf governance model for Malaysian public healthcare services. Research limitations/implications The proposed platform is designed for a corporate waqf model developed in collaboration between Malaysian waqf institutions and public healthcare services. It abides by both the Malaysian fatwa (Islamic rulings) on waqf and the laws of the Malaysian Government. Practical implications There is potential for developing the Malaysian corporate waqf-governance healthcare model which will enable the hospital to provide better quality healthcare to more patients through upgrading the quality of equipment used in hospitals and/or better facilities at equal or lower costs. Consequently, this will not only improve waqf management and distribution but also result in reduction of government expenditure. Social implications This research promotes the concept of a corporate waqf hospital which will provide innumerable beneficial healthcare services in terms of improved healthcare quality at affordable costs to the general public and at no cost to the poor and the underprivileged. Originality/value Although waqf has played an important role as a vehicle for Islamic financing in the society for centuries, a model of collaboration or partnership of waqf with public healthcare services has yet to be explored and developed. With proper corporate governance and well-managed sustainability in a corporate waqf model, this newly developed partnership between waqf institutions and public healthcare providers can be a first step in many more interesting collaborative arrangements that can be established between waqf institutions and public services in the future.","container-title":"ISRA International Journal of Islamic Finance","DOI":"10.1108/IJIF-11-2019-0178","ISSN":"2289-4365","issue":"1","note":"publisher: Emerald Publishing Limited","page":"73-88","source":"Emerald Insight","title":"Factors necessary for effective corporate waqf management for Malaysian public healthcare","volume":"14","author":[{"family":"Raja Adnan","given":"Raja Aishah","dropping-particle":"binti"},{"family":"Abdul Mutalib","given":"Mahazan"},{"family":"Ab Aziz","given":"Muhammad Ridhwan"}],"issued":{"date-parts":[["2021",1,1]]}}},{"id":4949,"uris":["http://zotero.org/users/11920205/items/BQLB4ZHC"],"itemData":{"id":4949,"type":"article-journal","abstract":"Purpose — This paper highlights the overextension in the definition of the term corporate waqf in the current literature, proposing a return to its original meaning. It also advocates for the use of a new term, enterprise-structured waqf, to capture the broader and more inclusive contexts of waqf. This paper further elaborates on and categorises the facets of the newly advocated term, clearly delineating its scope.\nDesign/Methodology/Approach — This paper utilises a qualitative content analysis (QCA) methodology to recognise specified characteristics within the corporate waqf literature. It prudently dissects the prevailing narratives, revealing areas of conceptual ambiguity and inconsistency. It further proposes new narratives.\nFindings — It is shown that the extended definition of the term corporate waqf has left it ambiguous, with two meanings. The first is waqf that is established by corporate entities. The second is waqf whose assets are dedicated to entities with strategic business frameworks, regardless of the founder’s corporate or non-corporate status. The second meaning, while innovative, is misleading. It is therefore proposed that the term corporate waqf be returned to its original meaning and the term enterprise-structured waqf be used instead to capture the broader and more inclusive contexts of waqf.\nOriginality/Value — This paper is the first to highlight the overextension in the definition of the term corporate waqf, propose a return to its original meaning, and advocate for the use of an alternative term, namely enterprise-structured waqf.\nPractical Implications — Returning to corporate waqf’s original meaning while distinguishing it from the broader concept of enterprise-structured waqf will potentially help expand waqf engagement and resource mobilisation.","container-title":"ISRA International Journal of Islamic Finance","DOI":"10.55188/ijif.v16iS1.759","ISSN":"2289-4365","issue":"S1","journalAbbreviation":"IJIF","language":"en","license":"Copyright (c) 2024 ISRA International Journal of Islamic Finance","note":"number: S1","page":"118-135","source":"journal.inceif.edu.my","title":"Redefining Boundaries: The Case for Enterprise-Structured Waqf Over Corporate Waqf","title-short":"Redefining Boundaries","volume":"16","author":[{"family":"Susamto","given":"Akhmad Akbar"},{"family":"Bisri","given":"M."},{"family":"Masyhadi","given":"Anang Rikza"},{"family":"Susamto","given":"Burhanuddin"}],"issued":{"date-parts":[["2024",5,6]]}}},{"id":1906,"uris":["http://zotero.org/users/11920205/items/2CZQCJSS"],"itemData":{"id":1906,"type":"article-journal","abstract":"The 2030 Agenda for Sustainable Development, adopted by all United Nations member states in 2015, includes 17 Sustainable Development Goals (SDGs) to be achieved by 2030. The SDGs set the agenda for trends in corporate social responsibility (CSR), which will gain momentum in the coming years; and businesses are the key agents of countries for the development of this agenda. The importance of micro-, small- and medium-sized enterprises (MSMEs) and family businesses in the economy of a country is unquestionable; however, there are very few studies on CSR that focus on MSMEs and even fewer that focus on family MSMEs. To fill this gap, this work seeks to ascertain whether the relationship between CSR and economic performance (EP) is significantly different for family and nonfamily MSMEs. To analyze the data, Partial Least Squares Structural Equation Modeling (PLS-SEM) is applied to the sample of 96 Spanish family MSMEs and 182 Spanish nonfamily MSMEs. The study presents an unprecedented finding: when making equal commitments to CSR, family MSMEs obtain a greater impact on their economic performance arising from CSR actions than nonfamily MSMEs. These findings have practical and theoretical implications for CSR in MSMEs. First, we found that when taking into account the economic, social and environmental dimensions for family and nonfamily MSMEs, CSR targets economic performance simultaneously. Second, family businesses have an additional incentive to become involved in CSR actions since these actions will be reflected to a greater extent in their economic results than those of nonfamily businesses.","container-title":"Journal of Business Research","DOI":"10.1016/j.jbusres.2020.10.023","ISSN":"01482963","note":"publisher: Elsevier Inc.","page":"581-592","title":"Corporate social responsibility in micro-, small- and medium-sized enterprises: Multigroup analysis of family vs. nonfamily firms","volume":"124","author":[{"family":"Yáñez-Araque","given":"Benito"},{"family":"Sánchez-Infante Hernández","given":"Juan Pablo"},{"family":"Gutiérrez-Broncano","given":"Santiago"},{"family":"Jiménez-Estévez","given":"Pedro"}],"issued":{"date-parts":[["2021",1,1]]}}}],"schema":"https://github.com/citation-style-language/schema/raw/master/csl-citation.json"}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(Raja Adnan et al., 2021; Susamto et al., 2024; Yáñez-Araque et al., 2021)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r w:rsidR="00D92434" w:rsidRPr="00BF0936">
        <w:rPr>
          <w:rFonts w:ascii="Times New Roman" w:eastAsia="Palatino Linotype" w:hAnsi="Times New Roman" w:cs="Times New Roman"/>
          <w:bCs/>
          <w:sz w:val="22"/>
          <w:lang w:val="en-US"/>
        </w:rPr>
        <w:t>In comparison,</w:t>
      </w:r>
      <w:r w:rsidRPr="00BF0936">
        <w:rPr>
          <w:rFonts w:ascii="Times New Roman" w:eastAsia="Palatino Linotype" w:hAnsi="Times New Roman" w:cs="Times New Roman"/>
          <w:bCs/>
          <w:sz w:val="22"/>
          <w:lang w:val="en-US"/>
        </w:rPr>
        <w:t xml:space="preserve"> multinational corporations (MNCs) are often considered powerful participants in the </w:t>
      </w:r>
      <w:proofErr w:type="spellStart"/>
      <w:r w:rsidRPr="00BF0936">
        <w:rPr>
          <w:rFonts w:ascii="Times New Roman" w:eastAsia="Palatino Linotype" w:hAnsi="Times New Roman" w:cs="Times New Roman"/>
          <w:bCs/>
          <w:sz w:val="22"/>
          <w:lang w:val="en-US"/>
        </w:rPr>
        <w:t>globalised</w:t>
      </w:r>
      <w:proofErr w:type="spellEnd"/>
      <w:r w:rsidRPr="00BF0936">
        <w:rPr>
          <w:rFonts w:ascii="Times New Roman" w:eastAsia="Palatino Linotype" w:hAnsi="Times New Roman" w:cs="Times New Roman"/>
          <w:bCs/>
          <w:sz w:val="22"/>
          <w:lang w:val="en-US"/>
        </w:rPr>
        <w:t xml:space="preserve"> world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{"citationID":"K8HqlHvh","properties":{"formattedCitation":"(Locke et al., 2009)","plainCitation":"(Locke et al., 2009)","noteIndex":0},"citationItems":[{"id":526,"uris":["http://zotero.org/users/11920205/items/MMSDFE7D"],"itemData":{"id":526,"type":"article-journal","abstract":"Private, voluntary compliance programs, promoted by global corporations and nongovernmental organizations alike, have produced only modest and uneven improvements in working conditions and labor rights in most global supply chains. Through a detailed study of a major global apparel company and its suppliers, this article argues that this compliance model rests on misguided theoretical and empirical assumptions concerning the power of multinational corporations in global supply chains, the role information (derived from factory audits) plays in shaping the behavior of key actors (e.g., global brands, transnational activist networks, suppliers, purchasing agents, etc.) in these production networks, and the appropriate incentives required to change behavior and promote improvements in labor standards in these emergent centers of global production. The authors argue that it is precisely these faulty assumptions and the way they have come to shape various labor compliance initiatives throughout the world-even more than a lack of commitment, resources, or transparency by global brands and their suppliers to these programs-that explain why this compliance-focused model of private voluntary regulation has not succeeded. In contrast, this article documents that a more commitment-oriented approach to improving labor standards coexists and, in many of the same factories, complements the traditional compliance model. This commitment-oriented approach, based on joint problem solving, information exchange, and the diffusion of best practices, is often obscured by the debates over traditional compliance programs but exists in myriad factories throughout the world and has led to sustained improvements in working conditions and labor rights at these workplaces. © 2009 SAGE Publications.","container-title":"Politics &amp; Society","DOI":"10.1177/0032329209338922","ISSN":"0032-3292","issue":"3","note":"publisher: SAGE PublicationsSage CA: Los Angeles, CA","page":"319-351","title":"Virtue out of Necessity? Compliance, Commitment, and the Improvement of Labor Conditions in Global Supply Chains","volume":"37","author":[{"family":"Locke","given":"Richard"},{"family":"Amengual","given":"Matthew"},{"family":"Mangla","given":"Akshay"}],"issued":{"date-parts":[["2009",9,6]]}}}],"schema":"https://github.com/citation-style-language/schema/raw/master/csl-citation.json"}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(Locke et al., 2009)</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Less is known about the increase in their </w:t>
      </w:r>
      <w:proofErr w:type="spellStart"/>
      <w:r w:rsidRPr="00BF0936">
        <w:rPr>
          <w:rFonts w:ascii="Times New Roman" w:eastAsia="Palatino Linotype" w:hAnsi="Times New Roman" w:cs="Times New Roman"/>
          <w:bCs/>
          <w:sz w:val="22"/>
          <w:lang w:val="en-US"/>
        </w:rPr>
        <w:t>organisational</w:t>
      </w:r>
      <w:proofErr w:type="spellEnd"/>
      <w:r w:rsidRPr="00BF0936">
        <w:rPr>
          <w:rFonts w:ascii="Times New Roman" w:eastAsia="Palatino Linotype" w:hAnsi="Times New Roman" w:cs="Times New Roman"/>
          <w:bCs/>
          <w:sz w:val="22"/>
          <w:lang w:val="en-US"/>
        </w:rPr>
        <w:t xml:space="preserve"> activities by </w:t>
      </w:r>
      <w:r w:rsidR="007C093F" w:rsidRPr="00BF0936">
        <w:rPr>
          <w:rFonts w:ascii="Times New Roman" w:eastAsia="Palatino Linotype" w:hAnsi="Times New Roman" w:cs="Times New Roman"/>
          <w:bCs/>
          <w:sz w:val="22"/>
          <w:lang w:val="en-US"/>
        </w:rPr>
        <w:t>social-enterprises</w:t>
      </w:r>
      <w:r w:rsidRPr="00BF0936">
        <w:rPr>
          <w:rFonts w:ascii="Times New Roman" w:eastAsia="Palatino Linotype" w:hAnsi="Times New Roman" w:cs="Times New Roman"/>
          <w:bCs/>
          <w:sz w:val="22"/>
          <w:lang w:val="en-US"/>
        </w:rPr>
        <w:t xml:space="preserve">. </w:t>
      </w:r>
      <w:r w:rsidR="00E41455" w:rsidRPr="00BF0936">
        <w:rPr>
          <w:rFonts w:ascii="Times New Roman" w:eastAsia="Palatino Linotype" w:hAnsi="Times New Roman" w:cs="Times New Roman"/>
          <w:bCs/>
          <w:sz w:val="22"/>
          <w:lang w:val="en-US"/>
        </w:rPr>
        <w:t>Stated differently, they carried out their social responsibilities in a very open and well-kept hidden from the public. It is fascinating, though, because they are more than simply local actors in the modern world</w:t>
      </w:r>
      <w:r w:rsidR="00D92434" w:rsidRPr="00BF0936">
        <w:rPr>
          <w:rFonts w:ascii="Times New Roman" w:eastAsia="Palatino Linotype" w:hAnsi="Times New Roman" w:cs="Times New Roman"/>
          <w:bCs/>
          <w:sz w:val="22"/>
          <w:lang w:val="en-US"/>
        </w:rPr>
        <w:t>,</w:t>
      </w:r>
      <w:r w:rsidR="00E41455" w:rsidRPr="00BF0936">
        <w:rPr>
          <w:rFonts w:ascii="Times New Roman" w:eastAsia="Palatino Linotype" w:hAnsi="Times New Roman" w:cs="Times New Roman"/>
          <w:bCs/>
          <w:sz w:val="22"/>
          <w:lang w:val="en-US"/>
        </w:rPr>
        <w:t xml:space="preserve"> given their tendency for </w:t>
      </w:r>
      <w:proofErr w:type="spellStart"/>
      <w:r w:rsidR="00E41455" w:rsidRPr="00BF0936">
        <w:rPr>
          <w:rFonts w:ascii="Times New Roman" w:eastAsia="Palatino Linotype" w:hAnsi="Times New Roman" w:cs="Times New Roman"/>
          <w:bCs/>
          <w:sz w:val="22"/>
          <w:lang w:val="en-US"/>
        </w:rPr>
        <w:t>globalisation</w:t>
      </w:r>
      <w:proofErr w:type="spellEnd"/>
      <w:r w:rsidR="00E41455" w:rsidRPr="00BF0936">
        <w:rPr>
          <w:rFonts w:ascii="Times New Roman" w:eastAsia="Palatino Linotype" w:hAnsi="Times New Roman" w:cs="Times New Roman"/>
          <w:bCs/>
          <w:sz w:val="22"/>
          <w:lang w:val="en-US"/>
        </w:rPr>
        <w:t xml:space="preserve">, despite various obstacles in the way of CSR promotion </w:t>
      </w:r>
      <w:r w:rsidR="00E41455" w:rsidRPr="00BF0936">
        <w:rPr>
          <w:rFonts w:ascii="Times New Roman" w:eastAsia="Palatino Linotype" w:hAnsi="Times New Roman" w:cs="Times New Roman"/>
          <w:bCs/>
          <w:sz w:val="22"/>
          <w:lang w:val="en-US"/>
        </w:rPr>
        <w:fldChar w:fldCharType="begin"/>
      </w:r>
      <w:r w:rsidR="00E41455" w:rsidRPr="00BF0936">
        <w:rPr>
          <w:rFonts w:ascii="Times New Roman" w:eastAsia="Palatino Linotype" w:hAnsi="Times New Roman" w:cs="Times New Roman"/>
          <w:bCs/>
          <w:sz w:val="22"/>
          <w:lang w:val="en-US"/>
        </w:rPr>
        <w:instrText xml:space="preserve"> ADDIN ZOTERO_ITEM CSL_CITATION {"citationID":"ibkhfmUA","properties":{"formattedCitation":"(Wang et al., 2016)","plainCitation":"(Wang et al., 2016)","noteIndex":0},"citationItems":[{"id":4946,"uris":["http://zotero.org/users/11920205/items/J7Y5GVUH"],"itemData":{"id":4946,"type":"article-journal","container-title":"Academy of Management Journal","DOI":"10.5465/amj.2016.5001","ISSN":"0001-4273","issue":"2","journalAbbreviation":"AMJ","note":"publisher: Academy of Management","page":"534-544","source":"journals.aom.org (Atypon)","title":"Corporate Social Responsibility: An Overview and New Research Directions","title-short":"Corporate Social Responsibility","volume":"59","author":[{"family":"Wang","given":"Heli"},{"family":"Tong","given":"Li"},{"family":"Takeuchi","given":"Riki"},{"family":"George","given":"Gerard"}],"issued":{"date-parts":[["2016",4]]}}}],"schema":"https://github.com/citation-style-language/schema/raw/master/csl-citation.json"} </w:instrText>
      </w:r>
      <w:r w:rsidR="00E41455"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(Wang et al., 2016)</w:t>
      </w:r>
      <w:r w:rsidR="00E41455" w:rsidRPr="00BF0936">
        <w:rPr>
          <w:rFonts w:ascii="Times New Roman" w:eastAsia="Palatino Linotype" w:hAnsi="Times New Roman" w:cs="Times New Roman"/>
          <w:bCs/>
          <w:sz w:val="22"/>
          <w:lang w:val="en-US"/>
        </w:rPr>
        <w:fldChar w:fldCharType="end"/>
      </w:r>
      <w:r w:rsidR="00E41455" w:rsidRPr="00BF0936">
        <w:rPr>
          <w:rFonts w:ascii="Times New Roman" w:eastAsia="Palatino Linotype" w:hAnsi="Times New Roman" w:cs="Times New Roman"/>
          <w:bCs/>
          <w:sz w:val="22"/>
          <w:lang w:val="en-US"/>
        </w:rPr>
        <w:t xml:space="preserve">. </w:t>
      </w:r>
    </w:p>
    <w:p w14:paraId="6163CA8E" w14:textId="2FB87EEC" w:rsidR="00E41455" w:rsidRPr="00BF0936" w:rsidRDefault="0051715D"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Large corporations are further driven to engage in CSR primarily because of the extrinsic benefits, which include maintaining competitiveness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{"citationID":"az40IIZJ","properties":{"formattedCitation":"(Bai &amp; Chang, 2015)","plainCitation":"(Bai &amp; Chang, 2015)","noteIndex":0},"citationItems":[{"id":1823,"uris":["http://zotero.org/users/11920205/items/P77P4EGU"],"itemData":{"id":1823,"type":"article-journal","abstract":"The influence of corporate social responsibility (CSR) on firm performance in developed economies has been studied extensively. However, extant studies provide mixed findings on the relationship between CSR and firm performance in emerging economies. Drawing on stakeholder theory and institutional theory, we look at CSR in China, taking a multi-dimensional view of CSR and introducing marketing competence as an important intermediate between CSR and firm performance. We also use a contingent perspective to examine the role of market environments in moderating the impact of CSR on marketing competence. The findings of an empirical study conducted in China show that marketing competence fully mediates the effects of all CSR activities on firm performance. Competitive intensity weakens the positive impact of CSR toward employees on marketing competence, while it strengthens the positive effect of CSR toward society on marketing competence. The positive relationship between CSR toward customers and marketing competence is enhanced by market turbulence. The results of this study highlight the importance of CSR to marketing competence and firm performance in China.","container-title":"Asia Pacific Journal of Management","DOI":"10.1007/s10490-015-9409-0","ISSN":"15729958","issue":"2","note":"publisher: Springer New York LLC","page":"505-530","title":"Corporate social responsibility and firm performance: The mediating role of marketing competence and the moderating role of market environment","volume":"32","author":[{"family":"Bai","given":"Xuan"},{"family":"Chang","given":"Jeanine"}],"issued":{"date-parts":[["2015",6,1]]}}}],"schema":"https://github.com/citation-style-language/schema/raw/master/csl-citation.json"}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(Bai &amp; Chang, 2015)</w:t>
      </w:r>
      <w:r w:rsidR="00F31CF0"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brand loyalty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{"citationID":"a8IWBYrY","properties":{"formattedCitation":"(Pivato et al., 2007)","plainCitation":"(Pivato et al., 2007)","noteIndex":0},"citationItems":[{"id":1822,"uris":["http://zotero.org/users/11920205/items/HPIJ9ZKI"],"itemData":{"id":1822,"type":"article-journal","abstract":"A critical and notoriously elusive issue in Corporate Social Responsibility (CSR) research is the impact of Corporate Social Performance (CSP) on the bottom line. Instead of looking for direct correlations between social and financial performance, we hypothesize that the first result of CSR activities is the creation of trust among the stakeholders. A survey conducted on consumers of organic products provided support for our hypothesis, showing that CSP influences consumer trust and that that trust in turn influences consumers' subsequent actions. The findings further suggest that intermediate variables between CSP and Corporate Financial Performance (CFP) may best support a business case for CSR.","container-title":"Business Ethics: A European Review","DOI":"10.1111/j.1467-8608.2008.00515.x","ISSN":"1467-8608","issue":"1","note":"publisher: Wiley","page":"3-12","title":"The impact of corporate social responsibility on consumer trust: the case of organic food","volume":"17","author":[{"family":"Pivato","given":"Sergio"},{"family":"Misani","given":"Nicola"},{"family":"Tencati","given":"Antonio"}],"issued":{"date-parts":[["2007",12,27]]}}}],"schema":"https://github.com/citation-style-language/schema/raw/master/csl-citation.json"}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(Pivato et al., 2007)</w:t>
      </w:r>
      <w:r w:rsidR="00F31CF0" w:rsidRPr="00BF0936">
        <w:rPr>
          <w:rFonts w:ascii="Times New Roman" w:eastAsia="Palatino Linotype" w:hAnsi="Times New Roman" w:cs="Times New Roman"/>
          <w:bCs/>
          <w:sz w:val="22"/>
          <w:lang w:val="en-US"/>
        </w:rPr>
        <w:fldChar w:fldCharType="end"/>
      </w:r>
      <w:r w:rsidR="00F31CF0" w:rsidRPr="00BF0936">
        <w:rPr>
          <w:rFonts w:ascii="Times New Roman" w:eastAsia="Palatino Linotype" w:hAnsi="Times New Roman" w:cs="Times New Roman"/>
          <w:bCs/>
          <w:sz w:val="22"/>
          <w:lang w:val="en-US"/>
        </w:rPr>
        <w:t xml:space="preserve">, </w:t>
      </w:r>
      <w:r w:rsidRPr="00BF0936">
        <w:rPr>
          <w:rFonts w:ascii="Times New Roman" w:eastAsia="Palatino Linotype" w:hAnsi="Times New Roman" w:cs="Times New Roman"/>
          <w:bCs/>
          <w:sz w:val="22"/>
          <w:lang w:val="en-US"/>
        </w:rPr>
        <w:t xml:space="preserve">higher market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{"citationID":"fdWImBU9","properties":{"formattedCitation":"(Luo &amp; Bhattacharya, 2006)","plainCitation":"(Luo &amp; Bhattacharya, 2006)","noteIndex":0},"citationItems":[{"id":1821,"uris":["http://zotero.org/users/11920205/items/MATEJBFE"],"itemData":{"id":1821,"type":"article-journal","abstract":"Although prior research has addressed the influence of corporate social responsibility (CSR) on perceived customer responses, it is not clear whether CSR affects market value of the firm. This stud...","container-title":"Journal of Marketing","DOI":"10.1509/jmkg.70.4.001","ISSN":"0022-2429","issue":"4","note":"publisher: SAGE Publications","page":"1-18","title":"Corporate Social Responsibility, Customer Satisfaction, and Market Value","volume":"70","author":[{"family":"Luo","given":"Xueming"},{"family":"Bhattacharya","given":"C.B."}],"issued":{"date-parts":[["2006",10,2]]}}}],"schema":"https://github.com/citation-style-language/schema/raw/master/csl-citation.json"}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(Luo &amp; Bhattacharya, 2006)</w:t>
      </w:r>
      <w:r w:rsidR="00F31CF0"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improved company reputation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{"citationID":"3mXTEBoV","properties":{"formattedCitation":"(Park et al., 2014)","plainCitation":"(Park et al., 2014)","noteIndex":0},"citationItems":[{"id":1819,"uris":["http://zotero.org/users/11920205/items/Q4XNB7WY"],"itemData":{"id":1819,"type":"article-journal","abstract":"This study proposes and tests a model of corporate social responsibility (CSR) that specifies relationships among (1) four categories of CSR initiatives as independent variables, (2) three types of consumer trust as mediating variables, and (3) corporate reputation as the dependent variable. Results show that the firm's fulfillment of economic and legal CSR initiatives had a direct positive effect on corporate reputation, whereas neither ethical nor philanthropic CSR initiatives did. In the CSR-trust link, economic performances fostered consumer expertise trust, legal and ethical CSR activities affected integrity trust, and philanthropic CSR activities influenced social benevolence trust in the firm. This study confirms that all three types of trust partially or fully mediate the effect of the four CSR initiatives on corporate reputation. This outcome indicates that CSR activities create and nurture consumers' trust in the company, which will, in turn, bring about consumers' positive or improved perceptions of the firm. © 2013 Elsevier Inc.","container-title":"Journal of Business Research","DOI":"10.1016/j.jbusres.2013.05.016","ISSN":"01482963","issue":"3","note":"publisher: Elsevier","page":"295-302","title":"Corporate social responsibilities, consumer trust and corporate reputation: South Korean consumers' perspectives","volume":"67","author":[{"family":"Park","given":"Jongchul"},{"family":"Lee","given":"Hanjoon"},{"family":"Kim","given":"Chankon"}],"issued":{"date-parts":[["2014",3,1]]}}}],"schema":"https://github.com/citation-style-language/schema/raw/master/csl-citation.json"}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(Park et al., 2014)</w:t>
      </w:r>
      <w:r w:rsidR="00F31CF0" w:rsidRPr="00BF0936">
        <w:rPr>
          <w:rFonts w:ascii="Times New Roman" w:eastAsia="Palatino Linotype" w:hAnsi="Times New Roman" w:cs="Times New Roman"/>
          <w:bCs/>
          <w:sz w:val="22"/>
          <w:lang w:val="en-US"/>
        </w:rPr>
        <w:fldChar w:fldCharType="end"/>
      </w:r>
      <w:r w:rsidR="00F31CF0" w:rsidRPr="00BF0936">
        <w:rPr>
          <w:rFonts w:ascii="Times New Roman" w:eastAsia="Palatino Linotype" w:hAnsi="Times New Roman" w:cs="Times New Roman"/>
          <w:bCs/>
          <w:sz w:val="22"/>
          <w:lang w:val="en-US"/>
        </w:rPr>
        <w:t xml:space="preserve">, </w:t>
      </w:r>
      <w:r w:rsidRPr="00BF0936">
        <w:rPr>
          <w:rFonts w:ascii="Times New Roman" w:eastAsia="Palatino Linotype" w:hAnsi="Times New Roman" w:cs="Times New Roman"/>
          <w:bCs/>
          <w:sz w:val="22"/>
          <w:lang w:val="en-US"/>
        </w:rPr>
        <w:t xml:space="preserve">and increased company sales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{"citationID":"NvrsK3VB","properties":{"formattedCitation":"(Chung et al., 2018)","plainCitation":"(Chung et al., 2018)","noteIndex":0},"citationItems":[{"id":1816,"uris":["http://zotero.org/users/11920205/items/YIAYJUA8"],"itemData":{"id":1816,"type":"article-journal","abstract":"Corporate social responsibility has recently become a new metric of corporate performance. Some argue that corporate social responsibility should be used not only for corporate image improvement, but also as a major competitive strategy. Given this perspective, this study considers the effect of corporate social responsibility on firm value using data from all firms listed on the Korea Exchange from 2005 to 2015 that provide corporate social responsibility information. Specifically, we use the Korea Economic Justice Institution Index, which is an important metric for corporate social responsibility in Korea, to empirically analyze the relation between corporate social responsibility and firm value. Further, given the growing attention to the Korean manufacturing environment and the significant influence of the global manufacturing environment, we aim to determine the differential characteristics of manufacturing corporations using the relation between corporate social responsibility and firm value. The results strongly support a positive relation between corporate social responsibility and firm value. Furthermore, our detailed analysis of the manufacturing industry indicates some differential characteristics with respect to this relation. Overall, we find that every corporation should adopt corporate social responsibility as an active competitive strategy, taking the corporate condition into account.","container-title":"Sustainability (Switzerland)","DOI":"10.3390/su10093164","ISSN":"20711050","issue":"9","page":"1-22","title":"Do CSR activities increase firm value? Evidence from the Korean market","volume":"10","author":[{"family":"Chung","given":"Chune Young"},{"family":"Jung","given":"Sangjun"},{"family":"Young","given":"Jason"}],"issued":{"date-parts":[["2018"]]}}}],"schema":"https://github.com/citation-style-language/schema/raw/master/csl-citation.json"}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(Chung et al., 2018)</w:t>
      </w:r>
      <w:r w:rsidR="00F31CF0" w:rsidRPr="00BF0936">
        <w:rPr>
          <w:rFonts w:ascii="Times New Roman" w:eastAsia="Palatino Linotype" w:hAnsi="Times New Roman" w:cs="Times New Roman"/>
          <w:bCs/>
          <w:sz w:val="22"/>
          <w:lang w:val="en-US"/>
        </w:rPr>
        <w:fldChar w:fldCharType="end"/>
      </w:r>
      <w:r w:rsidR="00F31CF0" w:rsidRPr="00BF0936">
        <w:rPr>
          <w:rFonts w:ascii="Times New Roman" w:eastAsia="Palatino Linotype" w:hAnsi="Times New Roman" w:cs="Times New Roman"/>
          <w:bCs/>
          <w:sz w:val="22"/>
          <w:lang w:val="en-US"/>
        </w:rPr>
        <w:t xml:space="preserve">. </w:t>
      </w:r>
      <w:r w:rsidRPr="00BF0936">
        <w:rPr>
          <w:rFonts w:ascii="Times New Roman" w:eastAsia="Palatino Linotype" w:hAnsi="Times New Roman" w:cs="Times New Roman"/>
          <w:bCs/>
          <w:sz w:val="22"/>
          <w:lang w:val="en-US"/>
        </w:rPr>
        <w:t>In sharp contrast, ME engag</w:t>
      </w:r>
      <w:r w:rsidR="00D92434" w:rsidRPr="00BF0936">
        <w:rPr>
          <w:rFonts w:ascii="Times New Roman" w:eastAsia="Palatino Linotype" w:hAnsi="Times New Roman" w:cs="Times New Roman"/>
          <w:bCs/>
          <w:sz w:val="22"/>
          <w:lang w:val="en-US"/>
        </w:rPr>
        <w:t>es</w:t>
      </w:r>
      <w:r w:rsidRPr="00BF0936">
        <w:rPr>
          <w:rFonts w:ascii="Times New Roman" w:eastAsia="Palatino Linotype" w:hAnsi="Times New Roman" w:cs="Times New Roman"/>
          <w:bCs/>
          <w:sz w:val="22"/>
          <w:lang w:val="en-US"/>
        </w:rPr>
        <w:t xml:space="preserve"> in social duty driven by moral obligation, religious convictions, and support from </w:t>
      </w:r>
      <w:proofErr w:type="spellStart"/>
      <w:r w:rsidRPr="00BF0936">
        <w:rPr>
          <w:rFonts w:ascii="Times New Roman" w:eastAsia="Palatino Linotype" w:hAnsi="Times New Roman" w:cs="Times New Roman"/>
          <w:bCs/>
          <w:sz w:val="22"/>
          <w:lang w:val="en-US"/>
        </w:rPr>
        <w:t>neighbouring</w:t>
      </w:r>
      <w:proofErr w:type="spellEnd"/>
      <w:r w:rsidRPr="00BF0936">
        <w:rPr>
          <w:rFonts w:ascii="Times New Roman" w:eastAsia="Palatino Linotype" w:hAnsi="Times New Roman" w:cs="Times New Roman"/>
          <w:bCs/>
          <w:sz w:val="22"/>
          <w:lang w:val="en-US"/>
        </w:rPr>
        <w:t xml:space="preserve"> stakeholders</w:t>
      </w:r>
      <w:r w:rsidR="00F31CF0" w:rsidRPr="00BF0936">
        <w:rPr>
          <w:rFonts w:ascii="Times New Roman" w:eastAsia="Palatino Linotype" w:hAnsi="Times New Roman" w:cs="Times New Roman"/>
          <w:bCs/>
          <w:sz w:val="22"/>
          <w:lang w:val="en-US"/>
        </w:rPr>
        <w:t xml:space="preserve"> </w:t>
      </w:r>
      <w:r w:rsidR="00F31CF0" w:rsidRPr="00BF0936">
        <w:rPr>
          <w:rFonts w:ascii="Times New Roman" w:eastAsia="Palatino Linotype" w:hAnsi="Times New Roman" w:cs="Times New Roman"/>
          <w:bCs/>
          <w:sz w:val="22"/>
          <w:lang w:val="en-US"/>
        </w:rPr>
        <w:fldChar w:fldCharType="begin"/>
      </w:r>
      <w:r w:rsidR="00F31CF0" w:rsidRPr="00BF0936">
        <w:rPr>
          <w:rFonts w:ascii="Times New Roman" w:eastAsia="Palatino Linotype" w:hAnsi="Times New Roman" w:cs="Times New Roman"/>
          <w:bCs/>
          <w:sz w:val="22"/>
          <w:lang w:val="en-US"/>
        </w:rPr>
        <w:instrText xml:space="preserve"> ADDIN ZOTERO_ITEM CSL_CITATION {"citationID":"lCsZ7UHA","properties":{"formattedCitation":"(Wajdi Dusuki, 2008)","plainCitation":"(Wajdi Dusuki, 2008)","noteIndex":0},"citationItems":[{"id":2332,"uris":["http://zotero.org/users/11920205/items/K2L6JH38"],"itemData":{"id":2332,"type":"article-journal","abstract":"PurposeThe purpose of this paper is to survey the viewpoints of various stakeholder groups on the philosophy and objectives of Islamic banking, particularly in a dual banking environment, as in the case of Malaysia. Design/methodology/approachThe paper presents primary data collected by self-administered and postal questionnaires involving a sample of 1,500 respondents representing seven stakeholder groups, namely customers, depositors, local communities, Islamic banking managers, employees, banking regulatory officers and Shariah advisers. An exploratory factor analysis is employed to examine the respondents' perceptions towards various objectives of Islamic banking. FindingsThis paper reveals that respondents regard Islamic banking as an institution that should uphold social objectives and promote Islamic values towards their staffs, clients and the general public. Other factors perceived to be important include contributing to the social welfare of the community, promoting sustainable development projects and alleviating poverty. Practical implicationsThe empirical evidence of this paper affects two aspects; first Islamic banks must not be solely profit-driven entities; rather they must aim at promoting Islamic norms and values to achieve the economic objectives as prescribed by Shariah (Islamic Law). Second, true success for Islamic banking participants depends on the extent to which they can integrate social goals with the mechanics of financial innovation. This research will be of interest to both incumbent and potential entrants into this niche market. Originality/valueThe paper reports findings from the first nation-wide survey of diverse stakeholder groups in the area of Islamic banking and finance.","container-title":"International Journal of Islamic and Middle Eastern Finance and Management","DOI":"10.1108/17538390810880982/FULL/XML","ISSN":"17538408","issue":"2","note":"publisher: Emerald Group Publishing Ltd.","page":"132-148","title":"Understanding the objectives of Islamic banking: a survey of stakeholders' perspectives","volume":"1","author":[{"family":"Wajdi Dusuki","given":"Asyraf"}],"issued":{"date-parts":[["2008",6,20]]}}}],"schema":"https://github.com/citation-style-language/schema/raw/master/csl-citation.json"} </w:instrText>
      </w:r>
      <w:r w:rsidR="00F31CF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(Wajdi Dusuki, 2008)</w:t>
      </w:r>
      <w:r w:rsidR="00F31CF0"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r w:rsidR="00F31CF0" w:rsidRPr="00BF0936">
        <w:rPr>
          <w:rFonts w:ascii="Times New Roman" w:eastAsia="Palatino Linotype" w:hAnsi="Times New Roman" w:cs="Times New Roman"/>
          <w:bCs/>
          <w:sz w:val="22"/>
          <w:lang w:val="en-US"/>
        </w:rPr>
        <w:t>C</w:t>
      </w:r>
      <w:r w:rsidRPr="00BF0936">
        <w:rPr>
          <w:rFonts w:ascii="Times New Roman" w:eastAsia="Palatino Linotype" w:hAnsi="Times New Roman" w:cs="Times New Roman"/>
          <w:bCs/>
          <w:sz w:val="22"/>
          <w:lang w:val="en-US"/>
        </w:rPr>
        <w:t xml:space="preserve">ash waqf practice is one area </w:t>
      </w:r>
      <w:r w:rsidR="00D92434" w:rsidRPr="00BF0936">
        <w:rPr>
          <w:rFonts w:ascii="Times New Roman" w:eastAsia="Palatino Linotype" w:hAnsi="Times New Roman" w:cs="Times New Roman"/>
          <w:bCs/>
          <w:sz w:val="22"/>
          <w:lang w:val="en-US"/>
        </w:rPr>
        <w:t xml:space="preserve">in </w:t>
      </w:r>
      <w:r w:rsidR="00C02080" w:rsidRPr="00BF0936">
        <w:rPr>
          <w:rFonts w:ascii="Times New Roman" w:eastAsia="Palatino Linotype" w:hAnsi="Times New Roman" w:cs="Times New Roman"/>
          <w:bCs/>
          <w:sz w:val="22"/>
          <w:lang w:val="en-US"/>
        </w:rPr>
        <w:t>which</w:t>
      </w:r>
      <w:r w:rsidRPr="00BF0936">
        <w:rPr>
          <w:rFonts w:ascii="Times New Roman" w:eastAsia="Palatino Linotype" w:hAnsi="Times New Roman" w:cs="Times New Roman"/>
          <w:bCs/>
          <w:sz w:val="22"/>
          <w:lang w:val="en-US"/>
        </w:rPr>
        <w:t xml:space="preserve"> study on CSR practice among Muslim </w:t>
      </w:r>
      <w:r w:rsidR="007C093F" w:rsidRPr="00BF0936">
        <w:rPr>
          <w:rFonts w:ascii="Times New Roman" w:eastAsia="Palatino Linotype" w:hAnsi="Times New Roman" w:cs="Times New Roman"/>
          <w:bCs/>
          <w:sz w:val="22"/>
          <w:lang w:val="en-US"/>
        </w:rPr>
        <w:t>social-enterprises</w:t>
      </w:r>
      <w:r w:rsidRPr="00BF0936">
        <w:rPr>
          <w:rFonts w:ascii="Times New Roman" w:eastAsia="Palatino Linotype" w:hAnsi="Times New Roman" w:cs="Times New Roman"/>
          <w:bCs/>
          <w:sz w:val="22"/>
          <w:lang w:val="en-US"/>
        </w:rPr>
        <w:t xml:space="preserve"> might be directed. Cash waqf is the philanthropic contribution of little sums of money made on behalf of the donor to a waqf institution to carry out a social mission for the benefit of the general population. Cash waqf also has no minimum amount.</w:t>
      </w:r>
    </w:p>
    <w:p w14:paraId="0EC0BF1C" w14:textId="44C4E694" w:rsidR="0051715D" w:rsidRPr="00BF0936" w:rsidRDefault="00EF1B06"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In the present digital age, digitalization has made it convenient and easy to contribute to cash waqf, thereby addressing the challenges </w:t>
      </w:r>
      <w:r w:rsidR="00C02080" w:rsidRPr="00BF0936">
        <w:rPr>
          <w:rFonts w:ascii="Times New Roman" w:eastAsia="Palatino Linotype" w:hAnsi="Times New Roman" w:cs="Times New Roman"/>
          <w:bCs/>
          <w:sz w:val="22"/>
          <w:lang w:val="en-US"/>
        </w:rPr>
        <w:t xml:space="preserve">Muslim </w:t>
      </w:r>
      <w:r w:rsidR="00E67920" w:rsidRPr="00BF0936">
        <w:rPr>
          <w:rFonts w:ascii="Times New Roman" w:eastAsia="Palatino Linotype" w:hAnsi="Times New Roman" w:cs="Times New Roman"/>
          <w:bCs/>
          <w:sz w:val="22"/>
          <w:lang w:val="en-US"/>
        </w:rPr>
        <w:t xml:space="preserve">social </w:t>
      </w:r>
      <w:r w:rsidR="00C02080" w:rsidRPr="00BF0936">
        <w:rPr>
          <w:rFonts w:ascii="Times New Roman" w:eastAsia="Palatino Linotype" w:hAnsi="Times New Roman" w:cs="Times New Roman"/>
          <w:bCs/>
          <w:sz w:val="22"/>
          <w:lang w:val="en-US"/>
        </w:rPr>
        <w:t>ent</w:t>
      </w:r>
      <w:r w:rsidR="00E67920" w:rsidRPr="00BF0936">
        <w:rPr>
          <w:rFonts w:ascii="Times New Roman" w:eastAsia="Palatino Linotype" w:hAnsi="Times New Roman" w:cs="Times New Roman"/>
          <w:bCs/>
          <w:sz w:val="22"/>
          <w:lang w:val="en-US"/>
        </w:rPr>
        <w:t>erprises</w:t>
      </w:r>
      <w:r w:rsidR="00C02080" w:rsidRPr="00BF0936">
        <w:rPr>
          <w:rFonts w:ascii="Times New Roman" w:eastAsia="Palatino Linotype" w:hAnsi="Times New Roman" w:cs="Times New Roman"/>
          <w:bCs/>
          <w:sz w:val="22"/>
          <w:lang w:val="en-US"/>
        </w:rPr>
        <w:t xml:space="preserve"> face</w:t>
      </w:r>
      <w:r w:rsidRPr="00BF0936">
        <w:rPr>
          <w:rFonts w:ascii="Times New Roman" w:eastAsia="Palatino Linotype" w:hAnsi="Times New Roman" w:cs="Times New Roman"/>
          <w:bCs/>
          <w:sz w:val="22"/>
          <w:lang w:val="en-US"/>
        </w:rPr>
        <w:t xml:space="preserve"> in fulfilling their social responsibility. Previous scholars have highlighted issues such as limited resources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{"citationID":"QANlHUU6","properties":{"formattedCitation":"(Bielawska, 2022)","plainCitation":"(Bielawska, 2022)","noteIndex":0},"citationItems":[{"id":4951,"uris":["http://zotero.org/users/11920205/items/P8NMRZQP"],"itemData":{"id":4951,"type":"article-journal","abstract":"As a research hypothesis, it was assumed that micro-, small-, and medium-sized enterprise SMEs undertake Corporate Social Responsibility (CSR) mainly guided by the benefits obtainable from this activity. The aim of the study was to identify the achievable and achieved benefits of undertaking CSR by SME enterprises. SMEs are not obliged to report this activity. The exploration included literature studies and empirical research, according to the expert method, in three stages: (1) selection of experts, (2) collection of information using the CAWI and CATI method, (3) development and interpretation of research results. Research has indicated that CSR is becoming closer to SMEs. The research has shown that experts are implementing CSR and gaining benefits from it. It has also shown that experts’ knowledge of CSR is insufficient, which results in many opportunities resulting from the implementation of this activity being overlooked. The European Commission (EC) guidelines introduced an obligation of reporting CSR only for listed companies; indirectly, this obligation will also affect other companies. Voluntary reporting will increase the knowledge of CSR and bring many benefits to SMEs, provided that a legal framework is created to facilitate the implementation of CSR and its reporting.","container-title":"Sustainability","DOI":"10.3390/su14159603","ISSN":"2071-1050","issue":"15","language":"en","license":"http://creativecommons.org/licenses/by/3.0/","note":"number: 15\npublisher: Multidisciplinary Digital Publishing Institute","page":"9603","source":"www.mdpi.com","title":"Socially Responsible Activity of Micro-, Small-, and Medium-Sized Enterprises—Benefits for the Enterprise","volume":"14","author":[{"family":"Bielawska","given":"Aurelia"}],"issued":{"date-parts":[["2022",1]]}}}],"schema":"https://github.com/citation-style-language/schema/raw/master/csl-citation.json"}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(Bielawska, 2022)</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lack of expertise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{"citationID":"c45k5hzF","properties":{"formattedCitation":"(Zou et al., 2021)","plainCitation":"(Zou et al., 2021)","noteIndex":0},"citationItems":[{"id":4957,"uris":["http://zotero.org/users/11920205/items/NEB2XMA5"],"itemData":{"id":4957,"type":"article-journal","abstract":"The topic of corporate social responsibility (henceforth referred to as CSR) has been a central topic during the last decade, but the majority of the existing literature discusses CSR relationship with large organizations. Whereas, its contribution in small and medium enterprises (henceforth referred to as SME) sector has received little attention. There have been some studies that focused on CSR activities in SME sector quantitatively in the context of developing economies like Pakistan, but the fact is, to date, SME sector of Pakistan is not participating actively in CSR-related activities due to some constraints. The present study is a pioneer attempt, to explore CSR barriers that restrict SME sector of Pakistan from practicing CSR initiatives. For this reason, the present study explores these barriers qualitatively in order to gain in-depth knowledge of different CSR barriers. In doing so, we conducted semi-structured in-depth interviews from 9 SMEs in Lahore city of Pakistan. We performed thematic analysis, which produced five relevant themes of CSR barriers, including: Lack of resources, lack of regulations, lack of top management commitment, lack of CSR knowledge, and passive customer behavior. Our analysis further showed that lack of resources is the most related barrier that hinder SMEs to be engaged in CSR activities. This paper contributes to CSR literature in emerging economies’ context. Through an increased awareness of barriers, policy makers and practitioners may take necessary steps to improve CSR practices in SMEs.","container-title":"Sustainability","DOI":"10.3390/su13020952","ISSN":"2071-1050","issue":"2","language":"en","license":"http://creativecommons.org/licenses/by/3.0/","note":"number: 2\npublisher: Multidisciplinary Digital Publishing Institute","page":"952","source":"www.mdpi.com","title":"What Prompts Small and Medium Enterprises to Implement CSR? A Qualitative Insight from an Emerging Economy","title-short":"What Prompts Small and Medium Enterprises to Implement CSR?","volume":"13","author":[{"family":"Zou","given":"Zengming"},{"family":"Liu","given":"Yu"},{"family":"Ahmad","given":"Naveed"},{"family":"Sial","given":"Muhammad Safdar"},{"family":"Badulescu","given":"Alina"},{"family":"Zia-Ud-Din","given":"Malik"},{"family":"Badulescu","given":"Daniel"}],"issued":{"date-parts":[["2021",1]]}}}],"schema":"https://github.com/citation-style-language/schema/raw/master/csl-citation.json"}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(Zou et al., 2021)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and the complexity of the practice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{"citationID":"T7IYORW0","properties":{"formattedCitation":"(De Kok &amp; Uhlaner, 2001)","plainCitation":"(De Kok &amp; Uhlaner, 2001)","noteIndex":0},"citationItems":[{"id":1632,"uris":["http://zotero.org/users/11920205/items/AVHMLLWX"],"itemData":{"id":1632,"type":"article-journal","container-title":"Small Business Economics","issue":"17","page":"273-291","title":"Organization context and human resource management in the small firm","author":[{"family":"De Kok","given":"J"},{"family":"Uhlaner","given":"L. M"}],"issued":{"date-parts":[["2001"]]}}}],"schema":"https://github.com/citation-style-language/schema/raw/master/csl-citation.json"}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(De Kok &amp; Uhlaner, 2001)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which can be eliminated through the </w:t>
      </w:r>
      <w:proofErr w:type="spellStart"/>
      <w:r w:rsidRPr="00BF0936">
        <w:rPr>
          <w:rFonts w:ascii="Times New Roman" w:eastAsia="Palatino Linotype" w:hAnsi="Times New Roman" w:cs="Times New Roman"/>
          <w:bCs/>
          <w:sz w:val="22"/>
          <w:lang w:val="en-US"/>
        </w:rPr>
        <w:t>utilisation</w:t>
      </w:r>
      <w:proofErr w:type="spellEnd"/>
      <w:r w:rsidRPr="00BF0936">
        <w:rPr>
          <w:rFonts w:ascii="Times New Roman" w:eastAsia="Palatino Linotype" w:hAnsi="Times New Roman" w:cs="Times New Roman"/>
          <w:bCs/>
          <w:sz w:val="22"/>
          <w:lang w:val="en-US"/>
        </w:rPr>
        <w:t xml:space="preserve"> of digitalization. The advent of technology has </w:t>
      </w:r>
      <w:proofErr w:type="spellStart"/>
      <w:r w:rsidRPr="00BF0936">
        <w:rPr>
          <w:rFonts w:ascii="Times New Roman" w:eastAsia="Palatino Linotype" w:hAnsi="Times New Roman" w:cs="Times New Roman"/>
          <w:bCs/>
          <w:sz w:val="22"/>
          <w:lang w:val="en-US"/>
        </w:rPr>
        <w:t>revolutionised</w:t>
      </w:r>
      <w:proofErr w:type="spellEnd"/>
      <w:r w:rsidRPr="00BF0936">
        <w:rPr>
          <w:rFonts w:ascii="Times New Roman" w:eastAsia="Palatino Linotype" w:hAnsi="Times New Roman" w:cs="Times New Roman"/>
          <w:bCs/>
          <w:sz w:val="22"/>
          <w:lang w:val="en-US"/>
        </w:rPr>
        <w:t xml:space="preserve"> the methods by which individuals contribute to charitable causes, hence enabling the collecting of waqf monies from the community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{"citationID":"0dwoFpXg","properties":{"formattedCitation":"(Bonang et al., 2024)","plainCitation":"(Bonang et al., 2024)","noteIndex":0},"citationItems":[{"id":4953,"uris":["http://zotero.org/users/11920205/items/AK5WQ7Q7"],"itemData":{"id":4953,"type":"article-journal","abstract":"Purpose — This research explores the dimensions of perceived iḥsān (altruism) and trust, utilising a framework rooted in the Unified Theory of Acceptance and Use of Technology (UTAUT), to comprehensively explore the intricate motivations and ethical considerations underlying individuals’ engagement with digital waqf platforms.\nDesign/Methodology/Approach — Structural Equation Modeling (SEM) was applied to analyse primary data collected from 202 Muslims residing in four cities in Indonesia.\nFindings ­— The investigation unveiled that performance expectancy, social influence and perceived iḥsān significantly impact the intention of digital waqf usage. On the other hand, trust affects a person’s intention, shaping their behaviour to donate through digital waqf platforms. In contrast, effort expectancy does not affect the intention to engage in waqf through digital channels, and facilitating condition do not affect user behaviour.\nOriginality/Value — This study introduces a novel approach by incorporating perceived iḥsān and trust dimensions into the UTAUT model to achieve the objective of this research. In particular, it offers unique insights into the disbursement of cash waqf among Muslims via digital platforms (e.g., online channels).\nPractical Implications — The study emphasises that individuals from the low middle-class demonstrate empathy and mutual support in the face of financial limitations. The article offers valuable recommendations to the government, aligning with Indonesia’s Golden 2045 goal. These recommendations encompass the implementation of advanced digitisation in waqf management, integration of waqf data into robust financial management systems, and intensified educational campaigns aimed at raising public awareness on cash waqf, particularly among the younger generation.","container-title":"ISRA International Journal of Islamic Finance","DOI":"10.55188/ijif.v16iS1.586","ISSN":"2289-4365","issue":"S1","language":"en","license":"Copyright (c) 2024 ISRA International Journal of Islamic Finance","note":"number: S1","page":"94-117","source":"journal.inceif.edu.my","title":"Empowering the Future of Cash Waqf through Digitalisation: An Insight into the Philanthropic Intention of the Indonesian Muslim Community","title-short":"Empowering the Future of Cash Waqf through Digitalisation","volume":"16","author":[{"family":"Bonang","given":"Dahlia"},{"family":"Ismail","given":"Shafinar"},{"family":"Sukmana","given":"Raditya"}],"issued":{"date-parts":[["2024",5,6]]}}}],"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(Bonang et al., 2024)</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w:t>
      </w:r>
    </w:p>
    <w:p w14:paraId="08D2D81A" w14:textId="50395E86" w:rsidR="00D61C93" w:rsidRPr="00BF0936" w:rsidRDefault="00D92434"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Despite</w:t>
      </w:r>
      <w:r w:rsidR="0076229B" w:rsidRPr="00BF0936">
        <w:rPr>
          <w:rFonts w:ascii="Times New Roman" w:eastAsia="Palatino Linotype" w:hAnsi="Times New Roman" w:cs="Times New Roman"/>
          <w:bCs/>
          <w:sz w:val="22"/>
          <w:lang w:val="en-US"/>
        </w:rPr>
        <w:t xml:space="preserve"> that, there is still little research on the digital waqf mechanism in promoting CSWR</w:t>
      </w:r>
      <w:r w:rsidRPr="00BF0936">
        <w:rPr>
          <w:rFonts w:ascii="Times New Roman" w:eastAsia="Palatino Linotype" w:hAnsi="Times New Roman" w:cs="Times New Roman"/>
          <w:bCs/>
          <w:sz w:val="22"/>
          <w:lang w:val="en-US"/>
        </w:rPr>
        <w:t>,</w:t>
      </w:r>
      <w:r w:rsidR="0076229B" w:rsidRPr="00BF0936">
        <w:rPr>
          <w:rFonts w:ascii="Times New Roman" w:eastAsia="Palatino Linotype" w:hAnsi="Times New Roman" w:cs="Times New Roman"/>
          <w:bCs/>
          <w:sz w:val="22"/>
          <w:lang w:val="en-US"/>
        </w:rPr>
        <w:t xml:space="preserve"> and it does not consider the ME </w:t>
      </w:r>
      <w:r w:rsidR="00F31CF0" w:rsidRPr="00BF0936">
        <w:rPr>
          <w:rFonts w:ascii="Times New Roman" w:eastAsia="Palatino Linotype" w:hAnsi="Times New Roman" w:cs="Times New Roman"/>
          <w:bCs/>
          <w:sz w:val="22"/>
          <w:lang w:val="en-US"/>
        </w:rPr>
        <w:t>context.</w:t>
      </w:r>
      <w:r w:rsidR="0076229B" w:rsidRPr="00BF0936">
        <w:rPr>
          <w:rFonts w:ascii="Times New Roman" w:eastAsia="Palatino Linotype" w:hAnsi="Times New Roman" w:cs="Times New Roman"/>
          <w:bCs/>
          <w:sz w:val="22"/>
          <w:lang w:val="en-US"/>
        </w:rPr>
        <w:t xml:space="preserve"> Most concentrate on the Muslim community's charitable intentions </w:t>
      </w:r>
      <w:r w:rsidR="0076229B" w:rsidRPr="00BF0936">
        <w:rPr>
          <w:rFonts w:ascii="Times New Roman" w:eastAsia="Palatino Linotype" w:hAnsi="Times New Roman" w:cs="Times New Roman"/>
          <w:bCs/>
          <w:sz w:val="22"/>
          <w:lang w:val="en-US"/>
        </w:rPr>
        <w:fldChar w:fldCharType="begin"/>
      </w:r>
      <w:r w:rsidR="0076229B" w:rsidRPr="00BF0936">
        <w:rPr>
          <w:rFonts w:ascii="Times New Roman" w:eastAsia="Palatino Linotype" w:hAnsi="Times New Roman" w:cs="Times New Roman"/>
          <w:bCs/>
          <w:sz w:val="22"/>
          <w:lang w:val="en-US"/>
        </w:rPr>
        <w:instrText xml:space="preserve"> ADDIN ZOTERO_ITEM CSL_CITATION {"citationID":"pdr3eDsp","properties":{"formattedCitation":"(Asyari et al., 2024; Bonang et al., 2024)","plainCitation":"(Asyari et al., 2024; Bonang et al., 2024)","noteIndex":0},"citationItems":[{"id":4959,"uris":["http://zotero.org/users/11920205/items/BFYHT4CK"],"itemData":{"id":4959,"type":"article-journal","abstract":"Purpose This study aims to explore the determinants that impact state Islamic University/Perguruan Tinggi Keagamaan Islam Negeri students’ intention to adopt online cash waqfs. In doing so, this study integrates knowledge of cash waqf and trust variables within the theory of planned behavior (TPB), allowing an examination of the mediating role of TPB variables and trust within the relationship between knowledge of cash waqf and intention for online cash waqf behavior.Design/methodology/approach To carry out an empirical analysis, the authors developed a well-structured questionnaire and distributed it to a group of students currently enrolled in PTKIN, obtaining 443 usable responses. The partial least squares-structural equation modeling (PLS-SEM) technique was used for the dual purposes of data analysis and hypothesis testing.Findings This study demonstrates that factors such as attitude, subjective norms, perceived behavioral control, trust and knowledge of cash waqf have a significant and favorable influence on the intention to donate through e-cash waqf. Knowledge of cash waqf impacts attitudes, subjective norms, perceived behavioral control and trust. The final analysis shows that attitude, subjective norms, perceived behavioral control and trust partially mediate the relationship between knowledge and intention in the online cash waqf context.Practical implications The aforementioned elucidates the paramount importance of trust in shaping individuals’ tendencies to engage in cash waqfs. The insights mentioned have the potential to be used by cash waqf establishments to promote transparency and accountability, ultimately bolstering the confidence of potential donors.Originality/value The concepts of waqf and the use of online cash waqf as a means of donation in developing countries are relatively new. In this study, the intention of students to adopt online cash waqf was predicted for the first time by considering their knowledge of cash waqf and their trust in online cash waqf transactions.","container-title":"Journal of Islamic Marketing","DOI":"10.1108/JIMA-07-2023-0224","ISSN":"1759-0833","issue":"ahead-of-print","source":"Emerald Insight","title":"Online cash waqf behavioral intention: the role of knowledge of cash waqf and trust","title-short":"Online cash waqf behavioral intention","URL":"https://doi.org/10.1108/JIMA-07-2023-0224","volume":"ahead-of-print","author":[{"family":"Asyari","given":"Asyari"},{"family":"Hoque","given":"Mohammad Enamul"},{"family":"Susanto","given":"Perengki"},{"family":"Begum","given":"Halima"},{"family":"Awaluddin","given":"Awaluddin"},{"family":"Marwan","given":"Marwan"},{"family":"Mamun","given":"Abdullah Al"}],"accessed":{"date-parts":[["2024",5,22]]},"issued":{"date-parts":[["2024",1,1]]}}},{"id":4953,"uris":["http://zotero.org/users/11920205/items/AK5WQ7Q7"],"itemData":{"id":4953,"type":"article-journal","abstract":"Purpose — This research explores the dimensions of perceived iḥsān (altruism) and trust, utilising a framework rooted in the Unified Theory of Acceptance and Use of Technology (UTAUT), to comprehensively explore the intricate motivations and ethical considerations underlying individuals’ engagement with digital waqf platforms.\nDesign/Methodology/Approach — Structural Equation Modeling (SEM) was applied to analyse primary data collected from 202 Muslims residing in four cities in Indonesia.\nFindings ­— The investigation unveiled that performance expectancy, social influence and perceived iḥsān significantly impact the intention of digital waqf usage. On the other hand, trust affects a person’s intention, shaping their behaviour to donate through digital waqf platforms. In contrast, effort expectancy does not affect the intention to engage in waqf through digital channels, and facilitating condition do not affect user behaviour.\nOriginality/Value — This study introduces a novel approach by incorporating perceived iḥsān and trust dimensions into the UTAUT model to achieve the objective of this research. In particular, it offers unique insights into the disbursement of cash waqf among Muslims via digital platforms (e.g., online channels).\nPractical Implications — The study emphasises that individuals from the low middle-class demonstrate empathy and mutual support in the face of financial limitations. The article offers valuable recommendations to the government, aligning with Indonesia’s Golden 2045 goal. These recommendations encompass the implementation of advanced digitisation in waqf management, integration of waqf data into robust financial management systems, and intensified educational campaigns aimed at raising public awareness on cash waqf, particularly among the younger generation.","container-title":"ISRA International Journal of Islamic Finance","DOI":"10.55188/ijif.v16iS1.586","ISSN":"2289-4365","issue":"S1","language":"en","license":"Copyright (c) 2024 ISRA International Journal of Islamic Finance","note":"number: S1","page":"94-117","source":"journal.inceif.edu.my","title":"Empowering the Future of Cash Waqf through Digitalisation: An Insight into the Philanthropic Intention of the Indonesian Muslim Community","title-short":"Empowering the Future of Cash Waqf through Digitalisation","volume":"16","author":[{"family":"Bonang","given":"Dahlia"},{"family":"Ismail","given":"Shafinar"},{"family":"Sukmana","given":"Raditya"}],"issued":{"date-parts":[["2024",5,6]]}}}],"schema":"https://github.com/citation-style-language/schema/raw/master/csl-citation.json"} </w:instrText>
      </w:r>
      <w:r w:rsidR="0076229B"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(Asyari et al., 2024; Bonang et al., 2024)</w:t>
      </w:r>
      <w:r w:rsidR="0076229B" w:rsidRPr="00BF0936">
        <w:rPr>
          <w:rFonts w:ascii="Times New Roman" w:eastAsia="Palatino Linotype" w:hAnsi="Times New Roman" w:cs="Times New Roman"/>
          <w:bCs/>
          <w:sz w:val="22"/>
          <w:lang w:val="en-US"/>
        </w:rPr>
        <w:fldChar w:fldCharType="end"/>
      </w:r>
      <w:r w:rsidR="0076229B" w:rsidRPr="00BF0936">
        <w:rPr>
          <w:rFonts w:ascii="Times New Roman" w:eastAsia="Palatino Linotype" w:hAnsi="Times New Roman" w:cs="Times New Roman"/>
          <w:bCs/>
          <w:sz w:val="22"/>
          <w:lang w:val="en-US"/>
        </w:rPr>
        <w:t xml:space="preserve">. </w:t>
      </w:r>
      <w:r w:rsidR="00A64695" w:rsidRPr="00BF0936">
        <w:rPr>
          <w:rFonts w:ascii="Times New Roman" w:eastAsia="Palatino Linotype" w:hAnsi="Times New Roman" w:cs="Times New Roman"/>
          <w:bCs/>
          <w:sz w:val="22"/>
          <w:lang w:val="en-US"/>
        </w:rPr>
        <w:t>Th</w:t>
      </w:r>
      <w:r w:rsidR="00C02080" w:rsidRPr="00BF0936">
        <w:rPr>
          <w:rFonts w:ascii="Times New Roman" w:eastAsia="Palatino Linotype" w:hAnsi="Times New Roman" w:cs="Times New Roman"/>
          <w:bCs/>
          <w:sz w:val="22"/>
          <w:lang w:val="en-US"/>
        </w:rPr>
        <w:t>e primary goal of this study</w:t>
      </w:r>
      <w:r w:rsidR="00A64695" w:rsidRPr="00BF0936">
        <w:rPr>
          <w:rFonts w:ascii="Times New Roman" w:eastAsia="Palatino Linotype" w:hAnsi="Times New Roman" w:cs="Times New Roman"/>
          <w:bCs/>
          <w:sz w:val="22"/>
          <w:lang w:val="en-US"/>
        </w:rPr>
        <w:t xml:space="preserve"> is to </w:t>
      </w:r>
      <w:r w:rsidRPr="00BF0936">
        <w:rPr>
          <w:rFonts w:ascii="Times New Roman" w:eastAsia="Palatino Linotype" w:hAnsi="Times New Roman" w:cs="Times New Roman"/>
          <w:bCs/>
          <w:sz w:val="22"/>
          <w:lang w:val="en-US"/>
        </w:rPr>
        <w:t>examine</w:t>
      </w:r>
      <w:r w:rsidR="00A64695" w:rsidRPr="00BF0936">
        <w:rPr>
          <w:rFonts w:ascii="Times New Roman" w:eastAsia="Palatino Linotype" w:hAnsi="Times New Roman" w:cs="Times New Roman"/>
          <w:bCs/>
          <w:sz w:val="22"/>
          <w:lang w:val="en-US"/>
        </w:rPr>
        <w:t xml:space="preserve"> how social microenterprises' </w:t>
      </w:r>
      <w:proofErr w:type="spellStart"/>
      <w:r w:rsidR="00A64695" w:rsidRPr="00BF0936">
        <w:rPr>
          <w:rFonts w:ascii="Times New Roman" w:eastAsia="Palatino Linotype" w:hAnsi="Times New Roman" w:cs="Times New Roman"/>
          <w:bCs/>
          <w:sz w:val="22"/>
          <w:lang w:val="en-US"/>
        </w:rPr>
        <w:t>behavioural</w:t>
      </w:r>
      <w:proofErr w:type="spellEnd"/>
      <w:r w:rsidR="00A64695" w:rsidRPr="00BF0936">
        <w:rPr>
          <w:rFonts w:ascii="Times New Roman" w:eastAsia="Palatino Linotype" w:hAnsi="Times New Roman" w:cs="Times New Roman"/>
          <w:bCs/>
          <w:sz w:val="22"/>
          <w:lang w:val="en-US"/>
        </w:rPr>
        <w:t xml:space="preserve"> acceptance of digital waqf contributes to CSWR. </w:t>
      </w:r>
      <w:r w:rsidR="0076229B" w:rsidRPr="00BF0936">
        <w:rPr>
          <w:rFonts w:ascii="Times New Roman" w:eastAsia="Palatino Linotype" w:hAnsi="Times New Roman" w:cs="Times New Roman"/>
          <w:bCs/>
          <w:sz w:val="22"/>
          <w:lang w:val="en-US"/>
        </w:rPr>
        <w:t xml:space="preserve">Furthermore, no research has yet been conducted to </w:t>
      </w:r>
      <w:r w:rsidRPr="00BF0936">
        <w:rPr>
          <w:rFonts w:ascii="Times New Roman" w:eastAsia="Palatino Linotype" w:hAnsi="Times New Roman" w:cs="Times New Roman"/>
          <w:bCs/>
          <w:sz w:val="22"/>
          <w:lang w:val="en-US"/>
        </w:rPr>
        <w:t>thorough</w:t>
      </w:r>
      <w:r w:rsidR="0076229B" w:rsidRPr="00BF0936">
        <w:rPr>
          <w:rFonts w:ascii="Times New Roman" w:eastAsia="Palatino Linotype" w:hAnsi="Times New Roman" w:cs="Times New Roman"/>
          <w:bCs/>
          <w:sz w:val="22"/>
          <w:lang w:val="en-US"/>
        </w:rPr>
        <w:t xml:space="preserve">ly investigate the phenomena of cash waqf usage as social responsibility or to determine the reasons behind </w:t>
      </w:r>
      <w:r w:rsidR="007C093F" w:rsidRPr="00BF0936">
        <w:rPr>
          <w:rFonts w:ascii="Times New Roman" w:eastAsia="Palatino Linotype" w:hAnsi="Times New Roman" w:cs="Times New Roman"/>
          <w:bCs/>
          <w:sz w:val="22"/>
          <w:lang w:val="en-US"/>
        </w:rPr>
        <w:t>social-enterprises</w:t>
      </w:r>
      <w:r w:rsidRPr="00BF0936">
        <w:rPr>
          <w:rFonts w:ascii="Times New Roman" w:eastAsia="Palatino Linotype" w:hAnsi="Times New Roman" w:cs="Times New Roman"/>
          <w:bCs/>
          <w:sz w:val="22"/>
          <w:lang w:val="en-US"/>
        </w:rPr>
        <w:t xml:space="preserve"> motivation</w:t>
      </w:r>
      <w:r w:rsidR="0076229B" w:rsidRPr="00BF0936">
        <w:rPr>
          <w:rFonts w:ascii="Times New Roman" w:eastAsia="Palatino Linotype" w:hAnsi="Times New Roman" w:cs="Times New Roman"/>
          <w:bCs/>
          <w:sz w:val="22"/>
          <w:lang w:val="en-US"/>
        </w:rPr>
        <w:t xml:space="preserve"> to use it for social contribution. Building a waqf ecosystem to increase literacy and ME on digital waqf among Muslim countries will surely benefit from this research as a stepping stone for waqf management </w:t>
      </w:r>
      <w:proofErr w:type="spellStart"/>
      <w:r w:rsidR="0076229B" w:rsidRPr="00BF0936">
        <w:rPr>
          <w:rFonts w:ascii="Times New Roman" w:eastAsia="Palatino Linotype" w:hAnsi="Times New Roman" w:cs="Times New Roman"/>
          <w:bCs/>
          <w:sz w:val="22"/>
          <w:lang w:val="en-US"/>
        </w:rPr>
        <w:t>organisations</w:t>
      </w:r>
      <w:proofErr w:type="spellEnd"/>
      <w:r w:rsidR="0076229B" w:rsidRPr="00BF0936">
        <w:rPr>
          <w:rFonts w:ascii="Times New Roman" w:eastAsia="Palatino Linotype" w:hAnsi="Times New Roman" w:cs="Times New Roman"/>
          <w:bCs/>
          <w:sz w:val="22"/>
          <w:lang w:val="en-US"/>
        </w:rPr>
        <w:t xml:space="preserve"> to create strategies and formulate policy objectives. Moreover, filling the gap in the literature on digital cash waqf management, this study offers </w:t>
      </w:r>
      <w:r w:rsidRPr="00BF0936">
        <w:rPr>
          <w:rFonts w:ascii="Times New Roman" w:eastAsia="Palatino Linotype" w:hAnsi="Times New Roman" w:cs="Times New Roman"/>
          <w:bCs/>
          <w:sz w:val="22"/>
          <w:lang w:val="en-US"/>
        </w:rPr>
        <w:t xml:space="preserve">an </w:t>
      </w:r>
      <w:r w:rsidR="0076229B" w:rsidRPr="00BF0936">
        <w:rPr>
          <w:rFonts w:ascii="Times New Roman" w:eastAsia="Palatino Linotype" w:hAnsi="Times New Roman" w:cs="Times New Roman"/>
          <w:bCs/>
          <w:sz w:val="22"/>
          <w:lang w:val="en-US"/>
        </w:rPr>
        <w:t>in-depth qualitative analysis.</w:t>
      </w:r>
    </w:p>
    <w:p w14:paraId="55551419" w14:textId="3EED91E4" w:rsidR="00371CBF" w:rsidRPr="00BF0936" w:rsidRDefault="00602183"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lastRenderedPageBreak/>
        <w:t xml:space="preserve">This paper is arranged in the following manner: the subsequent section offers a comprehensive analysis of the existing literature on cash waqf as a form of social responsibility, explores digitalizing cash waqf, and </w:t>
      </w:r>
      <w:proofErr w:type="spellStart"/>
      <w:r w:rsidR="00D92434" w:rsidRPr="00BF0936">
        <w:rPr>
          <w:rFonts w:ascii="Times New Roman" w:eastAsia="Palatino Linotype" w:hAnsi="Times New Roman" w:cs="Times New Roman"/>
          <w:bCs/>
          <w:sz w:val="22"/>
          <w:lang w:val="en-US"/>
        </w:rPr>
        <w:t>summarises</w:t>
      </w:r>
      <w:proofErr w:type="spellEnd"/>
      <w:r w:rsidRPr="00BF0936">
        <w:rPr>
          <w:rFonts w:ascii="Times New Roman" w:eastAsia="Palatino Linotype" w:hAnsi="Times New Roman" w:cs="Times New Roman"/>
          <w:bCs/>
          <w:sz w:val="22"/>
          <w:lang w:val="en-US"/>
        </w:rPr>
        <w:t xml:space="preserve"> the theories </w:t>
      </w:r>
      <w:proofErr w:type="spellStart"/>
      <w:r w:rsidRPr="00BF0936">
        <w:rPr>
          <w:rFonts w:ascii="Times New Roman" w:eastAsia="Palatino Linotype" w:hAnsi="Times New Roman" w:cs="Times New Roman"/>
          <w:bCs/>
          <w:sz w:val="22"/>
          <w:lang w:val="en-US"/>
        </w:rPr>
        <w:t>utilised</w:t>
      </w:r>
      <w:proofErr w:type="spellEnd"/>
      <w:r w:rsidRPr="00BF0936">
        <w:rPr>
          <w:rFonts w:ascii="Times New Roman" w:eastAsia="Palatino Linotype" w:hAnsi="Times New Roman" w:cs="Times New Roman"/>
          <w:bCs/>
          <w:sz w:val="22"/>
          <w:lang w:val="en-US"/>
        </w:rPr>
        <w:t xml:space="preserve"> in this study. The methodology section encompasses the research approach and design. Subsequently, the results are presented and </w:t>
      </w:r>
      <w:proofErr w:type="spellStart"/>
      <w:r w:rsidRPr="00BF0936">
        <w:rPr>
          <w:rFonts w:ascii="Times New Roman" w:eastAsia="Palatino Linotype" w:hAnsi="Times New Roman" w:cs="Times New Roman"/>
          <w:bCs/>
          <w:sz w:val="22"/>
          <w:lang w:val="en-US"/>
        </w:rPr>
        <w:t>analysed</w:t>
      </w:r>
      <w:proofErr w:type="spellEnd"/>
      <w:r w:rsidRPr="00BF0936">
        <w:rPr>
          <w:rFonts w:ascii="Times New Roman" w:eastAsia="Palatino Linotype" w:hAnsi="Times New Roman" w:cs="Times New Roman"/>
          <w:bCs/>
          <w:sz w:val="22"/>
          <w:lang w:val="en-US"/>
        </w:rPr>
        <w:t>. The final section serves as the paper's concluding part.</w:t>
      </w:r>
    </w:p>
    <w:p w14:paraId="6E6B301A" w14:textId="77777777" w:rsidR="0076229B" w:rsidRPr="00BF0936" w:rsidRDefault="0076229B" w:rsidP="00292EAF">
      <w:pPr>
        <w:spacing w:after="0" w:line="240" w:lineRule="auto"/>
        <w:jc w:val="both"/>
        <w:rPr>
          <w:rFonts w:ascii="Times New Roman" w:eastAsia="Palatino Linotype" w:hAnsi="Times New Roman" w:cs="Times New Roman"/>
          <w:bCs/>
          <w:sz w:val="22"/>
          <w:lang w:val="en-US"/>
        </w:rPr>
      </w:pPr>
    </w:p>
    <w:p w14:paraId="3EAF0DAA" w14:textId="77777777" w:rsidR="00C2416F" w:rsidRPr="00BF0936" w:rsidRDefault="00C2416F"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II. LITERATURE REVIEW</w:t>
      </w:r>
    </w:p>
    <w:p w14:paraId="6CBE0BAE" w14:textId="4E8ABCE9" w:rsidR="00A64695" w:rsidRPr="00BF0936" w:rsidRDefault="00F31375"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 xml:space="preserve">2.1. </w:t>
      </w:r>
      <w:r w:rsidR="00A64695" w:rsidRPr="00BF0936">
        <w:rPr>
          <w:rFonts w:ascii="Times New Roman" w:eastAsia="Palatino Linotype" w:hAnsi="Times New Roman" w:cs="Times New Roman"/>
          <w:b/>
          <w:sz w:val="22"/>
          <w:lang w:val="en-US"/>
        </w:rPr>
        <w:t>Cash Waqf Social Responsibility</w:t>
      </w:r>
    </w:p>
    <w:p w14:paraId="08EC2217" w14:textId="527DE7F4" w:rsidR="00FD7D3C" w:rsidRPr="00BF0936" w:rsidRDefault="00F31375"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Cash waqf social responsibility (CWSR) is a phrase used to describe the use of cash</w:t>
      </w:r>
      <w:r w:rsidR="005A0F56" w:rsidRPr="00BF0936">
        <w:rPr>
          <w:rFonts w:ascii="Times New Roman" w:eastAsia="Palatino Linotype" w:hAnsi="Times New Roman" w:cs="Times New Roman"/>
          <w:bCs/>
          <w:sz w:val="22"/>
          <w:lang w:val="en-US"/>
        </w:rPr>
        <w:t xml:space="preserve"> </w:t>
      </w:r>
      <w:r w:rsidRPr="00BF0936">
        <w:rPr>
          <w:rFonts w:ascii="Times New Roman" w:eastAsia="Palatino Linotype" w:hAnsi="Times New Roman" w:cs="Times New Roman"/>
          <w:bCs/>
          <w:sz w:val="22"/>
          <w:lang w:val="en-US"/>
        </w:rPr>
        <w:t xml:space="preserve">waqf as a tool for social responsibility by Muslim businesses. Waqf is a fundamental institution in Islam. It is an integral aspect of the Islamic faith, as it is a continuous practice done for the sake of God and fueled by the prevailing spirit of selflessness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{"citationID":"S2fB3Z7Y","properties":{"formattedCitation":"(Awalluddin, 2023)","plainCitation":"(Awalluddin, 2023)","noteIndex":0},"citationItems":[{"id":1,"uris":["http://zotero.org/users/11920205/items/6TXKNY9F"],"itemData":{"id":1,"type":"article-journal","abstract":"The cost of education has increased, while the government can no longer spend money on education development. In some Muslim countries, education access and opportunities for Muslims remain prolonged. Though Islam prioritizes education advancement for its followers, education attainment among Muslims is disappointing. Scholars and researchers have proposed using the waqf concept for education development in light of potential future scenarios in the current education sector to ensure more affordable and sustainable education for Muslims. Therefore, this study explores the roles of waqf in educational development by applying qualitative content analysis using past studies as references. The study discovered that waqf plays a significant role in supporting three costs of educational development: institution establishment cost, institution operational cost, and institution admission and enrollment cost. These three costs have been proven to be solved with the waqf instrument. It can be applied to all scales of educational institutions. With that, the study contributes to minimizing the gaps in the previous literature and introduces organized roles of waqf in educational development for authorities and relevant parties’ understanding.","container-title":"FITRAH: Jurnal Kajian Ilmu-ilmu Keislaman","DOI":"10.24952/fitrah.v9i1.7381","ISSN":"2460-2345","issue":"1","language":"en","license":"Copyright (c) 2023 Muhammad Aiman Awalluddin","note":"number: 1\npublisher: IAIN Padangsidimpuan","source":"jurnal.iain-padangsidimpuan.ac.id","title":"Exploring the Role of Waqf Instrument in Supporting Educational Development: A Qualitative Content Analysis","title-short":"Exploring the Role of Waqf Instrument in Supporting Educational Development","URL":"http://jurnal.iain-padangsidimpuan.ac.id/index.php/F/article/view/7381","volume":"9","author":[{"family":"Awalluddin","given":"Muhammad Aiman"}],"accessed":{"date-parts":[["2023",7,18]]},"issued":{"date-parts":[["2023",7,1]]}}}],"schema":"https://github.com/citation-style-language/schema/raw/master/csl-citation.json"}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(Awalluddin, 2023)</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Waqf entails facilitating the availability of diverse socio-economic infrastructures for the public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{"citationID":"LZVAE5aj","properties":{"formattedCitation":"(Cizakca, 1998)","plainCitation":"(Cizakca, 1998)","noteIndex":0},"citationItems":[{"id":1335,"uris":["http://zotero.org/users/11920205/items/7T34VTEK"],"itemData":{"id":1335,"type":"article-journal","container-title":"Islamic Economic Studies","issue":"1","title":"Awqaf in History and Its Implications for Modern Islamic Economies","URL":"https://papers.ssrn.com/sol3/papers.cfm?abstract_id=3164811","volume":"6","author":[{"family":"Cizakca","given":"Murat"}],"accessed":{"date-parts":[["2020",8,18]]},"issued":{"date-parts":[["1998"]]}}}],"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(Cizakca, 1998)</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Cash waqf is a specific category within the broader classification of waqf. Cash waqf, as an Islamic social finance vehicle, has </w:t>
      </w:r>
      <w:r w:rsidR="005A0F56" w:rsidRPr="00BF0936">
        <w:rPr>
          <w:rFonts w:ascii="Times New Roman" w:eastAsia="Palatino Linotype" w:hAnsi="Times New Roman" w:cs="Times New Roman"/>
          <w:bCs/>
          <w:sz w:val="22"/>
          <w:lang w:val="en-US"/>
        </w:rPr>
        <w:t>profoundly affected</w:t>
      </w:r>
      <w:r w:rsidRPr="00BF0936">
        <w:rPr>
          <w:rFonts w:ascii="Times New Roman" w:eastAsia="Palatino Linotype" w:hAnsi="Times New Roman" w:cs="Times New Roman"/>
          <w:bCs/>
          <w:sz w:val="22"/>
          <w:lang w:val="en-US"/>
        </w:rPr>
        <w:t xml:space="preserve"> the socio-economic well-being of communities, specifically by offering financial assistance to those in need. </w:t>
      </w:r>
      <w:r w:rsidRPr="00BF0936">
        <w:rPr>
          <w:rFonts w:ascii="Times New Roman" w:eastAsia="Palatino Linotype" w:hAnsi="Times New Roman" w:cs="Times New Roman"/>
          <w:bCs/>
          <w:sz w:val="22"/>
          <w:lang w:val="en-US"/>
        </w:rPr>
        <w:fldChar w:fldCharType="begin"/>
      </w:r>
      <w:r w:rsidR="00FD7D3C" w:rsidRPr="00BF0936">
        <w:rPr>
          <w:rFonts w:ascii="Times New Roman" w:eastAsia="Palatino Linotype" w:hAnsi="Times New Roman" w:cs="Times New Roman"/>
          <w:bCs/>
          <w:sz w:val="22"/>
          <w:lang w:val="en-US"/>
        </w:rPr>
        <w:instrText xml:space="preserve"> ADDIN ZOTERO_ITEM CSL_CITATION {"citationID":"CGD1Rq6f","properties":{"formattedCitation":"(Fauziah &amp; Bacha, 2021)","plainCitation":"(Fauziah &amp; Bacha, 2021)","noteIndex":0},"citationItems":[{"id":4965,"uris":["http://zotero.org/users/11920205/items/MNWEV65B"],"itemData":{"id":4965,"type":"article-journal","abstract":"Sukuk is crowned as one of the most important instruments for raising funds, be it at the government of corporate level. In Indonesia, sukuk was first introduced in 2002. Sukuk market development was said to have contributed to the increase of GDP in Indonesia due to the improved productivity facilitated by better access to funds. Of late, a number of innovative Islamic finance products in line with Shariah principles had been introduced to the market with the aim to fulfil the diversified needs in the society. The idea is to combine two or more Islamic finance products in one for a better outcome. The case of Cash Waqf Linked Sukuk (CWLS) which are Islamic bonds (“Sukuk”) linked to an endowment (“Waqf”), is part of the development and innovation efforts in Islamic finance and social investment in Indonesia. When an important instrument like sukuk is coupled with a powerful Islamic social finance instrument, i.e., waqf, the combination can potentially be very impactful. Sukuk is an instrument for mobilizing funds, while waqf has the capacity to bridge charity and philanthropy with income generation and productive economic activities. Using a qualitative research based on explanatory and descriptive method, this paper analyses the practice of CWLS and its potential for socially impactful and sustainable projects in Indonesia, and to identify the benefits, opportunities, costs and risks of CWLS. The study found that CWLS can significantly contribute to social impact, as well as facilitate many sustainable development programs including government projects, education and healthcare initiatives and others. CWLS is believed to be a highly potential instrument with a positive impact on the society in Indonesia because of its benefits and opportunities are more considerable than its risks and costs.","language":"en","source":"Zotero","title":"AN ANALYSIS OF CASH WAQF LINKED SUKUK FOR SOCIALLY IMPACTFUL SUSTAINABLE PROJECTS IN INDONESIA","volume":"10","author":[{"family":"Fauziah","given":"Najim Nur"},{"family":"Bacha","given":"Asmaou Mohamed"}],"issued":{"date-parts":[["2021"]]}}}],"schema":"https://github.com/citation-style-language/schema/raw/master/csl-citation.json"}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Fauziah &amp; Bacha</w:t>
      </w:r>
      <w:r w:rsidR="005A0F56" w:rsidRPr="00BF0936">
        <w:rPr>
          <w:rFonts w:ascii="Times New Roman" w:hAnsi="Times New Roman" w:cs="Times New Roman"/>
          <w:sz w:val="22"/>
          <w:lang w:val="en-US"/>
        </w:rPr>
        <w:t xml:space="preserve"> (</w:t>
      </w:r>
      <w:r w:rsidR="00871A71" w:rsidRPr="00BF0936">
        <w:rPr>
          <w:rFonts w:ascii="Times New Roman" w:hAnsi="Times New Roman" w:cs="Times New Roman"/>
          <w:sz w:val="22"/>
        </w:rPr>
        <w:t>2021)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argue that monetary waqf </w:t>
      </w:r>
      <w:r w:rsidR="005A0F56" w:rsidRPr="00BF0936">
        <w:rPr>
          <w:rFonts w:ascii="Times New Roman" w:eastAsia="Palatino Linotype" w:hAnsi="Times New Roman" w:cs="Times New Roman"/>
          <w:bCs/>
          <w:sz w:val="22"/>
          <w:lang w:val="en-US"/>
        </w:rPr>
        <w:t>is crucial</w:t>
      </w:r>
      <w:r w:rsidRPr="00BF0936">
        <w:rPr>
          <w:rFonts w:ascii="Times New Roman" w:eastAsia="Palatino Linotype" w:hAnsi="Times New Roman" w:cs="Times New Roman"/>
          <w:bCs/>
          <w:sz w:val="22"/>
          <w:lang w:val="en-US"/>
        </w:rPr>
        <w:t xml:space="preserve"> in benefiting society by providing essential services to the public, such as social, health, environmental, education, and infrastructure amenities.</w:t>
      </w:r>
      <w:r w:rsidR="005A0F56" w:rsidRPr="00BF0936">
        <w:rPr>
          <w:rFonts w:ascii="Times New Roman" w:eastAsia="Palatino Linotype" w:hAnsi="Times New Roman" w:cs="Times New Roman"/>
          <w:bCs/>
          <w:sz w:val="22"/>
          <w:lang w:val="en-US"/>
        </w:rPr>
        <w:t xml:space="preserve"> It also</w:t>
      </w:r>
      <w:r w:rsidRPr="00BF0936">
        <w:rPr>
          <w:rFonts w:ascii="Times New Roman" w:eastAsia="Palatino Linotype" w:hAnsi="Times New Roman" w:cs="Times New Roman"/>
          <w:bCs/>
          <w:sz w:val="22"/>
          <w:lang w:val="en-US"/>
        </w:rPr>
        <w:t xml:space="preserve"> has the potential to provide support to society based on religious, humanitarian, or public welfare principles </w:t>
      </w:r>
      <w:r w:rsidR="00FD7D3C" w:rsidRPr="00BF0936">
        <w:rPr>
          <w:rFonts w:ascii="Times New Roman" w:eastAsia="Palatino Linotype" w:hAnsi="Times New Roman" w:cs="Times New Roman"/>
          <w:bCs/>
          <w:sz w:val="22"/>
          <w:lang w:val="en-US"/>
        </w:rPr>
        <w:fldChar w:fldCharType="begin"/>
      </w:r>
      <w:r w:rsidR="00FD7D3C" w:rsidRPr="00BF0936">
        <w:rPr>
          <w:rFonts w:ascii="Times New Roman" w:eastAsia="Palatino Linotype" w:hAnsi="Times New Roman" w:cs="Times New Roman"/>
          <w:bCs/>
          <w:sz w:val="22"/>
          <w:lang w:val="en-US"/>
        </w:rPr>
        <w:instrText xml:space="preserve"> ADDIN ZOTERO_ITEM CSL_CITATION {"citationID":"a6LBAEgr","properties":{"formattedCitation":"(Rusydiana &amp; Devi, 2014)","plainCitation":"(Rusydiana &amp; Devi, 2014)","noteIndex":0},"citationItems":[{"id":1286,"uris":["http://zotero.org/users/11920205/items/VN8JXU2W"],"itemData":{"id":1286,"type":"paper-conference","container-title":"In 2nd ASEAN International Conference on Islamic Finance (AICIF)","event-place":"Yogyakarta, Indonesia","publisher-place":"Yogyakarta, Indonesia","title":"Analysis of Cash Waqf Fund Management in Indonesia: An Analytic Network Process (ANP) Method Approach","author":[{"family":"Rusydiana","given":"A. S."},{"family":"Devi","given":"A"}],"issued":{"date-parts":[["2014"]]}}}],"schema":"https://github.com/citation-style-language/schema/raw/master/csl-citation.json"} </w:instrText>
      </w:r>
      <w:r w:rsidR="00FD7D3C"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(Rusydiana &amp; Devi, 2014)</w:t>
      </w:r>
      <w:r w:rsidR="00FD7D3C"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r w:rsidR="005A0F56" w:rsidRPr="00BF0936">
        <w:rPr>
          <w:rFonts w:ascii="Times New Roman" w:eastAsia="Palatino Linotype" w:hAnsi="Times New Roman" w:cs="Times New Roman"/>
          <w:bCs/>
          <w:sz w:val="22"/>
          <w:lang w:val="en-US"/>
        </w:rPr>
        <w:t>The instrument</w:t>
      </w:r>
      <w:r w:rsidRPr="00BF0936">
        <w:rPr>
          <w:rFonts w:ascii="Times New Roman" w:eastAsia="Palatino Linotype" w:hAnsi="Times New Roman" w:cs="Times New Roman"/>
          <w:bCs/>
          <w:sz w:val="22"/>
          <w:lang w:val="en-US"/>
        </w:rPr>
        <w:t xml:space="preserve"> directly improves the conditions of </w:t>
      </w:r>
      <w:r w:rsidR="005A0F56" w:rsidRPr="00BF0936">
        <w:rPr>
          <w:rFonts w:ascii="Times New Roman" w:eastAsia="Palatino Linotype" w:hAnsi="Times New Roman" w:cs="Times New Roman"/>
          <w:bCs/>
          <w:sz w:val="22"/>
          <w:lang w:val="en-US"/>
        </w:rPr>
        <w:t>people experiencing poverty</w:t>
      </w:r>
      <w:r w:rsidRPr="00BF0936">
        <w:rPr>
          <w:rFonts w:ascii="Times New Roman" w:eastAsia="Palatino Linotype" w:hAnsi="Times New Roman" w:cs="Times New Roman"/>
          <w:bCs/>
          <w:sz w:val="22"/>
          <w:lang w:val="en-US"/>
        </w:rPr>
        <w:t>, enabling them to support themselves. Additionally, it efficiently addresses the issue of poverty through a novel and complete strategy</w:t>
      </w:r>
      <w:r w:rsidR="00FD7D3C" w:rsidRPr="00BF0936">
        <w:rPr>
          <w:rFonts w:ascii="Times New Roman" w:eastAsia="Palatino Linotype" w:hAnsi="Times New Roman" w:cs="Times New Roman"/>
          <w:bCs/>
          <w:sz w:val="22"/>
          <w:lang w:val="en-US"/>
        </w:rPr>
        <w:t>.</w:t>
      </w:r>
    </w:p>
    <w:p w14:paraId="082E9565" w14:textId="7AF865C4" w:rsidR="00FD7D3C" w:rsidRPr="00BF0936" w:rsidRDefault="00E67920"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Cash waqf’s versatility, where anyone can contribute or donate as long as they have cash, makes it popular</w:t>
      </w:r>
      <w:r w:rsidR="00365940" w:rsidRPr="00BF0936">
        <w:rPr>
          <w:rFonts w:ascii="Times New Roman" w:eastAsia="Palatino Linotype" w:hAnsi="Times New Roman" w:cs="Times New Roman"/>
          <w:bCs/>
          <w:sz w:val="22"/>
          <w:lang w:val="en-US"/>
        </w:rPr>
        <w:t xml:space="preserve">. Furthermore, the benefits are distributed more practically among </w:t>
      </w:r>
      <w:r w:rsidR="00FE7676" w:rsidRPr="00BF0936">
        <w:rPr>
          <w:rFonts w:ascii="Times New Roman" w:eastAsia="Palatino Linotype" w:hAnsi="Times New Roman" w:cs="Times New Roman"/>
          <w:bCs/>
          <w:sz w:val="22"/>
          <w:lang w:val="en-US"/>
        </w:rPr>
        <w:t>many</w:t>
      </w:r>
      <w:r w:rsidR="00365940" w:rsidRPr="00BF0936">
        <w:rPr>
          <w:rFonts w:ascii="Times New Roman" w:eastAsia="Palatino Linotype" w:hAnsi="Times New Roman" w:cs="Times New Roman"/>
          <w:bCs/>
          <w:sz w:val="22"/>
          <w:lang w:val="en-US"/>
        </w:rPr>
        <w:t xml:space="preserve"> recipients; the administration is simple</w:t>
      </w:r>
      <w:r w:rsidR="00FE7676" w:rsidRPr="00BF0936">
        <w:rPr>
          <w:rFonts w:ascii="Times New Roman" w:eastAsia="Palatino Linotype" w:hAnsi="Times New Roman" w:cs="Times New Roman"/>
          <w:bCs/>
          <w:sz w:val="22"/>
          <w:lang w:val="en-US"/>
        </w:rPr>
        <w:t>,</w:t>
      </w:r>
      <w:r w:rsidR="00365940" w:rsidRPr="00BF0936">
        <w:rPr>
          <w:rFonts w:ascii="Times New Roman" w:eastAsia="Palatino Linotype" w:hAnsi="Times New Roman" w:cs="Times New Roman"/>
          <w:bCs/>
          <w:sz w:val="22"/>
          <w:lang w:val="en-US"/>
        </w:rPr>
        <w:t xml:space="preserve"> and the beneficiaries can easily use it for everyday necessities </w:t>
      </w:r>
      <w:r w:rsidR="00365940" w:rsidRPr="00BF0936">
        <w:rPr>
          <w:rFonts w:ascii="Times New Roman" w:eastAsia="Palatino Linotype" w:hAnsi="Times New Roman" w:cs="Times New Roman"/>
          <w:bCs/>
          <w:sz w:val="22"/>
          <w:lang w:val="en-US"/>
        </w:rPr>
        <w:fldChar w:fldCharType="begin"/>
      </w:r>
      <w:r w:rsidR="00365940" w:rsidRPr="00BF0936">
        <w:rPr>
          <w:rFonts w:ascii="Times New Roman" w:eastAsia="Palatino Linotype" w:hAnsi="Times New Roman" w:cs="Times New Roman"/>
          <w:bCs/>
          <w:sz w:val="22"/>
          <w:lang w:val="en-US"/>
        </w:rPr>
        <w:instrText xml:space="preserve"> ADDIN ZOTERO_ITEM CSL_CITATION {"citationID":"tP1ZF0T4","properties":{"formattedCitation":"(Gzahli et al., 2023)","plainCitation":"(Gzahli et al., 2023)","noteIndex":0},"citationItems":[{"id":4971,"uris":["http://zotero.org/users/11920205/items/CLC6GEGT"],"itemData":{"id":4971,"type":"paper-conference","abstract":"Considering the importance of cash waqf in developing waqf institutions and enhancing the socioeconomic of the ummah. Cash waqf is seen also as alternative sustainable finance in economic development. It is easier for the community to do waqf even if they don’t have land because cash waqf can be done as long as the individual has money. Research has...","DOI":"10.2991/978-2-38476-076-3_2","event-title":"4th International Conference on the Future of Asean 2022 (ICoFA 2023)","ISBN":"978-2-38476-076-3","language":"en","note":"ISSN: 2352-5398","page":"5-16","publisher":"Atlantis Press","source":"www.atlantis-press.com","title":"Factors that Affect Community in Contributing to Cash Waqf for Economic Development: A Structured Review","title-short":"Factors that Affect Community in Contributing to Cash Waqf for Economic Development","URL":"https://www.atlantis-press.com/proceedings/icofa-23/125989488","author":[{"family":"Gzahli","given":"Nurnazifa"},{"family":"Mutalib","given":"Hasyeilla Abd"},{"family":"Noor","given":"Afiffudin Mohammed"}],"accessed":{"date-parts":[["2024",5,22]]},"issued":{"date-parts":[["2023",7,29]]}}}],"schema":"https://github.com/citation-style-language/schema/raw/master/csl-citation.json"} </w:instrText>
      </w:r>
      <w:r w:rsidR="0036594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(Gzahli et al., 2023)</w:t>
      </w:r>
      <w:r w:rsidR="00365940" w:rsidRPr="00BF0936">
        <w:rPr>
          <w:rFonts w:ascii="Times New Roman" w:eastAsia="Palatino Linotype" w:hAnsi="Times New Roman" w:cs="Times New Roman"/>
          <w:bCs/>
          <w:sz w:val="22"/>
          <w:lang w:val="en-US"/>
        </w:rPr>
        <w:fldChar w:fldCharType="end"/>
      </w:r>
      <w:r w:rsidR="00365940" w:rsidRPr="00BF0936">
        <w:rPr>
          <w:rFonts w:ascii="Times New Roman" w:eastAsia="Palatino Linotype" w:hAnsi="Times New Roman" w:cs="Times New Roman"/>
          <w:bCs/>
          <w:sz w:val="22"/>
          <w:lang w:val="en-US"/>
        </w:rPr>
        <w:t xml:space="preserve">. Many social classes, including the medium and lower middle classes, find cash waqf more convenient due to its fluid design. The level </w:t>
      </w:r>
      <w:r w:rsidR="00FE7676" w:rsidRPr="00BF0936">
        <w:rPr>
          <w:rFonts w:ascii="Times New Roman" w:eastAsia="Palatino Linotype" w:hAnsi="Times New Roman" w:cs="Times New Roman"/>
          <w:bCs/>
          <w:sz w:val="22"/>
          <w:lang w:val="en-US"/>
        </w:rPr>
        <w:t>can contribute just a small amount</w:t>
      </w:r>
      <w:r w:rsidR="00365940" w:rsidRPr="00BF0936">
        <w:rPr>
          <w:rFonts w:ascii="Times New Roman" w:eastAsia="Palatino Linotype" w:hAnsi="Times New Roman" w:cs="Times New Roman"/>
          <w:bCs/>
          <w:sz w:val="22"/>
          <w:lang w:val="en-US"/>
        </w:rPr>
        <w:t xml:space="preserve"> of money and is prepared to </w:t>
      </w:r>
      <w:r w:rsidR="00FE7676" w:rsidRPr="00BF0936">
        <w:rPr>
          <w:rFonts w:ascii="Times New Roman" w:eastAsia="Palatino Linotype" w:hAnsi="Times New Roman" w:cs="Times New Roman"/>
          <w:bCs/>
          <w:sz w:val="22"/>
          <w:lang w:val="en-US"/>
        </w:rPr>
        <w:t>participate</w:t>
      </w:r>
      <w:r w:rsidR="00365940" w:rsidRPr="00BF0936">
        <w:rPr>
          <w:rFonts w:ascii="Times New Roman" w:eastAsia="Palatino Linotype" w:hAnsi="Times New Roman" w:cs="Times New Roman"/>
          <w:bCs/>
          <w:sz w:val="22"/>
          <w:lang w:val="en-US"/>
        </w:rPr>
        <w:t xml:space="preserve"> in cash waqf. Compared to general waqf, cash waqf </w:t>
      </w:r>
      <w:r w:rsidR="00FE7676" w:rsidRPr="00BF0936">
        <w:rPr>
          <w:rFonts w:ascii="Times New Roman" w:eastAsia="Palatino Linotype" w:hAnsi="Times New Roman" w:cs="Times New Roman"/>
          <w:bCs/>
          <w:sz w:val="22"/>
          <w:lang w:val="en-US"/>
        </w:rPr>
        <w:t>can</w:t>
      </w:r>
      <w:r w:rsidR="00365940" w:rsidRPr="00BF0936">
        <w:rPr>
          <w:rFonts w:ascii="Times New Roman" w:eastAsia="Palatino Linotype" w:hAnsi="Times New Roman" w:cs="Times New Roman"/>
          <w:bCs/>
          <w:sz w:val="22"/>
          <w:lang w:val="en-US"/>
        </w:rPr>
        <w:t xml:space="preserve"> accelerate social welfare efforts, a</w:t>
      </w:r>
      <w:r w:rsidR="00FE7676" w:rsidRPr="00BF0936">
        <w:rPr>
          <w:rFonts w:ascii="Times New Roman" w:eastAsia="Palatino Linotype" w:hAnsi="Times New Roman" w:cs="Times New Roman"/>
          <w:bCs/>
          <w:sz w:val="22"/>
          <w:lang w:val="en-US"/>
        </w:rPr>
        <w:t>llowing more</w:t>
      </w:r>
      <w:r w:rsidR="00365940" w:rsidRPr="00BF0936">
        <w:rPr>
          <w:rFonts w:ascii="Times New Roman" w:eastAsia="Palatino Linotype" w:hAnsi="Times New Roman" w:cs="Times New Roman"/>
          <w:bCs/>
          <w:sz w:val="22"/>
          <w:lang w:val="en-US"/>
        </w:rPr>
        <w:t xml:space="preserve"> individuals to contribute quickly, thereby creating a collective fund corpus or a single fund </w:t>
      </w:r>
      <w:r w:rsidR="00365940" w:rsidRPr="00BF0936">
        <w:rPr>
          <w:rFonts w:ascii="Times New Roman" w:eastAsia="Palatino Linotype" w:hAnsi="Times New Roman" w:cs="Times New Roman"/>
          <w:bCs/>
          <w:sz w:val="22"/>
          <w:lang w:val="en-US"/>
        </w:rPr>
        <w:fldChar w:fldCharType="begin"/>
      </w:r>
      <w:r w:rsidR="00365940" w:rsidRPr="00BF0936">
        <w:rPr>
          <w:rFonts w:ascii="Times New Roman" w:eastAsia="Palatino Linotype" w:hAnsi="Times New Roman" w:cs="Times New Roman"/>
          <w:bCs/>
          <w:sz w:val="22"/>
          <w:lang w:val="en-US"/>
        </w:rPr>
        <w:instrText xml:space="preserve"> ADDIN ZOTERO_ITEM CSL_CITATION {"citationID":"smSUI6PZ","properties":{"formattedCitation":"(Qurrata et al., 2021)","plainCitation":"(Qurrata et al., 2021)","noteIndex":0},"citationItems":[{"id":4967,"uris":["http://zotero.org/users/11920205/items/BC7QQRKC"],"itemData":{"id":4967,"type":"article-journal","abstract":"Enhancing people's welfare has always been a topic that will never stop, especially in a developing country such as Indonesia. Indonesia is known as a country with a Muslim majority. Thus, it is necessary to have another strategy to encourage community productivity through waqf. Waqf is not only in the form of assets but also in cash. However, very few Indonesians know about Indonesia's waqf scheme. The waqf management has to be strengthened so that the waqf giver (wakif) believes that their funds can be used for productive activities and comply with waqf requirements. This study aims to analyze the effectiveness of cash waqf management in improving community welfare using the SWOT method. The waqf management has to be repaired in two strategies internally, namely transparent fund management and separate with donations or other community assistance schemes. While from the external side, there is a need for strengthening the understanding that cash waqf does not have to be in a significant amount for it to create benefits. This study enriches the literature on the effective management of waqf to improve the society's perceptions of waqf.","issue":"1","language":"en","source":"Zotero","title":"Effectiveness of Cash Waqf Management in Improving Community Welfare: Challenges and Opportunities","volume":"10","author":[{"family":"Qurrata","given":"Vika Annisa"},{"family":"Yusida","given":"Ermita"},{"family":"Hussain","given":"Nor Ermawati"},{"family":"Merlinda","given":"Santi"},{"family":"Purnamasari","given":"Vidya"},{"family":"Seprillina","given":"Linda"}],"issued":{"date-parts":[["2021"]]}}}],"schema":"https://github.com/citation-style-language/schema/raw/master/csl-citation.json"} </w:instrText>
      </w:r>
      <w:r w:rsidR="00365940"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(Qurrata et al., 2021)</w:t>
      </w:r>
      <w:r w:rsidR="00365940" w:rsidRPr="00BF0936">
        <w:rPr>
          <w:rFonts w:ascii="Times New Roman" w:eastAsia="Palatino Linotype" w:hAnsi="Times New Roman" w:cs="Times New Roman"/>
          <w:bCs/>
          <w:sz w:val="22"/>
          <w:lang w:val="en-US"/>
        </w:rPr>
        <w:fldChar w:fldCharType="end"/>
      </w:r>
      <w:r w:rsidR="00365940" w:rsidRPr="00BF0936">
        <w:rPr>
          <w:rFonts w:ascii="Times New Roman" w:eastAsia="Palatino Linotype" w:hAnsi="Times New Roman" w:cs="Times New Roman"/>
          <w:bCs/>
          <w:sz w:val="22"/>
          <w:lang w:val="en-US"/>
        </w:rPr>
        <w:t xml:space="preserve">. </w:t>
      </w:r>
    </w:p>
    <w:p w14:paraId="2AE5B6CA" w14:textId="377E0875" w:rsidR="00365940" w:rsidRPr="00BF0936" w:rsidRDefault="00365940"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Therefore, </w:t>
      </w:r>
      <w:proofErr w:type="spellStart"/>
      <w:r w:rsidR="00FE7676" w:rsidRPr="00BF0936">
        <w:rPr>
          <w:rFonts w:ascii="Times New Roman" w:eastAsia="Palatino Linotype" w:hAnsi="Times New Roman" w:cs="Times New Roman"/>
          <w:bCs/>
          <w:sz w:val="22"/>
          <w:lang w:val="en-US"/>
        </w:rPr>
        <w:t>utilising</w:t>
      </w:r>
      <w:proofErr w:type="spellEnd"/>
      <w:r w:rsidRPr="00BF0936">
        <w:rPr>
          <w:rFonts w:ascii="Times New Roman" w:eastAsia="Palatino Linotype" w:hAnsi="Times New Roman" w:cs="Times New Roman"/>
          <w:bCs/>
          <w:sz w:val="22"/>
          <w:lang w:val="en-US"/>
        </w:rPr>
        <w:t xml:space="preserve"> cash waqf is an ideal </w:t>
      </w:r>
      <w:r w:rsidR="002B1A0A" w:rsidRPr="00BF0936">
        <w:rPr>
          <w:rFonts w:ascii="Times New Roman" w:eastAsia="Palatino Linotype" w:hAnsi="Times New Roman" w:cs="Times New Roman"/>
          <w:bCs/>
          <w:sz w:val="22"/>
          <w:lang w:val="en-US"/>
        </w:rPr>
        <w:t>approach</w:t>
      </w:r>
      <w:r w:rsidRPr="00BF0936">
        <w:rPr>
          <w:rFonts w:ascii="Times New Roman" w:eastAsia="Palatino Linotype" w:hAnsi="Times New Roman" w:cs="Times New Roman"/>
          <w:bCs/>
          <w:sz w:val="22"/>
          <w:lang w:val="en-US"/>
        </w:rPr>
        <w:t xml:space="preserve"> for ME to fulfil their monetary social responsibility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{"citationID":"PuYjrAjE","properties":{"formattedCitation":"(Houqe et al., 2021)","plainCitation":"(Houqe et al., 2021)","noteIndex":0},"citationItems":[{"id":4968,"uris":["http://zotero.org/users/11920205/items/AAK6UP88"],"itemData":{"id":4968,"type":"article-journal","abstract":"This paper examines whether corporate donations, a form of CSR activity, have a positive impact on firm value. The impact of donations on value may suffer from agency problems or poor quality in the choice of donee. However, we expect that, on balance, donations would have a positive impact on value. We use a sample of 52,199 firm-year observations from 42 countries for the period 1998 to 2014 and conduct our tests using the Collins et al. (1999) adaptation of the Ohlson (1995) model. Our evidence supports our expectation that corporate donations have a positive impact on firm value. We also find that CSR performance, and the country level variables for culture and corruption, moderate the contribution to value. Our results are robust to several sensitivity tests including an alternative measure of donations, additional country-level control variables, and variation in the study sample.","container-title":"Pacific-Basin Finance Journal","DOI":"10.1016/j.pacfin.2019.03.004","ISSN":"0927-538X","journalAbbreviation":"Pacific-Basin Finance Journal","page":"101127","source":"ScienceDirect","title":"The value relevance of corporate donations","volume":"66","author":[{"family":"Houqe","given":"Muhammad Nurul"},{"family":"Zijl","given":"Tony","non-dropping-particle":"van"},{"family":"Karim","given":"A. K. M. Waresul"},{"family":"George","given":"Thomas St"}],"issued":{"date-parts":[["2021",4,1]]}}}],"schema":"https://github.com/citation-style-language/schema/raw/master/csl-citation.json"}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(Houqe et al., 2021)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which is directed towards the benefit of Muslims via the waqf institution. The philanthropic </w:t>
      </w:r>
      <w:proofErr w:type="spellStart"/>
      <w:r w:rsidRPr="00BF0936">
        <w:rPr>
          <w:rFonts w:ascii="Times New Roman" w:eastAsia="Palatino Linotype" w:hAnsi="Times New Roman" w:cs="Times New Roman"/>
          <w:bCs/>
          <w:sz w:val="22"/>
          <w:lang w:val="en-US"/>
        </w:rPr>
        <w:t>endeavours</w:t>
      </w:r>
      <w:proofErr w:type="spellEnd"/>
      <w:r w:rsidRPr="00BF0936">
        <w:rPr>
          <w:rFonts w:ascii="Times New Roman" w:eastAsia="Palatino Linotype" w:hAnsi="Times New Roman" w:cs="Times New Roman"/>
          <w:bCs/>
          <w:sz w:val="22"/>
          <w:lang w:val="en-US"/>
        </w:rPr>
        <w:t xml:space="preserve"> of business enterprises stand out due to their non-commercial nature and the beneficiaries they serve, which encompass deserving individuals, charitable </w:t>
      </w:r>
      <w:proofErr w:type="spellStart"/>
      <w:r w:rsidRPr="00BF0936">
        <w:rPr>
          <w:rFonts w:ascii="Times New Roman" w:eastAsia="Palatino Linotype" w:hAnsi="Times New Roman" w:cs="Times New Roman"/>
          <w:bCs/>
          <w:sz w:val="22"/>
          <w:lang w:val="en-US"/>
        </w:rPr>
        <w:t>organisations</w:t>
      </w:r>
      <w:proofErr w:type="spellEnd"/>
      <w:r w:rsidRPr="00BF0936">
        <w:rPr>
          <w:rFonts w:ascii="Times New Roman" w:eastAsia="Palatino Linotype" w:hAnsi="Times New Roman" w:cs="Times New Roman"/>
          <w:bCs/>
          <w:sz w:val="22"/>
          <w:lang w:val="en-US"/>
        </w:rPr>
        <w:t xml:space="preserve">, political </w:t>
      </w:r>
      <w:proofErr w:type="spellStart"/>
      <w:r w:rsidRPr="00BF0936">
        <w:rPr>
          <w:rFonts w:ascii="Times New Roman" w:eastAsia="Palatino Linotype" w:hAnsi="Times New Roman" w:cs="Times New Roman"/>
          <w:bCs/>
          <w:sz w:val="22"/>
          <w:lang w:val="en-US"/>
        </w:rPr>
        <w:t>organisations</w:t>
      </w:r>
      <w:proofErr w:type="spellEnd"/>
      <w:r w:rsidRPr="00BF0936">
        <w:rPr>
          <w:rFonts w:ascii="Times New Roman" w:eastAsia="Palatino Linotype" w:hAnsi="Times New Roman" w:cs="Times New Roman"/>
          <w:bCs/>
          <w:sz w:val="22"/>
          <w:lang w:val="en-US"/>
        </w:rPr>
        <w:t xml:space="preserve">, and community </w:t>
      </w:r>
      <w:proofErr w:type="spellStart"/>
      <w:r w:rsidRPr="00BF0936">
        <w:rPr>
          <w:rFonts w:ascii="Times New Roman" w:eastAsia="Palatino Linotype" w:hAnsi="Times New Roman" w:cs="Times New Roman"/>
          <w:bCs/>
          <w:sz w:val="22"/>
          <w:lang w:val="en-US"/>
        </w:rPr>
        <w:t>organisations</w:t>
      </w:r>
      <w:proofErr w:type="spellEnd"/>
      <w:r w:rsidRPr="00BF0936">
        <w:rPr>
          <w:rFonts w:ascii="Times New Roman" w:eastAsia="Palatino Linotype" w:hAnsi="Times New Roman" w:cs="Times New Roman"/>
          <w:bCs/>
          <w:sz w:val="22"/>
          <w:lang w:val="en-US"/>
        </w:rPr>
        <w:t xml:space="preserve"> such as mosques and hospitals. Numerous businesses respond to the incentives that encourage them to engage in </w:t>
      </w:r>
      <w:r w:rsidR="00FE7676" w:rsidRPr="00BF0936">
        <w:rPr>
          <w:rFonts w:ascii="Times New Roman" w:eastAsia="Palatino Linotype" w:hAnsi="Times New Roman" w:cs="Times New Roman"/>
          <w:bCs/>
          <w:sz w:val="22"/>
          <w:lang w:val="en-US"/>
        </w:rPr>
        <w:t>various</w:t>
      </w:r>
      <w:r w:rsidRPr="00BF0936">
        <w:rPr>
          <w:rFonts w:ascii="Times New Roman" w:eastAsia="Palatino Linotype" w:hAnsi="Times New Roman" w:cs="Times New Roman"/>
          <w:bCs/>
          <w:sz w:val="22"/>
          <w:lang w:val="en-US"/>
        </w:rPr>
        <w:t xml:space="preserve"> social responsibility activities by contributing </w:t>
      </w:r>
      <w:r w:rsidRPr="00BF0936">
        <w:rPr>
          <w:rFonts w:ascii="Times New Roman" w:eastAsia="Palatino Linotype" w:hAnsi="Times New Roman" w:cs="Times New Roman"/>
          <w:bCs/>
          <w:sz w:val="22"/>
          <w:lang w:val="en-US"/>
        </w:rPr>
        <w:lastRenderedPageBreak/>
        <w:t xml:space="preserve">financially </w:t>
      </w:r>
      <w:r w:rsidR="00FE7676" w:rsidRPr="00BF0936">
        <w:rPr>
          <w:rFonts w:ascii="Times New Roman" w:eastAsia="Palatino Linotype" w:hAnsi="Times New Roman" w:cs="Times New Roman"/>
          <w:bCs/>
          <w:sz w:val="22"/>
          <w:lang w:val="en-US"/>
        </w:rPr>
        <w:t>or</w:t>
      </w:r>
      <w:r w:rsidRPr="00BF0936">
        <w:rPr>
          <w:rFonts w:ascii="Times New Roman" w:eastAsia="Palatino Linotype" w:hAnsi="Times New Roman" w:cs="Times New Roman"/>
          <w:bCs/>
          <w:sz w:val="22"/>
          <w:lang w:val="en-US"/>
        </w:rPr>
        <w:t xml:space="preserve"> non-financially. Hence, cash waqf represents a prospective monetary philanthropic </w:t>
      </w:r>
      <w:proofErr w:type="spellStart"/>
      <w:r w:rsidRPr="00BF0936">
        <w:rPr>
          <w:rFonts w:ascii="Times New Roman" w:eastAsia="Palatino Linotype" w:hAnsi="Times New Roman" w:cs="Times New Roman"/>
          <w:bCs/>
          <w:sz w:val="22"/>
          <w:lang w:val="en-US"/>
        </w:rPr>
        <w:t>endeavour</w:t>
      </w:r>
      <w:proofErr w:type="spellEnd"/>
      <w:r w:rsidRPr="00BF0936">
        <w:rPr>
          <w:rFonts w:ascii="Times New Roman" w:eastAsia="Palatino Linotype" w:hAnsi="Times New Roman" w:cs="Times New Roman"/>
          <w:bCs/>
          <w:sz w:val="22"/>
          <w:lang w:val="en-US"/>
        </w:rPr>
        <w:t xml:space="preserve"> that Muslim-owned enterprises may undertake. </w:t>
      </w:r>
    </w:p>
    <w:p w14:paraId="7FB441EF" w14:textId="1E968DB9" w:rsidR="00B75DEA" w:rsidRPr="00BF0936" w:rsidRDefault="00B75DEA" w:rsidP="00292EAF">
      <w:pPr>
        <w:spacing w:after="0" w:line="240" w:lineRule="auto"/>
        <w:jc w:val="both"/>
        <w:rPr>
          <w:rFonts w:ascii="Times New Roman" w:hAnsi="Times New Roman" w:cs="Times New Roman"/>
          <w:bCs/>
          <w:sz w:val="22"/>
          <w:lang w:val="en-US"/>
        </w:rPr>
      </w:pPr>
      <w:r w:rsidRPr="00BF0936">
        <w:rPr>
          <w:rFonts w:ascii="Times New Roman" w:hAnsi="Times New Roman" w:cs="Times New Roman"/>
          <w:bCs/>
          <w:sz w:val="22"/>
          <w:lang w:val="en-US"/>
        </w:rPr>
        <w:t xml:space="preserve"> </w:t>
      </w:r>
    </w:p>
    <w:p w14:paraId="27E161C9" w14:textId="08FE4DA2" w:rsidR="00A14FE3" w:rsidRPr="00BF0936" w:rsidRDefault="00365940" w:rsidP="00292EAF">
      <w:pPr>
        <w:spacing w:after="0" w:line="240" w:lineRule="auto"/>
        <w:jc w:val="both"/>
        <w:rPr>
          <w:rFonts w:ascii="Times New Roman" w:hAnsi="Times New Roman" w:cs="Times New Roman"/>
          <w:b/>
          <w:sz w:val="22"/>
          <w:lang w:val="en-US"/>
        </w:rPr>
      </w:pPr>
      <w:r w:rsidRPr="00BF0936">
        <w:rPr>
          <w:rFonts w:ascii="Times New Roman" w:hAnsi="Times New Roman" w:cs="Times New Roman"/>
          <w:b/>
          <w:sz w:val="22"/>
          <w:lang w:val="en-US"/>
        </w:rPr>
        <w:t xml:space="preserve">2.2. Digitalizing Cash Waqf </w:t>
      </w:r>
    </w:p>
    <w:p w14:paraId="27EF04EF" w14:textId="728101AE" w:rsidR="00B75DEA" w:rsidRPr="00BF0936" w:rsidRDefault="00E81A51"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Digitalization of cash waqf refers to the electronic monetary contributions made by Muslims, eliminating the need for traditional methods such as physical waqf certificates or in-person meetings with trustees. More precisely, it includes transactions carried out by anyone from any location without being physically present. Digitalization refers to </w:t>
      </w:r>
      <w:proofErr w:type="spellStart"/>
      <w:r w:rsidR="006F2F8D" w:rsidRPr="00BF0936">
        <w:rPr>
          <w:rFonts w:ascii="Times New Roman" w:eastAsia="Palatino Linotype" w:hAnsi="Times New Roman" w:cs="Times New Roman"/>
          <w:bCs/>
          <w:sz w:val="22"/>
          <w:lang w:val="en-US"/>
        </w:rPr>
        <w:t>utilising</w:t>
      </w:r>
      <w:proofErr w:type="spellEnd"/>
      <w:r w:rsidR="006F2F8D" w:rsidRPr="00BF0936">
        <w:rPr>
          <w:rFonts w:ascii="Times New Roman" w:eastAsia="Palatino Linotype" w:hAnsi="Times New Roman" w:cs="Times New Roman"/>
          <w:bCs/>
          <w:sz w:val="22"/>
          <w:lang w:val="en-US"/>
        </w:rPr>
        <w:t xml:space="preserve"> digital or computer technology, including</w:t>
      </w:r>
      <w:r w:rsidRPr="00BF0936">
        <w:rPr>
          <w:rFonts w:ascii="Times New Roman" w:eastAsia="Palatino Linotype" w:hAnsi="Times New Roman" w:cs="Times New Roman"/>
          <w:bCs/>
          <w:sz w:val="22"/>
          <w:lang w:val="en-US"/>
        </w:rPr>
        <w:t xml:space="preserve"> the incorporation of mobile applications, by organizations, enterprises, and the general public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{"citationID":"hNdlG1ld","properties":{"formattedCitation":"(Larsson &amp; Viitaoja, 2017)","plainCitation":"(Larsson &amp; Viitaoja, 2017)","noteIndex":0},"citationItems":[{"id":4973,"uris":["http://zotero.org/users/11920205/items/HCPVFJRN"],"itemData":{"id":4973,"type":"article-journal","abstract":"Purpose\nThe purpose of this paper is to investigate the perceptions among representatives from various established major Swedish banks in how they experienced the digitalisation process and its impact on customer relations.\n\nDesign/methodology/approach\nData were gathered through a series of semi-structured in-depth interviews with managers representing different banks with profound insight in the banks’ digitalisation process and its effects on customer relations/satisfaction and digitalisation.\n\nFindings\nThe results showed that half of the respondents experienced the same area posing the greatest challenge. This was rooted in the perceived insecurity around what the bank assumed to know about its customers’ proficiency and experiences, and what the customers appeared to actually know.\n\nResearch limitations/implications\nThis study was conducted as an Interpretative Phenomenological Analysis (IPA) study of various major Swedish banks, which may limit the external validity of its results. Other limitations are also discussed in the paper.\n\nPractical implications\nBy identifying the aspects of a digital banking that bank managers perceive to be more advantageous or challenging towards cultivating the relationship with its customers, bank managers should garner an awareness of being able to more effectively develop appropriate strategies in addressing the bank’s customers.\n\nOriginality/value\nThe area is vastly under-researched. The study contributes to the literature of digital channels and its perceived effects on customer loyalty from a managerial perspective. The results show that some of the present customer loyalty theory needs to be revised in order to accommodate for the era of digitalisation.","container-title":"International Journal of Bank Marketing","DOI":"10.1108/IJBM-08-2016-0112","journalAbbreviation":"International Journal of Bank Marketing","page":"858–877","source":"ResearchGate","title":"Building customer loyalty in digital banking: A study of bank staff’s perspectives on the challenges of digital CRM and loyalty","title-short":"Building customer loyalty in digital banking","volume":"35","author":[{"family":"Larsson","given":"Anthony"},{"family":"Viitaoja","given":"Yamit"}],"issued":{"date-parts":[["2017",8,31]]}}}],"schema":"https://github.com/citation-style-language/schema/raw/master/csl-citation.json"}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(Larsson &amp; Viitaoja, 2017)</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Online waqf has made generosity easier for Muslims by allowing them to donate cash through internet-connected devices, eliminating the need for direct interaction with trustees.</w:t>
      </w:r>
    </w:p>
    <w:p w14:paraId="646CC1CC" w14:textId="374AAD90" w:rsidR="00156C47" w:rsidRPr="00BF0936" w:rsidRDefault="00156C47"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Existing study m</w:t>
      </w:r>
      <w:r w:rsidR="006F2F8D" w:rsidRPr="00BF0936">
        <w:rPr>
          <w:rFonts w:ascii="Times New Roman" w:eastAsia="Palatino Linotype" w:hAnsi="Times New Roman" w:cs="Times New Roman"/>
          <w:bCs/>
          <w:sz w:val="22"/>
          <w:lang w:val="en-US"/>
        </w:rPr>
        <w:t>ain</w:t>
      </w:r>
      <w:r w:rsidRPr="00BF0936">
        <w:rPr>
          <w:rFonts w:ascii="Times New Roman" w:eastAsia="Palatino Linotype" w:hAnsi="Times New Roman" w:cs="Times New Roman"/>
          <w:bCs/>
          <w:sz w:val="22"/>
          <w:lang w:val="en-US"/>
        </w:rPr>
        <w:t xml:space="preserve">ly focuses on analyzing the effects of digital finance on various domains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{"citationID":"R7ijnkaj","properties":{"formattedCitation":"(Banna &amp; Alam, 2021; Yu et al., 2020; Yue et al., 2022)","plainCitation":"(Banna &amp; Alam, 2021; Yu et al., 2020; Yue et al., 2022)","noteIndex":0},"citationItems":[{"id":4979,"uris":["http://zotero.org/users/11920205/items/RGLRNPME"],"itemData":{"id":4979,"type":"article-journal","abstract":"Purpose This paper aims to investigate how digital financial inclusion (DFI) can be a potential factor to maintain banking stability in Association of Southeast Asian Nations (ASEAN) countries and whether the relationship could bring a possible implication for the post-Covid-19 pandemic era. Design/methodology/approach Using an unbalanced panel data of 213 banks of 4 ASEAN countries, the study has deployed principal component analysis, ordinary least square, two-step dynamic system generalised method of moments and panel corrected standard errors techniques. Findings The empirical study finds that the full-fledged application of DFI accelerates the ASEAN banking stability which not only decreases the default risk of the banks but also upturns the financial mobility in the region. The results also suggest that ASEAN banks are, with the implementation of DFI, likely to uphold the banking sector stability by reducing liquidity crisis and non-performing loans during and in the post-Covid-19 era. Therefore, accelerating digital finance in ASEAN countries is considered as one of the significant means for the banking sector stability that subsequently leads to economic and financial resilience even in the face of any crises. Originality/value Prevailing studies have mostly investigated the association between financial inclusion and banking stability in different contexts. However, this study is unique to empirically investigate the association between DFI and the ASEAN banking stability.","container-title":"Studies in Economics and Finance","DOI":"10.1108/SEF-09-2020-0388","ISSN":"1086-7376","issue":"2","note":"publisher: Emerald Publishing Limited","page":"504-523","source":"Emerald Insight","title":"Impact of digital financial inclusion on ASEAN banking stability: implications for the post-Covid-19 era","title-short":"Impact of digital financial inclusion on ASEAN banking stability","volume":"38","author":[{"family":"Banna","given":"Hasanul"},{"family":"Alam","given":"Md Rabiul"}],"issued":{"date-parts":[["2021",1,1]]}}},{"id":4975,"uris":["http://zotero.org/users/11920205/items/DA6LDG4H"],"itemData":{"id":4975,"type":"article-journal","abstract":"Green control techniques are conducive to ensuring the quality and safety of agricultural products, the ecological environment and agricultural production in China, while the credit constraints of traditional financial services make it difficult for them to be successfully promoted. However, the differences between digital financial services and traditional financial services have not been considered in the existing research, and the impact of digital financial use on farmers ‘adoption of green control techniques is rarely discussed from a micro perspective. Taking 441 family farms in Shandong and Henna provinces as an example, this paper adopts the mediating effect model to investigate the influence and mechanism of digital finance on the adoption of green control techniques in family farms and addresses possible endogeneity problems with the help of the instrumental variable method. It is found that the use of digital finance has a positive impact not only on the adoption of green control techniques in family farms but also on the adoption of green control techniques in family farms through three transmission mechanisms: improving credit availability, promoting information acquisition and enhancing social trust. This approach not only helps enrich the research on digital finance and clarify the differences between digital financial services and traditional financial services but also provides theoretical support for making full use of the development opportunity of digital finance to promote farmers to adopt green control techniques and ultimately achieve sustainable agricultural development.","container-title":"Technology in Society","DOI":"10.1016/j.techsoc.2020.101323","ISSN":"0160-791X","journalAbbreviation":"Technology in Society","page":"101323","source":"ScienceDirect","title":"Research on the use of digital finance and the adoption of green control techniques by family farms in China","volume":"62","author":[{"family":"Yu","given":"Lili"},{"family":"Zhao","given":"Duanyang"},{"family":"Xue","give</w:instrText>
      </w:r>
      <w:r w:rsidRPr="00BF0936">
        <w:rPr>
          <w:rFonts w:ascii="Times New Roman" w:eastAsia="Palatino Linotype" w:hAnsi="Times New Roman" w:cs="Times New Roman"/>
          <w:bCs/>
          <w:sz w:val="22"/>
          <w:lang w:val="en-MY"/>
        </w:rPr>
        <w:instrText xml:space="preserve">n":"Zihao"},{"family":"Gao","given":"Yang"}],"issued":{"date-parts":[["2020",8,1]]}}},{"id":4977,"uris":["http://zotero.org/users/11920205/items/E4GUQJEB"],"itemData":{"id":4977,"type":"article-journal","abstract":"This study focuses on the impact of digital finance on households. While digital finance has brought financial inclusion, it has also increased the risk of households falling into a debt trap. We provide evidence that supports this notion and explain the channel through which digital finance increases the likelihood of financial distress. Our results show that the widespread use of digital finance increases credit market participation. The broadened access to credit markets increases household consumption by changing the marginal propensity to consume. However, the easier access to credit markets also increases the risk of households falling into a debt trap.","container-title":"Finance Research Letters","DOI":"10.1016/j.frl.2021.102604","ISSN":"1544-6123","journalAbbreviation":"Finance Research Letters","page":"102604","source":"ScienceDirect","title":"The rise of digital finance: Financial inclusion or debt trap?","title-short":"The rise of digital finance","volume":"47","author":[{"family":"Yue","given":"Pengpeng"},{"family":"Korkmaz","given":"Aslihan Gizem"},{"family":"Yin","given":"Zhichao"},{"family":"Zhou","given":"Haigang"}],"issued":{"date-parts":[["2022",6,1]]}}}],"schema":"https://github.com/citation-style-language/schema/raw/master/csl-citation.json"}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(Banna &amp; Alam, 2021; Yu et al., 2020; Yue et al., 2022)</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However, there is a scarcity of literature </w:t>
      </w:r>
      <w:r w:rsidR="006F2F8D" w:rsidRPr="00BF0936">
        <w:rPr>
          <w:rFonts w:ascii="Times New Roman" w:eastAsia="Palatino Linotype" w:hAnsi="Times New Roman" w:cs="Times New Roman"/>
          <w:bCs/>
          <w:sz w:val="22"/>
          <w:lang w:val="en-US"/>
        </w:rPr>
        <w:t>investigating</w:t>
      </w:r>
      <w:r w:rsidRPr="00BF0936">
        <w:rPr>
          <w:rFonts w:ascii="Times New Roman" w:eastAsia="Palatino Linotype" w:hAnsi="Times New Roman" w:cs="Times New Roman"/>
          <w:bCs/>
          <w:sz w:val="22"/>
          <w:lang w:val="en-US"/>
        </w:rPr>
        <w:t xml:space="preserve"> the influence of digital finance on charitable donations. As a crucial element of the digital economy, digital finance for social contribution can incentivize positive individual behavior to contribute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{"citationID":"ycp0QDGf","properties":{"formattedCitation":"(Fang, 2023)","plainCitation":"(Fang, 2023)","noteIndex":0},"citationItems":[{"id":4980,"uris":["http://zotero.org/users/11920205/items/SPX92MPF"],"itemData":{"id":4980,"type":"article-journal","abstract":"Charitable giving has become increasingly important in achieving common prosperity, and individual charitable donations have gradually increased in China. This paper utilizes data from the China Family Panel Studies (CFPS) 2018 and the Digital Financial Inclusion Index to explore how digital finance impacts individuals' charitable giving behavior in the context of common prosperity. Our empirical studies suggest that digital finance could promote the amount of individual charitable giving and the likelihood of donation behavior. Furthermore, heterogeneity studies show that digital finance increases the amount of charitable giving by residents in rural areas, the eastern region, and those who receive government subsidies more significantly. The mechanism behind this is that digital finance promotes charitable giving by increasing residents' income, income volatility, and internet usage. Based on these conclusions, we provide policy recommendations to achieve common prosperity through the use of digital finance and charitable giving.","container-title":"Computers in Human Behavior","DOI":"10.1016/j.chb.2023.107768","ISSN":"0747-5632","journalAbbreviation":"Computers in Human Behavior","page":"107768","source":"ScienceDirect","title":"Can digital finance promote individuals’ charitable giving? Empirical evidence from China","title-short":"Can digital finance promote individuals’ charitable giving?","volume":"145","author":[{"family":"Fang","given":"Xing"}],"issued":{"date-parts":[["2023",8,1]]}}}],"schema":"https://github.com/citation-style-language/schema/raw/master/csl-citation.json"}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(Fang, 2023)</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In addition, other studies have employed quantitative methods, such as the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{"citationID":"0GZtN3sU","properties":{"formattedCitation":"(Bonang et al., 2024)","plainCitation":"(Bonang et al., 2024)","noteIndex":0},"citationItems":[{"id":4953,"uris":["http://zotero.org/users/11920205/items/AK5WQ7Q7"],"itemData":{"id":4953,"type":"article-journal","abstract":"Purpose — This research explores the dimensions of perceived iḥsān (altruism) and trust, utilising a framework rooted in the Unified Theory of Acceptance and Use of Technology (UTAUT), to comprehensively explore the intricate motivations and ethical considerations underlying individuals’ engagement with digital waqf platforms.\nDesign/Methodology/Approach — Structural Equation Modeling (SEM) was applied to analyse primary data collected from 202 Muslims residing in four cities in Indonesia.\nFindings ­— The investigation unveiled that performance expectancy, social influence and perceived iḥsān significantly impact the intention of digital waqf usage. On the other hand, trust affects a person’s intention, shaping their behaviour to donate through digital waqf platforms. In contrast, effort expectancy does not affect the intention to engage in waqf through digital channels, and facilitating condition do not affect user behaviour.\nOriginality/Value — This study introduces a novel approach by incorporating perceived iḥsān and trust dimensions into the UTAUT model to achieve the objective of this research. In particular, it offers unique insights into the disbursement of cash waqf among Muslims via digital platforms (e.g., online channels).\nPractical Implications — The study emphasises that individuals from the low middle-class demonstrate empathy and mutual support in the face of financial limitations. The article offers valuable recommendations to the government, aligning with Indonesia’s Golden 2045 goal. These recommendations encompass the implementation of advanced digitisation in waqf management, integration of waqf data into robust financial management systems, and intensified educational campaigns aimed at raising public awareness on cash waqf, particularly among the younger generation.","container-title":"ISRA International Journal of Islamic Finance","DOI":"10.55188/ijif.v16iS1.586","ISSN":"2289-4365","issue":"S1","language":"en","license":"Copyright (c) 2024 ISRA International Journal of Islamic Finance","note":"number: S1","page":"94-117","source":"journal.inceif.edu.my","title":"Empowering the Future of Cash Waqf through Digitalisation: An Insight into the Philanthropic Intention of the Indonesian Muslim Community","title-short":"Empowering the Future of Cash Waqf through Digitalisation","volume":"16","author":[{"family":"Bonang","given":"Dahlia"},{"family":"Ismail","given":"Shafinar"},{"family":"Sukmana","given":"Raditya"}],"issued":{"date-parts":[["2024",5,6]]}}}],"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(Bonang et al., 2024)</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study, which utilized the UTAUT model. These studies have revealed that performance expectancy, social influence, and perceived </w:t>
      </w:r>
      <w:proofErr w:type="spellStart"/>
      <w:r w:rsidRPr="00BF0936">
        <w:rPr>
          <w:rFonts w:ascii="Times New Roman" w:eastAsia="Palatino Linotype" w:hAnsi="Times New Roman" w:cs="Times New Roman"/>
          <w:bCs/>
          <w:sz w:val="22"/>
          <w:lang w:val="en-US"/>
        </w:rPr>
        <w:t>iḥsan</w:t>
      </w:r>
      <w:proofErr w:type="spellEnd"/>
      <w:r w:rsidRPr="00BF0936">
        <w:rPr>
          <w:rFonts w:ascii="Times New Roman" w:eastAsia="Palatino Linotype" w:hAnsi="Times New Roman" w:cs="Times New Roman"/>
          <w:bCs/>
          <w:sz w:val="22"/>
          <w:lang w:val="en-US"/>
        </w:rPr>
        <w:t xml:space="preserve"> </w:t>
      </w:r>
      <w:r w:rsidR="006F2F8D" w:rsidRPr="00BF0936">
        <w:rPr>
          <w:rFonts w:ascii="Times New Roman" w:eastAsia="Palatino Linotype" w:hAnsi="Times New Roman" w:cs="Times New Roman"/>
          <w:bCs/>
          <w:sz w:val="22"/>
          <w:lang w:val="en-US"/>
        </w:rPr>
        <w:t>substantially impact</w:t>
      </w:r>
      <w:r w:rsidRPr="00BF0936">
        <w:rPr>
          <w:rFonts w:ascii="Times New Roman" w:eastAsia="Palatino Linotype" w:hAnsi="Times New Roman" w:cs="Times New Roman"/>
          <w:bCs/>
          <w:sz w:val="22"/>
          <w:lang w:val="en-US"/>
        </w:rPr>
        <w:t xml:space="preserve"> the desire to use digital waqf. </w:t>
      </w:r>
    </w:p>
    <w:p w14:paraId="2AFD7C05" w14:textId="1D5837CB" w:rsidR="00156C47" w:rsidRPr="00BF0936" w:rsidRDefault="00156C47"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Similarly,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{"citationID":"ANxBjkmS","properties":{"formattedCitation":"(Asyari et al., 2024)","plainCitation":"(Asyari et al., 2024)","noteIndex":0},"citationItems":[{"id":4959,"uris":["http://zotero.org/users/11920205/items/BFYHT4CK"],"itemData":{"id":4959,"type":"article-journal","abstract":"Purpose This study aims to explore the determinants that impact state Islamic University/Perguruan Tinggi Keagamaan Islam Negeri students’ intention to adopt online cash waqfs. In doing so, this study integrates knowledge of cash waqf and trust variables within the theory of planned behavior (TPB), allowing an examination of the mediating role of TPB variables and trust within the relationship between knowledge of cash waqf and intention for online cash waqf behavior.Design/methodology/approach To carry out an empirical analysis, the authors developed a well-structured questionnaire and distributed it to a group of students currently enrolled in PTKIN, obtaining 443 usable responses. The partial least squares-structural equation modeling (PLS-SEM) technique was used for the dual purposes of data analysis and hypothesis testing.Findings This study demonstrates that factors such as attitude, subjective norms, perceived behavioral control, trust and knowledge of cash waqf have a significant and favorable influence on the intention to donate through e-cash waqf. Knowledge of cash waqf impacts attitudes, subjective norms, perceived behavioral control and trust. The final analysis shows that attitude, subjective norms, perceived behavioral control and trust partially mediate the relationship between knowledge and intention in the online cash waqf context.Practical implications The aforementioned elucidates the paramount importance of trust in shaping individuals’ tendencies to engage in cash waqfs. The insights mentioned have the potential to be used by cash waqf establishments to promote transparency and accountability, ultimately bolstering the confidence of potential donors.Originality/value The concepts of waqf and the use of online cash waqf as a means of donation in developing countries are relatively new. In this study, the intention of students to adopt online cash waqf was predicted for the first time by considering their knowledge of cash waqf and their trust in online cash waqf transactions.","container-title":"Journal of Islamic Marketing","DOI":"10.1108/JIMA-07-2023-0224","ISSN":"1759-0833","issue":"ahead-of-print","source":"Emerald Insight","title":"Online cash waqf behavioral intention: the role of knowledge of cash waqf and trust","title-short":"Online cash waqf behavioral intention","URL":"https://doi.org/10.1108/JIMA-07-2023-0224","volume":"ahead-of-print","author":[{"family":"Asyari","given":"Asyari"},{"family":"Hoque","given":"Mohammad Enamul"},{"family":"Susanto","given":"Perengki"},{"family":"Begum","given":"Halima"},{"family":"Awaluddin","given":"Awaluddin"},{"family":"Marwan","given":"Marwan"},{"family":"Mamun","given":"Abdullah Al"}],"accessed":{"date-parts":[["2024",5,22]]},"issued":{"date-parts":[["2024",1,1]]}}}],"schema":"https://github.com/citation-style-language/schema/raw/master/csl-citation.json"}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Asyari et al.</w:t>
      </w:r>
      <w:r w:rsidR="008213E4" w:rsidRPr="00BF0936">
        <w:rPr>
          <w:rFonts w:ascii="Times New Roman" w:hAnsi="Times New Roman" w:cs="Times New Roman"/>
          <w:sz w:val="22"/>
          <w:lang w:val="en-US"/>
        </w:rPr>
        <w:t xml:space="preserve"> (</w:t>
      </w:r>
      <w:r w:rsidR="00871A71" w:rsidRPr="00BF0936">
        <w:rPr>
          <w:rFonts w:ascii="Times New Roman" w:hAnsi="Times New Roman" w:cs="Times New Roman"/>
          <w:sz w:val="22"/>
        </w:rPr>
        <w:t>2024)</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employed the Theory of Planned Behavior to </w:t>
      </w:r>
      <w:r w:rsidR="006F2F8D" w:rsidRPr="00BF0936">
        <w:rPr>
          <w:rFonts w:ascii="Times New Roman" w:eastAsia="Palatino Linotype" w:hAnsi="Times New Roman" w:cs="Times New Roman"/>
          <w:bCs/>
          <w:sz w:val="22"/>
          <w:lang w:val="en-US"/>
        </w:rPr>
        <w:t>learn the intention of online waqf donation quantitatively</w:t>
      </w:r>
      <w:r w:rsidRPr="00BF0936">
        <w:rPr>
          <w:rFonts w:ascii="Times New Roman" w:eastAsia="Palatino Linotype" w:hAnsi="Times New Roman" w:cs="Times New Roman"/>
          <w:bCs/>
          <w:sz w:val="22"/>
          <w:lang w:val="en-US"/>
        </w:rPr>
        <w:t xml:space="preserve">. The study revealed that attitude, subjective norms, perceived behavioral control, and trust partly mediate the relationship between knowledge and intention in online cash waqf.  However, both studies were done among the general public without </w:t>
      </w:r>
      <w:r w:rsidR="006F2F8D" w:rsidRPr="00BF0936">
        <w:rPr>
          <w:rFonts w:ascii="Times New Roman" w:eastAsia="Palatino Linotype" w:hAnsi="Times New Roman" w:cs="Times New Roman"/>
          <w:bCs/>
          <w:sz w:val="22"/>
          <w:lang w:val="en-US"/>
        </w:rPr>
        <w:t>understanding</w:t>
      </w:r>
      <w:r w:rsidRPr="00BF0936">
        <w:rPr>
          <w:rFonts w:ascii="Times New Roman" w:eastAsia="Palatino Linotype" w:hAnsi="Times New Roman" w:cs="Times New Roman"/>
          <w:bCs/>
          <w:sz w:val="22"/>
          <w:lang w:val="en-US"/>
        </w:rPr>
        <w:t xml:space="preserve"> why people are motivated to donate towards digital waqf.  The implementation of digital waqf not only saves time and resources but also simplifies the contribution procedure.</w:t>
      </w:r>
    </w:p>
    <w:p w14:paraId="3444F713" w14:textId="0440B1EE" w:rsidR="003F7E4E" w:rsidRPr="00BF0936" w:rsidRDefault="00A9045F" w:rsidP="00292EAF">
      <w:pPr>
        <w:spacing w:after="0" w:line="240" w:lineRule="auto"/>
        <w:ind w:firstLine="720"/>
        <w:jc w:val="both"/>
        <w:rPr>
          <w:rFonts w:ascii="Times New Roman" w:hAnsi="Times New Roman" w:cs="Times New Roman"/>
          <w:sz w:val="22"/>
          <w:lang w:val="en-US"/>
        </w:rPr>
      </w:pP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{"citationID":"D6aINnaK","properties":{"formattedCitation":"(Makhrus, 2018)","plainCitation":"(Makhrus, 2018)","noteIndex":0},"citationItems":[{"id":4984,"uris":["http://zotero.org/users/11920205/items/5JYNAMST"],"itemData":{"id":4984,"type":"paper-conference","abstract":"This research aims to describe media-social based Islamic philantrophy communities’ efforts in supporting an awarenes of social philantrophy, a form of community program to gather and distribute donation by philantrophists and examine ways of communities to build trust and credibilities. This research implemented descriptive qualitative approach. The...","DOI":"10.2991/amca-18.2018.100","event-title":"2018 3rd International Conference on Education, Sports, Arts and Management Engineering (ICESAME 2018)","ISBN":"978-94-6252-561-0","language":"en","note":"ISSN: 2352-5398","page":"365-368","publisher":"Atlantis Press","source":"www.atlantis-press.com","title":"Social Media Based Islamic Philanthropy To Develop Philanthropy Awareness In Indonesia","URL":"https://www.atlantis-press.com/proceedings/amca-18/25901781","author":[{"family":"Makhrus","given":"Mr"}],"accessed":{"date-parts":[["2024",5,27]]},"issued":{"date-parts":[["2018",7]]}}}],"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Makhrus</w:t>
      </w:r>
      <w:r w:rsidR="008213E4" w:rsidRPr="00BF0936">
        <w:rPr>
          <w:rFonts w:ascii="Times New Roman" w:hAnsi="Times New Roman" w:cs="Times New Roman"/>
          <w:sz w:val="22"/>
          <w:lang w:val="en-US"/>
        </w:rPr>
        <w:t xml:space="preserve"> (</w:t>
      </w:r>
      <w:r w:rsidR="00871A71" w:rsidRPr="00BF0936">
        <w:rPr>
          <w:rFonts w:ascii="Times New Roman" w:hAnsi="Times New Roman" w:cs="Times New Roman"/>
          <w:sz w:val="22"/>
        </w:rPr>
        <w:t>2018)</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asserted that online platforms, such as Sedekah </w:t>
      </w:r>
      <w:proofErr w:type="spellStart"/>
      <w:r w:rsidRPr="00BF0936">
        <w:rPr>
          <w:rFonts w:ascii="Times New Roman" w:eastAsia="Palatino Linotype" w:hAnsi="Times New Roman" w:cs="Times New Roman"/>
          <w:bCs/>
          <w:sz w:val="22"/>
          <w:lang w:val="en-US"/>
        </w:rPr>
        <w:t>Rombongan</w:t>
      </w:r>
      <w:proofErr w:type="spellEnd"/>
      <w:r w:rsidRPr="00BF0936">
        <w:rPr>
          <w:rFonts w:ascii="Times New Roman" w:eastAsia="Palatino Linotype" w:hAnsi="Times New Roman" w:cs="Times New Roman"/>
          <w:bCs/>
          <w:sz w:val="22"/>
          <w:lang w:val="en-US"/>
        </w:rPr>
        <w:t xml:space="preserve">, Laskar Sedekah, and Sedekah </w:t>
      </w:r>
      <w:proofErr w:type="spellStart"/>
      <w:r w:rsidRPr="00BF0936">
        <w:rPr>
          <w:rFonts w:ascii="Times New Roman" w:eastAsia="Palatino Linotype" w:hAnsi="Times New Roman" w:cs="Times New Roman"/>
          <w:bCs/>
          <w:sz w:val="22"/>
          <w:lang w:val="en-US"/>
        </w:rPr>
        <w:t>Kreatif</w:t>
      </w:r>
      <w:proofErr w:type="spellEnd"/>
      <w:r w:rsidRPr="00BF0936">
        <w:rPr>
          <w:rFonts w:ascii="Times New Roman" w:eastAsia="Palatino Linotype" w:hAnsi="Times New Roman" w:cs="Times New Roman"/>
          <w:bCs/>
          <w:sz w:val="22"/>
          <w:lang w:val="en-US"/>
        </w:rPr>
        <w:t xml:space="preserve"> </w:t>
      </w:r>
      <w:proofErr w:type="spellStart"/>
      <w:r w:rsidRPr="00BF0936">
        <w:rPr>
          <w:rFonts w:ascii="Times New Roman" w:eastAsia="Palatino Linotype" w:hAnsi="Times New Roman" w:cs="Times New Roman"/>
          <w:bCs/>
          <w:sz w:val="22"/>
          <w:lang w:val="en-US"/>
        </w:rPr>
        <w:t>Edukatif</w:t>
      </w:r>
      <w:proofErr w:type="spellEnd"/>
      <w:r w:rsidRPr="00BF0936">
        <w:rPr>
          <w:rFonts w:ascii="Times New Roman" w:eastAsia="Palatino Linotype" w:hAnsi="Times New Roman" w:cs="Times New Roman"/>
          <w:bCs/>
          <w:sz w:val="22"/>
          <w:lang w:val="en-US"/>
        </w:rPr>
        <w:t xml:space="preserve">, have effectively served as channels for charitable donations and as tools for raising public consciousness. Nevertheless,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{"citationID":"7jBxH86S","properties":{"formattedCitation":"(Thrift, 1997)","plainCitation":"(Thrift, 1997)","noteIndex":0},"citationItems":[{"id":4982,"uris":["http://zotero.org/users/11920205/items/BMBUBCIF"],"itemData":{"id":4982,"type":"article-journal","container-title":"Cultural Values","DOI":"10.1080/14797589709367133","issue":"1","page":"29–57","source":"PhilPapers","title":"The Rise of Soft Capitalism","volume":"1","author":[{"family":"Thrift","given":"Nigel"}],"issued":{"date-parts":[["1997"]]}}}],"schema":"https://github.com/citation-style-language/schema/raw/master/csl-citation.json"}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Thrift</w:t>
      </w:r>
      <w:r w:rsidR="006F2F8D" w:rsidRPr="00BF0936">
        <w:rPr>
          <w:rFonts w:ascii="Times New Roman" w:hAnsi="Times New Roman" w:cs="Times New Roman"/>
          <w:sz w:val="22"/>
          <w:lang w:val="en-US"/>
        </w:rPr>
        <w:t xml:space="preserve"> (</w:t>
      </w:r>
      <w:r w:rsidR="00871A71" w:rsidRPr="00BF0936">
        <w:rPr>
          <w:rFonts w:ascii="Times New Roman" w:hAnsi="Times New Roman" w:cs="Times New Roman"/>
          <w:sz w:val="22"/>
        </w:rPr>
        <w:t>1997)</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highlighted the outcomes of online donating behaviors that resulted in the emergence of soft capitalism or virtual capitalism. This term refers to the idea that </w:t>
      </w:r>
      <w:r w:rsidR="006F2F8D" w:rsidRPr="00BF0936">
        <w:rPr>
          <w:rFonts w:ascii="Times New Roman" w:eastAsia="Palatino Linotype" w:hAnsi="Times New Roman" w:cs="Times New Roman"/>
          <w:bCs/>
          <w:sz w:val="22"/>
          <w:lang w:val="en-US"/>
        </w:rPr>
        <w:t>rational calculations do not solely drive capitalism</w:t>
      </w:r>
      <w:r w:rsidRPr="00BF0936">
        <w:rPr>
          <w:rFonts w:ascii="Times New Roman" w:eastAsia="Palatino Linotype" w:hAnsi="Times New Roman" w:cs="Times New Roman"/>
          <w:bCs/>
          <w:sz w:val="22"/>
          <w:lang w:val="en-US"/>
        </w:rPr>
        <w:t xml:space="preserve"> but </w:t>
      </w:r>
      <w:r w:rsidR="006F2F8D" w:rsidRPr="00BF0936">
        <w:rPr>
          <w:rFonts w:ascii="Times New Roman" w:eastAsia="Palatino Linotype" w:hAnsi="Times New Roman" w:cs="Times New Roman"/>
          <w:bCs/>
          <w:sz w:val="22"/>
          <w:lang w:val="en-US"/>
        </w:rPr>
        <w:t>are</w:t>
      </w:r>
      <w:r w:rsidRPr="00BF0936">
        <w:rPr>
          <w:rFonts w:ascii="Times New Roman" w:eastAsia="Palatino Linotype" w:hAnsi="Times New Roman" w:cs="Times New Roman"/>
          <w:bCs/>
          <w:sz w:val="22"/>
          <w:lang w:val="en-US"/>
        </w:rPr>
        <w:t xml:space="preserve"> also influenced by social interactions and the evolution of cultural exchange. Regarding this study, "soft capitalism" refers to the economic prospects generated by e-commerce organizations through social endeavors like online philanthropy.</w:t>
      </w:r>
      <w:r w:rsidR="005764E3" w:rsidRPr="00BF0936">
        <w:rPr>
          <w:rFonts w:ascii="Times New Roman" w:hAnsi="Times New Roman" w:cs="Times New Roman"/>
          <w:sz w:val="22"/>
        </w:rPr>
        <w:t xml:space="preserve"> </w:t>
      </w:r>
      <w:r w:rsidR="003F7E4E" w:rsidRPr="00BF0936">
        <w:rPr>
          <w:rFonts w:ascii="Times New Roman" w:hAnsi="Times New Roman" w:cs="Times New Roman"/>
          <w:sz w:val="22"/>
        </w:rPr>
        <w:t xml:space="preserve">However, comparing digitalization in Islamic charitable practices with virtual capitalism is not on the same continuum. Islamic philanthropy is performed </w:t>
      </w:r>
      <w:r w:rsidR="006F2F8D" w:rsidRPr="00BF0936">
        <w:rPr>
          <w:rFonts w:ascii="Times New Roman" w:hAnsi="Times New Roman" w:cs="Times New Roman"/>
          <w:sz w:val="22"/>
        </w:rPr>
        <w:t>to please Allah and foster</w:t>
      </w:r>
      <w:r w:rsidR="003F7E4E" w:rsidRPr="00BF0936">
        <w:rPr>
          <w:rFonts w:ascii="Times New Roman" w:hAnsi="Times New Roman" w:cs="Times New Roman"/>
          <w:sz w:val="22"/>
        </w:rPr>
        <w:t xml:space="preserve"> a sense of brotherhood to assist one another. Simultaneously, the participation by businesses in this </w:t>
      </w:r>
      <w:r w:rsidR="003F7E4E" w:rsidRPr="00BF0936">
        <w:rPr>
          <w:rFonts w:ascii="Times New Roman" w:hAnsi="Times New Roman" w:cs="Times New Roman"/>
          <w:sz w:val="22"/>
        </w:rPr>
        <w:lastRenderedPageBreak/>
        <w:t>undertaking is a component of the ethical responsibility of business</w:t>
      </w:r>
      <w:r w:rsidR="003F7E4E" w:rsidRPr="00BF0936">
        <w:rPr>
          <w:rFonts w:ascii="Times New Roman" w:hAnsi="Times New Roman" w:cs="Times New Roman"/>
          <w:sz w:val="22"/>
          <w:lang w:val="en-US"/>
        </w:rPr>
        <w:t xml:space="preserve"> </w:t>
      </w:r>
      <w:r w:rsidR="003F7E4E" w:rsidRPr="00BF0936">
        <w:rPr>
          <w:rFonts w:ascii="Times New Roman" w:hAnsi="Times New Roman" w:cs="Times New Roman"/>
          <w:sz w:val="22"/>
          <w:lang w:val="en-US"/>
        </w:rPr>
        <w:fldChar w:fldCharType="begin"/>
      </w:r>
      <w:r w:rsidR="003F7E4E" w:rsidRPr="00BF0936">
        <w:rPr>
          <w:rFonts w:ascii="Times New Roman" w:hAnsi="Times New Roman" w:cs="Times New Roman"/>
          <w:sz w:val="22"/>
          <w:lang w:val="en-US"/>
        </w:rPr>
        <w:instrText xml:space="preserve"> ADDIN ZOTERO_ITEM CSL_CITATION {"citationID":"3Gf1xU27","properties":{"formattedCitation":"(Awalluddin, 2020)","plainCitation":"(Awalluddin, 2020)","noteIndex":0},"citationItems":[{"id":2277,"uris":["http://zotero.org/users/11920205/items/4XQCD9A4"],"itemData":{"id":2277,"type":"article-journal","container-title":"Journal of Economics and Administrative Sciences Faculty","DOI":"10.30798/makuiibf.532662","ISSN":"2149-1658","issue":"1","page":"1-19","title":"SHAREHOLDER ACTIVISM AND CORPORATE SOCIAL RESPONSIBILITY IN MALAYSIA","volume":"7","author":[{"family":"Awalluddin","given":"Muhammad Aiman"}],"issued":{"date-parts":[["2020"]]}}}],"schema":"https://github.com/citation-style-language/schema/raw/master/csl-citation.json"} </w:instrText>
      </w:r>
      <w:r w:rsidR="003F7E4E" w:rsidRPr="00BF0936">
        <w:rPr>
          <w:rFonts w:ascii="Times New Roman" w:hAnsi="Times New Roman" w:cs="Times New Roman"/>
          <w:sz w:val="22"/>
          <w:lang w:val="en-US"/>
        </w:rPr>
        <w:fldChar w:fldCharType="separate"/>
      </w:r>
      <w:r w:rsidR="00871A71" w:rsidRPr="00BF0936">
        <w:rPr>
          <w:rFonts w:ascii="Times New Roman" w:hAnsi="Times New Roman" w:cs="Times New Roman"/>
          <w:sz w:val="22"/>
        </w:rPr>
        <w:t>(Awalluddin, 2020)</w:t>
      </w:r>
      <w:r w:rsidR="003F7E4E" w:rsidRPr="00BF0936">
        <w:rPr>
          <w:rFonts w:ascii="Times New Roman" w:hAnsi="Times New Roman" w:cs="Times New Roman"/>
          <w:sz w:val="22"/>
          <w:lang w:val="en-US"/>
        </w:rPr>
        <w:fldChar w:fldCharType="end"/>
      </w:r>
      <w:r w:rsidR="003F7E4E" w:rsidRPr="00BF0936">
        <w:rPr>
          <w:rFonts w:ascii="Times New Roman" w:hAnsi="Times New Roman" w:cs="Times New Roman"/>
          <w:sz w:val="22"/>
          <w:lang w:val="en-US"/>
        </w:rPr>
        <w:t xml:space="preserve">. </w:t>
      </w:r>
    </w:p>
    <w:p w14:paraId="2C97CE06" w14:textId="583C2AAD" w:rsidR="00A9045F" w:rsidRPr="00BF0936" w:rsidRDefault="005764E3"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This study diverges from conventional approaches and offers a fresh perspective on the interaction between </w:t>
      </w:r>
      <w:r w:rsidR="007C093F" w:rsidRPr="00BF0936">
        <w:rPr>
          <w:rFonts w:ascii="Times New Roman" w:eastAsia="Palatino Linotype" w:hAnsi="Times New Roman" w:cs="Times New Roman"/>
          <w:bCs/>
          <w:sz w:val="22"/>
          <w:lang w:val="en-US"/>
        </w:rPr>
        <w:t>social-enterprises</w:t>
      </w:r>
      <w:r w:rsidRPr="00BF0936">
        <w:rPr>
          <w:rFonts w:ascii="Times New Roman" w:eastAsia="Palatino Linotype" w:hAnsi="Times New Roman" w:cs="Times New Roman"/>
          <w:bCs/>
          <w:sz w:val="22"/>
          <w:lang w:val="en-US"/>
        </w:rPr>
        <w:t xml:space="preserve"> and digital waqf. It employs the </w:t>
      </w:r>
      <w:r w:rsidR="006F2F8D" w:rsidRPr="00BF0936">
        <w:rPr>
          <w:rFonts w:ascii="Times New Roman" w:eastAsia="Palatino Linotype" w:hAnsi="Times New Roman" w:cs="Times New Roman"/>
          <w:bCs/>
          <w:sz w:val="22"/>
          <w:lang w:val="en-US"/>
        </w:rPr>
        <w:t>diffusion of innovation and social capital theories</w:t>
      </w:r>
      <w:r w:rsidRPr="00BF0936">
        <w:rPr>
          <w:rFonts w:ascii="Times New Roman" w:eastAsia="Palatino Linotype" w:hAnsi="Times New Roman" w:cs="Times New Roman"/>
          <w:bCs/>
          <w:sz w:val="22"/>
          <w:lang w:val="en-US"/>
        </w:rPr>
        <w:t xml:space="preserve"> to </w:t>
      </w:r>
      <w:r w:rsidR="006F2F8D" w:rsidRPr="00BF0936">
        <w:rPr>
          <w:rFonts w:ascii="Times New Roman" w:eastAsia="Palatino Linotype" w:hAnsi="Times New Roman" w:cs="Times New Roman"/>
          <w:bCs/>
          <w:sz w:val="22"/>
          <w:lang w:val="en-US"/>
        </w:rPr>
        <w:t xml:space="preserve">analyze the organization of digital waqf by </w:t>
      </w:r>
      <w:r w:rsidR="007C093F" w:rsidRPr="00BF0936">
        <w:rPr>
          <w:rFonts w:ascii="Times New Roman" w:eastAsia="Palatino Linotype" w:hAnsi="Times New Roman" w:cs="Times New Roman"/>
          <w:bCs/>
          <w:sz w:val="22"/>
          <w:lang w:val="en-US"/>
        </w:rPr>
        <w:t>social-enterprises</w:t>
      </w:r>
      <w:r w:rsidR="006F2F8D" w:rsidRPr="00BF0936">
        <w:rPr>
          <w:rFonts w:ascii="Times New Roman" w:eastAsia="Palatino Linotype" w:hAnsi="Times New Roman" w:cs="Times New Roman"/>
          <w:bCs/>
          <w:sz w:val="22"/>
          <w:lang w:val="en-US"/>
        </w:rPr>
        <w:t xml:space="preserve"> qualitatively</w:t>
      </w:r>
      <w:r w:rsidRPr="00BF0936">
        <w:rPr>
          <w:rFonts w:ascii="Times New Roman" w:eastAsia="Palatino Linotype" w:hAnsi="Times New Roman" w:cs="Times New Roman"/>
          <w:bCs/>
          <w:sz w:val="22"/>
          <w:lang w:val="en-US"/>
        </w:rPr>
        <w:t>.</w:t>
      </w:r>
    </w:p>
    <w:p w14:paraId="37CF0F4E" w14:textId="1D8AE414" w:rsidR="005764E3" w:rsidRPr="00BF0936" w:rsidRDefault="005764E3" w:rsidP="00292EAF">
      <w:pPr>
        <w:spacing w:after="0" w:line="240" w:lineRule="auto"/>
        <w:jc w:val="both"/>
        <w:rPr>
          <w:rFonts w:ascii="Times New Roman" w:eastAsia="Palatino Linotype" w:hAnsi="Times New Roman" w:cs="Times New Roman"/>
          <w:bCs/>
          <w:sz w:val="22"/>
          <w:lang w:val="en-US"/>
        </w:rPr>
      </w:pPr>
    </w:p>
    <w:p w14:paraId="745C8457" w14:textId="71F4C184" w:rsidR="005764E3" w:rsidRPr="00BF0936" w:rsidRDefault="005764E3"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2.3. Diffusion</w:t>
      </w:r>
      <w:r w:rsidR="00C2255B" w:rsidRPr="00BF0936">
        <w:rPr>
          <w:rFonts w:ascii="Times New Roman" w:eastAsia="Palatino Linotype" w:hAnsi="Times New Roman" w:cs="Times New Roman"/>
          <w:b/>
          <w:sz w:val="22"/>
          <w:lang w:val="en-US"/>
        </w:rPr>
        <w:t xml:space="preserve"> of</w:t>
      </w:r>
      <w:r w:rsidRPr="00BF0936">
        <w:rPr>
          <w:rFonts w:ascii="Times New Roman" w:eastAsia="Palatino Linotype" w:hAnsi="Times New Roman" w:cs="Times New Roman"/>
          <w:b/>
          <w:sz w:val="22"/>
          <w:lang w:val="en-US"/>
        </w:rPr>
        <w:t xml:space="preserve"> Innovation Theory</w:t>
      </w:r>
      <w:r w:rsidR="00C2255B" w:rsidRPr="00BF0936">
        <w:rPr>
          <w:rFonts w:ascii="Times New Roman" w:eastAsia="Palatino Linotype" w:hAnsi="Times New Roman" w:cs="Times New Roman"/>
          <w:b/>
          <w:sz w:val="22"/>
          <w:lang w:val="en-US"/>
        </w:rPr>
        <w:t xml:space="preserve"> (DOI)</w:t>
      </w:r>
    </w:p>
    <w:p w14:paraId="70199F0A" w14:textId="77777777" w:rsidR="00E67920" w:rsidRPr="00BF0936" w:rsidRDefault="00E67920" w:rsidP="00E67920">
      <w:pPr>
        <w:spacing w:after="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The diffusion of innovation (DOI) theory is a widely studied communication theory that has been examined from multiple perspectives and applied to a broad spectrum of products, services, and ideas (Bass, 1969; Moore, 1995). As a significant model for guiding technological advancement, DOI provides insight into how innovations can be presented and adapted in ways that maximize their adoption across different levels of society. Central to this theory is the role of peer networking and communication, which are essential for influencing the adoption process (Rogers, 2003). The origins of DOI can be traced to Everett Rogers’ seminal work in 1962, where he defined innovation as “a concept, practice, or thing that is seen as new by an individual or other unit of adoption” (Bick, 1963). Since then, innovations such as the Internet have demonstrated how technological advancements can shape individuals, organizations, and broader societal practices.</w:t>
      </w:r>
    </w:p>
    <w:p w14:paraId="21F729E3" w14:textId="77777777" w:rsidR="00E67920" w:rsidRPr="00BF0936" w:rsidRDefault="00E6792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In essence, DOI theory explains how individuals and organizations assimilate and adjust to new products, processes, concepts, or philosophies, while also clarifying the mechanisms that drive the acceptance of these innovations and the factors that influence their gradual diffusion over time. Rogers (2003) elaborates on this process by categorizing adopters into groups based on their receptiveness to new ideas, ranging from innovators and early adopters to the majority and laggards. Adoption begins with a small group of early adopters whose acceptance triggers a snowball effect as they influence others through demonstration, advocacy, and shared experiences. As more individuals and organizations adopt the innovation, the idea gains traction and progresses toward critical mass, eventually reaching widespread saturation.</w:t>
      </w:r>
    </w:p>
    <w:p w14:paraId="220EA8A2" w14:textId="37979110" w:rsidR="00E67920" w:rsidRPr="00BF0936" w:rsidRDefault="00E6792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In the present study, DOI theory is applied to examine the elements that influence the adoption of digital waqf mechanisms by social enterprises in fulfilling their cash-waqf social responsibility (CWSR). Within this context, digital waqf represents an innovation in philanthropic practice that aligns with both technological and social expectations. The theory helps explain why certain social enterprises are more likely to adopt digital waqf earlier than others, considering factors such as perceived relative advantage, compatibility with existing practices, complexity, trialability, and observability. These factors determine not only the pace at which digital waqf is embraced but also the degree to which it is embedded into the ethical and operational framework of social enterprises. By applying DOI to CWSR, the study highlights how digital innovation can accelerate the institutionalization of socially responsible practices, thereby strengthening the culture of waqf-based philanthropy and expanding its impact in society.</w:t>
      </w:r>
    </w:p>
    <w:p w14:paraId="4CA4F5B8" w14:textId="6F7364B0" w:rsidR="00E67920" w:rsidRPr="00BF0936" w:rsidRDefault="00E67920" w:rsidP="00E67920">
      <w:pPr>
        <w:spacing w:after="0" w:line="240" w:lineRule="auto"/>
        <w:jc w:val="both"/>
        <w:rPr>
          <w:rFonts w:ascii="Times New Roman" w:eastAsia="Palatino Linotype" w:hAnsi="Times New Roman" w:cs="Times New Roman"/>
          <w:bCs/>
          <w:sz w:val="22"/>
          <w:lang w:val="en-MY"/>
        </w:rPr>
      </w:pPr>
    </w:p>
    <w:p w14:paraId="38EAB3C4" w14:textId="1EFF3B8C" w:rsidR="00E67920" w:rsidRPr="00BF0936" w:rsidRDefault="00E67920" w:rsidP="00E67920">
      <w:pPr>
        <w:spacing w:after="0" w:line="240" w:lineRule="auto"/>
        <w:jc w:val="both"/>
        <w:rPr>
          <w:rFonts w:ascii="Times New Roman" w:eastAsia="Palatino Linotype" w:hAnsi="Times New Roman" w:cs="Times New Roman"/>
          <w:bCs/>
          <w:sz w:val="22"/>
          <w:lang w:val="en-MY"/>
        </w:rPr>
      </w:pPr>
    </w:p>
    <w:p w14:paraId="409C3F6E" w14:textId="77777777" w:rsidR="00E67920" w:rsidRPr="00BF0936" w:rsidRDefault="00E67920" w:rsidP="00E67920">
      <w:pPr>
        <w:spacing w:after="0" w:line="240" w:lineRule="auto"/>
        <w:jc w:val="both"/>
        <w:rPr>
          <w:rFonts w:ascii="Times New Roman" w:eastAsia="Palatino Linotype" w:hAnsi="Times New Roman" w:cs="Times New Roman"/>
          <w:bCs/>
          <w:sz w:val="22"/>
          <w:lang w:val="en-MY"/>
        </w:rPr>
      </w:pPr>
    </w:p>
    <w:p w14:paraId="3512F67B" w14:textId="193E7F5D" w:rsidR="00E91450" w:rsidRPr="00BF0936" w:rsidRDefault="00E91450"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2.4. Social Capital Theory</w:t>
      </w:r>
    </w:p>
    <w:p w14:paraId="52701DCE" w14:textId="32BEA4E0" w:rsidR="00CD0E73" w:rsidRPr="00BF0936" w:rsidRDefault="00A16323"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fldChar w:fldCharType="begin"/>
      </w:r>
      <w:r w:rsidR="003D12B1" w:rsidRPr="00BF0936">
        <w:rPr>
          <w:rFonts w:ascii="Times New Roman" w:eastAsia="Palatino Linotype" w:hAnsi="Times New Roman" w:cs="Times New Roman"/>
          <w:bCs/>
          <w:sz w:val="22"/>
          <w:lang w:val="en-US"/>
        </w:rPr>
        <w:instrText xml:space="preserve"> ADDIN ZOTERO_ITEM CSL_CITATION {"citationID":"CDRM6l0m","properties":{"formattedCitation":"(Woolcock, 2001)","plainCitation":"(Woolcock, 2001)","noteIndex":0},"citationItems":[{"id":5008,"uris":["http://zotero.org/users/11920205/items/PH69KBR8"],"itemData":{"id":5008,"type":"article-journal","container-title":"Canadian Journal of Policy Research","language":"en","page":"11-17","source":"Zotero","title":"The Place of Social Capital in Understanding Social and Economic Outcomes","volume":"2","author":[{"family":"Woolcock","given":"Michael"}],"issued":{"date-parts":[["2001"]]}}}],"schema":"https://github.com/citation-style-language/schema/raw/master/csl-citation.json"}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Woolcock</w:t>
      </w:r>
      <w:r w:rsidR="000C662F" w:rsidRPr="00BF0936">
        <w:rPr>
          <w:rFonts w:ascii="Times New Roman" w:hAnsi="Times New Roman" w:cs="Times New Roman"/>
          <w:sz w:val="22"/>
          <w:lang w:val="en-US"/>
        </w:rPr>
        <w:t xml:space="preserve"> (</w:t>
      </w:r>
      <w:r w:rsidR="00871A71" w:rsidRPr="00BF0936">
        <w:rPr>
          <w:rFonts w:ascii="Times New Roman" w:hAnsi="Times New Roman" w:cs="Times New Roman"/>
          <w:sz w:val="22"/>
        </w:rPr>
        <w:t>2001)</w:t>
      </w:r>
      <w:r w:rsidRPr="00BF0936">
        <w:rPr>
          <w:rFonts w:ascii="Times New Roman" w:eastAsia="Palatino Linotype" w:hAnsi="Times New Roman" w:cs="Times New Roman"/>
          <w:bCs/>
          <w:sz w:val="22"/>
          <w:lang w:val="en-US"/>
        </w:rPr>
        <w:fldChar w:fldCharType="end"/>
      </w:r>
      <w:r w:rsidR="0006718B" w:rsidRPr="00BF0936">
        <w:rPr>
          <w:rFonts w:ascii="Times New Roman" w:eastAsia="Palatino Linotype" w:hAnsi="Times New Roman" w:cs="Times New Roman"/>
          <w:bCs/>
          <w:sz w:val="22"/>
          <w:lang w:val="en-US"/>
        </w:rPr>
        <w:t xml:space="preserve"> </w:t>
      </w:r>
      <w:r w:rsidRPr="00BF0936">
        <w:rPr>
          <w:rFonts w:ascii="Times New Roman" w:eastAsia="Palatino Linotype" w:hAnsi="Times New Roman" w:cs="Times New Roman"/>
          <w:bCs/>
          <w:sz w:val="22"/>
          <w:lang w:val="en-US"/>
        </w:rPr>
        <w:t>define</w:t>
      </w:r>
      <w:r w:rsidR="000C662F" w:rsidRPr="00BF0936">
        <w:rPr>
          <w:rFonts w:ascii="Times New Roman" w:eastAsia="Palatino Linotype" w:hAnsi="Times New Roman" w:cs="Times New Roman"/>
          <w:bCs/>
          <w:sz w:val="22"/>
          <w:lang w:val="en-US"/>
        </w:rPr>
        <w:t>s social capital theory (SCT) as</w:t>
      </w:r>
      <w:r w:rsidRPr="00BF0936">
        <w:rPr>
          <w:rFonts w:ascii="Times New Roman" w:eastAsia="Palatino Linotype" w:hAnsi="Times New Roman" w:cs="Times New Roman"/>
          <w:bCs/>
          <w:sz w:val="22"/>
          <w:lang w:val="en-US"/>
        </w:rPr>
        <w:t xml:space="preserve"> the set of norms and networks that enable and support collective activity. Social capital theory asserts that the collaborative interactions among individuals yield advantages for both the individuals themselves and the collective to which they are affiliated. Social capital can be classified into two types: bonding social capital, which refers to the connections between persons who have similar social and cultural characteristics (such as family, neighbors, and friends), and bridging social capital, which refers to the connections between individuals from diverse backgrounds (such as work colleagues and acquaintances)</w:t>
      </w:r>
      <w:r w:rsidR="0006718B" w:rsidRPr="00BF0936">
        <w:rPr>
          <w:rFonts w:ascii="Times New Roman" w:eastAsia="Palatino Linotype" w:hAnsi="Times New Roman" w:cs="Times New Roman"/>
          <w:bCs/>
          <w:sz w:val="22"/>
          <w:lang w:val="en-US"/>
        </w:rPr>
        <w:t xml:space="preserve"> </w:t>
      </w:r>
      <w:r w:rsidR="0006718B" w:rsidRPr="00BF0936">
        <w:rPr>
          <w:rFonts w:ascii="Times New Roman" w:eastAsia="Palatino Linotype" w:hAnsi="Times New Roman" w:cs="Times New Roman"/>
          <w:bCs/>
          <w:sz w:val="22"/>
          <w:lang w:val="en-US"/>
        </w:rPr>
        <w:fldChar w:fldCharType="begin"/>
      </w:r>
      <w:r w:rsidR="0006718B" w:rsidRPr="00BF0936">
        <w:rPr>
          <w:rFonts w:ascii="Times New Roman" w:eastAsia="Palatino Linotype" w:hAnsi="Times New Roman" w:cs="Times New Roman"/>
          <w:bCs/>
          <w:sz w:val="22"/>
          <w:lang w:val="en-US"/>
        </w:rPr>
        <w:instrText xml:space="preserve"> ADDIN ZOTERO_ITEM CSL_CITATION {"citationID":"eVbkqhw5","properties":{"formattedCitation":"(Putnam, 1995)","plainCitation":"(Putnam, 1995)","noteIndex":0},"citationItems":[{"id":5006,"uris":["http://zotero.org/users/11920205/items/3M4VQU2W"],"itemData":{"id":5006,"type":"article-journal","container-title":"Journal of Democracy","ISSN":"1086-3214","issue":"1","note":"publisher: Johns Hopkins University Press","page":"65-78","source":"Project MUSE","title":"Bowling Alone: America's Declining Social Capital","title-short":"Bowling Alone","volume":"6","author":[{"family":"Putnam","given":"Robert D"}],"issued":{"date-parts":[["1995"]]}}}],"schema":"https://github.com/citation-style-language/schema/raw/master/csl-citation.json"} </w:instrText>
      </w:r>
      <w:r w:rsidR="0006718B"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(Putnam, 1995)</w:t>
      </w:r>
      <w:r w:rsidR="0006718B"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p>
    <w:p w14:paraId="4E8C33AB" w14:textId="3754704A" w:rsidR="00FD7D3C" w:rsidRPr="00BF0936" w:rsidRDefault="00A16323"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Both elements are essential for constructing a harmonious society, particularly one that embraces multiple cultures. </w:t>
      </w:r>
      <w:r w:rsidR="00964D32" w:rsidRPr="00BF0936">
        <w:rPr>
          <w:rFonts w:ascii="Times New Roman" w:eastAsia="Palatino Linotype" w:hAnsi="Times New Roman" w:cs="Times New Roman"/>
          <w:bCs/>
          <w:sz w:val="22"/>
          <w:lang w:val="en-MY"/>
        </w:rPr>
        <w:t xml:space="preserve">Bonding social capital refers to the connections that reinforce shared norms of reciprocity and solidarity inside a specific group. </w:t>
      </w:r>
      <w:r w:rsidRPr="00BF0936">
        <w:rPr>
          <w:rFonts w:ascii="Times New Roman" w:eastAsia="Palatino Linotype" w:hAnsi="Times New Roman" w:cs="Times New Roman"/>
          <w:bCs/>
          <w:sz w:val="22"/>
          <w:lang w:val="en-US"/>
        </w:rPr>
        <w:t>On the other hand, bridging social capital facilitates the spread of knowledge and establishes connections with external resources. Unlike bonding social capital, bridging social capital also helps to expand social identities outside a specific group.</w:t>
      </w:r>
      <w:r w:rsidR="00D41DE3" w:rsidRPr="00BF0936">
        <w:rPr>
          <w:rFonts w:ascii="Times New Roman" w:hAnsi="Times New Roman" w:cs="Times New Roman"/>
          <w:sz w:val="22"/>
        </w:rPr>
        <w:t xml:space="preserve"> </w:t>
      </w:r>
      <w:r w:rsidR="00274D7D" w:rsidRPr="00BF0936">
        <w:rPr>
          <w:rFonts w:ascii="Times New Roman" w:eastAsia="Palatino Linotype" w:hAnsi="Times New Roman" w:cs="Times New Roman"/>
          <w:bCs/>
          <w:sz w:val="22"/>
          <w:lang w:val="en-US"/>
        </w:rPr>
        <w:t>The s</w:t>
      </w:r>
      <w:r w:rsidR="00D41DE3" w:rsidRPr="00BF0936">
        <w:rPr>
          <w:rFonts w:ascii="Times New Roman" w:eastAsia="Palatino Linotype" w:hAnsi="Times New Roman" w:cs="Times New Roman"/>
          <w:bCs/>
          <w:sz w:val="22"/>
          <w:lang w:val="en-US"/>
        </w:rPr>
        <w:t xml:space="preserve">ocial capital framework is essentially shaped by the following features: networks (bonding and bridging), values, norms and outlook in life, diversity, reciprocity, participation, citizen power (proactivity), and sense of belonging </w:t>
      </w:r>
      <w:r w:rsidR="00D41DE3" w:rsidRPr="00BF0936">
        <w:rPr>
          <w:rFonts w:ascii="Times New Roman" w:eastAsia="Palatino Linotype" w:hAnsi="Times New Roman" w:cs="Times New Roman"/>
          <w:bCs/>
          <w:sz w:val="22"/>
          <w:lang w:val="en-US"/>
        </w:rPr>
        <w:fldChar w:fldCharType="begin"/>
      </w:r>
      <w:r w:rsidR="00D41DE3" w:rsidRPr="00BF0936">
        <w:rPr>
          <w:rFonts w:ascii="Times New Roman" w:eastAsia="Palatino Linotype" w:hAnsi="Times New Roman" w:cs="Times New Roman"/>
          <w:bCs/>
          <w:sz w:val="22"/>
          <w:lang w:val="en-US"/>
        </w:rPr>
        <w:instrText xml:space="preserve"> ADDIN ZOTERO_ITEM CSL_CITATION {"citationID":"EPkjHLo9","properties":{"formattedCitation":"(Abramuszkinova &amp; Wacey, 2013)","plainCitation":"(Abramuszkinova &amp; Wacey, 2013)","noteIndex":0},"citationItems":[{"id":5009,"uris":["http://zotero.org/users/11920205/items/PYB9QLJM"],"itemData":{"id":5009,"type":"article-journal","abstract":"The article deals with corporate social responsibility and its relationship to strategic management dealing with acquisition, development and utilisation of essential inputs. They influence the design of processes related to the creation of products or services that satisfy customers' needs. Authors claim that the successful securing, deployment and development of any input is of human origin or linked to human activity which means that the nature of relationships plays a crucial role. As businesses are not isolated, they operate on a global scale where the question of trust is very important. The concept of social capital stresses that trust in norms and reciprocity facilitate increased productivity in individuals, teams and organisations. Social capital promotes value-added collaboration including on-going and demonstrative transparency which can secure closer bonding among those group members. Business responsibility, CSR and Putnam's definition of social capital is shown on real case studies as a sign of importance for credibility and effectiveness of any CSR eff orts. It is evident that the good will and support garnered from CSR can be fragile and easily damaged.","container-title":"Acta Universitatis Agriculturae et Silviculturae Mendelianae Brunensis","DOI":"10.11118/actaun201361020267","journalAbbreviation":"Acta Universitatis Agriculturae et Silviculturae Mendelianae Brunensis","page":"267-272","source":"ResearchGate","title":"Social capital theory related to corporate social responsibility","volume":"61","author":[{"family":"Abramuszkinova","given":"Eva"},{"family":"Wacey","given":"Karl"}],"issued":{"date-parts":[["2013",4,24]]}}}],"schema":"https://github.com/citation-style-language/schema/raw/master/csl-citation.json"} </w:instrText>
      </w:r>
      <w:r w:rsidR="00D41DE3"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(Abramuszkinova &amp; Wacey, 2013)</w:t>
      </w:r>
      <w:r w:rsidR="00D41DE3" w:rsidRPr="00BF0936">
        <w:rPr>
          <w:rFonts w:ascii="Times New Roman" w:eastAsia="Palatino Linotype" w:hAnsi="Times New Roman" w:cs="Times New Roman"/>
          <w:bCs/>
          <w:sz w:val="22"/>
          <w:lang w:val="en-US"/>
        </w:rPr>
        <w:fldChar w:fldCharType="end"/>
      </w:r>
      <w:r w:rsidR="00D41DE3" w:rsidRPr="00BF0936">
        <w:rPr>
          <w:rFonts w:ascii="Times New Roman" w:eastAsia="Palatino Linotype" w:hAnsi="Times New Roman" w:cs="Times New Roman"/>
          <w:bCs/>
          <w:sz w:val="22"/>
          <w:lang w:val="en-US"/>
        </w:rPr>
        <w:t xml:space="preserve">. </w:t>
      </w:r>
    </w:p>
    <w:p w14:paraId="1286A078" w14:textId="2DF4C6DC" w:rsidR="00CD0E73" w:rsidRPr="00BF0936" w:rsidRDefault="00CD0E73" w:rsidP="00292EAF">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Moreover, </w:t>
      </w:r>
      <w:r w:rsidR="00274D7D" w:rsidRPr="00BF0936">
        <w:rPr>
          <w:rFonts w:ascii="Times New Roman" w:eastAsia="Palatino Linotype" w:hAnsi="Times New Roman" w:cs="Times New Roman"/>
          <w:bCs/>
          <w:sz w:val="22"/>
          <w:lang w:val="en-MY"/>
        </w:rPr>
        <w:t>political science and economics literature</w:t>
      </w:r>
      <w:r w:rsidRPr="00BF0936">
        <w:rPr>
          <w:rFonts w:ascii="Times New Roman" w:eastAsia="Palatino Linotype" w:hAnsi="Times New Roman" w:cs="Times New Roman"/>
          <w:bCs/>
          <w:sz w:val="22"/>
          <w:lang w:val="en-MY"/>
        </w:rPr>
        <w:t xml:space="preserve"> frequently regard social capital as the norm. In society, for instance, </w:t>
      </w:r>
      <w:r w:rsidR="004136DA" w:rsidRPr="00BF0936">
        <w:rPr>
          <w:rFonts w:ascii="Times New Roman" w:eastAsia="Palatino Linotype" w:hAnsi="Times New Roman" w:cs="Times New Roman"/>
          <w:bCs/>
          <w:sz w:val="22"/>
          <w:lang w:val="en-MY"/>
        </w:rPr>
        <w:fldChar w:fldCharType="begin"/>
      </w:r>
      <w:r w:rsidR="004136DA" w:rsidRPr="00BF0936">
        <w:rPr>
          <w:rFonts w:ascii="Times New Roman" w:eastAsia="Palatino Linotype" w:hAnsi="Times New Roman" w:cs="Times New Roman"/>
          <w:bCs/>
          <w:sz w:val="22"/>
          <w:lang w:val="en-MY"/>
        </w:rPr>
        <w:instrText xml:space="preserve"> ADDIN ZOTERO_ITEM CSL_CITATION {"citationID":"6zShZCz3","properties":{"formattedCitation":"(Guiso et al., 2004)","plainCitation":"(Guiso et al., 2004)","noteIndex":0},"citationItems":[{"id":5016,"uris":["http://zotero.org/users/11920205/items/TPDCBMTD"],"itemData":{"id":5016,"type":"article-journal","container-title":"American Economic Review","issue":"94","page":"526-556","title":"The role of social capital in financial development","author":[{"family":"Guiso","given":"L"},{"family":"Sapienza","given":"P"},{"family":"Zingales","given":"L"}],"issued":{"date-parts":[["2004"]]}}}],"schema":"https://github.com/citation-style-language/schema/raw/master/csl-citation.json"} </w:instrText>
      </w:r>
      <w:r w:rsidR="004136DA" w:rsidRPr="00BF0936">
        <w:rPr>
          <w:rFonts w:ascii="Times New Roman" w:eastAsia="Palatino Linotype" w:hAnsi="Times New Roman" w:cs="Times New Roman"/>
          <w:bCs/>
          <w:sz w:val="22"/>
          <w:lang w:val="en-MY"/>
        </w:rPr>
        <w:fldChar w:fldCharType="separate"/>
      </w:r>
      <w:r w:rsidR="00871A71" w:rsidRPr="00BF0936">
        <w:rPr>
          <w:rFonts w:ascii="Times New Roman" w:hAnsi="Times New Roman" w:cs="Times New Roman"/>
          <w:sz w:val="22"/>
        </w:rPr>
        <w:t>(Guiso et al., 2004)</w:t>
      </w:r>
      <w:r w:rsidR="004136DA" w:rsidRPr="00BF0936">
        <w:rPr>
          <w:rFonts w:ascii="Times New Roman" w:eastAsia="Palatino Linotype" w:hAnsi="Times New Roman" w:cs="Times New Roman"/>
          <w:bCs/>
          <w:sz w:val="22"/>
          <w:lang w:val="en-MY"/>
        </w:rPr>
        <w:fldChar w:fldCharType="end"/>
      </w:r>
      <w:r w:rsidR="004136DA" w:rsidRPr="00BF0936">
        <w:rPr>
          <w:rFonts w:ascii="Times New Roman" w:eastAsia="Palatino Linotype" w:hAnsi="Times New Roman" w:cs="Times New Roman"/>
          <w:bCs/>
          <w:sz w:val="22"/>
          <w:lang w:val="en-MY"/>
        </w:rPr>
        <w:t xml:space="preserve"> </w:t>
      </w:r>
      <w:r w:rsidRPr="00BF0936">
        <w:rPr>
          <w:rFonts w:ascii="Times New Roman" w:eastAsia="Palatino Linotype" w:hAnsi="Times New Roman" w:cs="Times New Roman"/>
          <w:bCs/>
          <w:sz w:val="22"/>
          <w:lang w:val="en-MY"/>
        </w:rPr>
        <w:t xml:space="preserve">define social capital as the degrees of mutual trust and altruistic disposition. The existence of a specific set of informal values or standards shared by </w:t>
      </w:r>
      <w:r w:rsidR="00274D7D" w:rsidRPr="00BF0936">
        <w:rPr>
          <w:rFonts w:ascii="Times New Roman" w:eastAsia="Palatino Linotype" w:hAnsi="Times New Roman" w:cs="Times New Roman"/>
          <w:bCs/>
          <w:sz w:val="22"/>
          <w:lang w:val="en-MY"/>
        </w:rPr>
        <w:t>group members</w:t>
      </w:r>
      <w:r w:rsidRPr="00BF0936">
        <w:rPr>
          <w:rFonts w:ascii="Times New Roman" w:eastAsia="Palatino Linotype" w:hAnsi="Times New Roman" w:cs="Times New Roman"/>
          <w:bCs/>
          <w:sz w:val="22"/>
          <w:lang w:val="en-MY"/>
        </w:rPr>
        <w:t xml:space="preserve"> that allow collaboration among them is what </w:t>
      </w:r>
      <w:r w:rsidR="004136DA" w:rsidRPr="00BF0936">
        <w:rPr>
          <w:rFonts w:ascii="Times New Roman" w:eastAsia="Palatino Linotype" w:hAnsi="Times New Roman" w:cs="Times New Roman"/>
          <w:bCs/>
          <w:sz w:val="22"/>
          <w:lang w:val="en-MY"/>
        </w:rPr>
        <w:fldChar w:fldCharType="begin"/>
      </w:r>
      <w:r w:rsidR="004136DA" w:rsidRPr="00BF0936">
        <w:rPr>
          <w:rFonts w:ascii="Times New Roman" w:eastAsia="Palatino Linotype" w:hAnsi="Times New Roman" w:cs="Times New Roman"/>
          <w:bCs/>
          <w:sz w:val="22"/>
          <w:lang w:val="en-MY"/>
        </w:rPr>
        <w:instrText xml:space="preserve"> ADDIN ZOTERO_ITEM CSL_CITATION {"citationID":"mziqZPkt","properties":{"formattedCitation":"(Fukuyama, 1997)","plainCitation":"(Fukuyama, 1997)","noteIndex":0},"citationItems":[{"id":5015,"uris":["http://zotero.org/users/11920205/items/A5KW2TTC"],"itemData":{"id":5015,"type":"article-journal","container-title":"Stern Business Magazine","issue":"1","page":"1-16","title":"Social capital and the modern capitalist economy: Creating a high trust workplace","volume":"4","author":[{"family":"Fukuyama","given":"Francis"}],"issued":{"date-parts":[["1997"]]}}}],"schema":"https://github.com/citation-style-language/schema/raw/master/csl-citation.json"} </w:instrText>
      </w:r>
      <w:r w:rsidR="004136DA" w:rsidRPr="00BF0936">
        <w:rPr>
          <w:rFonts w:ascii="Times New Roman" w:eastAsia="Palatino Linotype" w:hAnsi="Times New Roman" w:cs="Times New Roman"/>
          <w:bCs/>
          <w:sz w:val="22"/>
          <w:lang w:val="en-MY"/>
        </w:rPr>
        <w:fldChar w:fldCharType="separate"/>
      </w:r>
      <w:r w:rsidR="00871A71" w:rsidRPr="00BF0936">
        <w:rPr>
          <w:rFonts w:ascii="Times New Roman" w:hAnsi="Times New Roman" w:cs="Times New Roman"/>
          <w:sz w:val="22"/>
        </w:rPr>
        <w:t>(Fukuyama, 1997)</w:t>
      </w:r>
      <w:r w:rsidR="004136DA" w:rsidRPr="00BF0936">
        <w:rPr>
          <w:rFonts w:ascii="Times New Roman" w:eastAsia="Palatino Linotype" w:hAnsi="Times New Roman" w:cs="Times New Roman"/>
          <w:bCs/>
          <w:sz w:val="22"/>
          <w:lang w:val="en-MY"/>
        </w:rPr>
        <w:fldChar w:fldCharType="end"/>
      </w:r>
      <w:r w:rsidR="004136DA" w:rsidRPr="00BF0936">
        <w:rPr>
          <w:rFonts w:ascii="Times New Roman" w:eastAsia="Palatino Linotype" w:hAnsi="Times New Roman" w:cs="Times New Roman"/>
          <w:bCs/>
          <w:sz w:val="22"/>
          <w:lang w:val="en-MY"/>
        </w:rPr>
        <w:t xml:space="preserve"> </w:t>
      </w:r>
      <w:r w:rsidRPr="00BF0936">
        <w:rPr>
          <w:rFonts w:ascii="Times New Roman" w:eastAsia="Palatino Linotype" w:hAnsi="Times New Roman" w:cs="Times New Roman"/>
          <w:bCs/>
          <w:sz w:val="22"/>
          <w:lang w:val="en-MY"/>
        </w:rPr>
        <w:t xml:space="preserve">characterizes as social capital. </w:t>
      </w:r>
      <w:r w:rsidR="00274D7D" w:rsidRPr="00BF0936">
        <w:rPr>
          <w:rFonts w:ascii="Times New Roman" w:eastAsia="Palatino Linotype" w:hAnsi="Times New Roman" w:cs="Times New Roman"/>
          <w:bCs/>
          <w:sz w:val="22"/>
          <w:lang w:val="en-MY"/>
        </w:rPr>
        <w:t>However,</w:t>
      </w:r>
      <w:r w:rsidRPr="00BF0936">
        <w:rPr>
          <w:rFonts w:ascii="Times New Roman" w:eastAsia="Palatino Linotype" w:hAnsi="Times New Roman" w:cs="Times New Roman"/>
          <w:bCs/>
          <w:sz w:val="22"/>
          <w:lang w:val="en-MY"/>
        </w:rPr>
        <w:t xml:space="preserve"> academics in the management literature frequently see social capital as a collection of networks that help the participants </w:t>
      </w:r>
      <w:r w:rsidR="004136DA" w:rsidRPr="00BF0936">
        <w:rPr>
          <w:rFonts w:ascii="Times New Roman" w:eastAsia="Palatino Linotype" w:hAnsi="Times New Roman" w:cs="Times New Roman"/>
          <w:bCs/>
          <w:sz w:val="22"/>
          <w:lang w:val="en-MY"/>
        </w:rPr>
        <w:fldChar w:fldCharType="begin"/>
      </w:r>
      <w:r w:rsidR="004136DA" w:rsidRPr="00BF0936">
        <w:rPr>
          <w:rFonts w:ascii="Times New Roman" w:eastAsia="Palatino Linotype" w:hAnsi="Times New Roman" w:cs="Times New Roman"/>
          <w:bCs/>
          <w:sz w:val="22"/>
          <w:lang w:val="en-MY"/>
        </w:rPr>
        <w:instrText xml:space="preserve"> ADDIN ZOTERO_ITEM CSL_CITATION {"citationID":"SjsKwTA1","properties":{"formattedCitation":"(Aguinis et al., 2011)","plainCitation":"(Aguinis et al., 2011)","noteIndex":0},"citationItems":[{"id":5014,"uris":["http://zotero.org/users/11920205/items/AKE6GP4S"],"itemData":{"id":5014,"type":"article-journal","abstract":"Social capital refers to the resources derived from social relationships. Although the concept of social capital has been applied at the individual, group, and organizational levels of analysis, researchers have yet to fully embrace social capital’s potential as a multilevel lens through which we might better understand management and organizational phenomena. With a central objective of advancing social capital’s potential as a multilevel theoretical perspective, the authors make two contributions to the management literature. First, the authors comprehensively review two decades of management research to highlight how social capital has been empirically applied across levels of analysis. Second, based on the shortcomings and challenges revealed through the literature review, the authors identify and discuss avenues for future multilevel research, including suggestions for both macro and micro researchers.","container-title":"Journal of Management","DOI":"10.1177/0149206310372413","ISSN":"0149-2063","issue":"2","language":"en","note":"publisher: SAGE Publications Inc","page":"491-520","source":"SAGE Journals","title":"Multilevel Challenges and Opportunities in Social Capital Research","volume":"37","author":[{"family":"Aguinis","given":"Herman"},{"family":"Boyd","given":"Brian K."},{"family":"Pierce","given":"Charles A."},{"family":"Short","given":"Jeremy C."},{"family":"Payne","given":"G. Tyge"},{"family":"Moore","given":"Curt B."},{"family":"Griffis","given":"Stanley E."},{"family":"Autry","given":"Chad W."}],"issued":{"date-parts":[["2011",3,1]]}}}],"schema":"https://github.com/citation-style-language/schema/raw/master/csl-citation.json"} </w:instrText>
      </w:r>
      <w:r w:rsidR="004136DA" w:rsidRPr="00BF0936">
        <w:rPr>
          <w:rFonts w:ascii="Times New Roman" w:eastAsia="Palatino Linotype" w:hAnsi="Times New Roman" w:cs="Times New Roman"/>
          <w:bCs/>
          <w:sz w:val="22"/>
          <w:lang w:val="en-MY"/>
        </w:rPr>
        <w:fldChar w:fldCharType="separate"/>
      </w:r>
      <w:r w:rsidR="00871A71" w:rsidRPr="00BF0936">
        <w:rPr>
          <w:rFonts w:ascii="Times New Roman" w:hAnsi="Times New Roman" w:cs="Times New Roman"/>
          <w:sz w:val="22"/>
        </w:rPr>
        <w:t>(Aguinis et al., 2011)</w:t>
      </w:r>
      <w:r w:rsidR="004136DA" w:rsidRPr="00BF0936">
        <w:rPr>
          <w:rFonts w:ascii="Times New Roman" w:eastAsia="Palatino Linotype" w:hAnsi="Times New Roman" w:cs="Times New Roman"/>
          <w:bCs/>
          <w:sz w:val="22"/>
          <w:lang w:val="en-MY"/>
        </w:rPr>
        <w:fldChar w:fldCharType="end"/>
      </w:r>
      <w:r w:rsidR="004136DA" w:rsidRPr="00BF0936">
        <w:rPr>
          <w:rFonts w:ascii="Times New Roman" w:eastAsia="Palatino Linotype" w:hAnsi="Times New Roman" w:cs="Times New Roman"/>
          <w:bCs/>
          <w:sz w:val="22"/>
          <w:lang w:val="en-MY"/>
        </w:rPr>
        <w:t xml:space="preserve">. </w:t>
      </w:r>
      <w:r w:rsidRPr="00BF0936">
        <w:rPr>
          <w:rFonts w:ascii="Times New Roman" w:eastAsia="Palatino Linotype" w:hAnsi="Times New Roman" w:cs="Times New Roman"/>
          <w:bCs/>
          <w:sz w:val="22"/>
          <w:lang w:val="en-MY"/>
        </w:rPr>
        <w:t xml:space="preserve">Strong networks, they argue, are resources unto themselves. For instance, an agent may fear </w:t>
      </w:r>
      <w:r w:rsidR="00274D7D" w:rsidRPr="00BF0936">
        <w:rPr>
          <w:rFonts w:ascii="Times New Roman" w:eastAsia="Palatino Linotype" w:hAnsi="Times New Roman" w:cs="Times New Roman"/>
          <w:bCs/>
          <w:sz w:val="22"/>
          <w:lang w:val="en-MY"/>
        </w:rPr>
        <w:t>more significant</w:t>
      </w:r>
      <w:r w:rsidRPr="00BF0936">
        <w:rPr>
          <w:rFonts w:ascii="Times New Roman" w:eastAsia="Palatino Linotype" w:hAnsi="Times New Roman" w:cs="Times New Roman"/>
          <w:bCs/>
          <w:sz w:val="22"/>
          <w:lang w:val="en-MY"/>
        </w:rPr>
        <w:t xml:space="preserve"> consequences for </w:t>
      </w:r>
      <w:proofErr w:type="spellStart"/>
      <w:r w:rsidRPr="00BF0936">
        <w:rPr>
          <w:rFonts w:ascii="Times New Roman" w:eastAsia="Palatino Linotype" w:hAnsi="Times New Roman" w:cs="Times New Roman"/>
          <w:bCs/>
          <w:sz w:val="22"/>
          <w:lang w:val="en-MY"/>
        </w:rPr>
        <w:t>misbehavior</w:t>
      </w:r>
      <w:proofErr w:type="spellEnd"/>
      <w:r w:rsidRPr="00BF0936">
        <w:rPr>
          <w:rFonts w:ascii="Times New Roman" w:eastAsia="Palatino Linotype" w:hAnsi="Times New Roman" w:cs="Times New Roman"/>
          <w:bCs/>
          <w:sz w:val="22"/>
          <w:lang w:val="en-MY"/>
        </w:rPr>
        <w:t xml:space="preserve"> when these social networks are robust </w:t>
      </w:r>
      <w:r w:rsidR="004136DA" w:rsidRPr="00BF0936">
        <w:rPr>
          <w:rFonts w:ascii="Times New Roman" w:eastAsia="Palatino Linotype" w:hAnsi="Times New Roman" w:cs="Times New Roman"/>
          <w:bCs/>
          <w:sz w:val="22"/>
          <w:lang w:val="en-MY"/>
        </w:rPr>
        <w:fldChar w:fldCharType="begin"/>
      </w:r>
      <w:r w:rsidR="004136DA" w:rsidRPr="00BF0936">
        <w:rPr>
          <w:rFonts w:ascii="Times New Roman" w:eastAsia="Palatino Linotype" w:hAnsi="Times New Roman" w:cs="Times New Roman"/>
          <w:bCs/>
          <w:sz w:val="22"/>
          <w:lang w:val="en-MY"/>
        </w:rPr>
        <w:instrText xml:space="preserve"> ADDIN ZOTERO_ITEM CSL_CITATION {"citationID":"Y0aYuST6","properties":{"formattedCitation":"(Coleman, 1990; Spagnolo, 1999)","plainCitation":"(Coleman, 1990; Spagnolo, 1999)","noteIndex":0},"citationItems":[{"id":5017,"uris":["http://zotero.org/users/11920205/items/8YA55QXJ"],"itemData":{"id":5017,"type":"book","event-place":"Cambridge, Mass","publisher":"Belknap Press of Harvard University Press","publisher-place":"Cambridge, Mass","title":"Foundations of Social Theory","author":[{"family":"Coleman","given":"J.S"}],"issued":{"date-parts":[["1990"]]}}},{"id":5018,"uris":["http://zotero.org/users/11920205/items/6ZVIDM95"],"itemData":{"id":5018,"type":"article-journal","abstract":"This paper addresses the effects of social relations on cooperation (or collusion) in organizations (or communities). Social and production relations are modeled as separate repeated strategic interactions. “Linking” them – by employing members of the same community or encouraging social interaction between employees – facilitates cooperation in production: (a) because of available “social capital,” the slack of enforcement power present in social relations which may discipline behavior in the workplace; (b) because payoffs from the two relations are substitutes, therefore the linkage endogenously generates social capital; (c) because the linkage generates transfers of “trust”; and (d) it discloses information about agents' situation.","container-title":"Journal of Economic Behavior &amp; Organization","DOI":"10.1016/S0167-2681(98)00119-X","ISSN":"0167-2681","issue":"1","journalAbbreviation":"Journal of Economic Behavior &amp; Organization","page":"1-25","source":"ScienceDirect","title":"Social relations and cooperation in organizations","volume":"38","author":[{"family":"Spagnolo","given":"Giancarlo"}],"issued":{"date-parts":[["1999",1,1]]}}}],"schema":"https://github.com/citation-style-language/schema/raw/master/csl-citation.json"} </w:instrText>
      </w:r>
      <w:r w:rsidR="004136DA" w:rsidRPr="00BF0936">
        <w:rPr>
          <w:rFonts w:ascii="Times New Roman" w:eastAsia="Palatino Linotype" w:hAnsi="Times New Roman" w:cs="Times New Roman"/>
          <w:bCs/>
          <w:sz w:val="22"/>
          <w:lang w:val="en-MY"/>
        </w:rPr>
        <w:fldChar w:fldCharType="separate"/>
      </w:r>
      <w:r w:rsidR="00871A71" w:rsidRPr="00BF0936">
        <w:rPr>
          <w:rFonts w:ascii="Times New Roman" w:hAnsi="Times New Roman" w:cs="Times New Roman"/>
          <w:sz w:val="22"/>
        </w:rPr>
        <w:t>(Coleman, 1990; Spagnolo, 1999)</w:t>
      </w:r>
      <w:r w:rsidR="004136DA" w:rsidRPr="00BF0936">
        <w:rPr>
          <w:rFonts w:ascii="Times New Roman" w:eastAsia="Palatino Linotype" w:hAnsi="Times New Roman" w:cs="Times New Roman"/>
          <w:bCs/>
          <w:sz w:val="22"/>
          <w:lang w:val="en-MY"/>
        </w:rPr>
        <w:fldChar w:fldCharType="end"/>
      </w:r>
      <w:r w:rsidR="004136DA" w:rsidRPr="00BF0936">
        <w:rPr>
          <w:rFonts w:ascii="Times New Roman" w:eastAsia="Palatino Linotype" w:hAnsi="Times New Roman" w:cs="Times New Roman"/>
          <w:bCs/>
          <w:sz w:val="22"/>
          <w:lang w:val="en-MY"/>
        </w:rPr>
        <w:t xml:space="preserve">. </w:t>
      </w:r>
      <w:r w:rsidRPr="00BF0936">
        <w:rPr>
          <w:rFonts w:ascii="Times New Roman" w:eastAsia="Palatino Linotype" w:hAnsi="Times New Roman" w:cs="Times New Roman"/>
          <w:bCs/>
          <w:sz w:val="22"/>
          <w:lang w:val="en-MY"/>
        </w:rPr>
        <w:t xml:space="preserve">Stated differently, strong networks are the cause of excellent </w:t>
      </w:r>
      <w:proofErr w:type="spellStart"/>
      <w:r w:rsidRPr="00BF0936">
        <w:rPr>
          <w:rFonts w:ascii="Times New Roman" w:eastAsia="Palatino Linotype" w:hAnsi="Times New Roman" w:cs="Times New Roman"/>
          <w:bCs/>
          <w:sz w:val="22"/>
          <w:lang w:val="en-MY"/>
        </w:rPr>
        <w:t>behavior</w:t>
      </w:r>
      <w:proofErr w:type="spellEnd"/>
      <w:r w:rsidRPr="00BF0936">
        <w:rPr>
          <w:rFonts w:ascii="Times New Roman" w:eastAsia="Palatino Linotype" w:hAnsi="Times New Roman" w:cs="Times New Roman"/>
          <w:bCs/>
          <w:sz w:val="22"/>
          <w:lang w:val="en-MY"/>
        </w:rPr>
        <w:t>.</w:t>
      </w:r>
    </w:p>
    <w:p w14:paraId="12E268C0" w14:textId="77777777" w:rsidR="00865DF0" w:rsidRPr="00BF0936" w:rsidRDefault="00865DF0" w:rsidP="00865DF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Social capital theory provides a useful lens for understanding how social enterprises utilise digital waqf mechanisms to fulfil their cash-waqf social responsibility (CWSR). At its core, social capital refers to the value embedded in social networks, norms, and trust that facilitate collective action and cooperation (Putnam, 1995; Fukuyama, 1997; Portes, 1998). Although norms and networks may appear conceptually distinct, they are closely intertwined; over time, robust networks foster cooperative norms, and such norms become internalised across generations, thereby discouraging opportunistic behaviour and encouraging collaboration.</w:t>
      </w:r>
    </w:p>
    <w:p w14:paraId="32B3CABC" w14:textId="77777777" w:rsidR="00865DF0" w:rsidRPr="00BF0936" w:rsidRDefault="00865DF0" w:rsidP="00865DF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lastRenderedPageBreak/>
        <w:t xml:space="preserve">Within the context of cash waqf, social capital explains why social enterprises are motivated to channel resources through digital platforms as a form of social responsibility. Strong networks among entrepreneurs, waqf institutions, and communities create an enabling environment where collective trust in digital systems reduces </w:t>
      </w:r>
      <w:proofErr w:type="spellStart"/>
      <w:r w:rsidRPr="00BF0936">
        <w:rPr>
          <w:rFonts w:ascii="Times New Roman" w:eastAsia="Palatino Linotype" w:hAnsi="Times New Roman" w:cs="Times New Roman"/>
          <w:bCs/>
          <w:sz w:val="22"/>
          <w:lang w:val="en-MY"/>
        </w:rPr>
        <w:t>skepticism</w:t>
      </w:r>
      <w:proofErr w:type="spellEnd"/>
      <w:r w:rsidRPr="00BF0936">
        <w:rPr>
          <w:rFonts w:ascii="Times New Roman" w:eastAsia="Palatino Linotype" w:hAnsi="Times New Roman" w:cs="Times New Roman"/>
          <w:bCs/>
          <w:sz w:val="22"/>
          <w:lang w:val="en-MY"/>
        </w:rPr>
        <w:t xml:space="preserve"> and enhances participation. Digital platforms extend these networks beyond physical and geographical limitations, allowing social enterprises to engage in transparent and efficient giving while reinforcing social bonds with stakeholders.</w:t>
      </w:r>
    </w:p>
    <w:p w14:paraId="6DC962AF" w14:textId="35ECB5D3" w:rsidR="00865DF0" w:rsidRPr="00BF0936" w:rsidRDefault="00865DF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The normative dimension of social capital is also critical. Participation in digital cash waqf reflects not only instrumental considerations of efficiency but also a commitment to shared ethical values such as generosity (</w:t>
      </w:r>
      <w:proofErr w:type="spellStart"/>
      <w:r w:rsidRPr="00BF0936">
        <w:rPr>
          <w:rFonts w:ascii="Times New Roman" w:eastAsia="Palatino Linotype" w:hAnsi="Times New Roman" w:cs="Times New Roman"/>
          <w:bCs/>
          <w:sz w:val="22"/>
          <w:lang w:val="en-MY"/>
        </w:rPr>
        <w:t>ihsan</w:t>
      </w:r>
      <w:proofErr w:type="spellEnd"/>
      <w:r w:rsidRPr="00BF0936">
        <w:rPr>
          <w:rFonts w:ascii="Times New Roman" w:eastAsia="Palatino Linotype" w:hAnsi="Times New Roman" w:cs="Times New Roman"/>
          <w:bCs/>
          <w:sz w:val="22"/>
          <w:lang w:val="en-MY"/>
        </w:rPr>
        <w:t>), trustworthiness (</w:t>
      </w:r>
      <w:proofErr w:type="spellStart"/>
      <w:r w:rsidRPr="00BF0936">
        <w:rPr>
          <w:rFonts w:ascii="Times New Roman" w:eastAsia="Palatino Linotype" w:hAnsi="Times New Roman" w:cs="Times New Roman"/>
          <w:bCs/>
          <w:sz w:val="22"/>
          <w:lang w:val="en-MY"/>
        </w:rPr>
        <w:t>amanah</w:t>
      </w:r>
      <w:proofErr w:type="spellEnd"/>
      <w:r w:rsidRPr="00BF0936">
        <w:rPr>
          <w:rFonts w:ascii="Times New Roman" w:eastAsia="Palatino Linotype" w:hAnsi="Times New Roman" w:cs="Times New Roman"/>
          <w:bCs/>
          <w:sz w:val="22"/>
          <w:lang w:val="en-MY"/>
        </w:rPr>
        <w:t>), and solidarity (</w:t>
      </w:r>
      <w:proofErr w:type="spellStart"/>
      <w:r w:rsidRPr="00BF0936">
        <w:rPr>
          <w:rFonts w:ascii="Times New Roman" w:eastAsia="Palatino Linotype" w:hAnsi="Times New Roman" w:cs="Times New Roman"/>
          <w:bCs/>
          <w:sz w:val="22"/>
          <w:lang w:val="en-MY"/>
        </w:rPr>
        <w:t>ukhuwah</w:t>
      </w:r>
      <w:proofErr w:type="spellEnd"/>
      <w:r w:rsidRPr="00BF0936">
        <w:rPr>
          <w:rFonts w:ascii="Times New Roman" w:eastAsia="Palatino Linotype" w:hAnsi="Times New Roman" w:cs="Times New Roman"/>
          <w:bCs/>
          <w:sz w:val="22"/>
          <w:lang w:val="en-MY"/>
        </w:rPr>
        <w:t>). These values, deeply rooted in Islamic philanthropy, resonate with the collective expectations of society and thus strengthen the legitimacy of social enterprises’ social responsibility practices. Through digitalisation, such values are amplified and made more visible, promoting accountability and reinforcing trust among contributors and beneficiaries alike.</w:t>
      </w:r>
    </w:p>
    <w:p w14:paraId="056D0D3F" w14:textId="4547B9DB" w:rsidR="004136DA" w:rsidRPr="00BF0936" w:rsidRDefault="00865DF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In sum, social capital theory illustrates that CWSR through digital waqf is not merely a financial transaction but a socially embedded practice that relies on networks of trust, reciprocity, and shared norms. Digital platforms function as facilitators that expand and reinforce these networks, thereby enabling social enterprises to contribute more effectively to sustainable social impact. By leveraging social capital, digital waqf mechanisms transform philanthropy into a collective endeavour that benefits society at large.</w:t>
      </w:r>
    </w:p>
    <w:p w14:paraId="6BB1E291" w14:textId="77777777" w:rsidR="00865DF0" w:rsidRPr="00BF0936" w:rsidRDefault="00865DF0" w:rsidP="00865DF0">
      <w:pPr>
        <w:spacing w:after="0" w:line="240" w:lineRule="auto"/>
        <w:jc w:val="both"/>
        <w:rPr>
          <w:rFonts w:ascii="Times New Roman" w:eastAsia="Palatino Linotype" w:hAnsi="Times New Roman" w:cs="Times New Roman"/>
          <w:bCs/>
          <w:sz w:val="22"/>
          <w:lang w:val="en-MY"/>
        </w:rPr>
      </w:pPr>
    </w:p>
    <w:p w14:paraId="3126A7F2" w14:textId="4AB3BA05" w:rsidR="004136DA" w:rsidRPr="00BF0936" w:rsidRDefault="004136DA" w:rsidP="00292EAF">
      <w:pPr>
        <w:spacing w:after="0" w:line="240" w:lineRule="auto"/>
        <w:jc w:val="both"/>
        <w:rPr>
          <w:rFonts w:ascii="Times New Roman" w:eastAsia="Palatino Linotype" w:hAnsi="Times New Roman" w:cs="Times New Roman"/>
          <w:b/>
          <w:sz w:val="22"/>
          <w:lang w:val="en-MY"/>
        </w:rPr>
      </w:pPr>
      <w:r w:rsidRPr="00BF0936">
        <w:rPr>
          <w:rFonts w:ascii="Times New Roman" w:eastAsia="Palatino Linotype" w:hAnsi="Times New Roman" w:cs="Times New Roman"/>
          <w:b/>
          <w:sz w:val="22"/>
          <w:lang w:val="en-MY"/>
        </w:rPr>
        <w:t xml:space="preserve">2.5. </w:t>
      </w:r>
      <w:r w:rsidR="00EE55F1" w:rsidRPr="00BF0936">
        <w:rPr>
          <w:rFonts w:ascii="Times New Roman" w:eastAsia="Palatino Linotype" w:hAnsi="Times New Roman" w:cs="Times New Roman"/>
          <w:b/>
          <w:sz w:val="22"/>
          <w:lang w:val="en-MY"/>
        </w:rPr>
        <w:t xml:space="preserve">Conceptual </w:t>
      </w:r>
      <w:r w:rsidR="003A0D6B" w:rsidRPr="00BF0936">
        <w:rPr>
          <w:rFonts w:ascii="Times New Roman" w:eastAsia="Palatino Linotype" w:hAnsi="Times New Roman" w:cs="Times New Roman"/>
          <w:b/>
          <w:sz w:val="22"/>
          <w:lang w:val="en-MY"/>
        </w:rPr>
        <w:t xml:space="preserve">Framework </w:t>
      </w:r>
      <w:r w:rsidR="00EE55F1" w:rsidRPr="00BF0936">
        <w:rPr>
          <w:rFonts w:ascii="Times New Roman" w:eastAsia="Palatino Linotype" w:hAnsi="Times New Roman" w:cs="Times New Roman"/>
          <w:b/>
          <w:sz w:val="22"/>
          <w:lang w:val="en-MY"/>
        </w:rPr>
        <w:t>of Study</w:t>
      </w:r>
    </w:p>
    <w:p w14:paraId="0E9F1382" w14:textId="44E79B8C" w:rsidR="00D67DE0" w:rsidRPr="00BF0936" w:rsidRDefault="00D67DE0" w:rsidP="00D67DE0">
      <w:pPr>
        <w:spacing w:after="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This study aims to investigate the reasons why social enterprises adopt digital waqf mechanisms to fulfil their cash-waqf social responsibility (CWSR). The conceptual framework is underpinned by two complementary theoretical perspectives: diffusion of innovation theory and social capital theory. Diffusion of innovation theory provides insights into how social enterprises adopt digital waqf by examining the innovation attributes that influence adoption, such as relative advantage, compatibility, complexity, trialability, and observability. These factors help explain why digital waqf is increasingly perceived as a more </w:t>
      </w:r>
      <w:proofErr w:type="spellStart"/>
      <w:r w:rsidRPr="00BF0936">
        <w:rPr>
          <w:rFonts w:ascii="Times New Roman" w:eastAsia="Palatino Linotype" w:hAnsi="Times New Roman" w:cs="Times New Roman"/>
          <w:bCs/>
          <w:sz w:val="22"/>
          <w:lang w:val="en-MY"/>
        </w:rPr>
        <w:t>favorable</w:t>
      </w:r>
      <w:proofErr w:type="spellEnd"/>
      <w:r w:rsidRPr="00BF0936">
        <w:rPr>
          <w:rFonts w:ascii="Times New Roman" w:eastAsia="Palatino Linotype" w:hAnsi="Times New Roman" w:cs="Times New Roman"/>
          <w:bCs/>
          <w:sz w:val="22"/>
          <w:lang w:val="en-MY"/>
        </w:rPr>
        <w:t xml:space="preserve"> mechanism for executing social responsibility, particularly in terms of accessibility, efficiency, and technological alignment.</w:t>
      </w:r>
    </w:p>
    <w:p w14:paraId="55D2E97A" w14:textId="04471491" w:rsidR="00D67DE0" w:rsidRPr="00BF0936" w:rsidRDefault="00D67DE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In parallel, social capital theory elucidates the relational and normative dimensions of social enterprises’ engagement with digital waqf. Social capital, manifested in trust, reciprocity, networks, and shared values, plays a critical role in shaping the motivations for adopting digital waqf as a socially responsible practice. Through this lens, social enterprises’ commitment to ethical business conduct is driven not merely by regulatory or instrumental concerns, but also by the embeddedness of social norms and collective expectations that value generosity and community solidarity.</w:t>
      </w:r>
    </w:p>
    <w:p w14:paraId="70CF2F9C" w14:textId="03208C2D" w:rsidR="00550983" w:rsidRPr="00BF0936" w:rsidRDefault="00D67DE0" w:rsidP="00E67920">
      <w:pPr>
        <w:spacing w:after="0" w:line="240" w:lineRule="auto"/>
        <w:ind w:firstLine="720"/>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lastRenderedPageBreak/>
        <w:t xml:space="preserve">Unlike prior studies, which concentrated primarily on individuals’ </w:t>
      </w:r>
      <w:proofErr w:type="spellStart"/>
      <w:r w:rsidRPr="00BF0936">
        <w:rPr>
          <w:rFonts w:ascii="Times New Roman" w:eastAsia="Palatino Linotype" w:hAnsi="Times New Roman" w:cs="Times New Roman"/>
          <w:bCs/>
          <w:sz w:val="22"/>
          <w:lang w:val="en-MY"/>
        </w:rPr>
        <w:t>behavioral</w:t>
      </w:r>
      <w:proofErr w:type="spellEnd"/>
      <w:r w:rsidRPr="00BF0936">
        <w:rPr>
          <w:rFonts w:ascii="Times New Roman" w:eastAsia="Palatino Linotype" w:hAnsi="Times New Roman" w:cs="Times New Roman"/>
          <w:bCs/>
          <w:sz w:val="22"/>
          <w:lang w:val="en-MY"/>
        </w:rPr>
        <w:t xml:space="preserve"> intentions or attitudes toward contributing cash waqf (</w:t>
      </w:r>
      <w:proofErr w:type="spellStart"/>
      <w:r w:rsidRPr="00BF0936">
        <w:rPr>
          <w:rFonts w:ascii="Times New Roman" w:eastAsia="Palatino Linotype" w:hAnsi="Times New Roman" w:cs="Times New Roman"/>
          <w:bCs/>
          <w:sz w:val="22"/>
          <w:lang w:val="en-MY"/>
        </w:rPr>
        <w:t>Asyari</w:t>
      </w:r>
      <w:proofErr w:type="spellEnd"/>
      <w:r w:rsidRPr="00BF0936">
        <w:rPr>
          <w:rFonts w:ascii="Times New Roman" w:eastAsia="Palatino Linotype" w:hAnsi="Times New Roman" w:cs="Times New Roman"/>
          <w:bCs/>
          <w:sz w:val="22"/>
          <w:lang w:val="en-MY"/>
        </w:rPr>
        <w:t xml:space="preserve"> et al., 2024; Laila et al., 2022), this study shifts the focus toward organizational motives, particularly those of social enterprises, in employing digital waqf for CWSR. The framework seeks to uncover the incentives that drive adoption, the factors contributing to its rapid diffusion, and the underlying socio-ethical reasons behind the preference for digital waqf as a mode of social responsibility. By integrating both theories, this study contributes to a deeper understanding of the phenomenon, showing how innovation dynamics intersect with social capital to influence the adoption of digital waqf mechanisms within the broader discourse of corporate social responsibility.</w:t>
      </w:r>
    </w:p>
    <w:p w14:paraId="12AE4609" w14:textId="77777777" w:rsidR="00D67DE0" w:rsidRPr="00292EAF" w:rsidRDefault="00D67DE0" w:rsidP="00D67DE0">
      <w:pPr>
        <w:spacing w:after="0" w:line="240" w:lineRule="auto"/>
        <w:jc w:val="both"/>
        <w:rPr>
          <w:rFonts w:ascii="Times New Roman" w:eastAsia="Palatino Linotype" w:hAnsi="Times New Roman" w:cs="Times New Roman"/>
          <w:bCs/>
          <w:sz w:val="24"/>
          <w:szCs w:val="24"/>
          <w:lang w:val="en-MY"/>
        </w:rPr>
      </w:pPr>
    </w:p>
    <w:p w14:paraId="3E255456" w14:textId="77777777" w:rsidR="00C86AA5" w:rsidRPr="00292EAF" w:rsidRDefault="00550983" w:rsidP="00292EAF">
      <w:pPr>
        <w:spacing w:after="0" w:line="240" w:lineRule="auto"/>
        <w:jc w:val="both"/>
        <w:rPr>
          <w:rFonts w:ascii="Times New Roman" w:eastAsia="Palatino Linotype" w:hAnsi="Times New Roman" w:cs="Times New Roman"/>
          <w:b/>
          <w:sz w:val="24"/>
          <w:szCs w:val="24"/>
          <w:lang w:val="en-MY"/>
        </w:rPr>
      </w:pPr>
      <w:r w:rsidRPr="00292EAF">
        <w:rPr>
          <w:rFonts w:ascii="Times New Roman" w:eastAsia="Palatino Linotype" w:hAnsi="Times New Roman" w:cs="Times New Roman"/>
          <w:b/>
          <w:sz w:val="24"/>
          <w:szCs w:val="24"/>
          <w:lang w:val="en-MY"/>
        </w:rPr>
        <w:t>Figure 1</w:t>
      </w:r>
    </w:p>
    <w:p w14:paraId="468DA105" w14:textId="7975FAD9" w:rsidR="00550983" w:rsidRPr="00292EAF" w:rsidRDefault="00550983" w:rsidP="00292EAF">
      <w:pPr>
        <w:spacing w:after="0" w:line="240" w:lineRule="auto"/>
        <w:jc w:val="both"/>
        <w:rPr>
          <w:rFonts w:ascii="Times New Roman" w:eastAsia="Palatino Linotype" w:hAnsi="Times New Roman" w:cs="Times New Roman"/>
          <w:b/>
          <w:sz w:val="24"/>
          <w:szCs w:val="24"/>
          <w:lang w:val="en-MY"/>
        </w:rPr>
      </w:pPr>
      <w:r w:rsidRPr="00292EAF">
        <w:rPr>
          <w:rFonts w:ascii="Times New Roman" w:eastAsia="Palatino Linotype" w:hAnsi="Times New Roman" w:cs="Times New Roman"/>
          <w:bCs/>
          <w:i/>
          <w:iCs/>
          <w:sz w:val="24"/>
          <w:szCs w:val="24"/>
          <w:lang w:val="en-MY"/>
        </w:rPr>
        <w:t>Conceptual Framework of Study</w:t>
      </w:r>
    </w:p>
    <w:p w14:paraId="44F9E7B9" w14:textId="0E97B48C" w:rsidR="009B1FD4" w:rsidRPr="00292EAF" w:rsidRDefault="00550983" w:rsidP="00292EAF">
      <w:pPr>
        <w:spacing w:after="0" w:line="240" w:lineRule="auto"/>
        <w:jc w:val="both"/>
        <w:rPr>
          <w:rFonts w:ascii="Times New Roman" w:eastAsia="Palatino Linotype" w:hAnsi="Times New Roman" w:cs="Times New Roman"/>
          <w:bCs/>
          <w:sz w:val="24"/>
          <w:szCs w:val="24"/>
          <w:lang w:val="en-MY"/>
        </w:rPr>
      </w:pPr>
      <w:r w:rsidRPr="00292EAF">
        <w:rPr>
          <w:rFonts w:ascii="Times New Roman" w:eastAsia="Palatino Linotype" w:hAnsi="Times New Roman" w:cs="Times New Roman"/>
          <w:bCs/>
          <w:noProof/>
          <w:sz w:val="24"/>
          <w:szCs w:val="24"/>
          <w:lang w:val="en-MY"/>
        </w:rPr>
        <mc:AlternateContent>
          <mc:Choice Requires="wps">
            <w:drawing>
              <wp:anchor distT="0" distB="0" distL="114300" distR="114300" simplePos="0" relativeHeight="251662336" behindDoc="0" locked="0" layoutInCell="1" allowOverlap="1" wp14:anchorId="39C098A6" wp14:editId="38BCACCF">
                <wp:simplePos x="0" y="0"/>
                <wp:positionH relativeFrom="column">
                  <wp:posOffset>2894701</wp:posOffset>
                </wp:positionH>
                <wp:positionV relativeFrom="paragraph">
                  <wp:posOffset>108944</wp:posOffset>
                </wp:positionV>
                <wp:extent cx="1232535" cy="517585"/>
                <wp:effectExtent l="0" t="0" r="24765" b="15875"/>
                <wp:wrapNone/>
                <wp:docPr id="1279837990" name="Rectangle 1"/>
                <wp:cNvGraphicFramePr/>
                <a:graphic xmlns:a="http://schemas.openxmlformats.org/drawingml/2006/main">
                  <a:graphicData uri="http://schemas.microsoft.com/office/word/2010/wordprocessingShape">
                    <wps:wsp>
                      <wps:cNvSpPr/>
                      <wps:spPr>
                        <a:xfrm>
                          <a:off x="0" y="0"/>
                          <a:ext cx="1232535" cy="5175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11BF76" w14:textId="3D902BD2" w:rsidR="00550983" w:rsidRPr="009253BA" w:rsidRDefault="00550983" w:rsidP="00550983">
                            <w:pPr>
                              <w:jc w:val="center"/>
                              <w:rPr>
                                <w:color w:val="000000" w:themeColor="text1"/>
                                <w:lang w:val="en-US"/>
                              </w:rPr>
                            </w:pPr>
                            <w:r>
                              <w:rPr>
                                <w:color w:val="000000" w:themeColor="text1"/>
                                <w:lang w:val="en-US"/>
                              </w:rPr>
                              <w:t xml:space="preserve">Cash waqf Social Responsibility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098A6" id="Rectangle 1" o:spid="_x0000_s1026" style="position:absolute;left:0;text-align:left;margin-left:227.95pt;margin-top:8.6pt;width:97.05pt;height:4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" fillcolor="window" strokecolor="windowText" strokeweight="1pt">
                <v:textbox>
                  <w:txbxContent>
                    <w:p w14:paraId="0B11BF76" w14:textId="3D902BD2" w:rsidR="00550983" w:rsidRPr="009253BA" w:rsidRDefault="00550983" w:rsidP="00550983">
                      <w:pPr>
                        <w:jc w:val="center"/>
                        <w:rPr>
                          <w:color w:val="000000" w:themeColor="text1"/>
                          <w:lang w:val="en-US"/>
                        </w:rPr>
                      </w:pPr>
                      <w:r>
                        <w:rPr>
                          <w:color w:val="000000" w:themeColor="text1"/>
                          <w:lang w:val="en-US"/>
                        </w:rPr>
                        <w:t xml:space="preserve">Cash waqf Social Responsibility </w:t>
                      </w:r>
                    </w:p>
                  </w:txbxContent>
                </v:textbox>
              </v:rect>
            </w:pict>
          </mc:Fallback>
        </mc:AlternateContent>
      </w:r>
      <w:r w:rsidRPr="00292EAF">
        <w:rPr>
          <w:rFonts w:ascii="Times New Roman" w:eastAsia="Palatino Linotype" w:hAnsi="Times New Roman" w:cs="Times New Roman"/>
          <w:bCs/>
          <w:noProof/>
          <w:sz w:val="24"/>
          <w:szCs w:val="24"/>
          <w:lang w:val="en-MY"/>
        </w:rPr>
        <mc:AlternateContent>
          <mc:Choice Requires="wps">
            <w:drawing>
              <wp:anchor distT="0" distB="0" distL="114300" distR="114300" simplePos="0" relativeHeight="251659264" behindDoc="0" locked="0" layoutInCell="1" allowOverlap="1" wp14:anchorId="09AFEBA4" wp14:editId="1914D138">
                <wp:simplePos x="0" y="0"/>
                <wp:positionH relativeFrom="column">
                  <wp:posOffset>514134</wp:posOffset>
                </wp:positionH>
                <wp:positionV relativeFrom="paragraph">
                  <wp:posOffset>161278</wp:posOffset>
                </wp:positionV>
                <wp:extent cx="1146810" cy="431321"/>
                <wp:effectExtent l="0" t="0" r="15240" b="26035"/>
                <wp:wrapNone/>
                <wp:docPr id="1075596127" name="Rectangle 1"/>
                <wp:cNvGraphicFramePr/>
                <a:graphic xmlns:a="http://schemas.openxmlformats.org/drawingml/2006/main">
                  <a:graphicData uri="http://schemas.microsoft.com/office/word/2010/wordprocessingShape">
                    <wps:wsp>
                      <wps:cNvSpPr/>
                      <wps:spPr>
                        <a:xfrm>
                          <a:off x="0" y="0"/>
                          <a:ext cx="1146810" cy="43132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F3212" w14:textId="73EE8ED1" w:rsidR="009253BA" w:rsidRPr="009253BA" w:rsidRDefault="009253BA" w:rsidP="009253BA">
                            <w:pPr>
                              <w:jc w:val="center"/>
                              <w:rPr>
                                <w:color w:val="000000" w:themeColor="text1"/>
                                <w:lang w:val="en-US"/>
                              </w:rPr>
                            </w:pPr>
                            <w:r w:rsidRPr="009253BA">
                              <w:rPr>
                                <w:color w:val="000000" w:themeColor="text1"/>
                                <w:lang w:val="en-US"/>
                              </w:rPr>
                              <w:t>ME</w:t>
                            </w:r>
                            <w:r>
                              <w:rPr>
                                <w:color w:val="000000" w:themeColor="text1"/>
                                <w:lang w:val="en-US"/>
                              </w:rPr>
                              <w:t>s</w:t>
                            </w:r>
                            <w:r w:rsidRPr="009253BA">
                              <w:rPr>
                                <w:color w:val="000000" w:themeColor="text1"/>
                                <w:lang w:val="en-US"/>
                              </w:rPr>
                              <w:t xml:space="preserve"> utilizing digital cash waqf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AFEBA4" id="_x0000_s1027" style="position:absolute;left:0;text-align:left;margin-left:40.5pt;margin-top:12.7pt;width:90.3pt;height:33.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" fillcolor="white [3212]" strokecolor="black [3213]" strokeweight="1pt">
                <v:textbox>
                  <w:txbxContent>
                    <w:p w14:paraId="613F3212" w14:textId="73EE8ED1" w:rsidR="009253BA" w:rsidRPr="009253BA" w:rsidRDefault="009253BA" w:rsidP="009253BA">
                      <w:pPr>
                        <w:jc w:val="center"/>
                        <w:rPr>
                          <w:color w:val="000000" w:themeColor="text1"/>
                          <w:lang w:val="en-US"/>
                        </w:rPr>
                      </w:pPr>
                      <w:r w:rsidRPr="009253BA">
                        <w:rPr>
                          <w:color w:val="000000" w:themeColor="text1"/>
                          <w:lang w:val="en-US"/>
                        </w:rPr>
                        <w:t>ME</w:t>
                      </w:r>
                      <w:r>
                        <w:rPr>
                          <w:color w:val="000000" w:themeColor="text1"/>
                          <w:lang w:val="en-US"/>
                        </w:rPr>
                        <w:t>s</w:t>
                      </w:r>
                      <w:r w:rsidRPr="009253BA">
                        <w:rPr>
                          <w:color w:val="000000" w:themeColor="text1"/>
                          <w:lang w:val="en-US"/>
                        </w:rPr>
                        <w:t xml:space="preserve"> utilizing digital cash waqf</w:t>
                      </w:r>
                    </w:p>
                  </w:txbxContent>
                </v:textbox>
              </v:rect>
            </w:pict>
          </mc:Fallback>
        </mc:AlternateContent>
      </w:r>
    </w:p>
    <w:p w14:paraId="7FAA20AA" w14:textId="44A283E3" w:rsidR="009B1FD4" w:rsidRPr="00292EAF" w:rsidRDefault="00550983" w:rsidP="00292EAF">
      <w:pPr>
        <w:spacing w:after="0" w:line="240" w:lineRule="auto"/>
        <w:jc w:val="both"/>
        <w:rPr>
          <w:rFonts w:ascii="Times New Roman" w:eastAsia="Palatino Linotype" w:hAnsi="Times New Roman" w:cs="Times New Roman"/>
          <w:bCs/>
          <w:sz w:val="24"/>
          <w:szCs w:val="24"/>
          <w:lang w:val="en-MY"/>
        </w:rPr>
      </w:pPr>
      <w:r w:rsidRPr="00292EAF">
        <w:rPr>
          <w:rFonts w:ascii="Times New Roman" w:eastAsia="Palatino Linotype" w:hAnsi="Times New Roman" w:cs="Times New Roman"/>
          <w:bCs/>
          <w:noProof/>
          <w:sz w:val="24"/>
          <w:szCs w:val="24"/>
          <w:lang w:val="en-MY"/>
        </w:rPr>
        <mc:AlternateContent>
          <mc:Choice Requires="wps">
            <w:drawing>
              <wp:anchor distT="0" distB="0" distL="114300" distR="114300" simplePos="0" relativeHeight="251666432" behindDoc="0" locked="0" layoutInCell="1" allowOverlap="1" wp14:anchorId="29AA771B" wp14:editId="70EA1C0B">
                <wp:simplePos x="0" y="0"/>
                <wp:positionH relativeFrom="column">
                  <wp:posOffset>2222165</wp:posOffset>
                </wp:positionH>
                <wp:positionV relativeFrom="paragraph">
                  <wp:posOffset>200995</wp:posOffset>
                </wp:positionV>
                <wp:extent cx="8626" cy="569344"/>
                <wp:effectExtent l="76200" t="38100" r="67945" b="21590"/>
                <wp:wrapNone/>
                <wp:docPr id="272988031" name="Straight Arrow Connector 6"/>
                <wp:cNvGraphicFramePr/>
                <a:graphic xmlns:a="http://schemas.openxmlformats.org/drawingml/2006/main">
                  <a:graphicData uri="http://schemas.microsoft.com/office/word/2010/wordprocessingShape">
                    <wps:wsp>
                      <wps:cNvCnPr/>
                      <wps:spPr>
                        <a:xfrm flipV="1">
                          <a:off x="0" y="0"/>
                          <a:ext cx="8626" cy="5693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1950CE" id="_x0000_t32" coordsize="21600,21600" o:spt="32" o:oned="t" path="m,l21600,21600e" filled="f">
                <v:path arrowok="t" fillok="f" o:connecttype="none"/>
                <o:lock v:ext="edit" shapetype="t"/>
              </v:shapetype>
              <v:shape id="Straight Arrow Connector 6" o:spid="_x0000_s1026" type="#_x0000_t32" style="position:absolute;margin-left:174.95pt;margin-top:15.85pt;width:.7pt;height:44.8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" strokecolor="black [3200]" strokeweight=".5pt">
                <v:stroke endarrow="block" joinstyle="miter"/>
              </v:shape>
            </w:pict>
          </mc:Fallback>
        </mc:AlternateContent>
      </w:r>
      <w:r w:rsidRPr="00292EAF">
        <w:rPr>
          <w:rFonts w:ascii="Times New Roman" w:eastAsia="Palatino Linotype" w:hAnsi="Times New Roman" w:cs="Times New Roman"/>
          <w:bCs/>
          <w:noProof/>
          <w:sz w:val="24"/>
          <w:szCs w:val="24"/>
          <w:lang w:val="en-MY"/>
        </w:rPr>
        <mc:AlternateContent>
          <mc:Choice Requires="wps">
            <w:drawing>
              <wp:anchor distT="0" distB="0" distL="114300" distR="114300" simplePos="0" relativeHeight="251660288" behindDoc="0" locked="0" layoutInCell="1" allowOverlap="1" wp14:anchorId="4549BCEF" wp14:editId="65C374A1">
                <wp:simplePos x="0" y="0"/>
                <wp:positionH relativeFrom="margin">
                  <wp:align>center</wp:align>
                </wp:positionH>
                <wp:positionV relativeFrom="paragraph">
                  <wp:posOffset>164010</wp:posOffset>
                </wp:positionV>
                <wp:extent cx="1259456" cy="0"/>
                <wp:effectExtent l="0" t="0" r="0" b="0"/>
                <wp:wrapNone/>
                <wp:docPr id="2114260888" name="Straight Connector 2"/>
                <wp:cNvGraphicFramePr/>
                <a:graphic xmlns:a="http://schemas.openxmlformats.org/drawingml/2006/main">
                  <a:graphicData uri="http://schemas.microsoft.com/office/word/2010/wordprocessingShape">
                    <wps:wsp>
                      <wps:cNvCnPr/>
                      <wps:spPr>
                        <a:xfrm flipV="1">
                          <a:off x="0" y="0"/>
                          <a:ext cx="1259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874F3" id="Straight Connector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9pt" to="99.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" strokecolor="black [3200]" strokeweight=".5pt">
                <v:stroke joinstyle="miter"/>
                <w10:wrap anchorx="margin"/>
              </v:line>
            </w:pict>
          </mc:Fallback>
        </mc:AlternateContent>
      </w:r>
    </w:p>
    <w:p w14:paraId="6574372E" w14:textId="6C1AE1B3" w:rsidR="009B1FD4" w:rsidRPr="00292EAF" w:rsidRDefault="009B1FD4" w:rsidP="00292EAF">
      <w:pPr>
        <w:spacing w:after="0" w:line="240" w:lineRule="auto"/>
        <w:jc w:val="both"/>
        <w:rPr>
          <w:rFonts w:ascii="Times New Roman" w:eastAsia="Palatino Linotype" w:hAnsi="Times New Roman" w:cs="Times New Roman"/>
          <w:bCs/>
          <w:sz w:val="24"/>
          <w:szCs w:val="24"/>
          <w:lang w:val="en-MY"/>
        </w:rPr>
      </w:pPr>
    </w:p>
    <w:p w14:paraId="6F2103D2" w14:textId="0BEA2529" w:rsidR="009B1FD4" w:rsidRPr="00292EAF" w:rsidRDefault="009B1FD4" w:rsidP="00292EAF">
      <w:pPr>
        <w:spacing w:after="0" w:line="240" w:lineRule="auto"/>
        <w:jc w:val="both"/>
        <w:rPr>
          <w:rFonts w:ascii="Times New Roman" w:eastAsia="Palatino Linotype" w:hAnsi="Times New Roman" w:cs="Times New Roman"/>
          <w:bCs/>
          <w:sz w:val="24"/>
          <w:szCs w:val="24"/>
          <w:lang w:val="en-MY"/>
        </w:rPr>
      </w:pPr>
    </w:p>
    <w:p w14:paraId="2EFC0B78" w14:textId="08229E1A" w:rsidR="009B1FD4" w:rsidRPr="00292EAF" w:rsidRDefault="009B1FD4" w:rsidP="00292EAF">
      <w:pPr>
        <w:spacing w:after="0" w:line="240" w:lineRule="auto"/>
        <w:jc w:val="both"/>
        <w:rPr>
          <w:rFonts w:ascii="Times New Roman" w:eastAsia="Palatino Linotype" w:hAnsi="Times New Roman" w:cs="Times New Roman"/>
          <w:bCs/>
          <w:sz w:val="24"/>
          <w:szCs w:val="24"/>
          <w:lang w:val="en-MY"/>
        </w:rPr>
      </w:pPr>
    </w:p>
    <w:p w14:paraId="0E49158F" w14:textId="3318031E" w:rsidR="00964D32" w:rsidRPr="00292EAF" w:rsidRDefault="00292EAF" w:rsidP="00292EAF">
      <w:pPr>
        <w:spacing w:after="0" w:line="240" w:lineRule="auto"/>
        <w:jc w:val="both"/>
        <w:rPr>
          <w:rFonts w:ascii="Times New Roman" w:eastAsia="Palatino Linotype" w:hAnsi="Times New Roman" w:cs="Times New Roman"/>
          <w:b/>
          <w:sz w:val="24"/>
          <w:szCs w:val="24"/>
          <w:lang w:val="en-US"/>
        </w:rPr>
      </w:pPr>
      <w:r w:rsidRPr="00292EAF">
        <w:rPr>
          <w:rFonts w:ascii="Times New Roman" w:eastAsia="Palatino Linotype" w:hAnsi="Times New Roman" w:cs="Times New Roman"/>
          <w:bCs/>
          <w:noProof/>
          <w:sz w:val="24"/>
          <w:szCs w:val="24"/>
          <w:lang w:val="en-MY"/>
        </w:rPr>
        <mc:AlternateContent>
          <mc:Choice Requires="wps">
            <w:drawing>
              <wp:anchor distT="0" distB="0" distL="114300" distR="114300" simplePos="0" relativeHeight="251665408" behindDoc="0" locked="0" layoutInCell="1" allowOverlap="1" wp14:anchorId="10347D2D" wp14:editId="3B3C6E2A">
                <wp:simplePos x="0" y="0"/>
                <wp:positionH relativeFrom="margin">
                  <wp:align>right</wp:align>
                </wp:positionH>
                <wp:positionV relativeFrom="paragraph">
                  <wp:posOffset>20210</wp:posOffset>
                </wp:positionV>
                <wp:extent cx="4157345" cy="345057"/>
                <wp:effectExtent l="0" t="0" r="0" b="0"/>
                <wp:wrapNone/>
                <wp:docPr id="1383181012" name="Rectangle 1"/>
                <wp:cNvGraphicFramePr/>
                <a:graphic xmlns:a="http://schemas.openxmlformats.org/drawingml/2006/main">
                  <a:graphicData uri="http://schemas.microsoft.com/office/word/2010/wordprocessingShape">
                    <wps:wsp>
                      <wps:cNvSpPr/>
                      <wps:spPr>
                        <a:xfrm>
                          <a:off x="0" y="0"/>
                          <a:ext cx="4157345" cy="345057"/>
                        </a:xfrm>
                        <a:prstGeom prst="rect">
                          <a:avLst/>
                        </a:prstGeom>
                        <a:solidFill>
                          <a:sysClr val="window" lastClr="FFFFFF"/>
                        </a:solidFill>
                        <a:ln w="12700" cap="flat" cmpd="sng" algn="ctr">
                          <a:noFill/>
                          <a:prstDash val="solid"/>
                          <a:miter lim="800000"/>
                        </a:ln>
                        <a:effectLst/>
                      </wps:spPr>
                      <wps:txbx>
                        <w:txbxContent>
                          <w:p w14:paraId="526030E6" w14:textId="3347FE1D" w:rsidR="00550983" w:rsidRDefault="00550983" w:rsidP="00550983">
                            <w:pPr>
                              <w:jc w:val="center"/>
                              <w:rPr>
                                <w:color w:val="000000" w:themeColor="text1"/>
                                <w:lang w:val="en-US"/>
                              </w:rPr>
                            </w:pPr>
                            <w:r>
                              <w:rPr>
                                <w:color w:val="000000" w:themeColor="text1"/>
                                <w:lang w:val="en-US"/>
                              </w:rPr>
                              <w:t xml:space="preserve">What factors motivate them to do CWSR via digitalization? </w:t>
                            </w:r>
                          </w:p>
                          <w:p w14:paraId="3C0552D8" w14:textId="77777777" w:rsidR="00550983" w:rsidRDefault="00550983" w:rsidP="00550983">
                            <w:pPr>
                              <w:jc w:val="center"/>
                              <w:rPr>
                                <w:color w:val="000000" w:themeColor="text1"/>
                                <w:lang w:val="en-US"/>
                              </w:rPr>
                            </w:pPr>
                          </w:p>
                          <w:p w14:paraId="262D43B8" w14:textId="77777777" w:rsidR="00550983" w:rsidRPr="009253BA" w:rsidRDefault="00550983" w:rsidP="00550983">
                            <w:pPr>
                              <w:jc w:val="center"/>
                              <w:rPr>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47D2D" id="_x0000_s1028" style="position:absolute;left:0;text-align:left;margin-left:276.15pt;margin-top:1.6pt;width:327.35pt;height:27.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" fillcolor="window" stroked="f" strokeweight="1pt">
                <v:textbox>
                  <w:txbxContent>
                    <w:p w14:paraId="526030E6" w14:textId="3347FE1D" w:rsidR="00550983" w:rsidRDefault="00550983" w:rsidP="00550983">
                      <w:pPr>
                        <w:jc w:val="center"/>
                        <w:rPr>
                          <w:color w:val="000000" w:themeColor="text1"/>
                          <w:lang w:val="en-US"/>
                        </w:rPr>
                      </w:pPr>
                      <w:r>
                        <w:rPr>
                          <w:color w:val="000000" w:themeColor="text1"/>
                          <w:lang w:val="en-US"/>
                        </w:rPr>
                        <w:t xml:space="preserve">What factors motivate them to do CWSR via digitalization? </w:t>
                      </w:r>
                    </w:p>
                    <w:p w14:paraId="3C0552D8" w14:textId="77777777" w:rsidR="00550983" w:rsidRDefault="00550983" w:rsidP="00550983">
                      <w:pPr>
                        <w:jc w:val="center"/>
                        <w:rPr>
                          <w:color w:val="000000" w:themeColor="text1"/>
                          <w:lang w:val="en-US"/>
                        </w:rPr>
                      </w:pPr>
                    </w:p>
                    <w:p w14:paraId="262D43B8" w14:textId="77777777" w:rsidR="00550983" w:rsidRPr="009253BA" w:rsidRDefault="00550983" w:rsidP="00550983">
                      <w:pPr>
                        <w:jc w:val="center"/>
                        <w:rPr>
                          <w:color w:val="000000" w:themeColor="text1"/>
                          <w:lang w:val="en-US"/>
                        </w:rPr>
                      </w:pPr>
                    </w:p>
                  </w:txbxContent>
                </v:textbox>
                <w10:wrap anchorx="margin"/>
              </v:rect>
            </w:pict>
          </mc:Fallback>
        </mc:AlternateContent>
      </w:r>
    </w:p>
    <w:p w14:paraId="39392B3F" w14:textId="77777777" w:rsidR="00C86AA5" w:rsidRPr="00292EAF" w:rsidRDefault="00C86AA5" w:rsidP="00292EAF">
      <w:pPr>
        <w:spacing w:after="0" w:line="240" w:lineRule="auto"/>
        <w:jc w:val="both"/>
        <w:rPr>
          <w:rFonts w:ascii="Times New Roman" w:eastAsia="Palatino Linotype" w:hAnsi="Times New Roman" w:cs="Times New Roman"/>
          <w:b/>
          <w:sz w:val="24"/>
          <w:szCs w:val="24"/>
          <w:lang w:val="en-US"/>
        </w:rPr>
      </w:pPr>
    </w:p>
    <w:p w14:paraId="7A032190" w14:textId="77777777" w:rsidR="00292EAF" w:rsidRDefault="00292EAF" w:rsidP="00292EAF">
      <w:pPr>
        <w:spacing w:after="0" w:line="240" w:lineRule="auto"/>
        <w:rPr>
          <w:rFonts w:ascii="Times New Roman" w:eastAsia="Palatino Linotype" w:hAnsi="Times New Roman" w:cs="Times New Roman"/>
          <w:b/>
          <w:sz w:val="24"/>
          <w:szCs w:val="24"/>
          <w:lang w:val="en-US"/>
        </w:rPr>
      </w:pPr>
    </w:p>
    <w:p w14:paraId="150BC98A" w14:textId="185B1A0D" w:rsidR="00311E6B" w:rsidRPr="00BF0936" w:rsidRDefault="004701DB" w:rsidP="00292EAF">
      <w:pPr>
        <w:spacing w:after="0" w:line="240" w:lineRule="auto"/>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III. METHODOLOGY</w:t>
      </w:r>
    </w:p>
    <w:p w14:paraId="7697A495" w14:textId="2DAD83BE" w:rsidR="00AA5F1F" w:rsidRPr="00BF0936" w:rsidRDefault="00AA5F1F" w:rsidP="00292EAF">
      <w:pPr>
        <w:spacing w:after="0" w:line="240" w:lineRule="auto"/>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3.1. Data Collection</w:t>
      </w:r>
    </w:p>
    <w:p w14:paraId="182C6C67" w14:textId="77777777" w:rsidR="009F235C" w:rsidRPr="00BF0936" w:rsidRDefault="007A2A34"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This study utilized a qualitative analysis and was carried out in Klang, Malaysia. This study gathered data by conducting semi-structured face-to-face interviews to investigate respondents' viewpoints about </w:t>
      </w:r>
      <w:r w:rsidR="005320B8" w:rsidRPr="00BF0936">
        <w:rPr>
          <w:rFonts w:ascii="Times New Roman" w:eastAsia="Palatino Linotype" w:hAnsi="Times New Roman" w:cs="Times New Roman"/>
          <w:bCs/>
          <w:sz w:val="22"/>
          <w:lang w:val="en-US"/>
        </w:rPr>
        <w:t>using</w:t>
      </w:r>
      <w:r w:rsidRPr="00BF0936">
        <w:rPr>
          <w:rFonts w:ascii="Times New Roman" w:eastAsia="Palatino Linotype" w:hAnsi="Times New Roman" w:cs="Times New Roman"/>
          <w:bCs/>
          <w:sz w:val="22"/>
          <w:lang w:val="en-US"/>
        </w:rPr>
        <w:t xml:space="preserve"> digital waqf for Cash-Waqf Social Responsibility (CSWR). A purposive snowball sampling technique was employed to determine the participants. The presented methodology facilitates the collection of comprehensive data and ensures the inclusion of pertinent individuals in the study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{"citationID":"DWh2pXtI","properties":{"formattedCitation":"(Cresswell &amp; Cresswell, 2018)","plainCitation":"(Cresswell &amp; Cresswell, 2018)","noteIndex":0},"citationItems":[{"id":2284,"uris":["http://zotero.org/users/11920205/items/5SC646QM"],"itemData":{"id":2284,"type":"book","event-place":"Los Angeles","publisher":"Sage","publisher-place":"Los Angeles","title":"Research design: Qualitative, quantitative, and mixed methods approaches","URL":"https://scholar.google.com/scholar_lookup?title=Research+Design:+Qualitative,+Quantitative+adn+Mixed+Methods+Approaches&amp;author=Creswell,+W.+John&amp;author=and+John+David+Creswell&amp;publication_year=2018","volume":"53","author":[{"family":"Cresswell","given":"W. John"},{"family":"Cresswell","given":"David John"}],"accessed":{"date-parts":[["2022",9,13]]},"issued":{"date-parts":[["2018"]]}}}],"schema":"https://github.com/citation-style-language/schema/raw/master/csl-citation.json"}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(Cresswell &amp; Cresswell, 2018)</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p>
    <w:p w14:paraId="492B7725" w14:textId="3BDF28A3" w:rsidR="009F235C" w:rsidRPr="00BF0936" w:rsidRDefault="00870F2E"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The researchers held a meeting with a</w:t>
      </w:r>
      <w:r w:rsidR="007A2A34" w:rsidRPr="00BF0936">
        <w:rPr>
          <w:rFonts w:ascii="Times New Roman" w:eastAsia="Palatino Linotype" w:hAnsi="Times New Roman" w:cs="Times New Roman"/>
          <w:bCs/>
          <w:sz w:val="22"/>
          <w:lang w:val="en-US"/>
        </w:rPr>
        <w:t xml:space="preserve"> Muslim business consortium to commence selecting the respondents.</w:t>
      </w:r>
      <w:r w:rsidR="009F235C" w:rsidRPr="00BF0936">
        <w:rPr>
          <w:rFonts w:ascii="Times New Roman" w:eastAsia="Palatino Linotype" w:hAnsi="Times New Roman" w:cs="Times New Roman"/>
          <w:bCs/>
          <w:sz w:val="22"/>
          <w:lang w:val="en-US"/>
        </w:rPr>
        <w:t xml:space="preserve"> The study implemented rigorous criteria for the selection of respondents in order to guarantee the acquisition of comprehensive and detailed information. Every participant was mandated to possess a minimum of three years of professional experience in the field of business, showcasing their competence and expertise in accordance with the goals of the study. As mentioned above, participants were chosen by a snowball purposive sampling method, which guaranteed the incorporation of persons possessing pertinent skills and experience. The respondents, on average, have a business participation of around 12 years and are actively engaged in business responsibility initiatives. This makes them qualified as experienced participants for this research.</w:t>
      </w:r>
    </w:p>
    <w:p w14:paraId="74A3E1B1" w14:textId="72630320" w:rsidR="007A2A34" w:rsidRPr="00BF0936" w:rsidRDefault="007A2A34"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lastRenderedPageBreak/>
        <w:t xml:space="preserve">During the initial meeting, preliminary interviews were conducted to ensure that appropriate participants were chosen for the study. </w:t>
      </w:r>
      <w:r w:rsidR="005320B8" w:rsidRPr="00BF0936">
        <w:rPr>
          <w:rFonts w:ascii="Times New Roman" w:eastAsia="Palatino Linotype" w:hAnsi="Times New Roman" w:cs="Times New Roman"/>
          <w:bCs/>
          <w:sz w:val="22"/>
          <w:lang w:val="en-US"/>
        </w:rPr>
        <w:t>The study achieved data saturation with the fifth respondent after identifying seven respondents (pseudonym: R1, R2, R3, R4, R5, R6 and R7)</w:t>
      </w:r>
      <w:r w:rsidRPr="00BF0936">
        <w:rPr>
          <w:rFonts w:ascii="Times New Roman" w:eastAsia="Palatino Linotype" w:hAnsi="Times New Roman" w:cs="Times New Roman"/>
          <w:bCs/>
          <w:sz w:val="22"/>
          <w:lang w:val="en-US"/>
        </w:rPr>
        <w:t xml:space="preserve">. Two further interviews were carried out to verify the sufficiency of the data. </w:t>
      </w:r>
    </w:p>
    <w:p w14:paraId="4A28267B" w14:textId="6D136125" w:rsidR="00372387" w:rsidRPr="00BF0936" w:rsidRDefault="00372387" w:rsidP="00292EAF">
      <w:pPr>
        <w:spacing w:after="0" w:line="240" w:lineRule="auto"/>
        <w:jc w:val="both"/>
        <w:rPr>
          <w:rFonts w:ascii="Times New Roman" w:eastAsia="Palatino Linotype" w:hAnsi="Times New Roman" w:cs="Times New Roman"/>
          <w:bCs/>
          <w:sz w:val="22"/>
          <w:lang w:val="en-US"/>
        </w:rPr>
      </w:pPr>
    </w:p>
    <w:p w14:paraId="1B82C5F3" w14:textId="174C2AC8" w:rsidR="00B14D95" w:rsidRPr="00BF0936" w:rsidRDefault="00B14D95"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3.2. I</w:t>
      </w:r>
      <w:r w:rsidR="00A26C73" w:rsidRPr="00BF0936">
        <w:rPr>
          <w:rFonts w:ascii="Times New Roman" w:eastAsia="Palatino Linotype" w:hAnsi="Times New Roman" w:cs="Times New Roman"/>
          <w:b/>
          <w:sz w:val="22"/>
          <w:lang w:val="en-US"/>
        </w:rPr>
        <w:t>nterview</w:t>
      </w:r>
      <w:r w:rsidRPr="00BF0936">
        <w:rPr>
          <w:rFonts w:ascii="Times New Roman" w:eastAsia="Palatino Linotype" w:hAnsi="Times New Roman" w:cs="Times New Roman"/>
          <w:b/>
          <w:sz w:val="22"/>
          <w:lang w:val="en-US"/>
        </w:rPr>
        <w:t xml:space="preserve"> P</w:t>
      </w:r>
      <w:r w:rsidR="00A26C73" w:rsidRPr="00BF0936">
        <w:rPr>
          <w:rFonts w:ascii="Times New Roman" w:eastAsia="Palatino Linotype" w:hAnsi="Times New Roman" w:cs="Times New Roman"/>
          <w:b/>
          <w:sz w:val="22"/>
          <w:lang w:val="en-US"/>
        </w:rPr>
        <w:t>rocedure</w:t>
      </w:r>
    </w:p>
    <w:p w14:paraId="6BA52971" w14:textId="65071582" w:rsidR="00B14D95" w:rsidRPr="00BF0936" w:rsidRDefault="00B14D95"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The study employs a particular instrument to gather respondents' opinions on the digital waqf, their comprehension of cash waqf, and their sense of social obligation.  The interview commenced with a preliminary statement, as mandated by the ethical protocol for human involvement in the study. The semi-structured interview questions encompassed inquiries about the factors that drive individuals to engage in business activities and their motivations for participating in business social responsibility initiatives. What is their opinion on digital waqf? How does the mechanism aid them in fulfilling their obligations to society? The interviews were videotaped with the participants' consent, and the transcripts were provided to them to ensure the study's credibility.</w:t>
      </w:r>
    </w:p>
    <w:p w14:paraId="11899B11" w14:textId="77777777" w:rsidR="00B14D95" w:rsidRPr="00BF0936" w:rsidRDefault="00B14D95" w:rsidP="00292EAF">
      <w:pPr>
        <w:spacing w:after="0" w:line="240" w:lineRule="auto"/>
        <w:jc w:val="both"/>
        <w:rPr>
          <w:rFonts w:ascii="Times New Roman" w:eastAsia="Palatino Linotype" w:hAnsi="Times New Roman" w:cs="Times New Roman"/>
          <w:bCs/>
          <w:sz w:val="22"/>
          <w:lang w:val="en-US"/>
        </w:rPr>
      </w:pPr>
    </w:p>
    <w:p w14:paraId="4F8B9DD4" w14:textId="36488C32" w:rsidR="00372387" w:rsidRPr="00BF0936" w:rsidRDefault="00372387" w:rsidP="00292EAF">
      <w:pPr>
        <w:spacing w:after="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3.</w:t>
      </w:r>
      <w:r w:rsidR="00B14D95" w:rsidRPr="00BF0936">
        <w:rPr>
          <w:rFonts w:ascii="Times New Roman" w:eastAsia="Palatino Linotype" w:hAnsi="Times New Roman" w:cs="Times New Roman"/>
          <w:b/>
          <w:sz w:val="22"/>
          <w:lang w:val="en-US"/>
        </w:rPr>
        <w:t>3</w:t>
      </w:r>
      <w:r w:rsidRPr="00BF0936">
        <w:rPr>
          <w:rFonts w:ascii="Times New Roman" w:eastAsia="Palatino Linotype" w:hAnsi="Times New Roman" w:cs="Times New Roman"/>
          <w:b/>
          <w:sz w:val="22"/>
          <w:lang w:val="en-US"/>
        </w:rPr>
        <w:t xml:space="preserve">. </w:t>
      </w:r>
      <w:r w:rsidR="00CC4EB6" w:rsidRPr="00BF0936">
        <w:rPr>
          <w:rFonts w:ascii="Times New Roman" w:eastAsia="Palatino Linotype" w:hAnsi="Times New Roman" w:cs="Times New Roman"/>
          <w:b/>
          <w:sz w:val="22"/>
          <w:lang w:val="en-US"/>
        </w:rPr>
        <w:t>D</w:t>
      </w:r>
      <w:r w:rsidR="00A26C73" w:rsidRPr="00BF0936">
        <w:rPr>
          <w:rFonts w:ascii="Times New Roman" w:eastAsia="Palatino Linotype" w:hAnsi="Times New Roman" w:cs="Times New Roman"/>
          <w:b/>
          <w:sz w:val="22"/>
          <w:lang w:val="en-US"/>
        </w:rPr>
        <w:t>ata</w:t>
      </w:r>
      <w:r w:rsidR="00CC4EB6" w:rsidRPr="00BF0936">
        <w:rPr>
          <w:rFonts w:ascii="Times New Roman" w:eastAsia="Palatino Linotype" w:hAnsi="Times New Roman" w:cs="Times New Roman"/>
          <w:b/>
          <w:sz w:val="22"/>
          <w:lang w:val="en-US"/>
        </w:rPr>
        <w:t xml:space="preserve"> P</w:t>
      </w:r>
      <w:r w:rsidR="00A26C73" w:rsidRPr="00BF0936">
        <w:rPr>
          <w:rFonts w:ascii="Times New Roman" w:eastAsia="Palatino Linotype" w:hAnsi="Times New Roman" w:cs="Times New Roman"/>
          <w:b/>
          <w:sz w:val="22"/>
          <w:lang w:val="en-US"/>
        </w:rPr>
        <w:t>rocessing</w:t>
      </w:r>
      <w:r w:rsidR="00CC4EB6" w:rsidRPr="00BF0936">
        <w:rPr>
          <w:rFonts w:ascii="Times New Roman" w:eastAsia="Palatino Linotype" w:hAnsi="Times New Roman" w:cs="Times New Roman"/>
          <w:b/>
          <w:sz w:val="22"/>
          <w:lang w:val="en-US"/>
        </w:rPr>
        <w:t xml:space="preserve"> </w:t>
      </w:r>
      <w:r w:rsidR="00A26C73" w:rsidRPr="00BF0936">
        <w:rPr>
          <w:rFonts w:ascii="Times New Roman" w:eastAsia="Palatino Linotype" w:hAnsi="Times New Roman" w:cs="Times New Roman"/>
          <w:b/>
          <w:sz w:val="22"/>
          <w:lang w:val="en-US"/>
        </w:rPr>
        <w:t>and</w:t>
      </w:r>
      <w:r w:rsidR="00CC4EB6" w:rsidRPr="00BF0936">
        <w:rPr>
          <w:rFonts w:ascii="Times New Roman" w:eastAsia="Palatino Linotype" w:hAnsi="Times New Roman" w:cs="Times New Roman"/>
          <w:b/>
          <w:sz w:val="22"/>
          <w:lang w:val="en-US"/>
        </w:rPr>
        <w:t xml:space="preserve"> A</w:t>
      </w:r>
      <w:r w:rsidR="00A26C73" w:rsidRPr="00BF0936">
        <w:rPr>
          <w:rFonts w:ascii="Times New Roman" w:eastAsia="Palatino Linotype" w:hAnsi="Times New Roman" w:cs="Times New Roman"/>
          <w:b/>
          <w:sz w:val="22"/>
          <w:lang w:val="en-US"/>
        </w:rPr>
        <w:t>nalysis</w:t>
      </w:r>
    </w:p>
    <w:p w14:paraId="386A72E3" w14:textId="52831956" w:rsidR="005320B8" w:rsidRPr="00BF0936" w:rsidRDefault="0002089C" w:rsidP="00292EAF">
      <w:pPr>
        <w:spacing w:after="0" w:line="240" w:lineRule="auto"/>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The data acquired was analyzed using </w:t>
      </w:r>
      <w:proofErr w:type="spellStart"/>
      <w:r w:rsidRPr="00BF0936">
        <w:rPr>
          <w:rFonts w:ascii="Times New Roman" w:eastAsia="Palatino Linotype" w:hAnsi="Times New Roman" w:cs="Times New Roman"/>
          <w:bCs/>
          <w:sz w:val="22"/>
          <w:lang w:val="en-US"/>
        </w:rPr>
        <w:t>Nvivo</w:t>
      </w:r>
      <w:proofErr w:type="spellEnd"/>
      <w:r w:rsidRPr="00BF0936">
        <w:rPr>
          <w:rFonts w:ascii="Times New Roman" w:eastAsia="Palatino Linotype" w:hAnsi="Times New Roman" w:cs="Times New Roman"/>
          <w:bCs/>
          <w:sz w:val="22"/>
          <w:lang w:val="en-US"/>
        </w:rPr>
        <w:t xml:space="preserve"> software to enhance the rigor of the investigation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{"citationID":"XJkGa3yp","properties":{"formattedCitation":"(Richards &amp; Richards, 1991)","plainCitation":"(Richards &amp; Richards, 1991)","noteIndex":0},"citationItems":[{"id":1354,"uris":["http://zotero.org/users/11920205/items/I55FMLZ6"],"itemData":{"id":1354,"type":"chapter","event-place":"London","page":"38-53","publisher":"Sage","publisher-place":"London","title":"The Transformation of Qualitative Method: Computational Paradigms and Research Processes","author":[{"family":"Richards","given":"Lyn"},{"family":"Richards","given":"Tom"}],"issued":{"date-parts":[["1991"]]}}}],"schema":"https://github.com/citation-style-language/schema/raw/master/csl-citation.json"}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(Richards &amp; Richards, 1991)</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The transcripts will be analyzed using thematic analysis to present the outcomes of this study as proposed by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{"citationID":"nasv1NYc","properties":{"formattedCitation":"(Braun &amp; Clarke, 2006)","plainCitation":"(Braun &amp; Clarke, 2006)","noteIndex":0},"citationItems":[{"id":662,"uris":["http://zotero.org/users/11920205/items/I4T3P44S"],"itemData":{"id":662,"type":"article-journal","abstract":"Thematic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Ltd.","container-title":"Qualitative Research in Psychology","DOI":"10.1191/1478088706qp063oa","ISSN":"14780887","issue":"2","page":"77-101","title":"Using thematic analysis in psychology","volume":"3","author":[{"family":"Braun","given":"Virginia"},{"family":"Clarke","given":"Victoria"}],"issued":{"date-parts":[["2006"]]}}}],"schema":"https://github.com/citation-style-language/schema/raw/master/csl-citation.json"}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(Braun &amp; Clarke, 2006)</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Thematic analysis is a qualitative research approach that aims to understand a particular phenomenon by detecting reoccurring themes within a large dataset. The research used thematic analysis because it enables the identification, analysis, and presentation of data patterns or themes in the study </w:t>
      </w:r>
      <w:r w:rsidRPr="00BF0936">
        <w:rPr>
          <w:rFonts w:ascii="Times New Roman" w:eastAsia="Palatino Linotype" w:hAnsi="Times New Roman" w:cs="Times New Roman"/>
          <w:bCs/>
          <w:sz w:val="22"/>
          <w:lang w:val="en-US"/>
        </w:rPr>
        <w:fldChar w:fldCharType="begin"/>
      </w:r>
      <w:r w:rsidRPr="00BF0936">
        <w:rPr>
          <w:rFonts w:ascii="Times New Roman" w:eastAsia="Palatino Linotype" w:hAnsi="Times New Roman" w:cs="Times New Roman"/>
          <w:bCs/>
          <w:sz w:val="22"/>
          <w:lang w:val="en-US"/>
        </w:rPr>
        <w:instrText xml:space="preserve"> ADDIN ZOTERO_ITEM CSL_CITATION {"citationID":"BM6JEAeV","properties":{"formattedCitation":"(Ozuem et al., 2022)","plainCitation":"(Ozuem et al., 2022)","noteIndex":0},"citationItems":[{"id":2282,"uris":["http://zotero.org/users/11920205/items/ZDBG4GQ9"],"itemData":{"id":2282,"type":"article-journal","abstract":"Purpose: In this paper, the authors underpin thematic analysis with a philosophical and methodological dimension and present a nuanced perspective on the application of thematic analysis in a data-driven context. Thematic analysis is a widely used qualitative analytic method; it is perceived as a transparent approach that offers single meaning. However, through Husserlian descriptive phenomenology, this paper aims to examine issues regarding subject/object and multidimensional meanings and realities. Design/methodology/approach: In most extant studies, thematic analysis has become a prescriptive approach. This emerging qualitative approach has been applied to a range of studies on social and organisational issues, knowledge management and education. However, despite its wide usage, researchers are divided as to its effectiveness. Many choose quantitative approaches as an alternative, and some disagree as to what counts as the definitive framework and process for thematic analysis. Consequently, the authors provide a level of validity for thematic analysis through emphasising a specific methodological approach based on ontological and epistemological positions. Findings: Contrary to the common mantra from contemporary qualitative researchers who claim thematic analysis is often based on a static and enduring approach, the current paper highlights the dynamic nature of a thematic analytic approach and offers a deeper understanding of the ways in which researchers can use the right approach to understand the emerging complex data context. Originality/value: Several insights regarding the literature on thematic analysis were identified, including the current conceptualisation of thematic analysis as a dynamic approach. Understanding thematic analysis through phenomenology provides a basis on which to undertake a whole range of inclusive approaches that were previously undifferentiated from a quantitative perspective.","container-title":"Qualitative Market Research","DOI":"10.1108/QMR-07-2021-0092/REFERENCES","ISSN":"13522752","issue":"1","note":"publisher: Emerald Group Holdings Ltd.","page":"143-157","title":"Thematic analysis without paradox: sensemaking and context","volume":"25","author":[{"family":"Ozuem","given":"Wilson"},{"family":"Willis","given":"Michelle"},{"family":"Howell","given":"Kerry"}],"issued":{"date-parts":[["2022",1,19]]}}}],"schema":"https://github.com/citation-style-language/schema/raw/master/csl-citation.json"} </w:instrText>
      </w:r>
      <w:r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(Ozuem et al., 2022)</w:t>
      </w:r>
      <w:r w:rsidRPr="00BF0936">
        <w:rPr>
          <w:rFonts w:ascii="Times New Roman" w:eastAsia="Palatino Linotype" w:hAnsi="Times New Roman" w:cs="Times New Roman"/>
          <w:bCs/>
          <w:sz w:val="22"/>
          <w:lang w:val="en-US"/>
        </w:rPr>
        <w:fldChar w:fldCharType="end"/>
      </w:r>
      <w:r w:rsidRPr="00BF0936">
        <w:rPr>
          <w:rFonts w:ascii="Times New Roman" w:eastAsia="Palatino Linotype" w:hAnsi="Times New Roman" w:cs="Times New Roman"/>
          <w:bCs/>
          <w:sz w:val="22"/>
          <w:lang w:val="en-US"/>
        </w:rPr>
        <w:t xml:space="preserve">. </w:t>
      </w:r>
      <w:r w:rsidR="00713B9F" w:rsidRPr="00BF0936">
        <w:rPr>
          <w:rFonts w:ascii="Times New Roman" w:eastAsia="Palatino Linotype" w:hAnsi="Times New Roman" w:cs="Times New Roman"/>
          <w:bCs/>
          <w:sz w:val="22"/>
          <w:lang w:val="en-US"/>
        </w:rPr>
        <w:t xml:space="preserve">For the purpose of ensuring meticulous coding, the study used the approaches of first-cycle and second-cycle coding, as mentioned by </w:t>
      </w:r>
      <w:r w:rsidR="005320B8" w:rsidRPr="00BF0936">
        <w:rPr>
          <w:rFonts w:ascii="Times New Roman" w:eastAsia="Palatino Linotype" w:hAnsi="Times New Roman" w:cs="Times New Roman"/>
          <w:bCs/>
          <w:sz w:val="22"/>
          <w:lang w:val="en-US"/>
        </w:rPr>
        <w:t>(Miles et al., 2014)</w:t>
      </w:r>
      <w:r w:rsidR="00713B9F" w:rsidRPr="00BF0936">
        <w:rPr>
          <w:rFonts w:ascii="Times New Roman" w:eastAsia="Palatino Linotype" w:hAnsi="Times New Roman" w:cs="Times New Roman"/>
          <w:bCs/>
          <w:sz w:val="22"/>
          <w:lang w:val="en-US"/>
        </w:rPr>
        <w:t xml:space="preserve">. To ensure accurate coding of all pertinent information, the study employed various methods such as line coding, value coding, and structural coding </w:t>
      </w:r>
      <w:r w:rsidR="00713B9F" w:rsidRPr="00BF0936">
        <w:rPr>
          <w:rFonts w:ascii="Times New Roman" w:eastAsia="Palatino Linotype" w:hAnsi="Times New Roman" w:cs="Times New Roman"/>
          <w:bCs/>
          <w:sz w:val="22"/>
          <w:lang w:val="en-US"/>
        </w:rPr>
        <w:fldChar w:fldCharType="begin"/>
      </w:r>
      <w:r w:rsidR="00713B9F" w:rsidRPr="00BF0936">
        <w:rPr>
          <w:rFonts w:ascii="Times New Roman" w:eastAsia="Palatino Linotype" w:hAnsi="Times New Roman" w:cs="Times New Roman"/>
          <w:bCs/>
          <w:sz w:val="22"/>
          <w:lang w:val="en-US"/>
        </w:rPr>
        <w:instrText xml:space="preserve"> ADDIN ZOTERO_ITEM CSL_CITATION {"citationID":"kN704ryB","properties":{"formattedCitation":"(Miles et al., 2014)","plainCitation":"(Miles et al., 2014)","noteIndex":0},"citationItems":[{"id":2283,"uris":["http://zotero.org/users/11920205/items/JCT6Y3BR"],"itemData":{"id":2283,"type":"book","event-place":"Los Angeles","publisher":"Sage","publisher-place":"Los Angeles","title":"Qualitative data analysis: A methods sourcebook","URL":"https://books.google.com/books?hl=tr&amp;lr=&amp;id=lCh_DwAAQBAJ&amp;oi=fnd&amp;pg=PP1&amp;ots=2SfqHBAncd&amp;sig=z7RjhfWwZezdEoBdfxY2ez6xP6k","volume":"112","author":[{"family":"Miles","given":"MB"},{"family":"Huberman","given":"AM"},{"family":"Saldaña","given":"J"}],"accessed":{"date-parts":[["2022",9,13]]},"issued":{"date-parts":[["2014"]]}}}],"schema":"https://github.com/citation-style-language/schema/raw/master/csl-citation.json"} </w:instrText>
      </w:r>
      <w:r w:rsidR="00713B9F"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(Miles et al., 2014)</w:t>
      </w:r>
      <w:r w:rsidR="00713B9F" w:rsidRPr="00BF0936">
        <w:rPr>
          <w:rFonts w:ascii="Times New Roman" w:eastAsia="Palatino Linotype" w:hAnsi="Times New Roman" w:cs="Times New Roman"/>
          <w:bCs/>
          <w:sz w:val="22"/>
          <w:lang w:val="en-US"/>
        </w:rPr>
        <w:fldChar w:fldCharType="end"/>
      </w:r>
      <w:r w:rsidR="00713B9F" w:rsidRPr="00BF0936">
        <w:rPr>
          <w:rFonts w:ascii="Times New Roman" w:eastAsia="Palatino Linotype" w:hAnsi="Times New Roman" w:cs="Times New Roman"/>
          <w:bCs/>
          <w:sz w:val="22"/>
          <w:lang w:val="en-US"/>
        </w:rPr>
        <w:t xml:space="preserve">. </w:t>
      </w:r>
    </w:p>
    <w:p w14:paraId="6D432B78" w14:textId="77777777" w:rsidR="00E67920" w:rsidRPr="00BF0936" w:rsidRDefault="00E67920"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Data analysis followed a rigorous hybrid thematic analysis that combined inductive and deductive approaches with diffusion of innovation and social capital theories serving as guiding lenses. Interview recordings were transcribed verbatim, </w:t>
      </w:r>
      <w:proofErr w:type="spellStart"/>
      <w:r w:rsidRPr="00BF0936">
        <w:rPr>
          <w:rFonts w:ascii="Times New Roman" w:eastAsia="Palatino Linotype" w:hAnsi="Times New Roman" w:cs="Times New Roman"/>
          <w:bCs/>
          <w:sz w:val="22"/>
          <w:lang w:val="en-US"/>
        </w:rPr>
        <w:t>anonymised</w:t>
      </w:r>
      <w:proofErr w:type="spellEnd"/>
      <w:r w:rsidRPr="00BF0936">
        <w:rPr>
          <w:rFonts w:ascii="Times New Roman" w:eastAsia="Palatino Linotype" w:hAnsi="Times New Roman" w:cs="Times New Roman"/>
          <w:bCs/>
          <w:sz w:val="22"/>
          <w:lang w:val="en-US"/>
        </w:rPr>
        <w:t xml:space="preserve">, and imported into NVivo to ensure systematic data management, traceability, and an audit trail of analytic decisions. The researcher immersed themselves in the transcripts through repeated readings and reflexive </w:t>
      </w:r>
      <w:proofErr w:type="spellStart"/>
      <w:r w:rsidRPr="00BF0936">
        <w:rPr>
          <w:rFonts w:ascii="Times New Roman" w:eastAsia="Palatino Linotype" w:hAnsi="Times New Roman" w:cs="Times New Roman"/>
          <w:bCs/>
          <w:sz w:val="22"/>
          <w:lang w:val="en-US"/>
        </w:rPr>
        <w:t>memoing</w:t>
      </w:r>
      <w:proofErr w:type="spellEnd"/>
      <w:r w:rsidRPr="00BF0936">
        <w:rPr>
          <w:rFonts w:ascii="Times New Roman" w:eastAsia="Palatino Linotype" w:hAnsi="Times New Roman" w:cs="Times New Roman"/>
          <w:bCs/>
          <w:sz w:val="22"/>
          <w:lang w:val="en-US"/>
        </w:rPr>
        <w:t xml:space="preserve"> to achieve deep </w:t>
      </w:r>
      <w:proofErr w:type="spellStart"/>
      <w:r w:rsidRPr="00BF0936">
        <w:rPr>
          <w:rFonts w:ascii="Times New Roman" w:eastAsia="Palatino Linotype" w:hAnsi="Times New Roman" w:cs="Times New Roman"/>
          <w:bCs/>
          <w:sz w:val="22"/>
          <w:lang w:val="en-US"/>
        </w:rPr>
        <w:t>familiarisation</w:t>
      </w:r>
      <w:proofErr w:type="spellEnd"/>
      <w:r w:rsidRPr="00BF0936">
        <w:rPr>
          <w:rFonts w:ascii="Times New Roman" w:eastAsia="Palatino Linotype" w:hAnsi="Times New Roman" w:cs="Times New Roman"/>
          <w:bCs/>
          <w:sz w:val="22"/>
          <w:lang w:val="en-US"/>
        </w:rPr>
        <w:t xml:space="preserve">, then conducted first cycle open and in vivo coding in NVivo to capture participants’ language and lived experience related to motivations for cash waqf social responsibility using digital applications. These initial codes were documented in a developing codebook with clear definitions and exemplar quotations, and memos recorded analytic insights and coding rationales. </w:t>
      </w:r>
    </w:p>
    <w:p w14:paraId="50322F86" w14:textId="3055F921" w:rsidR="00E67920" w:rsidRPr="00BF0936" w:rsidRDefault="00E67920"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In second cycle pattern coding the researcher consolidated related codes into higher order categories and candidate themes, iteratively testing and refining </w:t>
      </w:r>
      <w:r w:rsidRPr="00BF0936">
        <w:rPr>
          <w:rFonts w:ascii="Times New Roman" w:eastAsia="Palatino Linotype" w:hAnsi="Times New Roman" w:cs="Times New Roman"/>
          <w:bCs/>
          <w:sz w:val="22"/>
          <w:lang w:val="en-US"/>
        </w:rPr>
        <w:lastRenderedPageBreak/>
        <w:t xml:space="preserve">theme boundaries by returning to the data and comparing coded text segments. NVivo analytic tools such as coding frequency reports, matrix coding queries, coding comparison queries, and visual models were employed to examine patterns of </w:t>
      </w:r>
      <w:proofErr w:type="spellStart"/>
      <w:r w:rsidRPr="00BF0936">
        <w:rPr>
          <w:rFonts w:ascii="Times New Roman" w:eastAsia="Palatino Linotype" w:hAnsi="Times New Roman" w:cs="Times New Roman"/>
          <w:bCs/>
          <w:sz w:val="22"/>
          <w:lang w:val="en-US"/>
        </w:rPr>
        <w:t>co occurrence</w:t>
      </w:r>
      <w:proofErr w:type="spellEnd"/>
      <w:r w:rsidRPr="00BF0936">
        <w:rPr>
          <w:rFonts w:ascii="Times New Roman" w:eastAsia="Palatino Linotype" w:hAnsi="Times New Roman" w:cs="Times New Roman"/>
          <w:bCs/>
          <w:sz w:val="22"/>
          <w:lang w:val="en-US"/>
        </w:rPr>
        <w:t xml:space="preserve">, relationships between themes, and variation across respondent characteristics, and to </w:t>
      </w:r>
      <w:proofErr w:type="spellStart"/>
      <w:r w:rsidRPr="00BF0936">
        <w:rPr>
          <w:rFonts w:ascii="Times New Roman" w:eastAsia="Palatino Linotype" w:hAnsi="Times New Roman" w:cs="Times New Roman"/>
          <w:bCs/>
          <w:sz w:val="22"/>
          <w:lang w:val="en-US"/>
        </w:rPr>
        <w:t>visualise</w:t>
      </w:r>
      <w:proofErr w:type="spellEnd"/>
      <w:r w:rsidRPr="00BF0936">
        <w:rPr>
          <w:rFonts w:ascii="Times New Roman" w:eastAsia="Palatino Linotype" w:hAnsi="Times New Roman" w:cs="Times New Roman"/>
          <w:bCs/>
          <w:sz w:val="22"/>
          <w:lang w:val="en-US"/>
        </w:rPr>
        <w:t xml:space="preserve"> thematic structures. Trustworthiness was enhanced through multiple strategies including member checking of key interpretations, peer debriefing, maintenance of an audit trail and versioned codebook within NVivo, and where possible assessment of coding agreement; thick description of themes supported transferability and reflexive notes supported confirmability. </w:t>
      </w:r>
    </w:p>
    <w:p w14:paraId="3AEF52B8" w14:textId="3A0440AE" w:rsidR="00C84177" w:rsidRPr="00BF0936" w:rsidRDefault="00E67920" w:rsidP="00292EAF">
      <w:pPr>
        <w:spacing w:after="0" w:line="240" w:lineRule="auto"/>
        <w:ind w:firstLine="720"/>
        <w:jc w:val="both"/>
        <w:rPr>
          <w:rFonts w:ascii="Times New Roman" w:eastAsia="Palatino Linotype" w:hAnsi="Times New Roman" w:cs="Times New Roman"/>
          <w:bCs/>
          <w:sz w:val="22"/>
          <w:lang w:val="en-US"/>
        </w:rPr>
      </w:pPr>
      <w:r w:rsidRPr="00BF0936">
        <w:rPr>
          <w:rFonts w:ascii="Times New Roman" w:eastAsia="Palatino Linotype" w:hAnsi="Times New Roman" w:cs="Times New Roman"/>
          <w:bCs/>
          <w:sz w:val="22"/>
          <w:lang w:val="en-US"/>
        </w:rPr>
        <w:t xml:space="preserve">Themes were then mapped onto diffusion of innovation constructs such as relative advantage, compatibility, observability and trialability, and onto social capital constructs such as trust, reciprocity, networks and norms, to explain how technological attributes and social ties jointly motivate social enterprises to adopt digital waqf for CWSR. The final analytic stage involved comparing emergent themes with prior studies to situate contributions and divergences, and producing a coherent, evidence grounded narrative that uses participant quotations to preserve voice while offering theoretically informed explanations of the motivations behind digital cash waqf adoption among social enterprises. </w:t>
      </w:r>
      <w:r w:rsidR="0002089C" w:rsidRPr="00BF0936">
        <w:rPr>
          <w:rFonts w:ascii="Times New Roman" w:eastAsia="Palatino Linotype" w:hAnsi="Times New Roman" w:cs="Times New Roman"/>
          <w:bCs/>
          <w:sz w:val="22"/>
          <w:lang w:val="en-US"/>
        </w:rPr>
        <w:fldChar w:fldCharType="begin"/>
      </w:r>
      <w:r w:rsidR="0002089C" w:rsidRPr="00BF0936">
        <w:rPr>
          <w:rFonts w:ascii="Times New Roman" w:eastAsia="Palatino Linotype" w:hAnsi="Times New Roman" w:cs="Times New Roman"/>
          <w:bCs/>
          <w:sz w:val="22"/>
          <w:lang w:val="en-US"/>
        </w:rPr>
        <w:instrText xml:space="preserve"> ADDIN ZOTERO_ITEM CSL_CITATION {"citationID":"xQ9rRg8d","properties":{"formattedCitation":"(Cresswell &amp; Cresswell, 2018)","plainCitation":"(Cresswell &amp; Cresswell, 2018)","noteIndex":0},"citationItems":[{"id":2284,"uris":["http://zotero.org/users/11920205/items/5SC646QM"],"itemData":{"id":2284,"type":"book","event-place":"Los Angeles","publisher":"Sage","publisher-place":"Los Angeles","title":"Research design: Qualitative, quantitative, and mixed methods approaches","URL":"https://scholar.google.com/scholar_lookup?title=Research+Design:+Qualitative,+Quantitative+adn+Mixed+Methods+Approaches&amp;author=Creswell,+W.+John&amp;author=and+John+David+Creswell&amp;publication_year=2018","volume":"53","author":[{"family":"Cresswell","given":"W. John"},{"family":"Cresswell","given":"David John"}],"accessed":{"date-parts":[["2022",9,13]]},"issued":{"date-parts":[["2018"]]}}}],"schema":"https://github.com/citation-style-language/schema/raw/master/csl-citation.json"} </w:instrText>
      </w:r>
      <w:r w:rsidR="0002089C" w:rsidRPr="00BF0936">
        <w:rPr>
          <w:rFonts w:ascii="Times New Roman" w:eastAsia="Palatino Linotype" w:hAnsi="Times New Roman" w:cs="Times New Roman"/>
          <w:bCs/>
          <w:sz w:val="22"/>
          <w:lang w:val="en-US"/>
        </w:rPr>
        <w:fldChar w:fldCharType="separate"/>
      </w:r>
      <w:r w:rsidR="00871A71" w:rsidRPr="00BF0936">
        <w:rPr>
          <w:rFonts w:ascii="Times New Roman" w:hAnsi="Times New Roman" w:cs="Times New Roman"/>
          <w:sz w:val="22"/>
        </w:rPr>
        <w:t>(Cresswell &amp; Cresswell, 2018)</w:t>
      </w:r>
      <w:r w:rsidR="0002089C" w:rsidRPr="00BF0936">
        <w:rPr>
          <w:rFonts w:ascii="Times New Roman" w:eastAsia="Palatino Linotype" w:hAnsi="Times New Roman" w:cs="Times New Roman"/>
          <w:bCs/>
          <w:sz w:val="22"/>
          <w:lang w:val="en-US"/>
        </w:rPr>
        <w:fldChar w:fldCharType="end"/>
      </w:r>
      <w:r w:rsidR="0002089C" w:rsidRPr="00BF0936">
        <w:rPr>
          <w:rFonts w:ascii="Times New Roman" w:eastAsia="Palatino Linotype" w:hAnsi="Times New Roman" w:cs="Times New Roman"/>
          <w:bCs/>
          <w:sz w:val="22"/>
          <w:lang w:val="en-US"/>
        </w:rPr>
        <w:t xml:space="preserve">. </w:t>
      </w:r>
      <w:r w:rsidR="005320B8" w:rsidRPr="00BF0936">
        <w:rPr>
          <w:rFonts w:ascii="Times New Roman" w:eastAsia="Palatino Linotype" w:hAnsi="Times New Roman" w:cs="Times New Roman"/>
          <w:bCs/>
          <w:sz w:val="22"/>
          <w:lang w:val="en-US"/>
        </w:rPr>
        <w:t>To ensure</w:t>
      </w:r>
      <w:r w:rsidR="0002089C" w:rsidRPr="00BF0936">
        <w:rPr>
          <w:rFonts w:ascii="Times New Roman" w:eastAsia="Palatino Linotype" w:hAnsi="Times New Roman" w:cs="Times New Roman"/>
          <w:bCs/>
          <w:sz w:val="22"/>
          <w:lang w:val="en-US"/>
        </w:rPr>
        <w:t xml:space="preserve"> inter-rate</w:t>
      </w:r>
      <w:r w:rsidR="005320B8" w:rsidRPr="00BF0936">
        <w:rPr>
          <w:rFonts w:ascii="Times New Roman" w:eastAsia="Palatino Linotype" w:hAnsi="Times New Roman" w:cs="Times New Roman"/>
          <w:bCs/>
          <w:sz w:val="22"/>
          <w:lang w:val="en-US"/>
        </w:rPr>
        <w:t>r</w:t>
      </w:r>
      <w:r w:rsidR="0002089C" w:rsidRPr="00BF0936">
        <w:rPr>
          <w:rFonts w:ascii="Times New Roman" w:eastAsia="Palatino Linotype" w:hAnsi="Times New Roman" w:cs="Times New Roman"/>
          <w:bCs/>
          <w:sz w:val="22"/>
          <w:lang w:val="en-US"/>
        </w:rPr>
        <w:t xml:space="preserve"> reliability, two researchers will individually evaluate the data and work together to get a consensus on the </w:t>
      </w:r>
      <w:r w:rsidR="005320B8" w:rsidRPr="00BF0936">
        <w:rPr>
          <w:rFonts w:ascii="Times New Roman" w:eastAsia="Palatino Linotype" w:hAnsi="Times New Roman" w:cs="Times New Roman"/>
          <w:bCs/>
          <w:sz w:val="22"/>
          <w:lang w:val="en-US"/>
        </w:rPr>
        <w:t>significant</w:t>
      </w:r>
      <w:r w:rsidR="0002089C" w:rsidRPr="00BF0936">
        <w:rPr>
          <w:rFonts w:ascii="Times New Roman" w:eastAsia="Palatino Linotype" w:hAnsi="Times New Roman" w:cs="Times New Roman"/>
          <w:bCs/>
          <w:sz w:val="22"/>
          <w:lang w:val="en-US"/>
        </w:rPr>
        <w:t xml:space="preserve"> themes obtained from the data.</w:t>
      </w:r>
    </w:p>
    <w:p w14:paraId="3F760513" w14:textId="77777777" w:rsidR="007A2A34" w:rsidRPr="00BF0936" w:rsidRDefault="007A2A34" w:rsidP="00292EAF">
      <w:pPr>
        <w:spacing w:after="0" w:line="240" w:lineRule="auto"/>
        <w:rPr>
          <w:rFonts w:ascii="Times New Roman" w:eastAsia="Palatino Linotype" w:hAnsi="Times New Roman" w:cs="Times New Roman"/>
          <w:b/>
          <w:sz w:val="22"/>
          <w:lang w:val="en-US"/>
        </w:rPr>
      </w:pPr>
    </w:p>
    <w:p w14:paraId="7A0193FF" w14:textId="7F2E1A0A" w:rsidR="00713B9F" w:rsidRPr="00BF0936" w:rsidRDefault="0030573F" w:rsidP="00292EAF">
      <w:pPr>
        <w:spacing w:after="120" w:line="240" w:lineRule="auto"/>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 xml:space="preserve">IV. RESULTS AND </w:t>
      </w:r>
      <w:r w:rsidR="00B25DF7" w:rsidRPr="00BF0936">
        <w:rPr>
          <w:rFonts w:ascii="Times New Roman" w:eastAsia="Palatino Linotype" w:hAnsi="Times New Roman" w:cs="Times New Roman"/>
          <w:b/>
          <w:sz w:val="22"/>
          <w:lang w:val="en-US"/>
        </w:rPr>
        <w:t>DISCUSSION</w:t>
      </w:r>
    </w:p>
    <w:p w14:paraId="753EDB17" w14:textId="675C1270" w:rsidR="003A0661" w:rsidRPr="00BF0936" w:rsidRDefault="00C05137" w:rsidP="003A0661">
      <w:pPr>
        <w:spacing w:after="120" w:line="240" w:lineRule="auto"/>
        <w:jc w:val="both"/>
        <w:rPr>
          <w:rFonts w:ascii="Times New Roman" w:eastAsia="Palatino Linotype" w:hAnsi="Times New Roman" w:cs="Times New Roman"/>
          <w:b/>
          <w:bCs/>
          <w:sz w:val="22"/>
          <w:lang w:val="en-MY"/>
        </w:rPr>
      </w:pPr>
      <w:r w:rsidRPr="00BF0936">
        <w:rPr>
          <w:rFonts w:ascii="Times New Roman" w:eastAsia="Palatino Linotype" w:hAnsi="Times New Roman" w:cs="Times New Roman"/>
          <w:b/>
          <w:bCs/>
          <w:sz w:val="22"/>
          <w:lang w:val="en-MY"/>
        </w:rPr>
        <w:t xml:space="preserve">4.1 </w:t>
      </w:r>
      <w:r w:rsidR="003A0661" w:rsidRPr="00BF0936">
        <w:rPr>
          <w:rFonts w:ascii="Times New Roman" w:eastAsia="Palatino Linotype" w:hAnsi="Times New Roman" w:cs="Times New Roman"/>
          <w:b/>
          <w:bCs/>
          <w:sz w:val="22"/>
          <w:lang w:val="en-MY"/>
        </w:rPr>
        <w:t>Discussion and Findings</w:t>
      </w:r>
    </w:p>
    <w:p w14:paraId="0767FA36" w14:textId="77777777"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The findings reveal that social enterprises perceive </w:t>
      </w:r>
      <w:r w:rsidRPr="00BF0936">
        <w:rPr>
          <w:rFonts w:ascii="Times New Roman" w:eastAsia="Palatino Linotype" w:hAnsi="Times New Roman" w:cs="Times New Roman"/>
          <w:sz w:val="22"/>
          <w:lang w:val="en-MY"/>
        </w:rPr>
        <w:t>digital cash waqf</w:t>
      </w:r>
      <w:r w:rsidRPr="00BF0936">
        <w:rPr>
          <w:rFonts w:ascii="Times New Roman" w:eastAsia="Palatino Linotype" w:hAnsi="Times New Roman" w:cs="Times New Roman"/>
          <w:bCs/>
          <w:sz w:val="22"/>
          <w:lang w:val="en-MY"/>
        </w:rPr>
        <w:t xml:space="preserve"> as a highly accessible, cost-effective, and socially embedded innovation that aligns with their values and daily routines, thereby strengthening their capacity to fulfil cash-waqf social responsibility (CWSR). Using both </w:t>
      </w:r>
      <w:r w:rsidRPr="00BF0936">
        <w:rPr>
          <w:rFonts w:ascii="Times New Roman" w:eastAsia="Palatino Linotype" w:hAnsi="Times New Roman" w:cs="Times New Roman"/>
          <w:sz w:val="22"/>
          <w:lang w:val="en-MY"/>
        </w:rPr>
        <w:t>Diffusion of Innovation (DOI)</w:t>
      </w:r>
      <w:r w:rsidRPr="00BF0936">
        <w:rPr>
          <w:rFonts w:ascii="Times New Roman" w:eastAsia="Palatino Linotype" w:hAnsi="Times New Roman" w:cs="Times New Roman"/>
          <w:bCs/>
          <w:sz w:val="22"/>
          <w:lang w:val="en-MY"/>
        </w:rPr>
        <w:t xml:space="preserve"> theory (Rogers, 2003) and </w:t>
      </w:r>
      <w:r w:rsidRPr="00BF0936">
        <w:rPr>
          <w:rFonts w:ascii="Times New Roman" w:eastAsia="Palatino Linotype" w:hAnsi="Times New Roman" w:cs="Times New Roman"/>
          <w:sz w:val="22"/>
          <w:lang w:val="en-MY"/>
        </w:rPr>
        <w:t>Social Capital Theory</w:t>
      </w:r>
      <w:r w:rsidRPr="00BF0936">
        <w:rPr>
          <w:rFonts w:ascii="Times New Roman" w:eastAsia="Palatino Linotype" w:hAnsi="Times New Roman" w:cs="Times New Roman"/>
          <w:bCs/>
          <w:sz w:val="22"/>
          <w:lang w:val="en-MY"/>
        </w:rPr>
        <w:t xml:space="preserve"> (Putnam, 1995; Fukuyama, 1997; Portes, 1998), the results provide fresh insights into how technological innovation and embedded social norms jointly influence the adoption of digital waqf among small-scale social enterprises.</w:t>
      </w:r>
    </w:p>
    <w:p w14:paraId="3AF6AFD3" w14:textId="7D38F13C"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4.1.1. </w:t>
      </w:r>
      <w:proofErr w:type="gramStart"/>
      <w:r w:rsidR="003A0661" w:rsidRPr="00BF0936">
        <w:rPr>
          <w:rFonts w:ascii="Times New Roman" w:eastAsia="Palatino Linotype" w:hAnsi="Times New Roman" w:cs="Times New Roman"/>
          <w:b/>
          <w:bCs/>
          <w:sz w:val="22"/>
          <w:lang w:val="en-MY"/>
        </w:rPr>
        <w:t>Relative</w:t>
      </w:r>
      <w:proofErr w:type="gramEnd"/>
      <w:r w:rsidR="003A0661" w:rsidRPr="00BF0936">
        <w:rPr>
          <w:rFonts w:ascii="Times New Roman" w:eastAsia="Palatino Linotype" w:hAnsi="Times New Roman" w:cs="Times New Roman"/>
          <w:b/>
          <w:bCs/>
          <w:sz w:val="22"/>
          <w:lang w:val="en-MY"/>
        </w:rPr>
        <w:t xml:space="preserve"> Advantage and Ease of Access</w:t>
      </w:r>
    </w:p>
    <w:p w14:paraId="24C41310" w14:textId="42D84F93"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Respondents highlighted that digital waqf was superior to traditional donation practices because of its convenience, flexibility, and efficiency. R2 expressed that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engaging in conventional charity required physical energy and external support, particularly as she had to carry heavy goods such as rice and oil</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She contrasted this with digital waqf, which she described as straightforward, convenient, and available at any given moment</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R5 similarly affirmed the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simplicity of online giving by noting that making a waqf is simple and involves merely transferring funds online, which can be done at any time</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The </w:t>
      </w:r>
      <w:r w:rsidRPr="00BF0936">
        <w:rPr>
          <w:rFonts w:ascii="Times New Roman" w:eastAsia="Palatino Linotype" w:hAnsi="Times New Roman" w:cs="Times New Roman"/>
          <w:sz w:val="22"/>
          <w:lang w:val="en-MY"/>
        </w:rPr>
        <w:t>relative advantage</w:t>
      </w:r>
      <w:r w:rsidRPr="00BF0936">
        <w:rPr>
          <w:rFonts w:ascii="Times New Roman" w:eastAsia="Palatino Linotype" w:hAnsi="Times New Roman" w:cs="Times New Roman"/>
          <w:bCs/>
          <w:sz w:val="22"/>
          <w:lang w:val="en-MY"/>
        </w:rPr>
        <w:t xml:space="preserve"> here lies not only in technological efficiency but also in the </w:t>
      </w:r>
      <w:r w:rsidRPr="00BF0936">
        <w:rPr>
          <w:rFonts w:ascii="Times New Roman" w:eastAsia="Palatino Linotype" w:hAnsi="Times New Roman" w:cs="Times New Roman"/>
          <w:sz w:val="22"/>
          <w:lang w:val="en-MY"/>
        </w:rPr>
        <w:t xml:space="preserve">perceived reduction of physical and </w:t>
      </w:r>
      <w:r w:rsidRPr="00BF0936">
        <w:rPr>
          <w:rFonts w:ascii="Times New Roman" w:eastAsia="Palatino Linotype" w:hAnsi="Times New Roman" w:cs="Times New Roman"/>
          <w:sz w:val="22"/>
          <w:lang w:val="en-MY"/>
        </w:rPr>
        <w:lastRenderedPageBreak/>
        <w:t>cognitive barriers</w:t>
      </w:r>
      <w:r w:rsidRPr="00BF0936">
        <w:rPr>
          <w:rFonts w:ascii="Times New Roman" w:eastAsia="Palatino Linotype" w:hAnsi="Times New Roman" w:cs="Times New Roman"/>
          <w:bCs/>
          <w:sz w:val="22"/>
          <w:lang w:val="en-MY"/>
        </w:rPr>
        <w:t>, a finding consistent with diffusion literature (</w:t>
      </w:r>
      <w:r w:rsidR="00C05137" w:rsidRPr="00BF0936">
        <w:rPr>
          <w:rFonts w:ascii="Times New Roman" w:eastAsia="Palatino Linotype" w:hAnsi="Times New Roman" w:cs="Times New Roman"/>
          <w:bCs/>
          <w:sz w:val="22"/>
          <w:lang w:val="en-MY"/>
        </w:rPr>
        <w:t xml:space="preserve">Chen &amp; </w:t>
      </w:r>
      <w:proofErr w:type="spellStart"/>
      <w:r w:rsidR="00C05137" w:rsidRPr="00BF0936">
        <w:rPr>
          <w:rFonts w:ascii="Times New Roman" w:eastAsia="Palatino Linotype" w:hAnsi="Times New Roman" w:cs="Times New Roman"/>
          <w:bCs/>
          <w:sz w:val="22"/>
          <w:lang w:val="en-MY"/>
        </w:rPr>
        <w:t>Filieri</w:t>
      </w:r>
      <w:proofErr w:type="spellEnd"/>
      <w:r w:rsidR="00C05137" w:rsidRPr="00BF0936">
        <w:rPr>
          <w:rFonts w:ascii="Times New Roman" w:eastAsia="Palatino Linotype" w:hAnsi="Times New Roman" w:cs="Times New Roman"/>
          <w:bCs/>
          <w:sz w:val="22"/>
          <w:lang w:val="en-MY"/>
        </w:rPr>
        <w:t xml:space="preserve">, 2024; </w:t>
      </w:r>
      <w:r w:rsidRPr="00BF0936">
        <w:rPr>
          <w:rFonts w:ascii="Times New Roman" w:eastAsia="Palatino Linotype" w:hAnsi="Times New Roman" w:cs="Times New Roman"/>
          <w:bCs/>
          <w:sz w:val="22"/>
          <w:lang w:val="en-MY"/>
        </w:rPr>
        <w:t>Bass, 1969; Moore, 1995).</w:t>
      </w:r>
    </w:p>
    <w:p w14:paraId="111C0563" w14:textId="023BC1E1"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4.1.2. </w:t>
      </w:r>
      <w:proofErr w:type="gramStart"/>
      <w:r w:rsidR="003A0661" w:rsidRPr="00BF0936">
        <w:rPr>
          <w:rFonts w:ascii="Times New Roman" w:eastAsia="Palatino Linotype" w:hAnsi="Times New Roman" w:cs="Times New Roman"/>
          <w:b/>
          <w:bCs/>
          <w:sz w:val="22"/>
          <w:lang w:val="en-MY"/>
        </w:rPr>
        <w:t>Compatibility</w:t>
      </w:r>
      <w:proofErr w:type="gramEnd"/>
      <w:r w:rsidR="003A0661" w:rsidRPr="00BF0936">
        <w:rPr>
          <w:rFonts w:ascii="Times New Roman" w:eastAsia="Palatino Linotype" w:hAnsi="Times New Roman" w:cs="Times New Roman"/>
          <w:b/>
          <w:bCs/>
          <w:sz w:val="22"/>
          <w:lang w:val="en-MY"/>
        </w:rPr>
        <w:t xml:space="preserve"> with Values and Social Responsibility</w:t>
      </w:r>
    </w:p>
    <w:p w14:paraId="7B075FC2" w14:textId="3C6138EB"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Compatibility was observed in how digital waqf seamlessly aligned with the daily routines and business realities of social enterprises. Respondents consistently emphasized that digital waqf allowed them to meet their societal obligations without disrupting their business operations. R1 noted,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I do waqf according to the strength of my business since I only know the financial strength of my business, which is sometimes good and sometimes unstable</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w:t>
      </w:r>
      <w:r w:rsidR="003E2571" w:rsidRPr="00BF0936">
        <w:rPr>
          <w:rFonts w:ascii="Times New Roman" w:eastAsia="Palatino Linotype" w:hAnsi="Times New Roman" w:cs="Times New Roman"/>
          <w:bCs/>
          <w:sz w:val="22"/>
          <w:lang w:val="en-MY"/>
        </w:rPr>
        <w:t xml:space="preserve"> </w:t>
      </w:r>
      <w:r w:rsidRPr="00BF0936">
        <w:rPr>
          <w:rFonts w:ascii="Times New Roman" w:eastAsia="Palatino Linotype" w:hAnsi="Times New Roman" w:cs="Times New Roman"/>
          <w:bCs/>
          <w:sz w:val="22"/>
          <w:lang w:val="en-MY"/>
        </w:rPr>
        <w:t xml:space="preserve">This demonstrates that waqf practices were adapted to the fluctuating realities of small enterprises, thereby showing </w:t>
      </w:r>
      <w:r w:rsidRPr="00BF0936">
        <w:rPr>
          <w:rFonts w:ascii="Times New Roman" w:eastAsia="Palatino Linotype" w:hAnsi="Times New Roman" w:cs="Times New Roman"/>
          <w:sz w:val="22"/>
          <w:lang w:val="en-MY"/>
        </w:rPr>
        <w:t>novel compatibility between digital waqf and entrepreneurial sustainability</w:t>
      </w:r>
      <w:r w:rsidRPr="00BF0936">
        <w:rPr>
          <w:rFonts w:ascii="Times New Roman" w:eastAsia="Palatino Linotype" w:hAnsi="Times New Roman" w:cs="Times New Roman"/>
          <w:bCs/>
          <w:sz w:val="22"/>
          <w:lang w:val="en-MY"/>
        </w:rPr>
        <w:t xml:space="preserve">. R3 added that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he could contribute during short breaks, which further highlights the integration of digital waqf into daily work-life routines</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w:t>
      </w:r>
      <w:r w:rsidR="00210505" w:rsidRPr="00BF0936">
        <w:rPr>
          <w:rFonts w:ascii="Times New Roman" w:eastAsia="Palatino Linotype" w:hAnsi="Times New Roman" w:cs="Times New Roman"/>
          <w:bCs/>
          <w:sz w:val="22"/>
          <w:lang w:val="en-MY"/>
        </w:rPr>
        <w:t xml:space="preserve"> The findings are in line with </w:t>
      </w:r>
      <w:r w:rsidR="007D789B" w:rsidRPr="00BF0936">
        <w:rPr>
          <w:rFonts w:ascii="Times New Roman" w:eastAsia="Palatino Linotype" w:hAnsi="Times New Roman" w:cs="Times New Roman"/>
          <w:bCs/>
          <w:sz w:val="22"/>
          <w:lang w:val="en-MY"/>
        </w:rPr>
        <w:t>Sudi</w:t>
      </w:r>
      <w:r w:rsidR="00210505" w:rsidRPr="00BF0936">
        <w:rPr>
          <w:rFonts w:ascii="Times New Roman" w:eastAsia="Palatino Linotype" w:hAnsi="Times New Roman" w:cs="Times New Roman"/>
          <w:bCs/>
          <w:sz w:val="22"/>
          <w:lang w:val="en-MY"/>
        </w:rPr>
        <w:t xml:space="preserve"> (2025), indicating that the integration of digital waqf and CSR resonates strongly with Islamic values of justice, charity, and social responsibility, while also ensuring efficient fund management without adversely impacting business operations.</w:t>
      </w:r>
    </w:p>
    <w:p w14:paraId="64F1898A" w14:textId="637969C3"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4.1.3. </w:t>
      </w:r>
      <w:proofErr w:type="gramStart"/>
      <w:r w:rsidR="003A0661" w:rsidRPr="00BF0936">
        <w:rPr>
          <w:rFonts w:ascii="Times New Roman" w:eastAsia="Palatino Linotype" w:hAnsi="Times New Roman" w:cs="Times New Roman"/>
          <w:b/>
          <w:bCs/>
          <w:sz w:val="22"/>
          <w:lang w:val="en-MY"/>
        </w:rPr>
        <w:t>Low</w:t>
      </w:r>
      <w:proofErr w:type="gramEnd"/>
      <w:r w:rsidR="003A0661" w:rsidRPr="00BF0936">
        <w:rPr>
          <w:rFonts w:ascii="Times New Roman" w:eastAsia="Palatino Linotype" w:hAnsi="Times New Roman" w:cs="Times New Roman"/>
          <w:b/>
          <w:bCs/>
          <w:sz w:val="22"/>
          <w:lang w:val="en-MY"/>
        </w:rPr>
        <w:t xml:space="preserve"> Complexity and User-Friendliness</w:t>
      </w:r>
    </w:p>
    <w:p w14:paraId="21365AE9" w14:textId="16BA8AD4"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The low complexity of digital waqf was another critical motivator. R2 and R5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emphasized that the digital platform was user-friendly and did not require specialized skills</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R2 explained that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digital cash waqf is readily accessible and can be performed at any given moment</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while R5 highlighted that </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it did not require hiring assistants or incurring extra costs</w:t>
      </w:r>
      <w:r w:rsidR="00FF3A56" w:rsidRPr="00BF0936">
        <w:rPr>
          <w:rFonts w:ascii="Times New Roman" w:eastAsia="Palatino Linotype" w:hAnsi="Times New Roman" w:cs="Times New Roman"/>
          <w:bCs/>
          <w:sz w:val="22"/>
          <w:lang w:val="en-MY"/>
        </w:rPr>
        <w:t>”</w:t>
      </w:r>
      <w:r w:rsidRPr="00BF0936">
        <w:rPr>
          <w:rFonts w:ascii="Times New Roman" w:eastAsia="Palatino Linotype" w:hAnsi="Times New Roman" w:cs="Times New Roman"/>
          <w:bCs/>
          <w:sz w:val="22"/>
          <w:lang w:val="en-MY"/>
        </w:rPr>
        <w:t xml:space="preserve">. </w:t>
      </w:r>
      <w:r w:rsidR="00AB12C9" w:rsidRPr="00BF0936">
        <w:rPr>
          <w:rFonts w:ascii="Times New Roman" w:hAnsi="Times New Roman" w:cs="Times New Roman"/>
          <w:sz w:val="22"/>
        </w:rPr>
        <w:t xml:space="preserve">The findings are in line with </w:t>
      </w:r>
      <w:r w:rsidR="00F044C0" w:rsidRPr="00BF0936">
        <w:rPr>
          <w:rFonts w:ascii="Times New Roman" w:hAnsi="Times New Roman" w:cs="Times New Roman"/>
          <w:sz w:val="22"/>
          <w:lang w:val="en-US"/>
        </w:rPr>
        <w:t>Liu and Wang</w:t>
      </w:r>
      <w:r w:rsidR="00AB12C9" w:rsidRPr="00BF0936">
        <w:rPr>
          <w:rFonts w:ascii="Times New Roman" w:hAnsi="Times New Roman" w:cs="Times New Roman"/>
          <w:sz w:val="22"/>
        </w:rPr>
        <w:t xml:space="preserve"> (2025)</w:t>
      </w:r>
      <w:r w:rsidR="00AB12C9" w:rsidRPr="00BF0936">
        <w:rPr>
          <w:rFonts w:ascii="Times New Roman" w:eastAsia="Palatino Linotype" w:hAnsi="Times New Roman" w:cs="Times New Roman"/>
          <w:bCs/>
          <w:sz w:val="22"/>
          <w:lang w:val="en-US"/>
        </w:rPr>
        <w:t xml:space="preserve">, </w:t>
      </w:r>
      <w:r w:rsidR="00AB12C9" w:rsidRPr="00BF0936">
        <w:rPr>
          <w:rFonts w:ascii="Times New Roman" w:hAnsi="Times New Roman" w:cs="Times New Roman"/>
          <w:sz w:val="22"/>
        </w:rPr>
        <w:t xml:space="preserve">who noted that the digitalization of CSR facilitates its fulfillment across all organizational levels. The most significant impact, according to </w:t>
      </w:r>
      <w:r w:rsidR="00F044C0" w:rsidRPr="00BF0936">
        <w:rPr>
          <w:rFonts w:ascii="Times New Roman" w:hAnsi="Times New Roman" w:cs="Times New Roman"/>
          <w:sz w:val="22"/>
          <w:lang w:val="en-US"/>
        </w:rPr>
        <w:t>Liu and Wang (2025)</w:t>
      </w:r>
      <w:r w:rsidR="00AB12C9" w:rsidRPr="00BF0936">
        <w:rPr>
          <w:rFonts w:ascii="Times New Roman" w:hAnsi="Times New Roman" w:cs="Times New Roman"/>
          <w:sz w:val="22"/>
        </w:rPr>
        <w:t xml:space="preserve">, </w:t>
      </w:r>
      <w:r w:rsidR="00F044C0" w:rsidRPr="00BF0936">
        <w:rPr>
          <w:rFonts w:ascii="Times New Roman" w:hAnsi="Times New Roman" w:cs="Times New Roman"/>
          <w:sz w:val="22"/>
          <w:lang w:val="en-US"/>
        </w:rPr>
        <w:t>are</w:t>
      </w:r>
      <w:r w:rsidR="00AB12C9" w:rsidRPr="00BF0936">
        <w:rPr>
          <w:rFonts w:ascii="Times New Roman" w:hAnsi="Times New Roman" w:cs="Times New Roman"/>
          <w:sz w:val="22"/>
        </w:rPr>
        <w:t xml:space="preserve"> observed at the human capital level, where digital tools not only enhance participation but also reduce financial constraints traditionally associated with CSR practices. </w:t>
      </w:r>
      <w:r w:rsidRPr="00BF0936">
        <w:rPr>
          <w:rFonts w:ascii="Times New Roman" w:eastAsia="Palatino Linotype" w:hAnsi="Times New Roman" w:cs="Times New Roman"/>
          <w:bCs/>
          <w:sz w:val="22"/>
          <w:lang w:val="en-MY"/>
        </w:rPr>
        <w:t xml:space="preserve">This perception resonates with DOI, where innovations that are less complex have a higher likelihood of adoption (Rogers, 2003). The novelty here lies in showing how digitalization reduces not only </w:t>
      </w:r>
      <w:r w:rsidRPr="00BF0936">
        <w:rPr>
          <w:rFonts w:ascii="Times New Roman" w:eastAsia="Palatino Linotype" w:hAnsi="Times New Roman" w:cs="Times New Roman"/>
          <w:sz w:val="22"/>
          <w:lang w:val="en-MY"/>
        </w:rPr>
        <w:t>technical barriers</w:t>
      </w:r>
      <w:r w:rsidRPr="00BF0936">
        <w:rPr>
          <w:rFonts w:ascii="Times New Roman" w:eastAsia="Palatino Linotype" w:hAnsi="Times New Roman" w:cs="Times New Roman"/>
          <w:bCs/>
          <w:sz w:val="22"/>
          <w:lang w:val="en-MY"/>
        </w:rPr>
        <w:t xml:space="preserve"> but also </w:t>
      </w:r>
      <w:r w:rsidRPr="00BF0936">
        <w:rPr>
          <w:rFonts w:ascii="Times New Roman" w:eastAsia="Palatino Linotype" w:hAnsi="Times New Roman" w:cs="Times New Roman"/>
          <w:sz w:val="22"/>
          <w:lang w:val="en-MY"/>
        </w:rPr>
        <w:t>social burdens,</w:t>
      </w:r>
      <w:r w:rsidRPr="00BF0936">
        <w:rPr>
          <w:rFonts w:ascii="Times New Roman" w:eastAsia="Palatino Linotype" w:hAnsi="Times New Roman" w:cs="Times New Roman"/>
          <w:bCs/>
          <w:sz w:val="22"/>
          <w:lang w:val="en-MY"/>
        </w:rPr>
        <w:t xml:space="preserve"> particularly for women entrepreneurs who previously faced physical constraints in traditional giving.</w:t>
      </w:r>
    </w:p>
    <w:p w14:paraId="3D4A6613" w14:textId="7FBAF85C"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4.1.4. </w:t>
      </w:r>
      <w:proofErr w:type="gramStart"/>
      <w:r w:rsidR="003A0661" w:rsidRPr="00BF0936">
        <w:rPr>
          <w:rFonts w:ascii="Times New Roman" w:eastAsia="Palatino Linotype" w:hAnsi="Times New Roman" w:cs="Times New Roman"/>
          <w:b/>
          <w:bCs/>
          <w:sz w:val="22"/>
          <w:lang w:val="en-MY"/>
        </w:rPr>
        <w:t>Trialability</w:t>
      </w:r>
      <w:proofErr w:type="gramEnd"/>
      <w:r w:rsidR="003A0661" w:rsidRPr="00BF0936">
        <w:rPr>
          <w:rFonts w:ascii="Times New Roman" w:eastAsia="Palatino Linotype" w:hAnsi="Times New Roman" w:cs="Times New Roman"/>
          <w:b/>
          <w:bCs/>
          <w:sz w:val="22"/>
          <w:lang w:val="en-MY"/>
        </w:rPr>
        <w:t xml:space="preserve"> and Observability</w:t>
      </w:r>
    </w:p>
    <w:p w14:paraId="6A3AC10A" w14:textId="7F718ACC"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Digital waqf platforms allowed respondents to try small-scale contributions, which reduced risk and encouraged experimentation. R6 explained, “I do cash waqf since I have the means to do so,” adding that contributions could scale with the performance of his business. This reflects </w:t>
      </w:r>
      <w:r w:rsidRPr="00BF0936">
        <w:rPr>
          <w:rFonts w:ascii="Times New Roman" w:eastAsia="Palatino Linotype" w:hAnsi="Times New Roman" w:cs="Times New Roman"/>
          <w:sz w:val="22"/>
          <w:lang w:val="en-MY"/>
        </w:rPr>
        <w:t>trialability</w:t>
      </w:r>
      <w:r w:rsidRPr="00BF0936">
        <w:rPr>
          <w:rFonts w:ascii="Times New Roman" w:eastAsia="Palatino Linotype" w:hAnsi="Times New Roman" w:cs="Times New Roman"/>
          <w:bCs/>
          <w:sz w:val="22"/>
          <w:lang w:val="en-MY"/>
        </w:rPr>
        <w:t xml:space="preserve"> where small donations serve as “low-cost entry points” (</w:t>
      </w:r>
      <w:proofErr w:type="spellStart"/>
      <w:r w:rsidRPr="00BF0936">
        <w:rPr>
          <w:rFonts w:ascii="Times New Roman" w:eastAsia="Palatino Linotype" w:hAnsi="Times New Roman" w:cs="Times New Roman"/>
          <w:bCs/>
          <w:sz w:val="22"/>
          <w:lang w:val="en-MY"/>
        </w:rPr>
        <w:t>Kirchgässner</w:t>
      </w:r>
      <w:proofErr w:type="spellEnd"/>
      <w:r w:rsidRPr="00BF0936">
        <w:rPr>
          <w:rFonts w:ascii="Times New Roman" w:eastAsia="Palatino Linotype" w:hAnsi="Times New Roman" w:cs="Times New Roman"/>
          <w:bCs/>
          <w:sz w:val="22"/>
          <w:lang w:val="en-MY"/>
        </w:rPr>
        <w:t>, 1992; Seeger, 2019). Observability was also crucial, as participants observed peers engaging in waqf through WhatsApp groups and social media. R4 stated that “seeing friends share their donations online gave me the idea to try it,” which illustrates how peer influence and social visibility accelerate adoption, consistent with Rogers’ diffusion curve.</w:t>
      </w:r>
    </w:p>
    <w:p w14:paraId="41E6B07E" w14:textId="4A0D9954" w:rsidR="00FF3A56" w:rsidRPr="00BF0936" w:rsidRDefault="00FF3A56" w:rsidP="003A0661">
      <w:pPr>
        <w:spacing w:after="120" w:line="240" w:lineRule="auto"/>
        <w:jc w:val="both"/>
        <w:rPr>
          <w:rFonts w:ascii="Times New Roman" w:eastAsia="Palatino Linotype" w:hAnsi="Times New Roman" w:cs="Times New Roman"/>
          <w:bCs/>
          <w:sz w:val="22"/>
          <w:lang w:val="en-MY"/>
        </w:rPr>
      </w:pPr>
    </w:p>
    <w:p w14:paraId="06C01744" w14:textId="77777777" w:rsidR="00FF3A56" w:rsidRPr="00BF0936" w:rsidRDefault="00FF3A56" w:rsidP="003A0661">
      <w:pPr>
        <w:spacing w:after="120" w:line="240" w:lineRule="auto"/>
        <w:jc w:val="both"/>
        <w:rPr>
          <w:rFonts w:ascii="Times New Roman" w:eastAsia="Palatino Linotype" w:hAnsi="Times New Roman" w:cs="Times New Roman"/>
          <w:bCs/>
          <w:sz w:val="22"/>
          <w:lang w:val="en-MY"/>
        </w:rPr>
      </w:pPr>
    </w:p>
    <w:p w14:paraId="6B0C8A2D" w14:textId="27452C1B"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4.1.5. </w:t>
      </w:r>
      <w:proofErr w:type="gramStart"/>
      <w:r w:rsidR="003A0661" w:rsidRPr="00BF0936">
        <w:rPr>
          <w:rFonts w:ascii="Times New Roman" w:eastAsia="Palatino Linotype" w:hAnsi="Times New Roman" w:cs="Times New Roman"/>
          <w:b/>
          <w:bCs/>
          <w:sz w:val="22"/>
          <w:lang w:val="en-MY"/>
        </w:rPr>
        <w:t>Affordability</w:t>
      </w:r>
      <w:proofErr w:type="gramEnd"/>
      <w:r w:rsidR="003A0661" w:rsidRPr="00BF0936">
        <w:rPr>
          <w:rFonts w:ascii="Times New Roman" w:eastAsia="Palatino Linotype" w:hAnsi="Times New Roman" w:cs="Times New Roman"/>
          <w:b/>
          <w:bCs/>
          <w:sz w:val="22"/>
          <w:lang w:val="en-MY"/>
        </w:rPr>
        <w:t xml:space="preserve"> and Cost-Effectiveness</w:t>
      </w:r>
    </w:p>
    <w:p w14:paraId="5B1DCF9D" w14:textId="77777777"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 xml:space="preserve">Respondents emphasized that cost-effectiveness was vital for sustaining their engagement. R1 highlighted that “the donation is modest and within my means,” while R5 stressed that “digital waqf does not necessitate much expertise, the need to recruit an assistant or any financial expenses.” This reflects broader CSR debates, where cost is often cited as a barrier to responsible practices (Galant &amp; Cadez, 2017; Fan et al., 2021). However, the novelty here is that digital waqf lowers barriers by making contributions scalable to business performance, thereby providing </w:t>
      </w:r>
      <w:r w:rsidRPr="00BF0936">
        <w:rPr>
          <w:rFonts w:ascii="Times New Roman" w:eastAsia="Palatino Linotype" w:hAnsi="Times New Roman" w:cs="Times New Roman"/>
          <w:sz w:val="22"/>
          <w:lang w:val="en-MY"/>
        </w:rPr>
        <w:t>financial flexibility in sustaining CSR obligations.</w:t>
      </w:r>
    </w:p>
    <w:p w14:paraId="21B2B033" w14:textId="00A632C0" w:rsidR="003A0661" w:rsidRPr="00BF0936" w:rsidRDefault="00BF0936" w:rsidP="003A0661">
      <w:pPr>
        <w:spacing w:after="120" w:line="240" w:lineRule="auto"/>
        <w:jc w:val="both"/>
        <w:rPr>
          <w:rFonts w:ascii="Times New Roman" w:eastAsia="Palatino Linotype" w:hAnsi="Times New Roman" w:cs="Times New Roman"/>
          <w:b/>
          <w:bCs/>
          <w:sz w:val="22"/>
          <w:lang w:val="en-MY"/>
        </w:rPr>
      </w:pPr>
      <w:r>
        <w:rPr>
          <w:rFonts w:ascii="Times New Roman" w:eastAsia="Palatino Linotype" w:hAnsi="Times New Roman" w:cs="Times New Roman"/>
          <w:b/>
          <w:bCs/>
          <w:sz w:val="22"/>
          <w:lang w:val="en-MY"/>
        </w:rPr>
        <w:t xml:space="preserve">4.1.6. </w:t>
      </w:r>
      <w:proofErr w:type="gramStart"/>
      <w:r w:rsidR="003A0661" w:rsidRPr="00BF0936">
        <w:rPr>
          <w:rFonts w:ascii="Times New Roman" w:eastAsia="Palatino Linotype" w:hAnsi="Times New Roman" w:cs="Times New Roman"/>
          <w:b/>
          <w:bCs/>
          <w:sz w:val="22"/>
          <w:lang w:val="en-MY"/>
        </w:rPr>
        <w:t>Institutional</w:t>
      </w:r>
      <w:proofErr w:type="gramEnd"/>
      <w:r w:rsidR="003A0661" w:rsidRPr="00BF0936">
        <w:rPr>
          <w:rFonts w:ascii="Times New Roman" w:eastAsia="Palatino Linotype" w:hAnsi="Times New Roman" w:cs="Times New Roman"/>
          <w:b/>
          <w:bCs/>
          <w:sz w:val="22"/>
          <w:lang w:val="en-MY"/>
        </w:rPr>
        <w:t xml:space="preserve"> and Technological Support</w:t>
      </w:r>
    </w:p>
    <w:p w14:paraId="5F1E5929" w14:textId="77777777" w:rsidR="003A0661" w:rsidRPr="00BF0936" w:rsidRDefault="003A0661" w:rsidP="003A0661">
      <w:pPr>
        <w:spacing w:after="120" w:line="240" w:lineRule="auto"/>
        <w:jc w:val="both"/>
        <w:rPr>
          <w:rFonts w:ascii="Times New Roman" w:eastAsia="Palatino Linotype" w:hAnsi="Times New Roman" w:cs="Times New Roman"/>
          <w:bCs/>
          <w:sz w:val="22"/>
          <w:lang w:val="en-MY"/>
        </w:rPr>
      </w:pPr>
      <w:r w:rsidRPr="00BF0936">
        <w:rPr>
          <w:rFonts w:ascii="Times New Roman" w:eastAsia="Palatino Linotype" w:hAnsi="Times New Roman" w:cs="Times New Roman"/>
          <w:bCs/>
          <w:sz w:val="22"/>
          <w:lang w:val="en-MY"/>
        </w:rPr>
        <w:t>Institutional trust emerged as a significant driver of adoption. R2 and R5 emphasized confidence in digital platforms backed by official waqf authorities, highlighting that “technological advancements by waqf institutions have benefited us.” This aligns with findings by Muhammad Ridhwan et al. (2013) and Bonang et al. (2024), which suggest that institutional legitimacy enhances trust and accelerates collections. Trust, a key element of social capital (Putnam, 1995; Fukuyama, 1997), underpins this adoption, showing that digital waqf is not merely a technological innovation but also a socially legitimized practice.</w:t>
      </w:r>
    </w:p>
    <w:p w14:paraId="2A026E48" w14:textId="062EAE23" w:rsidR="00B247E7" w:rsidRPr="00BF0936" w:rsidRDefault="00BF0936" w:rsidP="00B247E7">
      <w:pPr>
        <w:spacing w:before="100" w:beforeAutospacing="1" w:after="100" w:afterAutospacing="1" w:line="240" w:lineRule="auto"/>
        <w:outlineLvl w:val="2"/>
        <w:rPr>
          <w:rFonts w:ascii="Times New Roman" w:eastAsia="Times New Roman" w:hAnsi="Times New Roman" w:cs="Times New Roman"/>
          <w:b/>
          <w:bCs/>
          <w:sz w:val="22"/>
          <w:lang w:val="en-MY" w:eastAsia="en-MY"/>
        </w:rPr>
      </w:pPr>
      <w:r>
        <w:rPr>
          <w:rFonts w:ascii="Times New Roman" w:eastAsia="Times New Roman" w:hAnsi="Times New Roman" w:cs="Times New Roman"/>
          <w:b/>
          <w:bCs/>
          <w:sz w:val="22"/>
          <w:lang w:val="en-MY" w:eastAsia="en-MY"/>
        </w:rPr>
        <w:t xml:space="preserve">4.1.7. </w:t>
      </w:r>
      <w:proofErr w:type="gramStart"/>
      <w:r w:rsidR="00B247E7" w:rsidRPr="00BF0936">
        <w:rPr>
          <w:rFonts w:ascii="Times New Roman" w:eastAsia="Times New Roman" w:hAnsi="Times New Roman" w:cs="Times New Roman"/>
          <w:b/>
          <w:bCs/>
          <w:sz w:val="22"/>
          <w:lang w:val="en-MY" w:eastAsia="en-MY"/>
        </w:rPr>
        <w:t>Peer</w:t>
      </w:r>
      <w:proofErr w:type="gramEnd"/>
      <w:r w:rsidR="00B247E7" w:rsidRPr="00BF0936">
        <w:rPr>
          <w:rFonts w:ascii="Times New Roman" w:eastAsia="Times New Roman" w:hAnsi="Times New Roman" w:cs="Times New Roman"/>
          <w:b/>
          <w:bCs/>
          <w:sz w:val="22"/>
          <w:lang w:val="en-MY" w:eastAsia="en-MY"/>
        </w:rPr>
        <w:t xml:space="preserve"> Influence and Networked Trust</w:t>
      </w:r>
    </w:p>
    <w:p w14:paraId="427F8B9F" w14:textId="3C5CEDCA" w:rsidR="003A0661" w:rsidRPr="00BF0936" w:rsidRDefault="00B247E7" w:rsidP="00B247E7">
      <w:pPr>
        <w:spacing w:before="100" w:beforeAutospacing="1" w:after="100" w:afterAutospacing="1" w:line="240" w:lineRule="auto"/>
        <w:jc w:val="both"/>
        <w:rPr>
          <w:rFonts w:ascii="Times New Roman" w:eastAsia="Times New Roman" w:hAnsi="Times New Roman" w:cs="Times New Roman"/>
          <w:sz w:val="22"/>
          <w:lang w:val="en-MY" w:eastAsia="en-MY"/>
        </w:rPr>
      </w:pPr>
      <w:r w:rsidRPr="00BF0936">
        <w:rPr>
          <w:rFonts w:ascii="Times New Roman" w:eastAsia="Times New Roman" w:hAnsi="Times New Roman" w:cs="Times New Roman"/>
          <w:sz w:val="22"/>
          <w:lang w:val="en-MY" w:eastAsia="en-MY"/>
        </w:rPr>
        <w:t xml:space="preserve">The study underscores the critical role of peer networks in fostering the adoption of digital waqf, where respondents consistently reported that their awareness and eventual participation were shaped by community leaders, WhatsApp groups, and online peer influence. As R7 reflected, </w:t>
      </w:r>
      <w:r w:rsidRPr="00BF0936">
        <w:rPr>
          <w:rFonts w:ascii="Times New Roman" w:eastAsia="Times New Roman" w:hAnsi="Times New Roman" w:cs="Times New Roman"/>
          <w:i/>
          <w:iCs/>
          <w:sz w:val="22"/>
          <w:lang w:val="en-MY" w:eastAsia="en-MY"/>
        </w:rPr>
        <w:t>“</w:t>
      </w:r>
      <w:r w:rsidRPr="00BF0936">
        <w:rPr>
          <w:rFonts w:ascii="Times New Roman" w:eastAsia="Times New Roman" w:hAnsi="Times New Roman" w:cs="Times New Roman"/>
          <w:sz w:val="22"/>
          <w:lang w:val="en-MY" w:eastAsia="en-MY"/>
        </w:rPr>
        <w:t>I saw others in my group donating digitally, and I felt encouraged to do the same</w:t>
      </w:r>
      <w:r w:rsidRPr="00BF0936">
        <w:rPr>
          <w:rFonts w:ascii="Times New Roman" w:eastAsia="Times New Roman" w:hAnsi="Times New Roman" w:cs="Times New Roman"/>
          <w:i/>
          <w:iCs/>
          <w:sz w:val="22"/>
          <w:lang w:val="en-MY" w:eastAsia="en-MY"/>
        </w:rPr>
        <w:t>,”</w:t>
      </w:r>
      <w:r w:rsidRPr="00BF0936">
        <w:rPr>
          <w:rFonts w:ascii="Times New Roman" w:eastAsia="Times New Roman" w:hAnsi="Times New Roman" w:cs="Times New Roman"/>
          <w:sz w:val="22"/>
          <w:lang w:val="en-MY" w:eastAsia="en-MY"/>
        </w:rPr>
        <w:t xml:space="preserve"> illustrating how relational trust and social interactions normalize digital giving and generate a sense of shared commitment. This dynamic resonates with Portes (1998), Putnam (1995) and Xu and Zhang (2021), who emphasize that networks not only transmit information but also reinforce norms of reciprocity and trustworthiness. The digitalization of waqf, however, introduces a novel dimension by fusing traditional communal trust with online platforms, extending influence beyond physical gatherings to virtual spaces. This networked trust enables CWSR practices to flourish more inclusively, bridging individuals who might otherwise remain disconnected due to geographical, social, or economic barriers. The novelty lies in how embedded social networks, when combined with digital technology, transcend the limitations of time and place, democratizing participation and reinforcing collective values in both face-to-face and digital interactions, thereby strengthening the sustainability of CWSR.</w:t>
      </w:r>
    </w:p>
    <w:p w14:paraId="541B3320" w14:textId="607AEF78" w:rsidR="00995812" w:rsidRPr="00BF0936" w:rsidRDefault="00995812" w:rsidP="00995812">
      <w:pPr>
        <w:spacing w:before="100" w:beforeAutospacing="1" w:after="0" w:line="240" w:lineRule="auto"/>
        <w:jc w:val="both"/>
        <w:rPr>
          <w:rFonts w:ascii="Times New Roman" w:eastAsia="Times New Roman" w:hAnsi="Times New Roman" w:cs="Times New Roman"/>
          <w:sz w:val="22"/>
          <w:lang w:val="en-MY" w:eastAsia="en-MY"/>
        </w:rPr>
      </w:pPr>
      <w:r w:rsidRPr="00BF0936">
        <w:rPr>
          <w:rFonts w:ascii="Times New Roman" w:eastAsia="Times New Roman" w:hAnsi="Times New Roman" w:cs="Times New Roman"/>
          <w:sz w:val="22"/>
          <w:lang w:val="en-MY" w:eastAsia="en-MY"/>
        </w:rPr>
        <w:lastRenderedPageBreak/>
        <w:t>Table.1 Findings Theme of Digital CWSR Application</w:t>
      </w:r>
    </w:p>
    <w:tbl>
      <w:tblPr>
        <w:tblStyle w:val="TableGrid"/>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3"/>
        <w:gridCol w:w="1681"/>
        <w:gridCol w:w="1984"/>
        <w:gridCol w:w="2127"/>
      </w:tblGrid>
      <w:tr w:rsidR="00995812" w:rsidRPr="00BF0936" w14:paraId="5BF642F0" w14:textId="77777777" w:rsidTr="00A74101">
        <w:tc>
          <w:tcPr>
            <w:tcW w:w="1433" w:type="dxa"/>
            <w:tcBorders>
              <w:top w:val="single" w:sz="4" w:space="0" w:color="auto"/>
              <w:bottom w:val="single" w:sz="4" w:space="0" w:color="auto"/>
            </w:tcBorders>
            <w:hideMark/>
          </w:tcPr>
          <w:p w14:paraId="660F68AF" w14:textId="77777777" w:rsidR="00995812" w:rsidRPr="00BF0936" w:rsidRDefault="00995812" w:rsidP="00995812">
            <w:pPr>
              <w:spacing w:before="100" w:beforeAutospacing="1" w:after="100" w:afterAutospacing="1" w:line="240" w:lineRule="auto"/>
              <w:jc w:val="both"/>
              <w:rPr>
                <w:rFonts w:ascii="Arial" w:eastAsia="Times New Roman" w:hAnsi="Arial"/>
                <w:b/>
                <w:bCs/>
                <w:szCs w:val="18"/>
                <w:lang w:val="en-MY" w:eastAsia="en-MY"/>
              </w:rPr>
            </w:pPr>
            <w:r w:rsidRPr="00BF0936">
              <w:rPr>
                <w:rFonts w:ascii="Arial" w:eastAsia="Times New Roman" w:hAnsi="Arial"/>
                <w:b/>
                <w:bCs/>
                <w:szCs w:val="18"/>
                <w:lang w:val="en-MY" w:eastAsia="en-MY"/>
              </w:rPr>
              <w:t>Construct</w:t>
            </w:r>
          </w:p>
        </w:tc>
        <w:tc>
          <w:tcPr>
            <w:tcW w:w="1681" w:type="dxa"/>
            <w:tcBorders>
              <w:top w:val="single" w:sz="4" w:space="0" w:color="auto"/>
              <w:bottom w:val="single" w:sz="4" w:space="0" w:color="auto"/>
            </w:tcBorders>
            <w:hideMark/>
          </w:tcPr>
          <w:p w14:paraId="782FF855" w14:textId="77777777" w:rsidR="00995812" w:rsidRPr="00BF0936" w:rsidRDefault="00995812" w:rsidP="00995812">
            <w:pPr>
              <w:spacing w:before="100" w:beforeAutospacing="1" w:after="100" w:afterAutospacing="1" w:line="240" w:lineRule="auto"/>
              <w:jc w:val="both"/>
              <w:rPr>
                <w:rFonts w:ascii="Arial" w:eastAsia="Times New Roman" w:hAnsi="Arial"/>
                <w:b/>
                <w:bCs/>
                <w:szCs w:val="18"/>
                <w:lang w:val="en-MY" w:eastAsia="en-MY"/>
              </w:rPr>
            </w:pPr>
            <w:r w:rsidRPr="00BF0936">
              <w:rPr>
                <w:rFonts w:ascii="Arial" w:eastAsia="Times New Roman" w:hAnsi="Arial"/>
                <w:b/>
                <w:bCs/>
                <w:szCs w:val="18"/>
                <w:lang w:val="en-MY" w:eastAsia="en-MY"/>
              </w:rPr>
              <w:t>Definition</w:t>
            </w:r>
          </w:p>
        </w:tc>
        <w:tc>
          <w:tcPr>
            <w:tcW w:w="1984" w:type="dxa"/>
            <w:tcBorders>
              <w:top w:val="single" w:sz="4" w:space="0" w:color="auto"/>
              <w:bottom w:val="single" w:sz="4" w:space="0" w:color="auto"/>
            </w:tcBorders>
            <w:hideMark/>
          </w:tcPr>
          <w:p w14:paraId="6356D142" w14:textId="77777777" w:rsidR="00995812" w:rsidRPr="00BF0936" w:rsidRDefault="00995812" w:rsidP="00995812">
            <w:pPr>
              <w:spacing w:before="100" w:beforeAutospacing="1" w:after="100" w:afterAutospacing="1" w:line="240" w:lineRule="auto"/>
              <w:jc w:val="both"/>
              <w:rPr>
                <w:rFonts w:ascii="Arial" w:eastAsia="Times New Roman" w:hAnsi="Arial"/>
                <w:b/>
                <w:bCs/>
                <w:szCs w:val="18"/>
                <w:lang w:val="en-MY" w:eastAsia="en-MY"/>
              </w:rPr>
            </w:pPr>
            <w:r w:rsidRPr="00BF0936">
              <w:rPr>
                <w:rFonts w:ascii="Arial" w:eastAsia="Times New Roman" w:hAnsi="Arial"/>
                <w:b/>
                <w:bCs/>
                <w:szCs w:val="18"/>
                <w:lang w:val="en-MY" w:eastAsia="en-MY"/>
              </w:rPr>
              <w:t>Findings</w:t>
            </w:r>
          </w:p>
        </w:tc>
        <w:tc>
          <w:tcPr>
            <w:tcW w:w="2127" w:type="dxa"/>
            <w:tcBorders>
              <w:top w:val="single" w:sz="4" w:space="0" w:color="auto"/>
              <w:bottom w:val="single" w:sz="4" w:space="0" w:color="auto"/>
            </w:tcBorders>
            <w:hideMark/>
          </w:tcPr>
          <w:p w14:paraId="14A6BEE6" w14:textId="77777777" w:rsidR="00995812" w:rsidRPr="00BF0936" w:rsidRDefault="00995812" w:rsidP="00995812">
            <w:pPr>
              <w:spacing w:before="100" w:beforeAutospacing="1" w:after="100" w:afterAutospacing="1" w:line="240" w:lineRule="auto"/>
              <w:jc w:val="both"/>
              <w:rPr>
                <w:rFonts w:ascii="Arial" w:eastAsia="Times New Roman" w:hAnsi="Arial"/>
                <w:b/>
                <w:bCs/>
                <w:szCs w:val="18"/>
                <w:lang w:val="en-MY" w:eastAsia="en-MY"/>
              </w:rPr>
            </w:pPr>
            <w:r w:rsidRPr="00BF0936">
              <w:rPr>
                <w:rFonts w:ascii="Arial" w:eastAsia="Times New Roman" w:hAnsi="Arial"/>
                <w:b/>
                <w:bCs/>
                <w:szCs w:val="18"/>
                <w:lang w:val="en-MY" w:eastAsia="en-MY"/>
              </w:rPr>
              <w:t>Illustrative Quotes</w:t>
            </w:r>
          </w:p>
        </w:tc>
      </w:tr>
      <w:tr w:rsidR="00995812" w:rsidRPr="00BF0936" w14:paraId="3F348FEC" w14:textId="77777777" w:rsidTr="00A74101">
        <w:tc>
          <w:tcPr>
            <w:tcW w:w="1433" w:type="dxa"/>
            <w:tcBorders>
              <w:top w:val="single" w:sz="4" w:space="0" w:color="auto"/>
            </w:tcBorders>
            <w:hideMark/>
          </w:tcPr>
          <w:p w14:paraId="1743D9BA" w14:textId="77777777" w:rsidR="00BF0936" w:rsidRDefault="00BF0936" w:rsidP="00995812">
            <w:pPr>
              <w:spacing w:before="100" w:beforeAutospacing="1" w:after="100" w:afterAutospacing="1" w:line="240" w:lineRule="auto"/>
              <w:jc w:val="both"/>
              <w:rPr>
                <w:rFonts w:ascii="Arial" w:eastAsia="Times New Roman" w:hAnsi="Arial"/>
                <w:szCs w:val="18"/>
                <w:lang w:val="en-MY" w:eastAsia="en-MY"/>
              </w:rPr>
            </w:pPr>
          </w:p>
          <w:p w14:paraId="1172D2AC" w14:textId="52D3828A"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Relative Advantage and Ease of Access</w:t>
            </w:r>
          </w:p>
        </w:tc>
        <w:tc>
          <w:tcPr>
            <w:tcW w:w="1681" w:type="dxa"/>
            <w:tcBorders>
              <w:top w:val="single" w:sz="4" w:space="0" w:color="auto"/>
            </w:tcBorders>
            <w:hideMark/>
          </w:tcPr>
          <w:p w14:paraId="34AA4F7E"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7D08D005" w14:textId="31F70DDB"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Digital waqf's superiority over traditional donation methods through its convenience, flexibility, and efficiency, reducing physical and cognitive barriers</w:t>
            </w:r>
            <w:r w:rsidR="00CE2F02" w:rsidRPr="00BF0936">
              <w:rPr>
                <w:rFonts w:ascii="Arial" w:eastAsia="Times New Roman" w:hAnsi="Arial"/>
                <w:szCs w:val="18"/>
                <w:lang w:val="en-MY" w:eastAsia="en-MY"/>
              </w:rPr>
              <w:t>.</w:t>
            </w:r>
          </w:p>
        </w:tc>
        <w:tc>
          <w:tcPr>
            <w:tcW w:w="1984" w:type="dxa"/>
            <w:tcBorders>
              <w:top w:val="single" w:sz="4" w:space="0" w:color="auto"/>
            </w:tcBorders>
            <w:hideMark/>
          </w:tcPr>
          <w:p w14:paraId="32C8CB16"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56215137" w14:textId="04B870B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Digital waqf is viewed as more convenient, faster, and easier to access than traditional methods, reducing physical effort and enabling online transactions anytime.</w:t>
            </w:r>
          </w:p>
        </w:tc>
        <w:tc>
          <w:tcPr>
            <w:tcW w:w="2127" w:type="dxa"/>
            <w:tcBorders>
              <w:top w:val="single" w:sz="4" w:space="0" w:color="auto"/>
            </w:tcBorders>
            <w:hideMark/>
          </w:tcPr>
          <w:p w14:paraId="67F1D258"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243AF9BC"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R2: “Engaging in conventional charity required physical energy and external support, particularly as she had to carry heavy goods such as rice and oil.”</w:t>
            </w:r>
            <w:r w:rsidRPr="00BF0936">
              <w:rPr>
                <w:rFonts w:ascii="Arial" w:eastAsia="Times New Roman" w:hAnsi="Arial"/>
                <w:szCs w:val="18"/>
                <w:lang w:val="en-MY" w:eastAsia="en-MY"/>
              </w:rPr>
              <w:br/>
              <w:t>R5: “Making a waqf is simple and involves merely transferring funds online, which can be done at any time.”</w:t>
            </w:r>
          </w:p>
          <w:p w14:paraId="57359F7E" w14:textId="431F5635"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2DECD7BE" w14:textId="77777777" w:rsidTr="00BF0936">
        <w:trPr>
          <w:trHeight w:val="2709"/>
        </w:trPr>
        <w:tc>
          <w:tcPr>
            <w:tcW w:w="1433" w:type="dxa"/>
            <w:hideMark/>
          </w:tcPr>
          <w:p w14:paraId="5E8220D5"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Compatibility with Values and Social Responsibility</w:t>
            </w:r>
          </w:p>
        </w:tc>
        <w:tc>
          <w:tcPr>
            <w:tcW w:w="1681" w:type="dxa"/>
            <w:hideMark/>
          </w:tcPr>
          <w:p w14:paraId="41326BE3" w14:textId="738AE16D"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Alignment of digital waqf with daily routines, business realities, and societal obligations, ensuring it complements Islamic values, CSR, and entrepreneurial sustainability</w:t>
            </w:r>
            <w:r w:rsidR="00CE2F02" w:rsidRPr="00BF0936">
              <w:rPr>
                <w:rFonts w:ascii="Arial" w:eastAsia="Times New Roman" w:hAnsi="Arial"/>
                <w:szCs w:val="18"/>
                <w:lang w:val="en-MY" w:eastAsia="en-MY"/>
              </w:rPr>
              <w:t>.</w:t>
            </w:r>
          </w:p>
        </w:tc>
        <w:tc>
          <w:tcPr>
            <w:tcW w:w="1984" w:type="dxa"/>
            <w:hideMark/>
          </w:tcPr>
          <w:p w14:paraId="4661BB81"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Digital waqf fits effortlessly into respondents' routines, allowing contributions without disrupting work, and aligns with Islamic and social values, supporting sustainable practices.</w:t>
            </w:r>
          </w:p>
        </w:tc>
        <w:tc>
          <w:tcPr>
            <w:tcW w:w="2127" w:type="dxa"/>
            <w:hideMark/>
          </w:tcPr>
          <w:p w14:paraId="506A9D22"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R1: “I do waqf according to the strength of my business since I only know the financial strength of my business, which is sometimes good and sometimes unstable.”</w:t>
            </w:r>
            <w:r w:rsidRPr="00BF0936">
              <w:rPr>
                <w:rFonts w:ascii="Arial" w:eastAsia="Times New Roman" w:hAnsi="Arial"/>
                <w:szCs w:val="18"/>
                <w:lang w:val="en-MY" w:eastAsia="en-MY"/>
              </w:rPr>
              <w:br/>
              <w:t>R3: “He could contribute during short breaks.”</w:t>
            </w:r>
          </w:p>
          <w:p w14:paraId="2E632E1D" w14:textId="058B69E8"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5330DA7C" w14:textId="77777777" w:rsidTr="00BF0936">
        <w:trPr>
          <w:trHeight w:val="2110"/>
        </w:trPr>
        <w:tc>
          <w:tcPr>
            <w:tcW w:w="1433" w:type="dxa"/>
            <w:hideMark/>
          </w:tcPr>
          <w:p w14:paraId="721D5941"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Low Complexity and User-Friendliness</w:t>
            </w:r>
          </w:p>
        </w:tc>
        <w:tc>
          <w:tcPr>
            <w:tcW w:w="1681" w:type="dxa"/>
            <w:hideMark/>
          </w:tcPr>
          <w:p w14:paraId="6AF60C85" w14:textId="05ED16A8"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Ease of use for digital waqf platforms, requiring no specialized skills, making participation accessible and effortless</w:t>
            </w:r>
            <w:r w:rsidR="00CE2F02" w:rsidRPr="00BF0936">
              <w:rPr>
                <w:rFonts w:ascii="Arial" w:eastAsia="Times New Roman" w:hAnsi="Arial"/>
                <w:szCs w:val="18"/>
                <w:lang w:val="en-MY" w:eastAsia="en-MY"/>
              </w:rPr>
              <w:t>.</w:t>
            </w:r>
          </w:p>
        </w:tc>
        <w:tc>
          <w:tcPr>
            <w:tcW w:w="1984" w:type="dxa"/>
            <w:hideMark/>
          </w:tcPr>
          <w:p w14:paraId="7C4B3888"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Participants find digital platforms intuitive and easily accessible at any time, with no need for extra assistance, lowering technical and social barriers for broader participation.</w:t>
            </w:r>
          </w:p>
        </w:tc>
        <w:tc>
          <w:tcPr>
            <w:tcW w:w="2127" w:type="dxa"/>
            <w:hideMark/>
          </w:tcPr>
          <w:p w14:paraId="1562ECA6"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R2: “It can be performed at any given moment.”</w:t>
            </w:r>
            <w:r w:rsidRPr="00BF0936">
              <w:rPr>
                <w:rFonts w:ascii="Arial" w:eastAsia="Times New Roman" w:hAnsi="Arial"/>
                <w:szCs w:val="18"/>
                <w:lang w:val="en-MY" w:eastAsia="en-MY"/>
              </w:rPr>
              <w:br/>
              <w:t>R5: “It does not require hiring assistants or incurring extra costs.”</w:t>
            </w:r>
          </w:p>
          <w:p w14:paraId="76D48BEC"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6CC4C119" w14:textId="0F1D6C68"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43061234" w14:textId="77777777" w:rsidTr="00A74101">
        <w:tc>
          <w:tcPr>
            <w:tcW w:w="1433" w:type="dxa"/>
            <w:hideMark/>
          </w:tcPr>
          <w:p w14:paraId="143AB160"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Trialability, Observability, and Peer Influence</w:t>
            </w:r>
          </w:p>
        </w:tc>
        <w:tc>
          <w:tcPr>
            <w:tcW w:w="1681" w:type="dxa"/>
            <w:hideMark/>
          </w:tcPr>
          <w:p w14:paraId="2AB359B0" w14:textId="0543C6AA"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Ability to experiment with small contributions, visibility of benefits via peer sharing, and social encouragement to adopt digital waqf</w:t>
            </w:r>
            <w:r w:rsidR="00CE2F02" w:rsidRPr="00BF0936">
              <w:rPr>
                <w:rFonts w:ascii="Arial" w:eastAsia="Times New Roman" w:hAnsi="Arial"/>
                <w:szCs w:val="18"/>
                <w:lang w:val="en-MY" w:eastAsia="en-MY"/>
              </w:rPr>
              <w:t>.</w:t>
            </w:r>
          </w:p>
        </w:tc>
        <w:tc>
          <w:tcPr>
            <w:tcW w:w="1984" w:type="dxa"/>
            <w:hideMark/>
          </w:tcPr>
          <w:p w14:paraId="71373115"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Users are motivated by seeing peers share donations online, which encourages trial with small amounts, creating social proof and fostering collective adoption.</w:t>
            </w:r>
          </w:p>
          <w:p w14:paraId="07F3A82A"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3D84760D" w14:textId="6D62F23B"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c>
          <w:tcPr>
            <w:tcW w:w="2127" w:type="dxa"/>
            <w:hideMark/>
          </w:tcPr>
          <w:p w14:paraId="15CBB80A"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lastRenderedPageBreak/>
              <w:t>R6: “I do cash waqf since I have the means to do so.”</w:t>
            </w:r>
            <w:r w:rsidRPr="00BF0936">
              <w:rPr>
                <w:rFonts w:ascii="Arial" w:eastAsia="Times New Roman" w:hAnsi="Arial"/>
                <w:szCs w:val="18"/>
                <w:lang w:val="en-MY" w:eastAsia="en-MY"/>
              </w:rPr>
              <w:br/>
              <w:t>R4: “Seeing friends share their donations online gave me the idea to try it.”</w:t>
            </w:r>
          </w:p>
          <w:p w14:paraId="5AE3F150"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1DB1A4A5" w14:textId="436027CE"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4E2A641B" w14:textId="77777777" w:rsidTr="00A74101">
        <w:tc>
          <w:tcPr>
            <w:tcW w:w="1433" w:type="dxa"/>
            <w:hideMark/>
          </w:tcPr>
          <w:p w14:paraId="5AF51A93"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Affordability and Cost-Effectiveness</w:t>
            </w:r>
          </w:p>
        </w:tc>
        <w:tc>
          <w:tcPr>
            <w:tcW w:w="1681" w:type="dxa"/>
            <w:hideMark/>
          </w:tcPr>
          <w:p w14:paraId="08095066" w14:textId="14290D3A"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Digital waqf allows contributions to be scaled according to individual capacity, minimizing financial barriers</w:t>
            </w:r>
            <w:r w:rsidR="00CE2F02" w:rsidRPr="00BF0936">
              <w:rPr>
                <w:rFonts w:ascii="Arial" w:eastAsia="Times New Roman" w:hAnsi="Arial"/>
                <w:szCs w:val="18"/>
                <w:lang w:val="en-MY" w:eastAsia="en-MY"/>
              </w:rPr>
              <w:t>.</w:t>
            </w:r>
          </w:p>
        </w:tc>
        <w:tc>
          <w:tcPr>
            <w:tcW w:w="1984" w:type="dxa"/>
            <w:hideMark/>
          </w:tcPr>
          <w:p w14:paraId="685E081C"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Contributions are affordable and can be scaled to personal or business finances, making participation feasible without high costs.</w:t>
            </w:r>
          </w:p>
        </w:tc>
        <w:tc>
          <w:tcPr>
            <w:tcW w:w="2127" w:type="dxa"/>
            <w:hideMark/>
          </w:tcPr>
          <w:p w14:paraId="16FB50CF"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R1: “The donation is modest and within my means.”</w:t>
            </w:r>
            <w:r w:rsidRPr="00BF0936">
              <w:rPr>
                <w:rFonts w:ascii="Arial" w:eastAsia="Times New Roman" w:hAnsi="Arial"/>
                <w:szCs w:val="18"/>
                <w:lang w:val="en-MY" w:eastAsia="en-MY"/>
              </w:rPr>
              <w:br/>
              <w:t>R5: “Digital waqf does not necessitate much expertise, the need to recruit an assistant or any financial expenses.”</w:t>
            </w:r>
          </w:p>
          <w:p w14:paraId="7A69F6B4" w14:textId="75AD5DFB"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3C2A00D6" w14:textId="77777777" w:rsidTr="00A74101">
        <w:tc>
          <w:tcPr>
            <w:tcW w:w="1433" w:type="dxa"/>
            <w:hideMark/>
          </w:tcPr>
          <w:p w14:paraId="4B4F3E71" w14:textId="6ABF089D"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Institutional and Technological Support</w:t>
            </w:r>
          </w:p>
        </w:tc>
        <w:tc>
          <w:tcPr>
            <w:tcW w:w="1681" w:type="dxa"/>
            <w:hideMark/>
          </w:tcPr>
          <w:p w14:paraId="3A1B5EB3" w14:textId="05CFED3A"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Trust in officially sanctioned, secure platforms reinforced by social networks, community endorsement, and digital trust-building mechanisms</w:t>
            </w:r>
            <w:r w:rsidR="00CE2F02" w:rsidRPr="00BF0936">
              <w:rPr>
                <w:rFonts w:ascii="Arial" w:eastAsia="Times New Roman" w:hAnsi="Arial"/>
                <w:szCs w:val="18"/>
                <w:lang w:val="en-MY" w:eastAsia="en-MY"/>
              </w:rPr>
              <w:t>.</w:t>
            </w:r>
          </w:p>
        </w:tc>
        <w:tc>
          <w:tcPr>
            <w:tcW w:w="1984" w:type="dxa"/>
            <w:hideMark/>
          </w:tcPr>
          <w:p w14:paraId="470CD736"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Trust in official waqf institutions and secure platforms encourages participation, amplified by social networks and peer influence, which reinforce collective trust and legitimacy.</w:t>
            </w:r>
          </w:p>
        </w:tc>
        <w:tc>
          <w:tcPr>
            <w:tcW w:w="2127" w:type="dxa"/>
            <w:hideMark/>
          </w:tcPr>
          <w:p w14:paraId="671A56D3"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r w:rsidRPr="00BF0936">
              <w:rPr>
                <w:rFonts w:ascii="Arial" w:eastAsia="Times New Roman" w:hAnsi="Arial"/>
                <w:szCs w:val="18"/>
                <w:lang w:val="en-MY" w:eastAsia="en-MY"/>
              </w:rPr>
              <w:t>R2: “Technological advancements of waqf institutions have benefited us.”</w:t>
            </w:r>
            <w:r w:rsidRPr="00BF0936">
              <w:rPr>
                <w:rFonts w:ascii="Arial" w:eastAsia="Times New Roman" w:hAnsi="Arial"/>
                <w:szCs w:val="18"/>
                <w:lang w:val="en-MY" w:eastAsia="en-MY"/>
              </w:rPr>
              <w:br/>
              <w:t>R7: “I saw others donating digitally and felt encouraged to do the same.”</w:t>
            </w:r>
          </w:p>
          <w:p w14:paraId="2841F7E6" w14:textId="77777777"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p w14:paraId="52A918D2" w14:textId="7881D7D5" w:rsidR="00CE2F02" w:rsidRPr="00BF0936" w:rsidRDefault="00CE2F02" w:rsidP="00995812">
            <w:pPr>
              <w:spacing w:before="100" w:beforeAutospacing="1" w:after="100" w:afterAutospacing="1" w:line="240" w:lineRule="auto"/>
              <w:jc w:val="both"/>
              <w:rPr>
                <w:rFonts w:ascii="Arial" w:eastAsia="Times New Roman" w:hAnsi="Arial"/>
                <w:szCs w:val="18"/>
                <w:lang w:val="en-MY" w:eastAsia="en-MY"/>
              </w:rPr>
            </w:pPr>
          </w:p>
        </w:tc>
      </w:tr>
      <w:tr w:rsidR="00995812" w:rsidRPr="00BF0936" w14:paraId="3DF3C28A" w14:textId="77777777" w:rsidTr="00A74101">
        <w:tc>
          <w:tcPr>
            <w:tcW w:w="1433" w:type="dxa"/>
            <w:tcBorders>
              <w:bottom w:val="single" w:sz="4" w:space="0" w:color="auto"/>
            </w:tcBorders>
          </w:tcPr>
          <w:p w14:paraId="4E893BF2" w14:textId="77777777" w:rsidR="00995812" w:rsidRPr="00BF0936" w:rsidRDefault="00995812" w:rsidP="00995812">
            <w:pPr>
              <w:spacing w:before="100" w:beforeAutospacing="1" w:after="100" w:afterAutospacing="1" w:line="240" w:lineRule="auto"/>
              <w:outlineLvl w:val="2"/>
              <w:rPr>
                <w:rFonts w:ascii="Arial" w:eastAsia="Times New Roman" w:hAnsi="Arial"/>
                <w:szCs w:val="18"/>
                <w:lang w:val="en-MY" w:eastAsia="en-MY"/>
              </w:rPr>
            </w:pPr>
            <w:r w:rsidRPr="00BF0936">
              <w:rPr>
                <w:rFonts w:ascii="Arial" w:eastAsia="Times New Roman" w:hAnsi="Arial"/>
                <w:szCs w:val="18"/>
                <w:lang w:val="en-MY" w:eastAsia="en-MY"/>
              </w:rPr>
              <w:t>Peer Influence and Networked Trust</w:t>
            </w:r>
          </w:p>
          <w:p w14:paraId="0C3CA054"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p>
        </w:tc>
        <w:tc>
          <w:tcPr>
            <w:tcW w:w="1681" w:type="dxa"/>
            <w:tcBorders>
              <w:bottom w:val="single" w:sz="4" w:space="0" w:color="auto"/>
            </w:tcBorders>
          </w:tcPr>
          <w:p w14:paraId="0CDF77A2" w14:textId="14CC862A" w:rsidR="00995812" w:rsidRPr="00BF0936" w:rsidRDefault="00995812" w:rsidP="00995812">
            <w:pPr>
              <w:spacing w:before="100" w:beforeAutospacing="1" w:after="100" w:afterAutospacing="1" w:line="240" w:lineRule="auto"/>
              <w:jc w:val="both"/>
              <w:rPr>
                <w:rFonts w:ascii="Arial" w:eastAsia="Times New Roman" w:hAnsi="Arial"/>
                <w:szCs w:val="18"/>
                <w:lang w:val="en-US" w:eastAsia="en-MY"/>
              </w:rPr>
            </w:pPr>
            <w:r w:rsidRPr="00BF0936">
              <w:rPr>
                <w:rFonts w:ascii="Arial" w:hAnsi="Arial"/>
                <w:szCs w:val="18"/>
              </w:rPr>
              <w:t>Social structures enabling trust and information flow</w:t>
            </w:r>
            <w:r w:rsidR="00CE2F02" w:rsidRPr="00BF0936">
              <w:rPr>
                <w:rFonts w:ascii="Arial" w:hAnsi="Arial"/>
                <w:szCs w:val="18"/>
                <w:lang w:val="en-US"/>
              </w:rPr>
              <w:t>.</w:t>
            </w:r>
          </w:p>
        </w:tc>
        <w:tc>
          <w:tcPr>
            <w:tcW w:w="1984"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tblGrid>
            <w:tr w:rsidR="00995812" w:rsidRPr="00BF0936" w14:paraId="1ED25BEB" w14:textId="77777777" w:rsidTr="006C4A90">
              <w:trPr>
                <w:tblCellSpacing w:w="15" w:type="dxa"/>
              </w:trPr>
              <w:tc>
                <w:tcPr>
                  <w:tcW w:w="0" w:type="auto"/>
                  <w:vAlign w:val="center"/>
                  <w:hideMark/>
                </w:tcPr>
                <w:p w14:paraId="0D58B2DC" w14:textId="77777777" w:rsidR="00995812" w:rsidRPr="00BF0936" w:rsidRDefault="00995812" w:rsidP="00995812">
                  <w:pPr>
                    <w:spacing w:after="0" w:line="240" w:lineRule="auto"/>
                    <w:rPr>
                      <w:rFonts w:ascii="Arial" w:hAnsi="Arial"/>
                      <w:szCs w:val="18"/>
                    </w:rPr>
                  </w:pPr>
                  <w:r w:rsidRPr="00BF0936">
                    <w:rPr>
                      <w:rFonts w:ascii="Arial" w:hAnsi="Arial"/>
                      <w:szCs w:val="18"/>
                    </w:rPr>
                    <w:t>Community leaders and peer groups encourage adoption</w:t>
                  </w:r>
                </w:p>
              </w:tc>
            </w:tr>
          </w:tbl>
          <w:p w14:paraId="73FD2F68"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p>
        </w:tc>
        <w:tc>
          <w:tcPr>
            <w:tcW w:w="2127" w:type="dxa"/>
            <w:tcBorders>
              <w:bottom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tblGrid>
            <w:tr w:rsidR="00995812" w:rsidRPr="00BF0936" w14:paraId="010DE474" w14:textId="77777777" w:rsidTr="006C4A90">
              <w:trPr>
                <w:tblCellSpacing w:w="15" w:type="dxa"/>
              </w:trPr>
              <w:tc>
                <w:tcPr>
                  <w:tcW w:w="0" w:type="auto"/>
                  <w:vAlign w:val="center"/>
                  <w:hideMark/>
                </w:tcPr>
                <w:p w14:paraId="071D107B" w14:textId="77777777" w:rsidR="00995812" w:rsidRPr="00BF0936" w:rsidRDefault="00995812" w:rsidP="00995812">
                  <w:pPr>
                    <w:spacing w:after="0" w:line="240" w:lineRule="auto"/>
                    <w:rPr>
                      <w:rFonts w:ascii="Arial" w:hAnsi="Arial"/>
                      <w:szCs w:val="18"/>
                    </w:rPr>
                  </w:pPr>
                  <w:r w:rsidRPr="00BF0936">
                    <w:rPr>
                      <w:rFonts w:ascii="Arial" w:hAnsi="Arial"/>
                      <w:szCs w:val="18"/>
                    </w:rPr>
                    <w:t>Community leaders and peer groups encourage adoption</w:t>
                  </w:r>
                </w:p>
              </w:tc>
            </w:tr>
          </w:tbl>
          <w:p w14:paraId="53109367" w14:textId="77777777" w:rsidR="00995812" w:rsidRPr="00BF0936" w:rsidRDefault="00995812" w:rsidP="00995812">
            <w:pPr>
              <w:spacing w:before="100" w:beforeAutospacing="1" w:after="100" w:afterAutospacing="1" w:line="240" w:lineRule="auto"/>
              <w:jc w:val="both"/>
              <w:rPr>
                <w:rFonts w:ascii="Arial" w:eastAsia="Times New Roman" w:hAnsi="Arial"/>
                <w:szCs w:val="18"/>
                <w:lang w:val="en-MY" w:eastAsia="en-MY"/>
              </w:rPr>
            </w:pPr>
          </w:p>
        </w:tc>
      </w:tr>
    </w:tbl>
    <w:p w14:paraId="56C0F3F8" w14:textId="77777777" w:rsidR="00A74101" w:rsidRDefault="00A74101" w:rsidP="00292EAF">
      <w:pPr>
        <w:spacing w:after="120" w:line="240" w:lineRule="auto"/>
        <w:rPr>
          <w:rFonts w:ascii="Times New Roman" w:eastAsia="Palatino Linotype" w:hAnsi="Times New Roman" w:cs="Times New Roman"/>
          <w:b/>
          <w:sz w:val="24"/>
          <w:szCs w:val="24"/>
          <w:lang w:val="en-US"/>
        </w:rPr>
      </w:pPr>
    </w:p>
    <w:p w14:paraId="061EB6B1" w14:textId="67EBA90B" w:rsidR="00975E37" w:rsidRPr="00BF0936" w:rsidRDefault="00975E37" w:rsidP="00292EAF">
      <w:pPr>
        <w:spacing w:after="120" w:line="240" w:lineRule="auto"/>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V. CONCLUSION AND RECOMMENDATION</w:t>
      </w:r>
    </w:p>
    <w:p w14:paraId="6D67E134"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 xml:space="preserve">This study demonstrates that digital waqf can serve as an innovative mechanism to enhance corporate waqf social responsibility among social enterprises. The findings reveal that technological opportunism, such as the adoption of e waqf platforms, online banking, and mobile applications, increases the feasibility of cash waqf practices. Consistent with Balkis et al. (2023), the use of digital tools strengthens governance and aligns waqf institutions with sustainable development. In addition, Shukor et al. (2017) </w:t>
      </w:r>
      <w:proofErr w:type="gramStart"/>
      <w:r w:rsidRPr="00BF0936">
        <w:rPr>
          <w:rFonts w:ascii="Times New Roman" w:hAnsi="Times New Roman" w:cs="Times New Roman"/>
          <w:bCs/>
          <w:sz w:val="22"/>
          <w:lang w:val="en-MY"/>
        </w:rPr>
        <w:t>highlight</w:t>
      </w:r>
      <w:proofErr w:type="gramEnd"/>
      <w:r w:rsidRPr="00BF0936">
        <w:rPr>
          <w:rFonts w:ascii="Times New Roman" w:hAnsi="Times New Roman" w:cs="Times New Roman"/>
          <w:bCs/>
          <w:sz w:val="22"/>
          <w:lang w:val="en-MY"/>
        </w:rPr>
        <w:t xml:space="preserve"> the importance of ease of contribution, which digital waqf successfully provides. The results also show that contrary to earlier arguments that social enterprises may neglect social responsibility in </w:t>
      </w:r>
      <w:proofErr w:type="spellStart"/>
      <w:r w:rsidRPr="00BF0936">
        <w:rPr>
          <w:rFonts w:ascii="Times New Roman" w:hAnsi="Times New Roman" w:cs="Times New Roman"/>
          <w:bCs/>
          <w:sz w:val="22"/>
          <w:lang w:val="en-MY"/>
        </w:rPr>
        <w:t>favor</w:t>
      </w:r>
      <w:proofErr w:type="spellEnd"/>
      <w:r w:rsidRPr="00BF0936">
        <w:rPr>
          <w:rFonts w:ascii="Times New Roman" w:hAnsi="Times New Roman" w:cs="Times New Roman"/>
          <w:bCs/>
          <w:sz w:val="22"/>
          <w:lang w:val="en-MY"/>
        </w:rPr>
        <w:t xml:space="preserve"> of survival (Nunes et al., 2019), the respondents of this study expressed a strong willingness to support community development through waqf. This highlights the compatibility of digital waqf with ethical values, religious obligations, and the pursuit of social welfare.</w:t>
      </w:r>
    </w:p>
    <w:p w14:paraId="453768D9"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 xml:space="preserve">The study contributes to theory by extending the application of social capital and innovation diffusion perspectives to the context of waqf. Elements such </w:t>
      </w:r>
      <w:r w:rsidRPr="00BF0936">
        <w:rPr>
          <w:rFonts w:ascii="Times New Roman" w:hAnsi="Times New Roman" w:cs="Times New Roman"/>
          <w:bCs/>
          <w:sz w:val="22"/>
          <w:lang w:val="en-MY"/>
        </w:rPr>
        <w:lastRenderedPageBreak/>
        <w:t>as relative advantage, compatibility with values, user friendliness, affordability, peer influence, and institutional support explain why social enterprises find digital waqf both accessible and attractive. By emphasizing the role of trust and networks, the study underlines how waqf in the digital era can be diffused more effectively across communities.</w:t>
      </w:r>
    </w:p>
    <w:p w14:paraId="79BE2877"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The strength of this research lies in its methodological rigor, combining theoretical framing with rich qualitative data that captures the voices of respondents. The study provides nuanced insights into how micro and small enterprises perceive digital waqf as a tool for fulfilling social obligations. Its originality lies in applying innovation theory to a religious and ethical practice, thereby advancing the understanding of how digital transformation can revitalize traditional philanthropic instruments.</w:t>
      </w:r>
    </w:p>
    <w:p w14:paraId="0F23630E"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 xml:space="preserve">Despite these strengths, the study is not without limitations. The sample size is relatively small and limited to a Malaysian context, which may restrict the generalizability of the findings. The focus on </w:t>
      </w:r>
      <w:proofErr w:type="spellStart"/>
      <w:r w:rsidRPr="00BF0936">
        <w:rPr>
          <w:rFonts w:ascii="Times New Roman" w:hAnsi="Times New Roman" w:cs="Times New Roman"/>
          <w:bCs/>
          <w:sz w:val="22"/>
          <w:lang w:val="en-MY"/>
        </w:rPr>
        <w:t>self reported</w:t>
      </w:r>
      <w:proofErr w:type="spellEnd"/>
      <w:r w:rsidRPr="00BF0936">
        <w:rPr>
          <w:rFonts w:ascii="Times New Roman" w:hAnsi="Times New Roman" w:cs="Times New Roman"/>
          <w:bCs/>
          <w:sz w:val="22"/>
          <w:lang w:val="en-MY"/>
        </w:rPr>
        <w:t xml:space="preserve"> perceptions rather than observed long term </w:t>
      </w:r>
      <w:proofErr w:type="spellStart"/>
      <w:r w:rsidRPr="00BF0936">
        <w:rPr>
          <w:rFonts w:ascii="Times New Roman" w:hAnsi="Times New Roman" w:cs="Times New Roman"/>
          <w:bCs/>
          <w:sz w:val="22"/>
          <w:lang w:val="en-MY"/>
        </w:rPr>
        <w:t>behavior</w:t>
      </w:r>
      <w:proofErr w:type="spellEnd"/>
      <w:r w:rsidRPr="00BF0936">
        <w:rPr>
          <w:rFonts w:ascii="Times New Roman" w:hAnsi="Times New Roman" w:cs="Times New Roman"/>
          <w:bCs/>
          <w:sz w:val="22"/>
          <w:lang w:val="en-MY"/>
        </w:rPr>
        <w:t xml:space="preserve"> also limits the ability to assess sustained engagement with digital waqf. Moreover, the study does not empirically evaluate the financial or social outcomes of contributions, leaving room for further investigation.</w:t>
      </w:r>
    </w:p>
    <w:p w14:paraId="5B9BD372"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Future research should build on these findings in several ways. First, larger and more diverse samples can be used to compare perceptions across different cultural and regulatory environments. Second, longitudinal or mixed method designs can help assess the sustainability of digital waqf contributions and their impact on beneficiaries. Third, greater attention should be paid to the role of emerging financial technologies such as blockchain and crowdfunding platforms, which could enhance transparency, governance, and trust. Finally, exploring collaborations between waqf institutions and financial technology providers may open new pathways to scale up contributions and expand social impact.</w:t>
      </w:r>
    </w:p>
    <w:p w14:paraId="040BA192" w14:textId="77777777" w:rsidR="00A37AFF" w:rsidRPr="00BF0936" w:rsidRDefault="00A37AFF" w:rsidP="00A37AFF">
      <w:pPr>
        <w:spacing w:after="0" w:line="240" w:lineRule="auto"/>
        <w:ind w:firstLine="720"/>
        <w:jc w:val="both"/>
        <w:rPr>
          <w:rFonts w:ascii="Times New Roman" w:hAnsi="Times New Roman" w:cs="Times New Roman"/>
          <w:bCs/>
          <w:sz w:val="22"/>
          <w:lang w:val="en-MY"/>
        </w:rPr>
      </w:pPr>
      <w:r w:rsidRPr="00BF0936">
        <w:rPr>
          <w:rFonts w:ascii="Times New Roman" w:hAnsi="Times New Roman" w:cs="Times New Roman"/>
          <w:bCs/>
          <w:sz w:val="22"/>
          <w:lang w:val="en-MY"/>
        </w:rPr>
        <w:t xml:space="preserve">In conclusion, digital waqf is more than a technological tool. It is a </w:t>
      </w:r>
      <w:proofErr w:type="gramStart"/>
      <w:r w:rsidRPr="00BF0936">
        <w:rPr>
          <w:rFonts w:ascii="Times New Roman" w:hAnsi="Times New Roman" w:cs="Times New Roman"/>
          <w:bCs/>
          <w:sz w:val="22"/>
          <w:lang w:val="en-MY"/>
        </w:rPr>
        <w:t>values based</w:t>
      </w:r>
      <w:proofErr w:type="gramEnd"/>
      <w:r w:rsidRPr="00BF0936">
        <w:rPr>
          <w:rFonts w:ascii="Times New Roman" w:hAnsi="Times New Roman" w:cs="Times New Roman"/>
          <w:bCs/>
          <w:sz w:val="22"/>
          <w:lang w:val="en-MY"/>
        </w:rPr>
        <w:t xml:space="preserve"> mechanism that integrates ethical responsibility, institutional trust, and community development. By making waqf contributions more accessible, transparent, and aligned with modern financial practices, digital waqf holds significant potential to transform corporate social responsibility into a faith driven and sustainable practice.</w:t>
      </w:r>
    </w:p>
    <w:p w14:paraId="78C123A1" w14:textId="2480DA77" w:rsidR="0069052C" w:rsidRPr="00BF0936" w:rsidRDefault="0069052C" w:rsidP="00292EAF">
      <w:pPr>
        <w:spacing w:after="0" w:line="240" w:lineRule="auto"/>
        <w:ind w:firstLine="720"/>
        <w:jc w:val="both"/>
        <w:rPr>
          <w:rFonts w:ascii="Times New Roman" w:hAnsi="Times New Roman" w:cs="Times New Roman"/>
          <w:bCs/>
          <w:sz w:val="22"/>
          <w:lang w:val="en-MY"/>
        </w:rPr>
      </w:pPr>
    </w:p>
    <w:p w14:paraId="7E49CE2F" w14:textId="77777777" w:rsidR="0069052C" w:rsidRPr="00292EAF" w:rsidRDefault="0069052C" w:rsidP="00292EAF">
      <w:pPr>
        <w:spacing w:after="0" w:line="240" w:lineRule="auto"/>
        <w:ind w:firstLine="720"/>
        <w:jc w:val="both"/>
        <w:rPr>
          <w:rFonts w:ascii="Times New Roman" w:hAnsi="Times New Roman" w:cs="Times New Roman"/>
          <w:bCs/>
          <w:sz w:val="24"/>
          <w:szCs w:val="24"/>
          <w:lang w:val="en-US"/>
        </w:rPr>
      </w:pPr>
    </w:p>
    <w:p w14:paraId="430B96D0" w14:textId="77777777" w:rsidR="00803E1A" w:rsidRPr="00292EAF" w:rsidRDefault="00803E1A" w:rsidP="00292EAF">
      <w:pPr>
        <w:spacing w:after="0" w:line="240" w:lineRule="auto"/>
        <w:ind w:firstLine="720"/>
        <w:jc w:val="both"/>
        <w:rPr>
          <w:rFonts w:ascii="Times New Roman" w:hAnsi="Times New Roman" w:cs="Times New Roman"/>
          <w:bCs/>
          <w:sz w:val="24"/>
          <w:szCs w:val="24"/>
          <w:lang w:val="en-US"/>
        </w:rPr>
      </w:pPr>
    </w:p>
    <w:p w14:paraId="5E1FAA08" w14:textId="409B8D7D" w:rsidR="00975E37" w:rsidRPr="00BF0936" w:rsidRDefault="00975E37" w:rsidP="00292EAF">
      <w:pPr>
        <w:spacing w:after="120" w:line="240" w:lineRule="auto"/>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REFERENCES</w:t>
      </w:r>
    </w:p>
    <w:p w14:paraId="282041EF"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lang w:val="en-US"/>
        </w:rPr>
        <w:fldChar w:fldCharType="begin"/>
      </w:r>
      <w:r w:rsidRPr="00BF0936">
        <w:rPr>
          <w:rFonts w:ascii="Times New Roman" w:hAnsi="Times New Roman" w:cs="Times New Roman"/>
          <w:sz w:val="22"/>
          <w:lang w:val="en-US"/>
        </w:rPr>
        <w:instrText xml:space="preserve"> ADDIN ZOTERO_BIBL {"uncited":[],"omitted":[],"custom":[]} CSL_BIBLIOGRAPHY </w:instrText>
      </w:r>
      <w:r w:rsidRPr="00BF0936">
        <w:rPr>
          <w:rFonts w:ascii="Times New Roman" w:hAnsi="Times New Roman" w:cs="Times New Roman"/>
          <w:sz w:val="22"/>
          <w:lang w:val="en-US"/>
        </w:rPr>
        <w:fldChar w:fldCharType="separate"/>
      </w:r>
      <w:r w:rsidRPr="00BF0936">
        <w:rPr>
          <w:rFonts w:ascii="Times New Roman" w:hAnsi="Times New Roman" w:cs="Times New Roman"/>
          <w:sz w:val="22"/>
        </w:rPr>
        <w:t xml:space="preserve">Abramuszkinova, E., &amp; Wacey, K. (2013). Social capital theory related to corporate social responsibility. </w:t>
      </w:r>
      <w:r w:rsidRPr="00BF0936">
        <w:rPr>
          <w:rFonts w:ascii="Times New Roman" w:hAnsi="Times New Roman" w:cs="Times New Roman"/>
          <w:i/>
          <w:iCs/>
          <w:sz w:val="22"/>
        </w:rPr>
        <w:t>Acta Universitatis Agriculturae et Silviculturae Mendelianae Brunensis</w:t>
      </w:r>
      <w:r w:rsidRPr="00BF0936">
        <w:rPr>
          <w:rFonts w:ascii="Times New Roman" w:hAnsi="Times New Roman" w:cs="Times New Roman"/>
          <w:sz w:val="22"/>
        </w:rPr>
        <w:t xml:space="preserve">, </w:t>
      </w:r>
      <w:r w:rsidRPr="00BF0936">
        <w:rPr>
          <w:rFonts w:ascii="Times New Roman" w:hAnsi="Times New Roman" w:cs="Times New Roman"/>
          <w:i/>
          <w:iCs/>
          <w:sz w:val="22"/>
        </w:rPr>
        <w:t>61</w:t>
      </w:r>
      <w:r w:rsidRPr="00BF0936">
        <w:rPr>
          <w:rFonts w:ascii="Times New Roman" w:hAnsi="Times New Roman" w:cs="Times New Roman"/>
          <w:sz w:val="22"/>
        </w:rPr>
        <w:t>, 267–272. https://doi.org/10.11118/actaun201361020267</w:t>
      </w:r>
    </w:p>
    <w:p w14:paraId="788E409E"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Aguinis, H., Boyd, B. K., Pierce, C. A., Short, J. C., Payne, G. T., Moore, C. B., Griffis, S. E., &amp; Autry, C. W. (2011). Multilevel Challenges and </w:t>
      </w:r>
      <w:r w:rsidRPr="00BF0936">
        <w:rPr>
          <w:rFonts w:ascii="Times New Roman" w:hAnsi="Times New Roman" w:cs="Times New Roman"/>
          <w:sz w:val="22"/>
        </w:rPr>
        <w:lastRenderedPageBreak/>
        <w:t xml:space="preserve">Opportunities in Social Capital Research. </w:t>
      </w:r>
      <w:r w:rsidRPr="00BF0936">
        <w:rPr>
          <w:rFonts w:ascii="Times New Roman" w:hAnsi="Times New Roman" w:cs="Times New Roman"/>
          <w:i/>
          <w:iCs/>
          <w:sz w:val="22"/>
        </w:rPr>
        <w:t>Journal of Management</w:t>
      </w:r>
      <w:r w:rsidRPr="00BF0936">
        <w:rPr>
          <w:rFonts w:ascii="Times New Roman" w:hAnsi="Times New Roman" w:cs="Times New Roman"/>
          <w:sz w:val="22"/>
        </w:rPr>
        <w:t xml:space="preserve">, </w:t>
      </w:r>
      <w:r w:rsidRPr="00BF0936">
        <w:rPr>
          <w:rFonts w:ascii="Times New Roman" w:hAnsi="Times New Roman" w:cs="Times New Roman"/>
          <w:i/>
          <w:iCs/>
          <w:sz w:val="22"/>
        </w:rPr>
        <w:t>37</w:t>
      </w:r>
      <w:r w:rsidRPr="00BF0936">
        <w:rPr>
          <w:rFonts w:ascii="Times New Roman" w:hAnsi="Times New Roman" w:cs="Times New Roman"/>
          <w:sz w:val="22"/>
        </w:rPr>
        <w:t>(2), 491–520. https://doi.org/10.1177/0149206310372413</w:t>
      </w:r>
    </w:p>
    <w:p w14:paraId="0451E297"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Asyari, A., Hoque, M. E., Susanto, P., Begum, H., Awaluddin, A., Marwan, M., &amp; Mamun, A. A. (2024). Online cash waqf behavioral intention: The role of knowledge of cash waqf and trust. </w:t>
      </w:r>
      <w:r w:rsidRPr="00BF0936">
        <w:rPr>
          <w:rFonts w:ascii="Times New Roman" w:hAnsi="Times New Roman" w:cs="Times New Roman"/>
          <w:i/>
          <w:iCs/>
          <w:sz w:val="22"/>
        </w:rPr>
        <w:t>Journal of Islamic Marketing</w:t>
      </w:r>
      <w:r w:rsidRPr="00BF0936">
        <w:rPr>
          <w:rFonts w:ascii="Times New Roman" w:hAnsi="Times New Roman" w:cs="Times New Roman"/>
          <w:sz w:val="22"/>
        </w:rPr>
        <w:t xml:space="preserve">, </w:t>
      </w:r>
      <w:r w:rsidRPr="00BF0936">
        <w:rPr>
          <w:rFonts w:ascii="Times New Roman" w:hAnsi="Times New Roman" w:cs="Times New Roman"/>
          <w:i/>
          <w:iCs/>
          <w:sz w:val="22"/>
        </w:rPr>
        <w:t>ahead-of-print</w:t>
      </w:r>
      <w:r w:rsidRPr="00BF0936">
        <w:rPr>
          <w:rFonts w:ascii="Times New Roman" w:hAnsi="Times New Roman" w:cs="Times New Roman"/>
          <w:sz w:val="22"/>
        </w:rPr>
        <w:t>(ahead-of-print). https://doi.org/10.1108/JIMA-07-2023-0224</w:t>
      </w:r>
    </w:p>
    <w:p w14:paraId="546E71A1" w14:textId="2466A03D"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Awalluddin, M. A. (2020). </w:t>
      </w:r>
      <w:r w:rsidR="00E51397" w:rsidRPr="00BF0936">
        <w:rPr>
          <w:rFonts w:ascii="Times New Roman" w:hAnsi="Times New Roman" w:cs="Times New Roman"/>
          <w:sz w:val="22"/>
        </w:rPr>
        <w:t xml:space="preserve">Shareholder Activism </w:t>
      </w:r>
      <w:r w:rsidR="00E51397" w:rsidRPr="00BF0936">
        <w:rPr>
          <w:rFonts w:ascii="Times New Roman" w:hAnsi="Times New Roman" w:cs="Times New Roman"/>
          <w:sz w:val="22"/>
          <w:lang w:val="en-US"/>
        </w:rPr>
        <w:t>a</w:t>
      </w:r>
      <w:r w:rsidR="00E51397" w:rsidRPr="00BF0936">
        <w:rPr>
          <w:rFonts w:ascii="Times New Roman" w:hAnsi="Times New Roman" w:cs="Times New Roman"/>
          <w:sz w:val="22"/>
        </w:rPr>
        <w:t xml:space="preserve">nd Corporate Social Responsibility </w:t>
      </w:r>
      <w:r w:rsidR="00E51397" w:rsidRPr="00BF0936">
        <w:rPr>
          <w:rFonts w:ascii="Times New Roman" w:hAnsi="Times New Roman" w:cs="Times New Roman"/>
          <w:sz w:val="22"/>
          <w:lang w:val="en-US"/>
        </w:rPr>
        <w:t>i</w:t>
      </w:r>
      <w:r w:rsidR="00E51397" w:rsidRPr="00BF0936">
        <w:rPr>
          <w:rFonts w:ascii="Times New Roman" w:hAnsi="Times New Roman" w:cs="Times New Roman"/>
          <w:sz w:val="22"/>
        </w:rPr>
        <w:t>n Malaysia</w:t>
      </w:r>
      <w:r w:rsidRPr="00BF0936">
        <w:rPr>
          <w:rFonts w:ascii="Times New Roman" w:hAnsi="Times New Roman" w:cs="Times New Roman"/>
          <w:sz w:val="22"/>
        </w:rPr>
        <w:t xml:space="preserve">. </w:t>
      </w:r>
      <w:r w:rsidRPr="00BF0936">
        <w:rPr>
          <w:rFonts w:ascii="Times New Roman" w:hAnsi="Times New Roman" w:cs="Times New Roman"/>
          <w:i/>
          <w:iCs/>
          <w:sz w:val="22"/>
        </w:rPr>
        <w:t>Journal of Economics and Administrative Sciences Faculty</w:t>
      </w:r>
      <w:r w:rsidRPr="00BF0936">
        <w:rPr>
          <w:rFonts w:ascii="Times New Roman" w:hAnsi="Times New Roman" w:cs="Times New Roman"/>
          <w:sz w:val="22"/>
        </w:rPr>
        <w:t xml:space="preserve">, </w:t>
      </w:r>
      <w:r w:rsidRPr="00BF0936">
        <w:rPr>
          <w:rFonts w:ascii="Times New Roman" w:hAnsi="Times New Roman" w:cs="Times New Roman"/>
          <w:i/>
          <w:iCs/>
          <w:sz w:val="22"/>
        </w:rPr>
        <w:t>7</w:t>
      </w:r>
      <w:r w:rsidRPr="00BF0936">
        <w:rPr>
          <w:rFonts w:ascii="Times New Roman" w:hAnsi="Times New Roman" w:cs="Times New Roman"/>
          <w:sz w:val="22"/>
        </w:rPr>
        <w:t>(1), 1–19. https://doi.org/10.30798/makuiibf.532662</w:t>
      </w:r>
    </w:p>
    <w:p w14:paraId="2C09FEDD"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Awalluddin, M. A. (2023). Exploring the Role of Waqf Instrument in Supporting Educational Development: A Qualitative Content Analysis. </w:t>
      </w:r>
      <w:r w:rsidRPr="00BF0936">
        <w:rPr>
          <w:rFonts w:ascii="Times New Roman" w:hAnsi="Times New Roman" w:cs="Times New Roman"/>
          <w:i/>
          <w:iCs/>
          <w:sz w:val="22"/>
        </w:rPr>
        <w:t>FITRAH: Jurnal Kajian Ilmu-Ilmu Keislaman</w:t>
      </w:r>
      <w:r w:rsidRPr="00BF0936">
        <w:rPr>
          <w:rFonts w:ascii="Times New Roman" w:hAnsi="Times New Roman" w:cs="Times New Roman"/>
          <w:sz w:val="22"/>
        </w:rPr>
        <w:t xml:space="preserve">, </w:t>
      </w:r>
      <w:r w:rsidRPr="00BF0936">
        <w:rPr>
          <w:rFonts w:ascii="Times New Roman" w:hAnsi="Times New Roman" w:cs="Times New Roman"/>
          <w:i/>
          <w:iCs/>
          <w:sz w:val="22"/>
        </w:rPr>
        <w:t>9</w:t>
      </w:r>
      <w:r w:rsidRPr="00BF0936">
        <w:rPr>
          <w:rFonts w:ascii="Times New Roman" w:hAnsi="Times New Roman" w:cs="Times New Roman"/>
          <w:sz w:val="22"/>
        </w:rPr>
        <w:t>(1), Article 1. https://doi.org/10.24952/fitrah.v9i1.7381</w:t>
      </w:r>
    </w:p>
    <w:p w14:paraId="168321CE"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Bai, X., &amp; Chang, J. (2015). Corporate social responsibility and firm performance: The mediating role of marketing competence and the moderating role of market environment. </w:t>
      </w:r>
      <w:r w:rsidRPr="00BF0936">
        <w:rPr>
          <w:rFonts w:ascii="Times New Roman" w:hAnsi="Times New Roman" w:cs="Times New Roman"/>
          <w:i/>
          <w:iCs/>
          <w:sz w:val="22"/>
        </w:rPr>
        <w:t>Asia Pacific Journal of Management</w:t>
      </w:r>
      <w:r w:rsidRPr="00BF0936">
        <w:rPr>
          <w:rFonts w:ascii="Times New Roman" w:hAnsi="Times New Roman" w:cs="Times New Roman"/>
          <w:sz w:val="22"/>
        </w:rPr>
        <w:t xml:space="preserve">, </w:t>
      </w:r>
      <w:r w:rsidRPr="00BF0936">
        <w:rPr>
          <w:rFonts w:ascii="Times New Roman" w:hAnsi="Times New Roman" w:cs="Times New Roman"/>
          <w:i/>
          <w:iCs/>
          <w:sz w:val="22"/>
        </w:rPr>
        <w:t>32</w:t>
      </w:r>
      <w:r w:rsidRPr="00BF0936">
        <w:rPr>
          <w:rFonts w:ascii="Times New Roman" w:hAnsi="Times New Roman" w:cs="Times New Roman"/>
          <w:sz w:val="22"/>
        </w:rPr>
        <w:t>(2), 505–530. https://doi.org/10.1007/s10490-015-9409-0</w:t>
      </w:r>
    </w:p>
    <w:p w14:paraId="3FB4942F"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Balkis, K., Siti Sara, I., Sharfizie, M. S., Asmak, A. R., &amp; Nurul Fadly, H. (2023). Potential Blockchain Applications in Waqf for Sustainability: A Middle East and Asia Perspective. </w:t>
      </w:r>
      <w:r w:rsidRPr="00BF0936">
        <w:rPr>
          <w:rFonts w:ascii="Times New Roman" w:hAnsi="Times New Roman" w:cs="Times New Roman"/>
          <w:i/>
          <w:iCs/>
          <w:sz w:val="22"/>
        </w:rPr>
        <w:t>Islamiyyat</w:t>
      </w:r>
      <w:r w:rsidRPr="00BF0936">
        <w:rPr>
          <w:rFonts w:ascii="Times New Roman" w:hAnsi="Times New Roman" w:cs="Times New Roman"/>
          <w:sz w:val="22"/>
        </w:rPr>
        <w:t xml:space="preserve">, </w:t>
      </w:r>
      <w:r w:rsidRPr="00BF0936">
        <w:rPr>
          <w:rFonts w:ascii="Times New Roman" w:hAnsi="Times New Roman" w:cs="Times New Roman"/>
          <w:i/>
          <w:iCs/>
          <w:sz w:val="22"/>
        </w:rPr>
        <w:t>45</w:t>
      </w:r>
      <w:r w:rsidRPr="00BF0936">
        <w:rPr>
          <w:rFonts w:ascii="Times New Roman" w:hAnsi="Times New Roman" w:cs="Times New Roman"/>
          <w:sz w:val="22"/>
        </w:rPr>
        <w:t>(2), 47–64. https://doi.org/10.17576/islamiyyat-2023-4502-04</w:t>
      </w:r>
    </w:p>
    <w:p w14:paraId="0DA59955"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Banna, H., &amp; Alam, M. R. (2021). Impact of digital financial inclusion on ASEAN banking stability: Implications for the post-Covid-19 era. </w:t>
      </w:r>
      <w:r w:rsidRPr="00BF0936">
        <w:rPr>
          <w:rFonts w:ascii="Times New Roman" w:hAnsi="Times New Roman" w:cs="Times New Roman"/>
          <w:i/>
          <w:iCs/>
          <w:sz w:val="22"/>
        </w:rPr>
        <w:t>Studies in Economics and Finance</w:t>
      </w:r>
      <w:r w:rsidRPr="00BF0936">
        <w:rPr>
          <w:rFonts w:ascii="Times New Roman" w:hAnsi="Times New Roman" w:cs="Times New Roman"/>
          <w:sz w:val="22"/>
        </w:rPr>
        <w:t xml:space="preserve">, </w:t>
      </w:r>
      <w:r w:rsidRPr="00BF0936">
        <w:rPr>
          <w:rFonts w:ascii="Times New Roman" w:hAnsi="Times New Roman" w:cs="Times New Roman"/>
          <w:i/>
          <w:iCs/>
          <w:sz w:val="22"/>
        </w:rPr>
        <w:t>38</w:t>
      </w:r>
      <w:r w:rsidRPr="00BF0936">
        <w:rPr>
          <w:rFonts w:ascii="Times New Roman" w:hAnsi="Times New Roman" w:cs="Times New Roman"/>
          <w:sz w:val="22"/>
        </w:rPr>
        <w:t>(2), 504–523. https://doi.org/10.1108/SEF-09-2020-0388</w:t>
      </w:r>
    </w:p>
    <w:p w14:paraId="24F80595"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Bass, F. M. (1969). A New Product Growth for Model Consumer Durables. </w:t>
      </w:r>
      <w:r w:rsidRPr="00BF0936">
        <w:rPr>
          <w:rFonts w:ascii="Times New Roman" w:hAnsi="Times New Roman" w:cs="Times New Roman"/>
          <w:i/>
          <w:iCs/>
          <w:sz w:val="22"/>
        </w:rPr>
        <w:t>Management Science</w:t>
      </w:r>
      <w:r w:rsidRPr="00BF0936">
        <w:rPr>
          <w:rFonts w:ascii="Times New Roman" w:hAnsi="Times New Roman" w:cs="Times New Roman"/>
          <w:sz w:val="22"/>
        </w:rPr>
        <w:t xml:space="preserve">, </w:t>
      </w:r>
      <w:r w:rsidRPr="00BF0936">
        <w:rPr>
          <w:rFonts w:ascii="Times New Roman" w:hAnsi="Times New Roman" w:cs="Times New Roman"/>
          <w:i/>
          <w:iCs/>
          <w:sz w:val="22"/>
        </w:rPr>
        <w:t>15</w:t>
      </w:r>
      <w:r w:rsidRPr="00BF0936">
        <w:rPr>
          <w:rFonts w:ascii="Times New Roman" w:hAnsi="Times New Roman" w:cs="Times New Roman"/>
          <w:sz w:val="22"/>
        </w:rPr>
        <w:t>(5), 215–227.</w:t>
      </w:r>
    </w:p>
    <w:p w14:paraId="59FAE557"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Bick, M. J. A. (1963). Diffusion of Innovations. </w:t>
      </w:r>
      <w:r w:rsidRPr="00BF0936">
        <w:rPr>
          <w:rFonts w:ascii="Times New Roman" w:hAnsi="Times New Roman" w:cs="Times New Roman"/>
          <w:i/>
          <w:iCs/>
          <w:sz w:val="22"/>
        </w:rPr>
        <w:t>American Anthropologist</w:t>
      </w:r>
      <w:r w:rsidRPr="00BF0936">
        <w:rPr>
          <w:rFonts w:ascii="Times New Roman" w:hAnsi="Times New Roman" w:cs="Times New Roman"/>
          <w:sz w:val="22"/>
        </w:rPr>
        <w:t xml:space="preserve">, </w:t>
      </w:r>
      <w:r w:rsidRPr="00BF0936">
        <w:rPr>
          <w:rFonts w:ascii="Times New Roman" w:hAnsi="Times New Roman" w:cs="Times New Roman"/>
          <w:i/>
          <w:iCs/>
          <w:sz w:val="22"/>
        </w:rPr>
        <w:t>65</w:t>
      </w:r>
      <w:r w:rsidRPr="00BF0936">
        <w:rPr>
          <w:rFonts w:ascii="Times New Roman" w:hAnsi="Times New Roman" w:cs="Times New Roman"/>
          <w:sz w:val="22"/>
        </w:rPr>
        <w:t>(5), 1146–1147. https://doi.org/10.1525/aa.1963.65.5.02a00230</w:t>
      </w:r>
    </w:p>
    <w:p w14:paraId="093D2E00"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Bielawska, A. (2022). Socially Responsible Activity of Micro-, Small-, and Medium-Sized Enterprises—Benefits for the Enterprise. </w:t>
      </w:r>
      <w:r w:rsidRPr="00BF0936">
        <w:rPr>
          <w:rFonts w:ascii="Times New Roman" w:hAnsi="Times New Roman" w:cs="Times New Roman"/>
          <w:i/>
          <w:iCs/>
          <w:sz w:val="22"/>
        </w:rPr>
        <w:t>Sustainability</w:t>
      </w:r>
      <w:r w:rsidRPr="00BF0936">
        <w:rPr>
          <w:rFonts w:ascii="Times New Roman" w:hAnsi="Times New Roman" w:cs="Times New Roman"/>
          <w:sz w:val="22"/>
        </w:rPr>
        <w:t xml:space="preserve">, </w:t>
      </w:r>
      <w:r w:rsidRPr="00BF0936">
        <w:rPr>
          <w:rFonts w:ascii="Times New Roman" w:hAnsi="Times New Roman" w:cs="Times New Roman"/>
          <w:i/>
          <w:iCs/>
          <w:sz w:val="22"/>
        </w:rPr>
        <w:t>14</w:t>
      </w:r>
      <w:r w:rsidRPr="00BF0936">
        <w:rPr>
          <w:rFonts w:ascii="Times New Roman" w:hAnsi="Times New Roman" w:cs="Times New Roman"/>
          <w:sz w:val="22"/>
        </w:rPr>
        <w:t>(15), Article 15. https://doi.org/10.3390/su14159603</w:t>
      </w:r>
    </w:p>
    <w:p w14:paraId="0B1A5EFD"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Bonang, D., Ismail, S., &amp; Sukmana, R. (2024). Empowering the Future of Cash Waqf through Digitalisation: An Insight into the Philanthropic Intention of the Indonesian Muslim Community. </w:t>
      </w:r>
      <w:r w:rsidRPr="00BF0936">
        <w:rPr>
          <w:rFonts w:ascii="Times New Roman" w:hAnsi="Times New Roman" w:cs="Times New Roman"/>
          <w:i/>
          <w:iCs/>
          <w:sz w:val="22"/>
        </w:rPr>
        <w:t>ISRA International Journal of Islamic Finance</w:t>
      </w:r>
      <w:r w:rsidRPr="00BF0936">
        <w:rPr>
          <w:rFonts w:ascii="Times New Roman" w:hAnsi="Times New Roman" w:cs="Times New Roman"/>
          <w:sz w:val="22"/>
        </w:rPr>
        <w:t xml:space="preserve">, </w:t>
      </w:r>
      <w:r w:rsidRPr="00BF0936">
        <w:rPr>
          <w:rFonts w:ascii="Times New Roman" w:hAnsi="Times New Roman" w:cs="Times New Roman"/>
          <w:i/>
          <w:iCs/>
          <w:sz w:val="22"/>
        </w:rPr>
        <w:t>16</w:t>
      </w:r>
      <w:r w:rsidRPr="00BF0936">
        <w:rPr>
          <w:rFonts w:ascii="Times New Roman" w:hAnsi="Times New Roman" w:cs="Times New Roman"/>
          <w:sz w:val="22"/>
        </w:rPr>
        <w:t>(S1), Article S1. https://doi.org/10.55188/ijif.v16iS1.586</w:t>
      </w:r>
    </w:p>
    <w:p w14:paraId="0DBAD11A"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Braun, V., &amp; Clarke, V. (2006). Using thematic analysis in psychology. </w:t>
      </w:r>
      <w:r w:rsidRPr="00BF0936">
        <w:rPr>
          <w:rFonts w:ascii="Times New Roman" w:hAnsi="Times New Roman" w:cs="Times New Roman"/>
          <w:i/>
          <w:iCs/>
          <w:sz w:val="22"/>
        </w:rPr>
        <w:t>Qualitative Research in Psychology</w:t>
      </w:r>
      <w:r w:rsidRPr="00BF0936">
        <w:rPr>
          <w:rFonts w:ascii="Times New Roman" w:hAnsi="Times New Roman" w:cs="Times New Roman"/>
          <w:sz w:val="22"/>
        </w:rPr>
        <w:t xml:space="preserve">, </w:t>
      </w:r>
      <w:r w:rsidRPr="00BF0936">
        <w:rPr>
          <w:rFonts w:ascii="Times New Roman" w:hAnsi="Times New Roman" w:cs="Times New Roman"/>
          <w:i/>
          <w:iCs/>
          <w:sz w:val="22"/>
        </w:rPr>
        <w:t>3</w:t>
      </w:r>
      <w:r w:rsidRPr="00BF0936">
        <w:rPr>
          <w:rFonts w:ascii="Times New Roman" w:hAnsi="Times New Roman" w:cs="Times New Roman"/>
          <w:sz w:val="22"/>
        </w:rPr>
        <w:t>(2), 77–101. https://doi.org/10.1191/1478088706qp063oa</w:t>
      </w:r>
    </w:p>
    <w:p w14:paraId="52F486F8"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Chung, C. Y., Jung, S., &amp; Young, J. (2018). Do CSR activities increase firm value? Evidence from the Korean market. </w:t>
      </w:r>
      <w:r w:rsidRPr="00BF0936">
        <w:rPr>
          <w:rFonts w:ascii="Times New Roman" w:hAnsi="Times New Roman" w:cs="Times New Roman"/>
          <w:i/>
          <w:iCs/>
          <w:sz w:val="22"/>
        </w:rPr>
        <w:t>Sustainability (Switzerland)</w:t>
      </w:r>
      <w:r w:rsidRPr="00BF0936">
        <w:rPr>
          <w:rFonts w:ascii="Times New Roman" w:hAnsi="Times New Roman" w:cs="Times New Roman"/>
          <w:sz w:val="22"/>
        </w:rPr>
        <w:t xml:space="preserve">, </w:t>
      </w:r>
      <w:r w:rsidRPr="00BF0936">
        <w:rPr>
          <w:rFonts w:ascii="Times New Roman" w:hAnsi="Times New Roman" w:cs="Times New Roman"/>
          <w:i/>
          <w:iCs/>
          <w:sz w:val="22"/>
        </w:rPr>
        <w:t>10</w:t>
      </w:r>
      <w:r w:rsidRPr="00BF0936">
        <w:rPr>
          <w:rFonts w:ascii="Times New Roman" w:hAnsi="Times New Roman" w:cs="Times New Roman"/>
          <w:sz w:val="22"/>
        </w:rPr>
        <w:t>(9), 1–22. https://doi.org/10.3390/su10093164</w:t>
      </w:r>
    </w:p>
    <w:p w14:paraId="09EABE99"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lastRenderedPageBreak/>
        <w:t xml:space="preserve">Cizakca, M. (1998). Awqaf in History and Its Implications for Modern Islamic Economies. </w:t>
      </w:r>
      <w:r w:rsidRPr="00BF0936">
        <w:rPr>
          <w:rFonts w:ascii="Times New Roman" w:hAnsi="Times New Roman" w:cs="Times New Roman"/>
          <w:i/>
          <w:iCs/>
          <w:sz w:val="22"/>
        </w:rPr>
        <w:t>Islamic Economic Studies</w:t>
      </w:r>
      <w:r w:rsidRPr="00BF0936">
        <w:rPr>
          <w:rFonts w:ascii="Times New Roman" w:hAnsi="Times New Roman" w:cs="Times New Roman"/>
          <w:sz w:val="22"/>
        </w:rPr>
        <w:t xml:space="preserve">, </w:t>
      </w:r>
      <w:r w:rsidRPr="00BF0936">
        <w:rPr>
          <w:rFonts w:ascii="Times New Roman" w:hAnsi="Times New Roman" w:cs="Times New Roman"/>
          <w:i/>
          <w:iCs/>
          <w:sz w:val="22"/>
        </w:rPr>
        <w:t>6</w:t>
      </w:r>
      <w:r w:rsidRPr="00BF0936">
        <w:rPr>
          <w:rFonts w:ascii="Times New Roman" w:hAnsi="Times New Roman" w:cs="Times New Roman"/>
          <w:sz w:val="22"/>
        </w:rPr>
        <w:t>(1). https://papers.ssrn.com/sol3/papers.cfm?abstract_id=3164811</w:t>
      </w:r>
    </w:p>
    <w:p w14:paraId="0D9EB9A5"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Coleman, J. S. (1990). </w:t>
      </w:r>
      <w:r w:rsidRPr="00BF0936">
        <w:rPr>
          <w:rFonts w:ascii="Times New Roman" w:hAnsi="Times New Roman" w:cs="Times New Roman"/>
          <w:i/>
          <w:iCs/>
          <w:sz w:val="22"/>
        </w:rPr>
        <w:t>Foundations of Social Theory</w:t>
      </w:r>
      <w:r w:rsidRPr="00BF0936">
        <w:rPr>
          <w:rFonts w:ascii="Times New Roman" w:hAnsi="Times New Roman" w:cs="Times New Roman"/>
          <w:sz w:val="22"/>
        </w:rPr>
        <w:t>. Belknap Press of Harvard University Press.</w:t>
      </w:r>
    </w:p>
    <w:p w14:paraId="1D449C0D" w14:textId="515C84B1"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Cresswell, W. J., &amp; Cresswell, D. J. (2018). </w:t>
      </w:r>
      <w:r w:rsidRPr="00BF0936">
        <w:rPr>
          <w:rFonts w:ascii="Times New Roman" w:hAnsi="Times New Roman" w:cs="Times New Roman"/>
          <w:i/>
          <w:iCs/>
          <w:sz w:val="22"/>
        </w:rPr>
        <w:t>Research design: Qualitative, quantitative, and mixed methods approaches</w:t>
      </w:r>
      <w:r w:rsidRPr="00BF0936">
        <w:rPr>
          <w:rFonts w:ascii="Times New Roman" w:hAnsi="Times New Roman" w:cs="Times New Roman"/>
          <w:sz w:val="22"/>
        </w:rPr>
        <w:t xml:space="preserve"> (Vol. 53). Sage. </w:t>
      </w:r>
    </w:p>
    <w:p w14:paraId="655B4D2B" w14:textId="16F785A8" w:rsidR="000E4AF5" w:rsidRPr="00BF0936" w:rsidRDefault="000E4AF5" w:rsidP="000E4AF5">
      <w:pPr>
        <w:spacing w:after="0"/>
        <w:ind w:left="720" w:hanging="720"/>
        <w:jc w:val="both"/>
        <w:rPr>
          <w:rFonts w:ascii="Times New Roman" w:hAnsi="Times New Roman" w:cs="Times New Roman"/>
          <w:sz w:val="22"/>
          <w:lang w:val="en-MY"/>
        </w:rPr>
      </w:pPr>
      <w:r w:rsidRPr="00BF0936">
        <w:rPr>
          <w:rFonts w:ascii="Times New Roman" w:hAnsi="Times New Roman" w:cs="Times New Roman"/>
          <w:sz w:val="22"/>
          <w:lang w:val="en-MY"/>
        </w:rPr>
        <w:t xml:space="preserve">Chen, W., &amp; Filieri, R. (2024). Institutional forces, leapfrogging effects, and innovation status: Evidence from the adoption of a continuously evolving technology in small organizations. </w:t>
      </w:r>
      <w:r w:rsidRPr="00BF0936">
        <w:rPr>
          <w:rFonts w:ascii="Times New Roman" w:hAnsi="Times New Roman" w:cs="Times New Roman"/>
          <w:i/>
          <w:iCs/>
          <w:sz w:val="22"/>
          <w:lang w:val="en-MY"/>
        </w:rPr>
        <w:t>Technological Forecasting and Social Change</w:t>
      </w:r>
      <w:r w:rsidRPr="00BF0936">
        <w:rPr>
          <w:rFonts w:ascii="Times New Roman" w:hAnsi="Times New Roman" w:cs="Times New Roman"/>
          <w:sz w:val="22"/>
          <w:lang w:val="en-MY"/>
        </w:rPr>
        <w:t xml:space="preserve">, </w:t>
      </w:r>
      <w:r w:rsidRPr="00BF0936">
        <w:rPr>
          <w:rFonts w:ascii="Times New Roman" w:hAnsi="Times New Roman" w:cs="Times New Roman"/>
          <w:i/>
          <w:iCs/>
          <w:sz w:val="22"/>
          <w:lang w:val="en-MY"/>
        </w:rPr>
        <w:t>206</w:t>
      </w:r>
      <w:r w:rsidRPr="00BF0936">
        <w:rPr>
          <w:rFonts w:ascii="Times New Roman" w:hAnsi="Times New Roman" w:cs="Times New Roman"/>
          <w:sz w:val="22"/>
          <w:lang w:val="en-MY"/>
        </w:rPr>
        <w:t>, 123529. https://doi.org/10.1016/j.techfore.2024.123529</w:t>
      </w:r>
    </w:p>
    <w:p w14:paraId="6C235F89" w14:textId="77777777" w:rsidR="00871A71" w:rsidRPr="00BF0936" w:rsidRDefault="00871A71" w:rsidP="000E4AF5">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Darus, F., Ahmad Shukri, N. H., Yusoff, H., Ramli, A., Mohamed Zain, M., &amp; Abu Bakar, N. A. (2017). Empowering social responsibility of Islamic organizations through Waqf. </w:t>
      </w:r>
      <w:r w:rsidRPr="00BF0936">
        <w:rPr>
          <w:rFonts w:ascii="Times New Roman" w:hAnsi="Times New Roman" w:cs="Times New Roman"/>
          <w:i/>
          <w:iCs/>
          <w:sz w:val="22"/>
        </w:rPr>
        <w:t>Research in International Business and Finance</w:t>
      </w:r>
      <w:r w:rsidRPr="00BF0936">
        <w:rPr>
          <w:rFonts w:ascii="Times New Roman" w:hAnsi="Times New Roman" w:cs="Times New Roman"/>
          <w:sz w:val="22"/>
        </w:rPr>
        <w:t xml:space="preserve">, </w:t>
      </w:r>
      <w:r w:rsidRPr="00BF0936">
        <w:rPr>
          <w:rFonts w:ascii="Times New Roman" w:hAnsi="Times New Roman" w:cs="Times New Roman"/>
          <w:i/>
          <w:iCs/>
          <w:sz w:val="22"/>
        </w:rPr>
        <w:t>42</w:t>
      </w:r>
      <w:r w:rsidRPr="00BF0936">
        <w:rPr>
          <w:rFonts w:ascii="Times New Roman" w:hAnsi="Times New Roman" w:cs="Times New Roman"/>
          <w:sz w:val="22"/>
        </w:rPr>
        <w:t>, 959–965. https://doi.org/10.1016/j.ribaf.2017.07.030</w:t>
      </w:r>
    </w:p>
    <w:p w14:paraId="2414E92E"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De Kok, J., &amp; Uhlaner, L. M. (2001). Organization context and human resource management in the small firm. </w:t>
      </w:r>
      <w:r w:rsidRPr="00BF0936">
        <w:rPr>
          <w:rFonts w:ascii="Times New Roman" w:hAnsi="Times New Roman" w:cs="Times New Roman"/>
          <w:i/>
          <w:iCs/>
          <w:sz w:val="22"/>
        </w:rPr>
        <w:t>Small Business Economics</w:t>
      </w:r>
      <w:r w:rsidRPr="00BF0936">
        <w:rPr>
          <w:rFonts w:ascii="Times New Roman" w:hAnsi="Times New Roman" w:cs="Times New Roman"/>
          <w:sz w:val="22"/>
        </w:rPr>
        <w:t xml:space="preserve">, </w:t>
      </w:r>
      <w:r w:rsidRPr="00BF0936">
        <w:rPr>
          <w:rFonts w:ascii="Times New Roman" w:hAnsi="Times New Roman" w:cs="Times New Roman"/>
          <w:i/>
          <w:iCs/>
          <w:sz w:val="22"/>
        </w:rPr>
        <w:t>17</w:t>
      </w:r>
      <w:r w:rsidRPr="00BF0936">
        <w:rPr>
          <w:rFonts w:ascii="Times New Roman" w:hAnsi="Times New Roman" w:cs="Times New Roman"/>
          <w:sz w:val="22"/>
        </w:rPr>
        <w:t>, 273–291.</w:t>
      </w:r>
    </w:p>
    <w:p w14:paraId="51425E74"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Fan, C., Li, Z., Fan, K., &amp; Mao, H. (2021). Corporate social responsibility and cost stickiness: Evidence from China. </w:t>
      </w:r>
      <w:r w:rsidRPr="00BF0936">
        <w:rPr>
          <w:rFonts w:ascii="Times New Roman" w:hAnsi="Times New Roman" w:cs="Times New Roman"/>
          <w:i/>
          <w:iCs/>
          <w:sz w:val="22"/>
        </w:rPr>
        <w:t>ACM International Conference Proceeding Series</w:t>
      </w:r>
      <w:r w:rsidRPr="00BF0936">
        <w:rPr>
          <w:rFonts w:ascii="Times New Roman" w:hAnsi="Times New Roman" w:cs="Times New Roman"/>
          <w:sz w:val="22"/>
        </w:rPr>
        <w:t>, 70–73. https://doi.org/10.1145/3460824.3460836</w:t>
      </w:r>
    </w:p>
    <w:p w14:paraId="7A2E72AF" w14:textId="384E9DE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Fang, X. (2023). Can digital finance promote individuals</w:t>
      </w:r>
      <w:r w:rsidR="00983854" w:rsidRPr="00BF0936">
        <w:rPr>
          <w:rFonts w:ascii="Times New Roman" w:hAnsi="Times New Roman" w:cs="Times New Roman"/>
          <w:sz w:val="22"/>
        </w:rPr>
        <w:t>'</w:t>
      </w:r>
      <w:r w:rsidRPr="00BF0936">
        <w:rPr>
          <w:rFonts w:ascii="Times New Roman" w:hAnsi="Times New Roman" w:cs="Times New Roman"/>
          <w:sz w:val="22"/>
        </w:rPr>
        <w:t xml:space="preserve"> charitable giving? Empirical evidence from China. </w:t>
      </w:r>
      <w:r w:rsidRPr="00BF0936">
        <w:rPr>
          <w:rFonts w:ascii="Times New Roman" w:hAnsi="Times New Roman" w:cs="Times New Roman"/>
          <w:i/>
          <w:iCs/>
          <w:sz w:val="22"/>
        </w:rPr>
        <w:t>Computers in Human Behavior</w:t>
      </w:r>
      <w:r w:rsidRPr="00BF0936">
        <w:rPr>
          <w:rFonts w:ascii="Times New Roman" w:hAnsi="Times New Roman" w:cs="Times New Roman"/>
          <w:sz w:val="22"/>
        </w:rPr>
        <w:t xml:space="preserve">, </w:t>
      </w:r>
      <w:r w:rsidRPr="00BF0936">
        <w:rPr>
          <w:rFonts w:ascii="Times New Roman" w:hAnsi="Times New Roman" w:cs="Times New Roman"/>
          <w:i/>
          <w:iCs/>
          <w:sz w:val="22"/>
        </w:rPr>
        <w:t>145</w:t>
      </w:r>
      <w:r w:rsidRPr="00BF0936">
        <w:rPr>
          <w:rFonts w:ascii="Times New Roman" w:hAnsi="Times New Roman" w:cs="Times New Roman"/>
          <w:sz w:val="22"/>
        </w:rPr>
        <w:t>, 107768. https://doi.org/10.1016/j.chb.2023.107768</w:t>
      </w:r>
    </w:p>
    <w:p w14:paraId="62F2AF04" w14:textId="09BCF5FB"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Fauziah, N. N., &amp; Bacha, A. M. (2021). </w:t>
      </w:r>
      <w:r w:rsidR="00405F0C" w:rsidRPr="00BF0936">
        <w:rPr>
          <w:rFonts w:ascii="Times New Roman" w:hAnsi="Times New Roman" w:cs="Times New Roman"/>
          <w:i/>
          <w:iCs/>
          <w:sz w:val="22"/>
        </w:rPr>
        <w:t xml:space="preserve">An Analysis </w:t>
      </w:r>
      <w:r w:rsidR="00405F0C" w:rsidRPr="00BF0936">
        <w:rPr>
          <w:rFonts w:ascii="Times New Roman" w:hAnsi="Times New Roman" w:cs="Times New Roman"/>
          <w:i/>
          <w:iCs/>
          <w:sz w:val="22"/>
          <w:lang w:val="en-US"/>
        </w:rPr>
        <w:t>o</w:t>
      </w:r>
      <w:r w:rsidR="00405F0C" w:rsidRPr="00BF0936">
        <w:rPr>
          <w:rFonts w:ascii="Times New Roman" w:hAnsi="Times New Roman" w:cs="Times New Roman"/>
          <w:i/>
          <w:iCs/>
          <w:sz w:val="22"/>
        </w:rPr>
        <w:t xml:space="preserve">f Cash Waqf Linked Sukuk For Socially Impactful Sustainable Projects </w:t>
      </w:r>
      <w:r w:rsidR="00405F0C" w:rsidRPr="00BF0936">
        <w:rPr>
          <w:rFonts w:ascii="Times New Roman" w:hAnsi="Times New Roman" w:cs="Times New Roman"/>
          <w:i/>
          <w:iCs/>
          <w:sz w:val="22"/>
          <w:lang w:val="en-US"/>
        </w:rPr>
        <w:t>i</w:t>
      </w:r>
      <w:r w:rsidR="00405F0C" w:rsidRPr="00BF0936">
        <w:rPr>
          <w:rFonts w:ascii="Times New Roman" w:hAnsi="Times New Roman" w:cs="Times New Roman"/>
          <w:i/>
          <w:iCs/>
          <w:sz w:val="22"/>
        </w:rPr>
        <w:t>n Indonesia</w:t>
      </w:r>
      <w:r w:rsidR="00405F0C" w:rsidRPr="00BF0936">
        <w:rPr>
          <w:rFonts w:ascii="Times New Roman" w:hAnsi="Times New Roman" w:cs="Times New Roman"/>
          <w:sz w:val="22"/>
        </w:rPr>
        <w:t xml:space="preserve">. </w:t>
      </w:r>
      <w:r w:rsidR="00405F0C" w:rsidRPr="00BF0936">
        <w:rPr>
          <w:rFonts w:ascii="Times New Roman" w:hAnsi="Times New Roman" w:cs="Times New Roman"/>
          <w:i/>
          <w:iCs/>
          <w:sz w:val="22"/>
        </w:rPr>
        <w:t>10</w:t>
      </w:r>
      <w:r w:rsidR="00405F0C" w:rsidRPr="00BF0936">
        <w:rPr>
          <w:rFonts w:ascii="Times New Roman" w:hAnsi="Times New Roman" w:cs="Times New Roman"/>
          <w:sz w:val="22"/>
        </w:rPr>
        <w:t>.</w:t>
      </w:r>
    </w:p>
    <w:p w14:paraId="133107A5"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Fukuyama, F. (1997). Social capital and the modern capitalist economy: Creating a high trust workplace. </w:t>
      </w:r>
      <w:r w:rsidRPr="00BF0936">
        <w:rPr>
          <w:rFonts w:ascii="Times New Roman" w:hAnsi="Times New Roman" w:cs="Times New Roman"/>
          <w:i/>
          <w:iCs/>
          <w:sz w:val="22"/>
        </w:rPr>
        <w:t>Stern Business Magazine</w:t>
      </w:r>
      <w:r w:rsidRPr="00BF0936">
        <w:rPr>
          <w:rFonts w:ascii="Times New Roman" w:hAnsi="Times New Roman" w:cs="Times New Roman"/>
          <w:sz w:val="22"/>
        </w:rPr>
        <w:t xml:space="preserve">, </w:t>
      </w:r>
      <w:r w:rsidRPr="00BF0936">
        <w:rPr>
          <w:rFonts w:ascii="Times New Roman" w:hAnsi="Times New Roman" w:cs="Times New Roman"/>
          <w:i/>
          <w:iCs/>
          <w:sz w:val="22"/>
        </w:rPr>
        <w:t>4</w:t>
      </w:r>
      <w:r w:rsidRPr="00BF0936">
        <w:rPr>
          <w:rFonts w:ascii="Times New Roman" w:hAnsi="Times New Roman" w:cs="Times New Roman"/>
          <w:sz w:val="22"/>
        </w:rPr>
        <w:t>(1), 1–16.</w:t>
      </w:r>
    </w:p>
    <w:p w14:paraId="5AFEFA97"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Galant, A., &amp; Cadez, S. (2017). Corporate social responsibility and financial performance relationship: A review of measurement approaches. </w:t>
      </w:r>
      <w:r w:rsidRPr="00BF0936">
        <w:rPr>
          <w:rFonts w:ascii="Times New Roman" w:hAnsi="Times New Roman" w:cs="Times New Roman"/>
          <w:i/>
          <w:iCs/>
          <w:sz w:val="22"/>
        </w:rPr>
        <w:t>Economic Research-Ekonomska Istrazivanja</w:t>
      </w:r>
      <w:r w:rsidRPr="00BF0936">
        <w:rPr>
          <w:rFonts w:ascii="Times New Roman" w:hAnsi="Times New Roman" w:cs="Times New Roman"/>
          <w:sz w:val="22"/>
        </w:rPr>
        <w:t xml:space="preserve">, </w:t>
      </w:r>
      <w:r w:rsidRPr="00BF0936">
        <w:rPr>
          <w:rFonts w:ascii="Times New Roman" w:hAnsi="Times New Roman" w:cs="Times New Roman"/>
          <w:i/>
          <w:iCs/>
          <w:sz w:val="22"/>
        </w:rPr>
        <w:t>30</w:t>
      </w:r>
      <w:r w:rsidRPr="00BF0936">
        <w:rPr>
          <w:rFonts w:ascii="Times New Roman" w:hAnsi="Times New Roman" w:cs="Times New Roman"/>
          <w:sz w:val="22"/>
        </w:rPr>
        <w:t>(1), 676–693. https://doi.org/10.1080/1331677X.2017.1313122</w:t>
      </w:r>
    </w:p>
    <w:p w14:paraId="02E04ECC"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Guiso, L., Sapienza, P., &amp; Zingales, L. (2004). The role of social capital in financial development. </w:t>
      </w:r>
      <w:r w:rsidRPr="00BF0936">
        <w:rPr>
          <w:rFonts w:ascii="Times New Roman" w:hAnsi="Times New Roman" w:cs="Times New Roman"/>
          <w:i/>
          <w:iCs/>
          <w:sz w:val="22"/>
        </w:rPr>
        <w:t>American Economic Review</w:t>
      </w:r>
      <w:r w:rsidRPr="00BF0936">
        <w:rPr>
          <w:rFonts w:ascii="Times New Roman" w:hAnsi="Times New Roman" w:cs="Times New Roman"/>
          <w:sz w:val="22"/>
        </w:rPr>
        <w:t xml:space="preserve">, </w:t>
      </w:r>
      <w:r w:rsidRPr="00BF0936">
        <w:rPr>
          <w:rFonts w:ascii="Times New Roman" w:hAnsi="Times New Roman" w:cs="Times New Roman"/>
          <w:i/>
          <w:iCs/>
          <w:sz w:val="22"/>
        </w:rPr>
        <w:t>94</w:t>
      </w:r>
      <w:r w:rsidRPr="00BF0936">
        <w:rPr>
          <w:rFonts w:ascii="Times New Roman" w:hAnsi="Times New Roman" w:cs="Times New Roman"/>
          <w:sz w:val="22"/>
        </w:rPr>
        <w:t>, 526–556.</w:t>
      </w:r>
    </w:p>
    <w:p w14:paraId="723B96B6"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Gzahli, N., Mutalib, H. A., &amp; Noor, A. M. (2023). </w:t>
      </w:r>
      <w:r w:rsidRPr="00BF0936">
        <w:rPr>
          <w:rFonts w:ascii="Times New Roman" w:hAnsi="Times New Roman" w:cs="Times New Roman"/>
          <w:i/>
          <w:iCs/>
          <w:sz w:val="22"/>
        </w:rPr>
        <w:t>Factors that Affect Community in Contributing to Cash Waqf for Economic Development: A Structured Review</w:t>
      </w:r>
      <w:r w:rsidRPr="00BF0936">
        <w:rPr>
          <w:rFonts w:ascii="Times New Roman" w:hAnsi="Times New Roman" w:cs="Times New Roman"/>
          <w:sz w:val="22"/>
        </w:rPr>
        <w:t>. 5–16. https://doi.org/10.2991/978-2-38476-076-3_2</w:t>
      </w:r>
    </w:p>
    <w:p w14:paraId="7311C392"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Harto, P., Warno, W., &amp; Achmad, T. (2022). The role of corporate social responsibility in increasing company growth through micro waqf bank as a solution for economic resilience in the pandemic. </w:t>
      </w:r>
      <w:r w:rsidRPr="00BF0936">
        <w:rPr>
          <w:rFonts w:ascii="Times New Roman" w:hAnsi="Times New Roman" w:cs="Times New Roman"/>
          <w:i/>
          <w:iCs/>
          <w:sz w:val="22"/>
        </w:rPr>
        <w:t>Journal of Islamic Accounting and Finance Research</w:t>
      </w:r>
      <w:r w:rsidRPr="00BF0936">
        <w:rPr>
          <w:rFonts w:ascii="Times New Roman" w:hAnsi="Times New Roman" w:cs="Times New Roman"/>
          <w:sz w:val="22"/>
        </w:rPr>
        <w:t xml:space="preserve">, </w:t>
      </w:r>
      <w:r w:rsidRPr="00BF0936">
        <w:rPr>
          <w:rFonts w:ascii="Times New Roman" w:hAnsi="Times New Roman" w:cs="Times New Roman"/>
          <w:i/>
          <w:iCs/>
          <w:sz w:val="22"/>
        </w:rPr>
        <w:t>4</w:t>
      </w:r>
      <w:r w:rsidRPr="00BF0936">
        <w:rPr>
          <w:rFonts w:ascii="Times New Roman" w:hAnsi="Times New Roman" w:cs="Times New Roman"/>
          <w:sz w:val="22"/>
        </w:rPr>
        <w:t>(1), Article 1.</w:t>
      </w:r>
    </w:p>
    <w:p w14:paraId="0B88A7C3"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Houqe, M. N., van Zijl, T., Karim, A. K. M. W., &amp; George, T. S. (2021). The value relevance of corporate donations. </w:t>
      </w:r>
      <w:r w:rsidRPr="00BF0936">
        <w:rPr>
          <w:rFonts w:ascii="Times New Roman" w:hAnsi="Times New Roman" w:cs="Times New Roman"/>
          <w:i/>
          <w:iCs/>
          <w:sz w:val="22"/>
        </w:rPr>
        <w:t>Pacific-Basin Finance Journal</w:t>
      </w:r>
      <w:r w:rsidRPr="00BF0936">
        <w:rPr>
          <w:rFonts w:ascii="Times New Roman" w:hAnsi="Times New Roman" w:cs="Times New Roman"/>
          <w:sz w:val="22"/>
        </w:rPr>
        <w:t xml:space="preserve">, </w:t>
      </w:r>
      <w:r w:rsidRPr="00BF0936">
        <w:rPr>
          <w:rFonts w:ascii="Times New Roman" w:hAnsi="Times New Roman" w:cs="Times New Roman"/>
          <w:i/>
          <w:iCs/>
          <w:sz w:val="22"/>
        </w:rPr>
        <w:t>66</w:t>
      </w:r>
      <w:r w:rsidRPr="00BF0936">
        <w:rPr>
          <w:rFonts w:ascii="Times New Roman" w:hAnsi="Times New Roman" w:cs="Times New Roman"/>
          <w:sz w:val="22"/>
        </w:rPr>
        <w:t>, 101127. https://doi.org/10.1016/j.pacfin.2019.03.004</w:t>
      </w:r>
    </w:p>
    <w:p w14:paraId="149890BA"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lastRenderedPageBreak/>
        <w:t xml:space="preserve">Johari, F., Alias, M. H., Shukor, S. A., Wahab, K. A., Ridhwan, M., Aziz, A., Ahmad, N., Kefeli, Z. Z., Hussin, F. A., &amp; Ibrahim, P. (2015). Factors That Influence Repeat Contribution Of Cash Waqf In Islamic Philantrophy. In </w:t>
      </w:r>
      <w:r w:rsidRPr="00BF0936">
        <w:rPr>
          <w:rFonts w:ascii="Times New Roman" w:hAnsi="Times New Roman" w:cs="Times New Roman"/>
          <w:i/>
          <w:iCs/>
          <w:sz w:val="22"/>
        </w:rPr>
        <w:t>Management &amp; Accounting Review (MAR)</w:t>
      </w:r>
      <w:r w:rsidRPr="00BF0936">
        <w:rPr>
          <w:rFonts w:ascii="Times New Roman" w:hAnsi="Times New Roman" w:cs="Times New Roman"/>
          <w:sz w:val="22"/>
        </w:rPr>
        <w:t xml:space="preserve"> (Vol. 14, Issue 2, pp. 55–78). https://doi.org/10.24191/MAR.V14I2.490</w:t>
      </w:r>
    </w:p>
    <w:p w14:paraId="3BF4DB7B"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Kirchgässner, G. (1992). Towards a theory of low-cost decisions. </w:t>
      </w:r>
      <w:r w:rsidRPr="00BF0936">
        <w:rPr>
          <w:rFonts w:ascii="Times New Roman" w:hAnsi="Times New Roman" w:cs="Times New Roman"/>
          <w:i/>
          <w:iCs/>
          <w:sz w:val="22"/>
        </w:rPr>
        <w:t>European Journal of Political Economy</w:t>
      </w:r>
      <w:r w:rsidRPr="00BF0936">
        <w:rPr>
          <w:rFonts w:ascii="Times New Roman" w:hAnsi="Times New Roman" w:cs="Times New Roman"/>
          <w:sz w:val="22"/>
        </w:rPr>
        <w:t xml:space="preserve">, </w:t>
      </w:r>
      <w:r w:rsidRPr="00BF0936">
        <w:rPr>
          <w:rFonts w:ascii="Times New Roman" w:hAnsi="Times New Roman" w:cs="Times New Roman"/>
          <w:i/>
          <w:iCs/>
          <w:sz w:val="22"/>
        </w:rPr>
        <w:t>8</w:t>
      </w:r>
      <w:r w:rsidRPr="00BF0936">
        <w:rPr>
          <w:rFonts w:ascii="Times New Roman" w:hAnsi="Times New Roman" w:cs="Times New Roman"/>
          <w:sz w:val="22"/>
        </w:rPr>
        <w:t>(2), 305–320. https://doi.org/10.1016/0176-2680(92)90028-F</w:t>
      </w:r>
    </w:p>
    <w:p w14:paraId="3B94C218" w14:textId="67F11873"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Laila, N., Ratnasari, R. T., Ismail, S., Mohd Hidzir, P. A., &amp; Mahphoth, M. H. (2022). The intention of small and medium enterprises</w:t>
      </w:r>
      <w:r w:rsidR="00983854" w:rsidRPr="00BF0936">
        <w:rPr>
          <w:rFonts w:ascii="Times New Roman" w:hAnsi="Times New Roman" w:cs="Times New Roman"/>
          <w:sz w:val="22"/>
        </w:rPr>
        <w:t>'</w:t>
      </w:r>
      <w:r w:rsidRPr="00BF0936">
        <w:rPr>
          <w:rFonts w:ascii="Times New Roman" w:hAnsi="Times New Roman" w:cs="Times New Roman"/>
          <w:sz w:val="22"/>
        </w:rPr>
        <w:t xml:space="preserve"> owners to participate in waqf: The case of Malaysia and Indonesia. </w:t>
      </w:r>
      <w:r w:rsidRPr="00BF0936">
        <w:rPr>
          <w:rFonts w:ascii="Times New Roman" w:hAnsi="Times New Roman" w:cs="Times New Roman"/>
          <w:i/>
          <w:iCs/>
          <w:sz w:val="22"/>
        </w:rPr>
        <w:t>International Journal of Islamic and Middle Eastern Finance and Management</w:t>
      </w:r>
      <w:r w:rsidRPr="00BF0936">
        <w:rPr>
          <w:rFonts w:ascii="Times New Roman" w:hAnsi="Times New Roman" w:cs="Times New Roman"/>
          <w:sz w:val="22"/>
        </w:rPr>
        <w:t xml:space="preserve">, </w:t>
      </w:r>
      <w:r w:rsidRPr="00BF0936">
        <w:rPr>
          <w:rFonts w:ascii="Times New Roman" w:hAnsi="Times New Roman" w:cs="Times New Roman"/>
          <w:i/>
          <w:iCs/>
          <w:sz w:val="22"/>
        </w:rPr>
        <w:t>16</w:t>
      </w:r>
      <w:r w:rsidRPr="00BF0936">
        <w:rPr>
          <w:rFonts w:ascii="Times New Roman" w:hAnsi="Times New Roman" w:cs="Times New Roman"/>
          <w:sz w:val="22"/>
        </w:rPr>
        <w:t>(3), 429–447. https://doi.org/10.1108/IMEFM-01-2022-0014</w:t>
      </w:r>
    </w:p>
    <w:p w14:paraId="54E6E656" w14:textId="741C1F8D"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Larsson, A., &amp; Viitaoja, Y. (2017). Building customer loyalty in digital banking: A study of bank staff</w:t>
      </w:r>
      <w:r w:rsidR="00983854" w:rsidRPr="00BF0936">
        <w:rPr>
          <w:rFonts w:ascii="Times New Roman" w:hAnsi="Times New Roman" w:cs="Times New Roman"/>
          <w:sz w:val="22"/>
        </w:rPr>
        <w:t>'</w:t>
      </w:r>
      <w:r w:rsidRPr="00BF0936">
        <w:rPr>
          <w:rFonts w:ascii="Times New Roman" w:hAnsi="Times New Roman" w:cs="Times New Roman"/>
          <w:sz w:val="22"/>
        </w:rPr>
        <w:t xml:space="preserve">s perspectives on the challenges of digital CRM and loyalty. </w:t>
      </w:r>
      <w:r w:rsidRPr="00BF0936">
        <w:rPr>
          <w:rFonts w:ascii="Times New Roman" w:hAnsi="Times New Roman" w:cs="Times New Roman"/>
          <w:i/>
          <w:iCs/>
          <w:sz w:val="22"/>
        </w:rPr>
        <w:t>International Journal of Bank Marketing</w:t>
      </w:r>
      <w:r w:rsidRPr="00BF0936">
        <w:rPr>
          <w:rFonts w:ascii="Times New Roman" w:hAnsi="Times New Roman" w:cs="Times New Roman"/>
          <w:sz w:val="22"/>
        </w:rPr>
        <w:t xml:space="preserve">, </w:t>
      </w:r>
      <w:r w:rsidRPr="00BF0936">
        <w:rPr>
          <w:rFonts w:ascii="Times New Roman" w:hAnsi="Times New Roman" w:cs="Times New Roman"/>
          <w:i/>
          <w:iCs/>
          <w:sz w:val="22"/>
        </w:rPr>
        <w:t>35</w:t>
      </w:r>
      <w:r w:rsidRPr="00BF0936">
        <w:rPr>
          <w:rFonts w:ascii="Times New Roman" w:hAnsi="Times New Roman" w:cs="Times New Roman"/>
          <w:sz w:val="22"/>
        </w:rPr>
        <w:t>, 858–877. https://doi.org/10.1108/IJBM-08-2016-0112</w:t>
      </w:r>
    </w:p>
    <w:p w14:paraId="391F665B"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Locke, R., Amengual, M., &amp; Mangla, A. (2009). Virtue out of Necessity? Compliance, Commitment, and the Improvement of Labor Conditions in Global Supply Chains. </w:t>
      </w:r>
      <w:r w:rsidRPr="00BF0936">
        <w:rPr>
          <w:rFonts w:ascii="Times New Roman" w:hAnsi="Times New Roman" w:cs="Times New Roman"/>
          <w:i/>
          <w:iCs/>
          <w:sz w:val="22"/>
        </w:rPr>
        <w:t>Politics &amp; Society</w:t>
      </w:r>
      <w:r w:rsidRPr="00BF0936">
        <w:rPr>
          <w:rFonts w:ascii="Times New Roman" w:hAnsi="Times New Roman" w:cs="Times New Roman"/>
          <w:sz w:val="22"/>
        </w:rPr>
        <w:t xml:space="preserve">, </w:t>
      </w:r>
      <w:r w:rsidRPr="00BF0936">
        <w:rPr>
          <w:rFonts w:ascii="Times New Roman" w:hAnsi="Times New Roman" w:cs="Times New Roman"/>
          <w:i/>
          <w:iCs/>
          <w:sz w:val="22"/>
        </w:rPr>
        <w:t>37</w:t>
      </w:r>
      <w:r w:rsidRPr="00BF0936">
        <w:rPr>
          <w:rFonts w:ascii="Times New Roman" w:hAnsi="Times New Roman" w:cs="Times New Roman"/>
          <w:sz w:val="22"/>
        </w:rPr>
        <w:t>(3), 319–351. https://doi.org/10.1177/0032329209338922</w:t>
      </w:r>
    </w:p>
    <w:p w14:paraId="04A6873B" w14:textId="7D4715E9"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Luo, X., &amp; Bhattacharya, C. B. (2006). Corporate Social Responsibility, Customer Satisfaction, and Market Value. </w:t>
      </w:r>
      <w:r w:rsidRPr="00BF0936">
        <w:rPr>
          <w:rFonts w:ascii="Times New Roman" w:hAnsi="Times New Roman" w:cs="Times New Roman"/>
          <w:i/>
          <w:iCs/>
          <w:sz w:val="22"/>
        </w:rPr>
        <w:t>Journal of Marketing</w:t>
      </w:r>
      <w:r w:rsidRPr="00BF0936">
        <w:rPr>
          <w:rFonts w:ascii="Times New Roman" w:hAnsi="Times New Roman" w:cs="Times New Roman"/>
          <w:sz w:val="22"/>
        </w:rPr>
        <w:t xml:space="preserve">, </w:t>
      </w:r>
      <w:r w:rsidRPr="00BF0936">
        <w:rPr>
          <w:rFonts w:ascii="Times New Roman" w:hAnsi="Times New Roman" w:cs="Times New Roman"/>
          <w:i/>
          <w:iCs/>
          <w:sz w:val="22"/>
        </w:rPr>
        <w:t>70</w:t>
      </w:r>
      <w:r w:rsidRPr="00BF0936">
        <w:rPr>
          <w:rFonts w:ascii="Times New Roman" w:hAnsi="Times New Roman" w:cs="Times New Roman"/>
          <w:sz w:val="22"/>
        </w:rPr>
        <w:t>(4), 1–18. https://doi.org/10.1509/jmkg.70.4.001</w:t>
      </w:r>
    </w:p>
    <w:p w14:paraId="2B207EF6" w14:textId="6F4584AA" w:rsidR="00F044C0" w:rsidRPr="00BF0936" w:rsidRDefault="00F044C0" w:rsidP="00F044C0">
      <w:pPr>
        <w:spacing w:after="0"/>
        <w:ind w:left="720" w:hanging="720"/>
        <w:jc w:val="both"/>
        <w:rPr>
          <w:rFonts w:ascii="Times New Roman" w:hAnsi="Times New Roman" w:cs="Times New Roman"/>
          <w:sz w:val="22"/>
        </w:rPr>
      </w:pPr>
      <w:r w:rsidRPr="00BF0936">
        <w:rPr>
          <w:rFonts w:ascii="Times New Roman" w:hAnsi="Times New Roman" w:cs="Times New Roman"/>
          <w:sz w:val="22"/>
        </w:rPr>
        <w:t>Liu, H., Han, P., &amp; Wang, S. (2023). Enhancing corporate social responsibility in the digital economy era: Evidence from China. Heliyon, 10(1), e23459. https://doi.org/10.1016/j.heliyon.2023.e23459</w:t>
      </w:r>
    </w:p>
    <w:p w14:paraId="039E9191" w14:textId="77777777" w:rsidR="00871A71" w:rsidRPr="00BF0936" w:rsidRDefault="00871A71" w:rsidP="00F044C0">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Makhrus, M. (2018). </w:t>
      </w:r>
      <w:r w:rsidRPr="00BF0936">
        <w:rPr>
          <w:rFonts w:ascii="Times New Roman" w:hAnsi="Times New Roman" w:cs="Times New Roman"/>
          <w:i/>
          <w:iCs/>
          <w:sz w:val="22"/>
        </w:rPr>
        <w:t>Social Media Based Islamic Philanthropy To Develop Philanthropy Awareness In Indonesia</w:t>
      </w:r>
      <w:r w:rsidRPr="00BF0936">
        <w:rPr>
          <w:rFonts w:ascii="Times New Roman" w:hAnsi="Times New Roman" w:cs="Times New Roman"/>
          <w:sz w:val="22"/>
        </w:rPr>
        <w:t>. 365–368. https://doi.org/10.2991/amca-18.2018.100</w:t>
      </w:r>
    </w:p>
    <w:p w14:paraId="754324D0" w14:textId="31356511"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Miles, M., Huberman, A., &amp; Saldaña, J. (2014). </w:t>
      </w:r>
      <w:r w:rsidRPr="00BF0936">
        <w:rPr>
          <w:rFonts w:ascii="Times New Roman" w:hAnsi="Times New Roman" w:cs="Times New Roman"/>
          <w:i/>
          <w:iCs/>
          <w:sz w:val="22"/>
        </w:rPr>
        <w:t>Qualitative data analysis: A methods sourcebook</w:t>
      </w:r>
      <w:r w:rsidRPr="00BF0936">
        <w:rPr>
          <w:rFonts w:ascii="Times New Roman" w:hAnsi="Times New Roman" w:cs="Times New Roman"/>
          <w:sz w:val="22"/>
        </w:rPr>
        <w:t xml:space="preserve"> (Vol. 112). Sage. </w:t>
      </w:r>
    </w:p>
    <w:p w14:paraId="2BE84829" w14:textId="214F9140"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Mohammad Isa, A. J., Anwar Allah, P., &amp; Sofri, Y. (2017). Cash Waqf and Preferred Methods of Payment: Cash of Malaysia Using an AHP Appro</w:t>
      </w:r>
      <w:r w:rsidR="00405F0C" w:rsidRPr="00BF0936">
        <w:rPr>
          <w:rFonts w:ascii="Times New Roman" w:hAnsi="Times New Roman" w:cs="Times New Roman"/>
          <w:sz w:val="22"/>
          <w:lang w:val="en-US"/>
        </w:rPr>
        <w:t>a</w:t>
      </w:r>
      <w:r w:rsidRPr="00BF0936">
        <w:rPr>
          <w:rFonts w:ascii="Times New Roman" w:hAnsi="Times New Roman" w:cs="Times New Roman"/>
          <w:sz w:val="22"/>
        </w:rPr>
        <w:t xml:space="preserve">ch Theme: Waqf Collection and Management Strategies. </w:t>
      </w:r>
      <w:r w:rsidRPr="00BF0936">
        <w:rPr>
          <w:rFonts w:ascii="Times New Roman" w:hAnsi="Times New Roman" w:cs="Times New Roman"/>
          <w:i/>
          <w:iCs/>
          <w:sz w:val="22"/>
        </w:rPr>
        <w:t>Reesearch Workshop on Revival of Waqf for Socio Economic Development</w:t>
      </w:r>
      <w:r w:rsidRPr="00BF0936">
        <w:rPr>
          <w:rFonts w:ascii="Times New Roman" w:hAnsi="Times New Roman" w:cs="Times New Roman"/>
          <w:sz w:val="22"/>
        </w:rPr>
        <w:t>. https://doi.org/10.1007/b97668</w:t>
      </w:r>
    </w:p>
    <w:p w14:paraId="09250578"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Mohd Hafiz Bin, H. F., Sofri, Y., Jalal Rajeh, H., Mohammad Sabri, H., &amp; Syaidatun Nazirah, A. Z. (2019). The Impact of Trust in Cash Waqf Contribution: A Case Study of Wakaf Selangor Muamalat (WSM) Service Of Bank Muamalat Malaysia Berhad (BMMB). </w:t>
      </w:r>
      <w:r w:rsidRPr="00BF0936">
        <w:rPr>
          <w:rFonts w:ascii="Times New Roman" w:hAnsi="Times New Roman" w:cs="Times New Roman"/>
          <w:i/>
          <w:iCs/>
          <w:sz w:val="22"/>
        </w:rPr>
        <w:t>International Journal of Business, Economics and Law</w:t>
      </w:r>
      <w:r w:rsidRPr="00BF0936">
        <w:rPr>
          <w:rFonts w:ascii="Times New Roman" w:hAnsi="Times New Roman" w:cs="Times New Roman"/>
          <w:sz w:val="22"/>
        </w:rPr>
        <w:t xml:space="preserve">, </w:t>
      </w:r>
      <w:r w:rsidRPr="00BF0936">
        <w:rPr>
          <w:rFonts w:ascii="Times New Roman" w:hAnsi="Times New Roman" w:cs="Times New Roman"/>
          <w:i/>
          <w:iCs/>
          <w:sz w:val="22"/>
        </w:rPr>
        <w:t>18</w:t>
      </w:r>
      <w:r w:rsidRPr="00BF0936">
        <w:rPr>
          <w:rFonts w:ascii="Times New Roman" w:hAnsi="Times New Roman" w:cs="Times New Roman"/>
          <w:sz w:val="22"/>
        </w:rPr>
        <w:t>(2), 1–10.</w:t>
      </w:r>
    </w:p>
    <w:p w14:paraId="6C4F8563"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Mohsin, I. A. (2015). Waqf and Islamic banking and Finance: The Missing link. </w:t>
      </w:r>
      <w:r w:rsidRPr="00BF0936">
        <w:rPr>
          <w:rFonts w:ascii="Times New Roman" w:hAnsi="Times New Roman" w:cs="Times New Roman"/>
          <w:i/>
          <w:iCs/>
          <w:sz w:val="22"/>
        </w:rPr>
        <w:t>Global Islamic Finance Report</w:t>
      </w:r>
      <w:r w:rsidRPr="00BF0936">
        <w:rPr>
          <w:rFonts w:ascii="Times New Roman" w:hAnsi="Times New Roman" w:cs="Times New Roman"/>
          <w:sz w:val="22"/>
        </w:rPr>
        <w:t xml:space="preserve">, </w:t>
      </w:r>
      <w:r w:rsidRPr="00BF0936">
        <w:rPr>
          <w:rFonts w:ascii="Times New Roman" w:hAnsi="Times New Roman" w:cs="Times New Roman"/>
          <w:i/>
          <w:iCs/>
          <w:sz w:val="22"/>
        </w:rPr>
        <w:t>2015</w:t>
      </w:r>
      <w:r w:rsidRPr="00BF0936">
        <w:rPr>
          <w:rFonts w:ascii="Times New Roman" w:hAnsi="Times New Roman" w:cs="Times New Roman"/>
          <w:sz w:val="22"/>
        </w:rPr>
        <w:t>, 113–121.</w:t>
      </w:r>
    </w:p>
    <w:p w14:paraId="41BD1B07"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lastRenderedPageBreak/>
        <w:t xml:space="preserve">Mohsin, M. I. A., &amp; Muneeza, A. (2019). Integrating waqf crowdfunding into the blockchain: A modern approach for creating a waqf market. In </w:t>
      </w:r>
      <w:r w:rsidRPr="00BF0936">
        <w:rPr>
          <w:rFonts w:ascii="Times New Roman" w:hAnsi="Times New Roman" w:cs="Times New Roman"/>
          <w:i/>
          <w:iCs/>
          <w:sz w:val="22"/>
        </w:rPr>
        <w:t>Fintech in Islamic Finance</w:t>
      </w:r>
      <w:r w:rsidRPr="00BF0936">
        <w:rPr>
          <w:rFonts w:ascii="Times New Roman" w:hAnsi="Times New Roman" w:cs="Times New Roman"/>
          <w:sz w:val="22"/>
        </w:rPr>
        <w:t>. Routledge.</w:t>
      </w:r>
    </w:p>
    <w:p w14:paraId="0EC2C352"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Moore, M. H. (1995). </w:t>
      </w:r>
      <w:r w:rsidRPr="00BF0936">
        <w:rPr>
          <w:rFonts w:ascii="Times New Roman" w:hAnsi="Times New Roman" w:cs="Times New Roman"/>
          <w:i/>
          <w:iCs/>
          <w:sz w:val="22"/>
        </w:rPr>
        <w:t>Creating Public Value: Strategic Management in Government</w:t>
      </w:r>
      <w:r w:rsidRPr="00BF0936">
        <w:rPr>
          <w:rFonts w:ascii="Times New Roman" w:hAnsi="Times New Roman" w:cs="Times New Roman"/>
          <w:sz w:val="22"/>
        </w:rPr>
        <w:t>. Harvard University Press.</w:t>
      </w:r>
    </w:p>
    <w:p w14:paraId="60CBEA38" w14:textId="75733C5B"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Muhammad Ridhwan, Ab. A., Fuadah, J., &amp; Mohd Asyraf, Y. (2013). Cash Waqf Models For Financing Education. </w:t>
      </w:r>
      <w:r w:rsidRPr="00BF0936">
        <w:rPr>
          <w:rFonts w:ascii="Times New Roman" w:hAnsi="Times New Roman" w:cs="Times New Roman"/>
          <w:i/>
          <w:iCs/>
          <w:sz w:val="22"/>
        </w:rPr>
        <w:t>The 5th Islamic Economic System Conference (iECONS 2013)</w:t>
      </w:r>
      <w:r w:rsidRPr="00BF0936">
        <w:rPr>
          <w:rFonts w:ascii="Times New Roman" w:hAnsi="Times New Roman" w:cs="Times New Roman"/>
          <w:sz w:val="22"/>
        </w:rPr>
        <w:t xml:space="preserve">. </w:t>
      </w:r>
    </w:p>
    <w:p w14:paraId="09E5407C"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Nunes, J. R. R., Silva, J. E. A. R. da, Moris, V. A. da S., &amp; Giannetti, B. F. (2019). Cleaner Production in small companies: Proposal of a management methodology. </w:t>
      </w:r>
      <w:r w:rsidRPr="00BF0936">
        <w:rPr>
          <w:rFonts w:ascii="Times New Roman" w:hAnsi="Times New Roman" w:cs="Times New Roman"/>
          <w:i/>
          <w:iCs/>
          <w:sz w:val="22"/>
        </w:rPr>
        <w:t>Journal of Cleaner Production</w:t>
      </w:r>
      <w:r w:rsidRPr="00BF0936">
        <w:rPr>
          <w:rFonts w:ascii="Times New Roman" w:hAnsi="Times New Roman" w:cs="Times New Roman"/>
          <w:sz w:val="22"/>
        </w:rPr>
        <w:t xml:space="preserve">, </w:t>
      </w:r>
      <w:r w:rsidRPr="00BF0936">
        <w:rPr>
          <w:rFonts w:ascii="Times New Roman" w:hAnsi="Times New Roman" w:cs="Times New Roman"/>
          <w:i/>
          <w:iCs/>
          <w:sz w:val="22"/>
        </w:rPr>
        <w:t>218</w:t>
      </w:r>
      <w:r w:rsidRPr="00BF0936">
        <w:rPr>
          <w:rFonts w:ascii="Times New Roman" w:hAnsi="Times New Roman" w:cs="Times New Roman"/>
          <w:sz w:val="22"/>
        </w:rPr>
        <w:t>, 357–366. https://doi.org/10.1016/j.jclepro.2019.01.219</w:t>
      </w:r>
    </w:p>
    <w:p w14:paraId="3AE79C3B"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Ozuem, W., Willis, M., &amp; Howell, K. (2022). Thematic analysis without paradox: Sensemaking and context. </w:t>
      </w:r>
      <w:r w:rsidRPr="00BF0936">
        <w:rPr>
          <w:rFonts w:ascii="Times New Roman" w:hAnsi="Times New Roman" w:cs="Times New Roman"/>
          <w:i/>
          <w:iCs/>
          <w:sz w:val="22"/>
        </w:rPr>
        <w:t>Qualitative Market Research</w:t>
      </w:r>
      <w:r w:rsidRPr="00BF0936">
        <w:rPr>
          <w:rFonts w:ascii="Times New Roman" w:hAnsi="Times New Roman" w:cs="Times New Roman"/>
          <w:sz w:val="22"/>
        </w:rPr>
        <w:t xml:space="preserve">, </w:t>
      </w:r>
      <w:r w:rsidRPr="00BF0936">
        <w:rPr>
          <w:rFonts w:ascii="Times New Roman" w:hAnsi="Times New Roman" w:cs="Times New Roman"/>
          <w:i/>
          <w:iCs/>
          <w:sz w:val="22"/>
        </w:rPr>
        <w:t>25</w:t>
      </w:r>
      <w:r w:rsidRPr="00BF0936">
        <w:rPr>
          <w:rFonts w:ascii="Times New Roman" w:hAnsi="Times New Roman" w:cs="Times New Roman"/>
          <w:sz w:val="22"/>
        </w:rPr>
        <w:t>(1), 143–157. https://doi.org/10.1108/QMR-07-2021-0092/REFERENCES</w:t>
      </w:r>
    </w:p>
    <w:p w14:paraId="62614C56" w14:textId="15A29873"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Park, J., Lee, H., &amp; Kim, C. (2014). Corporate social responsibilities, consumer trust and corporate reputation: South Korean consumers</w:t>
      </w:r>
      <w:r w:rsidR="00983854" w:rsidRPr="00BF0936">
        <w:rPr>
          <w:rFonts w:ascii="Times New Roman" w:hAnsi="Times New Roman" w:cs="Times New Roman"/>
          <w:sz w:val="22"/>
        </w:rPr>
        <w:t>'</w:t>
      </w:r>
      <w:r w:rsidRPr="00BF0936">
        <w:rPr>
          <w:rFonts w:ascii="Times New Roman" w:hAnsi="Times New Roman" w:cs="Times New Roman"/>
          <w:sz w:val="22"/>
        </w:rPr>
        <w:t xml:space="preserve"> perspectives. </w:t>
      </w:r>
      <w:r w:rsidRPr="00BF0936">
        <w:rPr>
          <w:rFonts w:ascii="Times New Roman" w:hAnsi="Times New Roman" w:cs="Times New Roman"/>
          <w:i/>
          <w:iCs/>
          <w:sz w:val="22"/>
        </w:rPr>
        <w:t>Journal of Business Research</w:t>
      </w:r>
      <w:r w:rsidRPr="00BF0936">
        <w:rPr>
          <w:rFonts w:ascii="Times New Roman" w:hAnsi="Times New Roman" w:cs="Times New Roman"/>
          <w:sz w:val="22"/>
        </w:rPr>
        <w:t xml:space="preserve">, </w:t>
      </w:r>
      <w:r w:rsidRPr="00BF0936">
        <w:rPr>
          <w:rFonts w:ascii="Times New Roman" w:hAnsi="Times New Roman" w:cs="Times New Roman"/>
          <w:i/>
          <w:iCs/>
          <w:sz w:val="22"/>
        </w:rPr>
        <w:t>67</w:t>
      </w:r>
      <w:r w:rsidRPr="00BF0936">
        <w:rPr>
          <w:rFonts w:ascii="Times New Roman" w:hAnsi="Times New Roman" w:cs="Times New Roman"/>
          <w:sz w:val="22"/>
        </w:rPr>
        <w:t>(3), 295–302. https://doi.org/10.1016/j.jbusres.2013.05.016</w:t>
      </w:r>
    </w:p>
    <w:p w14:paraId="49BA7554"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Pitchay, A. A., Meera, A. K. M., &amp; Saleem, M. Y. (2014). Priority of Waqf Development among Malaysian Cash Waqf Donors: An AHP Approach. </w:t>
      </w:r>
      <w:r w:rsidRPr="00BF0936">
        <w:rPr>
          <w:rFonts w:ascii="Times New Roman" w:hAnsi="Times New Roman" w:cs="Times New Roman"/>
          <w:i/>
          <w:iCs/>
          <w:sz w:val="22"/>
        </w:rPr>
        <w:t>Journal of Islamic Finance</w:t>
      </w:r>
      <w:r w:rsidRPr="00BF0936">
        <w:rPr>
          <w:rFonts w:ascii="Times New Roman" w:hAnsi="Times New Roman" w:cs="Times New Roman"/>
          <w:sz w:val="22"/>
        </w:rPr>
        <w:t xml:space="preserve">, </w:t>
      </w:r>
      <w:r w:rsidRPr="00BF0936">
        <w:rPr>
          <w:rFonts w:ascii="Times New Roman" w:hAnsi="Times New Roman" w:cs="Times New Roman"/>
          <w:i/>
          <w:iCs/>
          <w:sz w:val="22"/>
        </w:rPr>
        <w:t>3</w:t>
      </w:r>
      <w:r w:rsidRPr="00BF0936">
        <w:rPr>
          <w:rFonts w:ascii="Times New Roman" w:hAnsi="Times New Roman" w:cs="Times New Roman"/>
          <w:sz w:val="22"/>
        </w:rPr>
        <w:t>(1), Article 1. https://doi.org/10.31436/jif.v3i1.23</w:t>
      </w:r>
    </w:p>
    <w:p w14:paraId="1133FB8C"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Pivato, S., Misani, N., &amp; Tencati, A. (2007). The impact of corporate social responsibility on consumer trust: The case of organic food. </w:t>
      </w:r>
      <w:r w:rsidRPr="00BF0936">
        <w:rPr>
          <w:rFonts w:ascii="Times New Roman" w:hAnsi="Times New Roman" w:cs="Times New Roman"/>
          <w:i/>
          <w:iCs/>
          <w:sz w:val="22"/>
        </w:rPr>
        <w:t>Business Ethics: A European Review</w:t>
      </w:r>
      <w:r w:rsidRPr="00BF0936">
        <w:rPr>
          <w:rFonts w:ascii="Times New Roman" w:hAnsi="Times New Roman" w:cs="Times New Roman"/>
          <w:sz w:val="22"/>
        </w:rPr>
        <w:t xml:space="preserve">, </w:t>
      </w:r>
      <w:r w:rsidRPr="00BF0936">
        <w:rPr>
          <w:rFonts w:ascii="Times New Roman" w:hAnsi="Times New Roman" w:cs="Times New Roman"/>
          <w:i/>
          <w:iCs/>
          <w:sz w:val="22"/>
        </w:rPr>
        <w:t>17</w:t>
      </w:r>
      <w:r w:rsidRPr="00BF0936">
        <w:rPr>
          <w:rFonts w:ascii="Times New Roman" w:hAnsi="Times New Roman" w:cs="Times New Roman"/>
          <w:sz w:val="22"/>
        </w:rPr>
        <w:t>(1), 3–12. https://doi.org/10.1111/j.1467-8608.2008.00515.x</w:t>
      </w:r>
    </w:p>
    <w:p w14:paraId="1245F025"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Portes. (1998). Social Capital: Its origins and applications in modern sociology. </w:t>
      </w:r>
      <w:r w:rsidRPr="00BF0936">
        <w:rPr>
          <w:rFonts w:ascii="Times New Roman" w:hAnsi="Times New Roman" w:cs="Times New Roman"/>
          <w:i/>
          <w:iCs/>
          <w:sz w:val="22"/>
        </w:rPr>
        <w:t>Annual Review of Sociology</w:t>
      </w:r>
      <w:r w:rsidRPr="00BF0936">
        <w:rPr>
          <w:rFonts w:ascii="Times New Roman" w:hAnsi="Times New Roman" w:cs="Times New Roman"/>
          <w:sz w:val="22"/>
        </w:rPr>
        <w:t xml:space="preserve">, </w:t>
      </w:r>
      <w:r w:rsidRPr="00BF0936">
        <w:rPr>
          <w:rFonts w:ascii="Times New Roman" w:hAnsi="Times New Roman" w:cs="Times New Roman"/>
          <w:i/>
          <w:iCs/>
          <w:sz w:val="22"/>
        </w:rPr>
        <w:t>24</w:t>
      </w:r>
      <w:r w:rsidRPr="00BF0936">
        <w:rPr>
          <w:rFonts w:ascii="Times New Roman" w:hAnsi="Times New Roman" w:cs="Times New Roman"/>
          <w:sz w:val="22"/>
        </w:rPr>
        <w:t>, 1–24.</w:t>
      </w:r>
    </w:p>
    <w:p w14:paraId="201A7D75" w14:textId="54A5420B"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Putnam, R. D. (1995). Bowling Alone: America</w:t>
      </w:r>
      <w:r w:rsidR="00983854" w:rsidRPr="00BF0936">
        <w:rPr>
          <w:rFonts w:ascii="Times New Roman" w:hAnsi="Times New Roman" w:cs="Times New Roman"/>
          <w:sz w:val="22"/>
        </w:rPr>
        <w:t>'</w:t>
      </w:r>
      <w:r w:rsidRPr="00BF0936">
        <w:rPr>
          <w:rFonts w:ascii="Times New Roman" w:hAnsi="Times New Roman" w:cs="Times New Roman"/>
          <w:sz w:val="22"/>
        </w:rPr>
        <w:t xml:space="preserve">s Declining Social Capital. </w:t>
      </w:r>
      <w:r w:rsidRPr="00BF0936">
        <w:rPr>
          <w:rFonts w:ascii="Times New Roman" w:hAnsi="Times New Roman" w:cs="Times New Roman"/>
          <w:i/>
          <w:iCs/>
          <w:sz w:val="22"/>
        </w:rPr>
        <w:t>Journal of Democracy</w:t>
      </w:r>
      <w:r w:rsidRPr="00BF0936">
        <w:rPr>
          <w:rFonts w:ascii="Times New Roman" w:hAnsi="Times New Roman" w:cs="Times New Roman"/>
          <w:sz w:val="22"/>
        </w:rPr>
        <w:t xml:space="preserve">, </w:t>
      </w:r>
      <w:r w:rsidRPr="00BF0936">
        <w:rPr>
          <w:rFonts w:ascii="Times New Roman" w:hAnsi="Times New Roman" w:cs="Times New Roman"/>
          <w:i/>
          <w:iCs/>
          <w:sz w:val="22"/>
        </w:rPr>
        <w:t>6</w:t>
      </w:r>
      <w:r w:rsidRPr="00BF0936">
        <w:rPr>
          <w:rFonts w:ascii="Times New Roman" w:hAnsi="Times New Roman" w:cs="Times New Roman"/>
          <w:sz w:val="22"/>
        </w:rPr>
        <w:t>(1), 65–78.</w:t>
      </w:r>
    </w:p>
    <w:p w14:paraId="334BA5F4"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Qurrata, V. A., Yusida, E., Hussain, N. E., Merlinda, S., Purnamasari, V., &amp; Seprillina, L. (2021). </w:t>
      </w:r>
      <w:r w:rsidRPr="00BF0936">
        <w:rPr>
          <w:rFonts w:ascii="Times New Roman" w:hAnsi="Times New Roman" w:cs="Times New Roman"/>
          <w:i/>
          <w:iCs/>
          <w:sz w:val="22"/>
        </w:rPr>
        <w:t>Effectiveness of Cash Waqf Management in Improving Community Welfare: Challenges and Opportunities</w:t>
      </w:r>
      <w:r w:rsidRPr="00BF0936">
        <w:rPr>
          <w:rFonts w:ascii="Times New Roman" w:hAnsi="Times New Roman" w:cs="Times New Roman"/>
          <w:sz w:val="22"/>
        </w:rPr>
        <w:t xml:space="preserve">. </w:t>
      </w:r>
      <w:r w:rsidRPr="00BF0936">
        <w:rPr>
          <w:rFonts w:ascii="Times New Roman" w:hAnsi="Times New Roman" w:cs="Times New Roman"/>
          <w:i/>
          <w:iCs/>
          <w:sz w:val="22"/>
        </w:rPr>
        <w:t>10</w:t>
      </w:r>
      <w:r w:rsidRPr="00BF0936">
        <w:rPr>
          <w:rFonts w:ascii="Times New Roman" w:hAnsi="Times New Roman" w:cs="Times New Roman"/>
          <w:sz w:val="22"/>
        </w:rPr>
        <w:t>(1).</w:t>
      </w:r>
    </w:p>
    <w:p w14:paraId="782A612C"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Raimi, L., Patel, A., &amp; Adelopo, I. (2014). Corporate social responsibility, Waqf system and Zakat system as faith-based model for poverty reduction. </w:t>
      </w:r>
      <w:r w:rsidRPr="00BF0936">
        <w:rPr>
          <w:rFonts w:ascii="Times New Roman" w:hAnsi="Times New Roman" w:cs="Times New Roman"/>
          <w:i/>
          <w:iCs/>
          <w:sz w:val="22"/>
        </w:rPr>
        <w:t>World Journal of Entrepreneurship, Management and Sustainable Development</w:t>
      </w:r>
      <w:r w:rsidRPr="00BF0936">
        <w:rPr>
          <w:rFonts w:ascii="Times New Roman" w:hAnsi="Times New Roman" w:cs="Times New Roman"/>
          <w:sz w:val="22"/>
        </w:rPr>
        <w:t xml:space="preserve">, </w:t>
      </w:r>
      <w:r w:rsidRPr="00BF0936">
        <w:rPr>
          <w:rFonts w:ascii="Times New Roman" w:hAnsi="Times New Roman" w:cs="Times New Roman"/>
          <w:i/>
          <w:iCs/>
          <w:sz w:val="22"/>
        </w:rPr>
        <w:t>10</w:t>
      </w:r>
      <w:r w:rsidRPr="00BF0936">
        <w:rPr>
          <w:rFonts w:ascii="Times New Roman" w:hAnsi="Times New Roman" w:cs="Times New Roman"/>
          <w:sz w:val="22"/>
        </w:rPr>
        <w:t>(3), 228–242. https://doi.org/10.1108/wjemsd-09-2013-0052</w:t>
      </w:r>
    </w:p>
    <w:p w14:paraId="0CDEC588"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Raja Adnan, R. A. binti, Abdul Mutalib, M., &amp; Ab Aziz, M. R. (2021). Factors necessary for effective corporate waqf management for Malaysian public healthcare. </w:t>
      </w:r>
      <w:r w:rsidRPr="00BF0936">
        <w:rPr>
          <w:rFonts w:ascii="Times New Roman" w:hAnsi="Times New Roman" w:cs="Times New Roman"/>
          <w:i/>
          <w:iCs/>
          <w:sz w:val="22"/>
        </w:rPr>
        <w:t>ISRA International Journal of Islamic Finance</w:t>
      </w:r>
      <w:r w:rsidRPr="00BF0936">
        <w:rPr>
          <w:rFonts w:ascii="Times New Roman" w:hAnsi="Times New Roman" w:cs="Times New Roman"/>
          <w:sz w:val="22"/>
        </w:rPr>
        <w:t xml:space="preserve">, </w:t>
      </w:r>
      <w:r w:rsidRPr="00BF0936">
        <w:rPr>
          <w:rFonts w:ascii="Times New Roman" w:hAnsi="Times New Roman" w:cs="Times New Roman"/>
          <w:i/>
          <w:iCs/>
          <w:sz w:val="22"/>
        </w:rPr>
        <w:t>14</w:t>
      </w:r>
      <w:r w:rsidRPr="00BF0936">
        <w:rPr>
          <w:rFonts w:ascii="Times New Roman" w:hAnsi="Times New Roman" w:cs="Times New Roman"/>
          <w:sz w:val="22"/>
        </w:rPr>
        <w:t>(1), 73–88. https://doi.org/10.1108/IJIF-11-2019-0178</w:t>
      </w:r>
    </w:p>
    <w:p w14:paraId="594C9F49"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lastRenderedPageBreak/>
        <w:t xml:space="preserve">Richards, L., &amp; Richards, T. (1991). </w:t>
      </w:r>
      <w:r w:rsidRPr="00BF0936">
        <w:rPr>
          <w:rFonts w:ascii="Times New Roman" w:hAnsi="Times New Roman" w:cs="Times New Roman"/>
          <w:i/>
          <w:iCs/>
          <w:sz w:val="22"/>
        </w:rPr>
        <w:t>The Transformation of Qualitative Method: Computational Paradigms and Research Processes</w:t>
      </w:r>
      <w:r w:rsidRPr="00BF0936">
        <w:rPr>
          <w:rFonts w:ascii="Times New Roman" w:hAnsi="Times New Roman" w:cs="Times New Roman"/>
          <w:sz w:val="22"/>
        </w:rPr>
        <w:t xml:space="preserve"> (pp. 38–53). Sage.</w:t>
      </w:r>
    </w:p>
    <w:p w14:paraId="6B87AC27"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Rogers. (2003). </w:t>
      </w:r>
      <w:r w:rsidRPr="00BF0936">
        <w:rPr>
          <w:rFonts w:ascii="Times New Roman" w:hAnsi="Times New Roman" w:cs="Times New Roman"/>
          <w:i/>
          <w:iCs/>
          <w:sz w:val="22"/>
        </w:rPr>
        <w:t>Diffusion of innovations</w:t>
      </w:r>
      <w:r w:rsidRPr="00BF0936">
        <w:rPr>
          <w:rFonts w:ascii="Times New Roman" w:hAnsi="Times New Roman" w:cs="Times New Roman"/>
          <w:sz w:val="22"/>
        </w:rPr>
        <w:t xml:space="preserve"> (4th ed.). Mc Graw Hill.</w:t>
      </w:r>
    </w:p>
    <w:p w14:paraId="4EE43EF1"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Rusydiana, A. S., &amp; Devi, A. (2014). Analysis of Cash Waqf Fund Management in Indonesia: An Analytic Network Process (ANP) Method Approach. </w:t>
      </w:r>
      <w:r w:rsidRPr="00BF0936">
        <w:rPr>
          <w:rFonts w:ascii="Times New Roman" w:hAnsi="Times New Roman" w:cs="Times New Roman"/>
          <w:i/>
          <w:iCs/>
          <w:sz w:val="22"/>
        </w:rPr>
        <w:t>In 2nd ASEAN International Conference on Islamic Finance (AICIF)</w:t>
      </w:r>
      <w:r w:rsidRPr="00BF0936">
        <w:rPr>
          <w:rFonts w:ascii="Times New Roman" w:hAnsi="Times New Roman" w:cs="Times New Roman"/>
          <w:sz w:val="22"/>
        </w:rPr>
        <w:t>.</w:t>
      </w:r>
    </w:p>
    <w:p w14:paraId="254F773F"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Seeger, Henryk. J. (2019). Contribution about Social Responsibility for Business Organizations: Implementing the Micro-donation. </w:t>
      </w:r>
      <w:r w:rsidRPr="00BF0936">
        <w:rPr>
          <w:rFonts w:ascii="Times New Roman" w:hAnsi="Times New Roman" w:cs="Times New Roman"/>
          <w:i/>
          <w:iCs/>
          <w:sz w:val="22"/>
        </w:rPr>
        <w:t>Journal of Management Pracice, Humanities and Social Sciences</w:t>
      </w:r>
      <w:r w:rsidRPr="00BF0936">
        <w:rPr>
          <w:rFonts w:ascii="Times New Roman" w:hAnsi="Times New Roman" w:cs="Times New Roman"/>
          <w:sz w:val="22"/>
        </w:rPr>
        <w:t xml:space="preserve">, </w:t>
      </w:r>
      <w:r w:rsidRPr="00BF0936">
        <w:rPr>
          <w:rFonts w:ascii="Times New Roman" w:hAnsi="Times New Roman" w:cs="Times New Roman"/>
          <w:i/>
          <w:iCs/>
          <w:sz w:val="22"/>
        </w:rPr>
        <w:t>3</w:t>
      </w:r>
      <w:r w:rsidRPr="00BF0936">
        <w:rPr>
          <w:rFonts w:ascii="Times New Roman" w:hAnsi="Times New Roman" w:cs="Times New Roman"/>
          <w:sz w:val="22"/>
        </w:rPr>
        <w:t>(2).</w:t>
      </w:r>
    </w:p>
    <w:p w14:paraId="749E819A"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Shukor, S. A., Anwar, I. F., Aziz, S. A., &amp; Sabri, H. (2017). Muslim Attitudes Towards Participation in Cash Waqf: Antecedents and Consequences. In </w:t>
      </w:r>
      <w:r w:rsidRPr="00BF0936">
        <w:rPr>
          <w:rFonts w:ascii="Times New Roman" w:hAnsi="Times New Roman" w:cs="Times New Roman"/>
          <w:i/>
          <w:iCs/>
          <w:sz w:val="22"/>
        </w:rPr>
        <w:t>International Journal of Business and Society</w:t>
      </w:r>
      <w:r w:rsidRPr="00BF0936">
        <w:rPr>
          <w:rFonts w:ascii="Times New Roman" w:hAnsi="Times New Roman" w:cs="Times New Roman"/>
          <w:sz w:val="22"/>
        </w:rPr>
        <w:t xml:space="preserve"> (Vol. 18, pp. 193–204).</w:t>
      </w:r>
    </w:p>
    <w:p w14:paraId="7FDEE95A" w14:textId="4E43FBB4"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Soemitra, A., Kusmilawaty, &amp; Rahma, T. I. F. (2022). The Role of Micro Waqf Bank in Women</w:t>
      </w:r>
      <w:r w:rsidR="00983854" w:rsidRPr="00BF0936">
        <w:rPr>
          <w:rFonts w:ascii="Times New Roman" w:hAnsi="Times New Roman" w:cs="Times New Roman"/>
          <w:sz w:val="22"/>
        </w:rPr>
        <w:t>'</w:t>
      </w:r>
      <w:r w:rsidRPr="00BF0936">
        <w:rPr>
          <w:rFonts w:ascii="Times New Roman" w:hAnsi="Times New Roman" w:cs="Times New Roman"/>
          <w:sz w:val="22"/>
        </w:rPr>
        <w:t xml:space="preserve">s Micro-Business Empowerment through Islamic Social Finance: Mixed-Method Evidence from Mawaridussalam Indonesia. </w:t>
      </w:r>
      <w:r w:rsidRPr="00BF0936">
        <w:rPr>
          <w:rFonts w:ascii="Times New Roman" w:hAnsi="Times New Roman" w:cs="Times New Roman"/>
          <w:i/>
          <w:iCs/>
          <w:sz w:val="22"/>
        </w:rPr>
        <w:t>Economies</w:t>
      </w:r>
      <w:r w:rsidRPr="00BF0936">
        <w:rPr>
          <w:rFonts w:ascii="Times New Roman" w:hAnsi="Times New Roman" w:cs="Times New Roman"/>
          <w:sz w:val="22"/>
        </w:rPr>
        <w:t xml:space="preserve">, </w:t>
      </w:r>
      <w:r w:rsidRPr="00BF0936">
        <w:rPr>
          <w:rFonts w:ascii="Times New Roman" w:hAnsi="Times New Roman" w:cs="Times New Roman"/>
          <w:i/>
          <w:iCs/>
          <w:sz w:val="22"/>
        </w:rPr>
        <w:t>10</w:t>
      </w:r>
      <w:r w:rsidRPr="00BF0936">
        <w:rPr>
          <w:rFonts w:ascii="Times New Roman" w:hAnsi="Times New Roman" w:cs="Times New Roman"/>
          <w:sz w:val="22"/>
        </w:rPr>
        <w:t>(7), Article 7. https://doi.org/10.3390/economies10070157</w:t>
      </w:r>
    </w:p>
    <w:p w14:paraId="25AB1E01"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Spagnolo, G. (1999). Social relations and cooperation in organizations. </w:t>
      </w:r>
      <w:r w:rsidRPr="00BF0936">
        <w:rPr>
          <w:rFonts w:ascii="Times New Roman" w:hAnsi="Times New Roman" w:cs="Times New Roman"/>
          <w:i/>
          <w:iCs/>
          <w:sz w:val="22"/>
        </w:rPr>
        <w:t>Journal of Economic Behavior &amp; Organization</w:t>
      </w:r>
      <w:r w:rsidRPr="00BF0936">
        <w:rPr>
          <w:rFonts w:ascii="Times New Roman" w:hAnsi="Times New Roman" w:cs="Times New Roman"/>
          <w:sz w:val="22"/>
        </w:rPr>
        <w:t xml:space="preserve">, </w:t>
      </w:r>
      <w:r w:rsidRPr="00BF0936">
        <w:rPr>
          <w:rFonts w:ascii="Times New Roman" w:hAnsi="Times New Roman" w:cs="Times New Roman"/>
          <w:i/>
          <w:iCs/>
          <w:sz w:val="22"/>
        </w:rPr>
        <w:t>38</w:t>
      </w:r>
      <w:r w:rsidRPr="00BF0936">
        <w:rPr>
          <w:rFonts w:ascii="Times New Roman" w:hAnsi="Times New Roman" w:cs="Times New Roman"/>
          <w:sz w:val="22"/>
        </w:rPr>
        <w:t>(1), 1–25. https://doi.org/10.1016/S0167-2681(98)00119-X</w:t>
      </w:r>
    </w:p>
    <w:p w14:paraId="30AACD07" w14:textId="77BCC8E6"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Susamto, A. A., Bisri, M., Masyhadi, A. R., &amp; Susamto, B. (2024). Redefining Boundaries: The Case for Enterprise-Structured Waqf Over Corporate Waqf. </w:t>
      </w:r>
      <w:r w:rsidRPr="00BF0936">
        <w:rPr>
          <w:rFonts w:ascii="Times New Roman" w:hAnsi="Times New Roman" w:cs="Times New Roman"/>
          <w:i/>
          <w:iCs/>
          <w:sz w:val="22"/>
        </w:rPr>
        <w:t>ISRA International Journal of Islamic Finance</w:t>
      </w:r>
      <w:r w:rsidRPr="00BF0936">
        <w:rPr>
          <w:rFonts w:ascii="Times New Roman" w:hAnsi="Times New Roman" w:cs="Times New Roman"/>
          <w:sz w:val="22"/>
        </w:rPr>
        <w:t xml:space="preserve">, </w:t>
      </w:r>
      <w:r w:rsidRPr="00BF0936">
        <w:rPr>
          <w:rFonts w:ascii="Times New Roman" w:hAnsi="Times New Roman" w:cs="Times New Roman"/>
          <w:i/>
          <w:iCs/>
          <w:sz w:val="22"/>
        </w:rPr>
        <w:t>16</w:t>
      </w:r>
      <w:r w:rsidRPr="00BF0936">
        <w:rPr>
          <w:rFonts w:ascii="Times New Roman" w:hAnsi="Times New Roman" w:cs="Times New Roman"/>
          <w:sz w:val="22"/>
        </w:rPr>
        <w:t>(S1), Article S1. https://doi.org/10.55188/ijif.v16iS1.759</w:t>
      </w:r>
    </w:p>
    <w:p w14:paraId="20741CD7" w14:textId="39FDC8C0" w:rsidR="007D789B" w:rsidRPr="00BF0936" w:rsidRDefault="007D789B" w:rsidP="007D789B">
      <w:pPr>
        <w:spacing w:after="0"/>
        <w:ind w:left="720" w:hanging="720"/>
        <w:rPr>
          <w:rFonts w:ascii="Times New Roman" w:hAnsi="Times New Roman" w:cs="Times New Roman"/>
          <w:sz w:val="22"/>
        </w:rPr>
      </w:pPr>
      <w:r w:rsidRPr="00BF0936">
        <w:rPr>
          <w:rFonts w:ascii="Times New Roman" w:hAnsi="Times New Roman" w:cs="Times New Roman"/>
          <w:sz w:val="22"/>
        </w:rPr>
        <w:t>Sudi, D. M. (2025). Innovation in Islamic Social Finance: Integration of digital Waqf and Sharia Crowdfunding in Indonesia. West Science Islamic Studies, 3(02), 118–124. https://doi.org/10.58812/wsiss.v3i02.1834</w:t>
      </w:r>
    </w:p>
    <w:p w14:paraId="23885605" w14:textId="77777777" w:rsidR="00871A71" w:rsidRPr="00BF0936" w:rsidRDefault="00871A71" w:rsidP="007D789B">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Thrift, N. (1997). The Rise of Soft Capitalism. </w:t>
      </w:r>
      <w:r w:rsidRPr="00BF0936">
        <w:rPr>
          <w:rFonts w:ascii="Times New Roman" w:hAnsi="Times New Roman" w:cs="Times New Roman"/>
          <w:i/>
          <w:iCs/>
          <w:sz w:val="22"/>
        </w:rPr>
        <w:t>Cultural Values</w:t>
      </w:r>
      <w:r w:rsidRPr="00BF0936">
        <w:rPr>
          <w:rFonts w:ascii="Times New Roman" w:hAnsi="Times New Roman" w:cs="Times New Roman"/>
          <w:sz w:val="22"/>
        </w:rPr>
        <w:t xml:space="preserve">, </w:t>
      </w:r>
      <w:r w:rsidRPr="00BF0936">
        <w:rPr>
          <w:rFonts w:ascii="Times New Roman" w:hAnsi="Times New Roman" w:cs="Times New Roman"/>
          <w:i/>
          <w:iCs/>
          <w:sz w:val="22"/>
        </w:rPr>
        <w:t>1</w:t>
      </w:r>
      <w:r w:rsidRPr="00BF0936">
        <w:rPr>
          <w:rFonts w:ascii="Times New Roman" w:hAnsi="Times New Roman" w:cs="Times New Roman"/>
          <w:sz w:val="22"/>
        </w:rPr>
        <w:t>(1), 29–57. https://doi.org/10.1080/14797589709367133</w:t>
      </w:r>
    </w:p>
    <w:p w14:paraId="4058B470" w14:textId="4B5D59CB"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Wajdi Dusuki, A. (2008). Understanding the objectives of Islamic banking: A survey of stakeholders</w:t>
      </w:r>
      <w:r w:rsidR="00983854" w:rsidRPr="00BF0936">
        <w:rPr>
          <w:rFonts w:ascii="Times New Roman" w:hAnsi="Times New Roman" w:cs="Times New Roman"/>
          <w:sz w:val="22"/>
        </w:rPr>
        <w:t>'</w:t>
      </w:r>
      <w:r w:rsidRPr="00BF0936">
        <w:rPr>
          <w:rFonts w:ascii="Times New Roman" w:hAnsi="Times New Roman" w:cs="Times New Roman"/>
          <w:sz w:val="22"/>
        </w:rPr>
        <w:t xml:space="preserve"> perspectives. </w:t>
      </w:r>
      <w:r w:rsidRPr="00BF0936">
        <w:rPr>
          <w:rFonts w:ascii="Times New Roman" w:hAnsi="Times New Roman" w:cs="Times New Roman"/>
          <w:i/>
          <w:iCs/>
          <w:sz w:val="22"/>
        </w:rPr>
        <w:t>International Journal of Islamic and Middle Eastern Finance and Management</w:t>
      </w:r>
      <w:r w:rsidRPr="00BF0936">
        <w:rPr>
          <w:rFonts w:ascii="Times New Roman" w:hAnsi="Times New Roman" w:cs="Times New Roman"/>
          <w:sz w:val="22"/>
        </w:rPr>
        <w:t xml:space="preserve">, </w:t>
      </w:r>
      <w:r w:rsidRPr="00BF0936">
        <w:rPr>
          <w:rFonts w:ascii="Times New Roman" w:hAnsi="Times New Roman" w:cs="Times New Roman"/>
          <w:i/>
          <w:iCs/>
          <w:sz w:val="22"/>
        </w:rPr>
        <w:t>1</w:t>
      </w:r>
      <w:r w:rsidRPr="00BF0936">
        <w:rPr>
          <w:rFonts w:ascii="Times New Roman" w:hAnsi="Times New Roman" w:cs="Times New Roman"/>
          <w:sz w:val="22"/>
        </w:rPr>
        <w:t>(2), 132–148. https://doi.org/10.1108/17538390810880982/FULL/XML</w:t>
      </w:r>
    </w:p>
    <w:p w14:paraId="260F167D"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Wang, H., Tong, L., Takeuchi, R., &amp; George, G. (2016). Corporate Social Responsibility: An Overview and New Research Directions. </w:t>
      </w:r>
      <w:r w:rsidRPr="00BF0936">
        <w:rPr>
          <w:rFonts w:ascii="Times New Roman" w:hAnsi="Times New Roman" w:cs="Times New Roman"/>
          <w:i/>
          <w:iCs/>
          <w:sz w:val="22"/>
        </w:rPr>
        <w:t>Academy of Management Journal</w:t>
      </w:r>
      <w:r w:rsidRPr="00BF0936">
        <w:rPr>
          <w:rFonts w:ascii="Times New Roman" w:hAnsi="Times New Roman" w:cs="Times New Roman"/>
          <w:sz w:val="22"/>
        </w:rPr>
        <w:t xml:space="preserve">, </w:t>
      </w:r>
      <w:r w:rsidRPr="00BF0936">
        <w:rPr>
          <w:rFonts w:ascii="Times New Roman" w:hAnsi="Times New Roman" w:cs="Times New Roman"/>
          <w:i/>
          <w:iCs/>
          <w:sz w:val="22"/>
        </w:rPr>
        <w:t>59</w:t>
      </w:r>
      <w:r w:rsidRPr="00BF0936">
        <w:rPr>
          <w:rFonts w:ascii="Times New Roman" w:hAnsi="Times New Roman" w:cs="Times New Roman"/>
          <w:sz w:val="22"/>
        </w:rPr>
        <w:t>(2), 534–544. https://doi.org/10.5465/amj.2016.5001</w:t>
      </w:r>
    </w:p>
    <w:p w14:paraId="2BDE7F2C" w14:textId="12F627F6"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Woolcock, M. (2001). The Place of Social Capital in Understanding Social and Economic Outcomes. </w:t>
      </w:r>
      <w:r w:rsidRPr="00BF0936">
        <w:rPr>
          <w:rFonts w:ascii="Times New Roman" w:hAnsi="Times New Roman" w:cs="Times New Roman"/>
          <w:i/>
          <w:iCs/>
          <w:sz w:val="22"/>
        </w:rPr>
        <w:t>Canadian Journal of Policy Research</w:t>
      </w:r>
      <w:r w:rsidRPr="00BF0936">
        <w:rPr>
          <w:rFonts w:ascii="Times New Roman" w:hAnsi="Times New Roman" w:cs="Times New Roman"/>
          <w:sz w:val="22"/>
        </w:rPr>
        <w:t xml:space="preserve">, </w:t>
      </w:r>
      <w:r w:rsidRPr="00BF0936">
        <w:rPr>
          <w:rFonts w:ascii="Times New Roman" w:hAnsi="Times New Roman" w:cs="Times New Roman"/>
          <w:i/>
          <w:iCs/>
          <w:sz w:val="22"/>
        </w:rPr>
        <w:t>2</w:t>
      </w:r>
      <w:r w:rsidRPr="00BF0936">
        <w:rPr>
          <w:rFonts w:ascii="Times New Roman" w:hAnsi="Times New Roman" w:cs="Times New Roman"/>
          <w:sz w:val="22"/>
        </w:rPr>
        <w:t>, 11–17.</w:t>
      </w:r>
    </w:p>
    <w:p w14:paraId="0867BCAC" w14:textId="3A572E33" w:rsidR="008808BE" w:rsidRPr="00BF0936" w:rsidRDefault="008808BE" w:rsidP="008808BE">
      <w:pPr>
        <w:spacing w:after="0"/>
        <w:ind w:left="720" w:hanging="720"/>
        <w:jc w:val="both"/>
        <w:rPr>
          <w:rFonts w:ascii="Times New Roman" w:hAnsi="Times New Roman" w:cs="Times New Roman"/>
          <w:sz w:val="22"/>
        </w:rPr>
      </w:pPr>
      <w:r w:rsidRPr="00BF0936">
        <w:rPr>
          <w:rFonts w:ascii="Times New Roman" w:hAnsi="Times New Roman" w:cs="Times New Roman"/>
          <w:sz w:val="22"/>
        </w:rPr>
        <w:t>Xu, S., Li, W., &amp; Zhang, W. (2021). The Dynamics of Social Capital: Examining the Reciprocity between Network Features and Social Support. Journal of Computer-Mediated Communication, 26(6), 362–383. https://doi.org/10.1093/jcmc/zmab014</w:t>
      </w:r>
    </w:p>
    <w:p w14:paraId="11C17296" w14:textId="77777777" w:rsidR="00871A71" w:rsidRPr="00BF0936" w:rsidRDefault="00871A71" w:rsidP="008808BE">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Yáñez-Araque, B., Sánchez-Infante Hernández, J. P., Gutiérrez-Broncano, S., &amp; Jiménez-Estévez, P. (2021). Corporate social responsibility in micro-, </w:t>
      </w:r>
      <w:r w:rsidRPr="00BF0936">
        <w:rPr>
          <w:rFonts w:ascii="Times New Roman" w:hAnsi="Times New Roman" w:cs="Times New Roman"/>
          <w:sz w:val="22"/>
        </w:rPr>
        <w:lastRenderedPageBreak/>
        <w:t xml:space="preserve">small- and medium-sized enterprises: Multigroup analysis of family vs. Nonfamily firms. </w:t>
      </w:r>
      <w:r w:rsidRPr="00BF0936">
        <w:rPr>
          <w:rFonts w:ascii="Times New Roman" w:hAnsi="Times New Roman" w:cs="Times New Roman"/>
          <w:i/>
          <w:iCs/>
          <w:sz w:val="22"/>
        </w:rPr>
        <w:t>Journal of Business Research</w:t>
      </w:r>
      <w:r w:rsidRPr="00BF0936">
        <w:rPr>
          <w:rFonts w:ascii="Times New Roman" w:hAnsi="Times New Roman" w:cs="Times New Roman"/>
          <w:sz w:val="22"/>
        </w:rPr>
        <w:t xml:space="preserve">, </w:t>
      </w:r>
      <w:r w:rsidRPr="00BF0936">
        <w:rPr>
          <w:rFonts w:ascii="Times New Roman" w:hAnsi="Times New Roman" w:cs="Times New Roman"/>
          <w:i/>
          <w:iCs/>
          <w:sz w:val="22"/>
        </w:rPr>
        <w:t>124</w:t>
      </w:r>
      <w:r w:rsidRPr="00BF0936">
        <w:rPr>
          <w:rFonts w:ascii="Times New Roman" w:hAnsi="Times New Roman" w:cs="Times New Roman"/>
          <w:sz w:val="22"/>
        </w:rPr>
        <w:t>, 581–592. https://doi.org/10.1016/j.jbusres.2020.10.023</w:t>
      </w:r>
    </w:p>
    <w:p w14:paraId="45558F6D"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Yu, L., Zhao, D., Xue, Z., &amp; Gao, Y. (2020). Research on the use of digital finance and the adoption of green control techniques by family farms in China. </w:t>
      </w:r>
      <w:r w:rsidRPr="00BF0936">
        <w:rPr>
          <w:rFonts w:ascii="Times New Roman" w:hAnsi="Times New Roman" w:cs="Times New Roman"/>
          <w:i/>
          <w:iCs/>
          <w:sz w:val="22"/>
        </w:rPr>
        <w:t>Technology in Society</w:t>
      </w:r>
      <w:r w:rsidRPr="00BF0936">
        <w:rPr>
          <w:rFonts w:ascii="Times New Roman" w:hAnsi="Times New Roman" w:cs="Times New Roman"/>
          <w:sz w:val="22"/>
        </w:rPr>
        <w:t xml:space="preserve">, </w:t>
      </w:r>
      <w:r w:rsidRPr="00BF0936">
        <w:rPr>
          <w:rFonts w:ascii="Times New Roman" w:hAnsi="Times New Roman" w:cs="Times New Roman"/>
          <w:i/>
          <w:iCs/>
          <w:sz w:val="22"/>
        </w:rPr>
        <w:t>62</w:t>
      </w:r>
      <w:r w:rsidRPr="00BF0936">
        <w:rPr>
          <w:rFonts w:ascii="Times New Roman" w:hAnsi="Times New Roman" w:cs="Times New Roman"/>
          <w:sz w:val="22"/>
        </w:rPr>
        <w:t>, 101323. https://doi.org/10.1016/j.techsoc.2020.101323</w:t>
      </w:r>
    </w:p>
    <w:p w14:paraId="7E6C2581"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Yue, P., Korkmaz, A. G., Yin, Z., &amp; Zhou, H. (2022). The rise of digital finance: Financial inclusion or debt trap? </w:t>
      </w:r>
      <w:r w:rsidRPr="00BF0936">
        <w:rPr>
          <w:rFonts w:ascii="Times New Roman" w:hAnsi="Times New Roman" w:cs="Times New Roman"/>
          <w:i/>
          <w:iCs/>
          <w:sz w:val="22"/>
        </w:rPr>
        <w:t>Finance Research Letters</w:t>
      </w:r>
      <w:r w:rsidRPr="00BF0936">
        <w:rPr>
          <w:rFonts w:ascii="Times New Roman" w:hAnsi="Times New Roman" w:cs="Times New Roman"/>
          <w:sz w:val="22"/>
        </w:rPr>
        <w:t xml:space="preserve">, </w:t>
      </w:r>
      <w:r w:rsidRPr="00BF0936">
        <w:rPr>
          <w:rFonts w:ascii="Times New Roman" w:hAnsi="Times New Roman" w:cs="Times New Roman"/>
          <w:i/>
          <w:iCs/>
          <w:sz w:val="22"/>
        </w:rPr>
        <w:t>47</w:t>
      </w:r>
      <w:r w:rsidRPr="00BF0936">
        <w:rPr>
          <w:rFonts w:ascii="Times New Roman" w:hAnsi="Times New Roman" w:cs="Times New Roman"/>
          <w:sz w:val="22"/>
        </w:rPr>
        <w:t>, 102604. https://doi.org/10.1016/j.frl.2021.102604</w:t>
      </w:r>
    </w:p>
    <w:p w14:paraId="15E7CF0F" w14:textId="77777777" w:rsidR="00871A71" w:rsidRPr="00BF0936" w:rsidRDefault="00871A71" w:rsidP="00292EAF">
      <w:pPr>
        <w:pStyle w:val="Bibliography"/>
        <w:spacing w:line="240" w:lineRule="auto"/>
        <w:jc w:val="both"/>
        <w:rPr>
          <w:rFonts w:ascii="Times New Roman" w:hAnsi="Times New Roman" w:cs="Times New Roman"/>
          <w:sz w:val="22"/>
        </w:rPr>
      </w:pPr>
      <w:r w:rsidRPr="00BF0936">
        <w:rPr>
          <w:rFonts w:ascii="Times New Roman" w:hAnsi="Times New Roman" w:cs="Times New Roman"/>
          <w:sz w:val="22"/>
        </w:rPr>
        <w:t xml:space="preserve">Zou, Z., Liu, Y., Ahmad, N., Sial, M. S., Badulescu, A., Zia-Ud-Din, M., &amp; Badulescu, D. (2021). What Prompts Small and Medium Enterprises to Implement CSR? A Qualitative Insight from an Emerging Economy. </w:t>
      </w:r>
      <w:r w:rsidRPr="00BF0936">
        <w:rPr>
          <w:rFonts w:ascii="Times New Roman" w:hAnsi="Times New Roman" w:cs="Times New Roman"/>
          <w:i/>
          <w:iCs/>
          <w:sz w:val="22"/>
        </w:rPr>
        <w:t>Sustainability</w:t>
      </w:r>
      <w:r w:rsidRPr="00BF0936">
        <w:rPr>
          <w:rFonts w:ascii="Times New Roman" w:hAnsi="Times New Roman" w:cs="Times New Roman"/>
          <w:sz w:val="22"/>
        </w:rPr>
        <w:t xml:space="preserve">, </w:t>
      </w:r>
      <w:r w:rsidRPr="00BF0936">
        <w:rPr>
          <w:rFonts w:ascii="Times New Roman" w:hAnsi="Times New Roman" w:cs="Times New Roman"/>
          <w:i/>
          <w:iCs/>
          <w:sz w:val="22"/>
        </w:rPr>
        <w:t>13</w:t>
      </w:r>
      <w:r w:rsidRPr="00BF0936">
        <w:rPr>
          <w:rFonts w:ascii="Times New Roman" w:hAnsi="Times New Roman" w:cs="Times New Roman"/>
          <w:sz w:val="22"/>
        </w:rPr>
        <w:t>(2), Article 2. https://doi.org/10.3390/su13020952</w:t>
      </w:r>
    </w:p>
    <w:p w14:paraId="0D2F5F19" w14:textId="5C80644E" w:rsidR="00BE1F0B" w:rsidRPr="00BF0936" w:rsidRDefault="00871A71" w:rsidP="00292EAF">
      <w:pPr>
        <w:spacing w:after="120" w:line="240" w:lineRule="auto"/>
        <w:jc w:val="both"/>
        <w:rPr>
          <w:rFonts w:ascii="Times New Roman" w:hAnsi="Times New Roman" w:cs="Times New Roman"/>
          <w:sz w:val="22"/>
          <w:lang w:val="en-US"/>
        </w:rPr>
      </w:pPr>
      <w:r w:rsidRPr="00BF0936">
        <w:rPr>
          <w:rFonts w:ascii="Times New Roman" w:hAnsi="Times New Roman" w:cs="Times New Roman"/>
          <w:sz w:val="22"/>
          <w:lang w:val="en-US"/>
        </w:rPr>
        <w:fldChar w:fldCharType="end"/>
      </w:r>
    </w:p>
    <w:p w14:paraId="6D5FFA80" w14:textId="77777777" w:rsidR="0008210F" w:rsidRPr="00BF0936" w:rsidRDefault="0008210F" w:rsidP="00292EAF">
      <w:pPr>
        <w:spacing w:after="120" w:line="240" w:lineRule="auto"/>
        <w:jc w:val="both"/>
        <w:rPr>
          <w:rFonts w:ascii="Times New Roman" w:hAnsi="Times New Roman" w:cs="Times New Roman"/>
          <w:sz w:val="22"/>
          <w:lang w:val="en-US"/>
        </w:rPr>
      </w:pPr>
    </w:p>
    <w:p w14:paraId="1619F817" w14:textId="77777777" w:rsidR="0008210F" w:rsidRPr="00BF0936" w:rsidRDefault="0008210F" w:rsidP="00292EAF">
      <w:pPr>
        <w:spacing w:after="120" w:line="240" w:lineRule="auto"/>
        <w:jc w:val="both"/>
        <w:rPr>
          <w:rFonts w:ascii="Times New Roman" w:eastAsia="Palatino Linotype" w:hAnsi="Times New Roman" w:cs="Times New Roman"/>
          <w:b/>
          <w:sz w:val="22"/>
          <w:lang w:val="en-US"/>
        </w:rPr>
      </w:pPr>
    </w:p>
    <w:p w14:paraId="09CA73C6" w14:textId="77777777" w:rsidR="006504A9" w:rsidRPr="00BF0936" w:rsidRDefault="00975E37" w:rsidP="00292EAF">
      <w:pPr>
        <w:spacing w:after="120" w:line="240" w:lineRule="auto"/>
        <w:jc w:val="both"/>
        <w:rPr>
          <w:rFonts w:ascii="Times New Roman" w:eastAsia="Palatino Linotype" w:hAnsi="Times New Roman" w:cs="Times New Roman"/>
          <w:b/>
          <w:sz w:val="22"/>
          <w:lang w:val="en-US"/>
        </w:rPr>
      </w:pPr>
      <w:r w:rsidRPr="00BF0936">
        <w:rPr>
          <w:rFonts w:ascii="Times New Roman" w:eastAsia="Palatino Linotype" w:hAnsi="Times New Roman" w:cs="Times New Roman"/>
          <w:b/>
          <w:sz w:val="22"/>
          <w:lang w:val="en-US"/>
        </w:rPr>
        <w:t xml:space="preserve"> </w:t>
      </w:r>
    </w:p>
    <w:p w14:paraId="39A0FC7E" w14:textId="77777777" w:rsidR="006504A9" w:rsidRPr="00BF0936" w:rsidRDefault="006504A9" w:rsidP="00292EAF">
      <w:pPr>
        <w:spacing w:after="120" w:line="240" w:lineRule="auto"/>
        <w:jc w:val="both"/>
        <w:rPr>
          <w:rFonts w:ascii="Times New Roman" w:eastAsia="Palatino Linotype" w:hAnsi="Times New Roman" w:cs="Times New Roman"/>
          <w:b/>
          <w:sz w:val="22"/>
          <w:lang w:val="en-US"/>
        </w:rPr>
      </w:pPr>
    </w:p>
    <w:p w14:paraId="4A57B2C4"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p w14:paraId="28A7341A"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p w14:paraId="12531A4D"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p w14:paraId="323A401E"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p w14:paraId="3545D38A"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p w14:paraId="3C37ECD2" w14:textId="77777777" w:rsidR="006504A9" w:rsidRPr="00292EAF" w:rsidRDefault="006504A9" w:rsidP="00292EAF">
      <w:pPr>
        <w:spacing w:after="120" w:line="240" w:lineRule="auto"/>
        <w:jc w:val="both"/>
        <w:rPr>
          <w:rFonts w:ascii="Times New Roman" w:eastAsia="Palatino Linotype" w:hAnsi="Times New Roman" w:cs="Times New Roman"/>
          <w:b/>
          <w:sz w:val="24"/>
          <w:szCs w:val="24"/>
          <w:lang w:val="en-US"/>
        </w:rPr>
      </w:pPr>
    </w:p>
    <w:sectPr w:rsidR="006504A9" w:rsidRPr="00292EAF" w:rsidSect="00B71CA1">
      <w:headerReference w:type="even" r:id="rId10"/>
      <w:headerReference w:type="default" r:id="rId11"/>
      <w:pgSz w:w="9639" w:h="13892"/>
      <w:pgMar w:top="677" w:right="1138" w:bottom="1440" w:left="1296"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26A3" w14:textId="77777777" w:rsidR="00992966" w:rsidRDefault="00992966" w:rsidP="00D65FDC">
      <w:pPr>
        <w:spacing w:after="0" w:line="240" w:lineRule="auto"/>
      </w:pPr>
      <w:r>
        <w:separator/>
      </w:r>
    </w:p>
  </w:endnote>
  <w:endnote w:type="continuationSeparator" w:id="0">
    <w:p w14:paraId="7074D44A" w14:textId="77777777" w:rsidR="00992966" w:rsidRDefault="00992966" w:rsidP="00D6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E8A4E" w14:textId="77777777" w:rsidR="00992966" w:rsidRDefault="00992966" w:rsidP="00D65FDC">
      <w:pPr>
        <w:spacing w:after="0" w:line="240" w:lineRule="auto"/>
      </w:pPr>
      <w:r>
        <w:separator/>
      </w:r>
    </w:p>
  </w:footnote>
  <w:footnote w:type="continuationSeparator" w:id="0">
    <w:p w14:paraId="26389F46" w14:textId="77777777" w:rsidR="00992966" w:rsidRDefault="00992966" w:rsidP="00D65F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D84" w14:textId="1E312A0D" w:rsidR="00C46C13" w:rsidRDefault="00C46C13" w:rsidP="00E90F03">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9B81F" w14:textId="421DCAEF" w:rsidR="00986902" w:rsidRDefault="00986902" w:rsidP="00E90F03">
    <w:pPr>
      <w:pStyle w:val="Heade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4AC3213"/>
    <w:multiLevelType w:val="hybridMultilevel"/>
    <w:tmpl w:val="3D183638"/>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405A28"/>
    <w:multiLevelType w:val="hybridMultilevel"/>
    <w:tmpl w:val="58922C8E"/>
    <w:lvl w:ilvl="0" w:tplc="402C586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62B7567"/>
    <w:multiLevelType w:val="hybridMultilevel"/>
    <w:tmpl w:val="19D08C36"/>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87E5E28"/>
    <w:multiLevelType w:val="hybridMultilevel"/>
    <w:tmpl w:val="C8387EC0"/>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3C6092B"/>
    <w:multiLevelType w:val="hybridMultilevel"/>
    <w:tmpl w:val="B4EC3818"/>
    <w:lvl w:ilvl="0" w:tplc="7E5C35D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4F77E20"/>
    <w:multiLevelType w:val="multilevel"/>
    <w:tmpl w:val="BF082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5B2056"/>
    <w:multiLevelType w:val="hybridMultilevel"/>
    <w:tmpl w:val="754A0C3C"/>
    <w:lvl w:ilvl="0" w:tplc="5D5E3AD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42884409">
    <w:abstractNumId w:val="0"/>
  </w:num>
  <w:num w:numId="2" w16cid:durableId="544567245">
    <w:abstractNumId w:val="2"/>
  </w:num>
  <w:num w:numId="3" w16cid:durableId="794297224">
    <w:abstractNumId w:val="5"/>
  </w:num>
  <w:num w:numId="4" w16cid:durableId="1085762460">
    <w:abstractNumId w:val="3"/>
  </w:num>
  <w:num w:numId="5" w16cid:durableId="1459645885">
    <w:abstractNumId w:val="4"/>
  </w:num>
  <w:num w:numId="6" w16cid:durableId="701856213">
    <w:abstractNumId w:val="1"/>
  </w:num>
  <w:num w:numId="7" w16cid:durableId="1662274977">
    <w:abstractNumId w:val="7"/>
  </w:num>
  <w:num w:numId="8" w16cid:durableId="62264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Q1NrY0NTA3tDAxMrZQ0lEKTi0uzszPAykwNKgFAIv85wstAAAA"/>
  </w:docVars>
  <w:rsids>
    <w:rsidRoot w:val="00D65FDC"/>
    <w:rsid w:val="0002089C"/>
    <w:rsid w:val="0002479D"/>
    <w:rsid w:val="00025BB8"/>
    <w:rsid w:val="000313CC"/>
    <w:rsid w:val="00040447"/>
    <w:rsid w:val="000474AB"/>
    <w:rsid w:val="0006718B"/>
    <w:rsid w:val="000812E5"/>
    <w:rsid w:val="0008210F"/>
    <w:rsid w:val="000C662F"/>
    <w:rsid w:val="000C71AD"/>
    <w:rsid w:val="000E3C07"/>
    <w:rsid w:val="000E4409"/>
    <w:rsid w:val="000E4AF5"/>
    <w:rsid w:val="000F44E9"/>
    <w:rsid w:val="000F4801"/>
    <w:rsid w:val="001033C1"/>
    <w:rsid w:val="00103D2D"/>
    <w:rsid w:val="00104363"/>
    <w:rsid w:val="00122836"/>
    <w:rsid w:val="00156959"/>
    <w:rsid w:val="00156C47"/>
    <w:rsid w:val="00170105"/>
    <w:rsid w:val="00172DEE"/>
    <w:rsid w:val="00181E21"/>
    <w:rsid w:val="00182A16"/>
    <w:rsid w:val="00182C59"/>
    <w:rsid w:val="0018521B"/>
    <w:rsid w:val="001B50E3"/>
    <w:rsid w:val="00205964"/>
    <w:rsid w:val="00210505"/>
    <w:rsid w:val="00214512"/>
    <w:rsid w:val="0023194A"/>
    <w:rsid w:val="00246AC3"/>
    <w:rsid w:val="00253459"/>
    <w:rsid w:val="00267175"/>
    <w:rsid w:val="00274D7D"/>
    <w:rsid w:val="002756A3"/>
    <w:rsid w:val="00287B3D"/>
    <w:rsid w:val="00292EAF"/>
    <w:rsid w:val="002B0D97"/>
    <w:rsid w:val="002B1A0A"/>
    <w:rsid w:val="002C64D3"/>
    <w:rsid w:val="002D0CDF"/>
    <w:rsid w:val="002D33F4"/>
    <w:rsid w:val="002E5B91"/>
    <w:rsid w:val="002F60F7"/>
    <w:rsid w:val="0030106B"/>
    <w:rsid w:val="0030573F"/>
    <w:rsid w:val="00311E6B"/>
    <w:rsid w:val="003265A5"/>
    <w:rsid w:val="00330425"/>
    <w:rsid w:val="00356CE1"/>
    <w:rsid w:val="00365940"/>
    <w:rsid w:val="00371CBF"/>
    <w:rsid w:val="0037225E"/>
    <w:rsid w:val="00372387"/>
    <w:rsid w:val="00382E3B"/>
    <w:rsid w:val="00386761"/>
    <w:rsid w:val="003A0661"/>
    <w:rsid w:val="003A0D6B"/>
    <w:rsid w:val="003B0185"/>
    <w:rsid w:val="003B1359"/>
    <w:rsid w:val="003C20E9"/>
    <w:rsid w:val="003C6628"/>
    <w:rsid w:val="003D12B1"/>
    <w:rsid w:val="003E2571"/>
    <w:rsid w:val="003F7E4E"/>
    <w:rsid w:val="00400100"/>
    <w:rsid w:val="00405F0C"/>
    <w:rsid w:val="00413154"/>
    <w:rsid w:val="004136DA"/>
    <w:rsid w:val="00420C78"/>
    <w:rsid w:val="00421C26"/>
    <w:rsid w:val="00426864"/>
    <w:rsid w:val="00465F68"/>
    <w:rsid w:val="004701DB"/>
    <w:rsid w:val="004A03EE"/>
    <w:rsid w:val="004B6C66"/>
    <w:rsid w:val="004B7EDA"/>
    <w:rsid w:val="004E5622"/>
    <w:rsid w:val="004F33C0"/>
    <w:rsid w:val="00511D77"/>
    <w:rsid w:val="0051715D"/>
    <w:rsid w:val="005320B8"/>
    <w:rsid w:val="00550983"/>
    <w:rsid w:val="0055732C"/>
    <w:rsid w:val="005643D1"/>
    <w:rsid w:val="00566675"/>
    <w:rsid w:val="005764E3"/>
    <w:rsid w:val="00577BAC"/>
    <w:rsid w:val="00584F75"/>
    <w:rsid w:val="0059009F"/>
    <w:rsid w:val="00596310"/>
    <w:rsid w:val="005A0F56"/>
    <w:rsid w:val="005A397B"/>
    <w:rsid w:val="005B15D3"/>
    <w:rsid w:val="005B1E45"/>
    <w:rsid w:val="005B1FDE"/>
    <w:rsid w:val="005B2294"/>
    <w:rsid w:val="005B6970"/>
    <w:rsid w:val="005C304D"/>
    <w:rsid w:val="00602183"/>
    <w:rsid w:val="00614880"/>
    <w:rsid w:val="00623F06"/>
    <w:rsid w:val="006504A9"/>
    <w:rsid w:val="006517D6"/>
    <w:rsid w:val="00657229"/>
    <w:rsid w:val="00667C39"/>
    <w:rsid w:val="006727ED"/>
    <w:rsid w:val="0067350A"/>
    <w:rsid w:val="00680FBB"/>
    <w:rsid w:val="0069052C"/>
    <w:rsid w:val="006954CE"/>
    <w:rsid w:val="006A12C1"/>
    <w:rsid w:val="006A1BD3"/>
    <w:rsid w:val="006A6AFA"/>
    <w:rsid w:val="006B68FD"/>
    <w:rsid w:val="006C6B6A"/>
    <w:rsid w:val="006D088C"/>
    <w:rsid w:val="006F2F8D"/>
    <w:rsid w:val="0071102A"/>
    <w:rsid w:val="00711476"/>
    <w:rsid w:val="00713148"/>
    <w:rsid w:val="00713B9F"/>
    <w:rsid w:val="00715803"/>
    <w:rsid w:val="007452B7"/>
    <w:rsid w:val="0074720E"/>
    <w:rsid w:val="0076185E"/>
    <w:rsid w:val="0076229B"/>
    <w:rsid w:val="00780B53"/>
    <w:rsid w:val="007A0E5E"/>
    <w:rsid w:val="007A2A34"/>
    <w:rsid w:val="007C093F"/>
    <w:rsid w:val="007D327F"/>
    <w:rsid w:val="007D789B"/>
    <w:rsid w:val="007F59D9"/>
    <w:rsid w:val="00803E1A"/>
    <w:rsid w:val="00810A94"/>
    <w:rsid w:val="0081496A"/>
    <w:rsid w:val="008213E4"/>
    <w:rsid w:val="00852578"/>
    <w:rsid w:val="00853EAC"/>
    <w:rsid w:val="00865DF0"/>
    <w:rsid w:val="00870F2E"/>
    <w:rsid w:val="00871A71"/>
    <w:rsid w:val="00871FD5"/>
    <w:rsid w:val="008742FB"/>
    <w:rsid w:val="008808BE"/>
    <w:rsid w:val="00897457"/>
    <w:rsid w:val="008C07B3"/>
    <w:rsid w:val="008C3476"/>
    <w:rsid w:val="008E5574"/>
    <w:rsid w:val="008E6F65"/>
    <w:rsid w:val="00912D6F"/>
    <w:rsid w:val="009253BA"/>
    <w:rsid w:val="00930488"/>
    <w:rsid w:val="00946BD7"/>
    <w:rsid w:val="0095085B"/>
    <w:rsid w:val="00954A06"/>
    <w:rsid w:val="00962F90"/>
    <w:rsid w:val="00964D32"/>
    <w:rsid w:val="00975E37"/>
    <w:rsid w:val="00983854"/>
    <w:rsid w:val="00986902"/>
    <w:rsid w:val="00992966"/>
    <w:rsid w:val="009947E6"/>
    <w:rsid w:val="00995812"/>
    <w:rsid w:val="009A03F1"/>
    <w:rsid w:val="009A575A"/>
    <w:rsid w:val="009B1FD4"/>
    <w:rsid w:val="009D62B7"/>
    <w:rsid w:val="009E1010"/>
    <w:rsid w:val="009F235C"/>
    <w:rsid w:val="00A118DB"/>
    <w:rsid w:val="00A12FF3"/>
    <w:rsid w:val="00A14FE3"/>
    <w:rsid w:val="00A16323"/>
    <w:rsid w:val="00A23947"/>
    <w:rsid w:val="00A26C73"/>
    <w:rsid w:val="00A3261C"/>
    <w:rsid w:val="00A37AFF"/>
    <w:rsid w:val="00A46B6F"/>
    <w:rsid w:val="00A523F1"/>
    <w:rsid w:val="00A64695"/>
    <w:rsid w:val="00A74101"/>
    <w:rsid w:val="00A9045F"/>
    <w:rsid w:val="00A94259"/>
    <w:rsid w:val="00AA41DB"/>
    <w:rsid w:val="00AA50DB"/>
    <w:rsid w:val="00AA5F1F"/>
    <w:rsid w:val="00AA62E8"/>
    <w:rsid w:val="00AB12C9"/>
    <w:rsid w:val="00AB202F"/>
    <w:rsid w:val="00AD0CE8"/>
    <w:rsid w:val="00AE5156"/>
    <w:rsid w:val="00AF0150"/>
    <w:rsid w:val="00B009D2"/>
    <w:rsid w:val="00B14D95"/>
    <w:rsid w:val="00B15B5B"/>
    <w:rsid w:val="00B247E7"/>
    <w:rsid w:val="00B25DF7"/>
    <w:rsid w:val="00B41449"/>
    <w:rsid w:val="00B55AF4"/>
    <w:rsid w:val="00B60D6A"/>
    <w:rsid w:val="00B71CA1"/>
    <w:rsid w:val="00B75DEA"/>
    <w:rsid w:val="00B84AFC"/>
    <w:rsid w:val="00B92756"/>
    <w:rsid w:val="00BC7FAC"/>
    <w:rsid w:val="00BD5C2D"/>
    <w:rsid w:val="00BE09D8"/>
    <w:rsid w:val="00BE0C51"/>
    <w:rsid w:val="00BE1F0B"/>
    <w:rsid w:val="00BE45B5"/>
    <w:rsid w:val="00BF0936"/>
    <w:rsid w:val="00C02080"/>
    <w:rsid w:val="00C04E5B"/>
    <w:rsid w:val="00C05137"/>
    <w:rsid w:val="00C2255B"/>
    <w:rsid w:val="00C2416F"/>
    <w:rsid w:val="00C34490"/>
    <w:rsid w:val="00C4581E"/>
    <w:rsid w:val="00C46845"/>
    <w:rsid w:val="00C46C13"/>
    <w:rsid w:val="00C81551"/>
    <w:rsid w:val="00C81B75"/>
    <w:rsid w:val="00C84177"/>
    <w:rsid w:val="00C86AA5"/>
    <w:rsid w:val="00CC1165"/>
    <w:rsid w:val="00CC4EB6"/>
    <w:rsid w:val="00CC6A1B"/>
    <w:rsid w:val="00CC7E5F"/>
    <w:rsid w:val="00CD0E73"/>
    <w:rsid w:val="00CD7FCE"/>
    <w:rsid w:val="00CE2F02"/>
    <w:rsid w:val="00CE662C"/>
    <w:rsid w:val="00CF1CDD"/>
    <w:rsid w:val="00D01785"/>
    <w:rsid w:val="00D37354"/>
    <w:rsid w:val="00D41DE3"/>
    <w:rsid w:val="00D437BE"/>
    <w:rsid w:val="00D4707C"/>
    <w:rsid w:val="00D61C93"/>
    <w:rsid w:val="00D63BFA"/>
    <w:rsid w:val="00D65FDC"/>
    <w:rsid w:val="00D67DE0"/>
    <w:rsid w:val="00D75047"/>
    <w:rsid w:val="00D7638F"/>
    <w:rsid w:val="00D92434"/>
    <w:rsid w:val="00DA7B28"/>
    <w:rsid w:val="00DB3E49"/>
    <w:rsid w:val="00DB6DCF"/>
    <w:rsid w:val="00DE57BB"/>
    <w:rsid w:val="00DF580C"/>
    <w:rsid w:val="00DF629A"/>
    <w:rsid w:val="00DF7804"/>
    <w:rsid w:val="00E1601A"/>
    <w:rsid w:val="00E40DF8"/>
    <w:rsid w:val="00E41455"/>
    <w:rsid w:val="00E41F81"/>
    <w:rsid w:val="00E51397"/>
    <w:rsid w:val="00E5215B"/>
    <w:rsid w:val="00E565C4"/>
    <w:rsid w:val="00E60B80"/>
    <w:rsid w:val="00E67920"/>
    <w:rsid w:val="00E74A60"/>
    <w:rsid w:val="00E81A51"/>
    <w:rsid w:val="00E86A56"/>
    <w:rsid w:val="00E90F03"/>
    <w:rsid w:val="00E91450"/>
    <w:rsid w:val="00EB48A7"/>
    <w:rsid w:val="00EC141A"/>
    <w:rsid w:val="00ED6391"/>
    <w:rsid w:val="00EE2606"/>
    <w:rsid w:val="00EE55F1"/>
    <w:rsid w:val="00EF1349"/>
    <w:rsid w:val="00EF1B06"/>
    <w:rsid w:val="00EF1C6E"/>
    <w:rsid w:val="00F044C0"/>
    <w:rsid w:val="00F0658B"/>
    <w:rsid w:val="00F131B5"/>
    <w:rsid w:val="00F15A06"/>
    <w:rsid w:val="00F254D3"/>
    <w:rsid w:val="00F31375"/>
    <w:rsid w:val="00F31CF0"/>
    <w:rsid w:val="00F37E9C"/>
    <w:rsid w:val="00F63026"/>
    <w:rsid w:val="00F634F0"/>
    <w:rsid w:val="00F65949"/>
    <w:rsid w:val="00F66AE9"/>
    <w:rsid w:val="00F75F4B"/>
    <w:rsid w:val="00F91B12"/>
    <w:rsid w:val="00FA0E3E"/>
    <w:rsid w:val="00FB1414"/>
    <w:rsid w:val="00FB2821"/>
    <w:rsid w:val="00FB2829"/>
    <w:rsid w:val="00FB4020"/>
    <w:rsid w:val="00FD7D3C"/>
    <w:rsid w:val="00FE1526"/>
    <w:rsid w:val="00FE7676"/>
    <w:rsid w:val="00FF3A56"/>
    <w:rsid w:val="00FF6D5E"/>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7AFF"/>
  <w15:chartTrackingRefBased/>
  <w15:docId w15:val="{1FF56012-6203-4149-9045-313F5B7C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Arial"/>
        <w:lang w:val="id-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785"/>
    <w:pPr>
      <w:spacing w:after="160" w:line="259" w:lineRule="auto"/>
    </w:pPr>
    <w:rPr>
      <w:rFonts w:ascii="Palatino Linotype" w:hAnsi="Palatino Linotype"/>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D65FDC"/>
    <w:pPr>
      <w:spacing w:after="0" w:line="240" w:lineRule="auto"/>
    </w:pPr>
    <w:rPr>
      <w:rFonts w:ascii="Times New Roman" w:eastAsia="SimSun" w:hAnsi="Times New Roman" w:cs="Times New Roman"/>
      <w:sz w:val="20"/>
      <w:szCs w:val="20"/>
      <w:lang w:val="en-US" w:eastAsia="zh-CN"/>
    </w:rPr>
  </w:style>
  <w:style w:type="character" w:customStyle="1" w:styleId="FootnoteTextChar">
    <w:name w:val="Footnote Text Char"/>
    <w:link w:val="FootnoteText"/>
    <w:uiPriority w:val="99"/>
    <w:rsid w:val="00D65FDC"/>
    <w:rPr>
      <w:rFonts w:ascii="Times New Roman" w:eastAsia="SimSun" w:hAnsi="Times New Roman" w:cs="Times New Roman"/>
      <w:lang w:val="en-US" w:eastAsia="zh-CN"/>
    </w:rPr>
  </w:style>
  <w:style w:type="character" w:styleId="FootnoteReference">
    <w:name w:val="footnote reference"/>
    <w:uiPriority w:val="99"/>
    <w:rsid w:val="00D65FDC"/>
    <w:rPr>
      <w:vertAlign w:val="superscript"/>
    </w:rPr>
  </w:style>
  <w:style w:type="character" w:styleId="Hyperlink">
    <w:name w:val="Hyperlink"/>
    <w:uiPriority w:val="99"/>
    <w:unhideWhenUsed/>
    <w:rsid w:val="00D01785"/>
    <w:rPr>
      <w:color w:val="0563C1"/>
      <w:u w:val="single"/>
    </w:rPr>
  </w:style>
  <w:style w:type="character" w:styleId="FollowedHyperlink">
    <w:name w:val="FollowedHyperlink"/>
    <w:basedOn w:val="DefaultParagraphFont"/>
    <w:uiPriority w:val="99"/>
    <w:semiHidden/>
    <w:unhideWhenUsed/>
    <w:rsid w:val="0008210F"/>
    <w:rPr>
      <w:color w:val="954F72" w:themeColor="followedHyperlink"/>
      <w:u w:val="single"/>
    </w:rPr>
  </w:style>
  <w:style w:type="paragraph" w:styleId="Header">
    <w:name w:val="header"/>
    <w:basedOn w:val="Normal"/>
    <w:link w:val="HeaderChar"/>
    <w:uiPriority w:val="99"/>
    <w:unhideWhenUsed/>
    <w:rsid w:val="008E5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574"/>
    <w:rPr>
      <w:rFonts w:ascii="Palatino Linotype" w:hAnsi="Palatino Linotype"/>
      <w:sz w:val="18"/>
      <w:szCs w:val="22"/>
    </w:rPr>
  </w:style>
  <w:style w:type="paragraph" w:styleId="Footer">
    <w:name w:val="footer"/>
    <w:basedOn w:val="Normal"/>
    <w:link w:val="FooterChar"/>
    <w:uiPriority w:val="99"/>
    <w:unhideWhenUsed/>
    <w:rsid w:val="008E5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574"/>
    <w:rPr>
      <w:rFonts w:ascii="Palatino Linotype" w:hAnsi="Palatino Linotype"/>
      <w:sz w:val="18"/>
      <w:szCs w:val="22"/>
    </w:rPr>
  </w:style>
  <w:style w:type="paragraph" w:styleId="IntenseQuote">
    <w:name w:val="Intense Quote"/>
    <w:basedOn w:val="Normal"/>
    <w:next w:val="Normal"/>
    <w:link w:val="IntenseQuoteChar"/>
    <w:uiPriority w:val="30"/>
    <w:qFormat/>
    <w:rsid w:val="0037225E"/>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37225E"/>
    <w:rPr>
      <w:rFonts w:ascii="Palatino Linotype" w:hAnsi="Palatino Linotype"/>
      <w:i/>
      <w:iCs/>
      <w:color w:val="000000" w:themeColor="text1"/>
      <w:sz w:val="18"/>
      <w:szCs w:val="22"/>
    </w:rPr>
  </w:style>
  <w:style w:type="character" w:styleId="UnresolvedMention">
    <w:name w:val="Unresolved Mention"/>
    <w:basedOn w:val="DefaultParagraphFont"/>
    <w:uiPriority w:val="99"/>
    <w:semiHidden/>
    <w:unhideWhenUsed/>
    <w:rsid w:val="00DB3E49"/>
    <w:rPr>
      <w:color w:val="605E5C"/>
      <w:shd w:val="clear" w:color="auto" w:fill="E1DFDD"/>
    </w:rPr>
  </w:style>
  <w:style w:type="paragraph" w:styleId="NoSpacing">
    <w:name w:val="No Spacing"/>
    <w:uiPriority w:val="1"/>
    <w:qFormat/>
    <w:rsid w:val="00DB3E49"/>
    <w:rPr>
      <w:rFonts w:ascii="Palatino Linotype" w:hAnsi="Palatino Linotype"/>
      <w:sz w:val="18"/>
      <w:szCs w:val="22"/>
    </w:rPr>
  </w:style>
  <w:style w:type="paragraph" w:styleId="Bibliography">
    <w:name w:val="Bibliography"/>
    <w:basedOn w:val="Normal"/>
    <w:next w:val="Normal"/>
    <w:uiPriority w:val="37"/>
    <w:unhideWhenUsed/>
    <w:rsid w:val="00871A71"/>
    <w:pPr>
      <w:spacing w:after="0" w:line="480" w:lineRule="auto"/>
      <w:ind w:left="720" w:hanging="720"/>
    </w:pPr>
  </w:style>
  <w:style w:type="table" w:styleId="TableGrid">
    <w:name w:val="Table Grid"/>
    <w:basedOn w:val="TableNormal"/>
    <w:uiPriority w:val="39"/>
    <w:rsid w:val="0099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B1F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09">
      <w:bodyDiv w:val="1"/>
      <w:marLeft w:val="0"/>
      <w:marRight w:val="0"/>
      <w:marTop w:val="0"/>
      <w:marBottom w:val="0"/>
      <w:divBdr>
        <w:top w:val="none" w:sz="0" w:space="0" w:color="auto"/>
        <w:left w:val="none" w:sz="0" w:space="0" w:color="auto"/>
        <w:bottom w:val="none" w:sz="0" w:space="0" w:color="auto"/>
        <w:right w:val="none" w:sz="0" w:space="0" w:color="auto"/>
      </w:divBdr>
      <w:divsChild>
        <w:div w:id="1480463545">
          <w:marLeft w:val="-720"/>
          <w:marRight w:val="0"/>
          <w:marTop w:val="0"/>
          <w:marBottom w:val="0"/>
          <w:divBdr>
            <w:top w:val="none" w:sz="0" w:space="0" w:color="auto"/>
            <w:left w:val="none" w:sz="0" w:space="0" w:color="auto"/>
            <w:bottom w:val="none" w:sz="0" w:space="0" w:color="auto"/>
            <w:right w:val="none" w:sz="0" w:space="0" w:color="auto"/>
          </w:divBdr>
        </w:div>
      </w:divsChild>
    </w:div>
    <w:div w:id="341781809">
      <w:bodyDiv w:val="1"/>
      <w:marLeft w:val="0"/>
      <w:marRight w:val="0"/>
      <w:marTop w:val="0"/>
      <w:marBottom w:val="0"/>
      <w:divBdr>
        <w:top w:val="none" w:sz="0" w:space="0" w:color="auto"/>
        <w:left w:val="none" w:sz="0" w:space="0" w:color="auto"/>
        <w:bottom w:val="none" w:sz="0" w:space="0" w:color="auto"/>
        <w:right w:val="none" w:sz="0" w:space="0" w:color="auto"/>
      </w:divBdr>
    </w:div>
    <w:div w:id="446778431">
      <w:bodyDiv w:val="1"/>
      <w:marLeft w:val="0"/>
      <w:marRight w:val="0"/>
      <w:marTop w:val="0"/>
      <w:marBottom w:val="0"/>
      <w:divBdr>
        <w:top w:val="none" w:sz="0" w:space="0" w:color="auto"/>
        <w:left w:val="none" w:sz="0" w:space="0" w:color="auto"/>
        <w:bottom w:val="none" w:sz="0" w:space="0" w:color="auto"/>
        <w:right w:val="none" w:sz="0" w:space="0" w:color="auto"/>
      </w:divBdr>
    </w:div>
    <w:div w:id="477652452">
      <w:bodyDiv w:val="1"/>
      <w:marLeft w:val="0"/>
      <w:marRight w:val="0"/>
      <w:marTop w:val="0"/>
      <w:marBottom w:val="0"/>
      <w:divBdr>
        <w:top w:val="none" w:sz="0" w:space="0" w:color="auto"/>
        <w:left w:val="none" w:sz="0" w:space="0" w:color="auto"/>
        <w:bottom w:val="none" w:sz="0" w:space="0" w:color="auto"/>
        <w:right w:val="none" w:sz="0" w:space="0" w:color="auto"/>
      </w:divBdr>
    </w:div>
    <w:div w:id="1274675974">
      <w:bodyDiv w:val="1"/>
      <w:marLeft w:val="0"/>
      <w:marRight w:val="0"/>
      <w:marTop w:val="0"/>
      <w:marBottom w:val="0"/>
      <w:divBdr>
        <w:top w:val="none" w:sz="0" w:space="0" w:color="auto"/>
        <w:left w:val="none" w:sz="0" w:space="0" w:color="auto"/>
        <w:bottom w:val="none" w:sz="0" w:space="0" w:color="auto"/>
        <w:right w:val="none" w:sz="0" w:space="0" w:color="auto"/>
      </w:divBdr>
    </w:div>
    <w:div w:id="1791623819">
      <w:bodyDiv w:val="1"/>
      <w:marLeft w:val="0"/>
      <w:marRight w:val="0"/>
      <w:marTop w:val="0"/>
      <w:marBottom w:val="0"/>
      <w:divBdr>
        <w:top w:val="none" w:sz="0" w:space="0" w:color="auto"/>
        <w:left w:val="none" w:sz="0" w:space="0" w:color="auto"/>
        <w:bottom w:val="none" w:sz="0" w:space="0" w:color="auto"/>
        <w:right w:val="none" w:sz="0" w:space="0" w:color="auto"/>
      </w:divBdr>
    </w:div>
    <w:div w:id="1919629668">
      <w:bodyDiv w:val="1"/>
      <w:marLeft w:val="0"/>
      <w:marRight w:val="0"/>
      <w:marTop w:val="0"/>
      <w:marBottom w:val="0"/>
      <w:divBdr>
        <w:top w:val="none" w:sz="0" w:space="0" w:color="auto"/>
        <w:left w:val="none" w:sz="0" w:space="0" w:color="auto"/>
        <w:bottom w:val="none" w:sz="0" w:space="0" w:color="auto"/>
        <w:right w:val="none" w:sz="0" w:space="0" w:color="auto"/>
      </w:divBdr>
    </w:div>
    <w:div w:id="19771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aiman@uitm.edu.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rhanam@utar.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E6E8752B-A8C0-42CD-A1E2-2DF5D798E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22969</Words>
  <Characters>130925</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153587</CharactersWithSpaces>
  <SharedDoc>false</SharedDoc>
  <HLinks>
    <vt:vector size="6" baseType="variant">
      <vt:variant>
        <vt:i4>4325452</vt:i4>
      </vt:variant>
      <vt:variant>
        <vt:i4>3</vt:i4>
      </vt:variant>
      <vt:variant>
        <vt:i4>0</vt:i4>
      </vt:variant>
      <vt:variant>
        <vt:i4>5</vt:i4>
      </vt:variant>
      <vt:variant>
        <vt:lpwstr>https://www.phdfood2019.it/wp-content/uploads/2019/05/APA_Guide_2017.pdf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Alanshori</dc:creator>
  <cp:keywords/>
  <dc:description/>
  <cp:lastModifiedBy>Muhammad Aiman Awalluddin</cp:lastModifiedBy>
  <cp:revision>5</cp:revision>
  <cp:lastPrinted>2024-09-24T14:49:00Z</cp:lastPrinted>
  <dcterms:created xsi:type="dcterms:W3CDTF">2025-11-04T13:00:00Z</dcterms:created>
  <dcterms:modified xsi:type="dcterms:W3CDTF">2025-11-04T13:21:00Z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id="QNMM62z0"/&gt;&lt;style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