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AE" w:rsidRPr="00660CFA" w:rsidRDefault="005D14AE" w:rsidP="009F0723">
      <w:pPr>
        <w:spacing w:line="240" w:lineRule="auto"/>
        <w:jc w:val="both"/>
        <w:rPr>
          <w:rFonts w:ascii="Times New Roman" w:hAnsi="Times New Roman" w:cs="Times New Roman"/>
        </w:rPr>
      </w:pPr>
    </w:p>
    <w:p w:rsidR="005D14AE" w:rsidRPr="00660CFA" w:rsidRDefault="005D14AE" w:rsidP="009F0723">
      <w:pPr>
        <w:spacing w:line="240" w:lineRule="auto"/>
        <w:jc w:val="both"/>
        <w:rPr>
          <w:rFonts w:ascii="Times New Roman" w:hAnsi="Times New Roman" w:cs="Times New Roman"/>
        </w:rPr>
      </w:pPr>
    </w:p>
    <w:p w:rsidR="005D14AE" w:rsidRPr="00660CFA" w:rsidRDefault="005D14AE" w:rsidP="009F0723">
      <w:pPr>
        <w:spacing w:line="240" w:lineRule="auto"/>
        <w:jc w:val="both"/>
        <w:rPr>
          <w:rFonts w:ascii="Times New Roman" w:hAnsi="Times New Roman" w:cs="Times New Roman"/>
        </w:rPr>
      </w:pPr>
    </w:p>
    <w:p w:rsidR="005D14AE" w:rsidRPr="00660CFA" w:rsidRDefault="00833F87" w:rsidP="009F0723">
      <w:pPr>
        <w:spacing w:line="240" w:lineRule="auto"/>
        <w:jc w:val="center"/>
        <w:rPr>
          <w:rFonts w:ascii="Times New Roman" w:hAnsi="Times New Roman" w:cs="Times New Roman"/>
          <w:b/>
          <w:bCs/>
        </w:rPr>
      </w:pPr>
      <w:bookmarkStart w:id="0" w:name="_Hlk188386730"/>
      <w:r w:rsidRPr="00660CFA">
        <w:rPr>
          <w:rFonts w:ascii="Times New Roman" w:hAnsi="Times New Roman" w:cs="Times New Roman"/>
          <w:b/>
          <w:bCs/>
        </w:rPr>
        <w:t xml:space="preserve">Exploring In-service Teachers’ Perspectives on Interdisciplinary Assessment Techniques at the Secondary </w:t>
      </w:r>
      <w:r w:rsidR="00BA28FB" w:rsidRPr="00660CFA">
        <w:rPr>
          <w:rFonts w:ascii="Times New Roman" w:hAnsi="Times New Roman" w:cs="Times New Roman"/>
          <w:b/>
          <w:bCs/>
        </w:rPr>
        <w:t>School Level</w:t>
      </w:r>
      <w:r w:rsidRPr="00660CFA">
        <w:rPr>
          <w:rFonts w:ascii="Times New Roman" w:hAnsi="Times New Roman" w:cs="Times New Roman"/>
          <w:b/>
          <w:bCs/>
        </w:rPr>
        <w:t>: A Pilot Study</w:t>
      </w:r>
    </w:p>
    <w:p w:rsidR="005D14AE" w:rsidRDefault="005D14AE" w:rsidP="009F0723">
      <w:pPr>
        <w:spacing w:line="240" w:lineRule="auto"/>
        <w:jc w:val="both"/>
        <w:rPr>
          <w:rFonts w:ascii="Times New Roman" w:hAnsi="Times New Roman" w:cs="Times New Roman"/>
          <w:b/>
          <w:bCs/>
        </w:rPr>
      </w:pPr>
    </w:p>
    <w:p w:rsidR="00FA3946" w:rsidRDefault="00FA3946" w:rsidP="009F0723">
      <w:pPr>
        <w:spacing w:line="240" w:lineRule="auto"/>
        <w:jc w:val="both"/>
        <w:rPr>
          <w:rFonts w:ascii="Times New Roman" w:hAnsi="Times New Roman" w:cs="Times New Roman"/>
          <w:b/>
          <w:bCs/>
        </w:rPr>
      </w:pPr>
      <w:r>
        <w:rPr>
          <w:rFonts w:ascii="Times New Roman" w:hAnsi="Times New Roman" w:cs="Times New Roman"/>
          <w:b/>
          <w:bCs/>
        </w:rPr>
        <w:t xml:space="preserve">Corresponding author: Dr. B. </w:t>
      </w:r>
      <w:proofErr w:type="spellStart"/>
      <w:r>
        <w:rPr>
          <w:rFonts w:ascii="Times New Roman" w:hAnsi="Times New Roman" w:cs="Times New Roman"/>
          <w:b/>
          <w:bCs/>
        </w:rPr>
        <w:t>Lalitha</w:t>
      </w:r>
      <w:proofErr w:type="spellEnd"/>
      <w:r>
        <w:rPr>
          <w:rFonts w:ascii="Times New Roman" w:hAnsi="Times New Roman" w:cs="Times New Roman"/>
          <w:b/>
          <w:bCs/>
        </w:rPr>
        <w:t xml:space="preserve"> Devi, SR University, India</w:t>
      </w:r>
    </w:p>
    <w:p w:rsidR="00FA3946" w:rsidRDefault="00FA3946" w:rsidP="009F0723">
      <w:pPr>
        <w:spacing w:line="240" w:lineRule="auto"/>
        <w:jc w:val="both"/>
        <w:rPr>
          <w:rFonts w:ascii="Times New Roman" w:hAnsi="Times New Roman" w:cs="Times New Roman"/>
          <w:b/>
          <w:bCs/>
        </w:rPr>
      </w:pPr>
      <w:r>
        <w:rPr>
          <w:rFonts w:ascii="Times New Roman" w:hAnsi="Times New Roman" w:cs="Times New Roman"/>
          <w:b/>
          <w:bCs/>
        </w:rPr>
        <w:t>Mail Id: lalitha.search@gmail.com</w:t>
      </w:r>
    </w:p>
    <w:p w:rsidR="00FA3946" w:rsidRPr="00660CFA" w:rsidRDefault="00FA3946" w:rsidP="009F0723">
      <w:pPr>
        <w:spacing w:line="240" w:lineRule="auto"/>
        <w:jc w:val="both"/>
        <w:rPr>
          <w:rFonts w:ascii="Times New Roman" w:hAnsi="Times New Roman" w:cs="Times New Roman"/>
          <w:b/>
          <w:bCs/>
        </w:rPr>
      </w:pPr>
      <w:r>
        <w:rPr>
          <w:rFonts w:ascii="Times New Roman" w:hAnsi="Times New Roman" w:cs="Times New Roman"/>
          <w:b/>
          <w:bCs/>
        </w:rPr>
        <w:t xml:space="preserve">Second author: Dr. B. </w:t>
      </w:r>
      <w:proofErr w:type="spellStart"/>
      <w:r>
        <w:rPr>
          <w:rFonts w:ascii="Times New Roman" w:hAnsi="Times New Roman" w:cs="Times New Roman"/>
          <w:b/>
          <w:bCs/>
        </w:rPr>
        <w:t>Ramya</w:t>
      </w:r>
      <w:proofErr w:type="spellEnd"/>
      <w:r>
        <w:rPr>
          <w:rFonts w:ascii="Times New Roman" w:hAnsi="Times New Roman" w:cs="Times New Roman"/>
          <w:b/>
          <w:bCs/>
        </w:rPr>
        <w:t xml:space="preserve"> Devi, NIT Warangal, India</w:t>
      </w:r>
    </w:p>
    <w:p w:rsidR="005D14AE" w:rsidRPr="00660CFA" w:rsidRDefault="005D14AE" w:rsidP="009F0723">
      <w:pPr>
        <w:spacing w:line="240" w:lineRule="auto"/>
        <w:jc w:val="both"/>
        <w:rPr>
          <w:rFonts w:ascii="Times New Roman" w:hAnsi="Times New Roman" w:cs="Times New Roman"/>
          <w:b/>
          <w:bCs/>
        </w:rPr>
      </w:pPr>
    </w:p>
    <w:p w:rsidR="005D14AE" w:rsidRPr="00660CFA" w:rsidRDefault="005D14AE" w:rsidP="009F0723">
      <w:pPr>
        <w:spacing w:line="240" w:lineRule="auto"/>
        <w:jc w:val="both"/>
        <w:rPr>
          <w:rFonts w:ascii="Times New Roman" w:hAnsi="Times New Roman" w:cs="Times New Roman"/>
        </w:rPr>
      </w:pP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b/>
          <w:bCs/>
        </w:rPr>
        <w:t>Abstract: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This study builds upon prior research</w:t>
      </w:r>
      <w:r w:rsidR="00CF144C" w:rsidRPr="00660CFA">
        <w:rPr>
          <w:rFonts w:ascii="Times New Roman" w:hAnsi="Times New Roman" w:cs="Times New Roman"/>
        </w:rPr>
        <w:t>,</w:t>
      </w:r>
      <w:r w:rsidRPr="00660CFA">
        <w:rPr>
          <w:rFonts w:ascii="Times New Roman" w:hAnsi="Times New Roman" w:cs="Times New Roman"/>
        </w:rPr>
        <w:t xml:space="preserve"> which has explored teachers’ awareness of environmental issues and their readiness to instruct learners in environmental science. The current research delves into the interdisciplinary assessment perspectives of 60 in-service teachers teaching English and Social Sciences at the secondary level from various schools in Andhra Pradesh. As part of this pilot study, a questionnaire was administered to the sample, and also gathered through informal interviews. The findings revealed that teachers’ perspectives varied based on their teaching experiences and prior training</w:t>
      </w:r>
      <w:r w:rsidR="00CF144C" w:rsidRPr="00660CFA">
        <w:rPr>
          <w:rFonts w:ascii="Times New Roman" w:hAnsi="Times New Roman" w:cs="Times New Roman"/>
        </w:rPr>
        <w:t>.</w:t>
      </w:r>
      <w:r w:rsidRPr="00660CFA">
        <w:rPr>
          <w:rFonts w:ascii="Times New Roman" w:hAnsi="Times New Roman" w:cs="Times New Roman"/>
        </w:rPr>
        <w:t xml:space="preserve"> </w:t>
      </w:r>
      <w:r w:rsidR="00193F5E" w:rsidRPr="00193F5E">
        <w:rPr>
          <w:rFonts w:ascii="Times New Roman" w:hAnsi="Times New Roman" w:cs="Times New Roman"/>
        </w:rPr>
        <w:t>it was observed from the survey responses that experienced secondary school level teachers recorded greater levels of awareness of integrated assessment strategies for classroom, preferring project-based and case study approaches of assessment, while less experienced teachers preferred structured and skill-based mode of assessments for their individual classrooms.</w:t>
      </w:r>
      <w:r w:rsidR="00193F5E">
        <w:rPr>
          <w:rFonts w:ascii="Times New Roman" w:hAnsi="Times New Roman" w:cs="Times New Roman"/>
        </w:rPr>
        <w:t xml:space="preserve"> </w:t>
      </w:r>
      <w:r w:rsidR="00186C4E" w:rsidRPr="00186C4E">
        <w:rPr>
          <w:rFonts w:ascii="Times New Roman" w:hAnsi="Times New Roman" w:cs="Times New Roman"/>
        </w:rPr>
        <w:t xml:space="preserve">On a whole, both experienced and less experienced in-service teachers preferred integrating all four language skills within environmental education stressing the importance of interdisciplinary classroom </w:t>
      </w:r>
      <w:proofErr w:type="gramStart"/>
      <w:r w:rsidR="00186C4E" w:rsidRPr="00186C4E">
        <w:rPr>
          <w:rFonts w:ascii="Times New Roman" w:hAnsi="Times New Roman" w:cs="Times New Roman"/>
        </w:rPr>
        <w:t>assessment  strategies</w:t>
      </w:r>
      <w:proofErr w:type="gramEnd"/>
      <w:r w:rsidR="00186C4E" w:rsidRPr="00186C4E">
        <w:rPr>
          <w:rFonts w:ascii="Times New Roman" w:hAnsi="Times New Roman" w:cs="Times New Roman"/>
        </w:rPr>
        <w:t xml:space="preserve"> at secondary school level.</w:t>
      </w:r>
      <w:r w:rsidR="00186C4E">
        <w:rPr>
          <w:rFonts w:ascii="Times New Roman" w:hAnsi="Times New Roman" w:cs="Times New Roman"/>
        </w:rPr>
        <w:t xml:space="preserve"> </w:t>
      </w:r>
      <w:r w:rsidRPr="00660CFA">
        <w:rPr>
          <w:rFonts w:ascii="Times New Roman" w:hAnsi="Times New Roman" w:cs="Times New Roman"/>
        </w:rPr>
        <w:t>The findings have implications for interdisciplinary teacher assessment practices and interdisciplinary teacher training.</w:t>
      </w:r>
    </w:p>
    <w:bookmarkEnd w:id="0"/>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Key words: In-service teacher perspectives, sustainable developmental goals, assessment literacy, Interdisciplinary approach</w:t>
      </w: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b/>
          <w:bCs/>
        </w:rPr>
        <w:t>Introduction</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The National Curriculum Framework for School Education 2023 has highlighted the importance of environmental science at different stages of education</w:t>
      </w:r>
      <w:r w:rsidR="009E2ADA" w:rsidRPr="00660CFA">
        <w:rPr>
          <w:rFonts w:ascii="Times New Roman" w:hAnsi="Times New Roman" w:cs="Times New Roman"/>
        </w:rPr>
        <w:t>,</w:t>
      </w:r>
      <w:r w:rsidRPr="00660CFA">
        <w:rPr>
          <w:rFonts w:ascii="Times New Roman" w:hAnsi="Times New Roman" w:cs="Times New Roman"/>
        </w:rPr>
        <w:t xml:space="preserve"> starting from the preparatory stage to the secondary stage </w:t>
      </w:r>
      <w:r w:rsidR="00824A79" w:rsidRPr="00660CFA">
        <w:rPr>
          <w:rFonts w:ascii="Times New Roman" w:hAnsi="Times New Roman" w:cs="Times New Roman"/>
        </w:rPr>
        <w:fldChar w:fldCharType="begin" w:fldLock="1"/>
      </w:r>
      <w:r w:rsidRPr="00660CFA">
        <w:rPr>
          <w:rFonts w:ascii="Times New Roman" w:hAnsi="Times New Roman" w:cs="Times New Roman"/>
        </w:rPr>
        <w:instrText>ADDIN CSL_CITATION {"citationItems":[{"id":"ITEM-1","itemData":{"author":[{"dropping-particle":"","family":"Kumar","given":"Sachin","non-dropping-particle":"","parse-names":false,"suffix":""}],"id":"ITEM-1","issued":{"date-parts":[["0"]]},"title":"National Curriculum Framework for School Education, 2023: Implications for Career Guidance Practice","type":"article-journal"},"uris":["http://www.mendeley.com/documents/?uuid=3a103657-cb45-42e1-ba30-1eb32d3c9989"]}],"mendeley":{"formattedCitation":"(Kumar, n.d.)","plainTextFormattedCitation":"(Kumar, n.d.)","previouslyFormattedCitation":"(Kumar, n.d.)"},"properties":{"noteIndex":0},"schema":"https://github.com/citation-style-language/schema/raw/master/csl-citation.json"}</w:instrText>
      </w:r>
      <w:r w:rsidR="00824A79" w:rsidRPr="00660CFA">
        <w:rPr>
          <w:rFonts w:ascii="Times New Roman" w:hAnsi="Times New Roman" w:cs="Times New Roman"/>
        </w:rPr>
        <w:fldChar w:fldCharType="separate"/>
      </w:r>
      <w:r w:rsidRPr="00660CFA">
        <w:rPr>
          <w:rFonts w:ascii="Times New Roman" w:hAnsi="Times New Roman" w:cs="Times New Roman"/>
          <w:noProof/>
        </w:rPr>
        <w:t>(Kumar, n.d.)</w:t>
      </w:r>
      <w:r w:rsidR="00824A79" w:rsidRPr="00660CFA">
        <w:rPr>
          <w:rFonts w:ascii="Times New Roman" w:hAnsi="Times New Roman" w:cs="Times New Roman"/>
        </w:rPr>
        <w:fldChar w:fldCharType="end"/>
      </w:r>
      <w:r w:rsidRPr="00660CFA">
        <w:rPr>
          <w:rFonts w:ascii="Times New Roman" w:hAnsi="Times New Roman" w:cs="Times New Roman"/>
        </w:rPr>
        <w:t>. The assessment practices of grade 10 students were aimed at equipping them with the understanding the environmental problems and also critically analyze those problems and propose solutions with implications for society and the ecology “students must understand the environment, develop sensitivity towards it, and demonstrate care for it” (NCF, 2023, Chapter 5). At the same time</w:t>
      </w:r>
      <w:r w:rsidR="009E2ADA" w:rsidRPr="00660CFA">
        <w:rPr>
          <w:rFonts w:ascii="Times New Roman" w:hAnsi="Times New Roman" w:cs="Times New Roman"/>
        </w:rPr>
        <w:t>,</w:t>
      </w:r>
      <w:r w:rsidRPr="00660CFA">
        <w:rPr>
          <w:rFonts w:ascii="Times New Roman" w:hAnsi="Times New Roman" w:cs="Times New Roman"/>
        </w:rPr>
        <w:t xml:space="preserve"> the document emphasises teacher training in these assessment practices</w:t>
      </w:r>
      <w:r w:rsidR="009E2ADA" w:rsidRPr="00660CFA">
        <w:rPr>
          <w:rFonts w:ascii="Times New Roman" w:hAnsi="Times New Roman" w:cs="Times New Roman"/>
        </w:rPr>
        <w:t>,</w:t>
      </w:r>
      <w:r w:rsidRPr="00660CFA">
        <w:rPr>
          <w:rFonts w:ascii="Times New Roman" w:hAnsi="Times New Roman" w:cs="Times New Roman"/>
        </w:rPr>
        <w:t xml:space="preserve"> which will help in improving the quality of assessment with a due focus on teaching methodologies that will align with the above assessment goals. It also calls for </w:t>
      </w:r>
      <w:r w:rsidR="009E2ADA" w:rsidRPr="00660CFA">
        <w:rPr>
          <w:rFonts w:ascii="Times New Roman" w:hAnsi="Times New Roman" w:cs="Times New Roman"/>
        </w:rPr>
        <w:t>promoting</w:t>
      </w:r>
      <w:r w:rsidRPr="00660CFA">
        <w:rPr>
          <w:rFonts w:ascii="Times New Roman" w:hAnsi="Times New Roman" w:cs="Times New Roman"/>
        </w:rPr>
        <w:t xml:space="preserve"> fair, transparent, and ethically sound assessment practices, fostering an environment of integrity and trust in the educational process. This study responds to that vision by investigating the readiness and perspectives of in-service teachers regarding interdisciplinary assessment strategies that integrate environmental science and language learning.</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The aspect of language assessment is indirectly reflected in the suggested assessment practices in Environmental Education for Grade 10. While the focus is primarily on assessing students’ understanding, critical thinking values development, and practical engagement with environmental </w:t>
      </w:r>
      <w:r w:rsidRPr="00660CFA">
        <w:rPr>
          <w:rFonts w:ascii="Times New Roman" w:hAnsi="Times New Roman" w:cs="Times New Roman"/>
        </w:rPr>
        <w:lastRenderedPageBreak/>
        <w:t xml:space="preserve">issues, language skills play a crucial role in several components of the proposed strategies. Students are required to think critically to analyze the information and express their views effectively </w:t>
      </w:r>
      <w:r w:rsidR="00824A79" w:rsidRPr="00660CFA">
        <w:rPr>
          <w:rFonts w:ascii="Times New Roman" w:hAnsi="Times New Roman" w:cs="Times New Roman"/>
        </w:rPr>
        <w:fldChar w:fldCharType="begin" w:fldLock="1"/>
      </w:r>
      <w:r w:rsidRPr="00660CFA">
        <w:rPr>
          <w:rFonts w:ascii="Times New Roman" w:hAnsi="Times New Roman" w:cs="Times New Roman"/>
        </w:rPr>
        <w:instrText>ADDIN CSL_CITATION {"citationItems":[{"id":"ITEM-1","itemData":{"author":[{"dropping-particle":"","family":"Aggarwal","given":"Garima","non-dropping-particle":"","parse-names":false,"suffix":""}],"id":"ITEM-1","issued":{"date-parts":[["0"]]},"title":"Reimagining Education in India: The Curricular Vision of the New Education Policy 2020","type":"article-journal"},"uris":["http://www.mendeley.com/documents/?uuid=008ecdb1-bf57-4aa8-a92e-69df504f72c9"]}],"mendeley":{"formattedCitation":"(Aggarwal, n.d.)","plainTextFormattedCitation":"(Aggarwal, n.d.)","previouslyFormattedCitation":"(Aggarwal, n.d.)"},"properties":{"noteIndex":0},"schema":"https://github.com/citation-style-language/schema/raw/master/csl-citation.json"}</w:instrText>
      </w:r>
      <w:r w:rsidR="00824A79" w:rsidRPr="00660CFA">
        <w:rPr>
          <w:rFonts w:ascii="Times New Roman" w:hAnsi="Times New Roman" w:cs="Times New Roman"/>
        </w:rPr>
        <w:fldChar w:fldCharType="separate"/>
      </w:r>
      <w:r w:rsidRPr="00660CFA">
        <w:rPr>
          <w:rFonts w:ascii="Times New Roman" w:hAnsi="Times New Roman" w:cs="Times New Roman"/>
          <w:noProof/>
        </w:rPr>
        <w:t>(Aggarwal, n.d.)</w:t>
      </w:r>
      <w:r w:rsidR="00824A79" w:rsidRPr="00660CFA">
        <w:rPr>
          <w:rFonts w:ascii="Times New Roman" w:hAnsi="Times New Roman" w:cs="Times New Roman"/>
        </w:rPr>
        <w:fldChar w:fldCharType="end"/>
      </w:r>
      <w:r w:rsidRPr="00660CFA">
        <w:rPr>
          <w:rFonts w:ascii="Times New Roman" w:hAnsi="Times New Roman" w:cs="Times New Roman"/>
        </w:rPr>
        <w:t>. This requires effective language use</w:t>
      </w:r>
      <w:r w:rsidR="00CF144C" w:rsidRPr="00660CFA">
        <w:rPr>
          <w:rFonts w:ascii="Times New Roman" w:hAnsi="Times New Roman" w:cs="Times New Roman"/>
        </w:rPr>
        <w:t>,</w:t>
      </w:r>
      <w:r w:rsidRPr="00660CFA">
        <w:rPr>
          <w:rFonts w:ascii="Times New Roman" w:hAnsi="Times New Roman" w:cs="Times New Roman"/>
        </w:rPr>
        <w:t xml:space="preserve"> which should be one of the main objectives of teaching methodology. The teaching activities can include debates and group discussions</w:t>
      </w:r>
      <w:r w:rsidR="00CF144C" w:rsidRPr="00660CFA">
        <w:rPr>
          <w:rFonts w:ascii="Times New Roman" w:hAnsi="Times New Roman" w:cs="Times New Roman"/>
        </w:rPr>
        <w:t>,</w:t>
      </w:r>
      <w:r w:rsidRPr="00660CFA">
        <w:rPr>
          <w:rFonts w:ascii="Times New Roman" w:hAnsi="Times New Roman" w:cs="Times New Roman"/>
        </w:rPr>
        <w:t xml:space="preserve"> which will encourage students to present their views critically. So, effective language skills also indicate improved language proficiency. Along with that</w:t>
      </w:r>
      <w:r w:rsidR="00CF144C" w:rsidRPr="00660CFA">
        <w:rPr>
          <w:rFonts w:ascii="Times New Roman" w:hAnsi="Times New Roman" w:cs="Times New Roman"/>
        </w:rPr>
        <w:t>,</w:t>
      </w:r>
      <w:r w:rsidRPr="00660CFA">
        <w:rPr>
          <w:rFonts w:ascii="Times New Roman" w:hAnsi="Times New Roman" w:cs="Times New Roman"/>
        </w:rPr>
        <w:t xml:space="preserve"> communicative abilities are also the focus. </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Effective language skills are required to understand, interpret, and analyze information available in visual and written formats. This will help learners to reflect on environmental problems and express their thoughts and insights. Although it is not specified, language proficiency is required for the above assessment practices and signifies overall skill improvement of learners. At another level, the communication skills of students are also important in presenting their ideas and opinions effectively. </w:t>
      </w:r>
    </w:p>
    <w:p w:rsidR="005D14AE" w:rsidRPr="00660CFA" w:rsidRDefault="00833F87" w:rsidP="009F0723">
      <w:pPr>
        <w:spacing w:line="240" w:lineRule="auto"/>
        <w:jc w:val="both"/>
        <w:rPr>
          <w:rFonts w:ascii="Times New Roman" w:hAnsi="Times New Roman" w:cs="Times New Roman"/>
          <w:b/>
        </w:rPr>
      </w:pPr>
      <w:r w:rsidRPr="00660CFA">
        <w:rPr>
          <w:rFonts w:ascii="Times New Roman" w:hAnsi="Times New Roman" w:cs="Times New Roman"/>
        </w:rPr>
        <w:t xml:space="preserve">  </w:t>
      </w:r>
      <w:r w:rsidRPr="00660CFA">
        <w:rPr>
          <w:rFonts w:ascii="Times New Roman" w:hAnsi="Times New Roman" w:cs="Times New Roman"/>
          <w:b/>
        </w:rPr>
        <w:t>Significance of the study:</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The study is significant from the aspect of aligning closely with Sustainable Development Goal (SDG) 4</w:t>
      </w:r>
      <w:r w:rsidR="00CF144C" w:rsidRPr="00660CFA">
        <w:rPr>
          <w:rFonts w:ascii="Times New Roman" w:hAnsi="Times New Roman" w:cs="Times New Roman"/>
        </w:rPr>
        <w:t>,</w:t>
      </w:r>
      <w:r w:rsidRPr="00660CFA">
        <w:rPr>
          <w:rFonts w:ascii="Times New Roman" w:hAnsi="Times New Roman" w:cs="Times New Roman"/>
        </w:rPr>
        <w:t xml:space="preserve"> </w:t>
      </w:r>
      <w:r w:rsidR="00CF144C" w:rsidRPr="00660CFA">
        <w:rPr>
          <w:rFonts w:ascii="Times New Roman" w:hAnsi="Times New Roman" w:cs="Times New Roman"/>
        </w:rPr>
        <w:t>which</w:t>
      </w:r>
      <w:r w:rsidRPr="00660CFA">
        <w:rPr>
          <w:rFonts w:ascii="Times New Roman" w:hAnsi="Times New Roman" w:cs="Times New Roman"/>
        </w:rPr>
        <w:t xml:space="preserve"> is 'Quality Education'</w:t>
      </w:r>
      <w:r w:rsidR="00CF144C" w:rsidRPr="00660CFA">
        <w:rPr>
          <w:rFonts w:ascii="Times New Roman" w:hAnsi="Times New Roman" w:cs="Times New Roman"/>
        </w:rPr>
        <w:t>,</w:t>
      </w:r>
      <w:r w:rsidRPr="00660CFA">
        <w:rPr>
          <w:rFonts w:ascii="Times New Roman" w:hAnsi="Times New Roman" w:cs="Times New Roman"/>
        </w:rPr>
        <w:t xml:space="preserve"> as it aims to improve teachers’ pedagogical and assessment competencies, particularly in interdisciplinary education combining English language and environmental science. This allows for the provision of inclusive and quality education that achieves both critical thinking and interaction among learners.</w:t>
      </w:r>
      <w:r w:rsidRPr="00660CFA">
        <w:rPr>
          <w:rFonts w:ascii="Times New Roman" w:hAnsi="Times New Roman" w:cs="Times New Roman"/>
          <w:lang w:val="en-GB"/>
        </w:rPr>
        <w:t xml:space="preserve"> </w:t>
      </w:r>
      <w:r w:rsidRPr="00660CFA">
        <w:rPr>
          <w:rFonts w:ascii="Times New Roman" w:hAnsi="Times New Roman" w:cs="Times New Roman"/>
        </w:rPr>
        <w:t>Furthermore, it contributes to Sustainable Development Goal 13 (Climate Action) by addressing language inexpressiveness and lack of environmental awareness through assessment strategies and motivating learners to contribute actively in sustainability efforts, and fosters a generation capable of informed action towards environmental protection.</w:t>
      </w:r>
    </w:p>
    <w:p w:rsidR="005D14AE" w:rsidRPr="00660CFA" w:rsidRDefault="00833F87" w:rsidP="009F0723">
      <w:pPr>
        <w:spacing w:line="240" w:lineRule="auto"/>
        <w:jc w:val="both"/>
        <w:rPr>
          <w:rFonts w:ascii="Times New Roman" w:hAnsi="Times New Roman" w:cs="Times New Roman"/>
          <w:bCs/>
        </w:rPr>
      </w:pPr>
      <w:r w:rsidRPr="00660CFA">
        <w:rPr>
          <w:rFonts w:ascii="Times New Roman" w:hAnsi="Times New Roman" w:cs="Times New Roman"/>
          <w:bCs/>
        </w:rPr>
        <w:t>The study addresses one of the widely existing issues</w:t>
      </w:r>
      <w:r w:rsidR="00CF144C" w:rsidRPr="00660CFA">
        <w:rPr>
          <w:rFonts w:ascii="Times New Roman" w:hAnsi="Times New Roman" w:cs="Times New Roman"/>
          <w:bCs/>
        </w:rPr>
        <w:t>,</w:t>
      </w:r>
      <w:r w:rsidRPr="00660CFA">
        <w:rPr>
          <w:rFonts w:ascii="Times New Roman" w:hAnsi="Times New Roman" w:cs="Times New Roman"/>
          <w:bCs/>
        </w:rPr>
        <w:t xml:space="preserve"> which </w:t>
      </w:r>
      <w:proofErr w:type="gramStart"/>
      <w:r w:rsidRPr="00660CFA">
        <w:rPr>
          <w:rFonts w:ascii="Times New Roman" w:hAnsi="Times New Roman" w:cs="Times New Roman"/>
          <w:bCs/>
        </w:rPr>
        <w:t>is</w:t>
      </w:r>
      <w:proofErr w:type="gramEnd"/>
      <w:r w:rsidRPr="00660CFA">
        <w:rPr>
          <w:rFonts w:ascii="Times New Roman" w:hAnsi="Times New Roman" w:cs="Times New Roman"/>
          <w:bCs/>
        </w:rPr>
        <w:t xml:space="preserve"> the outdated assessment practices and </w:t>
      </w:r>
      <w:r w:rsidR="00CF144C" w:rsidRPr="00660CFA">
        <w:rPr>
          <w:rFonts w:ascii="Times New Roman" w:hAnsi="Times New Roman" w:cs="Times New Roman"/>
          <w:bCs/>
        </w:rPr>
        <w:t xml:space="preserve">the </w:t>
      </w:r>
      <w:r w:rsidRPr="00660CFA">
        <w:rPr>
          <w:rFonts w:ascii="Times New Roman" w:hAnsi="Times New Roman" w:cs="Times New Roman"/>
          <w:bCs/>
        </w:rPr>
        <w:t xml:space="preserve">lack of </w:t>
      </w:r>
      <w:r w:rsidR="00CF144C" w:rsidRPr="00660CFA">
        <w:rPr>
          <w:rFonts w:ascii="Times New Roman" w:hAnsi="Times New Roman" w:cs="Times New Roman"/>
          <w:bCs/>
        </w:rPr>
        <w:t>adequate</w:t>
      </w:r>
      <w:r w:rsidRPr="00660CFA">
        <w:rPr>
          <w:rFonts w:ascii="Times New Roman" w:hAnsi="Times New Roman" w:cs="Times New Roman"/>
          <w:bCs/>
        </w:rPr>
        <w:t xml:space="preserve"> teacher training in interdisciplinary skill learning. With this, the study emphasizes updated assessment procedures in the field of interdisciplinary teaching and learning</w:t>
      </w:r>
      <w:r w:rsidR="00CF144C" w:rsidRPr="00660CFA">
        <w:rPr>
          <w:rFonts w:ascii="Times New Roman" w:hAnsi="Times New Roman" w:cs="Times New Roman"/>
          <w:bCs/>
        </w:rPr>
        <w:t>,</w:t>
      </w:r>
      <w:r w:rsidRPr="00660CFA">
        <w:rPr>
          <w:rFonts w:ascii="Times New Roman" w:hAnsi="Times New Roman" w:cs="Times New Roman"/>
          <w:bCs/>
        </w:rPr>
        <w:t xml:space="preserve"> such as case studies, project-based assessments, and e-portfolio assessments. The insights of this study will help in enhancing interdisciplinary assessment practices and also </w:t>
      </w:r>
      <w:r w:rsidR="00CF144C" w:rsidRPr="00660CFA">
        <w:rPr>
          <w:rFonts w:ascii="Times New Roman" w:hAnsi="Times New Roman" w:cs="Times New Roman"/>
          <w:bCs/>
        </w:rPr>
        <w:t>in</w:t>
      </w:r>
      <w:r w:rsidRPr="00660CFA">
        <w:rPr>
          <w:rFonts w:ascii="Times New Roman" w:hAnsi="Times New Roman" w:cs="Times New Roman"/>
          <w:bCs/>
        </w:rPr>
        <w:t xml:space="preserve"> the improvement of professional development programs through improved resource allocation</w:t>
      </w:r>
      <w:r w:rsidR="00CF144C" w:rsidRPr="00660CFA">
        <w:rPr>
          <w:rFonts w:ascii="Times New Roman" w:hAnsi="Times New Roman" w:cs="Times New Roman"/>
          <w:bCs/>
        </w:rPr>
        <w:t>,</w:t>
      </w:r>
      <w:r w:rsidRPr="00660CFA">
        <w:rPr>
          <w:rFonts w:ascii="Times New Roman" w:hAnsi="Times New Roman" w:cs="Times New Roman"/>
          <w:bCs/>
        </w:rPr>
        <w:t xml:space="preserve"> which will help in teacher preparedness and further contribute to preparing learners for real-world problems.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Additionally, the study highlights the importance of systemic policy support to encourage teacher participation and engagement in interdisciplinary programs and implement effective interdisciplinary assessment strategies. </w:t>
      </w: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b/>
          <w:bCs/>
        </w:rPr>
        <w:t>Literature Review</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The literature review presented here deals with the past research conducted to assess environmental literacy and assessment techniques. In this way, the review highlights the theme of interdisciplinary assessment practices and their relevance to the pedagogy of environmental education. </w:t>
      </w: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b/>
          <w:bCs/>
        </w:rPr>
        <w:t>Environmental Education</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Bhatia (2020) found that only some Sustainable </w:t>
      </w:r>
      <w:r w:rsidR="00CF144C" w:rsidRPr="00660CFA">
        <w:rPr>
          <w:rFonts w:ascii="Times New Roman" w:hAnsi="Times New Roman" w:cs="Times New Roman"/>
        </w:rPr>
        <w:t>Development Goals</w:t>
      </w:r>
      <w:r w:rsidRPr="00660CFA">
        <w:rPr>
          <w:rFonts w:ascii="Times New Roman" w:hAnsi="Times New Roman" w:cs="Times New Roman"/>
        </w:rPr>
        <w:t xml:space="preserve"> (SDGs) were given preference in the Indian environmental education (EE) curriculum at the school level. They identified that the theoretical way of teaching </w:t>
      </w:r>
      <w:r w:rsidR="00CF144C" w:rsidRPr="00660CFA">
        <w:rPr>
          <w:rFonts w:ascii="Times New Roman" w:hAnsi="Times New Roman" w:cs="Times New Roman"/>
        </w:rPr>
        <w:t>was given more</w:t>
      </w:r>
      <w:r w:rsidRPr="00660CFA">
        <w:rPr>
          <w:rFonts w:ascii="Times New Roman" w:hAnsi="Times New Roman" w:cs="Times New Roman"/>
        </w:rPr>
        <w:t xml:space="preserve"> importance in Indian schools </w:t>
      </w:r>
      <w:r w:rsidR="00CF144C" w:rsidRPr="00660CFA">
        <w:rPr>
          <w:rFonts w:ascii="Times New Roman" w:hAnsi="Times New Roman" w:cs="Times New Roman"/>
        </w:rPr>
        <w:t>than</w:t>
      </w:r>
      <w:r w:rsidRPr="00660CFA">
        <w:rPr>
          <w:rFonts w:ascii="Times New Roman" w:hAnsi="Times New Roman" w:cs="Times New Roman"/>
        </w:rPr>
        <w:t xml:space="preserve"> practical teaching.</w:t>
      </w:r>
    </w:p>
    <w:p w:rsidR="005D14AE" w:rsidRPr="00660CFA" w:rsidRDefault="00833F87" w:rsidP="009F0723">
      <w:pPr>
        <w:spacing w:line="240" w:lineRule="auto"/>
        <w:jc w:val="both"/>
        <w:rPr>
          <w:rFonts w:ascii="Times New Roman" w:hAnsi="Times New Roman" w:cs="Times New Roman"/>
          <w:lang w:val="en-GB"/>
        </w:rPr>
      </w:pPr>
      <w:r w:rsidRPr="00660CFA">
        <w:rPr>
          <w:rFonts w:ascii="Times New Roman" w:hAnsi="Times New Roman" w:cs="Times New Roman"/>
        </w:rPr>
        <w:t xml:space="preserve">Various school subjects address the interaction between society and nature in different ways. In chemistry, physics, and technology, there is a focus on environmentally friendly technologies. Biology and geography cover topics related to human ecology while addressing issues of protection and the safety of life. </w:t>
      </w:r>
      <w:proofErr w:type="spellStart"/>
      <w:r w:rsidRPr="00660CFA">
        <w:rPr>
          <w:rFonts w:ascii="Times New Roman" w:hAnsi="Times New Roman" w:cs="Times New Roman"/>
        </w:rPr>
        <w:t>Shutaleva</w:t>
      </w:r>
      <w:proofErr w:type="spellEnd"/>
      <w:r w:rsidRPr="00660CFA">
        <w:rPr>
          <w:rFonts w:ascii="Times New Roman" w:hAnsi="Times New Roman" w:cs="Times New Roman"/>
        </w:rPr>
        <w:t xml:space="preserve"> et al. (2020) emphasized that</w:t>
      </w:r>
      <w:r w:rsidR="00D6215C" w:rsidRPr="00660CFA">
        <w:rPr>
          <w:rFonts w:ascii="Times New Roman" w:hAnsi="Times New Roman" w:cs="Times New Roman"/>
        </w:rPr>
        <w:t>,</w:t>
      </w:r>
      <w:r w:rsidRPr="00660CFA">
        <w:rPr>
          <w:rFonts w:ascii="Times New Roman" w:hAnsi="Times New Roman" w:cs="Times New Roman"/>
        </w:rPr>
        <w:t xml:space="preserve"> along with practical-based learning</w:t>
      </w:r>
      <w:r w:rsidR="00CF144C" w:rsidRPr="00660CFA">
        <w:rPr>
          <w:rFonts w:ascii="Times New Roman" w:hAnsi="Times New Roman" w:cs="Times New Roman"/>
        </w:rPr>
        <w:t>,</w:t>
      </w:r>
      <w:r w:rsidRPr="00660CFA">
        <w:rPr>
          <w:rFonts w:ascii="Times New Roman" w:hAnsi="Times New Roman" w:cs="Times New Roman"/>
        </w:rPr>
        <w:t xml:space="preserve"> environmental education should include an interdisciplinary understanding of related aspects to environmental issues.</w:t>
      </w:r>
      <w:r w:rsidRPr="00660CFA">
        <w:rPr>
          <w:rFonts w:ascii="Times New Roman" w:hAnsi="Times New Roman" w:cs="Times New Roman"/>
          <w:lang w:val="en-GB"/>
        </w:rPr>
        <w:t xml:space="preserve"> </w:t>
      </w:r>
      <w:r w:rsidRPr="00660CFA">
        <w:rPr>
          <w:rFonts w:ascii="Times New Roman" w:eastAsia="sans-serif" w:hAnsi="Times New Roman" w:cs="Times New Roman"/>
          <w:color w:val="172B4D"/>
          <w:shd w:val="clear" w:color="auto" w:fill="FFFFFF"/>
        </w:rPr>
        <w:t>The need for environmental education is emphasized strongly by UNESCO’s Education for Sustainable Development (ESD) framework</w:t>
      </w:r>
      <w:r w:rsidR="002E02A7" w:rsidRPr="00660CFA">
        <w:rPr>
          <w:rFonts w:ascii="Times New Roman" w:eastAsia="sans-serif" w:hAnsi="Times New Roman" w:cs="Times New Roman"/>
          <w:color w:val="172B4D"/>
          <w:shd w:val="clear" w:color="auto" w:fill="FFFFFF"/>
        </w:rPr>
        <w:t xml:space="preserve"> </w:t>
      </w:r>
      <w:r w:rsidR="00824A79" w:rsidRPr="00660CFA">
        <w:rPr>
          <w:rFonts w:ascii="Times New Roman" w:eastAsia="sans-serif" w:hAnsi="Times New Roman" w:cs="Times New Roman"/>
          <w:color w:val="172B4D"/>
          <w:shd w:val="clear" w:color="auto" w:fill="FFFFFF"/>
        </w:rPr>
        <w:fldChar w:fldCharType="begin" w:fldLock="1"/>
      </w:r>
      <w:r w:rsidR="002E02A7" w:rsidRPr="00660CFA">
        <w:rPr>
          <w:rFonts w:ascii="Times New Roman" w:eastAsia="sans-serif" w:hAnsi="Times New Roman" w:cs="Times New Roman"/>
          <w:color w:val="172B4D"/>
          <w:shd w:val="clear" w:color="auto" w:fill="FFFFFF"/>
        </w:rPr>
        <w:instrText>ADDIN CSL_CITATION {"citationItems":[{"id":"ITEM-1","itemData":{"author":[{"dropping-particle":"","family":"Rieckmann","given":"Marco","non-dropping-particle":"","parse-names":false,"suffix":""},{"dropping-particle":"","family":"Barth","given":"Matthias","non-dropping-particle":"","parse-names":false,"suffix":""}],"container-title":"Competences in education for sustainable development: Critical perspectives","id":"ITEM-1","issued":{"date-parts":[["2022"]]},"page":"19-26","publisher":"Springer","title":"Educators’ competence frameworks in education for sustainable development","type":"chapter"},"uris":["http://www.mendeley.com/documents/?uuid=878d2608-e241-475f-bcce-dfc2ab480da4"]}],"mendeley":{"formattedCitation":"(Rieckmann &amp; Barth, 2022)","plainTextFormattedCitation":"(Rieckmann &amp; Barth, 2022)"},"properties":{"noteIndex":0},"schema":"https://github.com/citation-style-language/schema/raw/master/csl-citation.json"}</w:instrText>
      </w:r>
      <w:r w:rsidR="00824A79" w:rsidRPr="00660CFA">
        <w:rPr>
          <w:rFonts w:ascii="Times New Roman" w:eastAsia="sans-serif" w:hAnsi="Times New Roman" w:cs="Times New Roman"/>
          <w:color w:val="172B4D"/>
          <w:shd w:val="clear" w:color="auto" w:fill="FFFFFF"/>
        </w:rPr>
        <w:fldChar w:fldCharType="separate"/>
      </w:r>
      <w:r w:rsidR="002E02A7" w:rsidRPr="00660CFA">
        <w:rPr>
          <w:rFonts w:ascii="Times New Roman" w:eastAsia="sans-serif" w:hAnsi="Times New Roman" w:cs="Times New Roman"/>
          <w:noProof/>
          <w:color w:val="172B4D"/>
          <w:shd w:val="clear" w:color="auto" w:fill="FFFFFF"/>
        </w:rPr>
        <w:t>(Rieckmann &amp; Barth, 2022)</w:t>
      </w:r>
      <w:r w:rsidR="00824A79" w:rsidRPr="00660CFA">
        <w:rPr>
          <w:rFonts w:ascii="Times New Roman" w:eastAsia="sans-serif" w:hAnsi="Times New Roman" w:cs="Times New Roman"/>
          <w:color w:val="172B4D"/>
          <w:shd w:val="clear" w:color="auto" w:fill="FFFFFF"/>
        </w:rPr>
        <w:fldChar w:fldCharType="end"/>
      </w:r>
      <w:r w:rsidRPr="00660CFA">
        <w:rPr>
          <w:rFonts w:ascii="Times New Roman" w:eastAsia="sans-serif" w:hAnsi="Times New Roman" w:cs="Times New Roman"/>
          <w:color w:val="172B4D"/>
          <w:shd w:val="clear" w:color="auto" w:fill="FFFFFF"/>
        </w:rPr>
        <w:t xml:space="preserve">, which focuses on the integration of sustainability values, critical thinking, and global citizenship across curricula. It does encourage an interdisciplinary approach, aligning with Bhatia’s (2020) observation </w:t>
      </w:r>
      <w:r w:rsidRPr="00660CFA">
        <w:rPr>
          <w:rFonts w:ascii="Times New Roman" w:eastAsia="sans-serif" w:hAnsi="Times New Roman" w:cs="Times New Roman"/>
          <w:color w:val="172B4D"/>
          <w:shd w:val="clear" w:color="auto" w:fill="FFFFFF"/>
        </w:rPr>
        <w:lastRenderedPageBreak/>
        <w:t xml:space="preserve">of the limitations in current curricula and </w:t>
      </w:r>
      <w:proofErr w:type="spellStart"/>
      <w:r w:rsidRPr="00660CFA">
        <w:rPr>
          <w:rFonts w:ascii="Times New Roman" w:eastAsia="sans-serif" w:hAnsi="Times New Roman" w:cs="Times New Roman"/>
          <w:color w:val="172B4D"/>
          <w:shd w:val="clear" w:color="auto" w:fill="FFFFFF"/>
        </w:rPr>
        <w:t>Shutaleva</w:t>
      </w:r>
      <w:proofErr w:type="spellEnd"/>
      <w:r w:rsidRPr="00660CFA">
        <w:rPr>
          <w:rFonts w:ascii="Times New Roman" w:eastAsia="sans-serif" w:hAnsi="Times New Roman" w:cs="Times New Roman"/>
          <w:color w:val="172B4D"/>
          <w:shd w:val="clear" w:color="auto" w:fill="FFFFFF"/>
        </w:rPr>
        <w:t xml:space="preserve"> et al.’s (2020) request for practical, cross-disciplinary methods in environmental education.</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 On the whole, the above studies try to convey the need for environmental education</w:t>
      </w:r>
      <w:r w:rsidR="00CF144C" w:rsidRPr="00660CFA">
        <w:rPr>
          <w:rFonts w:ascii="Times New Roman" w:hAnsi="Times New Roman" w:cs="Times New Roman"/>
        </w:rPr>
        <w:t>,</w:t>
      </w:r>
      <w:r w:rsidRPr="00660CFA">
        <w:rPr>
          <w:rFonts w:ascii="Times New Roman" w:hAnsi="Times New Roman" w:cs="Times New Roman"/>
        </w:rPr>
        <w:t xml:space="preserve"> which involves a holistic perspective rather than just focusing on isolated aspects.</w:t>
      </w: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b/>
          <w:bCs/>
        </w:rPr>
        <w:t>Assessing environmental literacy</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Tal (2005) conducted a study where a complex assessment method was implemented in an environmental education course for senior pre-service science and technology teachers. This method, comprising pre-, in-, and after-course assessments, effectively evaluated knowledge, reasoning, decision-making, and active involvement. The team projects will help learners </w:t>
      </w:r>
      <w:r w:rsidR="00CF144C" w:rsidRPr="00660CFA">
        <w:rPr>
          <w:rFonts w:ascii="Times New Roman" w:hAnsi="Times New Roman" w:cs="Times New Roman"/>
        </w:rPr>
        <w:t>improve</w:t>
      </w:r>
      <w:r w:rsidRPr="00660CFA">
        <w:rPr>
          <w:rFonts w:ascii="Times New Roman" w:hAnsi="Times New Roman" w:cs="Times New Roman"/>
        </w:rPr>
        <w:t xml:space="preserve"> their awareness levels based on critical inquiry. Added to that</w:t>
      </w:r>
      <w:r w:rsidR="00CF144C" w:rsidRPr="00660CFA">
        <w:rPr>
          <w:rFonts w:ascii="Times New Roman" w:hAnsi="Times New Roman" w:cs="Times New Roman"/>
        </w:rPr>
        <w:t>,</w:t>
      </w:r>
      <w:r w:rsidRPr="00660CFA">
        <w:rPr>
          <w:rFonts w:ascii="Times New Roman" w:hAnsi="Times New Roman" w:cs="Times New Roman"/>
        </w:rPr>
        <w:t xml:space="preserve"> self-and-peer-assessment practices will promote engaged discussions. These comprehensive assessment practices meet the objectives of multidimensional learning of environmental education by focusing not just on knowledge but also awareness, skills, and attitudinal values.</w:t>
      </w:r>
    </w:p>
    <w:p w:rsidR="005D14AE" w:rsidRPr="00660CFA" w:rsidRDefault="00833F87" w:rsidP="009F0723">
      <w:pPr>
        <w:spacing w:line="240" w:lineRule="auto"/>
        <w:jc w:val="both"/>
        <w:rPr>
          <w:rFonts w:ascii="Times New Roman" w:hAnsi="Times New Roman" w:cs="Times New Roman"/>
        </w:rPr>
      </w:pPr>
      <w:proofErr w:type="spellStart"/>
      <w:r w:rsidRPr="00660CFA">
        <w:rPr>
          <w:rFonts w:ascii="Times New Roman" w:hAnsi="Times New Roman" w:cs="Times New Roman"/>
        </w:rPr>
        <w:t>Kahyaoğlu</w:t>
      </w:r>
      <w:proofErr w:type="spellEnd"/>
      <w:r w:rsidRPr="00660CFA">
        <w:rPr>
          <w:rFonts w:ascii="Times New Roman" w:hAnsi="Times New Roman" w:cs="Times New Roman"/>
        </w:rPr>
        <w:t xml:space="preserve"> (2011) found that factors such as age, income, gender, and experience had an impact on the environmental literacy of primary school teachers of science and technology in Turkey. The study, based on responses from 1182 teachers, found that the majority demonstrate adequate environmental knowledge, positive attitudes, and high levels of concern for the environment. However, the environmental courses that the teachers completed, their academic background and their geographical location showed no significant effect on the environmental literacy levels of school teachers. </w:t>
      </w:r>
      <w:proofErr w:type="spellStart"/>
      <w:r w:rsidRPr="00660CFA">
        <w:rPr>
          <w:rFonts w:ascii="Times New Roman" w:hAnsi="Times New Roman" w:cs="Times New Roman"/>
        </w:rPr>
        <w:t>Gavrilakis</w:t>
      </w:r>
      <w:proofErr w:type="spellEnd"/>
      <w:r w:rsidRPr="00660CFA">
        <w:rPr>
          <w:rFonts w:ascii="Times New Roman" w:hAnsi="Times New Roman" w:cs="Times New Roman"/>
        </w:rPr>
        <w:t xml:space="preserve"> et al. (2017) surveyed the environmental literacy of Greek students in the Primary Education department</w:t>
      </w:r>
      <w:r w:rsidR="00CF144C" w:rsidRPr="00660CFA">
        <w:rPr>
          <w:rFonts w:ascii="Times New Roman" w:hAnsi="Times New Roman" w:cs="Times New Roman"/>
        </w:rPr>
        <w:t>,</w:t>
      </w:r>
      <w:r w:rsidRPr="00660CFA">
        <w:rPr>
          <w:rFonts w:ascii="Times New Roman" w:hAnsi="Times New Roman" w:cs="Times New Roman"/>
        </w:rPr>
        <w:t xml:space="preserve"> which revealed that the students held great concern for environmental issues</w:t>
      </w:r>
      <w:r w:rsidR="00CF144C" w:rsidRPr="00660CFA">
        <w:rPr>
          <w:rFonts w:ascii="Times New Roman" w:hAnsi="Times New Roman" w:cs="Times New Roman"/>
        </w:rPr>
        <w:t>,</w:t>
      </w:r>
      <w:r w:rsidRPr="00660CFA">
        <w:rPr>
          <w:rFonts w:ascii="Times New Roman" w:hAnsi="Times New Roman" w:cs="Times New Roman"/>
        </w:rPr>
        <w:t xml:space="preserve"> added to which their beliefs strongly correlated with environmental values. They demonstrated a high level of awareness regarding environmental concepts but lacked </w:t>
      </w:r>
      <w:r w:rsidR="00CF144C" w:rsidRPr="00660CFA">
        <w:rPr>
          <w:rFonts w:ascii="Times New Roman" w:hAnsi="Times New Roman" w:cs="Times New Roman"/>
        </w:rPr>
        <w:t xml:space="preserve">a </w:t>
      </w:r>
      <w:r w:rsidRPr="00660CFA">
        <w:rPr>
          <w:rFonts w:ascii="Times New Roman" w:hAnsi="Times New Roman" w:cs="Times New Roman"/>
        </w:rPr>
        <w:t>comprehensive understanding.</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Adding a framework for learning environmental issues</w:t>
      </w:r>
      <w:r w:rsidR="00CF144C" w:rsidRPr="00660CFA">
        <w:rPr>
          <w:rFonts w:ascii="Times New Roman" w:hAnsi="Times New Roman" w:cs="Times New Roman"/>
        </w:rPr>
        <w:t>,</w:t>
      </w:r>
      <w:r w:rsidRPr="00660CFA">
        <w:rPr>
          <w:rFonts w:ascii="Times New Roman" w:hAnsi="Times New Roman" w:cs="Times New Roman"/>
        </w:rPr>
        <w:t xml:space="preserve"> such as Kolb's experiential learning</w:t>
      </w:r>
      <w:r w:rsidR="00CF144C" w:rsidRPr="00660CFA">
        <w:rPr>
          <w:rFonts w:ascii="Times New Roman" w:hAnsi="Times New Roman" w:cs="Times New Roman"/>
        </w:rPr>
        <w:t>,</w:t>
      </w:r>
      <w:r w:rsidRPr="00660CFA">
        <w:rPr>
          <w:rFonts w:ascii="Times New Roman" w:hAnsi="Times New Roman" w:cs="Times New Roman"/>
        </w:rPr>
        <w:t xml:space="preserve"> will help learners build positive attitudes and develop awareness (knowledge) and skills such as critical thinking. This highlights the practical inclusion of environmental concepts in English language classrooms (</w:t>
      </w:r>
      <w:proofErr w:type="spellStart"/>
      <w:r w:rsidRPr="00660CFA">
        <w:rPr>
          <w:rFonts w:ascii="Times New Roman" w:hAnsi="Times New Roman" w:cs="Times New Roman"/>
        </w:rPr>
        <w:t>Bhusal</w:t>
      </w:r>
      <w:proofErr w:type="spellEnd"/>
      <w:r w:rsidR="00CF144C" w:rsidRPr="00660CFA">
        <w:rPr>
          <w:rFonts w:ascii="Times New Roman" w:hAnsi="Times New Roman" w:cs="Times New Roman"/>
        </w:rPr>
        <w:t xml:space="preserve">, </w:t>
      </w:r>
      <w:r w:rsidRPr="00660CFA">
        <w:rPr>
          <w:rFonts w:ascii="Times New Roman" w:hAnsi="Times New Roman" w:cs="Times New Roman"/>
        </w:rPr>
        <w:t xml:space="preserve">2021). </w:t>
      </w:r>
      <w:r w:rsidRPr="00660CFA">
        <w:rPr>
          <w:rFonts w:ascii="Times New Roman" w:eastAsia="sans-serif" w:hAnsi="Times New Roman" w:cs="Times New Roman"/>
          <w:color w:val="172B4D"/>
          <w:shd w:val="clear" w:color="auto" w:fill="FFFFFF"/>
        </w:rPr>
        <w:t>This idea corresponds with Bloom’s Taxonomy, according to which cognitive skills—ranging from understanding to critical evaluation—can be systematically developed through interdisciplinary assessment frameworks.</w:t>
      </w:r>
    </w:p>
    <w:p w:rsidR="005D14AE" w:rsidRPr="00660CFA" w:rsidRDefault="00833F87" w:rsidP="009F0723">
      <w:pPr>
        <w:spacing w:line="240" w:lineRule="auto"/>
        <w:jc w:val="both"/>
        <w:rPr>
          <w:rFonts w:ascii="Times New Roman" w:hAnsi="Times New Roman" w:cs="Times New Roman"/>
          <w:highlight w:val="yellow"/>
        </w:rPr>
      </w:pPr>
      <w:r w:rsidRPr="00660CFA">
        <w:rPr>
          <w:rFonts w:ascii="Times New Roman" w:hAnsi="Times New Roman" w:cs="Times New Roman"/>
        </w:rPr>
        <w:t xml:space="preserve"> Mercer et al. (2023) presented</w:t>
      </w:r>
      <w:r w:rsidR="00CF144C" w:rsidRPr="00660CFA">
        <w:rPr>
          <w:rFonts w:ascii="Times New Roman" w:hAnsi="Times New Roman" w:cs="Times New Roman"/>
        </w:rPr>
        <w:t>,</w:t>
      </w:r>
      <w:r w:rsidRPr="00660CFA">
        <w:rPr>
          <w:rFonts w:ascii="Times New Roman" w:hAnsi="Times New Roman" w:cs="Times New Roman"/>
        </w:rPr>
        <w:t xml:space="preserve"> through their findings</w:t>
      </w:r>
      <w:r w:rsidR="00CF144C" w:rsidRPr="00660CFA">
        <w:rPr>
          <w:rFonts w:ascii="Times New Roman" w:hAnsi="Times New Roman" w:cs="Times New Roman"/>
        </w:rPr>
        <w:t>,</w:t>
      </w:r>
      <w:r w:rsidRPr="00660CFA">
        <w:rPr>
          <w:rFonts w:ascii="Times New Roman" w:hAnsi="Times New Roman" w:cs="Times New Roman"/>
        </w:rPr>
        <w:t xml:space="preserve"> that a suitable and well-researched framework with training opportunities is required </w:t>
      </w:r>
      <w:r w:rsidR="00CF144C" w:rsidRPr="00660CFA">
        <w:rPr>
          <w:rFonts w:ascii="Times New Roman" w:hAnsi="Times New Roman" w:cs="Times New Roman"/>
        </w:rPr>
        <w:t>to</w:t>
      </w:r>
      <w:r w:rsidRPr="00660CFA">
        <w:rPr>
          <w:rFonts w:ascii="Times New Roman" w:hAnsi="Times New Roman" w:cs="Times New Roman"/>
        </w:rPr>
        <w:t xml:space="preserve"> support English language teachers to teach environmental concepts in their classrooms. This will allow the motivated teachers to improve their teaching strategies to suit interdisciplinary classroom teaching.</w:t>
      </w: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b/>
          <w:bCs/>
        </w:rPr>
        <w:t>Assessment Techniques</w:t>
      </w:r>
    </w:p>
    <w:p w:rsidR="005D14AE" w:rsidRPr="00660CFA" w:rsidRDefault="00833F87" w:rsidP="009F0723">
      <w:pPr>
        <w:spacing w:line="240" w:lineRule="auto"/>
        <w:jc w:val="both"/>
        <w:rPr>
          <w:rFonts w:ascii="Times New Roman" w:hAnsi="Times New Roman" w:cs="Times New Roman"/>
          <w:lang w:val="en-GB"/>
        </w:rPr>
      </w:pPr>
      <w:proofErr w:type="spellStart"/>
      <w:r w:rsidRPr="00660CFA">
        <w:rPr>
          <w:rFonts w:ascii="Times New Roman" w:hAnsi="Times New Roman" w:cs="Times New Roman"/>
        </w:rPr>
        <w:t>Rogler</w:t>
      </w:r>
      <w:proofErr w:type="spellEnd"/>
      <w:r w:rsidRPr="00660CFA">
        <w:rPr>
          <w:rFonts w:ascii="Times New Roman" w:hAnsi="Times New Roman" w:cs="Times New Roman"/>
        </w:rPr>
        <w:t xml:space="preserve"> (2014) mentioned assessment techniques</w:t>
      </w:r>
      <w:r w:rsidR="00CF144C" w:rsidRPr="00660CFA">
        <w:rPr>
          <w:rFonts w:ascii="Times New Roman" w:hAnsi="Times New Roman" w:cs="Times New Roman"/>
        </w:rPr>
        <w:t>,</w:t>
      </w:r>
      <w:r w:rsidRPr="00660CFA">
        <w:rPr>
          <w:rFonts w:ascii="Times New Roman" w:hAnsi="Times New Roman" w:cs="Times New Roman"/>
        </w:rPr>
        <w:t xml:space="preserve"> both modern and traditional</w:t>
      </w:r>
      <w:r w:rsidR="00CF144C" w:rsidRPr="00660CFA">
        <w:rPr>
          <w:rFonts w:ascii="Times New Roman" w:hAnsi="Times New Roman" w:cs="Times New Roman"/>
        </w:rPr>
        <w:t>,</w:t>
      </w:r>
      <w:r w:rsidRPr="00660CFA">
        <w:rPr>
          <w:rFonts w:ascii="Times New Roman" w:hAnsi="Times New Roman" w:cs="Times New Roman"/>
        </w:rPr>
        <w:t xml:space="preserve"> that will help in evaluating students’ learning and understanding of the concepts. Traditional assessment methods include tests that measure knowledge and skills through written or oral examinations, while performance tasks involve observing students’ practical abilities in completing specific projects. Modern assessment ways</w:t>
      </w:r>
      <w:r w:rsidR="00CF144C" w:rsidRPr="00660CFA">
        <w:rPr>
          <w:rFonts w:ascii="Times New Roman" w:hAnsi="Times New Roman" w:cs="Times New Roman"/>
        </w:rPr>
        <w:t>,</w:t>
      </w:r>
      <w:r w:rsidRPr="00660CFA">
        <w:rPr>
          <w:rFonts w:ascii="Times New Roman" w:hAnsi="Times New Roman" w:cs="Times New Roman"/>
        </w:rPr>
        <w:t xml:space="preserve"> such as portfolio assessment, offer a complete view of the learners' acquisition of knowledge and skills over time, and classroom observations help in assessing the participation and learning </w:t>
      </w:r>
      <w:proofErr w:type="spellStart"/>
      <w:r w:rsidRPr="00660CFA">
        <w:rPr>
          <w:rFonts w:ascii="Times New Roman" w:hAnsi="Times New Roman" w:cs="Times New Roman"/>
        </w:rPr>
        <w:t>behavior</w:t>
      </w:r>
      <w:proofErr w:type="spellEnd"/>
      <w:r w:rsidRPr="00660CFA">
        <w:rPr>
          <w:rFonts w:ascii="Times New Roman" w:hAnsi="Times New Roman" w:cs="Times New Roman"/>
        </w:rPr>
        <w:t xml:space="preserve"> of learners through classroom activities. Encouraging self-assessment and involving students in peer assessment fosters reflective learning and collaborative evaluation. Using rubrics (holistic, analytical) as an assessment tool will set clear criteria for evaluating learners' performance. It can be </w:t>
      </w:r>
      <w:r w:rsidR="00D96A63" w:rsidRPr="00660CFA">
        <w:rPr>
          <w:rFonts w:ascii="Times New Roman" w:hAnsi="Times New Roman" w:cs="Times New Roman"/>
        </w:rPr>
        <w:t xml:space="preserve">used </w:t>
      </w:r>
      <w:r w:rsidRPr="00660CFA">
        <w:rPr>
          <w:rFonts w:ascii="Times New Roman" w:hAnsi="Times New Roman" w:cs="Times New Roman"/>
        </w:rPr>
        <w:t xml:space="preserve">as part of formative assessments to provide ongoing feedback during the learning process. Summative assessments offer a final evaluation of overall performance, and authentic assessments bring real-world applications into consideration. Another assessment procedure is diagnostic assessment, which will help </w:t>
      </w:r>
      <w:proofErr w:type="gramStart"/>
      <w:r w:rsidRPr="00660CFA">
        <w:rPr>
          <w:rFonts w:ascii="Times New Roman" w:hAnsi="Times New Roman" w:cs="Times New Roman"/>
        </w:rPr>
        <w:t>instructors</w:t>
      </w:r>
      <w:proofErr w:type="gramEnd"/>
      <w:r w:rsidRPr="00660CFA">
        <w:rPr>
          <w:rFonts w:ascii="Times New Roman" w:hAnsi="Times New Roman" w:cs="Times New Roman"/>
        </w:rPr>
        <w:t xml:space="preserve"> measure individual learners' strengths and weaknesses and modify their instruction accordingly. Standardized tests allow for comparisons across a larger population. Rubrics, checklists, and peer reviews maintain consistency in assessment, while project-based assessments and quizzes offer targeted evaluations. Surveys and </w:t>
      </w:r>
      <w:r w:rsidRPr="00660CFA">
        <w:rPr>
          <w:rFonts w:ascii="Times New Roman" w:hAnsi="Times New Roman" w:cs="Times New Roman"/>
        </w:rPr>
        <w:lastRenderedPageBreak/>
        <w:t>questionnaires collect valuable feedback for insights and improvements. Anecdotal records document specific incidents, and check-ins or exit tickets provide quick assessments. Assessing learners' problem-solving skills using real-world tasks is another useful assessment approach. These diverse assessment methods, approaches, and tools empower teachers to identify and meet various learner needs and learning objectives</w:t>
      </w:r>
      <w:r w:rsidR="00065BB9" w:rsidRPr="00660CFA">
        <w:rPr>
          <w:rFonts w:ascii="Times New Roman" w:hAnsi="Times New Roman" w:cs="Times New Roman"/>
        </w:rPr>
        <w:t>,</w:t>
      </w:r>
      <w:r w:rsidRPr="00660CFA">
        <w:rPr>
          <w:rFonts w:ascii="Times New Roman" w:hAnsi="Times New Roman" w:cs="Times New Roman"/>
        </w:rPr>
        <w:t xml:space="preserve"> which will ensure a thorough understanding of students’ abilities and progress.</w:t>
      </w:r>
      <w:r w:rsidRPr="00660CFA">
        <w:rPr>
          <w:rFonts w:ascii="Times New Roman" w:hAnsi="Times New Roman" w:cs="Times New Roman"/>
          <w:lang w:val="en-GB"/>
        </w:rPr>
        <w:t xml:space="preserve"> </w:t>
      </w:r>
      <w:r w:rsidR="00981896" w:rsidRPr="00660CFA">
        <w:rPr>
          <w:rFonts w:ascii="Times New Roman" w:eastAsia="sans-serif" w:hAnsi="Times New Roman" w:cs="Times New Roman"/>
          <w:color w:val="172B4D"/>
          <w:shd w:val="clear" w:color="auto" w:fill="FFFFFF"/>
        </w:rPr>
        <w:t>These varieties</w:t>
      </w:r>
      <w:r w:rsidRPr="00660CFA">
        <w:rPr>
          <w:rFonts w:ascii="Times New Roman" w:eastAsia="sans-serif" w:hAnsi="Times New Roman" w:cs="Times New Roman"/>
          <w:color w:val="172B4D"/>
          <w:shd w:val="clear" w:color="auto" w:fill="FFFFFF"/>
        </w:rPr>
        <w:t xml:space="preserve"> of assessment techniques also </w:t>
      </w:r>
      <w:r w:rsidR="00D41426" w:rsidRPr="00660CFA">
        <w:rPr>
          <w:rFonts w:ascii="Times New Roman" w:eastAsia="sans-serif" w:hAnsi="Times New Roman" w:cs="Times New Roman"/>
          <w:color w:val="172B4D"/>
          <w:shd w:val="clear" w:color="auto" w:fill="FFFFFF"/>
        </w:rPr>
        <w:t>reflect</w:t>
      </w:r>
      <w:r w:rsidRPr="00660CFA">
        <w:rPr>
          <w:rFonts w:ascii="Times New Roman" w:eastAsia="sans-serif" w:hAnsi="Times New Roman" w:cs="Times New Roman"/>
          <w:color w:val="172B4D"/>
          <w:shd w:val="clear" w:color="auto" w:fill="FFFFFF"/>
        </w:rPr>
        <w:t xml:space="preserve"> the core elements of </w:t>
      </w:r>
      <w:r w:rsidR="00824A79" w:rsidRPr="00660CFA">
        <w:rPr>
          <w:rFonts w:ascii="Times New Roman" w:eastAsia="sans-serif" w:hAnsi="Times New Roman" w:cs="Times New Roman"/>
          <w:color w:val="172B4D"/>
          <w:shd w:val="clear" w:color="auto" w:fill="FFFFFF"/>
        </w:rPr>
        <w:fldChar w:fldCharType="begin" w:fldLock="1"/>
      </w:r>
      <w:r w:rsidR="002E02A7" w:rsidRPr="00660CFA">
        <w:rPr>
          <w:rFonts w:ascii="Times New Roman" w:eastAsia="sans-serif" w:hAnsi="Times New Roman" w:cs="Times New Roman"/>
          <w:color w:val="172B4D"/>
          <w:shd w:val="clear" w:color="auto" w:fill="FFFFFF"/>
        </w:rPr>
        <w:instrText>ADDIN CSL_CITATION {"citationItems":[{"id":"ITEM-1","itemData":{"ISSN":"0031-7217","author":[{"dropping-particle":"","family":"Stiggins","given":"Richard J","non-dropping-particle":"","parse-names":false,"suffix":""}],"container-title":"Phi Delta Kappan","id":"ITEM-1","issue":"3","issued":{"date-parts":[["1995"]]},"page":"238","publisher":"Phi Delta Kappa","title":"Assessment literacy for the 21st century","type":"article-journal","volume":"77"},"uris":["http://www.mendeley.com/documents/?uuid=c46dbc74-4c0a-4f1d-ab75-f5538d78e971"]}],"mendeley":{"formattedCitation":"(Stiggins, 1995)","manualFormatting":"Stiggins's (1995)","plainTextFormattedCitation":"(Stiggins, 1995)","previouslyFormattedCitation":"(Stiggins, 1995)"},"properties":{"noteIndex":0},"schema":"https://github.com/citation-style-language/schema/raw/master/csl-citation.json"}</w:instrText>
      </w:r>
      <w:r w:rsidR="00824A79" w:rsidRPr="00660CFA">
        <w:rPr>
          <w:rFonts w:ascii="Times New Roman" w:eastAsia="sans-serif" w:hAnsi="Times New Roman" w:cs="Times New Roman"/>
          <w:color w:val="172B4D"/>
          <w:shd w:val="clear" w:color="auto" w:fill="FFFFFF"/>
        </w:rPr>
        <w:fldChar w:fldCharType="separate"/>
      </w:r>
      <w:r w:rsidR="00623113" w:rsidRPr="00660CFA">
        <w:rPr>
          <w:rFonts w:ascii="Times New Roman" w:eastAsia="sans-serif" w:hAnsi="Times New Roman" w:cs="Times New Roman"/>
          <w:noProof/>
          <w:color w:val="172B4D"/>
          <w:shd w:val="clear" w:color="auto" w:fill="FFFFFF"/>
        </w:rPr>
        <w:t>Stiggins's (1995)</w:t>
      </w:r>
      <w:r w:rsidR="00824A79" w:rsidRPr="00660CFA">
        <w:rPr>
          <w:rFonts w:ascii="Times New Roman" w:eastAsia="sans-serif" w:hAnsi="Times New Roman" w:cs="Times New Roman"/>
          <w:color w:val="172B4D"/>
          <w:shd w:val="clear" w:color="auto" w:fill="FFFFFF"/>
        </w:rPr>
        <w:fldChar w:fldCharType="end"/>
      </w:r>
      <w:r w:rsidRPr="00660CFA">
        <w:rPr>
          <w:rFonts w:ascii="Times New Roman" w:eastAsia="sans-serif" w:hAnsi="Times New Roman" w:cs="Times New Roman"/>
          <w:color w:val="172B4D"/>
          <w:shd w:val="clear" w:color="auto" w:fill="FFFFFF"/>
        </w:rPr>
        <w:t xml:space="preserve">Assessment Literacy Framework, which require teachers to combine assessment methods with learning goals, interpret results meaningfully, and provide constructive feedback. However, the adoption of such diverse and modern techniques demands teachers' openness to innovation, as explained by Rogers’ Diffusion of Innovation Theory, which can help </w:t>
      </w:r>
      <w:r w:rsidR="00065BB9" w:rsidRPr="00660CFA">
        <w:rPr>
          <w:rFonts w:ascii="Times New Roman" w:eastAsia="sans-serif" w:hAnsi="Times New Roman" w:cs="Times New Roman"/>
          <w:color w:val="172B4D"/>
          <w:shd w:val="clear" w:color="auto" w:fill="FFFFFF"/>
        </w:rPr>
        <w:t>contextualize</w:t>
      </w:r>
      <w:r w:rsidRPr="00660CFA">
        <w:rPr>
          <w:rFonts w:ascii="Times New Roman" w:eastAsia="sans-serif" w:hAnsi="Times New Roman" w:cs="Times New Roman"/>
          <w:color w:val="172B4D"/>
          <w:shd w:val="clear" w:color="auto" w:fill="FFFFFF"/>
        </w:rPr>
        <w:t xml:space="preserve"> varying degrees of willingness/interest levels to include </w:t>
      </w:r>
      <w:r w:rsidR="00065BB9" w:rsidRPr="00660CFA">
        <w:rPr>
          <w:rFonts w:ascii="Times New Roman" w:eastAsia="sans-serif" w:hAnsi="Times New Roman" w:cs="Times New Roman"/>
          <w:color w:val="172B4D"/>
          <w:shd w:val="clear" w:color="auto" w:fill="FFFFFF"/>
        </w:rPr>
        <w:t xml:space="preserve">a </w:t>
      </w:r>
      <w:r w:rsidRPr="00660CFA">
        <w:rPr>
          <w:rFonts w:ascii="Times New Roman" w:eastAsia="sans-serif" w:hAnsi="Times New Roman" w:cs="Times New Roman"/>
          <w:color w:val="172B4D"/>
          <w:shd w:val="clear" w:color="auto" w:fill="FFFFFF"/>
        </w:rPr>
        <w:t>variety of assessment techniques.</w:t>
      </w:r>
    </w:p>
    <w:p w:rsidR="005D14AE" w:rsidRPr="00660CFA" w:rsidRDefault="00833F87" w:rsidP="009F0723">
      <w:pPr>
        <w:spacing w:line="240" w:lineRule="auto"/>
        <w:jc w:val="both"/>
        <w:rPr>
          <w:rFonts w:ascii="Times New Roman" w:hAnsi="Times New Roman" w:cs="Times New Roman"/>
        </w:rPr>
      </w:pPr>
      <w:proofErr w:type="spellStart"/>
      <w:r w:rsidRPr="00660CFA">
        <w:rPr>
          <w:rFonts w:ascii="Times New Roman" w:hAnsi="Times New Roman" w:cs="Times New Roman"/>
        </w:rPr>
        <w:t>Zolfaghari</w:t>
      </w:r>
      <w:proofErr w:type="spellEnd"/>
      <w:r w:rsidRPr="00660CFA">
        <w:rPr>
          <w:rFonts w:ascii="Times New Roman" w:hAnsi="Times New Roman" w:cs="Times New Roman"/>
        </w:rPr>
        <w:t xml:space="preserve"> &amp; </w:t>
      </w:r>
      <w:proofErr w:type="spellStart"/>
      <w:r w:rsidRPr="00660CFA">
        <w:rPr>
          <w:rFonts w:ascii="Times New Roman" w:hAnsi="Times New Roman" w:cs="Times New Roman"/>
        </w:rPr>
        <w:t>Ahmadi</w:t>
      </w:r>
      <w:proofErr w:type="spellEnd"/>
      <w:r w:rsidRPr="00660CFA">
        <w:rPr>
          <w:rFonts w:ascii="Times New Roman" w:hAnsi="Times New Roman" w:cs="Times New Roman"/>
        </w:rPr>
        <w:t xml:space="preserve"> (2016) emphasized the need to cater to the subject-specific assessment requirements of teachers along with their general assessment requirements skills</w:t>
      </w:r>
      <w:r w:rsidR="00981896" w:rsidRPr="00660CFA">
        <w:rPr>
          <w:rFonts w:ascii="Times New Roman" w:hAnsi="Times New Roman" w:cs="Times New Roman"/>
        </w:rPr>
        <w:t>,</w:t>
      </w:r>
      <w:r w:rsidRPr="00660CFA">
        <w:rPr>
          <w:rFonts w:ascii="Times New Roman" w:hAnsi="Times New Roman" w:cs="Times New Roman"/>
        </w:rPr>
        <w:t xml:space="preserve"> which will help in bridging the gaps between theory and practice of assessment</w:t>
      </w:r>
      <w:r w:rsidR="00981896" w:rsidRPr="00660CFA">
        <w:rPr>
          <w:rFonts w:ascii="Times New Roman" w:hAnsi="Times New Roman" w:cs="Times New Roman"/>
        </w:rPr>
        <w:t>,</w:t>
      </w:r>
      <w:r w:rsidRPr="00660CFA">
        <w:rPr>
          <w:rFonts w:ascii="Times New Roman" w:hAnsi="Times New Roman" w:cs="Times New Roman"/>
        </w:rPr>
        <w:t xml:space="preserve"> which is an integral part of teaching. Their study considered the perspectives of both English language and subject teachers. Additionally, teachers emphasized not only assessing skills but also the vital task of identifying and evaluating main course-specific contents, emphasizing the significance of teachers’ knowledge alongside assessment skills. Recognition of the need for psychological assistance in the assessment process was evident, involving the ability to address psychological challenges and positively influence students’ views.</w:t>
      </w: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b/>
          <w:bCs/>
        </w:rPr>
        <w:t>Interdisciplinary Perspectives on Environmental Science and English Language</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Integrating environmental issues into English language teaching makes it pertinent to design interdisciplinary teacher training programs, which should include not only teaching methodologies but also assessment strategies. The analysis of English textbooks from the Punjab state and Indonesian EFL textbooks reveals insufficient environmental content. While English textbooks prepared in Punjab lack supportive material to enhance learners' environmental understanding and language skills, Indonesian textbooks focus only on some aspects of environmental awareness (Zia et al., 2023; </w:t>
      </w:r>
      <w:proofErr w:type="spellStart"/>
      <w:r w:rsidRPr="00660CFA">
        <w:rPr>
          <w:rFonts w:ascii="Times New Roman" w:hAnsi="Times New Roman" w:cs="Times New Roman"/>
        </w:rPr>
        <w:t>Ginting</w:t>
      </w:r>
      <w:proofErr w:type="spellEnd"/>
      <w:r w:rsidRPr="00660CFA">
        <w:rPr>
          <w:rFonts w:ascii="Times New Roman" w:hAnsi="Times New Roman" w:cs="Times New Roman"/>
        </w:rPr>
        <w:t xml:space="preserve"> et al., 2024). Both studies highlighted the need for modifying English textbooks to foster positive attitudes and ecological awareness among learners. Incorporating environmental issues into language instruction can enhance students' comprehension and engagement with global environmental concerns and challenges.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Students should be involved in constructivist-based discussions and tasks and problem-solution-oriented thinking</w:t>
      </w:r>
      <w:r w:rsidR="00D41426" w:rsidRPr="00660CFA">
        <w:rPr>
          <w:rFonts w:ascii="Times New Roman" w:hAnsi="Times New Roman" w:cs="Times New Roman"/>
        </w:rPr>
        <w:t>,</w:t>
      </w:r>
      <w:r w:rsidRPr="00660CFA">
        <w:rPr>
          <w:rFonts w:ascii="Times New Roman" w:hAnsi="Times New Roman" w:cs="Times New Roman"/>
        </w:rPr>
        <w:t xml:space="preserve"> which are considered effective in improving their attitudes and awareness of environmental-related issues (</w:t>
      </w:r>
      <w:proofErr w:type="spellStart"/>
      <w:r w:rsidRPr="00660CFA">
        <w:rPr>
          <w:rFonts w:ascii="Times New Roman" w:hAnsi="Times New Roman" w:cs="Times New Roman"/>
        </w:rPr>
        <w:t>Arık</w:t>
      </w:r>
      <w:proofErr w:type="spellEnd"/>
      <w:r w:rsidRPr="00660CFA">
        <w:rPr>
          <w:rFonts w:ascii="Times New Roman" w:hAnsi="Times New Roman" w:cs="Times New Roman"/>
        </w:rPr>
        <w:t xml:space="preserve"> &amp; </w:t>
      </w:r>
      <w:proofErr w:type="spellStart"/>
      <w:r w:rsidRPr="00660CFA">
        <w:rPr>
          <w:rFonts w:ascii="Times New Roman" w:hAnsi="Times New Roman" w:cs="Times New Roman"/>
        </w:rPr>
        <w:t>Yılmaz</w:t>
      </w:r>
      <w:proofErr w:type="spellEnd"/>
      <w:r w:rsidRPr="00660CFA">
        <w:rPr>
          <w:rFonts w:ascii="Times New Roman" w:hAnsi="Times New Roman" w:cs="Times New Roman"/>
        </w:rPr>
        <w:t>, 2020). Similarly, teacher training programs need to prioritize these modern teaching approaches to help students work on local environmental issues and also to improve their environmental literacy for sustainable living (</w:t>
      </w:r>
      <w:proofErr w:type="spellStart"/>
      <w:r w:rsidRPr="00660CFA">
        <w:rPr>
          <w:rFonts w:ascii="Times New Roman" w:hAnsi="Times New Roman" w:cs="Times New Roman"/>
        </w:rPr>
        <w:t>Kaya</w:t>
      </w:r>
      <w:proofErr w:type="spellEnd"/>
      <w:r w:rsidRPr="00660CFA">
        <w:rPr>
          <w:rFonts w:ascii="Times New Roman" w:hAnsi="Times New Roman" w:cs="Times New Roman"/>
        </w:rPr>
        <w:t xml:space="preserve"> &amp; </w:t>
      </w:r>
      <w:proofErr w:type="spellStart"/>
      <w:r w:rsidRPr="00660CFA">
        <w:rPr>
          <w:rFonts w:ascii="Times New Roman" w:hAnsi="Times New Roman" w:cs="Times New Roman"/>
        </w:rPr>
        <w:t>Elster</w:t>
      </w:r>
      <w:proofErr w:type="spellEnd"/>
      <w:r w:rsidRPr="00660CFA">
        <w:rPr>
          <w:rFonts w:ascii="Times New Roman" w:hAnsi="Times New Roman" w:cs="Times New Roman"/>
        </w:rPr>
        <w:t xml:space="preserve">, 2019; </w:t>
      </w:r>
      <w:proofErr w:type="spellStart"/>
      <w:r w:rsidRPr="00660CFA">
        <w:rPr>
          <w:rFonts w:ascii="Times New Roman" w:hAnsi="Times New Roman" w:cs="Times New Roman"/>
        </w:rPr>
        <w:t>Gamage</w:t>
      </w:r>
      <w:proofErr w:type="spellEnd"/>
      <w:r w:rsidRPr="00660CFA">
        <w:rPr>
          <w:rFonts w:ascii="Times New Roman" w:hAnsi="Times New Roman" w:cs="Times New Roman"/>
        </w:rPr>
        <w:t>, 2021). By including environmental education in language classrooms, learners will stay socially aware and also engage more effectively (Jung &amp; Dos Santos</w:t>
      </w:r>
      <w:proofErr w:type="gramStart"/>
      <w:r w:rsidRPr="00660CFA">
        <w:rPr>
          <w:rFonts w:ascii="Times New Roman" w:hAnsi="Times New Roman" w:cs="Times New Roman"/>
        </w:rPr>
        <w:t>,2022</w:t>
      </w:r>
      <w:proofErr w:type="gramEnd"/>
      <w:r w:rsidRPr="00660CFA">
        <w:rPr>
          <w:rFonts w:ascii="Times New Roman" w:hAnsi="Times New Roman" w:cs="Times New Roman"/>
        </w:rPr>
        <w:t xml:space="preserve">). </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Policy Integration:</w:t>
      </w:r>
    </w:p>
    <w:p w:rsidR="005D14AE" w:rsidRPr="00660CFA" w:rsidRDefault="00833F87" w:rsidP="009F0723">
      <w:pPr>
        <w:spacing w:line="240" w:lineRule="auto"/>
        <w:jc w:val="both"/>
        <w:rPr>
          <w:rFonts w:ascii="Times New Roman" w:hAnsi="Times New Roman" w:cs="Times New Roman"/>
        </w:rPr>
      </w:pPr>
      <w:r w:rsidRPr="00660CFA">
        <w:rPr>
          <w:rFonts w:ascii="Times New Roman" w:eastAsia="sans-serif" w:hAnsi="Times New Roman" w:cs="Times New Roman"/>
          <w:color w:val="172B4D"/>
          <w:shd w:val="clear" w:color="auto" w:fill="FFFFFF"/>
        </w:rPr>
        <w:t>The National Education Policy (NEP) 2020 underscores the need for equipping students with a wide range of foundational capacities and values. These include environmental awareness, problem-solving, logical reasoning, and oral and written communication</w:t>
      </w:r>
      <w:r w:rsidR="00FE2DE3" w:rsidRPr="00660CFA">
        <w:rPr>
          <w:rFonts w:ascii="Times New Roman" w:eastAsia="sans-serif" w:hAnsi="Times New Roman" w:cs="Times New Roman"/>
          <w:color w:val="172B4D"/>
          <w:shd w:val="clear" w:color="auto" w:fill="FFFFFF"/>
        </w:rPr>
        <w:t xml:space="preserve"> </w:t>
      </w:r>
      <w:r w:rsidRPr="00660CFA">
        <w:rPr>
          <w:rFonts w:ascii="Times New Roman" w:eastAsia="sans-serif" w:hAnsi="Times New Roman" w:cs="Times New Roman"/>
          <w:color w:val="172B4D"/>
          <w:shd w:val="clear" w:color="auto" w:fill="FFFFFF"/>
        </w:rPr>
        <w:t>skills that are central to both English language learning and environmental education. NEP 2020 emphasizes that students need to acquire “environmental awareness</w:t>
      </w:r>
      <w:r w:rsidR="00FE2DE3" w:rsidRPr="00660CFA">
        <w:rPr>
          <w:rFonts w:ascii="Times New Roman" w:eastAsia="sans-serif" w:hAnsi="Times New Roman" w:cs="Times New Roman"/>
          <w:color w:val="172B4D"/>
          <w:shd w:val="clear" w:color="auto" w:fill="FFFFFF"/>
        </w:rPr>
        <w:t>,</w:t>
      </w:r>
      <w:r w:rsidRPr="00660CFA">
        <w:rPr>
          <w:rFonts w:ascii="Times New Roman" w:eastAsia="sans-serif" w:hAnsi="Times New Roman" w:cs="Times New Roman"/>
          <w:color w:val="172B4D"/>
          <w:shd w:val="clear" w:color="auto" w:fill="FFFFFF"/>
        </w:rPr>
        <w:t xml:space="preserve"> including water and resource conservation, sanitation and hygiene” (NEP, 2020). This policy direction supports the relevance of interdisciplinary approaches to teaching and assessment, particularly at the secondary level, and affirms the need to explore how in-service teachers implement and assess such integrated skills in real classrooms.</w:t>
      </w:r>
    </w:p>
    <w:p w:rsidR="005D14AE" w:rsidRPr="00660CFA" w:rsidRDefault="00833F87" w:rsidP="009F0723">
      <w:pPr>
        <w:spacing w:line="240" w:lineRule="auto"/>
        <w:jc w:val="both"/>
        <w:rPr>
          <w:rFonts w:ascii="Times New Roman" w:hAnsi="Times New Roman" w:cs="Times New Roman"/>
          <w:highlight w:val="yellow"/>
        </w:rPr>
      </w:pPr>
      <w:r w:rsidRPr="00660CFA">
        <w:rPr>
          <w:rFonts w:ascii="Times New Roman" w:eastAsia="sans-serif" w:hAnsi="Times New Roman" w:cs="Times New Roman"/>
          <w:color w:val="172B4D"/>
          <w:shd w:val="clear" w:color="auto" w:fill="FFFFFF"/>
        </w:rPr>
        <w:t xml:space="preserve">The NEP 2020 </w:t>
      </w:r>
      <w:r w:rsidR="00D41426" w:rsidRPr="00660CFA">
        <w:rPr>
          <w:rFonts w:ascii="Times New Roman" w:eastAsia="sans-serif" w:hAnsi="Times New Roman" w:cs="Times New Roman"/>
          <w:color w:val="172B4D"/>
          <w:shd w:val="clear" w:color="auto" w:fill="FFFFFF"/>
        </w:rPr>
        <w:t>recommends</w:t>
      </w:r>
      <w:r w:rsidRPr="00660CFA">
        <w:rPr>
          <w:rFonts w:ascii="Times New Roman" w:eastAsia="sans-serif" w:hAnsi="Times New Roman" w:cs="Times New Roman"/>
          <w:color w:val="172B4D"/>
          <w:shd w:val="clear" w:color="auto" w:fill="FFFFFF"/>
        </w:rPr>
        <w:t xml:space="preserve"> the integration of environmental education, value-based education, and global citizenship in the curricula at all levels. It mandates that students develop capacities such as “climate change awareness, biodiversity conservation, waste management, and sustainable living” through interdisciplinary projects and credit-based engagement (NEP 2020, </w:t>
      </w:r>
      <w:proofErr w:type="spellStart"/>
      <w:r w:rsidRPr="00660CFA">
        <w:rPr>
          <w:rFonts w:ascii="Times New Roman" w:eastAsia="sans-serif" w:hAnsi="Times New Roman" w:cs="Times New Roman"/>
          <w:color w:val="172B4D"/>
          <w:shd w:val="clear" w:color="auto" w:fill="FFFFFF"/>
        </w:rPr>
        <w:t>para</w:t>
      </w:r>
      <w:proofErr w:type="spellEnd"/>
      <w:r w:rsidRPr="00660CFA">
        <w:rPr>
          <w:rFonts w:ascii="Times New Roman" w:eastAsia="sans-serif" w:hAnsi="Times New Roman" w:cs="Times New Roman"/>
          <w:color w:val="172B4D"/>
          <w:shd w:val="clear" w:color="auto" w:fill="FFFFFF"/>
        </w:rPr>
        <w:t xml:space="preserve">. 11.6). These </w:t>
      </w:r>
      <w:r w:rsidRPr="00660CFA">
        <w:rPr>
          <w:rFonts w:ascii="Times New Roman" w:eastAsia="sans-serif" w:hAnsi="Times New Roman" w:cs="Times New Roman"/>
          <w:color w:val="172B4D"/>
          <w:shd w:val="clear" w:color="auto" w:fill="FFFFFF"/>
        </w:rPr>
        <w:lastRenderedPageBreak/>
        <w:t xml:space="preserve">recommendations correspond directly with the objectives of the present study, which investigates how in-service teachers incorporate and assess environmental education concepts—particularly through interdisciplinary approaches that combine English language instruction with environmental concepts teaching. With a focus on problem-solving, critical thinking, and communication within classroom tasks and assessments, this study responds to the NEP 2020 call for fostering social </w:t>
      </w:r>
      <w:r w:rsidR="00D41426" w:rsidRPr="00660CFA">
        <w:rPr>
          <w:rFonts w:ascii="Times New Roman" w:eastAsia="sans-serif" w:hAnsi="Times New Roman" w:cs="Times New Roman"/>
          <w:color w:val="172B4D"/>
          <w:shd w:val="clear" w:color="auto" w:fill="FFFFFF"/>
        </w:rPr>
        <w:t>responsibility</w:t>
      </w:r>
      <w:r w:rsidRPr="00660CFA">
        <w:rPr>
          <w:rFonts w:ascii="Times New Roman" w:eastAsia="sans-serif" w:hAnsi="Times New Roman" w:cs="Times New Roman"/>
          <w:color w:val="172B4D"/>
          <w:shd w:val="clear" w:color="auto" w:fill="FFFFFF"/>
        </w:rPr>
        <w:t xml:space="preserve">, environmental vocalists, deep thinkers of environmental philosophy, and confident </w:t>
      </w:r>
      <w:r w:rsidR="00D41426" w:rsidRPr="00660CFA">
        <w:rPr>
          <w:rFonts w:ascii="Times New Roman" w:eastAsia="sans-serif" w:hAnsi="Times New Roman" w:cs="Times New Roman"/>
          <w:color w:val="172B4D"/>
          <w:shd w:val="clear" w:color="auto" w:fill="FFFFFF"/>
        </w:rPr>
        <w:t>practitioners</w:t>
      </w:r>
      <w:r w:rsidRPr="00660CFA">
        <w:rPr>
          <w:rFonts w:ascii="Times New Roman" w:eastAsia="sans-serif" w:hAnsi="Times New Roman" w:cs="Times New Roman"/>
          <w:color w:val="172B4D"/>
          <w:shd w:val="clear" w:color="auto" w:fill="FFFFFF"/>
        </w:rPr>
        <w:t xml:space="preserve"> in real lives.</w:t>
      </w: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b/>
          <w:bCs/>
        </w:rPr>
        <w:t>Research gap:</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The majority of the research produced in the past focused on advocating interdisciplinary learning approaches and the requirement of an interdisciplinary framework for effective teaching and learning practices, there is still a notable research gap concerning the awareness and perspectives of in-service teachers regarding interdisciplinary assessment practices at the secondary school level in India and in global contexts. </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To address this gap, understanding the perspectives of in-service teachers in the integrated context of English as a second language (ESL) and environmental education is required. With this, the scope of interdisciplinary assessment gets expanded by considering factors </w:t>
      </w:r>
      <w:r w:rsidR="00D41426" w:rsidRPr="00660CFA">
        <w:rPr>
          <w:rFonts w:ascii="Times New Roman" w:hAnsi="Times New Roman" w:cs="Times New Roman"/>
        </w:rPr>
        <w:t>that</w:t>
      </w:r>
      <w:r w:rsidRPr="00660CFA">
        <w:rPr>
          <w:rFonts w:ascii="Times New Roman" w:hAnsi="Times New Roman" w:cs="Times New Roman"/>
        </w:rPr>
        <w:t xml:space="preserve"> remain helpful for teacher training purposes.</w:t>
      </w: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b/>
          <w:bCs/>
        </w:rPr>
        <w:t>Research objectives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1. To assess the awareness levels of in-service teachers at the secondary level regarding interdisciplinary assessment practices in Environmental Education.</w:t>
      </w:r>
      <w:r w:rsidRPr="00660CFA">
        <w:rPr>
          <w:rFonts w:ascii="Times New Roman" w:hAnsi="Times New Roman" w:cs="Times New Roman"/>
        </w:rPr>
        <w:br/>
        <w:t>2. To examine variations in teachers’ perspectives based on teaching experience and prior training.</w:t>
      </w: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b/>
          <w:bCs/>
        </w:rPr>
        <w:t>Research Questions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1. What are the awareness levels of in-service teachers at the secondary level regarding interdisciplinary assessment practices in Environmental Education?</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2. How do teachers’ perspectives vary based on teaching experience and prior training?</w:t>
      </w: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b/>
          <w:bCs/>
        </w:rPr>
        <w:t>Methodology:</w:t>
      </w: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highlight w:val="yellow"/>
        </w:rPr>
        <w:br/>
      </w:r>
      <w:r w:rsidRPr="00660CFA">
        <w:rPr>
          <w:rFonts w:ascii="Times New Roman" w:hAnsi="Times New Roman" w:cs="Times New Roman"/>
        </w:rPr>
        <w:t>The sample comprised 60 in-service teachers who teach English and Social Sciences at the secondary level. The study uses a convenience sampling technique to select teachers from various schools with diverse teaching experiences in years, using a convenience sampling technique.</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A self-prepared questionnaire was utilized for data collection, designed by the researchers in alignment with the study's objectives. The validity of the questionnaire is checked through expert discussions and piloting the questionnaire. The content validity of the questionnaire was established through discussions with experts, followed by a pilot study.</w:t>
      </w:r>
    </w:p>
    <w:p w:rsidR="00524665" w:rsidRPr="00660CFA" w:rsidRDefault="00524665" w:rsidP="009F0723">
      <w:pPr>
        <w:spacing w:line="240" w:lineRule="auto"/>
        <w:jc w:val="both"/>
        <w:rPr>
          <w:rFonts w:ascii="Times New Roman" w:hAnsi="Times New Roman" w:cs="Times New Roman"/>
        </w:rPr>
      </w:pPr>
      <w:r w:rsidRPr="00660CFA">
        <w:rPr>
          <w:rFonts w:ascii="Times New Roman" w:hAnsi="Times New Roman" w:cs="Times New Roman"/>
        </w:rPr>
        <w:t>In order to provide a clear description of the questionnaire used in the current study</w:t>
      </w:r>
      <w:r w:rsidR="00DB33F5" w:rsidRPr="00660CFA">
        <w:rPr>
          <w:rFonts w:ascii="Times New Roman" w:hAnsi="Times New Roman" w:cs="Times New Roman"/>
        </w:rPr>
        <w:t>,</w:t>
      </w:r>
      <w:r w:rsidRPr="00660CFA">
        <w:rPr>
          <w:rFonts w:ascii="Times New Roman" w:hAnsi="Times New Roman" w:cs="Times New Roman"/>
        </w:rPr>
        <w:t xml:space="preserve"> an analysis of questions/tasks provided on environmental topics (Resources and Development, Forest and Wildlife Resources, Water Resources, and Agriculture) in the NCERT Class 10 Geography textbook</w:t>
      </w:r>
      <w:r w:rsidR="00DB33F5" w:rsidRPr="00660CFA">
        <w:rPr>
          <w:rFonts w:ascii="Times New Roman" w:hAnsi="Times New Roman" w:cs="Times New Roman"/>
        </w:rPr>
        <w:t>,</w:t>
      </w:r>
      <w:r w:rsidRPr="00660CFA">
        <w:rPr>
          <w:rFonts w:ascii="Times New Roman" w:hAnsi="Times New Roman" w:cs="Times New Roman"/>
        </w:rPr>
        <w:t xml:space="preserve"> Contemporary India II was done. The focus is on all four language skills, other interdisciplinary skills, and the assessment type. </w:t>
      </w:r>
      <w:r w:rsidRPr="00660CFA">
        <w:rPr>
          <w:rFonts w:ascii="Times New Roman" w:hAnsi="Times New Roman" w:cs="Times New Roman"/>
        </w:rPr>
        <w:br/>
        <w:t>Multiple-choice questions (MCQs) provided in the NCERT 10 Class textbook focus on reading, writing skills</w:t>
      </w:r>
      <w:r w:rsidR="00DB33F5" w:rsidRPr="00660CFA">
        <w:rPr>
          <w:rFonts w:ascii="Times New Roman" w:hAnsi="Times New Roman" w:cs="Times New Roman"/>
        </w:rPr>
        <w:t>,</w:t>
      </w:r>
      <w:r w:rsidRPr="00660CFA">
        <w:rPr>
          <w:rFonts w:ascii="Times New Roman" w:hAnsi="Times New Roman" w:cs="Times New Roman"/>
        </w:rPr>
        <w:t xml:space="preserve"> and also on interpretation, analytical thinking, and recall, making them suitable for question-based assessments and aligning with items Q1, Q2, Q2, Q3, and Q4 in the questionnaire. In the same way "Match the Following" task, which requires reading skills and problem-solving skills, is related to (Q2, Q2, </w:t>
      </w:r>
      <w:proofErr w:type="gramStart"/>
      <w:r w:rsidRPr="00660CFA">
        <w:rPr>
          <w:rFonts w:ascii="Times New Roman" w:hAnsi="Times New Roman" w:cs="Times New Roman"/>
        </w:rPr>
        <w:t>Q3</w:t>
      </w:r>
      <w:proofErr w:type="gramEnd"/>
      <w:r w:rsidRPr="00660CFA">
        <w:rPr>
          <w:rFonts w:ascii="Times New Roman" w:hAnsi="Times New Roman" w:cs="Times New Roman"/>
        </w:rPr>
        <w:t>). Group discussions develop speaking while fostering socio-emotional and problem-solving abilities and are aligned with Q1, Q2,</w:t>
      </w:r>
      <w:r w:rsidR="00C141B2" w:rsidRPr="00660CFA">
        <w:rPr>
          <w:rFonts w:ascii="Times New Roman" w:hAnsi="Times New Roman" w:cs="Times New Roman"/>
        </w:rPr>
        <w:t xml:space="preserve"> and</w:t>
      </w:r>
      <w:r w:rsidRPr="00660CFA">
        <w:rPr>
          <w:rFonts w:ascii="Times New Roman" w:hAnsi="Times New Roman" w:cs="Times New Roman"/>
        </w:rPr>
        <w:t xml:space="preserve"> Q3</w:t>
      </w:r>
      <w:r w:rsidR="006014BA" w:rsidRPr="00660CFA">
        <w:rPr>
          <w:rFonts w:ascii="Times New Roman" w:hAnsi="Times New Roman" w:cs="Times New Roman"/>
        </w:rPr>
        <w:t>.</w:t>
      </w:r>
      <w:r w:rsidRPr="00660CFA">
        <w:rPr>
          <w:rFonts w:ascii="Times New Roman" w:hAnsi="Times New Roman" w:cs="Times New Roman"/>
        </w:rPr>
        <w:t xml:space="preserve"> Puzzle-based tasks that enhance vocabulary and logical reasoning through reading relate to Q1, Q2, Q3, and </w:t>
      </w:r>
      <w:r w:rsidR="00D30646" w:rsidRPr="00660CFA">
        <w:rPr>
          <w:rFonts w:ascii="Times New Roman" w:hAnsi="Times New Roman" w:cs="Times New Roman"/>
        </w:rPr>
        <w:t>Q4</w:t>
      </w:r>
      <w:r w:rsidRPr="00660CFA">
        <w:rPr>
          <w:rFonts w:ascii="Times New Roman" w:hAnsi="Times New Roman" w:cs="Times New Roman"/>
        </w:rPr>
        <w:t xml:space="preserve"> in the questionnaire. </w:t>
      </w:r>
      <w:r w:rsidRPr="00660CFA">
        <w:rPr>
          <w:rFonts w:ascii="Times New Roman" w:hAnsi="Times New Roman" w:cs="Times New Roman"/>
        </w:rPr>
        <w:lastRenderedPageBreak/>
        <w:t>This detailed mapping underscores the interdisciplinary potential of textbook activities and validates the relevance of the questionnaire items.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b/>
          <w:bCs/>
        </w:rPr>
        <w:t>Questionnaire description</w:t>
      </w:r>
      <w:r w:rsidRPr="00660CFA">
        <w:rPr>
          <w:rFonts w:ascii="Times New Roman" w:hAnsi="Times New Roman" w:cs="Times New Roman"/>
        </w:rPr>
        <w:br/>
        <w:t>Section 1- Details of the teacher participants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Questions 1 &amp; 2 provided information about the participants’ teaching experience and the subjects they teach</w:t>
      </w:r>
      <w:r w:rsidR="00D30646" w:rsidRPr="00660CFA">
        <w:rPr>
          <w:rFonts w:ascii="Times New Roman" w:hAnsi="Times New Roman" w:cs="Times New Roman"/>
        </w:rPr>
        <w:t>,</w:t>
      </w:r>
      <w:r w:rsidRPr="00660CFA">
        <w:rPr>
          <w:rFonts w:ascii="Times New Roman" w:hAnsi="Times New Roman" w:cs="Times New Roman"/>
        </w:rPr>
        <w:t xml:space="preserve"> that is</w:t>
      </w:r>
      <w:r w:rsidR="00D30646" w:rsidRPr="00660CFA">
        <w:rPr>
          <w:rFonts w:ascii="Times New Roman" w:hAnsi="Times New Roman" w:cs="Times New Roman"/>
        </w:rPr>
        <w:t>,</w:t>
      </w:r>
      <w:r w:rsidRPr="00660CFA">
        <w:rPr>
          <w:rFonts w:ascii="Times New Roman" w:hAnsi="Times New Roman" w:cs="Times New Roman"/>
        </w:rPr>
        <w:t xml:space="preserve"> the background details. </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Question 3 assessed whether teachers had participated in interdisciplinary programs involving collaboration between English language and environmental science classes or related subjects, providing insight into their exposure to interdisciplinary assessment procedures.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Question 4 explored the main areas in the interdisciplinary training programs received by teachers.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Question 5 investigated different types of assessment methods dealt with in the training programs organized for the in-service teachers.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Section 2- Awareness of Assessment Techniques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Questions 1 &amp; 2 delved into identifying teachers’ awareness of assessment techniques and identifying language skills and other skills useful for teaching environmental concepts and issues.</w:t>
      </w:r>
      <w:r w:rsidRPr="00660CFA">
        <w:rPr>
          <w:rFonts w:ascii="Times New Roman" w:hAnsi="Times New Roman" w:cs="Times New Roman"/>
        </w:rPr>
        <w:br/>
        <w:t>Questions 3 &amp; 4: Assessed teachers’ confidence in using specific assessment techniques in the classroom and their training needs in these techniques, identifying areas where teachers feel competent and areas where they require additional training or support.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Along with administering the questionnaire, responses were also gathered from in-service teachers through informal interviews.</w:t>
      </w:r>
    </w:p>
    <w:p w:rsidR="005D14AE" w:rsidRPr="00660CFA" w:rsidRDefault="00833F87" w:rsidP="009F0723">
      <w:pPr>
        <w:spacing w:line="240" w:lineRule="auto"/>
        <w:jc w:val="both"/>
        <w:rPr>
          <w:rFonts w:ascii="Times New Roman" w:hAnsi="Times New Roman" w:cs="Times New Roman"/>
          <w:b/>
          <w:bCs/>
        </w:rPr>
      </w:pPr>
      <w:r w:rsidRPr="00660CFA">
        <w:rPr>
          <w:rFonts w:ascii="Times New Roman" w:hAnsi="Times New Roman" w:cs="Times New Roman"/>
          <w:b/>
          <w:bCs/>
        </w:rPr>
        <w:t>Findings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The respondents have provided the following responses for the questionnaire- Out of the 60 respondents, 8 respondents have below 5 years of teaching experience, 16 respondents have below 10 years of teaching experience, 8 respondents have below 15 years of teaching experience, and 28 respondents have 15 years and above teaching experience and out of these 9 respondents participated in the interdisciplinary assessment programmes. Out of the 9 respondents, five received training in summative and formative assessment strategies</w:t>
      </w:r>
      <w:r w:rsidR="003D3645" w:rsidRPr="00660CFA">
        <w:rPr>
          <w:rFonts w:ascii="Times New Roman" w:hAnsi="Times New Roman" w:cs="Times New Roman"/>
        </w:rPr>
        <w:t>,</w:t>
      </w:r>
      <w:r w:rsidRPr="00660CFA">
        <w:rPr>
          <w:rFonts w:ascii="Times New Roman" w:hAnsi="Times New Roman" w:cs="Times New Roman"/>
        </w:rPr>
        <w:t xml:space="preserve"> and three received training in assessment tools. All the respondents teach English and Social Science. The same is shown in the table below:</w:t>
      </w:r>
    </w:p>
    <w:p w:rsidR="005D14AE" w:rsidRDefault="00833F87" w:rsidP="009F0723">
      <w:pPr>
        <w:spacing w:line="240" w:lineRule="auto"/>
        <w:jc w:val="both"/>
        <w:rPr>
          <w:rFonts w:ascii="Times New Roman" w:hAnsi="Times New Roman" w:cs="Times New Roman"/>
        </w:rPr>
      </w:pPr>
      <w:r w:rsidRPr="00660CFA">
        <w:rPr>
          <w:rFonts w:ascii="Times New Roman" w:hAnsi="Times New Roman" w:cs="Times New Roman"/>
        </w:rPr>
        <w:t>Table 1: Teaching experience and training details of the participants</w:t>
      </w:r>
    </w:p>
    <w:tbl>
      <w:tblPr>
        <w:tblStyle w:val="PlainTable11"/>
        <w:tblW w:w="0" w:type="auto"/>
        <w:tblInd w:w="113" w:type="dxa"/>
        <w:tblLook w:val="04A0"/>
      </w:tblPr>
      <w:tblGrid>
        <w:gridCol w:w="1331"/>
        <w:gridCol w:w="1489"/>
        <w:gridCol w:w="2072"/>
        <w:gridCol w:w="1666"/>
        <w:gridCol w:w="1472"/>
        <w:gridCol w:w="1099"/>
      </w:tblGrid>
      <w:tr w:rsidR="00FA3946" w:rsidRPr="00660CFA" w:rsidTr="00FA3946">
        <w:trPr>
          <w:cnfStyle w:val="100000000000"/>
        </w:trPr>
        <w:tc>
          <w:tcPr>
            <w:cnfStyle w:val="001000000000"/>
            <w:tcW w:w="0" w:type="auto"/>
          </w:tcPr>
          <w:p w:rsidR="00FA3946" w:rsidRPr="00660CFA" w:rsidRDefault="00FA3946" w:rsidP="008F0356">
            <w:pPr>
              <w:spacing w:after="0" w:line="240" w:lineRule="auto"/>
              <w:jc w:val="both"/>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Teaching Experience</w:t>
            </w:r>
          </w:p>
        </w:tc>
        <w:tc>
          <w:tcPr>
            <w:tcW w:w="0" w:type="auto"/>
          </w:tcPr>
          <w:p w:rsidR="00FA3946" w:rsidRPr="00660CFA" w:rsidRDefault="00FA3946" w:rsidP="008F0356">
            <w:pPr>
              <w:spacing w:after="0" w:line="240" w:lineRule="auto"/>
              <w:jc w:val="both"/>
              <w:cnfStyle w:val="100000000000"/>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Number of Respondents</w:t>
            </w:r>
          </w:p>
        </w:tc>
        <w:tc>
          <w:tcPr>
            <w:tcW w:w="0" w:type="auto"/>
          </w:tcPr>
          <w:p w:rsidR="00FA3946" w:rsidRPr="00660CFA" w:rsidRDefault="00FA3946" w:rsidP="008F0356">
            <w:pPr>
              <w:spacing w:after="0" w:line="240" w:lineRule="auto"/>
              <w:jc w:val="both"/>
              <w:cnfStyle w:val="100000000000"/>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Participated in Interdisciplinary Assessment Programmes</w:t>
            </w:r>
          </w:p>
        </w:tc>
        <w:tc>
          <w:tcPr>
            <w:tcW w:w="0" w:type="auto"/>
          </w:tcPr>
          <w:p w:rsidR="00FA3946" w:rsidRPr="00660CFA" w:rsidRDefault="00FA3946" w:rsidP="008F0356">
            <w:pPr>
              <w:spacing w:after="0" w:line="240" w:lineRule="auto"/>
              <w:jc w:val="both"/>
              <w:cnfStyle w:val="100000000000"/>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Received Training in Summative &amp; Formative Assessment Strategies</w:t>
            </w:r>
          </w:p>
        </w:tc>
        <w:tc>
          <w:tcPr>
            <w:tcW w:w="0" w:type="auto"/>
          </w:tcPr>
          <w:p w:rsidR="00FA3946" w:rsidRPr="00660CFA" w:rsidRDefault="00FA3946" w:rsidP="008F0356">
            <w:pPr>
              <w:spacing w:after="0" w:line="240" w:lineRule="auto"/>
              <w:jc w:val="both"/>
              <w:cnfStyle w:val="100000000000"/>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Received Training in Assessment Tools</w:t>
            </w:r>
          </w:p>
        </w:tc>
        <w:tc>
          <w:tcPr>
            <w:tcW w:w="0" w:type="auto"/>
          </w:tcPr>
          <w:p w:rsidR="00FA3946" w:rsidRPr="00660CFA" w:rsidRDefault="00FA3946" w:rsidP="008F0356">
            <w:pPr>
              <w:spacing w:after="0" w:line="240" w:lineRule="auto"/>
              <w:jc w:val="both"/>
              <w:cnfStyle w:val="100000000000"/>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Subjects Taught</w:t>
            </w:r>
          </w:p>
        </w:tc>
      </w:tr>
      <w:tr w:rsidR="00FA3946" w:rsidRPr="00660CFA" w:rsidTr="00FA3946">
        <w:tc>
          <w:tcPr>
            <w:cnfStyle w:val="001000000000"/>
            <w:tcW w:w="0" w:type="auto"/>
            <w:shd w:val="clear" w:color="auto" w:fill="auto"/>
          </w:tcPr>
          <w:p w:rsidR="00FA3946" w:rsidRPr="00660CFA" w:rsidRDefault="00FA3946" w:rsidP="008F0356">
            <w:pPr>
              <w:spacing w:after="0" w:line="240" w:lineRule="auto"/>
              <w:jc w:val="both"/>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Below 5 years</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8</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English, Social Science</w:t>
            </w:r>
          </w:p>
        </w:tc>
      </w:tr>
      <w:tr w:rsidR="00FA3946" w:rsidRPr="00660CFA" w:rsidTr="00FA3946">
        <w:tc>
          <w:tcPr>
            <w:cnfStyle w:val="001000000000"/>
            <w:tcW w:w="0" w:type="auto"/>
          </w:tcPr>
          <w:p w:rsidR="00FA3946" w:rsidRPr="00660CFA" w:rsidRDefault="00FA3946" w:rsidP="008F0356">
            <w:pPr>
              <w:spacing w:after="0" w:line="240" w:lineRule="auto"/>
              <w:jc w:val="both"/>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Below 10 years</w:t>
            </w:r>
          </w:p>
        </w:tc>
        <w:tc>
          <w:tcPr>
            <w:tcW w:w="0" w:type="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16</w:t>
            </w:r>
          </w:p>
        </w:tc>
        <w:tc>
          <w:tcPr>
            <w:tcW w:w="0" w:type="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English, Social Science</w:t>
            </w:r>
          </w:p>
        </w:tc>
      </w:tr>
      <w:tr w:rsidR="00FA3946" w:rsidRPr="00660CFA" w:rsidTr="00FA3946">
        <w:tc>
          <w:tcPr>
            <w:cnfStyle w:val="001000000000"/>
            <w:tcW w:w="0" w:type="auto"/>
            <w:shd w:val="clear" w:color="auto" w:fill="auto"/>
          </w:tcPr>
          <w:p w:rsidR="00FA3946" w:rsidRPr="00660CFA" w:rsidRDefault="00FA3946" w:rsidP="008F0356">
            <w:pPr>
              <w:spacing w:after="0" w:line="240" w:lineRule="auto"/>
              <w:jc w:val="both"/>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Below 15 years</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8</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English, Social Science</w:t>
            </w:r>
          </w:p>
        </w:tc>
      </w:tr>
      <w:tr w:rsidR="00FA3946" w:rsidRPr="00660CFA" w:rsidTr="00FA3946">
        <w:tc>
          <w:tcPr>
            <w:cnfStyle w:val="001000000000"/>
            <w:tcW w:w="0" w:type="auto"/>
          </w:tcPr>
          <w:p w:rsidR="00FA3946" w:rsidRPr="00660CFA" w:rsidRDefault="00FA3946" w:rsidP="008F0356">
            <w:pPr>
              <w:spacing w:after="0" w:line="240" w:lineRule="auto"/>
              <w:jc w:val="both"/>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15 years &amp; above</w:t>
            </w:r>
          </w:p>
        </w:tc>
        <w:tc>
          <w:tcPr>
            <w:tcW w:w="0" w:type="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28</w:t>
            </w:r>
          </w:p>
        </w:tc>
        <w:tc>
          <w:tcPr>
            <w:tcW w:w="0" w:type="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9</w:t>
            </w:r>
          </w:p>
        </w:tc>
        <w:tc>
          <w:tcPr>
            <w:tcW w:w="0" w:type="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5</w:t>
            </w:r>
          </w:p>
        </w:tc>
        <w:tc>
          <w:tcPr>
            <w:tcW w:w="0" w:type="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3</w:t>
            </w:r>
          </w:p>
        </w:tc>
        <w:tc>
          <w:tcPr>
            <w:tcW w:w="0" w:type="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English, Social Science</w:t>
            </w:r>
          </w:p>
        </w:tc>
      </w:tr>
      <w:tr w:rsidR="00FA3946" w:rsidRPr="00660CFA" w:rsidTr="00FA3946">
        <w:tc>
          <w:tcPr>
            <w:cnfStyle w:val="001000000000"/>
            <w:tcW w:w="0" w:type="auto"/>
            <w:shd w:val="clear" w:color="auto" w:fill="auto"/>
          </w:tcPr>
          <w:p w:rsidR="00FA3946" w:rsidRPr="00660CFA" w:rsidRDefault="00FA3946" w:rsidP="008F0356">
            <w:pPr>
              <w:spacing w:after="0" w:line="240" w:lineRule="auto"/>
              <w:jc w:val="both"/>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lastRenderedPageBreak/>
              <w:t>Total</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60</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9</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5</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3</w:t>
            </w:r>
          </w:p>
        </w:tc>
        <w:tc>
          <w:tcPr>
            <w:tcW w:w="0" w:type="auto"/>
            <w:shd w:val="clear" w:color="auto" w:fill="auto"/>
          </w:tcPr>
          <w:p w:rsidR="00FA3946" w:rsidRPr="00660CFA" w:rsidRDefault="00FA3946"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English, Social Science</w:t>
            </w:r>
          </w:p>
        </w:tc>
      </w:tr>
    </w:tbl>
    <w:p w:rsidR="005D14AE" w:rsidRPr="00660CFA" w:rsidRDefault="005D14AE" w:rsidP="009F0723">
      <w:pPr>
        <w:spacing w:line="240" w:lineRule="auto"/>
        <w:jc w:val="both"/>
        <w:rPr>
          <w:rFonts w:ascii="Times New Roman" w:hAnsi="Times New Roman" w:cs="Times New Roman"/>
        </w:rPr>
      </w:pPr>
    </w:p>
    <w:p w:rsidR="005D14AE" w:rsidRPr="00660CFA" w:rsidRDefault="00833F87" w:rsidP="009F0723">
      <w:pPr>
        <w:spacing w:line="240" w:lineRule="auto"/>
        <w:jc w:val="both"/>
        <w:rPr>
          <w:rFonts w:ascii="Times New Roman" w:hAnsi="Times New Roman" w:cs="Times New Roman"/>
          <w:lang w:val="en-US"/>
        </w:rPr>
      </w:pPr>
      <w:r w:rsidRPr="00660CFA">
        <w:rPr>
          <w:rFonts w:ascii="Times New Roman" w:hAnsi="Times New Roman" w:cs="Times New Roman"/>
        </w:rPr>
        <w:t>Out of 60 respondents</w:t>
      </w:r>
      <w:r w:rsidR="00CF144C" w:rsidRPr="00660CFA">
        <w:rPr>
          <w:rFonts w:ascii="Times New Roman" w:hAnsi="Times New Roman" w:cs="Times New Roman"/>
        </w:rPr>
        <w:t>,</w:t>
      </w:r>
      <w:r w:rsidRPr="00660CFA">
        <w:rPr>
          <w:rFonts w:ascii="Times New Roman" w:hAnsi="Times New Roman" w:cs="Times New Roman"/>
        </w:rPr>
        <w:t xml:space="preserve"> 28</w:t>
      </w:r>
      <w:r w:rsidRPr="00660CFA">
        <w:rPr>
          <w:rFonts w:ascii="Times New Roman" w:hAnsi="Times New Roman" w:cs="Times New Roman"/>
          <w:lang w:val="en-US"/>
        </w:rPr>
        <w:t xml:space="preserve"> emphasized the integration of all language skills (reading, writing, speaking, and listening) in teaching environmental education.</w:t>
      </w:r>
      <w:r w:rsidRPr="00660CFA">
        <w:rPr>
          <w:rFonts w:ascii="Times New Roman" w:hAnsi="Times New Roman" w:cs="Times New Roman"/>
        </w:rPr>
        <w:t xml:space="preserve"> These 28 respondents included 18 respondents with 15 years and above teaching experience, 8 respondents with below 15 years of teaching and 2 respondents with below 10 </w:t>
      </w:r>
      <w:r w:rsidR="00CF144C" w:rsidRPr="00660CFA">
        <w:rPr>
          <w:rFonts w:ascii="Times New Roman" w:hAnsi="Times New Roman" w:cs="Times New Roman"/>
        </w:rPr>
        <w:t>years</w:t>
      </w:r>
      <w:r w:rsidRPr="00660CFA">
        <w:rPr>
          <w:rFonts w:ascii="Times New Roman" w:hAnsi="Times New Roman" w:cs="Times New Roman"/>
        </w:rPr>
        <w:t xml:space="preserve"> of teaching experience. Whereas, 20 respondents who </w:t>
      </w:r>
      <w:r w:rsidR="00CF144C" w:rsidRPr="00660CFA">
        <w:rPr>
          <w:rFonts w:ascii="Times New Roman" w:hAnsi="Times New Roman" w:cs="Times New Roman"/>
        </w:rPr>
        <w:t>have</w:t>
      </w:r>
      <w:r w:rsidRPr="00660CFA">
        <w:rPr>
          <w:rFonts w:ascii="Times New Roman" w:hAnsi="Times New Roman" w:cs="Times New Roman"/>
        </w:rPr>
        <w:t xml:space="preserve"> below 10 years of teaching experience (n=10), and respondents with above 15 years </w:t>
      </w:r>
      <w:r w:rsidR="00CF144C" w:rsidRPr="00660CFA">
        <w:rPr>
          <w:rFonts w:ascii="Times New Roman" w:hAnsi="Times New Roman" w:cs="Times New Roman"/>
        </w:rPr>
        <w:t xml:space="preserve">of </w:t>
      </w:r>
      <w:r w:rsidRPr="00660CFA">
        <w:rPr>
          <w:rFonts w:ascii="Times New Roman" w:hAnsi="Times New Roman" w:cs="Times New Roman"/>
        </w:rPr>
        <w:t xml:space="preserve">teaching experience (n=10) mentioned </w:t>
      </w:r>
      <w:r w:rsidR="00CF144C" w:rsidRPr="00660CFA">
        <w:rPr>
          <w:rFonts w:ascii="Times New Roman" w:hAnsi="Times New Roman" w:cs="Times New Roman"/>
        </w:rPr>
        <w:t xml:space="preserve">that </w:t>
      </w:r>
      <w:r w:rsidRPr="00660CFA">
        <w:rPr>
          <w:rFonts w:ascii="Times New Roman" w:hAnsi="Times New Roman" w:cs="Times New Roman"/>
        </w:rPr>
        <w:t xml:space="preserve">speaking and writing skills are required for </w:t>
      </w:r>
      <w:r w:rsidRPr="00660CFA">
        <w:rPr>
          <w:rFonts w:ascii="Times New Roman" w:hAnsi="Times New Roman" w:cs="Times New Roman"/>
          <w:lang w:val="en-US"/>
        </w:rPr>
        <w:t>classroom discussions, assignments, and assessments, especially when engaging with interdisciplinary topics like environmental education.</w:t>
      </w:r>
    </w:p>
    <w:p w:rsidR="005D14AE" w:rsidRPr="00660CFA" w:rsidRDefault="00833F87" w:rsidP="009F0723">
      <w:pPr>
        <w:spacing w:line="240" w:lineRule="auto"/>
        <w:jc w:val="both"/>
        <w:rPr>
          <w:rFonts w:ascii="Times New Roman" w:hAnsi="Times New Roman" w:cs="Times New Roman"/>
          <w:lang w:val="en-US"/>
        </w:rPr>
      </w:pPr>
      <w:r w:rsidRPr="00660CFA">
        <w:rPr>
          <w:rFonts w:ascii="Times New Roman" w:hAnsi="Times New Roman" w:cs="Times New Roman"/>
        </w:rPr>
        <w:t xml:space="preserve"> The remaining respondents out of which 8 respondents </w:t>
      </w:r>
      <w:r w:rsidR="00CF144C" w:rsidRPr="00660CFA">
        <w:rPr>
          <w:rFonts w:ascii="Times New Roman" w:hAnsi="Times New Roman" w:cs="Times New Roman"/>
        </w:rPr>
        <w:t>have</w:t>
      </w:r>
      <w:r w:rsidRPr="00660CFA">
        <w:rPr>
          <w:rFonts w:ascii="Times New Roman" w:hAnsi="Times New Roman" w:cs="Times New Roman"/>
        </w:rPr>
        <w:t xml:space="preserve"> below 5 years of teaching experience and 4 respondents </w:t>
      </w:r>
      <w:r w:rsidR="00CF144C" w:rsidRPr="00660CFA">
        <w:rPr>
          <w:rFonts w:ascii="Times New Roman" w:hAnsi="Times New Roman" w:cs="Times New Roman"/>
        </w:rPr>
        <w:t>have</w:t>
      </w:r>
      <w:r w:rsidRPr="00660CFA">
        <w:rPr>
          <w:rFonts w:ascii="Times New Roman" w:hAnsi="Times New Roman" w:cs="Times New Roman"/>
        </w:rPr>
        <w:t xml:space="preserve"> below 10 years of experience</w:t>
      </w:r>
      <w:r w:rsidR="00CF144C" w:rsidRPr="00660CFA">
        <w:rPr>
          <w:rFonts w:ascii="Times New Roman" w:hAnsi="Times New Roman" w:cs="Times New Roman"/>
        </w:rPr>
        <w:t>,</w:t>
      </w:r>
      <w:r w:rsidRPr="00660CFA">
        <w:rPr>
          <w:rFonts w:ascii="Times New Roman" w:hAnsi="Times New Roman" w:cs="Times New Roman"/>
        </w:rPr>
        <w:t xml:space="preserve"> mentioned reading and listening skills </w:t>
      </w:r>
      <w:r w:rsidRPr="00660CFA">
        <w:rPr>
          <w:rFonts w:ascii="Times New Roman" w:hAnsi="Times New Roman" w:cs="Times New Roman"/>
          <w:lang w:val="en-US"/>
        </w:rPr>
        <w:t xml:space="preserve">as foundational tools for introducing environmental concepts and building students' understanding. </w:t>
      </w:r>
      <w:r w:rsidRPr="00660CFA">
        <w:rPr>
          <w:rFonts w:ascii="Times New Roman" w:eastAsia="Times New Roman" w:hAnsi="Times New Roman" w:cs="Times New Roman"/>
          <w:lang w:eastAsia="en-IN"/>
        </w:rPr>
        <w:t>The responses of the participants were provided in the table below:</w:t>
      </w:r>
    </w:p>
    <w:p w:rsidR="005D14AE" w:rsidRDefault="00833F87" w:rsidP="009F0723">
      <w:pPr>
        <w:spacing w:before="100" w:beforeAutospacing="1" w:after="100" w:afterAutospacing="1"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Table 2: Teaching experience and language skills preferences</w:t>
      </w:r>
    </w:p>
    <w:tbl>
      <w:tblPr>
        <w:tblStyle w:val="TableGridLight1"/>
        <w:tblW w:w="8959" w:type="dxa"/>
        <w:tblInd w:w="113" w:type="dxa"/>
        <w:tblLook w:val="04A0"/>
      </w:tblPr>
      <w:tblGrid>
        <w:gridCol w:w="1470"/>
        <w:gridCol w:w="1648"/>
        <w:gridCol w:w="2221"/>
        <w:gridCol w:w="1816"/>
        <w:gridCol w:w="1804"/>
      </w:tblGrid>
      <w:tr w:rsidR="00FA3946" w:rsidRPr="00660CFA" w:rsidTr="00FA3946">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Teaching Experience</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Number of Respondents</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Emphasized Integration of All Language Skills</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Focused on Speaking &amp; Writing Skills</w:t>
            </w:r>
          </w:p>
        </w:tc>
        <w:tc>
          <w:tcPr>
            <w:tcW w:w="1804" w:type="dxa"/>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Focused on Reading &amp; Listening Skills</w:t>
            </w:r>
          </w:p>
        </w:tc>
      </w:tr>
      <w:tr w:rsidR="00FA3946" w:rsidRPr="00660CFA" w:rsidTr="00FA3946">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Below 5 years</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8</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1804" w:type="dxa"/>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8</w:t>
            </w:r>
          </w:p>
        </w:tc>
      </w:tr>
      <w:tr w:rsidR="00FA3946" w:rsidRPr="00660CFA" w:rsidTr="00FA3946">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Below 10 years</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16</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2</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10</w:t>
            </w:r>
          </w:p>
        </w:tc>
        <w:tc>
          <w:tcPr>
            <w:tcW w:w="1804" w:type="dxa"/>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4</w:t>
            </w:r>
          </w:p>
        </w:tc>
      </w:tr>
      <w:tr w:rsidR="00FA3946" w:rsidRPr="00660CFA" w:rsidTr="00FA3946">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Below 15 years</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8</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8</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1804" w:type="dxa"/>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r>
      <w:tr w:rsidR="00FA3946" w:rsidRPr="00660CFA" w:rsidTr="00FA3946">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15 years &amp; above</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28</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18</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10</w:t>
            </w:r>
          </w:p>
        </w:tc>
        <w:tc>
          <w:tcPr>
            <w:tcW w:w="1804" w:type="dxa"/>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r>
      <w:tr w:rsidR="00FA3946" w:rsidRPr="00660CFA" w:rsidTr="00FA3946">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Total</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60</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28</w:t>
            </w:r>
          </w:p>
        </w:tc>
        <w:tc>
          <w:tcPr>
            <w:tcW w:w="0" w:type="auto"/>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20</w:t>
            </w:r>
          </w:p>
        </w:tc>
        <w:tc>
          <w:tcPr>
            <w:tcW w:w="1804" w:type="dxa"/>
          </w:tcPr>
          <w:p w:rsidR="00FA3946" w:rsidRPr="00660CFA" w:rsidRDefault="00FA3946"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12</w:t>
            </w:r>
          </w:p>
        </w:tc>
      </w:tr>
    </w:tbl>
    <w:p w:rsidR="005D14AE" w:rsidRPr="00660CFA" w:rsidRDefault="005D14AE" w:rsidP="009F0723">
      <w:pPr>
        <w:spacing w:line="240" w:lineRule="auto"/>
        <w:jc w:val="both"/>
        <w:rPr>
          <w:rFonts w:ascii="Times New Roman" w:hAnsi="Times New Roman" w:cs="Times New Roman"/>
          <w:lang w:val="en-US"/>
        </w:rPr>
      </w:pPr>
    </w:p>
    <w:p w:rsidR="003700C7" w:rsidRPr="00660CFA" w:rsidRDefault="003700C7" w:rsidP="009F0723">
      <w:pPr>
        <w:spacing w:line="240" w:lineRule="auto"/>
        <w:jc w:val="both"/>
        <w:rPr>
          <w:rFonts w:ascii="Times New Roman" w:hAnsi="Times New Roman" w:cs="Times New Roman"/>
          <w:lang w:val="en-US"/>
        </w:rPr>
      </w:pPr>
      <w:r w:rsidRPr="00660CFA">
        <w:rPr>
          <w:rFonts w:ascii="Times New Roman" w:hAnsi="Times New Roman" w:cs="Times New Roman"/>
          <w:lang w:val="en-US"/>
        </w:rPr>
        <w:t>The tabular information is presented in the Figure 1 below:</w:t>
      </w:r>
    </w:p>
    <w:p w:rsidR="005D14AE" w:rsidRPr="00660CFA" w:rsidRDefault="00F1530A" w:rsidP="009F0723">
      <w:pPr>
        <w:spacing w:line="240" w:lineRule="auto"/>
        <w:jc w:val="both"/>
        <w:rPr>
          <w:rFonts w:ascii="Times New Roman" w:hAnsi="Times New Roman" w:cs="Times New Roman"/>
          <w:lang w:val="en-US"/>
        </w:rPr>
      </w:pPr>
      <w:r w:rsidRPr="00660CFA">
        <w:rPr>
          <w:rFonts w:ascii="Times New Roman" w:hAnsi="Times New Roman" w:cs="Times New Roman"/>
          <w:noProof/>
          <w:lang w:val="en-US"/>
        </w:rPr>
        <w:lastRenderedPageBreak/>
        <w:drawing>
          <wp:inline distT="0" distB="0" distL="0" distR="0">
            <wp:extent cx="6027420" cy="3371850"/>
            <wp:effectExtent l="0" t="0" r="11430" b="0"/>
            <wp:docPr id="96050872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A12D762-3D41-4980-0273-500ED92B17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00C7" w:rsidRPr="00660CFA" w:rsidRDefault="003700C7" w:rsidP="009F0723">
      <w:pPr>
        <w:spacing w:line="240" w:lineRule="auto"/>
        <w:jc w:val="both"/>
        <w:rPr>
          <w:rFonts w:ascii="Times New Roman" w:hAnsi="Times New Roman" w:cs="Times New Roman"/>
        </w:rPr>
      </w:pPr>
      <w:r w:rsidRPr="00660CFA">
        <w:rPr>
          <w:rFonts w:ascii="Times New Roman" w:hAnsi="Times New Roman" w:cs="Times New Roman"/>
        </w:rPr>
        <w:t xml:space="preserve">Figure 1: </w:t>
      </w:r>
      <w:r w:rsidRPr="00660CFA">
        <w:rPr>
          <w:rFonts w:ascii="Times New Roman" w:eastAsia="Times New Roman" w:hAnsi="Times New Roman" w:cs="Times New Roman"/>
          <w:lang w:eastAsia="en-IN"/>
        </w:rPr>
        <w:t>Language Skills Preferences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In the survey responses, a diverse range of skills were mentioned by the respondents </w:t>
      </w:r>
      <w:r w:rsidR="00D41426" w:rsidRPr="00660CFA">
        <w:rPr>
          <w:rFonts w:ascii="Times New Roman" w:hAnsi="Times New Roman" w:cs="Times New Roman"/>
        </w:rPr>
        <w:t>that</w:t>
      </w:r>
      <w:r w:rsidRPr="00660CFA">
        <w:rPr>
          <w:rFonts w:ascii="Times New Roman" w:hAnsi="Times New Roman" w:cs="Times New Roman"/>
        </w:rPr>
        <w:t xml:space="preserve"> they considered crucial for understanding concepts related to environmental education. Critical thinking and analytical skills were opted by 12 respondents (above 15 years teaching experience)</w:t>
      </w:r>
      <w:proofErr w:type="gramStart"/>
      <w:r w:rsidRPr="00660CFA">
        <w:rPr>
          <w:rFonts w:ascii="Times New Roman" w:hAnsi="Times New Roman" w:cs="Times New Roman"/>
        </w:rPr>
        <w:t>,</w:t>
      </w:r>
      <w:proofErr w:type="gramEnd"/>
      <w:r w:rsidRPr="00660CFA">
        <w:rPr>
          <w:rFonts w:ascii="Times New Roman" w:hAnsi="Times New Roman" w:cs="Times New Roman"/>
        </w:rPr>
        <w:t xml:space="preserve"> Problem-solving was also prominently mentioned by 14 respondents</w:t>
      </w:r>
      <w:r w:rsidR="00D41426" w:rsidRPr="00660CFA">
        <w:rPr>
          <w:rFonts w:ascii="Times New Roman" w:hAnsi="Times New Roman" w:cs="Times New Roman"/>
        </w:rPr>
        <w:t>,</w:t>
      </w:r>
      <w:r w:rsidRPr="00660CFA">
        <w:rPr>
          <w:rFonts w:ascii="Times New Roman" w:hAnsi="Times New Roman" w:cs="Times New Roman"/>
        </w:rPr>
        <w:t xml:space="preserve"> recognizing its importance. Out of these 14 respondents</w:t>
      </w:r>
      <w:r w:rsidR="00D41426" w:rsidRPr="00660CFA">
        <w:rPr>
          <w:rFonts w:ascii="Times New Roman" w:hAnsi="Times New Roman" w:cs="Times New Roman"/>
        </w:rPr>
        <w:t>,</w:t>
      </w:r>
      <w:r w:rsidRPr="00660CFA">
        <w:rPr>
          <w:rFonts w:ascii="Times New Roman" w:hAnsi="Times New Roman" w:cs="Times New Roman"/>
        </w:rPr>
        <w:t xml:space="preserve"> 8 are teachers with </w:t>
      </w:r>
      <w:r w:rsidR="00D41426" w:rsidRPr="00660CFA">
        <w:rPr>
          <w:rFonts w:ascii="Times New Roman" w:hAnsi="Times New Roman" w:cs="Times New Roman"/>
        </w:rPr>
        <w:t>below 15</w:t>
      </w:r>
      <w:r w:rsidRPr="00660CFA">
        <w:rPr>
          <w:rFonts w:ascii="Times New Roman" w:hAnsi="Times New Roman" w:cs="Times New Roman"/>
        </w:rPr>
        <w:t xml:space="preserve"> years of experience</w:t>
      </w:r>
      <w:r w:rsidR="00D41426" w:rsidRPr="00660CFA">
        <w:rPr>
          <w:rFonts w:ascii="Times New Roman" w:hAnsi="Times New Roman" w:cs="Times New Roman"/>
        </w:rPr>
        <w:t>,</w:t>
      </w:r>
      <w:r w:rsidRPr="00660CFA">
        <w:rPr>
          <w:rFonts w:ascii="Times New Roman" w:hAnsi="Times New Roman" w:cs="Times New Roman"/>
        </w:rPr>
        <w:t xml:space="preserve"> and 6 are with below 10 years of experience. Communication skills emerged as another key area, with 14 respondents acknowledging their relevance. Out of 14 respondents, 10 are from </w:t>
      </w:r>
      <w:r w:rsidR="00D41426" w:rsidRPr="00660CFA">
        <w:rPr>
          <w:rFonts w:ascii="Times New Roman" w:hAnsi="Times New Roman" w:cs="Times New Roman"/>
        </w:rPr>
        <w:t xml:space="preserve">the </w:t>
      </w:r>
      <w:r w:rsidRPr="00660CFA">
        <w:rPr>
          <w:rFonts w:ascii="Times New Roman" w:hAnsi="Times New Roman" w:cs="Times New Roman"/>
        </w:rPr>
        <w:t xml:space="preserve">below 10 years teaching experience group and 4 are from below 5 years of teaching experience. From the selected participants for the study, four participants with below 5 years of work experience preferred comprehending and analyzing the given information as an important skill to be taught. Whereas, 16 teachers with more than 15 years of teaching experience mentioned proficiency in all skills that are necessary to complete interdisciplinary tasks. </w:t>
      </w:r>
      <w:r w:rsidRPr="00660CFA">
        <w:rPr>
          <w:rFonts w:ascii="Times New Roman" w:eastAsia="Times New Roman" w:hAnsi="Times New Roman" w:cs="Times New Roman"/>
          <w:lang w:eastAsia="en-IN"/>
        </w:rPr>
        <w:t>The responses of the survey participants are presented below:</w:t>
      </w:r>
    </w:p>
    <w:p w:rsidR="005D14AE" w:rsidRDefault="00833F87" w:rsidP="009F0723">
      <w:pPr>
        <w:spacing w:before="100" w:beforeAutospacing="1" w:after="100" w:afterAutospacing="1"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 xml:space="preserve">Table 3: Teaching experience and </w:t>
      </w:r>
      <w:r w:rsidR="00866C8D" w:rsidRPr="00660CFA">
        <w:rPr>
          <w:rFonts w:ascii="Times New Roman" w:eastAsia="Times New Roman" w:hAnsi="Times New Roman" w:cs="Times New Roman"/>
          <w:lang w:eastAsia="en-IN"/>
        </w:rPr>
        <w:t>diff</w:t>
      </w:r>
      <w:r w:rsidR="00AC2590" w:rsidRPr="00660CFA">
        <w:rPr>
          <w:rFonts w:ascii="Times New Roman" w:eastAsia="Times New Roman" w:hAnsi="Times New Roman" w:cs="Times New Roman"/>
          <w:lang w:eastAsia="en-IN"/>
        </w:rPr>
        <w:t>e</w:t>
      </w:r>
      <w:r w:rsidR="00866C8D" w:rsidRPr="00660CFA">
        <w:rPr>
          <w:rFonts w:ascii="Times New Roman" w:eastAsia="Times New Roman" w:hAnsi="Times New Roman" w:cs="Times New Roman"/>
          <w:lang w:eastAsia="en-IN"/>
        </w:rPr>
        <w:t>rent</w:t>
      </w:r>
      <w:r w:rsidR="00300A14" w:rsidRPr="00660CFA">
        <w:rPr>
          <w:rFonts w:ascii="Times New Roman" w:eastAsia="Times New Roman" w:hAnsi="Times New Roman" w:cs="Times New Roman"/>
          <w:lang w:eastAsia="en-IN"/>
        </w:rPr>
        <w:t xml:space="preserve"> </w:t>
      </w:r>
      <w:r w:rsidRPr="00660CFA">
        <w:rPr>
          <w:rFonts w:ascii="Times New Roman" w:eastAsia="Times New Roman" w:hAnsi="Times New Roman" w:cs="Times New Roman"/>
          <w:lang w:eastAsia="en-IN"/>
        </w:rPr>
        <w:t>skill preferences</w:t>
      </w:r>
    </w:p>
    <w:tbl>
      <w:tblPr>
        <w:tblStyle w:val="PlainTable11"/>
        <w:tblW w:w="0" w:type="auto"/>
        <w:tblInd w:w="13" w:type="dxa"/>
        <w:tblLook w:val="04A0"/>
      </w:tblPr>
      <w:tblGrid>
        <w:gridCol w:w="1226"/>
        <w:gridCol w:w="1370"/>
        <w:gridCol w:w="1146"/>
        <w:gridCol w:w="1063"/>
        <w:gridCol w:w="1675"/>
        <w:gridCol w:w="1510"/>
        <w:gridCol w:w="1239"/>
      </w:tblGrid>
      <w:tr w:rsidR="00D76095" w:rsidRPr="00660CFA" w:rsidTr="00D76095">
        <w:trPr>
          <w:cnfStyle w:val="100000000000"/>
        </w:trPr>
        <w:tc>
          <w:tcPr>
            <w:cnfStyle w:val="001000000000"/>
            <w:tcW w:w="0" w:type="auto"/>
          </w:tcPr>
          <w:p w:rsidR="00D76095" w:rsidRPr="00660CFA" w:rsidRDefault="00D76095" w:rsidP="008F0356">
            <w:pPr>
              <w:spacing w:after="0" w:line="240" w:lineRule="auto"/>
              <w:jc w:val="both"/>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Teaching Experience</w:t>
            </w:r>
          </w:p>
        </w:tc>
        <w:tc>
          <w:tcPr>
            <w:tcW w:w="0" w:type="auto"/>
          </w:tcPr>
          <w:p w:rsidR="00D76095" w:rsidRPr="00660CFA" w:rsidRDefault="00D76095" w:rsidP="008F0356">
            <w:pPr>
              <w:spacing w:after="0" w:line="240" w:lineRule="auto"/>
              <w:jc w:val="both"/>
              <w:cnfStyle w:val="100000000000"/>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Number of Respondents</w:t>
            </w:r>
          </w:p>
        </w:tc>
        <w:tc>
          <w:tcPr>
            <w:tcW w:w="0" w:type="auto"/>
          </w:tcPr>
          <w:p w:rsidR="00D76095" w:rsidRPr="00660CFA" w:rsidRDefault="00D76095" w:rsidP="008F0356">
            <w:pPr>
              <w:spacing w:after="0" w:line="240" w:lineRule="auto"/>
              <w:jc w:val="both"/>
              <w:cnfStyle w:val="100000000000"/>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Critical Thinking &amp; Analytical Skills</w:t>
            </w:r>
          </w:p>
        </w:tc>
        <w:tc>
          <w:tcPr>
            <w:tcW w:w="0" w:type="auto"/>
          </w:tcPr>
          <w:p w:rsidR="00D76095" w:rsidRPr="00660CFA" w:rsidRDefault="00D76095" w:rsidP="008F0356">
            <w:pPr>
              <w:spacing w:after="0" w:line="240" w:lineRule="auto"/>
              <w:jc w:val="both"/>
              <w:cnfStyle w:val="100000000000"/>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Problem-Solving Skills</w:t>
            </w:r>
          </w:p>
        </w:tc>
        <w:tc>
          <w:tcPr>
            <w:tcW w:w="0" w:type="auto"/>
          </w:tcPr>
          <w:p w:rsidR="00D76095" w:rsidRPr="00660CFA" w:rsidRDefault="00D76095" w:rsidP="008F0356">
            <w:pPr>
              <w:spacing w:after="0" w:line="240" w:lineRule="auto"/>
              <w:jc w:val="both"/>
              <w:cnfStyle w:val="100000000000"/>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Communication Skills</w:t>
            </w:r>
          </w:p>
        </w:tc>
        <w:tc>
          <w:tcPr>
            <w:tcW w:w="0" w:type="auto"/>
          </w:tcPr>
          <w:p w:rsidR="00D76095" w:rsidRPr="00660CFA" w:rsidRDefault="00D76095" w:rsidP="008F0356">
            <w:pPr>
              <w:spacing w:after="0" w:line="240" w:lineRule="auto"/>
              <w:jc w:val="both"/>
              <w:cnfStyle w:val="100000000000"/>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Interpretation Skills</w:t>
            </w:r>
          </w:p>
        </w:tc>
        <w:tc>
          <w:tcPr>
            <w:tcW w:w="1239" w:type="dxa"/>
          </w:tcPr>
          <w:p w:rsidR="00D76095" w:rsidRPr="00660CFA" w:rsidRDefault="00D76095" w:rsidP="008F0356">
            <w:pPr>
              <w:spacing w:after="0" w:line="240" w:lineRule="auto"/>
              <w:jc w:val="both"/>
              <w:cnfStyle w:val="100000000000"/>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Proficiency in All Skills</w:t>
            </w:r>
          </w:p>
        </w:tc>
      </w:tr>
      <w:tr w:rsidR="00D76095" w:rsidRPr="00660CFA" w:rsidTr="00D76095">
        <w:tc>
          <w:tcPr>
            <w:cnfStyle w:val="001000000000"/>
            <w:tcW w:w="0" w:type="auto"/>
            <w:shd w:val="clear" w:color="auto" w:fill="auto"/>
          </w:tcPr>
          <w:p w:rsidR="00D76095" w:rsidRPr="00660CFA" w:rsidRDefault="00D76095" w:rsidP="008F0356">
            <w:pPr>
              <w:spacing w:after="0" w:line="240" w:lineRule="auto"/>
              <w:jc w:val="both"/>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Below 5 years</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8</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4</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4</w:t>
            </w:r>
          </w:p>
        </w:tc>
        <w:tc>
          <w:tcPr>
            <w:tcW w:w="1239" w:type="dxa"/>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r>
      <w:tr w:rsidR="00D76095" w:rsidRPr="00660CFA" w:rsidTr="00D76095">
        <w:tc>
          <w:tcPr>
            <w:cnfStyle w:val="001000000000"/>
            <w:tcW w:w="0" w:type="auto"/>
          </w:tcPr>
          <w:p w:rsidR="00D76095" w:rsidRPr="00660CFA" w:rsidRDefault="00D76095" w:rsidP="008F0356">
            <w:pPr>
              <w:spacing w:after="0" w:line="240" w:lineRule="auto"/>
              <w:jc w:val="both"/>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Below 10 years</w:t>
            </w:r>
          </w:p>
        </w:tc>
        <w:tc>
          <w:tcPr>
            <w:tcW w:w="0" w:type="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16</w:t>
            </w:r>
          </w:p>
        </w:tc>
        <w:tc>
          <w:tcPr>
            <w:tcW w:w="0" w:type="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6</w:t>
            </w:r>
          </w:p>
        </w:tc>
        <w:tc>
          <w:tcPr>
            <w:tcW w:w="0" w:type="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10</w:t>
            </w:r>
          </w:p>
        </w:tc>
        <w:tc>
          <w:tcPr>
            <w:tcW w:w="0" w:type="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1239" w:type="dxa"/>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r>
      <w:tr w:rsidR="00D76095" w:rsidRPr="00660CFA" w:rsidTr="00D76095">
        <w:tc>
          <w:tcPr>
            <w:cnfStyle w:val="001000000000"/>
            <w:tcW w:w="0" w:type="auto"/>
            <w:shd w:val="clear" w:color="auto" w:fill="auto"/>
          </w:tcPr>
          <w:p w:rsidR="00D76095" w:rsidRPr="00660CFA" w:rsidRDefault="00D76095" w:rsidP="008F0356">
            <w:pPr>
              <w:spacing w:after="0" w:line="240" w:lineRule="auto"/>
              <w:jc w:val="both"/>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Below 15 years</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8</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8</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1239" w:type="dxa"/>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r>
      <w:tr w:rsidR="00D76095" w:rsidRPr="00660CFA" w:rsidTr="00D76095">
        <w:tc>
          <w:tcPr>
            <w:cnfStyle w:val="001000000000"/>
            <w:tcW w:w="0" w:type="auto"/>
          </w:tcPr>
          <w:p w:rsidR="00D76095" w:rsidRPr="00660CFA" w:rsidRDefault="00D76095" w:rsidP="008F0356">
            <w:pPr>
              <w:spacing w:after="0" w:line="240" w:lineRule="auto"/>
              <w:jc w:val="both"/>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15 years &amp; above</w:t>
            </w:r>
          </w:p>
        </w:tc>
        <w:tc>
          <w:tcPr>
            <w:tcW w:w="0" w:type="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28</w:t>
            </w:r>
          </w:p>
        </w:tc>
        <w:tc>
          <w:tcPr>
            <w:tcW w:w="0" w:type="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12</w:t>
            </w:r>
          </w:p>
        </w:tc>
        <w:tc>
          <w:tcPr>
            <w:tcW w:w="0" w:type="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1239" w:type="dxa"/>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16</w:t>
            </w:r>
          </w:p>
        </w:tc>
      </w:tr>
      <w:tr w:rsidR="00D76095" w:rsidRPr="00660CFA" w:rsidTr="00D76095">
        <w:tc>
          <w:tcPr>
            <w:cnfStyle w:val="001000000000"/>
            <w:tcW w:w="0" w:type="auto"/>
            <w:shd w:val="clear" w:color="auto" w:fill="auto"/>
          </w:tcPr>
          <w:p w:rsidR="00D76095" w:rsidRPr="00660CFA" w:rsidRDefault="00D76095" w:rsidP="008F0356">
            <w:pPr>
              <w:spacing w:after="0" w:line="240" w:lineRule="auto"/>
              <w:jc w:val="both"/>
              <w:rPr>
                <w:rFonts w:ascii="Times New Roman" w:eastAsia="Times New Roman" w:hAnsi="Times New Roman" w:cs="Times New Roman"/>
                <w:b w:val="0"/>
                <w:bCs w:val="0"/>
                <w:lang w:eastAsia="en-IN"/>
              </w:rPr>
            </w:pPr>
            <w:r w:rsidRPr="00660CFA">
              <w:rPr>
                <w:rFonts w:ascii="Times New Roman" w:eastAsia="Times New Roman" w:hAnsi="Times New Roman" w:cs="Times New Roman"/>
                <w:lang w:eastAsia="en-IN"/>
              </w:rPr>
              <w:t>Total</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60</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12</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14</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14</w:t>
            </w:r>
          </w:p>
        </w:tc>
        <w:tc>
          <w:tcPr>
            <w:tcW w:w="0" w:type="auto"/>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4</w:t>
            </w:r>
          </w:p>
        </w:tc>
        <w:tc>
          <w:tcPr>
            <w:tcW w:w="1239" w:type="dxa"/>
            <w:shd w:val="clear" w:color="auto" w:fill="auto"/>
          </w:tcPr>
          <w:p w:rsidR="00D76095" w:rsidRPr="00660CFA" w:rsidRDefault="00D76095" w:rsidP="008F0356">
            <w:pPr>
              <w:spacing w:after="0" w:line="240" w:lineRule="auto"/>
              <w:jc w:val="both"/>
              <w:cnfStyle w:val="000000000000"/>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16</w:t>
            </w:r>
          </w:p>
        </w:tc>
      </w:tr>
    </w:tbl>
    <w:p w:rsidR="003700C7" w:rsidRPr="00660CFA" w:rsidRDefault="003700C7" w:rsidP="009F0723">
      <w:pPr>
        <w:spacing w:line="240" w:lineRule="auto"/>
        <w:jc w:val="both"/>
        <w:rPr>
          <w:rFonts w:ascii="Times New Roman" w:hAnsi="Times New Roman" w:cs="Times New Roman"/>
        </w:rPr>
      </w:pPr>
      <w:r w:rsidRPr="00660CFA">
        <w:rPr>
          <w:rFonts w:ascii="Times New Roman" w:hAnsi="Times New Roman" w:cs="Times New Roman"/>
        </w:rPr>
        <w:t xml:space="preserve"> </w:t>
      </w:r>
    </w:p>
    <w:p w:rsidR="005D14AE" w:rsidRPr="00660CFA" w:rsidRDefault="003700C7" w:rsidP="009F0723">
      <w:pPr>
        <w:spacing w:line="240" w:lineRule="auto"/>
        <w:jc w:val="both"/>
        <w:rPr>
          <w:rFonts w:ascii="Times New Roman" w:hAnsi="Times New Roman" w:cs="Times New Roman"/>
        </w:rPr>
      </w:pPr>
      <w:r w:rsidRPr="00660CFA">
        <w:rPr>
          <w:rFonts w:ascii="Times New Roman" w:hAnsi="Times New Roman" w:cs="Times New Roman"/>
        </w:rPr>
        <w:lastRenderedPageBreak/>
        <w:t>The tabular information is presented in Figure 2 below-</w:t>
      </w:r>
    </w:p>
    <w:p w:rsidR="00E876FF" w:rsidRPr="00660CFA" w:rsidRDefault="00E876FF" w:rsidP="009F0723">
      <w:pPr>
        <w:spacing w:line="240" w:lineRule="auto"/>
        <w:jc w:val="both"/>
        <w:rPr>
          <w:rFonts w:ascii="Times New Roman" w:hAnsi="Times New Roman" w:cs="Times New Roman"/>
        </w:rPr>
      </w:pPr>
      <w:r w:rsidRPr="00660CFA">
        <w:rPr>
          <w:rFonts w:ascii="Times New Roman" w:hAnsi="Times New Roman" w:cs="Times New Roman"/>
          <w:noProof/>
          <w:lang w:val="en-US"/>
        </w:rPr>
        <w:drawing>
          <wp:inline distT="0" distB="0" distL="0" distR="0">
            <wp:extent cx="5731510" cy="3688715"/>
            <wp:effectExtent l="0" t="0" r="2540" b="6985"/>
            <wp:docPr id="107364014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611A57C-3B5C-2803-B10A-20453C708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00C7" w:rsidRPr="00660CFA" w:rsidRDefault="003700C7" w:rsidP="009F0723">
      <w:pPr>
        <w:spacing w:line="240" w:lineRule="auto"/>
        <w:jc w:val="both"/>
        <w:rPr>
          <w:rFonts w:ascii="Times New Roman" w:hAnsi="Times New Roman" w:cs="Times New Roman"/>
        </w:rPr>
      </w:pPr>
      <w:r w:rsidRPr="00660CFA">
        <w:rPr>
          <w:rFonts w:ascii="Times New Roman" w:hAnsi="Times New Roman" w:cs="Times New Roman"/>
        </w:rPr>
        <w:t>Figure 2: different skill preferences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Out of 28 respondents with above 15 years of teaching experience</w:t>
      </w:r>
      <w:r w:rsidR="003700C7" w:rsidRPr="00660CFA">
        <w:rPr>
          <w:rFonts w:ascii="Times New Roman" w:hAnsi="Times New Roman" w:cs="Times New Roman"/>
        </w:rPr>
        <w:t>,</w:t>
      </w:r>
      <w:r w:rsidRPr="00660CFA">
        <w:rPr>
          <w:rFonts w:ascii="Times New Roman" w:hAnsi="Times New Roman" w:cs="Times New Roman"/>
        </w:rPr>
        <w:t xml:space="preserve"> 9 respondents chose skill development, 3 respondents chose project-based assessment, 3 respondents chose case studies</w:t>
      </w:r>
      <w:r w:rsidR="003700C7" w:rsidRPr="00660CFA">
        <w:rPr>
          <w:rFonts w:ascii="Times New Roman" w:hAnsi="Times New Roman" w:cs="Times New Roman"/>
        </w:rPr>
        <w:t>,</w:t>
      </w:r>
      <w:r w:rsidRPr="00660CFA">
        <w:rPr>
          <w:rFonts w:ascii="Times New Roman" w:hAnsi="Times New Roman" w:cs="Times New Roman"/>
        </w:rPr>
        <w:t xml:space="preserve"> and 13 respondents chose debates and discussions. Out of 8 respondents with below 5 years </w:t>
      </w:r>
      <w:r w:rsidR="003700C7" w:rsidRPr="00660CFA">
        <w:rPr>
          <w:rFonts w:ascii="Times New Roman" w:hAnsi="Times New Roman" w:cs="Times New Roman"/>
        </w:rPr>
        <w:t xml:space="preserve">of </w:t>
      </w:r>
      <w:r w:rsidRPr="00660CFA">
        <w:rPr>
          <w:rFonts w:ascii="Times New Roman" w:hAnsi="Times New Roman" w:cs="Times New Roman"/>
        </w:rPr>
        <w:t xml:space="preserve">teaching experience, 5 respondents chose </w:t>
      </w:r>
      <w:r w:rsidR="003700C7" w:rsidRPr="00660CFA">
        <w:rPr>
          <w:rFonts w:ascii="Times New Roman" w:hAnsi="Times New Roman" w:cs="Times New Roman"/>
        </w:rPr>
        <w:t>self- and</w:t>
      </w:r>
      <w:r w:rsidRPr="00660CFA">
        <w:rPr>
          <w:rFonts w:ascii="Times New Roman" w:hAnsi="Times New Roman" w:cs="Times New Roman"/>
        </w:rPr>
        <w:t xml:space="preserve"> peer-assessment</w:t>
      </w:r>
      <w:r w:rsidR="003700C7" w:rsidRPr="00660CFA">
        <w:rPr>
          <w:rFonts w:ascii="Times New Roman" w:hAnsi="Times New Roman" w:cs="Times New Roman"/>
        </w:rPr>
        <w:t>,</w:t>
      </w:r>
      <w:r w:rsidRPr="00660CFA">
        <w:rPr>
          <w:rFonts w:ascii="Times New Roman" w:hAnsi="Times New Roman" w:cs="Times New Roman"/>
        </w:rPr>
        <w:t xml:space="preserve"> whereas 3 respondents chose question-based assessment. Out of 16 respondents with below 10 years of teaching experience</w:t>
      </w:r>
      <w:r w:rsidR="003700C7" w:rsidRPr="00660CFA">
        <w:rPr>
          <w:rFonts w:ascii="Times New Roman" w:hAnsi="Times New Roman" w:cs="Times New Roman"/>
        </w:rPr>
        <w:t>,</w:t>
      </w:r>
      <w:r w:rsidRPr="00660CFA">
        <w:rPr>
          <w:rFonts w:ascii="Times New Roman" w:hAnsi="Times New Roman" w:cs="Times New Roman"/>
        </w:rPr>
        <w:t xml:space="preserve"> 4 respondents chose self-and-peer assessment</w:t>
      </w:r>
      <w:r w:rsidR="003700C7" w:rsidRPr="00660CFA">
        <w:rPr>
          <w:rFonts w:ascii="Times New Roman" w:hAnsi="Times New Roman" w:cs="Times New Roman"/>
        </w:rPr>
        <w:t>,</w:t>
      </w:r>
      <w:r w:rsidRPr="00660CFA">
        <w:rPr>
          <w:rFonts w:ascii="Times New Roman" w:hAnsi="Times New Roman" w:cs="Times New Roman"/>
        </w:rPr>
        <w:t xml:space="preserve"> and 12 respondents chose question-based assessment. The 8 respondents with below 15 years of teaching experience chose project-based assessment.</w:t>
      </w:r>
    </w:p>
    <w:p w:rsidR="005D14AE" w:rsidRPr="00660CFA" w:rsidRDefault="005D14AE" w:rsidP="009F0723">
      <w:pPr>
        <w:spacing w:line="240" w:lineRule="auto"/>
        <w:jc w:val="both"/>
        <w:rPr>
          <w:rFonts w:ascii="Times New Roman" w:hAnsi="Times New Roman" w:cs="Times New Roman"/>
        </w:rPr>
      </w:pPr>
    </w:p>
    <w:p w:rsidR="005D14AE" w:rsidRDefault="00833F87" w:rsidP="009F0723">
      <w:pPr>
        <w:spacing w:before="100" w:beforeAutospacing="1" w:after="100" w:afterAutospacing="1"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Table 4: Teacher experience and</w:t>
      </w:r>
      <w:r w:rsidR="00D949FA" w:rsidRPr="00660CFA">
        <w:rPr>
          <w:rFonts w:ascii="Times New Roman" w:eastAsia="Times New Roman" w:hAnsi="Times New Roman" w:cs="Times New Roman"/>
          <w:lang w:eastAsia="en-IN"/>
        </w:rPr>
        <w:t xml:space="preserve"> </w:t>
      </w:r>
      <w:r w:rsidRPr="00660CFA">
        <w:rPr>
          <w:rFonts w:ascii="Times New Roman" w:eastAsia="Times New Roman" w:hAnsi="Times New Roman" w:cs="Times New Roman"/>
          <w:lang w:eastAsia="en-IN"/>
        </w:rPr>
        <w:t>assessment</w:t>
      </w:r>
      <w:r w:rsidR="00D949FA" w:rsidRPr="00660CFA">
        <w:rPr>
          <w:rFonts w:ascii="Times New Roman" w:eastAsia="Times New Roman" w:hAnsi="Times New Roman" w:cs="Times New Roman"/>
          <w:lang w:eastAsia="en-IN"/>
        </w:rPr>
        <w:t xml:space="preserve"> technique preferences</w:t>
      </w:r>
    </w:p>
    <w:tbl>
      <w:tblPr>
        <w:tblStyle w:val="TableGridLight1"/>
        <w:tblW w:w="0" w:type="auto"/>
        <w:tblInd w:w="113" w:type="dxa"/>
        <w:tblLook w:val="04A0"/>
      </w:tblPr>
      <w:tblGrid>
        <w:gridCol w:w="1158"/>
        <w:gridCol w:w="1290"/>
        <w:gridCol w:w="1136"/>
        <w:gridCol w:w="1179"/>
        <w:gridCol w:w="829"/>
        <w:gridCol w:w="1179"/>
        <w:gridCol w:w="1179"/>
        <w:gridCol w:w="1179"/>
      </w:tblGrid>
      <w:tr w:rsidR="00D76095" w:rsidRPr="00660CFA" w:rsidTr="00D76095">
        <w:tc>
          <w:tcPr>
            <w:tcW w:w="0" w:type="auto"/>
          </w:tcPr>
          <w:p w:rsidR="00D76095" w:rsidRPr="00660CFA" w:rsidRDefault="00D76095" w:rsidP="008F0356">
            <w:pPr>
              <w:spacing w:after="0" w:line="240" w:lineRule="auto"/>
              <w:jc w:val="both"/>
              <w:rPr>
                <w:rFonts w:ascii="Times New Roman" w:eastAsia="Times New Roman" w:hAnsi="Times New Roman" w:cs="Times New Roman"/>
                <w:b/>
                <w:bCs/>
                <w:lang w:eastAsia="en-IN"/>
              </w:rPr>
            </w:pPr>
            <w:r w:rsidRPr="00660CFA">
              <w:rPr>
                <w:rFonts w:ascii="Times New Roman" w:eastAsia="Times New Roman" w:hAnsi="Times New Roman" w:cs="Times New Roman"/>
                <w:b/>
                <w:bCs/>
                <w:lang w:eastAsia="en-IN"/>
              </w:rPr>
              <w:t>Teaching Experience</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b/>
                <w:bCs/>
                <w:lang w:eastAsia="en-IN"/>
              </w:rPr>
            </w:pPr>
            <w:r w:rsidRPr="00660CFA">
              <w:rPr>
                <w:rFonts w:ascii="Times New Roman" w:eastAsia="Times New Roman" w:hAnsi="Times New Roman" w:cs="Times New Roman"/>
                <w:b/>
                <w:bCs/>
                <w:lang w:eastAsia="en-IN"/>
              </w:rPr>
              <w:t>Number of Respondents</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b/>
                <w:bCs/>
                <w:lang w:eastAsia="en-IN"/>
              </w:rPr>
            </w:pPr>
            <w:r w:rsidRPr="00660CFA">
              <w:rPr>
                <w:rFonts w:ascii="Times New Roman" w:eastAsia="Times New Roman" w:hAnsi="Times New Roman" w:cs="Times New Roman"/>
                <w:b/>
                <w:bCs/>
                <w:lang w:eastAsia="en-IN"/>
              </w:rPr>
              <w:t>Language Skill-based assessment</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b/>
                <w:bCs/>
                <w:lang w:eastAsia="en-IN"/>
              </w:rPr>
            </w:pPr>
            <w:r w:rsidRPr="00660CFA">
              <w:rPr>
                <w:rFonts w:ascii="Times New Roman" w:eastAsia="Times New Roman" w:hAnsi="Times New Roman" w:cs="Times New Roman"/>
                <w:b/>
                <w:bCs/>
                <w:lang w:eastAsia="en-IN"/>
              </w:rPr>
              <w:t>Project-Based Assessment</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b/>
                <w:bCs/>
                <w:lang w:eastAsia="en-IN"/>
              </w:rPr>
            </w:pPr>
            <w:r w:rsidRPr="00660CFA">
              <w:rPr>
                <w:rFonts w:ascii="Times New Roman" w:eastAsia="Times New Roman" w:hAnsi="Times New Roman" w:cs="Times New Roman"/>
                <w:b/>
                <w:bCs/>
                <w:lang w:eastAsia="en-IN"/>
              </w:rPr>
              <w:t>Case Studies</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b/>
                <w:bCs/>
                <w:lang w:eastAsia="en-IN"/>
              </w:rPr>
            </w:pPr>
            <w:r w:rsidRPr="00660CFA">
              <w:rPr>
                <w:rFonts w:ascii="Times New Roman" w:eastAsia="Times New Roman" w:hAnsi="Times New Roman" w:cs="Times New Roman"/>
                <w:b/>
                <w:bCs/>
                <w:lang w:eastAsia="en-IN"/>
              </w:rPr>
              <w:t>Debates &amp; Discussions</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b/>
                <w:bCs/>
                <w:lang w:eastAsia="en-IN"/>
              </w:rPr>
            </w:pPr>
            <w:r w:rsidRPr="00660CFA">
              <w:rPr>
                <w:rFonts w:ascii="Times New Roman" w:eastAsia="Times New Roman" w:hAnsi="Times New Roman" w:cs="Times New Roman"/>
                <w:b/>
                <w:bCs/>
                <w:lang w:eastAsia="en-IN"/>
              </w:rPr>
              <w:t>Self &amp; Peer Assessment</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b/>
                <w:bCs/>
                <w:lang w:eastAsia="en-IN"/>
              </w:rPr>
            </w:pPr>
            <w:r w:rsidRPr="00660CFA">
              <w:rPr>
                <w:rFonts w:ascii="Times New Roman" w:eastAsia="Times New Roman" w:hAnsi="Times New Roman" w:cs="Times New Roman"/>
                <w:b/>
                <w:bCs/>
                <w:lang w:eastAsia="en-IN"/>
              </w:rPr>
              <w:t>Question-Based Assessment</w:t>
            </w:r>
          </w:p>
        </w:tc>
      </w:tr>
      <w:tr w:rsidR="00D76095" w:rsidRPr="00660CFA" w:rsidTr="00D76095">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Below 5 years</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8</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5</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3</w:t>
            </w:r>
          </w:p>
        </w:tc>
      </w:tr>
      <w:tr w:rsidR="00D76095" w:rsidRPr="00660CFA" w:rsidTr="00D76095">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Below 10 years</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16</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4</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p>
        </w:tc>
      </w:tr>
      <w:tr w:rsidR="00D76095" w:rsidRPr="00660CFA" w:rsidTr="00D76095">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Below 15 years</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8</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8</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r>
      <w:tr w:rsidR="00D76095" w:rsidRPr="00660CFA" w:rsidTr="00D76095">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15 years &amp; above</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28</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9</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3</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3</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13</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lang w:eastAsia="en-IN"/>
              </w:rPr>
              <w:t>nil</w:t>
            </w:r>
          </w:p>
        </w:tc>
      </w:tr>
      <w:tr w:rsidR="00D76095" w:rsidRPr="00660CFA" w:rsidTr="00D76095">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Total</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60</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9</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11</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3</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13</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9</w:t>
            </w:r>
          </w:p>
        </w:tc>
        <w:tc>
          <w:tcPr>
            <w:tcW w:w="0" w:type="auto"/>
          </w:tcPr>
          <w:p w:rsidR="00D76095" w:rsidRPr="00660CFA" w:rsidRDefault="00D76095" w:rsidP="008F0356">
            <w:pPr>
              <w:spacing w:after="0" w:line="240" w:lineRule="auto"/>
              <w:jc w:val="both"/>
              <w:rPr>
                <w:rFonts w:ascii="Times New Roman" w:eastAsia="Times New Roman" w:hAnsi="Times New Roman" w:cs="Times New Roman"/>
                <w:lang w:eastAsia="en-IN"/>
              </w:rPr>
            </w:pPr>
            <w:r w:rsidRPr="00660CFA">
              <w:rPr>
                <w:rFonts w:ascii="Times New Roman" w:eastAsia="Times New Roman" w:hAnsi="Times New Roman" w:cs="Times New Roman"/>
                <w:b/>
                <w:bCs/>
                <w:lang w:eastAsia="en-IN"/>
              </w:rPr>
              <w:t>15</w:t>
            </w:r>
          </w:p>
        </w:tc>
      </w:tr>
    </w:tbl>
    <w:p w:rsidR="005D14AE" w:rsidRPr="00660CFA" w:rsidRDefault="003700C7" w:rsidP="009F0723">
      <w:pPr>
        <w:spacing w:line="240" w:lineRule="auto"/>
        <w:jc w:val="both"/>
        <w:rPr>
          <w:rFonts w:ascii="Times New Roman" w:hAnsi="Times New Roman" w:cs="Times New Roman"/>
        </w:rPr>
      </w:pPr>
      <w:r w:rsidRPr="00660CFA">
        <w:rPr>
          <w:rFonts w:ascii="Times New Roman" w:hAnsi="Times New Roman" w:cs="Times New Roman"/>
        </w:rPr>
        <w:t xml:space="preserve"> </w:t>
      </w:r>
    </w:p>
    <w:p w:rsidR="003700C7" w:rsidRPr="00660CFA" w:rsidRDefault="003700C7" w:rsidP="009F0723">
      <w:pPr>
        <w:spacing w:line="240" w:lineRule="auto"/>
        <w:jc w:val="both"/>
        <w:rPr>
          <w:rFonts w:ascii="Times New Roman" w:hAnsi="Times New Roman" w:cs="Times New Roman"/>
        </w:rPr>
      </w:pPr>
      <w:r w:rsidRPr="00660CFA">
        <w:rPr>
          <w:rFonts w:ascii="Times New Roman" w:hAnsi="Times New Roman" w:cs="Times New Roman"/>
        </w:rPr>
        <w:lastRenderedPageBreak/>
        <w:t>The information from table 4 is presented in the figure below-</w:t>
      </w:r>
    </w:p>
    <w:p w:rsidR="00B144B0" w:rsidRPr="00660CFA" w:rsidRDefault="00B144B0" w:rsidP="009F0723">
      <w:pPr>
        <w:spacing w:line="240" w:lineRule="auto"/>
        <w:jc w:val="both"/>
        <w:rPr>
          <w:rFonts w:ascii="Times New Roman" w:hAnsi="Times New Roman" w:cs="Times New Roman"/>
        </w:rPr>
      </w:pPr>
      <w:r w:rsidRPr="00660CFA">
        <w:rPr>
          <w:rFonts w:ascii="Times New Roman" w:hAnsi="Times New Roman" w:cs="Times New Roman"/>
          <w:noProof/>
          <w:lang w:val="en-US"/>
        </w:rPr>
        <w:drawing>
          <wp:inline distT="0" distB="0" distL="0" distR="0">
            <wp:extent cx="5638800" cy="3459480"/>
            <wp:effectExtent l="0" t="0" r="0" b="7620"/>
            <wp:docPr id="184764313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9B29D00-48F0-855C-14CB-EE7780D649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44B0" w:rsidRPr="00660CFA" w:rsidRDefault="003700C7" w:rsidP="009F0723">
      <w:pPr>
        <w:spacing w:line="240" w:lineRule="auto"/>
        <w:jc w:val="both"/>
        <w:rPr>
          <w:rFonts w:ascii="Times New Roman" w:hAnsi="Times New Roman" w:cs="Times New Roman"/>
        </w:rPr>
      </w:pPr>
      <w:r w:rsidRPr="00660CFA">
        <w:rPr>
          <w:rFonts w:ascii="Times New Roman" w:hAnsi="Times New Roman" w:cs="Times New Roman"/>
        </w:rPr>
        <w:t>Figure 3: Assessment technique preferences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Regarding the training aspect, teachers with </w:t>
      </w:r>
      <w:r w:rsidR="005F59D2" w:rsidRPr="00660CFA">
        <w:rPr>
          <w:rFonts w:ascii="Times New Roman" w:hAnsi="Times New Roman" w:cs="Times New Roman"/>
        </w:rPr>
        <w:t>more than 15 years of teaching experience mentioned their willingness to receive training in project-based assessment and case studies from</w:t>
      </w:r>
      <w:r w:rsidRPr="00660CFA">
        <w:rPr>
          <w:rFonts w:ascii="Times New Roman" w:hAnsi="Times New Roman" w:cs="Times New Roman"/>
        </w:rPr>
        <w:t xml:space="preserve"> an interdisciplinary perspective. Teachers with </w:t>
      </w:r>
      <w:r w:rsidR="003700C7" w:rsidRPr="00660CFA">
        <w:rPr>
          <w:rFonts w:ascii="Times New Roman" w:hAnsi="Times New Roman" w:cs="Times New Roman"/>
        </w:rPr>
        <w:t>less than</w:t>
      </w:r>
      <w:r w:rsidRPr="00660CFA">
        <w:rPr>
          <w:rFonts w:ascii="Times New Roman" w:hAnsi="Times New Roman" w:cs="Times New Roman"/>
        </w:rPr>
        <w:t xml:space="preserve"> 10 years and below 5 years of experience showed their willingness to receive training in skill-based assessment and strategies. Teachers with below 15 years of teaching experience </w:t>
      </w:r>
      <w:r w:rsidR="003700C7" w:rsidRPr="00660CFA">
        <w:rPr>
          <w:rFonts w:ascii="Times New Roman" w:hAnsi="Times New Roman" w:cs="Times New Roman"/>
        </w:rPr>
        <w:t xml:space="preserve">are </w:t>
      </w:r>
      <w:r w:rsidRPr="00660CFA">
        <w:rPr>
          <w:rFonts w:ascii="Times New Roman" w:hAnsi="Times New Roman" w:cs="Times New Roman"/>
        </w:rPr>
        <w:t xml:space="preserve">preferred </w:t>
      </w:r>
      <w:r w:rsidR="003700C7" w:rsidRPr="00660CFA">
        <w:rPr>
          <w:rFonts w:ascii="Times New Roman" w:hAnsi="Times New Roman" w:cs="Times New Roman"/>
        </w:rPr>
        <w:t xml:space="preserve">for </w:t>
      </w:r>
      <w:r w:rsidRPr="00660CFA">
        <w:rPr>
          <w:rFonts w:ascii="Times New Roman" w:hAnsi="Times New Roman" w:cs="Times New Roman"/>
        </w:rPr>
        <w:t xml:space="preserve">training in </w:t>
      </w:r>
      <w:r w:rsidR="003700C7" w:rsidRPr="00660CFA">
        <w:rPr>
          <w:rFonts w:ascii="Times New Roman" w:hAnsi="Times New Roman" w:cs="Times New Roman"/>
        </w:rPr>
        <w:t>self- and peer</w:t>
      </w:r>
      <w:r w:rsidRPr="00660CFA">
        <w:rPr>
          <w:rFonts w:ascii="Times New Roman" w:hAnsi="Times New Roman" w:cs="Times New Roman"/>
        </w:rPr>
        <w:t xml:space="preserve"> assessment and diagnostic assessment. Responses from Informal Interviews: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The </w:t>
      </w:r>
      <w:proofErr w:type="gramStart"/>
      <w:r w:rsidRPr="00660CFA">
        <w:rPr>
          <w:rFonts w:ascii="Times New Roman" w:hAnsi="Times New Roman" w:cs="Times New Roman"/>
        </w:rPr>
        <w:t>responses gathered from the Informal interviews has</w:t>
      </w:r>
      <w:proofErr w:type="gramEnd"/>
      <w:r w:rsidRPr="00660CFA">
        <w:rPr>
          <w:rFonts w:ascii="Times New Roman" w:hAnsi="Times New Roman" w:cs="Times New Roman"/>
        </w:rPr>
        <w:t xml:space="preserve"> the following aspects: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1. The assessment procedure </w:t>
      </w:r>
      <w:proofErr w:type="gramStart"/>
      <w:r w:rsidRPr="00660CFA">
        <w:rPr>
          <w:rFonts w:ascii="Times New Roman" w:hAnsi="Times New Roman" w:cs="Times New Roman"/>
        </w:rPr>
        <w:t>need</w:t>
      </w:r>
      <w:proofErr w:type="gramEnd"/>
      <w:r w:rsidRPr="00660CFA">
        <w:rPr>
          <w:rFonts w:ascii="Times New Roman" w:hAnsi="Times New Roman" w:cs="Times New Roman"/>
        </w:rPr>
        <w:t xml:space="preserve"> to be effective and less time consuming</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2. The assessment should lead to providing effective feedback</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3. The teachers need to be equipped with relevant assessment strategies and techniques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4. The teachers need to be equipped with appropriate assessment tools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5. The assessment should be application-based rather than mere testing of knowledge</w:t>
      </w:r>
    </w:p>
    <w:p w:rsidR="005D14AE" w:rsidRPr="00660CFA" w:rsidRDefault="00833F87" w:rsidP="009F0723">
      <w:pPr>
        <w:spacing w:line="240" w:lineRule="auto"/>
        <w:jc w:val="both"/>
        <w:rPr>
          <w:rFonts w:ascii="Times New Roman" w:hAnsi="Times New Roman" w:cs="Times New Roman"/>
          <w:b/>
          <w:bCs/>
        </w:rPr>
      </w:pPr>
      <w:bookmarkStart w:id="1" w:name="_Hlk198366986"/>
      <w:r w:rsidRPr="00660CFA">
        <w:rPr>
          <w:rFonts w:ascii="Times New Roman" w:hAnsi="Times New Roman" w:cs="Times New Roman"/>
          <w:b/>
          <w:bCs/>
        </w:rPr>
        <w:t>Discussion of the results: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The following points can be inferred from the data gathered-</w:t>
      </w:r>
    </w:p>
    <w:p w:rsidR="005D14AE" w:rsidRPr="00660CFA" w:rsidRDefault="00833F87" w:rsidP="009F0723">
      <w:pPr>
        <w:spacing w:line="240" w:lineRule="auto"/>
        <w:jc w:val="both"/>
        <w:rPr>
          <w:rFonts w:ascii="Times New Roman" w:hAnsi="Times New Roman" w:cs="Times New Roman"/>
          <w:lang w:val="en-US"/>
        </w:rPr>
      </w:pPr>
      <w:r w:rsidRPr="00660CFA">
        <w:rPr>
          <w:rFonts w:ascii="Times New Roman" w:hAnsi="Times New Roman" w:cs="Times New Roman"/>
          <w:lang w:val="en-US"/>
        </w:rPr>
        <w:t>Awareness Levels Regarding Interdisciplinary Assessment in Environmental Education</w:t>
      </w:r>
    </w:p>
    <w:p w:rsidR="005D14AE" w:rsidRPr="00660CFA" w:rsidRDefault="00833F87" w:rsidP="009F0723">
      <w:pPr>
        <w:spacing w:line="240" w:lineRule="auto"/>
        <w:jc w:val="both"/>
        <w:rPr>
          <w:rFonts w:ascii="Times New Roman" w:hAnsi="Times New Roman" w:cs="Times New Roman"/>
          <w:lang w:val="en-US"/>
        </w:rPr>
      </w:pPr>
      <w:r w:rsidRPr="00660CFA">
        <w:rPr>
          <w:rFonts w:ascii="Times New Roman" w:hAnsi="Times New Roman" w:cs="Times New Roman"/>
        </w:rPr>
        <w:t>From the whole sample, 9 teachers participated in interdisciplinary training programs, highlighting a moderate level of exposure to interdisciplinary approaches among the selected group. The respondents emphasized a range of skills crucial for understanding concepts related to environmental education. Critical thinking and analytical skills were highlighted by 12 respondents with over 15 years of teaching experience. Problem-solving and communication skills were also noted as significant, with 14 respondents identifying them as important.</w:t>
      </w:r>
    </w:p>
    <w:p w:rsidR="005D14AE" w:rsidRPr="00660CFA" w:rsidRDefault="00833F87" w:rsidP="009F0723">
      <w:pPr>
        <w:spacing w:line="240" w:lineRule="auto"/>
        <w:jc w:val="both"/>
        <w:rPr>
          <w:rFonts w:ascii="Times New Roman" w:hAnsi="Times New Roman" w:cs="Times New Roman"/>
          <w:lang w:val="en-US"/>
        </w:rPr>
      </w:pPr>
      <w:r w:rsidRPr="00660CFA">
        <w:rPr>
          <w:rFonts w:ascii="Times New Roman" w:hAnsi="Times New Roman" w:cs="Times New Roman"/>
          <w:lang w:val="en-US"/>
        </w:rPr>
        <w:lastRenderedPageBreak/>
        <w:t xml:space="preserve">Among these, 8 respondents with below 15 years of teaching experience and 6 respondents with below 10 years of teaching experience prioritized problem-solving, while communication skills were emphasized by 10 respondents with below 10 years of teaching experience and 4 respondents with below 5 years of experience. Additionally, 4 respondents with below 5 years of teaching experience mentioned interpretation skills, underlining a focus on understanding and analyzing environmental information. Furthermore, 16 respondents with over 15 years of teaching experience showcased a well-rounded </w:t>
      </w:r>
      <w:proofErr w:type="spellStart"/>
      <w:r w:rsidRPr="00660CFA">
        <w:rPr>
          <w:rFonts w:ascii="Times New Roman" w:hAnsi="Times New Roman" w:cs="Times New Roman"/>
          <w:lang w:val="en-US"/>
        </w:rPr>
        <w:t>skillset</w:t>
      </w:r>
      <w:proofErr w:type="spellEnd"/>
      <w:r w:rsidRPr="00660CFA">
        <w:rPr>
          <w:rFonts w:ascii="Times New Roman" w:hAnsi="Times New Roman" w:cs="Times New Roman"/>
          <w:lang w:val="en-US"/>
        </w:rPr>
        <w:t>, highlighting proficiency in all the mentioned skills, indicating a strong interdisciplinary understanding.</w:t>
      </w:r>
    </w:p>
    <w:p w:rsidR="005D14AE" w:rsidRPr="00660CFA" w:rsidRDefault="00833F87" w:rsidP="009F0723">
      <w:pPr>
        <w:spacing w:line="240" w:lineRule="auto"/>
        <w:jc w:val="both"/>
        <w:rPr>
          <w:rFonts w:ascii="Times New Roman" w:hAnsi="Times New Roman" w:cs="Times New Roman"/>
          <w:lang w:val="en-US"/>
        </w:rPr>
      </w:pPr>
      <w:r w:rsidRPr="00660CFA">
        <w:rPr>
          <w:rFonts w:ascii="Times New Roman" w:hAnsi="Times New Roman" w:cs="Times New Roman"/>
          <w:lang w:val="en-US"/>
        </w:rPr>
        <w:t>The majority of respondents (28 out of 60) believed that all language skills—reading, writing, speaking, and listening—are essential for teaching environmental education. Among these, 18 respondents had over 15 years of teaching experience, 8 had below 15 years, and 2 had below 10 years of experience. On the other hand, 20 respondents (10 each from below 10 years and above 15 years of teaching experience) viewed speaking and writing skills as critical, particularly for classroom discussions, assignments, and assessments related to interdisciplinary topics. A smaller group of 12 respondents (8 with below 5 years and 4 with below 10 years of experience) highlighted the foundational importance of reading and listening skills in introducing environmental concepts and building understanding.</w:t>
      </w:r>
    </w:p>
    <w:p w:rsidR="005D14AE" w:rsidRPr="00660CFA" w:rsidRDefault="005D14AE" w:rsidP="009F0723">
      <w:pPr>
        <w:spacing w:line="240" w:lineRule="auto"/>
        <w:jc w:val="both"/>
        <w:rPr>
          <w:rFonts w:ascii="Times New Roman" w:hAnsi="Times New Roman" w:cs="Times New Roman"/>
          <w:lang w:val="en-US"/>
        </w:rPr>
      </w:pPr>
    </w:p>
    <w:p w:rsidR="005D14AE" w:rsidRPr="00660CFA" w:rsidRDefault="00833F87" w:rsidP="009F0723">
      <w:pPr>
        <w:spacing w:line="240" w:lineRule="auto"/>
        <w:jc w:val="both"/>
        <w:rPr>
          <w:rFonts w:ascii="Times New Roman" w:hAnsi="Times New Roman" w:cs="Times New Roman"/>
          <w:lang w:val="en-US"/>
        </w:rPr>
      </w:pPr>
      <w:r w:rsidRPr="00660CFA">
        <w:rPr>
          <w:rFonts w:ascii="Times New Roman" w:hAnsi="Times New Roman" w:cs="Times New Roman"/>
          <w:lang w:val="en-US"/>
        </w:rPr>
        <w:t>Variation in Teachers’ Perspectives Based on Teaching Experience and Prior Training</w:t>
      </w:r>
    </w:p>
    <w:p w:rsidR="005D14AE" w:rsidRPr="00660CFA" w:rsidRDefault="00833F87" w:rsidP="009F0723">
      <w:pPr>
        <w:spacing w:line="240" w:lineRule="auto"/>
        <w:jc w:val="both"/>
        <w:rPr>
          <w:rFonts w:ascii="Times New Roman" w:hAnsi="Times New Roman" w:cs="Times New Roman"/>
          <w:lang w:val="en-US"/>
        </w:rPr>
      </w:pPr>
      <w:r w:rsidRPr="00660CFA">
        <w:rPr>
          <w:rFonts w:ascii="Times New Roman" w:hAnsi="Times New Roman" w:cs="Times New Roman"/>
          <w:lang w:val="en-US"/>
        </w:rPr>
        <w:t xml:space="preserve">The data </w:t>
      </w:r>
      <w:r w:rsidR="00CF144C" w:rsidRPr="00660CFA">
        <w:rPr>
          <w:rFonts w:ascii="Times New Roman" w:hAnsi="Times New Roman" w:cs="Times New Roman"/>
          <w:lang w:val="en-US"/>
        </w:rPr>
        <w:t>reveal</w:t>
      </w:r>
      <w:r w:rsidRPr="00660CFA">
        <w:rPr>
          <w:rFonts w:ascii="Times New Roman" w:hAnsi="Times New Roman" w:cs="Times New Roman"/>
          <w:lang w:val="en-US"/>
        </w:rPr>
        <w:t xml:space="preserve"> distinct variations in perspectives on interdisciplinary assessment based on teaching experience and prior training. Teachers with 15 years and above teaching experience (28 respondents) demonstrated a stronger emphasis on skill development (9 respondents), debates and discussions (13 respondents), and assessments such as project-based (3 respondents) and case studies (3 respondents). This suggests their familiarity with varied, nuanced interdisciplinary methods.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Teachers who have below 5 years of teaching experience (N=8) primarily focused on self- and peer assessment techniques, while some teachers emphasized question-based assessments (3 respondents), indicating their preference for simpler and structured assessment procedures, which will build their confidence levels. On a similar note, respondents who have below 10 years of experience (16 respondents) opted for question-based assessments (12 respondents), and the remaining 4 teachers opted for self- and peer-assessments. This group seems to value assessment methods that provide direct insights into student understanding. These variations do relate to the phases of Kolb’s experiential learning cycle</w:t>
      </w:r>
      <w:r w:rsidR="00F968D0" w:rsidRPr="00660CFA">
        <w:rPr>
          <w:rFonts w:ascii="Times New Roman" w:hAnsi="Times New Roman" w:cs="Times New Roman"/>
        </w:rPr>
        <w:t xml:space="preserve"> </w:t>
      </w:r>
      <w:r w:rsidR="00824A79" w:rsidRPr="00660CFA">
        <w:rPr>
          <w:rFonts w:ascii="Times New Roman" w:hAnsi="Times New Roman" w:cs="Times New Roman"/>
        </w:rPr>
        <w:fldChar w:fldCharType="begin" w:fldLock="1"/>
      </w:r>
      <w:r w:rsidR="00623113" w:rsidRPr="00660CFA">
        <w:rPr>
          <w:rFonts w:ascii="Times New Roman" w:hAnsi="Times New Roman" w:cs="Times New Roman"/>
        </w:rPr>
        <w:instrText>ADDIN CSL_CITATION {"citationItems":[{"id":"ITEM-1","itemData":{"ISSN":"2231-5632","author":[{"dropping-particle":"","family":"Sharma","given":"Meghna","non-dropping-particle":"","parse-names":false,"suffix":""}],"container-title":"International Journal of Education and Management Studies","id":"ITEM-1","issue":"3","issued":{"date-parts":[["2023"]]},"page":"368-371","publisher":"Indian Association of Health, Research and Welfare","title":"Psychological Pillars: Bridging NEP-2020 and NCF-2023 in Education Transformation","type":"article-journal","volume":"13"},"uris":["http://www.mendeley.com/documents/?uuid=42c0312f-8917-495d-a56f-a28bf3bf1ea9"]}],"mendeley":{"formattedCitation":"(Sharma, 2023)","plainTextFormattedCitation":"(Sharma, 2023)","previouslyFormattedCitation":"(Sharma, 2023)"},"properties":{"noteIndex":0},"schema":"https://github.com/citation-style-language/schema/raw/master/csl-citation.json"}</w:instrText>
      </w:r>
      <w:r w:rsidR="00824A79" w:rsidRPr="00660CFA">
        <w:rPr>
          <w:rFonts w:ascii="Times New Roman" w:hAnsi="Times New Roman" w:cs="Times New Roman"/>
        </w:rPr>
        <w:fldChar w:fldCharType="separate"/>
      </w:r>
      <w:r w:rsidR="00F968D0" w:rsidRPr="00660CFA">
        <w:rPr>
          <w:rFonts w:ascii="Times New Roman" w:hAnsi="Times New Roman" w:cs="Times New Roman"/>
          <w:noProof/>
        </w:rPr>
        <w:t>(Sharma, 2023)</w:t>
      </w:r>
      <w:r w:rsidR="00824A79" w:rsidRPr="00660CFA">
        <w:rPr>
          <w:rFonts w:ascii="Times New Roman" w:hAnsi="Times New Roman" w:cs="Times New Roman"/>
        </w:rPr>
        <w:fldChar w:fldCharType="end"/>
      </w:r>
      <w:r w:rsidRPr="00660CFA">
        <w:rPr>
          <w:rFonts w:ascii="Times New Roman" w:hAnsi="Times New Roman" w:cs="Times New Roman"/>
        </w:rPr>
        <w:t>.</w:t>
      </w:r>
    </w:p>
    <w:p w:rsidR="005D14AE" w:rsidRPr="00660CFA" w:rsidRDefault="00833F87" w:rsidP="009F0723">
      <w:pPr>
        <w:spacing w:line="240" w:lineRule="auto"/>
        <w:jc w:val="both"/>
        <w:rPr>
          <w:rFonts w:ascii="Times New Roman" w:hAnsi="Times New Roman" w:cs="Times New Roman"/>
          <w:lang w:val="en-GB"/>
        </w:rPr>
      </w:pPr>
      <w:r w:rsidRPr="00660CFA">
        <w:rPr>
          <w:rFonts w:ascii="Times New Roman" w:hAnsi="Times New Roman" w:cs="Times New Roman"/>
        </w:rPr>
        <w:t xml:space="preserve">Project-based assessment was preferred by teachers with less than 15 years of experience, reflecting their interest in </w:t>
      </w:r>
      <w:r w:rsidR="00CF144C" w:rsidRPr="00660CFA">
        <w:rPr>
          <w:rFonts w:ascii="Times New Roman" w:hAnsi="Times New Roman" w:cs="Times New Roman"/>
        </w:rPr>
        <w:t xml:space="preserve">a </w:t>
      </w:r>
      <w:r w:rsidRPr="00660CFA">
        <w:rPr>
          <w:rFonts w:ascii="Times New Roman" w:hAnsi="Times New Roman" w:cs="Times New Roman"/>
        </w:rPr>
        <w:t>collaborative and practical orientation towards teaching environmental concepts and working out solutions for environmental issues.</w:t>
      </w:r>
      <w:r w:rsidRPr="00660CFA">
        <w:rPr>
          <w:rFonts w:ascii="Times New Roman" w:hAnsi="Times New Roman" w:cs="Times New Roman"/>
          <w:lang w:val="en-GB"/>
        </w:rPr>
        <w:t xml:space="preserve"> </w:t>
      </w:r>
      <w:r w:rsidRPr="00660CFA">
        <w:rPr>
          <w:rFonts w:ascii="Times New Roman" w:eastAsia="sans-serif" w:hAnsi="Times New Roman" w:cs="Times New Roman"/>
          <w:color w:val="172B4D"/>
          <w:shd w:val="clear" w:color="auto" w:fill="FFFFFF"/>
        </w:rPr>
        <w:t xml:space="preserve">The interest of experienced teachers in project-based and case-study assessments corresponds to NCF 2023’s recommendation that environmental education at the secondary level should foster critical thinking, synthesizing the </w:t>
      </w:r>
      <w:r w:rsidR="00CF144C" w:rsidRPr="00660CFA">
        <w:rPr>
          <w:rFonts w:ascii="Times New Roman" w:eastAsia="sans-serif" w:hAnsi="Times New Roman" w:cs="Times New Roman"/>
          <w:color w:val="172B4D"/>
          <w:shd w:val="clear" w:color="auto" w:fill="FFFFFF"/>
        </w:rPr>
        <w:t>evidence</w:t>
      </w:r>
      <w:r w:rsidRPr="00660CFA">
        <w:rPr>
          <w:rFonts w:ascii="Times New Roman" w:eastAsia="sans-serif" w:hAnsi="Times New Roman" w:cs="Times New Roman"/>
          <w:color w:val="172B4D"/>
          <w:shd w:val="clear" w:color="auto" w:fill="FFFFFF"/>
        </w:rPr>
        <w:t>, and problem-solving skills. Likewise, the recognition of language skill integration</w:t>
      </w:r>
      <w:r w:rsidR="00CF144C" w:rsidRPr="00660CFA">
        <w:rPr>
          <w:rFonts w:ascii="Times New Roman" w:eastAsia="sans-serif" w:hAnsi="Times New Roman" w:cs="Times New Roman"/>
          <w:color w:val="172B4D"/>
          <w:shd w:val="clear" w:color="auto" w:fill="FFFFFF"/>
        </w:rPr>
        <w:t xml:space="preserve">, </w:t>
      </w:r>
      <w:r w:rsidRPr="00660CFA">
        <w:rPr>
          <w:rFonts w:ascii="Times New Roman" w:eastAsia="sans-serif" w:hAnsi="Times New Roman" w:cs="Times New Roman"/>
          <w:color w:val="172B4D"/>
          <w:shd w:val="clear" w:color="auto" w:fill="FFFFFF"/>
        </w:rPr>
        <w:t>by nearly half the sample</w:t>
      </w:r>
      <w:r w:rsidR="00CF144C" w:rsidRPr="00660CFA">
        <w:rPr>
          <w:rFonts w:ascii="Times New Roman" w:eastAsia="sans-serif" w:hAnsi="Times New Roman" w:cs="Times New Roman"/>
          <w:color w:val="172B4D"/>
          <w:shd w:val="clear" w:color="auto" w:fill="FFFFFF"/>
        </w:rPr>
        <w:t xml:space="preserve">, </w:t>
      </w:r>
      <w:r w:rsidRPr="00660CFA">
        <w:rPr>
          <w:rFonts w:ascii="Times New Roman" w:eastAsia="sans-serif" w:hAnsi="Times New Roman" w:cs="Times New Roman"/>
          <w:color w:val="172B4D"/>
          <w:shd w:val="clear" w:color="auto" w:fill="FFFFFF"/>
        </w:rPr>
        <w:t>supports NCF’s call for building students’ capacity to engage with and express environmental concerns effectively through all four skills: listening, speaking, reading, and writing.</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 </w:t>
      </w:r>
      <w:proofErr w:type="gramStart"/>
      <w:r w:rsidRPr="00660CFA">
        <w:rPr>
          <w:rFonts w:ascii="Times New Roman" w:hAnsi="Times New Roman" w:cs="Times New Roman"/>
        </w:rPr>
        <w:t>Based on factors such as teaching experience and prior training in interdisciplinary assessment, there are notable differences among the preferences of in-service teachers.</w:t>
      </w:r>
      <w:proofErr w:type="gramEnd"/>
      <w:r w:rsidRPr="00660CFA">
        <w:rPr>
          <w:rFonts w:ascii="Times New Roman" w:hAnsi="Times New Roman" w:cs="Times New Roman"/>
        </w:rPr>
        <w:t xml:space="preserve"> Teachers who are experienced tend to have a more comprehensive understanding of interdisciplinary approaches, while those with less experience focus on foundational skills and simpler assessment methods. Additionally, training in specific interdisciplinary assessment techniques has a clear impact on teachers' confidence and adoption of these methods.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There is a need for more tailored professional development programmes</w:t>
      </w:r>
      <w:r w:rsidR="00CF144C" w:rsidRPr="00660CFA">
        <w:rPr>
          <w:rFonts w:ascii="Times New Roman" w:hAnsi="Times New Roman" w:cs="Times New Roman"/>
        </w:rPr>
        <w:t>,</w:t>
      </w:r>
      <w:r w:rsidRPr="00660CFA">
        <w:rPr>
          <w:rFonts w:ascii="Times New Roman" w:hAnsi="Times New Roman" w:cs="Times New Roman"/>
        </w:rPr>
        <w:t xml:space="preserve"> as the data indicates. This will help the teachers receive the required practical input based on their teaching experience</w:t>
      </w:r>
      <w:r w:rsidR="00CF144C" w:rsidRPr="00660CFA">
        <w:rPr>
          <w:rFonts w:ascii="Times New Roman" w:hAnsi="Times New Roman" w:cs="Times New Roman"/>
        </w:rPr>
        <w:t>,</w:t>
      </w:r>
      <w:r w:rsidRPr="00660CFA">
        <w:rPr>
          <w:rFonts w:ascii="Times New Roman" w:hAnsi="Times New Roman" w:cs="Times New Roman"/>
        </w:rPr>
        <w:t xml:space="preserve"> which will help them to improve their interdisciplinary assessment practices. The awareness and requirement </w:t>
      </w:r>
      <w:r w:rsidRPr="00660CFA">
        <w:rPr>
          <w:rFonts w:ascii="Times New Roman" w:hAnsi="Times New Roman" w:cs="Times New Roman"/>
        </w:rPr>
        <w:lastRenderedPageBreak/>
        <w:t>of secondary in-service teachers about interdisciplinary assessment practices are identified</w:t>
      </w:r>
      <w:r w:rsidR="003D3645" w:rsidRPr="00660CFA">
        <w:rPr>
          <w:rFonts w:ascii="Times New Roman" w:hAnsi="Times New Roman" w:cs="Times New Roman"/>
        </w:rPr>
        <w:t>,</w:t>
      </w:r>
      <w:r w:rsidRPr="00660CFA">
        <w:rPr>
          <w:rFonts w:ascii="Times New Roman" w:hAnsi="Times New Roman" w:cs="Times New Roman"/>
        </w:rPr>
        <w:t xml:space="preserve"> and these findings helped in addressing the research gap.</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Professional development programs should consider the needs of experienced and novice teachers separately as the findings revealed the fact that teachers with more years of experience and who underwent training related to interdisciplinary assessment are more informed than those who </w:t>
      </w:r>
      <w:r w:rsidR="003D3645" w:rsidRPr="00660CFA">
        <w:rPr>
          <w:rFonts w:ascii="Times New Roman" w:hAnsi="Times New Roman" w:cs="Times New Roman"/>
        </w:rPr>
        <w:t>have</w:t>
      </w:r>
      <w:r w:rsidRPr="00660CFA">
        <w:rPr>
          <w:rFonts w:ascii="Times New Roman" w:hAnsi="Times New Roman" w:cs="Times New Roman"/>
        </w:rPr>
        <w:t xml:space="preserve"> less exposure. Even though teachers do have awareness regarding interdisciplinary assessment procedures, they may need localized training programs that will help them prepare their learners to find solutions for persisting environmental challenges and assess them using relevant assessment procedures. The time constraints of classroom teaching should be considered according to which the training inputs need to be adapted. This will help in not only assessing the learners but also making them ready enough to find solutions for real-time environmental issues.</w:t>
      </w:r>
    </w:p>
    <w:p w:rsidR="00D4340B" w:rsidRPr="00660CFA" w:rsidRDefault="009771AD" w:rsidP="009F0723">
      <w:pPr>
        <w:spacing w:line="240" w:lineRule="auto"/>
        <w:jc w:val="both"/>
        <w:rPr>
          <w:rFonts w:ascii="Times New Roman" w:hAnsi="Times New Roman" w:cs="Times New Roman"/>
        </w:rPr>
      </w:pPr>
      <w:r w:rsidRPr="00660CFA">
        <w:rPr>
          <w:rFonts w:ascii="Times New Roman" w:hAnsi="Times New Roman" w:cs="Times New Roman"/>
        </w:rPr>
        <w:t xml:space="preserve">The teacher-training programmes should incorporate </w:t>
      </w:r>
      <w:r w:rsidR="00CF144C" w:rsidRPr="00660CFA">
        <w:rPr>
          <w:rFonts w:ascii="Times New Roman" w:hAnsi="Times New Roman" w:cs="Times New Roman"/>
        </w:rPr>
        <w:t>teachers’</w:t>
      </w:r>
      <w:r w:rsidRPr="00660CFA">
        <w:rPr>
          <w:rFonts w:ascii="Times New Roman" w:hAnsi="Times New Roman" w:cs="Times New Roman"/>
        </w:rPr>
        <w:t xml:space="preserve"> diverse experiences, diverse views</w:t>
      </w:r>
      <w:r w:rsidR="00CF144C" w:rsidRPr="00660CFA">
        <w:rPr>
          <w:rFonts w:ascii="Times New Roman" w:hAnsi="Times New Roman" w:cs="Times New Roman"/>
        </w:rPr>
        <w:t>,</w:t>
      </w:r>
      <w:r w:rsidRPr="00660CFA">
        <w:rPr>
          <w:rFonts w:ascii="Times New Roman" w:hAnsi="Times New Roman" w:cs="Times New Roman"/>
        </w:rPr>
        <w:t xml:space="preserve"> and skill requirements to achieve the goal of interdisciplinary assessment</w:t>
      </w:r>
      <w:r w:rsidR="00CF144C" w:rsidRPr="00660CFA">
        <w:rPr>
          <w:rFonts w:ascii="Times New Roman" w:hAnsi="Times New Roman" w:cs="Times New Roman"/>
        </w:rPr>
        <w:t>,</w:t>
      </w:r>
      <w:r w:rsidRPr="00660CFA">
        <w:rPr>
          <w:rFonts w:ascii="Times New Roman" w:hAnsi="Times New Roman" w:cs="Times New Roman"/>
        </w:rPr>
        <w:t xml:space="preserve"> which is connected to the national policies NEP 2020, NCF 2023</w:t>
      </w:r>
      <w:r w:rsidR="002001C7" w:rsidRPr="00660CFA">
        <w:rPr>
          <w:rFonts w:ascii="Times New Roman" w:hAnsi="Times New Roman" w:cs="Times New Roman"/>
        </w:rPr>
        <w:t xml:space="preserve"> </w:t>
      </w:r>
      <w:r w:rsidR="00824A79" w:rsidRPr="00660CFA">
        <w:rPr>
          <w:rFonts w:ascii="Times New Roman" w:hAnsi="Times New Roman" w:cs="Times New Roman"/>
        </w:rPr>
        <w:fldChar w:fldCharType="begin" w:fldLock="1"/>
      </w:r>
      <w:r w:rsidR="00F968D0" w:rsidRPr="00660CFA">
        <w:rPr>
          <w:rFonts w:ascii="Times New Roman" w:hAnsi="Times New Roman" w:cs="Times New Roman"/>
        </w:rPr>
        <w:instrText>ADDIN CSL_CITATION {"citationItems":[{"id":"ITEM-1","itemData":{"ISSN":"2231-5632","author":[{"dropping-particle":"","family":"Sharma","given":"Meghna","non-dropping-particle":"","parse-names":false,"suffix":""}],"container-title":"International Journal of Education and Management Studies","id":"ITEM-1","issue":"3","issued":{"date-parts":[["2023"]]},"page":"368-371","publisher":"Indian Association of Health, Research and Welfare","title":"Psychological Pillars: Bridging NEP-2020 and NCF-2023 in Education Transformation","type":"article-journal","volume":"13"},"uris":["http://www.mendeley.com/documents/?uuid=42c0312f-8917-495d-a56f-a28bf3bf1ea9"]}],"mendeley":{"formattedCitation":"(Sharma, 2023)","plainTextFormattedCitation":"(Sharma, 2023)","previouslyFormattedCitation":"(Sharma, 2023)"},"properties":{"noteIndex":0},"schema":"https://github.com/citation-style-language/schema/raw/master/csl-citation.json"}</w:instrText>
      </w:r>
      <w:r w:rsidR="00824A79" w:rsidRPr="00660CFA">
        <w:rPr>
          <w:rFonts w:ascii="Times New Roman" w:hAnsi="Times New Roman" w:cs="Times New Roman"/>
        </w:rPr>
        <w:fldChar w:fldCharType="separate"/>
      </w:r>
      <w:r w:rsidR="002001C7" w:rsidRPr="00660CFA">
        <w:rPr>
          <w:rFonts w:ascii="Times New Roman" w:hAnsi="Times New Roman" w:cs="Times New Roman"/>
          <w:noProof/>
        </w:rPr>
        <w:t>(Sharma, 2023)</w:t>
      </w:r>
      <w:r w:rsidR="00824A79" w:rsidRPr="00660CFA">
        <w:rPr>
          <w:rFonts w:ascii="Times New Roman" w:hAnsi="Times New Roman" w:cs="Times New Roman"/>
        </w:rPr>
        <w:fldChar w:fldCharType="end"/>
      </w:r>
      <w:r w:rsidRPr="00660CFA">
        <w:rPr>
          <w:rFonts w:ascii="Times New Roman" w:hAnsi="Times New Roman" w:cs="Times New Roman"/>
        </w:rPr>
        <w:t>. These targeted training programmes will help teacher trainers to achieve better student outcomes when they are provided required interdisciplinary assessment strategies</w:t>
      </w:r>
      <w:r w:rsidR="00CF144C" w:rsidRPr="00660CFA">
        <w:rPr>
          <w:rFonts w:ascii="Times New Roman" w:hAnsi="Times New Roman" w:cs="Times New Roman"/>
        </w:rPr>
        <w:t>,</w:t>
      </w:r>
      <w:r w:rsidRPr="00660CFA">
        <w:rPr>
          <w:rFonts w:ascii="Times New Roman" w:hAnsi="Times New Roman" w:cs="Times New Roman"/>
        </w:rPr>
        <w:t xml:space="preserve"> which reduce their burden and improve their motivation levels while teaching the environmental concepts. As assessment strategies are part </w:t>
      </w:r>
      <w:r w:rsidR="006400DC" w:rsidRPr="00660CFA">
        <w:rPr>
          <w:rFonts w:ascii="Times New Roman" w:hAnsi="Times New Roman" w:cs="Times New Roman"/>
        </w:rPr>
        <w:t>of</w:t>
      </w:r>
      <w:r w:rsidRPr="00660CFA">
        <w:rPr>
          <w:rFonts w:ascii="Times New Roman" w:hAnsi="Times New Roman" w:cs="Times New Roman"/>
        </w:rPr>
        <w:t xml:space="preserve"> effective teaching</w:t>
      </w:r>
      <w:r w:rsidR="006400DC" w:rsidRPr="00660CFA">
        <w:rPr>
          <w:rFonts w:ascii="Times New Roman" w:hAnsi="Times New Roman" w:cs="Times New Roman"/>
        </w:rPr>
        <w:t>,</w:t>
      </w:r>
      <w:r w:rsidRPr="00660CFA">
        <w:rPr>
          <w:rFonts w:ascii="Times New Roman" w:hAnsi="Times New Roman" w:cs="Times New Roman"/>
        </w:rPr>
        <w:t xml:space="preserve"> </w:t>
      </w:r>
      <w:r w:rsidR="006400DC" w:rsidRPr="00660CFA">
        <w:rPr>
          <w:rFonts w:ascii="Times New Roman" w:hAnsi="Times New Roman" w:cs="Times New Roman"/>
        </w:rPr>
        <w:t>they</w:t>
      </w:r>
      <w:r w:rsidRPr="00660CFA">
        <w:rPr>
          <w:rFonts w:ascii="Times New Roman" w:hAnsi="Times New Roman" w:cs="Times New Roman"/>
        </w:rPr>
        <w:t xml:space="preserve"> will improve the teaching confidence levels of teachers and also of their learners.</w:t>
      </w:r>
      <w:r w:rsidR="006400DC" w:rsidRPr="00660CFA">
        <w:rPr>
          <w:rFonts w:ascii="Times New Roman" w:hAnsi="Times New Roman" w:cs="Times New Roman"/>
        </w:rPr>
        <w:t xml:space="preserve"> </w:t>
      </w:r>
      <w:bookmarkEnd w:id="1"/>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Implications of the study:</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The study has implications for teacher training programmes and policy-level interventions. There is a need for tailored training programmes with a focus on resources and tools required for interdisciplinary assessment. Teachers who become part of such programmes should be encouraged by providing professional benefits by continuously following up on the progress made. Modern assessment methods should become part of the training programs by considering their relevance and use. Along with these, the support offered to learners through constructive feedback should be given importance</w:t>
      </w:r>
      <w:r w:rsidR="00CF144C" w:rsidRPr="00660CFA">
        <w:rPr>
          <w:rFonts w:ascii="Times New Roman" w:hAnsi="Times New Roman" w:cs="Times New Roman"/>
        </w:rPr>
        <w:t>,</w:t>
      </w:r>
      <w:r w:rsidRPr="00660CFA">
        <w:rPr>
          <w:rFonts w:ascii="Times New Roman" w:hAnsi="Times New Roman" w:cs="Times New Roman"/>
        </w:rPr>
        <w:t xml:space="preserve"> along with providing feedback. Policy-level interventions should provide scope for interdisciplinary training at the curriculum level with a focus on training approaches and resource allocation. As per NCF 2023, effective environmental learning must include not only conceptual understanding but also the development of empathy, collaboration, and action-taking. These values are reflected in the teachers’ call for assessment methods such as peer/self-assessment and debates. Thus, training programs should embed these values within their pedagogical and assessment design to achieve national curricular goals (NCF 2023, Chapter 5).</w:t>
      </w:r>
    </w:p>
    <w:p w:rsidR="005D14AE" w:rsidRPr="00660CFA" w:rsidRDefault="005D14AE" w:rsidP="009F0723">
      <w:pPr>
        <w:spacing w:line="240" w:lineRule="auto"/>
        <w:jc w:val="both"/>
        <w:rPr>
          <w:rFonts w:ascii="Times New Roman" w:hAnsi="Times New Roman" w:cs="Times New Roman"/>
        </w:rPr>
      </w:pPr>
    </w:p>
    <w:p w:rsidR="005D14AE" w:rsidRPr="00660CFA" w:rsidRDefault="00833F87" w:rsidP="009F0723">
      <w:pPr>
        <w:spacing w:line="240" w:lineRule="auto"/>
        <w:jc w:val="both"/>
        <w:rPr>
          <w:rFonts w:ascii="Times New Roman" w:hAnsi="Times New Roman" w:cs="Times New Roman"/>
          <w:highlight w:val="yellow"/>
        </w:rPr>
      </w:pPr>
      <w:r w:rsidRPr="00660CFA">
        <w:rPr>
          <w:rFonts w:ascii="Times New Roman" w:hAnsi="Times New Roman" w:cs="Times New Roman"/>
        </w:rPr>
        <w:t>Conclusion:</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The present study unfolded the interdisciplinary assessment knowledge, attitudes, and practices of in-service teachers. The study offered suggestions for conducting professional development programmes based on the specific requirements of the teachers as highlighted in the present research. Theoretical contributions suggest that traditional assessment models should adapt to include practical, application-based strategies, especially in evolving interdisciplinary contexts. The learning outcomes in the context of environmental education and English language teaching can be more satisfying with improved interdisciplinary assessment strategies, tools, and constructive feedback mechanisms. </w:t>
      </w:r>
    </w:p>
    <w:p w:rsidR="006400DC" w:rsidRPr="00660CFA" w:rsidRDefault="006400DC" w:rsidP="009F0723">
      <w:pPr>
        <w:spacing w:line="240" w:lineRule="auto"/>
        <w:jc w:val="both"/>
        <w:rPr>
          <w:rFonts w:ascii="Times New Roman" w:hAnsi="Times New Roman" w:cs="Times New Roman"/>
        </w:rPr>
      </w:pPr>
      <w:r w:rsidRPr="00660CFA">
        <w:rPr>
          <w:rFonts w:ascii="Times New Roman" w:hAnsi="Times New Roman" w:cs="Times New Roman"/>
        </w:rPr>
        <w:t>On the whole, the study emphasises the need for differentiated and localized teacher training programs that can strengthen interdisciplinary assessment literacy, thereby improving the quality of Environmental Education and preparing students to engage with real-world sustainability challenges effectively. These findings directly respond to the research questions by identifying awareness levels and variations in perspectives shaped by experience and training, thereby contributing valuable insights for policymakers, teacher educators, and curriculum designers aiming to integrate interdisciplinary assessment within ESL and Environmental Education contexts.</w:t>
      </w:r>
    </w:p>
    <w:p w:rsidR="005D14AE" w:rsidRPr="00660CFA" w:rsidRDefault="005D14AE" w:rsidP="009F0723">
      <w:pPr>
        <w:pStyle w:val="ListParagraph"/>
        <w:spacing w:before="100" w:beforeAutospacing="1" w:after="100" w:afterAutospacing="1" w:line="240" w:lineRule="auto"/>
        <w:jc w:val="both"/>
        <w:rPr>
          <w:rFonts w:ascii="Times New Roman" w:eastAsia="Times New Roman" w:hAnsi="Times New Roman" w:cs="Times New Roman"/>
          <w:lang w:eastAsia="en-IN"/>
        </w:rPr>
      </w:pPr>
    </w:p>
    <w:p w:rsidR="005D14AE" w:rsidRPr="00660CFA" w:rsidRDefault="005D14AE" w:rsidP="009F0723">
      <w:pPr>
        <w:pStyle w:val="ListParagraph"/>
        <w:spacing w:before="100" w:beforeAutospacing="1" w:after="100" w:afterAutospacing="1" w:line="240" w:lineRule="auto"/>
        <w:jc w:val="both"/>
        <w:rPr>
          <w:rFonts w:ascii="Times New Roman" w:eastAsia="Times New Roman" w:hAnsi="Times New Roman" w:cs="Times New Roman"/>
          <w:lang w:eastAsia="en-IN"/>
        </w:rPr>
      </w:pPr>
    </w:p>
    <w:p w:rsidR="005D14AE" w:rsidRPr="00660CFA" w:rsidRDefault="005D14AE" w:rsidP="009F0723">
      <w:pPr>
        <w:spacing w:line="240" w:lineRule="auto"/>
        <w:jc w:val="both"/>
        <w:rPr>
          <w:rFonts w:ascii="Times New Roman" w:hAnsi="Times New Roman" w:cs="Times New Roman"/>
        </w:rPr>
      </w:pP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References</w:t>
      </w:r>
    </w:p>
    <w:p w:rsidR="005D14AE" w:rsidRPr="00660CFA" w:rsidRDefault="00833F87" w:rsidP="009F0723">
      <w:pPr>
        <w:spacing w:line="240" w:lineRule="auto"/>
        <w:jc w:val="both"/>
        <w:rPr>
          <w:rFonts w:ascii="Times New Roman" w:hAnsi="Times New Roman" w:cs="Times New Roman"/>
        </w:rPr>
      </w:pPr>
      <w:proofErr w:type="spellStart"/>
      <w:r w:rsidRPr="00660CFA">
        <w:rPr>
          <w:rFonts w:ascii="Times New Roman" w:hAnsi="Times New Roman" w:cs="Times New Roman"/>
        </w:rPr>
        <w:t>Aggarwal</w:t>
      </w:r>
      <w:proofErr w:type="spellEnd"/>
      <w:r w:rsidRPr="00660CFA">
        <w:rPr>
          <w:rFonts w:ascii="Times New Roman" w:hAnsi="Times New Roman" w:cs="Times New Roman"/>
        </w:rPr>
        <w:t>, G. (</w:t>
      </w:r>
      <w:proofErr w:type="spellStart"/>
      <w:r w:rsidRPr="00660CFA">
        <w:rPr>
          <w:rFonts w:ascii="Times New Roman" w:hAnsi="Times New Roman" w:cs="Times New Roman"/>
        </w:rPr>
        <w:t>n.d</w:t>
      </w:r>
      <w:proofErr w:type="spellEnd"/>
      <w:r w:rsidRPr="00660CFA">
        <w:rPr>
          <w:rFonts w:ascii="Times New Roman" w:hAnsi="Times New Roman" w:cs="Times New Roman"/>
        </w:rPr>
        <w:t>.). Reimagining education in India: The curricular vision of the new education policy 2020.</w:t>
      </w:r>
    </w:p>
    <w:p w:rsidR="005D14AE" w:rsidRPr="00660CFA" w:rsidRDefault="00833F87" w:rsidP="009F0723">
      <w:pPr>
        <w:spacing w:line="240" w:lineRule="auto"/>
        <w:jc w:val="both"/>
        <w:rPr>
          <w:rFonts w:ascii="Times New Roman" w:hAnsi="Times New Roman" w:cs="Times New Roman"/>
        </w:rPr>
      </w:pPr>
      <w:proofErr w:type="spellStart"/>
      <w:proofErr w:type="gramStart"/>
      <w:r w:rsidRPr="00660CFA">
        <w:rPr>
          <w:rFonts w:ascii="Times New Roman" w:hAnsi="Times New Roman" w:cs="Times New Roman"/>
        </w:rPr>
        <w:t>Arık</w:t>
      </w:r>
      <w:proofErr w:type="spellEnd"/>
      <w:r w:rsidRPr="00660CFA">
        <w:rPr>
          <w:rFonts w:ascii="Times New Roman" w:hAnsi="Times New Roman" w:cs="Times New Roman"/>
        </w:rPr>
        <w:t xml:space="preserve">, S., &amp; </w:t>
      </w:r>
      <w:proofErr w:type="spellStart"/>
      <w:r w:rsidRPr="00660CFA">
        <w:rPr>
          <w:rFonts w:ascii="Times New Roman" w:hAnsi="Times New Roman" w:cs="Times New Roman"/>
        </w:rPr>
        <w:t>Yılmaz</w:t>
      </w:r>
      <w:proofErr w:type="spellEnd"/>
      <w:r w:rsidRPr="00660CFA">
        <w:rPr>
          <w:rFonts w:ascii="Times New Roman" w:hAnsi="Times New Roman" w:cs="Times New Roman"/>
        </w:rPr>
        <w:t>, M. (2020).</w:t>
      </w:r>
      <w:proofErr w:type="gramEnd"/>
      <w:r w:rsidRPr="00660CFA">
        <w:rPr>
          <w:rFonts w:ascii="Times New Roman" w:hAnsi="Times New Roman" w:cs="Times New Roman"/>
        </w:rPr>
        <w:t xml:space="preserve"> The effect of constructivist learning approach and active learning on environmental education: A meta-analysis study. </w:t>
      </w:r>
      <w:r w:rsidRPr="00660CFA">
        <w:rPr>
          <w:rFonts w:ascii="Times New Roman" w:hAnsi="Times New Roman" w:cs="Times New Roman"/>
          <w:i/>
          <w:iCs/>
        </w:rPr>
        <w:t>International Electronic Journal of Environmental Education, 10</w:t>
      </w:r>
      <w:r w:rsidRPr="00660CFA">
        <w:rPr>
          <w:rFonts w:ascii="Times New Roman" w:hAnsi="Times New Roman" w:cs="Times New Roman"/>
        </w:rPr>
        <w:t xml:space="preserve">(1), 44–84. </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Bhatia, N. (2020). Environmental education in India: Analysis of national curriculum and pedagogical approaches.</w:t>
      </w:r>
    </w:p>
    <w:p w:rsidR="005D14AE" w:rsidRPr="00660CFA" w:rsidRDefault="00833F87" w:rsidP="009F0723">
      <w:pPr>
        <w:spacing w:line="240" w:lineRule="auto"/>
        <w:jc w:val="both"/>
        <w:rPr>
          <w:rFonts w:ascii="Times New Roman" w:hAnsi="Times New Roman" w:cs="Times New Roman"/>
        </w:rPr>
      </w:pPr>
      <w:proofErr w:type="spellStart"/>
      <w:proofErr w:type="gramStart"/>
      <w:r w:rsidRPr="00660CFA">
        <w:rPr>
          <w:rFonts w:ascii="Times New Roman" w:hAnsi="Times New Roman" w:cs="Times New Roman"/>
        </w:rPr>
        <w:t>Bhusal</w:t>
      </w:r>
      <w:proofErr w:type="spellEnd"/>
      <w:r w:rsidRPr="00660CFA">
        <w:rPr>
          <w:rFonts w:ascii="Times New Roman" w:hAnsi="Times New Roman" w:cs="Times New Roman"/>
        </w:rPr>
        <w:t>, D. R. (2021).</w:t>
      </w:r>
      <w:proofErr w:type="gramEnd"/>
      <w:r w:rsidRPr="00660CFA">
        <w:rPr>
          <w:rFonts w:ascii="Times New Roman" w:hAnsi="Times New Roman" w:cs="Times New Roman"/>
        </w:rPr>
        <w:t xml:space="preserve"> </w:t>
      </w:r>
      <w:proofErr w:type="gramStart"/>
      <w:r w:rsidRPr="00660CFA">
        <w:rPr>
          <w:rFonts w:ascii="Times New Roman" w:hAnsi="Times New Roman" w:cs="Times New Roman"/>
        </w:rPr>
        <w:t>English language teachers’ perceptions on integrating environmental education.</w:t>
      </w:r>
      <w:proofErr w:type="gramEnd"/>
      <w:r w:rsidRPr="00660CFA">
        <w:rPr>
          <w:rFonts w:ascii="Times New Roman" w:hAnsi="Times New Roman" w:cs="Times New Roman"/>
        </w:rPr>
        <w:t xml:space="preserve"> </w:t>
      </w:r>
      <w:r w:rsidRPr="00660CFA">
        <w:rPr>
          <w:rFonts w:ascii="Times New Roman" w:hAnsi="Times New Roman" w:cs="Times New Roman"/>
          <w:i/>
          <w:iCs/>
        </w:rPr>
        <w:t>I-Manager’s Journal on English Language Teaching, 11</w:t>
      </w:r>
      <w:r w:rsidRPr="00660CFA">
        <w:rPr>
          <w:rFonts w:ascii="Times New Roman" w:hAnsi="Times New Roman" w:cs="Times New Roman"/>
        </w:rPr>
        <w:t>(3), 11.</w:t>
      </w:r>
    </w:p>
    <w:p w:rsidR="005D14AE" w:rsidRPr="00660CFA" w:rsidRDefault="00833F87" w:rsidP="009F0723">
      <w:pPr>
        <w:spacing w:line="240" w:lineRule="auto"/>
        <w:jc w:val="both"/>
        <w:rPr>
          <w:rFonts w:ascii="Times New Roman" w:hAnsi="Times New Roman" w:cs="Times New Roman"/>
        </w:rPr>
      </w:pPr>
      <w:proofErr w:type="spellStart"/>
      <w:proofErr w:type="gramStart"/>
      <w:r w:rsidRPr="00660CFA">
        <w:rPr>
          <w:rFonts w:ascii="Times New Roman" w:hAnsi="Times New Roman" w:cs="Times New Roman"/>
        </w:rPr>
        <w:t>eZia</w:t>
      </w:r>
      <w:proofErr w:type="spellEnd"/>
      <w:proofErr w:type="gramEnd"/>
      <w:r w:rsidRPr="00660CFA">
        <w:rPr>
          <w:rFonts w:ascii="Times New Roman" w:hAnsi="Times New Roman" w:cs="Times New Roman"/>
        </w:rPr>
        <w:t xml:space="preserve">, A. B., </w:t>
      </w:r>
      <w:proofErr w:type="spellStart"/>
      <w:r w:rsidRPr="00660CFA">
        <w:rPr>
          <w:rFonts w:ascii="Times New Roman" w:hAnsi="Times New Roman" w:cs="Times New Roman"/>
        </w:rPr>
        <w:t>Amjad</w:t>
      </w:r>
      <w:proofErr w:type="spellEnd"/>
      <w:r w:rsidRPr="00660CFA">
        <w:rPr>
          <w:rFonts w:ascii="Times New Roman" w:hAnsi="Times New Roman" w:cs="Times New Roman"/>
        </w:rPr>
        <w:t xml:space="preserve">, S., &amp; </w:t>
      </w:r>
      <w:proofErr w:type="spellStart"/>
      <w:r w:rsidRPr="00660CFA">
        <w:rPr>
          <w:rFonts w:ascii="Times New Roman" w:hAnsi="Times New Roman" w:cs="Times New Roman"/>
        </w:rPr>
        <w:t>Bhatti</w:t>
      </w:r>
      <w:proofErr w:type="spellEnd"/>
      <w:r w:rsidRPr="00660CFA">
        <w:rPr>
          <w:rFonts w:ascii="Times New Roman" w:hAnsi="Times New Roman" w:cs="Times New Roman"/>
        </w:rPr>
        <w:t xml:space="preserve">, Z. I. (2023). </w:t>
      </w:r>
      <w:proofErr w:type="gramStart"/>
      <w:r w:rsidRPr="00660CFA">
        <w:rPr>
          <w:rFonts w:ascii="Times New Roman" w:hAnsi="Times New Roman" w:cs="Times New Roman"/>
        </w:rPr>
        <w:t xml:space="preserve">Exploration of eco pedagogical and </w:t>
      </w:r>
      <w:proofErr w:type="spellStart"/>
      <w:r w:rsidRPr="00660CFA">
        <w:rPr>
          <w:rFonts w:ascii="Times New Roman" w:hAnsi="Times New Roman" w:cs="Times New Roman"/>
        </w:rPr>
        <w:t>ecolinguistics</w:t>
      </w:r>
      <w:proofErr w:type="spellEnd"/>
      <w:r w:rsidRPr="00660CFA">
        <w:rPr>
          <w:rFonts w:ascii="Times New Roman" w:hAnsi="Times New Roman" w:cs="Times New Roman"/>
        </w:rPr>
        <w:t xml:space="preserve"> elements in secondary level English language textbooks from teacher’s perspective.</w:t>
      </w:r>
      <w:proofErr w:type="gramEnd"/>
      <w:r w:rsidRPr="00660CFA">
        <w:rPr>
          <w:rFonts w:ascii="Times New Roman" w:hAnsi="Times New Roman" w:cs="Times New Roman"/>
        </w:rPr>
        <w:t xml:space="preserve"> </w:t>
      </w:r>
      <w:r w:rsidRPr="00660CFA">
        <w:rPr>
          <w:rFonts w:ascii="Times New Roman" w:hAnsi="Times New Roman" w:cs="Times New Roman"/>
          <w:i/>
          <w:iCs/>
        </w:rPr>
        <w:t>Journal of Positive School Psychology,</w:t>
      </w:r>
      <w:r w:rsidRPr="00660CFA">
        <w:rPr>
          <w:rFonts w:ascii="Times New Roman" w:hAnsi="Times New Roman" w:cs="Times New Roman"/>
        </w:rPr>
        <w:t xml:space="preserve"> 1383–1391.</w:t>
      </w:r>
    </w:p>
    <w:p w:rsidR="005D14AE" w:rsidRPr="00660CFA" w:rsidRDefault="00833F87" w:rsidP="009F0723">
      <w:pPr>
        <w:spacing w:line="240" w:lineRule="auto"/>
        <w:jc w:val="both"/>
        <w:rPr>
          <w:rFonts w:ascii="Times New Roman" w:hAnsi="Times New Roman" w:cs="Times New Roman"/>
        </w:rPr>
      </w:pPr>
      <w:proofErr w:type="spellStart"/>
      <w:proofErr w:type="gramStart"/>
      <w:r w:rsidRPr="00660CFA">
        <w:rPr>
          <w:rFonts w:ascii="Times New Roman" w:hAnsi="Times New Roman" w:cs="Times New Roman"/>
        </w:rPr>
        <w:t>Gamage</w:t>
      </w:r>
      <w:proofErr w:type="spellEnd"/>
      <w:r w:rsidRPr="00660CFA">
        <w:rPr>
          <w:rFonts w:ascii="Times New Roman" w:hAnsi="Times New Roman" w:cs="Times New Roman"/>
        </w:rPr>
        <w:t>, S. (2021).</w:t>
      </w:r>
      <w:proofErr w:type="gramEnd"/>
      <w:r w:rsidRPr="00660CFA">
        <w:rPr>
          <w:rFonts w:ascii="Times New Roman" w:hAnsi="Times New Roman" w:cs="Times New Roman"/>
        </w:rPr>
        <w:t xml:space="preserve"> Environmental education for sustainability: Environment literacy and action-oriented teaching. In </w:t>
      </w:r>
      <w:r w:rsidRPr="00660CFA">
        <w:rPr>
          <w:rFonts w:ascii="Times New Roman" w:hAnsi="Times New Roman" w:cs="Times New Roman"/>
          <w:i/>
          <w:iCs/>
        </w:rPr>
        <w:t>Environment and Sustainable Development</w:t>
      </w:r>
      <w:r w:rsidRPr="00660CFA">
        <w:rPr>
          <w:rFonts w:ascii="Times New Roman" w:hAnsi="Times New Roman" w:cs="Times New Roman"/>
        </w:rPr>
        <w:t xml:space="preserve"> (pp. 31–49). </w:t>
      </w:r>
      <w:proofErr w:type="spellStart"/>
      <w:proofErr w:type="gramStart"/>
      <w:r w:rsidRPr="00660CFA">
        <w:rPr>
          <w:rFonts w:ascii="Times New Roman" w:hAnsi="Times New Roman" w:cs="Times New Roman"/>
        </w:rPr>
        <w:t>Routledge</w:t>
      </w:r>
      <w:proofErr w:type="spellEnd"/>
      <w:r w:rsidRPr="00660CFA">
        <w:rPr>
          <w:rFonts w:ascii="Times New Roman" w:hAnsi="Times New Roman" w:cs="Times New Roman"/>
        </w:rPr>
        <w:t xml:space="preserve"> India.</w:t>
      </w:r>
      <w:proofErr w:type="gramEnd"/>
    </w:p>
    <w:p w:rsidR="005D14AE" w:rsidRPr="00660CFA" w:rsidRDefault="00833F87" w:rsidP="009F0723">
      <w:pPr>
        <w:spacing w:line="240" w:lineRule="auto"/>
        <w:jc w:val="both"/>
        <w:rPr>
          <w:rFonts w:ascii="Times New Roman" w:hAnsi="Times New Roman" w:cs="Times New Roman"/>
        </w:rPr>
      </w:pPr>
      <w:proofErr w:type="spellStart"/>
      <w:proofErr w:type="gramStart"/>
      <w:r w:rsidRPr="00660CFA">
        <w:rPr>
          <w:rFonts w:ascii="Times New Roman" w:hAnsi="Times New Roman" w:cs="Times New Roman"/>
        </w:rPr>
        <w:t>Gavrilakis</w:t>
      </w:r>
      <w:proofErr w:type="spellEnd"/>
      <w:r w:rsidRPr="00660CFA">
        <w:rPr>
          <w:rFonts w:ascii="Times New Roman" w:hAnsi="Times New Roman" w:cs="Times New Roman"/>
        </w:rPr>
        <w:t xml:space="preserve">, C., </w:t>
      </w:r>
      <w:proofErr w:type="spellStart"/>
      <w:r w:rsidRPr="00660CFA">
        <w:rPr>
          <w:rFonts w:ascii="Times New Roman" w:hAnsi="Times New Roman" w:cs="Times New Roman"/>
        </w:rPr>
        <w:t>Stylos</w:t>
      </w:r>
      <w:proofErr w:type="spellEnd"/>
      <w:r w:rsidRPr="00660CFA">
        <w:rPr>
          <w:rFonts w:ascii="Times New Roman" w:hAnsi="Times New Roman" w:cs="Times New Roman"/>
        </w:rPr>
        <w:t xml:space="preserve">, G., </w:t>
      </w:r>
      <w:proofErr w:type="spellStart"/>
      <w:r w:rsidRPr="00660CFA">
        <w:rPr>
          <w:rFonts w:ascii="Times New Roman" w:hAnsi="Times New Roman" w:cs="Times New Roman"/>
        </w:rPr>
        <w:t>Kotsis</w:t>
      </w:r>
      <w:proofErr w:type="spellEnd"/>
      <w:r w:rsidRPr="00660CFA">
        <w:rPr>
          <w:rFonts w:ascii="Times New Roman" w:hAnsi="Times New Roman" w:cs="Times New Roman"/>
        </w:rPr>
        <w:t xml:space="preserve">, K., &amp; </w:t>
      </w:r>
      <w:proofErr w:type="spellStart"/>
      <w:r w:rsidRPr="00660CFA">
        <w:rPr>
          <w:rFonts w:ascii="Times New Roman" w:hAnsi="Times New Roman" w:cs="Times New Roman"/>
        </w:rPr>
        <w:t>Goulgouti</w:t>
      </w:r>
      <w:proofErr w:type="spellEnd"/>
      <w:r w:rsidRPr="00660CFA">
        <w:rPr>
          <w:rFonts w:ascii="Times New Roman" w:hAnsi="Times New Roman" w:cs="Times New Roman"/>
        </w:rPr>
        <w:t>, A. (2017).</w:t>
      </w:r>
      <w:proofErr w:type="gramEnd"/>
      <w:r w:rsidRPr="00660CFA">
        <w:rPr>
          <w:rFonts w:ascii="Times New Roman" w:hAnsi="Times New Roman" w:cs="Times New Roman"/>
        </w:rPr>
        <w:t xml:space="preserve"> </w:t>
      </w:r>
      <w:proofErr w:type="gramStart"/>
      <w:r w:rsidRPr="00660CFA">
        <w:rPr>
          <w:rFonts w:ascii="Times New Roman" w:hAnsi="Times New Roman" w:cs="Times New Roman"/>
        </w:rPr>
        <w:t>Environmental literacy assessment of Greek university pre-service teachers.</w:t>
      </w:r>
      <w:proofErr w:type="gramEnd"/>
      <w:r w:rsidRPr="00660CFA">
        <w:rPr>
          <w:rFonts w:ascii="Times New Roman" w:hAnsi="Times New Roman" w:cs="Times New Roman"/>
        </w:rPr>
        <w:t xml:space="preserve"> </w:t>
      </w:r>
      <w:r w:rsidRPr="00660CFA">
        <w:rPr>
          <w:rFonts w:ascii="Times New Roman" w:hAnsi="Times New Roman" w:cs="Times New Roman"/>
          <w:i/>
          <w:iCs/>
        </w:rPr>
        <w:t>Science Education: Research and Praxis, Special Issue, 61,</w:t>
      </w:r>
      <w:r w:rsidRPr="00660CFA">
        <w:rPr>
          <w:rFonts w:ascii="Times New Roman" w:hAnsi="Times New Roman" w:cs="Times New Roman"/>
        </w:rPr>
        <w:t xml:space="preserve"> 49–71. </w:t>
      </w:r>
    </w:p>
    <w:p w:rsidR="005D14AE" w:rsidRPr="00660CFA" w:rsidRDefault="00833F87" w:rsidP="009F0723">
      <w:pPr>
        <w:spacing w:line="240" w:lineRule="auto"/>
        <w:jc w:val="both"/>
        <w:rPr>
          <w:rFonts w:ascii="Times New Roman" w:hAnsi="Times New Roman" w:cs="Times New Roman"/>
          <w:i/>
          <w:iCs/>
          <w:lang w:val="de-DE"/>
        </w:rPr>
      </w:pPr>
      <w:proofErr w:type="spellStart"/>
      <w:proofErr w:type="gramStart"/>
      <w:r w:rsidRPr="00660CFA">
        <w:rPr>
          <w:rFonts w:ascii="Times New Roman" w:hAnsi="Times New Roman" w:cs="Times New Roman"/>
        </w:rPr>
        <w:t>Ginting</w:t>
      </w:r>
      <w:proofErr w:type="spellEnd"/>
      <w:r w:rsidRPr="00660CFA">
        <w:rPr>
          <w:rFonts w:ascii="Times New Roman" w:hAnsi="Times New Roman" w:cs="Times New Roman"/>
        </w:rPr>
        <w:t xml:space="preserve">, P., </w:t>
      </w:r>
      <w:proofErr w:type="spellStart"/>
      <w:r w:rsidRPr="00660CFA">
        <w:rPr>
          <w:rFonts w:ascii="Times New Roman" w:hAnsi="Times New Roman" w:cs="Times New Roman"/>
        </w:rPr>
        <w:t>Hasnah</w:t>
      </w:r>
      <w:proofErr w:type="spellEnd"/>
      <w:r w:rsidRPr="00660CFA">
        <w:rPr>
          <w:rFonts w:ascii="Times New Roman" w:hAnsi="Times New Roman" w:cs="Times New Roman"/>
        </w:rPr>
        <w:t xml:space="preserve">, Y., </w:t>
      </w:r>
      <w:proofErr w:type="spellStart"/>
      <w:r w:rsidRPr="00660CFA">
        <w:rPr>
          <w:rFonts w:ascii="Times New Roman" w:hAnsi="Times New Roman" w:cs="Times New Roman"/>
        </w:rPr>
        <w:t>Saragih</w:t>
      </w:r>
      <w:proofErr w:type="spellEnd"/>
      <w:r w:rsidRPr="00660CFA">
        <w:rPr>
          <w:rFonts w:ascii="Times New Roman" w:hAnsi="Times New Roman" w:cs="Times New Roman"/>
        </w:rPr>
        <w:t xml:space="preserve">, M., &amp; </w:t>
      </w:r>
      <w:proofErr w:type="spellStart"/>
      <w:r w:rsidRPr="00660CFA">
        <w:rPr>
          <w:rFonts w:ascii="Times New Roman" w:hAnsi="Times New Roman" w:cs="Times New Roman"/>
        </w:rPr>
        <w:t>Kharisma</w:t>
      </w:r>
      <w:proofErr w:type="spellEnd"/>
      <w:r w:rsidRPr="00660CFA">
        <w:rPr>
          <w:rFonts w:ascii="Times New Roman" w:hAnsi="Times New Roman" w:cs="Times New Roman"/>
        </w:rPr>
        <w:t>, A. (2024).</w:t>
      </w:r>
      <w:proofErr w:type="gramEnd"/>
      <w:r w:rsidRPr="00660CFA">
        <w:rPr>
          <w:rFonts w:ascii="Times New Roman" w:hAnsi="Times New Roman" w:cs="Times New Roman"/>
        </w:rPr>
        <w:t xml:space="preserve"> The embodiment of environmental discourse in language learning: A critical </w:t>
      </w:r>
      <w:proofErr w:type="spellStart"/>
      <w:r w:rsidRPr="00660CFA">
        <w:rPr>
          <w:rFonts w:ascii="Times New Roman" w:hAnsi="Times New Roman" w:cs="Times New Roman"/>
        </w:rPr>
        <w:t>ecolinguistic</w:t>
      </w:r>
      <w:proofErr w:type="spellEnd"/>
      <w:r w:rsidRPr="00660CFA">
        <w:rPr>
          <w:rFonts w:ascii="Times New Roman" w:hAnsi="Times New Roman" w:cs="Times New Roman"/>
        </w:rPr>
        <w:t xml:space="preserve"> study of EFL textbooks in Indonesia. </w:t>
      </w:r>
      <w:r w:rsidRPr="00660CFA">
        <w:rPr>
          <w:rFonts w:ascii="Times New Roman" w:hAnsi="Times New Roman" w:cs="Times New Roman"/>
          <w:lang w:val="de-DE"/>
        </w:rPr>
        <w:t xml:space="preserve">175-145, (1)15. </w:t>
      </w:r>
      <w:r w:rsidRPr="00660CFA">
        <w:rPr>
          <w:rFonts w:ascii="Times New Roman" w:hAnsi="Times New Roman" w:cs="Times New Roman"/>
          <w:i/>
          <w:iCs/>
          <w:lang w:val="de-DE"/>
        </w:rPr>
        <w:t>https://doi.org/10.29252/LRR.15.1.6</w:t>
      </w:r>
    </w:p>
    <w:p w:rsidR="005D14AE" w:rsidRPr="00660CFA" w:rsidRDefault="00833F87" w:rsidP="009F0723">
      <w:pPr>
        <w:spacing w:line="240" w:lineRule="auto"/>
        <w:jc w:val="both"/>
        <w:rPr>
          <w:rFonts w:ascii="Times New Roman" w:hAnsi="Times New Roman" w:cs="Times New Roman"/>
          <w:i/>
          <w:iCs/>
        </w:rPr>
      </w:pPr>
      <w:r w:rsidRPr="00660CFA">
        <w:rPr>
          <w:rFonts w:ascii="Times New Roman" w:hAnsi="Times New Roman" w:cs="Times New Roman"/>
          <w:lang w:val="de-DE"/>
        </w:rPr>
        <w:t xml:space="preserve">Jung, C. D., &amp; Dos Santos, L. M. (2022). </w:t>
      </w:r>
      <w:r w:rsidRPr="00660CFA">
        <w:rPr>
          <w:rFonts w:ascii="Times New Roman" w:hAnsi="Times New Roman" w:cs="Times New Roman"/>
        </w:rPr>
        <w:t xml:space="preserve">Incorporating environmentally-responsive EFL pedagogy in English-as-a-foreign language classrooms: Paving the way for global impact. </w:t>
      </w:r>
      <w:r w:rsidRPr="00660CFA">
        <w:rPr>
          <w:rFonts w:ascii="Times New Roman" w:hAnsi="Times New Roman" w:cs="Times New Roman"/>
          <w:i/>
          <w:iCs/>
        </w:rPr>
        <w:t>IOP Conference Series: Earth and Environmental Science, 987</w:t>
      </w:r>
      <w:r w:rsidRPr="00660CFA">
        <w:rPr>
          <w:rFonts w:ascii="Times New Roman" w:hAnsi="Times New Roman" w:cs="Times New Roman"/>
        </w:rPr>
        <w:t xml:space="preserve">(1), 12017. </w:t>
      </w:r>
      <w:r w:rsidRPr="00660CFA">
        <w:rPr>
          <w:rFonts w:ascii="Times New Roman" w:hAnsi="Times New Roman" w:cs="Times New Roman"/>
          <w:i/>
          <w:iCs/>
        </w:rPr>
        <w:t>DOI 10.1088/1755-1315/987/1/01201</w:t>
      </w:r>
    </w:p>
    <w:p w:rsidR="005D14AE" w:rsidRPr="00660CFA" w:rsidRDefault="00833F87" w:rsidP="009F0723">
      <w:pPr>
        <w:spacing w:line="240" w:lineRule="auto"/>
        <w:jc w:val="both"/>
        <w:rPr>
          <w:rFonts w:ascii="Times New Roman" w:hAnsi="Times New Roman" w:cs="Times New Roman"/>
        </w:rPr>
      </w:pPr>
      <w:proofErr w:type="spellStart"/>
      <w:r w:rsidRPr="00660CFA">
        <w:rPr>
          <w:rFonts w:ascii="Times New Roman" w:hAnsi="Times New Roman" w:cs="Times New Roman"/>
        </w:rPr>
        <w:t>Kahyaoğlu</w:t>
      </w:r>
      <w:proofErr w:type="spellEnd"/>
      <w:r w:rsidRPr="00660CFA">
        <w:rPr>
          <w:rFonts w:ascii="Times New Roman" w:hAnsi="Times New Roman" w:cs="Times New Roman"/>
        </w:rPr>
        <w:t xml:space="preserve">, E. (2011). </w:t>
      </w:r>
      <w:proofErr w:type="gramStart"/>
      <w:r w:rsidRPr="00660CFA">
        <w:rPr>
          <w:rFonts w:ascii="Times New Roman" w:hAnsi="Times New Roman" w:cs="Times New Roman"/>
        </w:rPr>
        <w:t>An assessment of environmental literacy of Turkish science and technology teachers.</w:t>
      </w:r>
      <w:proofErr w:type="gramEnd"/>
    </w:p>
    <w:p w:rsidR="005D14AE" w:rsidRPr="00660CFA" w:rsidRDefault="00833F87" w:rsidP="009F0723">
      <w:pPr>
        <w:spacing w:line="240" w:lineRule="auto"/>
        <w:jc w:val="both"/>
        <w:rPr>
          <w:rFonts w:ascii="Times New Roman" w:hAnsi="Times New Roman" w:cs="Times New Roman"/>
        </w:rPr>
      </w:pPr>
      <w:proofErr w:type="gramStart"/>
      <w:r w:rsidRPr="00660CFA">
        <w:rPr>
          <w:rFonts w:ascii="Times New Roman" w:hAnsi="Times New Roman" w:cs="Times New Roman"/>
        </w:rPr>
        <w:t>Kumar, S. (</w:t>
      </w:r>
      <w:proofErr w:type="spellStart"/>
      <w:r w:rsidRPr="00660CFA">
        <w:rPr>
          <w:rFonts w:ascii="Times New Roman" w:hAnsi="Times New Roman" w:cs="Times New Roman"/>
        </w:rPr>
        <w:t>n.d</w:t>
      </w:r>
      <w:proofErr w:type="spellEnd"/>
      <w:r w:rsidRPr="00660CFA">
        <w:rPr>
          <w:rFonts w:ascii="Times New Roman" w:hAnsi="Times New Roman" w:cs="Times New Roman"/>
        </w:rPr>
        <w:t>.).</w:t>
      </w:r>
      <w:proofErr w:type="gramEnd"/>
      <w:r w:rsidRPr="00660CFA">
        <w:rPr>
          <w:rFonts w:ascii="Times New Roman" w:hAnsi="Times New Roman" w:cs="Times New Roman"/>
        </w:rPr>
        <w:t xml:space="preserve"> National curriculum framework for school education, 2023: Implications for career guidance practice.</w:t>
      </w:r>
    </w:p>
    <w:p w:rsidR="005D14AE" w:rsidRPr="00660CFA" w:rsidRDefault="00833F87" w:rsidP="009F0723">
      <w:pPr>
        <w:spacing w:line="240" w:lineRule="auto"/>
        <w:jc w:val="both"/>
        <w:rPr>
          <w:rFonts w:ascii="Times New Roman" w:hAnsi="Times New Roman" w:cs="Times New Roman"/>
          <w:i/>
          <w:iCs/>
        </w:rPr>
      </w:pPr>
      <w:proofErr w:type="gramStart"/>
      <w:r w:rsidRPr="00660CFA">
        <w:rPr>
          <w:rFonts w:ascii="Times New Roman" w:hAnsi="Times New Roman" w:cs="Times New Roman"/>
        </w:rPr>
        <w:t xml:space="preserve">Mercer, S., </w:t>
      </w:r>
      <w:proofErr w:type="spellStart"/>
      <w:r w:rsidRPr="00660CFA">
        <w:rPr>
          <w:rFonts w:ascii="Times New Roman" w:hAnsi="Times New Roman" w:cs="Times New Roman"/>
        </w:rPr>
        <w:t>Correia</w:t>
      </w:r>
      <w:proofErr w:type="spellEnd"/>
      <w:r w:rsidRPr="00660CFA">
        <w:rPr>
          <w:rFonts w:ascii="Times New Roman" w:hAnsi="Times New Roman" w:cs="Times New Roman"/>
        </w:rPr>
        <w:t xml:space="preserve"> Ibrahim, N., </w:t>
      </w:r>
      <w:proofErr w:type="spellStart"/>
      <w:r w:rsidRPr="00660CFA">
        <w:rPr>
          <w:rFonts w:ascii="Times New Roman" w:hAnsi="Times New Roman" w:cs="Times New Roman"/>
        </w:rPr>
        <w:t>Bilsborough</w:t>
      </w:r>
      <w:proofErr w:type="spellEnd"/>
      <w:r w:rsidRPr="00660CFA">
        <w:rPr>
          <w:rFonts w:ascii="Times New Roman" w:hAnsi="Times New Roman" w:cs="Times New Roman"/>
        </w:rPr>
        <w:t xml:space="preserve">, K., Jones, C., &amp; </w:t>
      </w:r>
      <w:proofErr w:type="spellStart"/>
      <w:r w:rsidRPr="00660CFA">
        <w:rPr>
          <w:rFonts w:ascii="Times New Roman" w:hAnsi="Times New Roman" w:cs="Times New Roman"/>
        </w:rPr>
        <w:t>Potzinger</w:t>
      </w:r>
      <w:proofErr w:type="spellEnd"/>
      <w:r w:rsidRPr="00660CFA">
        <w:rPr>
          <w:rFonts w:ascii="Times New Roman" w:hAnsi="Times New Roman" w:cs="Times New Roman"/>
        </w:rPr>
        <w:t>, C. (2023).</w:t>
      </w:r>
      <w:proofErr w:type="gramEnd"/>
      <w:r w:rsidRPr="00660CFA">
        <w:rPr>
          <w:rFonts w:ascii="Times New Roman" w:hAnsi="Times New Roman" w:cs="Times New Roman"/>
        </w:rPr>
        <w:t xml:space="preserve"> </w:t>
      </w:r>
      <w:proofErr w:type="gramStart"/>
      <w:r w:rsidRPr="00660CFA">
        <w:rPr>
          <w:rFonts w:ascii="Times New Roman" w:hAnsi="Times New Roman" w:cs="Times New Roman"/>
        </w:rPr>
        <w:t>Teacher perspectives on addressing environmental issues in ELT.</w:t>
      </w:r>
      <w:proofErr w:type="gramEnd"/>
      <w:r w:rsidRPr="00660CFA">
        <w:rPr>
          <w:rFonts w:ascii="Times New Roman" w:hAnsi="Times New Roman" w:cs="Times New Roman"/>
        </w:rPr>
        <w:t xml:space="preserve"> </w:t>
      </w:r>
      <w:r w:rsidRPr="00660CFA">
        <w:rPr>
          <w:rFonts w:ascii="Times New Roman" w:hAnsi="Times New Roman" w:cs="Times New Roman"/>
          <w:i/>
          <w:iCs/>
        </w:rPr>
        <w:t>ELT Journal, 77</w:t>
      </w:r>
      <w:r w:rsidRPr="00660CFA">
        <w:rPr>
          <w:rFonts w:ascii="Times New Roman" w:hAnsi="Times New Roman" w:cs="Times New Roman"/>
        </w:rPr>
        <w:t xml:space="preserve">(4), 393–406. </w:t>
      </w:r>
      <w:r w:rsidRPr="00660CFA">
        <w:rPr>
          <w:rFonts w:ascii="Times New Roman" w:hAnsi="Times New Roman" w:cs="Times New Roman"/>
          <w:i/>
          <w:iCs/>
        </w:rPr>
        <w:t>https://doi.org/10.1093/elt/ccad056</w:t>
      </w:r>
    </w:p>
    <w:p w:rsidR="005D14AE" w:rsidRPr="00660CFA" w:rsidRDefault="00833F87" w:rsidP="009F0723">
      <w:pPr>
        <w:spacing w:line="240" w:lineRule="auto"/>
        <w:jc w:val="both"/>
        <w:rPr>
          <w:rFonts w:ascii="Times New Roman" w:hAnsi="Times New Roman" w:cs="Times New Roman"/>
        </w:rPr>
      </w:pPr>
      <w:proofErr w:type="spellStart"/>
      <w:r w:rsidRPr="00660CFA">
        <w:rPr>
          <w:rFonts w:ascii="Times New Roman" w:hAnsi="Times New Roman" w:cs="Times New Roman"/>
        </w:rPr>
        <w:t>Rogler</w:t>
      </w:r>
      <w:proofErr w:type="spellEnd"/>
      <w:r w:rsidRPr="00660CFA">
        <w:rPr>
          <w:rFonts w:ascii="Times New Roman" w:hAnsi="Times New Roman" w:cs="Times New Roman"/>
        </w:rPr>
        <w:t xml:space="preserve">, D. (2014). Assessment literacy: Building a base for better teaching and learning. </w:t>
      </w:r>
      <w:proofErr w:type="gramStart"/>
      <w:r w:rsidRPr="00660CFA">
        <w:rPr>
          <w:rFonts w:ascii="Times New Roman" w:hAnsi="Times New Roman" w:cs="Times New Roman"/>
          <w:i/>
          <w:iCs/>
        </w:rPr>
        <w:t>English Teaching Forum, 52</w:t>
      </w:r>
      <w:r w:rsidRPr="00660CFA">
        <w:rPr>
          <w:rFonts w:ascii="Times New Roman" w:hAnsi="Times New Roman" w:cs="Times New Roman"/>
        </w:rPr>
        <w:t>(3), 2–13.</w:t>
      </w:r>
      <w:proofErr w:type="gramEnd"/>
      <w:r w:rsidRPr="00660CFA">
        <w:rPr>
          <w:rFonts w:ascii="Times New Roman" w:hAnsi="Times New Roman" w:cs="Times New Roman"/>
        </w:rPr>
        <w:t xml:space="preserve"> </w:t>
      </w:r>
    </w:p>
    <w:p w:rsidR="005D14AE" w:rsidRPr="00660CFA" w:rsidRDefault="00833F87" w:rsidP="009F0723">
      <w:pPr>
        <w:spacing w:line="240" w:lineRule="auto"/>
        <w:jc w:val="both"/>
        <w:rPr>
          <w:rFonts w:ascii="Times New Roman" w:hAnsi="Times New Roman" w:cs="Times New Roman"/>
          <w:i/>
          <w:iCs/>
        </w:rPr>
      </w:pPr>
      <w:proofErr w:type="spellStart"/>
      <w:proofErr w:type="gramStart"/>
      <w:r w:rsidRPr="00660CFA">
        <w:rPr>
          <w:rFonts w:ascii="Times New Roman" w:hAnsi="Times New Roman" w:cs="Times New Roman"/>
        </w:rPr>
        <w:t>Shutaleva</w:t>
      </w:r>
      <w:proofErr w:type="spellEnd"/>
      <w:r w:rsidRPr="00660CFA">
        <w:rPr>
          <w:rFonts w:ascii="Times New Roman" w:hAnsi="Times New Roman" w:cs="Times New Roman"/>
        </w:rPr>
        <w:t xml:space="preserve">, A., </w:t>
      </w:r>
      <w:proofErr w:type="spellStart"/>
      <w:r w:rsidRPr="00660CFA">
        <w:rPr>
          <w:rFonts w:ascii="Times New Roman" w:hAnsi="Times New Roman" w:cs="Times New Roman"/>
        </w:rPr>
        <w:t>Nikonova</w:t>
      </w:r>
      <w:proofErr w:type="spellEnd"/>
      <w:r w:rsidRPr="00660CFA">
        <w:rPr>
          <w:rFonts w:ascii="Times New Roman" w:hAnsi="Times New Roman" w:cs="Times New Roman"/>
        </w:rPr>
        <w:t xml:space="preserve">, Z., </w:t>
      </w:r>
      <w:proofErr w:type="spellStart"/>
      <w:r w:rsidRPr="00660CFA">
        <w:rPr>
          <w:rFonts w:ascii="Times New Roman" w:hAnsi="Times New Roman" w:cs="Times New Roman"/>
        </w:rPr>
        <w:t>Savchenko</w:t>
      </w:r>
      <w:proofErr w:type="spellEnd"/>
      <w:r w:rsidRPr="00660CFA">
        <w:rPr>
          <w:rFonts w:ascii="Times New Roman" w:hAnsi="Times New Roman" w:cs="Times New Roman"/>
        </w:rPr>
        <w:t xml:space="preserve">, I., &amp; </w:t>
      </w:r>
      <w:proofErr w:type="spellStart"/>
      <w:r w:rsidRPr="00660CFA">
        <w:rPr>
          <w:rFonts w:ascii="Times New Roman" w:hAnsi="Times New Roman" w:cs="Times New Roman"/>
        </w:rPr>
        <w:t>Martyushev</w:t>
      </w:r>
      <w:proofErr w:type="spellEnd"/>
      <w:r w:rsidRPr="00660CFA">
        <w:rPr>
          <w:rFonts w:ascii="Times New Roman" w:hAnsi="Times New Roman" w:cs="Times New Roman"/>
        </w:rPr>
        <w:t>, N. (2020).</w:t>
      </w:r>
      <w:proofErr w:type="gramEnd"/>
      <w:r w:rsidRPr="00660CFA">
        <w:rPr>
          <w:rFonts w:ascii="Times New Roman" w:hAnsi="Times New Roman" w:cs="Times New Roman"/>
        </w:rPr>
        <w:t xml:space="preserve"> </w:t>
      </w:r>
      <w:proofErr w:type="gramStart"/>
      <w:r w:rsidRPr="00660CFA">
        <w:rPr>
          <w:rFonts w:ascii="Times New Roman" w:hAnsi="Times New Roman" w:cs="Times New Roman"/>
        </w:rPr>
        <w:t>Environmental education for sustainable development in Russia.</w:t>
      </w:r>
      <w:proofErr w:type="gramEnd"/>
      <w:r w:rsidRPr="00660CFA">
        <w:rPr>
          <w:rFonts w:ascii="Times New Roman" w:hAnsi="Times New Roman" w:cs="Times New Roman"/>
        </w:rPr>
        <w:t xml:space="preserve"> </w:t>
      </w:r>
      <w:proofErr w:type="gramStart"/>
      <w:r w:rsidRPr="00660CFA">
        <w:rPr>
          <w:rFonts w:ascii="Times New Roman" w:hAnsi="Times New Roman" w:cs="Times New Roman"/>
          <w:i/>
          <w:iCs/>
        </w:rPr>
        <w:t>Sustainability, 12</w:t>
      </w:r>
      <w:r w:rsidRPr="00660CFA">
        <w:rPr>
          <w:rFonts w:ascii="Times New Roman" w:hAnsi="Times New Roman" w:cs="Times New Roman"/>
        </w:rPr>
        <w:t>(18), 7742.</w:t>
      </w:r>
      <w:proofErr w:type="gramEnd"/>
      <w:r w:rsidRPr="00660CFA">
        <w:rPr>
          <w:rFonts w:ascii="Times New Roman" w:hAnsi="Times New Roman" w:cs="Times New Roman"/>
        </w:rPr>
        <w:t xml:space="preserve"> </w:t>
      </w:r>
      <w:r w:rsidRPr="00660CFA">
        <w:rPr>
          <w:rFonts w:ascii="Times New Roman" w:hAnsi="Times New Roman" w:cs="Times New Roman"/>
          <w:i/>
          <w:iCs/>
        </w:rPr>
        <w:t>https://doi.org/10.3390/su12187742</w:t>
      </w:r>
    </w:p>
    <w:p w:rsidR="005D14AE" w:rsidRPr="00660CFA" w:rsidRDefault="00833F87" w:rsidP="009F0723">
      <w:pPr>
        <w:spacing w:line="240" w:lineRule="auto"/>
        <w:jc w:val="both"/>
        <w:rPr>
          <w:rFonts w:ascii="Times New Roman" w:hAnsi="Times New Roman" w:cs="Times New Roman"/>
        </w:rPr>
      </w:pPr>
      <w:proofErr w:type="spellStart"/>
      <w:proofErr w:type="gramStart"/>
      <w:r w:rsidRPr="00660CFA">
        <w:rPr>
          <w:rFonts w:ascii="Times New Roman" w:hAnsi="Times New Roman" w:cs="Times New Roman"/>
        </w:rPr>
        <w:t>Tali</w:t>
      </w:r>
      <w:proofErr w:type="spellEnd"/>
      <w:r w:rsidRPr="00660CFA">
        <w:rPr>
          <w:rFonts w:ascii="Times New Roman" w:hAnsi="Times New Roman" w:cs="Times New Roman"/>
        </w:rPr>
        <w:t>, T. (2005).</w:t>
      </w:r>
      <w:proofErr w:type="gramEnd"/>
      <w:r w:rsidRPr="00660CFA">
        <w:rPr>
          <w:rFonts w:ascii="Times New Roman" w:hAnsi="Times New Roman" w:cs="Times New Roman"/>
        </w:rPr>
        <w:t xml:space="preserve"> </w:t>
      </w:r>
      <w:proofErr w:type="gramStart"/>
      <w:r w:rsidRPr="00660CFA">
        <w:rPr>
          <w:rFonts w:ascii="Times New Roman" w:hAnsi="Times New Roman" w:cs="Times New Roman"/>
        </w:rPr>
        <w:t>Implementing multiple assessment modes in an interdisciplinary environmental education course.</w:t>
      </w:r>
      <w:proofErr w:type="gramEnd"/>
      <w:r w:rsidRPr="00660CFA">
        <w:rPr>
          <w:rFonts w:ascii="Times New Roman" w:hAnsi="Times New Roman" w:cs="Times New Roman"/>
        </w:rPr>
        <w:t xml:space="preserve"> </w:t>
      </w:r>
      <w:r w:rsidRPr="00660CFA">
        <w:rPr>
          <w:rFonts w:ascii="Times New Roman" w:hAnsi="Times New Roman" w:cs="Times New Roman"/>
          <w:i/>
          <w:iCs/>
        </w:rPr>
        <w:t>Environmental Education Research, 11</w:t>
      </w:r>
      <w:r w:rsidRPr="00660CFA">
        <w:rPr>
          <w:rFonts w:ascii="Times New Roman" w:hAnsi="Times New Roman" w:cs="Times New Roman"/>
        </w:rPr>
        <w:t xml:space="preserve">(5), 575–601. </w:t>
      </w:r>
      <w:r w:rsidRPr="00660CFA">
        <w:rPr>
          <w:rFonts w:ascii="Times New Roman" w:hAnsi="Times New Roman" w:cs="Times New Roman"/>
          <w:i/>
          <w:iCs/>
        </w:rPr>
        <w:t>https://doi.org/10.1080/13504620500169767</w:t>
      </w:r>
    </w:p>
    <w:p w:rsidR="005D14AE" w:rsidRPr="00660CFA" w:rsidRDefault="00833F87" w:rsidP="009F0723">
      <w:pPr>
        <w:spacing w:line="240" w:lineRule="auto"/>
        <w:jc w:val="both"/>
        <w:rPr>
          <w:rFonts w:ascii="Times New Roman" w:hAnsi="Times New Roman" w:cs="Times New Roman"/>
          <w:i/>
          <w:iCs/>
        </w:rPr>
      </w:pPr>
      <w:proofErr w:type="spellStart"/>
      <w:proofErr w:type="gramStart"/>
      <w:r w:rsidRPr="00660CFA">
        <w:rPr>
          <w:rFonts w:ascii="Times New Roman" w:hAnsi="Times New Roman" w:cs="Times New Roman"/>
        </w:rPr>
        <w:t>Zolfaghari</w:t>
      </w:r>
      <w:proofErr w:type="spellEnd"/>
      <w:r w:rsidRPr="00660CFA">
        <w:rPr>
          <w:rFonts w:ascii="Times New Roman" w:hAnsi="Times New Roman" w:cs="Times New Roman"/>
        </w:rPr>
        <w:t xml:space="preserve">, F., &amp; </w:t>
      </w:r>
      <w:proofErr w:type="spellStart"/>
      <w:r w:rsidRPr="00660CFA">
        <w:rPr>
          <w:rFonts w:ascii="Times New Roman" w:hAnsi="Times New Roman" w:cs="Times New Roman"/>
        </w:rPr>
        <w:t>Ahmadi</w:t>
      </w:r>
      <w:proofErr w:type="spellEnd"/>
      <w:r w:rsidRPr="00660CFA">
        <w:rPr>
          <w:rFonts w:ascii="Times New Roman" w:hAnsi="Times New Roman" w:cs="Times New Roman"/>
        </w:rPr>
        <w:t>, A. (2016).</w:t>
      </w:r>
      <w:proofErr w:type="gramEnd"/>
      <w:r w:rsidRPr="00660CFA">
        <w:rPr>
          <w:rFonts w:ascii="Times New Roman" w:hAnsi="Times New Roman" w:cs="Times New Roman"/>
        </w:rPr>
        <w:t xml:space="preserve"> </w:t>
      </w:r>
      <w:proofErr w:type="gramStart"/>
      <w:r w:rsidRPr="00660CFA">
        <w:rPr>
          <w:rFonts w:ascii="Times New Roman" w:hAnsi="Times New Roman" w:cs="Times New Roman"/>
        </w:rPr>
        <w:t>Assessment literacy components across subject matters.</w:t>
      </w:r>
      <w:proofErr w:type="gramEnd"/>
      <w:r w:rsidRPr="00660CFA">
        <w:rPr>
          <w:rFonts w:ascii="Times New Roman" w:hAnsi="Times New Roman" w:cs="Times New Roman"/>
        </w:rPr>
        <w:t xml:space="preserve"> </w:t>
      </w:r>
      <w:proofErr w:type="gramStart"/>
      <w:r w:rsidRPr="00660CFA">
        <w:rPr>
          <w:rFonts w:ascii="Times New Roman" w:hAnsi="Times New Roman" w:cs="Times New Roman"/>
          <w:i/>
          <w:iCs/>
        </w:rPr>
        <w:t>Cogent Education, 3</w:t>
      </w:r>
      <w:r w:rsidRPr="00660CFA">
        <w:rPr>
          <w:rFonts w:ascii="Times New Roman" w:hAnsi="Times New Roman" w:cs="Times New Roman"/>
        </w:rPr>
        <w:t>(1), 1252561.</w:t>
      </w:r>
      <w:proofErr w:type="gramEnd"/>
      <w:r w:rsidRPr="00660CFA">
        <w:rPr>
          <w:rFonts w:ascii="Times New Roman" w:hAnsi="Times New Roman" w:cs="Times New Roman"/>
        </w:rPr>
        <w:t xml:space="preserve"> </w:t>
      </w:r>
      <w:r w:rsidRPr="00660CFA">
        <w:rPr>
          <w:rFonts w:ascii="Times New Roman" w:hAnsi="Times New Roman" w:cs="Times New Roman"/>
          <w:i/>
          <w:iCs/>
        </w:rPr>
        <w:t>https://doi.org/10.1080/2331186X.2016.1252561</w:t>
      </w:r>
    </w:p>
    <w:p w:rsidR="005D14AE" w:rsidRPr="00660CFA" w:rsidRDefault="005D14AE" w:rsidP="009F0723">
      <w:pPr>
        <w:spacing w:line="240" w:lineRule="auto"/>
        <w:jc w:val="both"/>
        <w:rPr>
          <w:rFonts w:ascii="Times New Roman" w:hAnsi="Times New Roman" w:cs="Times New Roman"/>
        </w:rPr>
      </w:pPr>
    </w:p>
    <w:p w:rsidR="005D14AE" w:rsidRPr="00660CFA" w:rsidRDefault="005D14AE" w:rsidP="009F0723">
      <w:pPr>
        <w:spacing w:line="240" w:lineRule="auto"/>
        <w:jc w:val="both"/>
        <w:rPr>
          <w:rFonts w:ascii="Times New Roman" w:hAnsi="Times New Roman" w:cs="Times New Roman"/>
        </w:rPr>
      </w:pPr>
    </w:p>
    <w:p w:rsidR="005D14AE" w:rsidRPr="00660CFA" w:rsidRDefault="005D14AE" w:rsidP="009F0723">
      <w:pPr>
        <w:spacing w:line="240" w:lineRule="auto"/>
        <w:jc w:val="both"/>
        <w:rPr>
          <w:rFonts w:ascii="Times New Roman" w:hAnsi="Times New Roman" w:cs="Times New Roman"/>
        </w:rPr>
      </w:pPr>
    </w:p>
    <w:p w:rsidR="005D14AE" w:rsidRPr="00660CFA" w:rsidRDefault="005D14AE" w:rsidP="009F0723">
      <w:pPr>
        <w:spacing w:line="240" w:lineRule="auto"/>
        <w:jc w:val="both"/>
        <w:rPr>
          <w:rFonts w:ascii="Times New Roman" w:hAnsi="Times New Roman" w:cs="Times New Roman"/>
        </w:rPr>
      </w:pPr>
    </w:p>
    <w:p w:rsidR="005D14AE" w:rsidRPr="00660CFA" w:rsidRDefault="00833F87" w:rsidP="009F0723">
      <w:pPr>
        <w:spacing w:line="240" w:lineRule="auto"/>
        <w:jc w:val="both"/>
        <w:rPr>
          <w:rFonts w:ascii="Times New Roman" w:hAnsi="Times New Roman" w:cs="Times New Roman"/>
          <w:b/>
        </w:rPr>
      </w:pPr>
      <w:r w:rsidRPr="00660CFA">
        <w:rPr>
          <w:rFonts w:ascii="Times New Roman" w:hAnsi="Times New Roman" w:cs="Times New Roman"/>
          <w:b/>
        </w:rPr>
        <w:t>Questionnaire</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Demographic details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1. Teaching experience in years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a. 0-5 years</w:t>
      </w:r>
    </w:p>
    <w:p w:rsidR="005D14AE" w:rsidRPr="00660CFA" w:rsidRDefault="00833F87" w:rsidP="009F0723">
      <w:pPr>
        <w:spacing w:line="240" w:lineRule="auto"/>
        <w:jc w:val="both"/>
        <w:rPr>
          <w:rFonts w:ascii="Times New Roman" w:hAnsi="Times New Roman" w:cs="Times New Roman"/>
        </w:rPr>
      </w:pPr>
      <w:proofErr w:type="gramStart"/>
      <w:r w:rsidRPr="00660CFA">
        <w:rPr>
          <w:rFonts w:ascii="Times New Roman" w:hAnsi="Times New Roman" w:cs="Times New Roman"/>
        </w:rPr>
        <w:t>b. 5</w:t>
      </w:r>
      <w:proofErr w:type="gramEnd"/>
      <w:r w:rsidRPr="00660CFA">
        <w:rPr>
          <w:rFonts w:ascii="Times New Roman" w:hAnsi="Times New Roman" w:cs="Times New Roman"/>
        </w:rPr>
        <w:t>-10 years</w:t>
      </w:r>
    </w:p>
    <w:p w:rsidR="005D14AE" w:rsidRPr="00660CFA" w:rsidRDefault="00833F87" w:rsidP="009F0723">
      <w:pPr>
        <w:spacing w:line="240" w:lineRule="auto"/>
        <w:jc w:val="both"/>
        <w:rPr>
          <w:rFonts w:ascii="Times New Roman" w:hAnsi="Times New Roman" w:cs="Times New Roman"/>
        </w:rPr>
      </w:pPr>
      <w:proofErr w:type="gramStart"/>
      <w:r w:rsidRPr="00660CFA">
        <w:rPr>
          <w:rFonts w:ascii="Times New Roman" w:hAnsi="Times New Roman" w:cs="Times New Roman"/>
        </w:rPr>
        <w:t>c. 10</w:t>
      </w:r>
      <w:proofErr w:type="gramEnd"/>
      <w:r w:rsidRPr="00660CFA">
        <w:rPr>
          <w:rFonts w:ascii="Times New Roman" w:hAnsi="Times New Roman" w:cs="Times New Roman"/>
        </w:rPr>
        <w:t>-15 years</w:t>
      </w:r>
    </w:p>
    <w:p w:rsidR="005D14AE" w:rsidRPr="00660CFA" w:rsidRDefault="00833F87" w:rsidP="009F0723">
      <w:pPr>
        <w:spacing w:line="240" w:lineRule="auto"/>
        <w:jc w:val="both"/>
        <w:rPr>
          <w:rFonts w:ascii="Times New Roman" w:hAnsi="Times New Roman" w:cs="Times New Roman"/>
        </w:rPr>
      </w:pPr>
      <w:proofErr w:type="gramStart"/>
      <w:r w:rsidRPr="00660CFA">
        <w:rPr>
          <w:rFonts w:ascii="Times New Roman" w:hAnsi="Times New Roman" w:cs="Times New Roman"/>
        </w:rPr>
        <w:t>d</w:t>
      </w:r>
      <w:proofErr w:type="gramEnd"/>
      <w:r w:rsidRPr="00660CFA">
        <w:rPr>
          <w:rFonts w:ascii="Times New Roman" w:hAnsi="Times New Roman" w:cs="Times New Roman"/>
        </w:rPr>
        <w:t>. 15 years and above</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2. Have you participated in interdisciplinary programmes that involve collaboration </w:t>
      </w:r>
      <w:proofErr w:type="gramStart"/>
      <w:r w:rsidRPr="00660CFA">
        <w:rPr>
          <w:rFonts w:ascii="Times New Roman" w:hAnsi="Times New Roman" w:cs="Times New Roman"/>
        </w:rPr>
        <w:t>between</w:t>
      </w:r>
      <w:proofErr w:type="gramEnd"/>
    </w:p>
    <w:p w:rsidR="005D14AE" w:rsidRPr="00660CFA" w:rsidRDefault="00833F87" w:rsidP="009F0723">
      <w:pPr>
        <w:spacing w:line="240" w:lineRule="auto"/>
        <w:jc w:val="both"/>
        <w:rPr>
          <w:rFonts w:ascii="Times New Roman" w:hAnsi="Times New Roman" w:cs="Times New Roman"/>
        </w:rPr>
      </w:pPr>
      <w:proofErr w:type="gramStart"/>
      <w:r w:rsidRPr="00660CFA">
        <w:rPr>
          <w:rFonts w:ascii="Times New Roman" w:hAnsi="Times New Roman" w:cs="Times New Roman"/>
        </w:rPr>
        <w:t>English language and environmental science classes?</w:t>
      </w:r>
      <w:proofErr w:type="gramEnd"/>
      <w:r w:rsidRPr="00660CFA">
        <w:rPr>
          <w:rFonts w:ascii="Times New Roman" w:hAnsi="Times New Roman" w:cs="Times New Roman"/>
        </w:rPr>
        <w:t xml:space="preserve"> (Yes/No)</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3. If yes, what were the main focus areas of the training?</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a. Assessment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b. Pedagogical strategies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c. Material development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d. Material evaluation</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4. Has the training covered any of the following aspects of assessment?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a. Summative Assessment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b. Formative assessment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c. Assessment strategies/techniques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d. Diagnostic assessment</w:t>
      </w:r>
    </w:p>
    <w:p w:rsidR="005D14AE" w:rsidRPr="00660CFA" w:rsidRDefault="005D14AE" w:rsidP="009F0723">
      <w:pPr>
        <w:spacing w:line="240" w:lineRule="auto"/>
        <w:jc w:val="both"/>
        <w:rPr>
          <w:rFonts w:ascii="Times New Roman" w:hAnsi="Times New Roman" w:cs="Times New Roman"/>
        </w:rPr>
      </w:pP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Awareness of assessment techniques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1. Which of the language skills are useful for effectively teaching </w:t>
      </w:r>
      <w:proofErr w:type="gramStart"/>
      <w:r w:rsidRPr="00660CFA">
        <w:rPr>
          <w:rFonts w:ascii="Times New Roman" w:hAnsi="Times New Roman" w:cs="Times New Roman"/>
        </w:rPr>
        <w:t>environmental</w:t>
      </w:r>
      <w:proofErr w:type="gramEnd"/>
    </w:p>
    <w:p w:rsidR="005D14AE" w:rsidRPr="00660CFA" w:rsidRDefault="00833F87" w:rsidP="009F0723">
      <w:pPr>
        <w:spacing w:line="240" w:lineRule="auto"/>
        <w:jc w:val="both"/>
        <w:rPr>
          <w:rFonts w:ascii="Times New Roman" w:hAnsi="Times New Roman" w:cs="Times New Roman"/>
        </w:rPr>
      </w:pPr>
      <w:proofErr w:type="gramStart"/>
      <w:r w:rsidRPr="00660CFA">
        <w:rPr>
          <w:rFonts w:ascii="Times New Roman" w:hAnsi="Times New Roman" w:cs="Times New Roman"/>
        </w:rPr>
        <w:t>education</w:t>
      </w:r>
      <w:proofErr w:type="gramEnd"/>
      <w:r w:rsidRPr="00660CFA">
        <w:rPr>
          <w:rFonts w:ascii="Times New Roman" w:hAnsi="Times New Roman" w:cs="Times New Roman"/>
        </w:rPr>
        <w: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a. Listening</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b. Speaking</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c. Reading</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d. Writing</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2. What skills do you think are essential to be assessed to ensure a </w:t>
      </w:r>
      <w:proofErr w:type="gramStart"/>
      <w:r w:rsidRPr="00660CFA">
        <w:rPr>
          <w:rFonts w:ascii="Times New Roman" w:hAnsi="Times New Roman" w:cs="Times New Roman"/>
        </w:rPr>
        <w:t>better</w:t>
      </w:r>
      <w:proofErr w:type="gramEnd"/>
    </w:p>
    <w:p w:rsidR="005D14AE" w:rsidRPr="00660CFA" w:rsidRDefault="00833F87" w:rsidP="009F0723">
      <w:pPr>
        <w:spacing w:line="240" w:lineRule="auto"/>
        <w:jc w:val="both"/>
        <w:rPr>
          <w:rFonts w:ascii="Times New Roman" w:hAnsi="Times New Roman" w:cs="Times New Roman"/>
        </w:rPr>
      </w:pPr>
      <w:proofErr w:type="gramStart"/>
      <w:r w:rsidRPr="00660CFA">
        <w:rPr>
          <w:rFonts w:ascii="Times New Roman" w:hAnsi="Times New Roman" w:cs="Times New Roman"/>
        </w:rPr>
        <w:t>understanding</w:t>
      </w:r>
      <w:proofErr w:type="gramEnd"/>
      <w:r w:rsidRPr="00660CFA">
        <w:rPr>
          <w:rFonts w:ascii="Times New Roman" w:hAnsi="Times New Roman" w:cs="Times New Roman"/>
        </w:rPr>
        <w:t xml:space="preserve"> of the concepts related to environmental education?</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a. Critical thinking skills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lastRenderedPageBreak/>
        <w:t>b. Problem-solving skills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c. Interpretation skills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d. Analytical skills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e. Communication skills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f. Socio-emotional skills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 xml:space="preserve">3. What are the assessment techniques that you are confident in using with </w:t>
      </w:r>
      <w:proofErr w:type="gramStart"/>
      <w:r w:rsidRPr="00660CFA">
        <w:rPr>
          <w:rFonts w:ascii="Times New Roman" w:hAnsi="Times New Roman" w:cs="Times New Roman"/>
        </w:rPr>
        <w:t>students</w:t>
      </w:r>
      <w:proofErr w:type="gramEnd"/>
    </w:p>
    <w:p w:rsidR="005D14AE" w:rsidRPr="00660CFA" w:rsidRDefault="00833F87" w:rsidP="009F0723">
      <w:pPr>
        <w:spacing w:line="240" w:lineRule="auto"/>
        <w:jc w:val="both"/>
        <w:rPr>
          <w:rFonts w:ascii="Times New Roman" w:hAnsi="Times New Roman" w:cs="Times New Roman"/>
        </w:rPr>
      </w:pPr>
      <w:proofErr w:type="gramStart"/>
      <w:r w:rsidRPr="00660CFA">
        <w:rPr>
          <w:rFonts w:ascii="Times New Roman" w:hAnsi="Times New Roman" w:cs="Times New Roman"/>
        </w:rPr>
        <w:t>in</w:t>
      </w:r>
      <w:proofErr w:type="gramEnd"/>
      <w:r w:rsidRPr="00660CFA">
        <w:rPr>
          <w:rFonts w:ascii="Times New Roman" w:hAnsi="Times New Roman" w:cs="Times New Roman"/>
        </w:rPr>
        <w:t xml:space="preserve"> the classroom?</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a. Question-based assessment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b. Case studies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c. Debates and discussions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d. Self-and peer-assessment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e. Project-based assessments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f. Skill-based assessment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4. In which assessment techniques do you require training?</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a. Question-based assessment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b. Case studies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c. Debates and discussions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d. Self-and peer-assessment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e. Project-based assessments</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f. Skill-based assessment</w:t>
      </w:r>
    </w:p>
    <w:p w:rsidR="005D14AE" w:rsidRPr="00660CFA" w:rsidRDefault="00833F87" w:rsidP="009F0723">
      <w:pPr>
        <w:spacing w:line="240" w:lineRule="auto"/>
        <w:jc w:val="both"/>
        <w:rPr>
          <w:rFonts w:ascii="Times New Roman" w:hAnsi="Times New Roman" w:cs="Times New Roman"/>
        </w:rPr>
      </w:pPr>
      <w:r w:rsidRPr="00660CFA">
        <w:rPr>
          <w:rFonts w:ascii="Times New Roman" w:hAnsi="Times New Roman" w:cs="Times New Roman"/>
        </w:rPr>
        <w:t>g. Specify any other</w:t>
      </w:r>
    </w:p>
    <w:p w:rsidR="005D14AE" w:rsidRPr="00660CFA" w:rsidRDefault="005D14AE" w:rsidP="009F0723">
      <w:pPr>
        <w:spacing w:line="240" w:lineRule="auto"/>
        <w:jc w:val="both"/>
        <w:rPr>
          <w:rFonts w:ascii="Times New Roman" w:hAnsi="Times New Roman" w:cs="Times New Roman"/>
        </w:rPr>
      </w:pPr>
    </w:p>
    <w:p w:rsidR="005D14AE" w:rsidRPr="00660CFA" w:rsidRDefault="005D14AE" w:rsidP="009F0723">
      <w:pPr>
        <w:spacing w:line="240" w:lineRule="auto"/>
        <w:jc w:val="both"/>
        <w:rPr>
          <w:rFonts w:ascii="Times New Roman" w:hAnsi="Times New Roman" w:cs="Times New Roman"/>
        </w:rPr>
      </w:pPr>
    </w:p>
    <w:sectPr w:rsidR="005D14AE" w:rsidRPr="00660CFA" w:rsidSect="00824A7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13C" w:rsidRDefault="00FD313C">
      <w:pPr>
        <w:spacing w:line="240" w:lineRule="auto"/>
      </w:pPr>
      <w:r>
        <w:separator/>
      </w:r>
    </w:p>
  </w:endnote>
  <w:endnote w:type="continuationSeparator" w:id="0">
    <w:p w:rsidR="00FD313C" w:rsidRDefault="00FD31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13C" w:rsidRDefault="00FD313C">
      <w:pPr>
        <w:spacing w:after="0"/>
      </w:pPr>
      <w:r>
        <w:separator/>
      </w:r>
    </w:p>
  </w:footnote>
  <w:footnote w:type="continuationSeparator" w:id="0">
    <w:p w:rsidR="00FD313C" w:rsidRDefault="00FD313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40D79"/>
    <w:multiLevelType w:val="multilevel"/>
    <w:tmpl w:val="50840D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4098"/>
  </w:hdrShapeDefaults>
  <w:footnotePr>
    <w:footnote w:id="-1"/>
    <w:footnote w:id="0"/>
  </w:footnotePr>
  <w:endnotePr>
    <w:endnote w:id="-1"/>
    <w:endnote w:id="0"/>
  </w:endnotePr>
  <w:compat>
    <w:doNotExpandShiftReturn/>
    <w:useFELayout/>
  </w:compat>
  <w:rsids>
    <w:rsidRoot w:val="00BD177D"/>
    <w:rsid w:val="00011498"/>
    <w:rsid w:val="00013148"/>
    <w:rsid w:val="00047613"/>
    <w:rsid w:val="00052ADA"/>
    <w:rsid w:val="00052F24"/>
    <w:rsid w:val="000552F5"/>
    <w:rsid w:val="000621C5"/>
    <w:rsid w:val="00065BB9"/>
    <w:rsid w:val="00067F48"/>
    <w:rsid w:val="0007598E"/>
    <w:rsid w:val="00080027"/>
    <w:rsid w:val="00085E1A"/>
    <w:rsid w:val="000B68DE"/>
    <w:rsid w:val="000B78A2"/>
    <w:rsid w:val="000C0690"/>
    <w:rsid w:val="000C0883"/>
    <w:rsid w:val="000C11E6"/>
    <w:rsid w:val="000C5673"/>
    <w:rsid w:val="000C5C37"/>
    <w:rsid w:val="000C660C"/>
    <w:rsid w:val="001172B0"/>
    <w:rsid w:val="00120211"/>
    <w:rsid w:val="001217BC"/>
    <w:rsid w:val="0013244A"/>
    <w:rsid w:val="00133283"/>
    <w:rsid w:val="00136FE1"/>
    <w:rsid w:val="001573F2"/>
    <w:rsid w:val="00167957"/>
    <w:rsid w:val="00180973"/>
    <w:rsid w:val="00180A84"/>
    <w:rsid w:val="00186C4E"/>
    <w:rsid w:val="00193F5E"/>
    <w:rsid w:val="00194C11"/>
    <w:rsid w:val="001A4F5D"/>
    <w:rsid w:val="001B08BA"/>
    <w:rsid w:val="001B66FA"/>
    <w:rsid w:val="001C24ED"/>
    <w:rsid w:val="001C3F5A"/>
    <w:rsid w:val="001D3E15"/>
    <w:rsid w:val="001D5DC2"/>
    <w:rsid w:val="002001C7"/>
    <w:rsid w:val="002057E8"/>
    <w:rsid w:val="00212D0E"/>
    <w:rsid w:val="00214F20"/>
    <w:rsid w:val="0021605B"/>
    <w:rsid w:val="002162CF"/>
    <w:rsid w:val="0022540D"/>
    <w:rsid w:val="00237B3E"/>
    <w:rsid w:val="002456B0"/>
    <w:rsid w:val="00263414"/>
    <w:rsid w:val="00272C57"/>
    <w:rsid w:val="00294385"/>
    <w:rsid w:val="002A2244"/>
    <w:rsid w:val="002C0BF8"/>
    <w:rsid w:val="002C4689"/>
    <w:rsid w:val="002C6442"/>
    <w:rsid w:val="002D1D8F"/>
    <w:rsid w:val="002D24C2"/>
    <w:rsid w:val="002D2E32"/>
    <w:rsid w:val="002D43E0"/>
    <w:rsid w:val="002D4EE8"/>
    <w:rsid w:val="002D5F40"/>
    <w:rsid w:val="002D7159"/>
    <w:rsid w:val="002E02A7"/>
    <w:rsid w:val="002E4953"/>
    <w:rsid w:val="002F5652"/>
    <w:rsid w:val="00300A14"/>
    <w:rsid w:val="003050D3"/>
    <w:rsid w:val="0031043D"/>
    <w:rsid w:val="003113B7"/>
    <w:rsid w:val="00330C53"/>
    <w:rsid w:val="00332CE1"/>
    <w:rsid w:val="00341298"/>
    <w:rsid w:val="00343679"/>
    <w:rsid w:val="0035333E"/>
    <w:rsid w:val="00354932"/>
    <w:rsid w:val="00356294"/>
    <w:rsid w:val="003603DA"/>
    <w:rsid w:val="00361D6A"/>
    <w:rsid w:val="003700C7"/>
    <w:rsid w:val="003748C4"/>
    <w:rsid w:val="00381246"/>
    <w:rsid w:val="00385650"/>
    <w:rsid w:val="00394248"/>
    <w:rsid w:val="003A1882"/>
    <w:rsid w:val="003B29EC"/>
    <w:rsid w:val="003B335A"/>
    <w:rsid w:val="003B6F8D"/>
    <w:rsid w:val="003B7001"/>
    <w:rsid w:val="003C18E3"/>
    <w:rsid w:val="003C2D3A"/>
    <w:rsid w:val="003C7B4E"/>
    <w:rsid w:val="003D0784"/>
    <w:rsid w:val="003D3645"/>
    <w:rsid w:val="003D7084"/>
    <w:rsid w:val="003F31C9"/>
    <w:rsid w:val="003F463E"/>
    <w:rsid w:val="004370E4"/>
    <w:rsid w:val="00437D49"/>
    <w:rsid w:val="0044797E"/>
    <w:rsid w:val="00455C0A"/>
    <w:rsid w:val="00465AD8"/>
    <w:rsid w:val="00467E79"/>
    <w:rsid w:val="00473275"/>
    <w:rsid w:val="0049155C"/>
    <w:rsid w:val="00492380"/>
    <w:rsid w:val="004A1B11"/>
    <w:rsid w:val="004A30A0"/>
    <w:rsid w:val="004C298C"/>
    <w:rsid w:val="004C3C85"/>
    <w:rsid w:val="004C4083"/>
    <w:rsid w:val="004E0A3D"/>
    <w:rsid w:val="004E1296"/>
    <w:rsid w:val="004E4D6E"/>
    <w:rsid w:val="004E5861"/>
    <w:rsid w:val="004F3B7A"/>
    <w:rsid w:val="004F55FA"/>
    <w:rsid w:val="00513047"/>
    <w:rsid w:val="00514FD8"/>
    <w:rsid w:val="00516C29"/>
    <w:rsid w:val="00524665"/>
    <w:rsid w:val="00543061"/>
    <w:rsid w:val="0055571C"/>
    <w:rsid w:val="00556CB3"/>
    <w:rsid w:val="00556F45"/>
    <w:rsid w:val="00571A79"/>
    <w:rsid w:val="00574895"/>
    <w:rsid w:val="00576ADB"/>
    <w:rsid w:val="00582965"/>
    <w:rsid w:val="00583359"/>
    <w:rsid w:val="00595BD1"/>
    <w:rsid w:val="005A0DE8"/>
    <w:rsid w:val="005A5481"/>
    <w:rsid w:val="005B5ED8"/>
    <w:rsid w:val="005C0F78"/>
    <w:rsid w:val="005D14AE"/>
    <w:rsid w:val="005F59D2"/>
    <w:rsid w:val="006010D7"/>
    <w:rsid w:val="006014BA"/>
    <w:rsid w:val="00613B30"/>
    <w:rsid w:val="00623113"/>
    <w:rsid w:val="006240E7"/>
    <w:rsid w:val="00627674"/>
    <w:rsid w:val="006318AA"/>
    <w:rsid w:val="006400DC"/>
    <w:rsid w:val="00644823"/>
    <w:rsid w:val="006609F1"/>
    <w:rsid w:val="00660CFA"/>
    <w:rsid w:val="006615ED"/>
    <w:rsid w:val="00662CB1"/>
    <w:rsid w:val="00667BB0"/>
    <w:rsid w:val="006704B0"/>
    <w:rsid w:val="00671D70"/>
    <w:rsid w:val="00692AA3"/>
    <w:rsid w:val="006A6EAD"/>
    <w:rsid w:val="006C3B28"/>
    <w:rsid w:val="006D02A5"/>
    <w:rsid w:val="006D1086"/>
    <w:rsid w:val="006D1BB8"/>
    <w:rsid w:val="006D2D2D"/>
    <w:rsid w:val="006D2EA1"/>
    <w:rsid w:val="006E4534"/>
    <w:rsid w:val="00704054"/>
    <w:rsid w:val="00706A36"/>
    <w:rsid w:val="00713B53"/>
    <w:rsid w:val="007470E4"/>
    <w:rsid w:val="007644FF"/>
    <w:rsid w:val="00772487"/>
    <w:rsid w:val="0077363B"/>
    <w:rsid w:val="00777F34"/>
    <w:rsid w:val="00782549"/>
    <w:rsid w:val="00782D45"/>
    <w:rsid w:val="00794080"/>
    <w:rsid w:val="007A3FC9"/>
    <w:rsid w:val="007A6D46"/>
    <w:rsid w:val="007B70E2"/>
    <w:rsid w:val="007B73CE"/>
    <w:rsid w:val="007C204C"/>
    <w:rsid w:val="007D1A75"/>
    <w:rsid w:val="007D592E"/>
    <w:rsid w:val="007E4480"/>
    <w:rsid w:val="007E756E"/>
    <w:rsid w:val="007F0FDA"/>
    <w:rsid w:val="007F59E8"/>
    <w:rsid w:val="007F6491"/>
    <w:rsid w:val="008014E1"/>
    <w:rsid w:val="008074EB"/>
    <w:rsid w:val="0081185C"/>
    <w:rsid w:val="00820E71"/>
    <w:rsid w:val="00823069"/>
    <w:rsid w:val="00824A79"/>
    <w:rsid w:val="00833B37"/>
    <w:rsid w:val="00833F87"/>
    <w:rsid w:val="00834D38"/>
    <w:rsid w:val="00846273"/>
    <w:rsid w:val="0085106A"/>
    <w:rsid w:val="008524EE"/>
    <w:rsid w:val="00852CD4"/>
    <w:rsid w:val="008576CF"/>
    <w:rsid w:val="00860699"/>
    <w:rsid w:val="00860CC0"/>
    <w:rsid w:val="00866C8D"/>
    <w:rsid w:val="00871E4B"/>
    <w:rsid w:val="0087283B"/>
    <w:rsid w:val="0087581F"/>
    <w:rsid w:val="00881A8A"/>
    <w:rsid w:val="00881B68"/>
    <w:rsid w:val="00887D4D"/>
    <w:rsid w:val="008937DC"/>
    <w:rsid w:val="008A3173"/>
    <w:rsid w:val="008C43B5"/>
    <w:rsid w:val="008D6FAD"/>
    <w:rsid w:val="008E0507"/>
    <w:rsid w:val="008E5C98"/>
    <w:rsid w:val="008E65E8"/>
    <w:rsid w:val="008F14D8"/>
    <w:rsid w:val="008F249D"/>
    <w:rsid w:val="008F4C0B"/>
    <w:rsid w:val="00905874"/>
    <w:rsid w:val="009125F5"/>
    <w:rsid w:val="00925543"/>
    <w:rsid w:val="009275AF"/>
    <w:rsid w:val="00931D6D"/>
    <w:rsid w:val="00932698"/>
    <w:rsid w:val="009373E6"/>
    <w:rsid w:val="00943712"/>
    <w:rsid w:val="00947FF0"/>
    <w:rsid w:val="00970875"/>
    <w:rsid w:val="00972FC9"/>
    <w:rsid w:val="00975241"/>
    <w:rsid w:val="009771AD"/>
    <w:rsid w:val="00980485"/>
    <w:rsid w:val="00981896"/>
    <w:rsid w:val="00990F9D"/>
    <w:rsid w:val="00997789"/>
    <w:rsid w:val="009A4035"/>
    <w:rsid w:val="009C1623"/>
    <w:rsid w:val="009C248D"/>
    <w:rsid w:val="009C3A16"/>
    <w:rsid w:val="009D5B57"/>
    <w:rsid w:val="009E04C8"/>
    <w:rsid w:val="009E2ADA"/>
    <w:rsid w:val="009E6776"/>
    <w:rsid w:val="009F0661"/>
    <w:rsid w:val="009F0723"/>
    <w:rsid w:val="009F77B2"/>
    <w:rsid w:val="00A01BE7"/>
    <w:rsid w:val="00A0474A"/>
    <w:rsid w:val="00A05FD8"/>
    <w:rsid w:val="00A123DD"/>
    <w:rsid w:val="00A161BA"/>
    <w:rsid w:val="00A17560"/>
    <w:rsid w:val="00A2274B"/>
    <w:rsid w:val="00A23BDD"/>
    <w:rsid w:val="00A25466"/>
    <w:rsid w:val="00A4478B"/>
    <w:rsid w:val="00A46980"/>
    <w:rsid w:val="00A52510"/>
    <w:rsid w:val="00A54764"/>
    <w:rsid w:val="00A5667E"/>
    <w:rsid w:val="00A760CE"/>
    <w:rsid w:val="00A76D29"/>
    <w:rsid w:val="00A77E95"/>
    <w:rsid w:val="00A869C1"/>
    <w:rsid w:val="00A86B69"/>
    <w:rsid w:val="00A92703"/>
    <w:rsid w:val="00AB1699"/>
    <w:rsid w:val="00AB2D94"/>
    <w:rsid w:val="00AB3954"/>
    <w:rsid w:val="00AB48F7"/>
    <w:rsid w:val="00AB504C"/>
    <w:rsid w:val="00AC2590"/>
    <w:rsid w:val="00AC3185"/>
    <w:rsid w:val="00AD0B95"/>
    <w:rsid w:val="00AD6119"/>
    <w:rsid w:val="00AE0DFF"/>
    <w:rsid w:val="00AF7F33"/>
    <w:rsid w:val="00B02F01"/>
    <w:rsid w:val="00B12D64"/>
    <w:rsid w:val="00B144B0"/>
    <w:rsid w:val="00B17277"/>
    <w:rsid w:val="00B26CA6"/>
    <w:rsid w:val="00B27001"/>
    <w:rsid w:val="00B304AA"/>
    <w:rsid w:val="00B3758F"/>
    <w:rsid w:val="00B51922"/>
    <w:rsid w:val="00B52FDB"/>
    <w:rsid w:val="00B55199"/>
    <w:rsid w:val="00B57234"/>
    <w:rsid w:val="00B64A56"/>
    <w:rsid w:val="00B709FA"/>
    <w:rsid w:val="00B726FD"/>
    <w:rsid w:val="00B8393F"/>
    <w:rsid w:val="00B91E46"/>
    <w:rsid w:val="00BA013A"/>
    <w:rsid w:val="00BA03F4"/>
    <w:rsid w:val="00BA28FB"/>
    <w:rsid w:val="00BA362E"/>
    <w:rsid w:val="00BA6004"/>
    <w:rsid w:val="00BB7551"/>
    <w:rsid w:val="00BB78B1"/>
    <w:rsid w:val="00BC488D"/>
    <w:rsid w:val="00BC6CCC"/>
    <w:rsid w:val="00BD177D"/>
    <w:rsid w:val="00BD59E3"/>
    <w:rsid w:val="00BE577C"/>
    <w:rsid w:val="00BF1502"/>
    <w:rsid w:val="00C141B2"/>
    <w:rsid w:val="00C1562C"/>
    <w:rsid w:val="00C21ED8"/>
    <w:rsid w:val="00C250FF"/>
    <w:rsid w:val="00C25FF9"/>
    <w:rsid w:val="00C26E65"/>
    <w:rsid w:val="00C30A9D"/>
    <w:rsid w:val="00C4776A"/>
    <w:rsid w:val="00C53458"/>
    <w:rsid w:val="00C5488D"/>
    <w:rsid w:val="00C619F5"/>
    <w:rsid w:val="00C65036"/>
    <w:rsid w:val="00C730B5"/>
    <w:rsid w:val="00C80C68"/>
    <w:rsid w:val="00CA30E3"/>
    <w:rsid w:val="00CA72BB"/>
    <w:rsid w:val="00CA7C14"/>
    <w:rsid w:val="00CB031D"/>
    <w:rsid w:val="00CB166A"/>
    <w:rsid w:val="00CB3F95"/>
    <w:rsid w:val="00CB5A03"/>
    <w:rsid w:val="00CB6090"/>
    <w:rsid w:val="00CC4E9F"/>
    <w:rsid w:val="00CC5B7F"/>
    <w:rsid w:val="00CD1C05"/>
    <w:rsid w:val="00CD62AD"/>
    <w:rsid w:val="00CE08BE"/>
    <w:rsid w:val="00CE3C72"/>
    <w:rsid w:val="00CF144C"/>
    <w:rsid w:val="00CF23E2"/>
    <w:rsid w:val="00D011C0"/>
    <w:rsid w:val="00D02EFC"/>
    <w:rsid w:val="00D13F62"/>
    <w:rsid w:val="00D245E2"/>
    <w:rsid w:val="00D30646"/>
    <w:rsid w:val="00D32194"/>
    <w:rsid w:val="00D3520E"/>
    <w:rsid w:val="00D36118"/>
    <w:rsid w:val="00D37C0B"/>
    <w:rsid w:val="00D40BDF"/>
    <w:rsid w:val="00D41426"/>
    <w:rsid w:val="00D4340B"/>
    <w:rsid w:val="00D553C9"/>
    <w:rsid w:val="00D60A9D"/>
    <w:rsid w:val="00D6215C"/>
    <w:rsid w:val="00D633C3"/>
    <w:rsid w:val="00D76095"/>
    <w:rsid w:val="00D77777"/>
    <w:rsid w:val="00D80112"/>
    <w:rsid w:val="00D86FCF"/>
    <w:rsid w:val="00D93A98"/>
    <w:rsid w:val="00D949FA"/>
    <w:rsid w:val="00D96A63"/>
    <w:rsid w:val="00D970B2"/>
    <w:rsid w:val="00DB33F5"/>
    <w:rsid w:val="00DB7967"/>
    <w:rsid w:val="00DC03A2"/>
    <w:rsid w:val="00DC58DD"/>
    <w:rsid w:val="00DD50FC"/>
    <w:rsid w:val="00DD5C60"/>
    <w:rsid w:val="00DE31A8"/>
    <w:rsid w:val="00DE75E4"/>
    <w:rsid w:val="00E0671B"/>
    <w:rsid w:val="00E20B46"/>
    <w:rsid w:val="00E24CB6"/>
    <w:rsid w:val="00E300A9"/>
    <w:rsid w:val="00E4635E"/>
    <w:rsid w:val="00E5016C"/>
    <w:rsid w:val="00E560E7"/>
    <w:rsid w:val="00E56773"/>
    <w:rsid w:val="00E72FE5"/>
    <w:rsid w:val="00E82F63"/>
    <w:rsid w:val="00E876FF"/>
    <w:rsid w:val="00E945F2"/>
    <w:rsid w:val="00E97CCE"/>
    <w:rsid w:val="00EA0E13"/>
    <w:rsid w:val="00EA7D35"/>
    <w:rsid w:val="00EB64BE"/>
    <w:rsid w:val="00EC576F"/>
    <w:rsid w:val="00EC5885"/>
    <w:rsid w:val="00EC5FDE"/>
    <w:rsid w:val="00ED4FB5"/>
    <w:rsid w:val="00EE2CD9"/>
    <w:rsid w:val="00EF528F"/>
    <w:rsid w:val="00F034BC"/>
    <w:rsid w:val="00F04209"/>
    <w:rsid w:val="00F05873"/>
    <w:rsid w:val="00F1530A"/>
    <w:rsid w:val="00F22DBF"/>
    <w:rsid w:val="00F313EC"/>
    <w:rsid w:val="00F32FB5"/>
    <w:rsid w:val="00F353CB"/>
    <w:rsid w:val="00F36B65"/>
    <w:rsid w:val="00F71B44"/>
    <w:rsid w:val="00F77226"/>
    <w:rsid w:val="00F77266"/>
    <w:rsid w:val="00F876C2"/>
    <w:rsid w:val="00F92440"/>
    <w:rsid w:val="00F968D0"/>
    <w:rsid w:val="00FA3946"/>
    <w:rsid w:val="00FA66FD"/>
    <w:rsid w:val="00FB5BC8"/>
    <w:rsid w:val="00FC6AE7"/>
    <w:rsid w:val="00FD313C"/>
    <w:rsid w:val="00FD736A"/>
    <w:rsid w:val="00FE2DE3"/>
    <w:rsid w:val="08A65750"/>
    <w:rsid w:val="17C31108"/>
    <w:rsid w:val="23CB0688"/>
    <w:rsid w:val="34A9783B"/>
    <w:rsid w:val="360D65A7"/>
    <w:rsid w:val="633A74CA"/>
    <w:rsid w:val="68DA4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A79"/>
    <w:pPr>
      <w:spacing w:after="160" w:line="256" w:lineRule="auto"/>
    </w:pPr>
    <w:rPr>
      <w:rFonts w:asciiTheme="minorHAnsi" w:eastAsiaTheme="minorHAnsi" w:hAnsiTheme="minorHAnsi" w:cstheme="minorBidi"/>
      <w:sz w:val="22"/>
      <w:szCs w:val="22"/>
      <w:lang w:eastAsia="en-US"/>
    </w:rPr>
  </w:style>
  <w:style w:type="paragraph" w:styleId="Heading3">
    <w:name w:val="heading 3"/>
    <w:basedOn w:val="Normal"/>
    <w:link w:val="Heading3Char"/>
    <w:uiPriority w:val="9"/>
    <w:qFormat/>
    <w:rsid w:val="00824A7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824A7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4A7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4A79"/>
    <w:rPr>
      <w:color w:val="0000FF"/>
      <w:u w:val="single"/>
    </w:rPr>
  </w:style>
  <w:style w:type="paragraph" w:styleId="NormalWeb">
    <w:name w:val="Normal (Web)"/>
    <w:basedOn w:val="Normal"/>
    <w:uiPriority w:val="99"/>
    <w:unhideWhenUsed/>
    <w:rsid w:val="00824A7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24A79"/>
    <w:rPr>
      <w:b/>
      <w:bCs/>
    </w:rPr>
  </w:style>
  <w:style w:type="table" w:styleId="TableGrid">
    <w:name w:val="Table Grid"/>
    <w:basedOn w:val="TableNormal"/>
    <w:uiPriority w:val="39"/>
    <w:rsid w:val="00824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24A79"/>
    <w:rPr>
      <w:rFonts w:ascii="Times New Roman" w:eastAsia="Times New Roman" w:hAnsi="Times New Roman" w:cs="Times New Roman"/>
      <w:b/>
      <w:bCs/>
      <w:kern w:val="0"/>
      <w:sz w:val="27"/>
      <w:szCs w:val="27"/>
      <w:lang w:eastAsia="en-IN"/>
    </w:rPr>
  </w:style>
  <w:style w:type="character" w:customStyle="1" w:styleId="article-subtitle">
    <w:name w:val="article-subtitle"/>
    <w:basedOn w:val="DefaultParagraphFont"/>
    <w:rsid w:val="00824A79"/>
  </w:style>
  <w:style w:type="paragraph" w:customStyle="1" w:styleId="article-authors">
    <w:name w:val="article-authors"/>
    <w:basedOn w:val="Normal"/>
    <w:rsid w:val="00824A7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824A79"/>
    <w:rPr>
      <w:rFonts w:asciiTheme="majorHAnsi" w:eastAsiaTheme="majorEastAsia" w:hAnsiTheme="majorHAnsi" w:cstheme="majorBidi"/>
      <w:i/>
      <w:iCs/>
      <w:color w:val="2F5496" w:themeColor="accent1" w:themeShade="BF"/>
      <w:kern w:val="0"/>
    </w:rPr>
  </w:style>
  <w:style w:type="character" w:customStyle="1" w:styleId="Heading5Char">
    <w:name w:val="Heading 5 Char"/>
    <w:basedOn w:val="DefaultParagraphFont"/>
    <w:link w:val="Heading5"/>
    <w:uiPriority w:val="9"/>
    <w:semiHidden/>
    <w:rsid w:val="00824A79"/>
    <w:rPr>
      <w:rFonts w:asciiTheme="majorHAnsi" w:eastAsiaTheme="majorEastAsia" w:hAnsiTheme="majorHAnsi" w:cstheme="majorBidi"/>
      <w:color w:val="2F5496" w:themeColor="accent1" w:themeShade="BF"/>
      <w:kern w:val="0"/>
    </w:rPr>
  </w:style>
  <w:style w:type="table" w:customStyle="1" w:styleId="TableGridLight1">
    <w:name w:val="Table Grid Light1"/>
    <w:basedOn w:val="TableNormal"/>
    <w:uiPriority w:val="40"/>
    <w:rsid w:val="00824A7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824A7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824A79"/>
    <w:pPr>
      <w:ind w:left="720"/>
      <w:contextualSpacing/>
    </w:pPr>
  </w:style>
  <w:style w:type="paragraph" w:styleId="BalloonText">
    <w:name w:val="Balloon Text"/>
    <w:basedOn w:val="Normal"/>
    <w:link w:val="BalloonTextChar"/>
    <w:uiPriority w:val="99"/>
    <w:semiHidden/>
    <w:unhideWhenUsed/>
    <w:rsid w:val="00FA3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46"/>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mya\Desktop\ENVIRONMENT%20AND%20EL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mya\Desktop\ENVIRONMENT%20AND%20EL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mya\Desktop\ENVIRONMENT%20AND%20E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Teaching</a:t>
            </a:r>
            <a:r>
              <a:rPr lang="en-IN" b="1" baseline="0"/>
              <a:t> experience and langaueg skill preferences</a:t>
            </a:r>
            <a:endParaRPr lang="en-IN" b="1"/>
          </a:p>
        </c:rich>
      </c:tx>
      <c:spPr>
        <a:solidFill>
          <a:schemeClr val="accent2">
            <a:lumMod val="40000"/>
            <a:lumOff val="60000"/>
          </a:schemeClr>
        </a:solidFill>
        <a:ln>
          <a:noFill/>
        </a:ln>
        <a:effectLst/>
      </c:spPr>
    </c:title>
    <c:plotArea>
      <c:layout>
        <c:manualLayout>
          <c:layoutTarget val="inner"/>
          <c:xMode val="edge"/>
          <c:yMode val="edge"/>
          <c:x val="0.28076298494462265"/>
          <c:y val="7.4074030318603309E-2"/>
          <c:w val="0.68479381383593629"/>
          <c:h val="0.76568157787478386"/>
        </c:manualLayout>
      </c:layout>
      <c:barChart>
        <c:barDir val="bar"/>
        <c:grouping val="stacked"/>
        <c:ser>
          <c:idx val="0"/>
          <c:order val="0"/>
          <c:tx>
            <c:strRef>
              <c:f>Sheet1!$B$1</c:f>
              <c:strCache>
                <c:ptCount val="1"/>
                <c:pt idx="0">
                  <c:v>Emphasized Integration of All Language Skills</c:v>
                </c:pt>
              </c:strCache>
            </c:strRef>
          </c:tx>
          <c:spPr>
            <a:solidFill>
              <a:srgbClr val="00B0F0"/>
            </a:solidFill>
            <a:ln>
              <a:noFill/>
            </a:ln>
            <a:effectLst/>
          </c:spPr>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Below 5 years</c:v>
                </c:pt>
                <c:pt idx="1">
                  <c:v>Below 10 years</c:v>
                </c:pt>
                <c:pt idx="2">
                  <c:v>Below 15 years</c:v>
                </c:pt>
                <c:pt idx="3">
                  <c:v>15 years &amp; above</c:v>
                </c:pt>
              </c:strCache>
            </c:strRef>
          </c:cat>
          <c:val>
            <c:numRef>
              <c:f>Sheet1!$B$2:$B$5</c:f>
              <c:numCache>
                <c:formatCode>General</c:formatCode>
                <c:ptCount val="4"/>
                <c:pt idx="0">
                  <c:v>0</c:v>
                </c:pt>
                <c:pt idx="1">
                  <c:v>2</c:v>
                </c:pt>
                <c:pt idx="2">
                  <c:v>8</c:v>
                </c:pt>
                <c:pt idx="3">
                  <c:v>18</c:v>
                </c:pt>
              </c:numCache>
            </c:numRef>
          </c:val>
          <c:extLst xmlns:c16r2="http://schemas.microsoft.com/office/drawing/2015/06/chart">
            <c:ext xmlns:c16="http://schemas.microsoft.com/office/drawing/2014/chart" uri="{C3380CC4-5D6E-409C-BE32-E72D297353CC}">
              <c16:uniqueId val="{00000000-3359-4FAA-B8CE-CF0E8E2C6CA6}"/>
            </c:ext>
          </c:extLst>
        </c:ser>
        <c:ser>
          <c:idx val="1"/>
          <c:order val="1"/>
          <c:tx>
            <c:strRef>
              <c:f>Sheet1!$C$1</c:f>
              <c:strCache>
                <c:ptCount val="1"/>
                <c:pt idx="0">
                  <c:v>Focused on Speaking &amp; Writing Skills</c:v>
                </c:pt>
              </c:strCache>
            </c:strRef>
          </c:tx>
          <c:spPr>
            <a:solidFill>
              <a:schemeClr val="accent4"/>
            </a:solidFill>
            <a:ln>
              <a:noFill/>
            </a:ln>
            <a:effectLst/>
          </c:spPr>
          <c:dLbls>
            <c:dLbl>
              <c:idx val="1"/>
              <c:layout>
                <c:manualLayout>
                  <c:x val="3.7511032656663626E-2"/>
                  <c:y val="1.2503125781445372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layout>
                    <c:manualLayout>
                      <c:w val="5.9017358046484253E-2"/>
                      <c:h val="3.2470716104222905E-2"/>
                    </c:manualLayout>
                  </c15:layout>
                </c:ext>
                <c:ext xmlns:c16="http://schemas.microsoft.com/office/drawing/2014/chart" uri="{C3380CC4-5D6E-409C-BE32-E72D297353CC}">
                  <c16:uniqueId val="{00000001-3359-4FAA-B8CE-CF0E8E2C6CA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Below 5 years</c:v>
                </c:pt>
                <c:pt idx="1">
                  <c:v>Below 10 years</c:v>
                </c:pt>
                <c:pt idx="2">
                  <c:v>Below 15 years</c:v>
                </c:pt>
                <c:pt idx="3">
                  <c:v>15 years &amp; above</c:v>
                </c:pt>
              </c:strCache>
            </c:strRef>
          </c:cat>
          <c:val>
            <c:numRef>
              <c:f>Sheet1!$C$2:$C$5</c:f>
              <c:numCache>
                <c:formatCode>General</c:formatCode>
                <c:ptCount val="4"/>
                <c:pt idx="0">
                  <c:v>0</c:v>
                </c:pt>
                <c:pt idx="1">
                  <c:v>10</c:v>
                </c:pt>
                <c:pt idx="2">
                  <c:v>0</c:v>
                </c:pt>
                <c:pt idx="3">
                  <c:v>10</c:v>
                </c:pt>
              </c:numCache>
            </c:numRef>
          </c:val>
          <c:extLst xmlns:c16r2="http://schemas.microsoft.com/office/drawing/2015/06/chart">
            <c:ext xmlns:c16="http://schemas.microsoft.com/office/drawing/2014/chart" uri="{C3380CC4-5D6E-409C-BE32-E72D297353CC}">
              <c16:uniqueId val="{00000002-3359-4FAA-B8CE-CF0E8E2C6CA6}"/>
            </c:ext>
          </c:extLst>
        </c:ser>
        <c:ser>
          <c:idx val="2"/>
          <c:order val="2"/>
          <c:tx>
            <c:strRef>
              <c:f>Sheet1!$D$1</c:f>
              <c:strCache>
                <c:ptCount val="1"/>
                <c:pt idx="0">
                  <c:v>Focused on Reading &amp; Listening Skills</c:v>
                </c:pt>
              </c:strCache>
            </c:strRef>
          </c:tx>
          <c:spPr>
            <a:solidFill>
              <a:schemeClr val="accent4">
                <a:lumMod val="7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Below 5 years</c:v>
                </c:pt>
                <c:pt idx="1">
                  <c:v>Below 10 years</c:v>
                </c:pt>
                <c:pt idx="2">
                  <c:v>Below 15 years</c:v>
                </c:pt>
                <c:pt idx="3">
                  <c:v>15 years &amp; above</c:v>
                </c:pt>
              </c:strCache>
            </c:strRef>
          </c:cat>
          <c:val>
            <c:numRef>
              <c:f>Sheet1!$D$2:$D$5</c:f>
              <c:numCache>
                <c:formatCode>General</c:formatCode>
                <c:ptCount val="4"/>
                <c:pt idx="0">
                  <c:v>8</c:v>
                </c:pt>
                <c:pt idx="1">
                  <c:v>4</c:v>
                </c:pt>
                <c:pt idx="2">
                  <c:v>0</c:v>
                </c:pt>
                <c:pt idx="3">
                  <c:v>0</c:v>
                </c:pt>
              </c:numCache>
            </c:numRef>
          </c:val>
          <c:extLst xmlns:c16r2="http://schemas.microsoft.com/office/drawing/2015/06/chart">
            <c:ext xmlns:c16="http://schemas.microsoft.com/office/drawing/2014/chart" uri="{C3380CC4-5D6E-409C-BE32-E72D297353CC}">
              <c16:uniqueId val="{00000003-3359-4FAA-B8CE-CF0E8E2C6CA6}"/>
            </c:ext>
          </c:extLst>
        </c:ser>
        <c:gapWidth val="182"/>
        <c:overlap val="100"/>
        <c:axId val="169517440"/>
        <c:axId val="169520128"/>
      </c:barChart>
      <c:catAx>
        <c:axId val="169517440"/>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Teaching Experience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520128"/>
        <c:crosses val="autoZero"/>
        <c:auto val="1"/>
        <c:lblAlgn val="ctr"/>
        <c:lblOffset val="100"/>
      </c:catAx>
      <c:valAx>
        <c:axId val="169520128"/>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Language</a:t>
                </a:r>
                <a:r>
                  <a:rPr lang="en-US" baseline="0"/>
                  <a:t> skill preferences</a:t>
                </a:r>
                <a:endParaRPr lang="en-US"/>
              </a:p>
            </c:rich>
          </c:tx>
          <c:layout>
            <c:manualLayout>
              <c:xMode val="edge"/>
              <c:yMode val="edge"/>
              <c:x val="0.45674628509274195"/>
              <c:y val="0.88875634069057463"/>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517440"/>
        <c:crosses val="autoZero"/>
        <c:crossBetween val="between"/>
      </c:valAx>
      <c:spPr>
        <a:noFill/>
        <a:ln>
          <a:solidFill>
            <a:srgbClr val="FFFF00"/>
          </a:solidFill>
        </a:ln>
        <a:effectLst/>
      </c:spPr>
    </c:plotArea>
    <c:legend>
      <c:legendPos val="r"/>
      <c:layout>
        <c:manualLayout>
          <c:xMode val="edge"/>
          <c:yMode val="edge"/>
          <c:x val="1.5936041676004921E-3"/>
          <c:y val="0.63896822219256511"/>
          <c:w val="0.15693522643297136"/>
          <c:h val="0.36086717973812604"/>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Teaching</a:t>
            </a:r>
            <a:r>
              <a:rPr lang="en-IN" baseline="0"/>
              <a:t> experience and different skill preferences</a:t>
            </a:r>
            <a:endParaRPr lang="en-IN"/>
          </a:p>
        </c:rich>
      </c:tx>
      <c:spPr>
        <a:noFill/>
        <a:ln>
          <a:noFill/>
        </a:ln>
        <a:effectLst/>
      </c:spPr>
    </c:title>
    <c:plotArea>
      <c:layout>
        <c:manualLayout>
          <c:layoutTarget val="inner"/>
          <c:xMode val="edge"/>
          <c:yMode val="edge"/>
          <c:x val="0.38615288713910789"/>
          <c:y val="0.13321610003907783"/>
          <c:w val="0.57062489063867083"/>
          <c:h val="0.67501607726935664"/>
        </c:manualLayout>
      </c:layout>
      <c:barChart>
        <c:barDir val="bar"/>
        <c:grouping val="clustered"/>
        <c:ser>
          <c:idx val="0"/>
          <c:order val="0"/>
          <c:tx>
            <c:strRef>
              <c:f>Sheet2!$A$2</c:f>
              <c:strCache>
                <c:ptCount val="1"/>
                <c:pt idx="0">
                  <c:v>Below 5 years</c:v>
                </c:pt>
              </c:strCache>
            </c:strRef>
          </c:tx>
          <c:spPr>
            <a:solidFill>
              <a:schemeClr val="accent1"/>
            </a:solidFill>
            <a:ln>
              <a:noFill/>
            </a:ln>
            <a:effectLst/>
          </c:spPr>
          <c:cat>
            <c:strRef>
              <c:f>Sheet2!$B$1:$G$1</c:f>
              <c:strCache>
                <c:ptCount val="6"/>
                <c:pt idx="0">
                  <c:v>Number of Respondents</c:v>
                </c:pt>
                <c:pt idx="1">
                  <c:v>Critical Thinking &amp; Analytical Skills</c:v>
                </c:pt>
                <c:pt idx="2">
                  <c:v>Problem-Solving Skills</c:v>
                </c:pt>
                <c:pt idx="3">
                  <c:v>Communication Skills</c:v>
                </c:pt>
                <c:pt idx="4">
                  <c:v>Interpretation Skills</c:v>
                </c:pt>
                <c:pt idx="5">
                  <c:v>Proficiency in All Skills</c:v>
                </c:pt>
              </c:strCache>
            </c:strRef>
          </c:cat>
          <c:val>
            <c:numRef>
              <c:f>Sheet2!$B$2:$G$2</c:f>
              <c:numCache>
                <c:formatCode>General</c:formatCode>
                <c:ptCount val="6"/>
                <c:pt idx="0">
                  <c:v>8</c:v>
                </c:pt>
                <c:pt idx="1">
                  <c:v>0</c:v>
                </c:pt>
                <c:pt idx="2">
                  <c:v>0</c:v>
                </c:pt>
                <c:pt idx="3">
                  <c:v>4</c:v>
                </c:pt>
                <c:pt idx="4">
                  <c:v>4</c:v>
                </c:pt>
                <c:pt idx="5">
                  <c:v>0</c:v>
                </c:pt>
              </c:numCache>
            </c:numRef>
          </c:val>
          <c:extLst xmlns:c16r2="http://schemas.microsoft.com/office/drawing/2015/06/chart">
            <c:ext xmlns:c16="http://schemas.microsoft.com/office/drawing/2014/chart" uri="{C3380CC4-5D6E-409C-BE32-E72D297353CC}">
              <c16:uniqueId val="{00000000-A61F-4DD1-AAEA-6692C2F4E5B9}"/>
            </c:ext>
          </c:extLst>
        </c:ser>
        <c:ser>
          <c:idx val="1"/>
          <c:order val="1"/>
          <c:tx>
            <c:strRef>
              <c:f>Sheet2!$A$3</c:f>
              <c:strCache>
                <c:ptCount val="1"/>
                <c:pt idx="0">
                  <c:v>Below 10 years</c:v>
                </c:pt>
              </c:strCache>
            </c:strRef>
          </c:tx>
          <c:spPr>
            <a:solidFill>
              <a:schemeClr val="accent2"/>
            </a:solidFill>
            <a:ln>
              <a:noFill/>
            </a:ln>
            <a:effectLst/>
          </c:spPr>
          <c:cat>
            <c:strRef>
              <c:f>Sheet2!$B$1:$G$1</c:f>
              <c:strCache>
                <c:ptCount val="6"/>
                <c:pt idx="0">
                  <c:v>Number of Respondents</c:v>
                </c:pt>
                <c:pt idx="1">
                  <c:v>Critical Thinking &amp; Analytical Skills</c:v>
                </c:pt>
                <c:pt idx="2">
                  <c:v>Problem-Solving Skills</c:v>
                </c:pt>
                <c:pt idx="3">
                  <c:v>Communication Skills</c:v>
                </c:pt>
                <c:pt idx="4">
                  <c:v>Interpretation Skills</c:v>
                </c:pt>
                <c:pt idx="5">
                  <c:v>Proficiency in All Skills</c:v>
                </c:pt>
              </c:strCache>
            </c:strRef>
          </c:cat>
          <c:val>
            <c:numRef>
              <c:f>Sheet2!$B$3:$G$3</c:f>
              <c:numCache>
                <c:formatCode>General</c:formatCode>
                <c:ptCount val="6"/>
                <c:pt idx="0">
                  <c:v>16</c:v>
                </c:pt>
                <c:pt idx="1">
                  <c:v>0</c:v>
                </c:pt>
                <c:pt idx="2">
                  <c:v>6</c:v>
                </c:pt>
                <c:pt idx="3">
                  <c:v>10</c:v>
                </c:pt>
                <c:pt idx="4">
                  <c:v>0</c:v>
                </c:pt>
                <c:pt idx="5">
                  <c:v>0</c:v>
                </c:pt>
              </c:numCache>
            </c:numRef>
          </c:val>
          <c:extLst xmlns:c16r2="http://schemas.microsoft.com/office/drawing/2015/06/chart">
            <c:ext xmlns:c16="http://schemas.microsoft.com/office/drawing/2014/chart" uri="{C3380CC4-5D6E-409C-BE32-E72D297353CC}">
              <c16:uniqueId val="{00000001-A61F-4DD1-AAEA-6692C2F4E5B9}"/>
            </c:ext>
          </c:extLst>
        </c:ser>
        <c:ser>
          <c:idx val="2"/>
          <c:order val="2"/>
          <c:tx>
            <c:strRef>
              <c:f>Sheet2!$A$4</c:f>
              <c:strCache>
                <c:ptCount val="1"/>
                <c:pt idx="0">
                  <c:v>Below 15 years</c:v>
                </c:pt>
              </c:strCache>
            </c:strRef>
          </c:tx>
          <c:spPr>
            <a:solidFill>
              <a:schemeClr val="accent6">
                <a:lumMod val="60000"/>
                <a:lumOff val="40000"/>
              </a:schemeClr>
            </a:solidFill>
            <a:ln>
              <a:noFill/>
            </a:ln>
            <a:effectLst/>
          </c:spPr>
          <c:cat>
            <c:strRef>
              <c:f>Sheet2!$B$1:$G$1</c:f>
              <c:strCache>
                <c:ptCount val="6"/>
                <c:pt idx="0">
                  <c:v>Number of Respondents</c:v>
                </c:pt>
                <c:pt idx="1">
                  <c:v>Critical Thinking &amp; Analytical Skills</c:v>
                </c:pt>
                <c:pt idx="2">
                  <c:v>Problem-Solving Skills</c:v>
                </c:pt>
                <c:pt idx="3">
                  <c:v>Communication Skills</c:v>
                </c:pt>
                <c:pt idx="4">
                  <c:v>Interpretation Skills</c:v>
                </c:pt>
                <c:pt idx="5">
                  <c:v>Proficiency in All Skills</c:v>
                </c:pt>
              </c:strCache>
            </c:strRef>
          </c:cat>
          <c:val>
            <c:numRef>
              <c:f>Sheet2!$B$4:$G$4</c:f>
              <c:numCache>
                <c:formatCode>General</c:formatCode>
                <c:ptCount val="6"/>
                <c:pt idx="0">
                  <c:v>8</c:v>
                </c:pt>
                <c:pt idx="1">
                  <c:v>0</c:v>
                </c:pt>
                <c:pt idx="2">
                  <c:v>8</c:v>
                </c:pt>
                <c:pt idx="3">
                  <c:v>0</c:v>
                </c:pt>
                <c:pt idx="4">
                  <c:v>0</c:v>
                </c:pt>
                <c:pt idx="5">
                  <c:v>0</c:v>
                </c:pt>
              </c:numCache>
            </c:numRef>
          </c:val>
          <c:extLst xmlns:c16r2="http://schemas.microsoft.com/office/drawing/2015/06/chart">
            <c:ext xmlns:c16="http://schemas.microsoft.com/office/drawing/2014/chart" uri="{C3380CC4-5D6E-409C-BE32-E72D297353CC}">
              <c16:uniqueId val="{00000002-A61F-4DD1-AAEA-6692C2F4E5B9}"/>
            </c:ext>
          </c:extLst>
        </c:ser>
        <c:ser>
          <c:idx val="3"/>
          <c:order val="3"/>
          <c:tx>
            <c:strRef>
              <c:f>Sheet2!$A$5</c:f>
              <c:strCache>
                <c:ptCount val="1"/>
                <c:pt idx="0">
                  <c:v>15 years &amp; above</c:v>
                </c:pt>
              </c:strCache>
            </c:strRef>
          </c:tx>
          <c:spPr>
            <a:solidFill>
              <a:schemeClr val="accent4"/>
            </a:solidFill>
            <a:ln>
              <a:noFill/>
            </a:ln>
            <a:effectLst/>
          </c:spPr>
          <c:cat>
            <c:strRef>
              <c:f>Sheet2!$B$1:$G$1</c:f>
              <c:strCache>
                <c:ptCount val="6"/>
                <c:pt idx="0">
                  <c:v>Number of Respondents</c:v>
                </c:pt>
                <c:pt idx="1">
                  <c:v>Critical Thinking &amp; Analytical Skills</c:v>
                </c:pt>
                <c:pt idx="2">
                  <c:v>Problem-Solving Skills</c:v>
                </c:pt>
                <c:pt idx="3">
                  <c:v>Communication Skills</c:v>
                </c:pt>
                <c:pt idx="4">
                  <c:v>Interpretation Skills</c:v>
                </c:pt>
                <c:pt idx="5">
                  <c:v>Proficiency in All Skills</c:v>
                </c:pt>
              </c:strCache>
            </c:strRef>
          </c:cat>
          <c:val>
            <c:numRef>
              <c:f>Sheet2!$B$5:$G$5</c:f>
              <c:numCache>
                <c:formatCode>General</c:formatCode>
                <c:ptCount val="6"/>
                <c:pt idx="0">
                  <c:v>28</c:v>
                </c:pt>
                <c:pt idx="1">
                  <c:v>12</c:v>
                </c:pt>
                <c:pt idx="2">
                  <c:v>0</c:v>
                </c:pt>
                <c:pt idx="3">
                  <c:v>0</c:v>
                </c:pt>
                <c:pt idx="4">
                  <c:v>0</c:v>
                </c:pt>
                <c:pt idx="5">
                  <c:v>16</c:v>
                </c:pt>
              </c:numCache>
            </c:numRef>
          </c:val>
          <c:extLst xmlns:c16r2="http://schemas.microsoft.com/office/drawing/2015/06/chart">
            <c:ext xmlns:c16="http://schemas.microsoft.com/office/drawing/2014/chart" uri="{C3380CC4-5D6E-409C-BE32-E72D297353CC}">
              <c16:uniqueId val="{00000003-A61F-4DD1-AAEA-6692C2F4E5B9}"/>
            </c:ext>
          </c:extLst>
        </c:ser>
        <c:gapWidth val="182"/>
        <c:axId val="170438016"/>
        <c:axId val="170444672"/>
      </c:barChart>
      <c:catAx>
        <c:axId val="17043801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44672"/>
        <c:crosses val="autoZero"/>
        <c:auto val="1"/>
        <c:lblAlgn val="ctr"/>
        <c:lblOffset val="100"/>
      </c:catAx>
      <c:valAx>
        <c:axId val="17044467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380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Teaching</a:t>
            </a:r>
            <a:r>
              <a:rPr lang="en-IN" baseline="0"/>
              <a:t> experience and assessment technique preferences</a:t>
            </a:r>
            <a:endParaRPr lang="en-IN"/>
          </a:p>
        </c:rich>
      </c:tx>
      <c:spPr>
        <a:noFill/>
        <a:ln>
          <a:noFill/>
        </a:ln>
        <a:effectLst/>
      </c:spPr>
    </c:title>
    <c:plotArea>
      <c:layout/>
      <c:barChart>
        <c:barDir val="bar"/>
        <c:grouping val="clustered"/>
        <c:ser>
          <c:idx val="0"/>
          <c:order val="0"/>
          <c:tx>
            <c:strRef>
              <c:f>Sheet3!$A$2</c:f>
              <c:strCache>
                <c:ptCount val="1"/>
                <c:pt idx="0">
                  <c:v>Below 5 years</c:v>
                </c:pt>
              </c:strCache>
            </c:strRef>
          </c:tx>
          <c:spPr>
            <a:solidFill>
              <a:schemeClr val="accent1"/>
            </a:solidFill>
            <a:ln>
              <a:noFill/>
            </a:ln>
            <a:effectLst/>
          </c:spPr>
          <c:cat>
            <c:strRef>
              <c:f>Sheet3!$B$1:$H$1</c:f>
              <c:strCache>
                <c:ptCount val="7"/>
                <c:pt idx="0">
                  <c:v>Number of Respondents</c:v>
                </c:pt>
                <c:pt idx="1">
                  <c:v>Language Skill-based assessment</c:v>
                </c:pt>
                <c:pt idx="2">
                  <c:v>Project-Based Assessment</c:v>
                </c:pt>
                <c:pt idx="3">
                  <c:v>Case Studies</c:v>
                </c:pt>
                <c:pt idx="4">
                  <c:v>Debates &amp; Discussions</c:v>
                </c:pt>
                <c:pt idx="5">
                  <c:v>Self &amp; Peer Assessment</c:v>
                </c:pt>
                <c:pt idx="6">
                  <c:v>Question-Based Assessment</c:v>
                </c:pt>
              </c:strCache>
            </c:strRef>
          </c:cat>
          <c:val>
            <c:numRef>
              <c:f>Sheet3!$B$2:$H$2</c:f>
              <c:numCache>
                <c:formatCode>General</c:formatCode>
                <c:ptCount val="7"/>
                <c:pt idx="0">
                  <c:v>8</c:v>
                </c:pt>
                <c:pt idx="1">
                  <c:v>0</c:v>
                </c:pt>
                <c:pt idx="2">
                  <c:v>0</c:v>
                </c:pt>
                <c:pt idx="3">
                  <c:v>0</c:v>
                </c:pt>
                <c:pt idx="4">
                  <c:v>0</c:v>
                </c:pt>
                <c:pt idx="5">
                  <c:v>5</c:v>
                </c:pt>
                <c:pt idx="6">
                  <c:v>3</c:v>
                </c:pt>
              </c:numCache>
            </c:numRef>
          </c:val>
          <c:extLst xmlns:c16r2="http://schemas.microsoft.com/office/drawing/2015/06/chart">
            <c:ext xmlns:c16="http://schemas.microsoft.com/office/drawing/2014/chart" uri="{C3380CC4-5D6E-409C-BE32-E72D297353CC}">
              <c16:uniqueId val="{00000000-448A-49A8-AAB4-7AB8D406757B}"/>
            </c:ext>
          </c:extLst>
        </c:ser>
        <c:ser>
          <c:idx val="1"/>
          <c:order val="1"/>
          <c:tx>
            <c:strRef>
              <c:f>Sheet3!$A$3</c:f>
              <c:strCache>
                <c:ptCount val="1"/>
                <c:pt idx="0">
                  <c:v>Below 10 years</c:v>
                </c:pt>
              </c:strCache>
            </c:strRef>
          </c:tx>
          <c:spPr>
            <a:solidFill>
              <a:schemeClr val="accent2"/>
            </a:solidFill>
            <a:ln>
              <a:noFill/>
            </a:ln>
            <a:effectLst/>
          </c:spPr>
          <c:cat>
            <c:strRef>
              <c:f>Sheet3!$B$1:$H$1</c:f>
              <c:strCache>
                <c:ptCount val="7"/>
                <c:pt idx="0">
                  <c:v>Number of Respondents</c:v>
                </c:pt>
                <c:pt idx="1">
                  <c:v>Language Skill-based assessment</c:v>
                </c:pt>
                <c:pt idx="2">
                  <c:v>Project-Based Assessment</c:v>
                </c:pt>
                <c:pt idx="3">
                  <c:v>Case Studies</c:v>
                </c:pt>
                <c:pt idx="4">
                  <c:v>Debates &amp; Discussions</c:v>
                </c:pt>
                <c:pt idx="5">
                  <c:v>Self &amp; Peer Assessment</c:v>
                </c:pt>
                <c:pt idx="6">
                  <c:v>Question-Based Assessment</c:v>
                </c:pt>
              </c:strCache>
            </c:strRef>
          </c:cat>
          <c:val>
            <c:numRef>
              <c:f>Sheet3!$B$3:$H$3</c:f>
              <c:numCache>
                <c:formatCode>General</c:formatCode>
                <c:ptCount val="7"/>
                <c:pt idx="0">
                  <c:v>16</c:v>
                </c:pt>
                <c:pt idx="1">
                  <c:v>0</c:v>
                </c:pt>
                <c:pt idx="2">
                  <c:v>0</c:v>
                </c:pt>
                <c:pt idx="3">
                  <c:v>0</c:v>
                </c:pt>
                <c:pt idx="4">
                  <c:v>0</c:v>
                </c:pt>
                <c:pt idx="5">
                  <c:v>4</c:v>
                </c:pt>
              </c:numCache>
            </c:numRef>
          </c:val>
          <c:extLst xmlns:c16r2="http://schemas.microsoft.com/office/drawing/2015/06/chart">
            <c:ext xmlns:c16="http://schemas.microsoft.com/office/drawing/2014/chart" uri="{C3380CC4-5D6E-409C-BE32-E72D297353CC}">
              <c16:uniqueId val="{00000001-448A-49A8-AAB4-7AB8D406757B}"/>
            </c:ext>
          </c:extLst>
        </c:ser>
        <c:ser>
          <c:idx val="2"/>
          <c:order val="2"/>
          <c:tx>
            <c:strRef>
              <c:f>Sheet3!$A$4</c:f>
              <c:strCache>
                <c:ptCount val="1"/>
                <c:pt idx="0">
                  <c:v>Below 15 years</c:v>
                </c:pt>
              </c:strCache>
            </c:strRef>
          </c:tx>
          <c:spPr>
            <a:solidFill>
              <a:schemeClr val="accent6"/>
            </a:solidFill>
            <a:ln>
              <a:noFill/>
            </a:ln>
            <a:effectLst/>
          </c:spPr>
          <c:cat>
            <c:strRef>
              <c:f>Sheet3!$B$1:$H$1</c:f>
              <c:strCache>
                <c:ptCount val="7"/>
                <c:pt idx="0">
                  <c:v>Number of Respondents</c:v>
                </c:pt>
                <c:pt idx="1">
                  <c:v>Language Skill-based assessment</c:v>
                </c:pt>
                <c:pt idx="2">
                  <c:v>Project-Based Assessment</c:v>
                </c:pt>
                <c:pt idx="3">
                  <c:v>Case Studies</c:v>
                </c:pt>
                <c:pt idx="4">
                  <c:v>Debates &amp; Discussions</c:v>
                </c:pt>
                <c:pt idx="5">
                  <c:v>Self &amp; Peer Assessment</c:v>
                </c:pt>
                <c:pt idx="6">
                  <c:v>Question-Based Assessment</c:v>
                </c:pt>
              </c:strCache>
            </c:strRef>
          </c:cat>
          <c:val>
            <c:numRef>
              <c:f>Sheet3!$B$4:$H$4</c:f>
              <c:numCache>
                <c:formatCode>General</c:formatCode>
                <c:ptCount val="7"/>
                <c:pt idx="0">
                  <c:v>8</c:v>
                </c:pt>
                <c:pt idx="1">
                  <c:v>0</c:v>
                </c:pt>
                <c:pt idx="2">
                  <c:v>8</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2-448A-49A8-AAB4-7AB8D406757B}"/>
            </c:ext>
          </c:extLst>
        </c:ser>
        <c:ser>
          <c:idx val="3"/>
          <c:order val="3"/>
          <c:tx>
            <c:strRef>
              <c:f>Sheet3!$A$5</c:f>
              <c:strCache>
                <c:ptCount val="1"/>
                <c:pt idx="0">
                  <c:v>15 years &amp; above</c:v>
                </c:pt>
              </c:strCache>
            </c:strRef>
          </c:tx>
          <c:spPr>
            <a:solidFill>
              <a:schemeClr val="accent4"/>
            </a:solidFill>
            <a:ln>
              <a:noFill/>
            </a:ln>
            <a:effectLst/>
          </c:spPr>
          <c:cat>
            <c:strRef>
              <c:f>Sheet3!$B$1:$H$1</c:f>
              <c:strCache>
                <c:ptCount val="7"/>
                <c:pt idx="0">
                  <c:v>Number of Respondents</c:v>
                </c:pt>
                <c:pt idx="1">
                  <c:v>Language Skill-based assessment</c:v>
                </c:pt>
                <c:pt idx="2">
                  <c:v>Project-Based Assessment</c:v>
                </c:pt>
                <c:pt idx="3">
                  <c:v>Case Studies</c:v>
                </c:pt>
                <c:pt idx="4">
                  <c:v>Debates &amp; Discussions</c:v>
                </c:pt>
                <c:pt idx="5">
                  <c:v>Self &amp; Peer Assessment</c:v>
                </c:pt>
                <c:pt idx="6">
                  <c:v>Question-Based Assessment</c:v>
                </c:pt>
              </c:strCache>
            </c:strRef>
          </c:cat>
          <c:val>
            <c:numRef>
              <c:f>Sheet3!$B$5:$H$5</c:f>
              <c:numCache>
                <c:formatCode>General</c:formatCode>
                <c:ptCount val="7"/>
                <c:pt idx="0">
                  <c:v>28</c:v>
                </c:pt>
                <c:pt idx="1">
                  <c:v>9</c:v>
                </c:pt>
                <c:pt idx="2">
                  <c:v>3</c:v>
                </c:pt>
                <c:pt idx="3">
                  <c:v>3</c:v>
                </c:pt>
                <c:pt idx="4">
                  <c:v>13</c:v>
                </c:pt>
                <c:pt idx="5">
                  <c:v>0</c:v>
                </c:pt>
                <c:pt idx="6">
                  <c:v>0</c:v>
                </c:pt>
              </c:numCache>
            </c:numRef>
          </c:val>
          <c:extLst xmlns:c16r2="http://schemas.microsoft.com/office/drawing/2015/06/chart">
            <c:ext xmlns:c16="http://schemas.microsoft.com/office/drawing/2014/chart" uri="{C3380CC4-5D6E-409C-BE32-E72D297353CC}">
              <c16:uniqueId val="{00000003-448A-49A8-AAB4-7AB8D406757B}"/>
            </c:ext>
          </c:extLst>
        </c:ser>
        <c:gapWidth val="182"/>
        <c:axId val="170406656"/>
        <c:axId val="170408192"/>
      </c:barChart>
      <c:catAx>
        <c:axId val="17040665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08192"/>
        <c:crosses val="autoZero"/>
        <c:auto val="1"/>
        <c:lblAlgn val="ctr"/>
        <c:lblOffset val="100"/>
      </c:catAx>
      <c:valAx>
        <c:axId val="17040819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066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7844-92CC-456D-8839-09446838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7080</Words>
  <Characters>40356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Lalitha Devi</dc:creator>
  <cp:lastModifiedBy>HP</cp:lastModifiedBy>
  <cp:revision>4</cp:revision>
  <dcterms:created xsi:type="dcterms:W3CDTF">2025-10-13T04:17:00Z</dcterms:created>
  <dcterms:modified xsi:type="dcterms:W3CDTF">2025-10-13T04:43:00Z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7378b65b-719a-3ba3-88a7-2d04742cc601</vt:lpwstr>
  </property>
  <property fmtid="{D5CDD505-2E9C-101B-9397-08002B2CF9AE}" pid="24" name="Mendeley Citation Style_1">
    <vt:lpwstr>http://www.zotero.org/styles/apa</vt:lpwstr>
  </property>
  <property fmtid="{D5CDD505-2E9C-101B-9397-08002B2CF9AE}" pid="25" name="GrammarlyDocumentId">
    <vt:lpwstr>b1566f7ff90ecd42c9fa625ad83d07e18fb6a759d1e2bcc506a76a9e82b8293c</vt:lpwstr>
  </property>
  <property fmtid="{D5CDD505-2E9C-101B-9397-08002B2CF9AE}" pid="26" name="KSOProductBuildVer">
    <vt:lpwstr>2057-12.2.0.21179</vt:lpwstr>
  </property>
  <property fmtid="{D5CDD505-2E9C-101B-9397-08002B2CF9AE}" pid="27" name="ICV">
    <vt:lpwstr>0C514B4FB6B149B988B02229CF640ABE_13</vt:lpwstr>
  </property>
</Properties>
</file>