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64078A" w14:textId="72C6475B" w:rsidR="004A1811" w:rsidRPr="007F26C0" w:rsidRDefault="007F26C0" w:rsidP="00B65D54">
      <w:pPr>
        <w:spacing w:after="0"/>
        <w:jc w:val="center"/>
        <w:rPr>
          <w:rFonts w:cs="Times New Roman"/>
          <w:b/>
          <w:bCs/>
          <w:szCs w:val="28"/>
          <w:lang w:val="en-US"/>
        </w:rPr>
      </w:pPr>
      <w:r w:rsidRPr="007F26C0">
        <w:rPr>
          <w:rFonts w:cs="Times New Roman"/>
          <w:b/>
          <w:bCs/>
          <w:szCs w:val="28"/>
          <w:lang w:val="en-US"/>
        </w:rPr>
        <w:t>Legal strengthening of the individuals’ role in the context of internationally wrongful acts of the state: European legal standards and mechanisms</w:t>
      </w:r>
    </w:p>
    <w:p w14:paraId="7EB0BDFC" w14:textId="77777777" w:rsidR="00B01E21" w:rsidRDefault="00B01E21" w:rsidP="00B65D54">
      <w:pPr>
        <w:spacing w:after="0"/>
        <w:jc w:val="center"/>
        <w:rPr>
          <w:rFonts w:cs="Times New Roman"/>
          <w:b/>
          <w:bCs/>
          <w:sz w:val="24"/>
          <w:szCs w:val="24"/>
          <w:lang w:val="en-US"/>
        </w:rPr>
      </w:pPr>
    </w:p>
    <w:p w14:paraId="77B5E328" w14:textId="326813A6" w:rsidR="00F217E8" w:rsidRPr="00B65D54" w:rsidRDefault="00F217E8" w:rsidP="00B65D54">
      <w:pPr>
        <w:spacing w:after="0"/>
        <w:jc w:val="both"/>
        <w:rPr>
          <w:rFonts w:cs="Times New Roman"/>
          <w:b/>
          <w:bCs/>
          <w:sz w:val="24"/>
          <w:szCs w:val="24"/>
          <w:lang w:val="en-US"/>
        </w:rPr>
      </w:pPr>
      <w:r w:rsidRPr="00B65D54">
        <w:rPr>
          <w:rFonts w:cs="Times New Roman"/>
          <w:b/>
          <w:bCs/>
          <w:sz w:val="24"/>
          <w:szCs w:val="24"/>
          <w:lang w:val="en-US"/>
        </w:rPr>
        <w:t>Abstract</w:t>
      </w:r>
    </w:p>
    <w:p w14:paraId="685DD424" w14:textId="47C9F062" w:rsidR="00B65D54" w:rsidRDefault="00B65D54" w:rsidP="00B65D54">
      <w:pPr>
        <w:spacing w:after="0"/>
        <w:jc w:val="both"/>
        <w:rPr>
          <w:rFonts w:cs="Times New Roman"/>
          <w:b/>
          <w:bCs/>
          <w:i/>
          <w:iCs/>
          <w:sz w:val="24"/>
          <w:szCs w:val="24"/>
          <w:lang w:val="en-US"/>
        </w:rPr>
      </w:pPr>
      <w:r w:rsidRPr="00B65D54">
        <w:rPr>
          <w:rFonts w:cs="Times New Roman"/>
          <w:sz w:val="24"/>
          <w:szCs w:val="24"/>
          <w:lang w:val="en-US"/>
        </w:rPr>
        <w:t>Contemporary armed conflicts demonstrate the limitations of classical interstate mechanisms in ensuring accountability for internationally wrongful acts committed by states. This context highlights the growing significance of individuals who increasingly initiate legal proceedings at both national and international levels. The article aims to analyze the strengthening of the individual’s role in addressing state wrongful acts, to trace the historical transformation of this role, and to propose mechanisms that could consolidate and institutionalize this trend. The study employs historical-legal analysis, case study review, and comparative analysis of European legal instruments and judicial practice, focusing on representative cases from the 21st century. The article demonstrates that the individual has moved from dependency on state representation to becoming an active subject of accountability processes. This shift has been facilitated by the emergence of institutions such as the European Court of Human Rights, universal jurisdiction, and collective litigation. At the same time, systemic shortcomings remain, including chronic non-compliance with judgments, political blocking of international arrest warrants, and insufficient resources for victims. The article proposes two instruments to address these deficiencies: integration of International Criminal Court warrants into the European arrest warrant system, backed by sanctions for non-execution; an automatic parliamentary cycle for implementing international court decisions through a silent consent procedure. The study contributes to international legal scholarship by offering a holistic vision of how individuals reshape the balance of power in international law and by proposing innovative mechanisms to ensure the permanence and effectiveness of this transformation.</w:t>
      </w:r>
    </w:p>
    <w:p w14:paraId="1070DBDC" w14:textId="77777777" w:rsidR="00B65D54" w:rsidRDefault="00B65D54" w:rsidP="00B65D54">
      <w:pPr>
        <w:spacing w:after="0"/>
        <w:jc w:val="both"/>
        <w:rPr>
          <w:rFonts w:cs="Times New Roman"/>
          <w:b/>
          <w:bCs/>
          <w:sz w:val="24"/>
          <w:szCs w:val="24"/>
          <w:lang w:val="en-US"/>
        </w:rPr>
      </w:pPr>
    </w:p>
    <w:p w14:paraId="13F9C4F7" w14:textId="4244FAB2" w:rsidR="00297D46" w:rsidRPr="00B65D54" w:rsidRDefault="00B53E2E" w:rsidP="00B65D54">
      <w:pPr>
        <w:spacing w:after="0"/>
        <w:jc w:val="both"/>
        <w:rPr>
          <w:rFonts w:cs="Times New Roman"/>
          <w:sz w:val="24"/>
          <w:szCs w:val="24"/>
          <w:lang w:val="en-US"/>
        </w:rPr>
      </w:pPr>
      <w:r w:rsidRPr="00B65D54">
        <w:rPr>
          <w:rFonts w:cs="Times New Roman"/>
          <w:b/>
          <w:bCs/>
          <w:sz w:val="24"/>
          <w:szCs w:val="24"/>
          <w:lang w:val="en-US"/>
        </w:rPr>
        <w:t xml:space="preserve">Keywords: </w:t>
      </w:r>
      <w:r w:rsidR="00B65D54" w:rsidRPr="00B65D54">
        <w:rPr>
          <w:rFonts w:cs="Times New Roman"/>
          <w:sz w:val="24"/>
          <w:szCs w:val="24"/>
          <w:lang w:val="en-US"/>
        </w:rPr>
        <w:t>civil confiscation</w:t>
      </w:r>
      <w:r w:rsidR="00421548">
        <w:rPr>
          <w:rFonts w:cs="Times New Roman"/>
          <w:sz w:val="24"/>
          <w:szCs w:val="24"/>
          <w:lang w:val="en-US"/>
        </w:rPr>
        <w:t>;</w:t>
      </w:r>
      <w:r w:rsidR="00B65D54" w:rsidRPr="00B65D54">
        <w:rPr>
          <w:rFonts w:cs="Times New Roman"/>
          <w:sz w:val="24"/>
          <w:szCs w:val="24"/>
          <w:lang w:val="en-US"/>
        </w:rPr>
        <w:t xml:space="preserve"> court enforcement</w:t>
      </w:r>
      <w:r w:rsidR="00421548">
        <w:rPr>
          <w:rFonts w:cs="Times New Roman"/>
          <w:sz w:val="24"/>
          <w:szCs w:val="24"/>
          <w:lang w:val="en-US"/>
        </w:rPr>
        <w:t>;</w:t>
      </w:r>
      <w:r w:rsidR="00B65D54">
        <w:rPr>
          <w:rFonts w:cs="Times New Roman"/>
          <w:sz w:val="24"/>
          <w:szCs w:val="24"/>
          <w:lang w:val="en-US"/>
        </w:rPr>
        <w:t xml:space="preserve"> </w:t>
      </w:r>
      <w:r w:rsidR="00B65D54" w:rsidRPr="00B65D54">
        <w:rPr>
          <w:rFonts w:cs="Times New Roman"/>
          <w:sz w:val="24"/>
          <w:szCs w:val="24"/>
          <w:lang w:val="en-US"/>
        </w:rPr>
        <w:t>international crimes</w:t>
      </w:r>
      <w:r w:rsidR="00421548">
        <w:rPr>
          <w:rFonts w:cs="Times New Roman"/>
          <w:sz w:val="24"/>
          <w:szCs w:val="24"/>
          <w:lang w:val="en-US"/>
        </w:rPr>
        <w:t>;</w:t>
      </w:r>
      <w:r w:rsidR="00B65D54" w:rsidRPr="00B65D54">
        <w:rPr>
          <w:rFonts w:cs="Times New Roman"/>
          <w:sz w:val="24"/>
          <w:szCs w:val="24"/>
          <w:lang w:val="en-US"/>
        </w:rPr>
        <w:t xml:space="preserve"> </w:t>
      </w:r>
      <w:r w:rsidRPr="00B65D54">
        <w:rPr>
          <w:rFonts w:cs="Times New Roman"/>
          <w:sz w:val="24"/>
          <w:szCs w:val="24"/>
          <w:lang w:val="en-US"/>
        </w:rPr>
        <w:t>international legal personality</w:t>
      </w:r>
      <w:r w:rsidR="00421548">
        <w:rPr>
          <w:rFonts w:cs="Times New Roman"/>
          <w:sz w:val="24"/>
          <w:szCs w:val="24"/>
          <w:lang w:val="en-US"/>
        </w:rPr>
        <w:t>;</w:t>
      </w:r>
      <w:r w:rsidRPr="00B65D54">
        <w:rPr>
          <w:rFonts w:cs="Times New Roman"/>
          <w:sz w:val="24"/>
          <w:szCs w:val="24"/>
          <w:lang w:val="en-US"/>
        </w:rPr>
        <w:t xml:space="preserve"> universal jurisdiction</w:t>
      </w:r>
      <w:r w:rsidR="00B65D54">
        <w:rPr>
          <w:rFonts w:cs="Times New Roman"/>
          <w:sz w:val="24"/>
          <w:szCs w:val="24"/>
          <w:lang w:val="en-US"/>
        </w:rPr>
        <w:t>.</w:t>
      </w:r>
      <w:r w:rsidR="00385F02" w:rsidRPr="00B65D54">
        <w:rPr>
          <w:rFonts w:cs="Times New Roman"/>
          <w:sz w:val="24"/>
          <w:szCs w:val="24"/>
          <w:lang w:val="en-US"/>
        </w:rPr>
        <w:t xml:space="preserve"> </w:t>
      </w:r>
    </w:p>
    <w:p w14:paraId="13A5F310" w14:textId="77777777" w:rsidR="00297D46" w:rsidRPr="00B65D54" w:rsidRDefault="00297D46" w:rsidP="00B65D54">
      <w:pPr>
        <w:spacing w:after="0"/>
        <w:jc w:val="both"/>
        <w:rPr>
          <w:rFonts w:cs="Times New Roman"/>
          <w:b/>
          <w:bCs/>
          <w:sz w:val="24"/>
          <w:szCs w:val="24"/>
          <w:lang w:val="en-US"/>
        </w:rPr>
      </w:pPr>
    </w:p>
    <w:p w14:paraId="3A52FBDB" w14:textId="14CDB05F" w:rsidR="00AB4B28" w:rsidRPr="00B65D54" w:rsidRDefault="00B65D54" w:rsidP="00B65D54">
      <w:pPr>
        <w:spacing w:after="0"/>
        <w:jc w:val="both"/>
        <w:rPr>
          <w:rFonts w:cs="Times New Roman"/>
          <w:b/>
          <w:bCs/>
          <w:sz w:val="24"/>
          <w:szCs w:val="24"/>
          <w:lang w:val="en-US"/>
        </w:rPr>
      </w:pPr>
      <w:r>
        <w:rPr>
          <w:rFonts w:cs="Times New Roman"/>
          <w:b/>
          <w:bCs/>
          <w:sz w:val="24"/>
          <w:szCs w:val="24"/>
          <w:lang w:val="en-US"/>
        </w:rPr>
        <w:t xml:space="preserve">1. </w:t>
      </w:r>
      <w:r w:rsidRPr="00B65D54">
        <w:rPr>
          <w:rFonts w:cs="Times New Roman"/>
          <w:b/>
          <w:bCs/>
          <w:sz w:val="24"/>
          <w:szCs w:val="24"/>
          <w:lang w:val="en-US"/>
        </w:rPr>
        <w:t>Introduction</w:t>
      </w:r>
    </w:p>
    <w:p w14:paraId="7F79ADA5" w14:textId="23C26194" w:rsidR="00BA7676" w:rsidRDefault="00261F21" w:rsidP="00E12D8A">
      <w:pPr>
        <w:spacing w:after="0"/>
        <w:jc w:val="both"/>
        <w:rPr>
          <w:rFonts w:cs="Times New Roman"/>
          <w:sz w:val="24"/>
          <w:szCs w:val="24"/>
          <w:lang w:val="en-US"/>
        </w:rPr>
      </w:pPr>
      <w:r w:rsidRPr="00B65D54">
        <w:rPr>
          <w:rFonts w:cs="Times New Roman"/>
          <w:sz w:val="24"/>
          <w:szCs w:val="24"/>
          <w:lang w:val="en-US"/>
        </w:rPr>
        <w:t>In the modern doctrine of international law, the trend of “individualization” of state responsibility is increasingly clearly traced after a number of military conflicts. As Stahn (20</w:t>
      </w:r>
      <w:r w:rsidR="00BA7676">
        <w:rPr>
          <w:rFonts w:cs="Times New Roman"/>
          <w:sz w:val="24"/>
          <w:szCs w:val="24"/>
          <w:lang w:val="en-US"/>
        </w:rPr>
        <w:t>18</w:t>
      </w:r>
      <w:r w:rsidRPr="00B65D54">
        <w:rPr>
          <w:rFonts w:cs="Times New Roman"/>
          <w:sz w:val="24"/>
          <w:szCs w:val="24"/>
          <w:lang w:val="en-US"/>
        </w:rPr>
        <w:t>) notes, armed conflicts have turned into “communicative wars”, where legal rhetoric becomes an element of counteraction to aggression and violations of jus cogens.</w:t>
      </w:r>
      <w:r w:rsidR="00BA7676">
        <w:rPr>
          <w:rFonts w:cs="Times New Roman"/>
          <w:sz w:val="24"/>
          <w:szCs w:val="24"/>
          <w:lang w:val="en-US"/>
        </w:rPr>
        <w:t xml:space="preserve"> </w:t>
      </w:r>
      <w:r w:rsidRPr="00B65D54">
        <w:rPr>
          <w:rFonts w:cs="Times New Roman"/>
          <w:sz w:val="24"/>
          <w:szCs w:val="24"/>
          <w:lang w:val="en-US"/>
        </w:rPr>
        <w:t xml:space="preserve">The actualization of the role of the individual is especially noticeable in the post- and inter-war processes that continue between Azerbaijan and Armenia. After the 44-day war of 2020, thousands of armed clashes have transformed into a “legal front”. That is, both states and individuals are simultaneously appealing to the International Court of Justice, the </w:t>
      </w:r>
      <w:r w:rsidR="005D068B">
        <w:rPr>
          <w:rFonts w:cs="Times New Roman"/>
          <w:sz w:val="24"/>
          <w:szCs w:val="24"/>
          <w:lang w:val="en-US"/>
        </w:rPr>
        <w:t xml:space="preserve">European Court of Human Rights (hereinafter – </w:t>
      </w:r>
      <w:r w:rsidRPr="00B65D54">
        <w:rPr>
          <w:rFonts w:cs="Times New Roman"/>
          <w:sz w:val="24"/>
          <w:szCs w:val="24"/>
          <w:lang w:val="en-US"/>
        </w:rPr>
        <w:t>EC</w:t>
      </w:r>
      <w:r w:rsidR="00A35AD7">
        <w:rPr>
          <w:rFonts w:cs="Times New Roman"/>
          <w:sz w:val="24"/>
          <w:szCs w:val="24"/>
          <w:lang w:val="en-US"/>
        </w:rPr>
        <w:t>t</w:t>
      </w:r>
      <w:r w:rsidRPr="00B65D54">
        <w:rPr>
          <w:rFonts w:cs="Times New Roman"/>
          <w:sz w:val="24"/>
          <w:szCs w:val="24"/>
          <w:lang w:val="en-US"/>
        </w:rPr>
        <w:t>HR</w:t>
      </w:r>
      <w:r w:rsidR="005D068B">
        <w:rPr>
          <w:rFonts w:cs="Times New Roman"/>
          <w:sz w:val="24"/>
          <w:szCs w:val="24"/>
          <w:lang w:val="en-US"/>
        </w:rPr>
        <w:t>)</w:t>
      </w:r>
      <w:r w:rsidRPr="00B65D54">
        <w:rPr>
          <w:rFonts w:cs="Times New Roman"/>
          <w:sz w:val="24"/>
          <w:szCs w:val="24"/>
          <w:lang w:val="en-US"/>
        </w:rPr>
        <w:t xml:space="preserve"> and other instances. Petrossian (2024) shows that, along with interstate proceedings, the statutory mechanisms of the </w:t>
      </w:r>
      <w:r w:rsidR="00BA7676" w:rsidRPr="00BA7676">
        <w:rPr>
          <w:rFonts w:cs="Times New Roman"/>
          <w:sz w:val="24"/>
          <w:szCs w:val="24"/>
          <w:lang w:val="en-US"/>
        </w:rPr>
        <w:t xml:space="preserve">International Convention on the Elimination of All Forms of Racial Discrimination </w:t>
      </w:r>
      <w:r w:rsidRPr="00B65D54">
        <w:rPr>
          <w:rFonts w:cs="Times New Roman"/>
          <w:sz w:val="24"/>
          <w:szCs w:val="24"/>
          <w:lang w:val="en-US"/>
        </w:rPr>
        <w:t xml:space="preserve">have already opened the way to hundreds of individual applications from victims. It is the massive involvement of private plaintiffs that is pushing international law institutions to rethink the role of the individual. This, in turn, is shaping new standards of procedural subjectivity. </w:t>
      </w:r>
    </w:p>
    <w:p w14:paraId="4783A3A9" w14:textId="260C0781" w:rsidR="0021229C" w:rsidRDefault="00261F21" w:rsidP="00BA7676">
      <w:pPr>
        <w:spacing w:after="0"/>
        <w:ind w:firstLine="567"/>
        <w:jc w:val="both"/>
        <w:rPr>
          <w:rFonts w:cs="Times New Roman"/>
          <w:sz w:val="24"/>
          <w:szCs w:val="24"/>
          <w:lang w:val="en-US"/>
        </w:rPr>
      </w:pPr>
      <w:r w:rsidRPr="00B65D54">
        <w:rPr>
          <w:rFonts w:cs="Times New Roman"/>
          <w:sz w:val="24"/>
          <w:szCs w:val="24"/>
          <w:lang w:val="en-US"/>
        </w:rPr>
        <w:t xml:space="preserve">The </w:t>
      </w:r>
      <w:r w:rsidR="0021229C" w:rsidRPr="0021229C">
        <w:rPr>
          <w:rFonts w:cs="Times New Roman"/>
          <w:sz w:val="24"/>
          <w:szCs w:val="24"/>
          <w:lang w:val="en-US"/>
        </w:rPr>
        <w:t>2020–2022 Tigray war</w:t>
      </w:r>
      <w:r w:rsidR="0021229C">
        <w:rPr>
          <w:rFonts w:cs="Times New Roman"/>
          <w:sz w:val="24"/>
          <w:szCs w:val="24"/>
          <w:lang w:val="en-US"/>
        </w:rPr>
        <w:t xml:space="preserve"> </w:t>
      </w:r>
      <w:r w:rsidRPr="00B65D54">
        <w:rPr>
          <w:rFonts w:cs="Times New Roman"/>
          <w:sz w:val="24"/>
          <w:szCs w:val="24"/>
          <w:lang w:val="en-US"/>
        </w:rPr>
        <w:t>demonstrate</w:t>
      </w:r>
      <w:r w:rsidR="0021229C">
        <w:rPr>
          <w:rFonts w:cs="Times New Roman"/>
          <w:sz w:val="24"/>
          <w:szCs w:val="24"/>
          <w:lang w:val="en-US"/>
        </w:rPr>
        <w:t>s</w:t>
      </w:r>
      <w:r w:rsidRPr="00B65D54">
        <w:rPr>
          <w:rFonts w:cs="Times New Roman"/>
          <w:sz w:val="24"/>
          <w:szCs w:val="24"/>
          <w:lang w:val="en-US"/>
        </w:rPr>
        <w:t xml:space="preserve"> another dimension of individual participation. It can be characterized as extrajudicial and transnational. In March 2025, a group of victims filed the first criminal complaint with the Federal Prosecutor’s Office of Germany. They referred to the principle of universal jurisdiction for war crimes and crimes against humanity (Ehl, 2025). The analytical report of the New</w:t>
      </w:r>
      <w:r w:rsidR="00500BAD" w:rsidRPr="00B65D54">
        <w:rPr>
          <w:rFonts w:cs="Times New Roman"/>
          <w:sz w:val="24"/>
          <w:szCs w:val="24"/>
          <w:lang w:val="en-US"/>
        </w:rPr>
        <w:t xml:space="preserve"> </w:t>
      </w:r>
      <w:r w:rsidRPr="00B65D54">
        <w:rPr>
          <w:rFonts w:cs="Times New Roman"/>
          <w:sz w:val="24"/>
          <w:szCs w:val="24"/>
          <w:lang w:val="en-US"/>
        </w:rPr>
        <w:t>Lines</w:t>
      </w:r>
      <w:r w:rsidR="00500BAD" w:rsidRPr="00B65D54">
        <w:rPr>
          <w:rFonts w:cs="Times New Roman"/>
          <w:sz w:val="24"/>
          <w:szCs w:val="24"/>
          <w:lang w:val="en-US"/>
        </w:rPr>
        <w:t xml:space="preserve"> </w:t>
      </w:r>
      <w:r w:rsidRPr="00B65D54">
        <w:rPr>
          <w:rFonts w:cs="Times New Roman"/>
          <w:sz w:val="24"/>
          <w:szCs w:val="24"/>
          <w:lang w:val="en-US"/>
        </w:rPr>
        <w:t xml:space="preserve">Institute indicates the possible genocidal nature of the actions of government and allied forces. Given this, such a step shows that it is the victims who become the drivers of global justice when domestic and classical interstate </w:t>
      </w:r>
      <w:r w:rsidRPr="00B65D54">
        <w:rPr>
          <w:rFonts w:cs="Times New Roman"/>
          <w:sz w:val="24"/>
          <w:szCs w:val="24"/>
          <w:lang w:val="en-US"/>
        </w:rPr>
        <w:lastRenderedPageBreak/>
        <w:t xml:space="preserve">mechanisms are blocked. They give impetus to the criminal prosecution of aggressor officials in third states (Basch, 2024). </w:t>
      </w:r>
    </w:p>
    <w:p w14:paraId="7290E3EA" w14:textId="77777777" w:rsidR="00C921F3" w:rsidRDefault="00261F21" w:rsidP="00BA7676">
      <w:pPr>
        <w:spacing w:after="0"/>
        <w:ind w:firstLine="567"/>
        <w:jc w:val="both"/>
        <w:rPr>
          <w:rFonts w:cs="Times New Roman"/>
          <w:sz w:val="24"/>
          <w:szCs w:val="24"/>
          <w:lang w:val="en-US"/>
        </w:rPr>
      </w:pPr>
      <w:r w:rsidRPr="00B65D54">
        <w:rPr>
          <w:rFonts w:cs="Times New Roman"/>
          <w:sz w:val="24"/>
          <w:szCs w:val="24"/>
          <w:lang w:val="en-US"/>
        </w:rPr>
        <w:t xml:space="preserve">In addition, in 2022, Russia’s armed aggression against Ukraine revealed systemic gaps in traditional means of holding an aggressor state accountable. Mechanisms for establishing state responsibility for aggression are still limited. The International Court of Justice and other interstate bodies require the consent of states or do not have direct jurisdiction over the crime of aggression. Ukraine is trying to hold the Russian Federation accountable at the interstate level. </w:t>
      </w:r>
      <w:r w:rsidR="00C921F3">
        <w:rPr>
          <w:rFonts w:cs="Times New Roman"/>
          <w:sz w:val="24"/>
          <w:szCs w:val="24"/>
          <w:lang w:val="en-US"/>
        </w:rPr>
        <w:t>However</w:t>
      </w:r>
      <w:r w:rsidRPr="00B65D54">
        <w:rPr>
          <w:rFonts w:cs="Times New Roman"/>
          <w:sz w:val="24"/>
          <w:szCs w:val="24"/>
          <w:lang w:val="en-US"/>
        </w:rPr>
        <w:t xml:space="preserve">, there is a need for other ways to fill the existing gaps. Considerable attention has shifted to the individual criminal liability of officials and military personnel guilty of crimes. There are tools for prosecuting war criminals at both the national and international levels. </w:t>
      </w:r>
    </w:p>
    <w:p w14:paraId="2AD77DD7" w14:textId="0049C0F7" w:rsidR="00261F21" w:rsidRPr="00B65D54" w:rsidRDefault="00261F21" w:rsidP="00BA7676">
      <w:pPr>
        <w:spacing w:after="0"/>
        <w:ind w:firstLine="567"/>
        <w:jc w:val="both"/>
        <w:rPr>
          <w:rFonts w:cs="Times New Roman"/>
          <w:sz w:val="24"/>
          <w:szCs w:val="24"/>
          <w:lang w:val="en-US"/>
        </w:rPr>
      </w:pPr>
      <w:r w:rsidRPr="00B65D54">
        <w:rPr>
          <w:rFonts w:cs="Times New Roman"/>
          <w:sz w:val="24"/>
          <w:szCs w:val="24"/>
          <w:lang w:val="en-US"/>
        </w:rPr>
        <w:t>Th</w:t>
      </w:r>
      <w:r w:rsidR="00C921F3">
        <w:rPr>
          <w:rFonts w:cs="Times New Roman"/>
          <w:sz w:val="24"/>
          <w:szCs w:val="24"/>
          <w:lang w:val="en-US"/>
        </w:rPr>
        <w:t>us, th</w:t>
      </w:r>
      <w:r w:rsidRPr="00B65D54">
        <w:rPr>
          <w:rFonts w:cs="Times New Roman"/>
          <w:sz w:val="24"/>
          <w:szCs w:val="24"/>
          <w:lang w:val="en-US"/>
        </w:rPr>
        <w:t>e International Criminal Court is investigating crimes in Ukraine by issuing arrest warrants for specific individuals. At the same time, the ICC does not have jurisdiction over the crime of aggression itself in this conflict due to jurisdictional limitations. The reason for this is Russia’s non-participation in the Rome Statute. As a result, the international community is looking for alternative mechanisms for holding people accountable for aggression. There has been a political demand for the creation of a special tribunal for the crime of aggression and other new institutions, although their legal foundations remain shaky (Varga, 202</w:t>
      </w:r>
      <w:r w:rsidR="000F20B5">
        <w:rPr>
          <w:rFonts w:cs="Times New Roman"/>
          <w:sz w:val="24"/>
          <w:szCs w:val="24"/>
          <w:lang w:val="en-US"/>
        </w:rPr>
        <w:t>4</w:t>
      </w:r>
      <w:r w:rsidRPr="00B65D54">
        <w:rPr>
          <w:rFonts w:cs="Times New Roman"/>
          <w:sz w:val="24"/>
          <w:szCs w:val="24"/>
          <w:lang w:val="en-US"/>
        </w:rPr>
        <w:t>).</w:t>
      </w:r>
    </w:p>
    <w:p w14:paraId="32D3C691" w14:textId="28037BFF" w:rsidR="00764471" w:rsidRDefault="00261F21" w:rsidP="00B65D54">
      <w:pPr>
        <w:spacing w:after="0"/>
        <w:ind w:firstLine="567"/>
        <w:jc w:val="both"/>
        <w:rPr>
          <w:rFonts w:cs="Times New Roman"/>
          <w:sz w:val="24"/>
          <w:szCs w:val="24"/>
          <w:lang w:val="uk-UA"/>
        </w:rPr>
      </w:pPr>
      <w:r w:rsidRPr="00B65D54">
        <w:rPr>
          <w:rFonts w:cs="Times New Roman"/>
          <w:sz w:val="24"/>
          <w:szCs w:val="24"/>
          <w:lang w:val="en-US"/>
        </w:rPr>
        <w:t>Thus, individual initiatives change the very understanding of sovereign immunity and open up new exceptions for grave violations of jus cogens. Moreover, the prospect of individual claims and criminal proceedings in any jurisdiction increases the likelihood of real responsibility. Thus, an analysis of the role of the individual in state responsibility for aggression is necessary for the formation of practical mechanisms for the protection of human rights on a global scale.</w:t>
      </w:r>
    </w:p>
    <w:p w14:paraId="304FAB26" w14:textId="77777777" w:rsidR="00421548" w:rsidRDefault="00421548" w:rsidP="00421548">
      <w:pPr>
        <w:spacing w:after="0"/>
        <w:jc w:val="both"/>
        <w:rPr>
          <w:rFonts w:cs="Times New Roman"/>
          <w:sz w:val="24"/>
          <w:szCs w:val="24"/>
          <w:lang w:val="uk-UA"/>
        </w:rPr>
      </w:pPr>
    </w:p>
    <w:p w14:paraId="059FC961" w14:textId="7A9D5F30" w:rsidR="00421548" w:rsidRPr="00B65D54" w:rsidRDefault="00421548" w:rsidP="00421548">
      <w:pPr>
        <w:spacing w:after="0"/>
        <w:jc w:val="both"/>
        <w:rPr>
          <w:rFonts w:cs="Times New Roman"/>
          <w:b/>
          <w:bCs/>
          <w:sz w:val="24"/>
          <w:szCs w:val="24"/>
          <w:lang w:val="en-US"/>
        </w:rPr>
      </w:pPr>
      <w:r>
        <w:rPr>
          <w:rFonts w:cs="Times New Roman"/>
          <w:b/>
          <w:bCs/>
          <w:sz w:val="24"/>
          <w:szCs w:val="24"/>
          <w:lang w:val="uk-UA"/>
        </w:rPr>
        <w:t>2</w:t>
      </w:r>
      <w:r w:rsidRPr="00B65D54">
        <w:rPr>
          <w:rFonts w:cs="Times New Roman"/>
          <w:b/>
          <w:bCs/>
          <w:sz w:val="24"/>
          <w:szCs w:val="24"/>
          <w:lang w:val="en-US"/>
        </w:rPr>
        <w:t>. Literature Review</w:t>
      </w:r>
    </w:p>
    <w:p w14:paraId="5DFD2EC2" w14:textId="77777777" w:rsidR="00421548" w:rsidRPr="00B65D54" w:rsidRDefault="00421548" w:rsidP="00421548">
      <w:pPr>
        <w:spacing w:after="0"/>
        <w:jc w:val="both"/>
        <w:rPr>
          <w:rFonts w:cs="Times New Roman"/>
          <w:sz w:val="24"/>
          <w:szCs w:val="24"/>
          <w:lang w:val="en-US"/>
        </w:rPr>
      </w:pPr>
      <w:r w:rsidRPr="00B65D54">
        <w:rPr>
          <w:rFonts w:cs="Times New Roman"/>
          <w:sz w:val="24"/>
          <w:szCs w:val="24"/>
          <w:lang w:val="en-US"/>
        </w:rPr>
        <w:t>In the modern doctrine of international law, the topic of individual participation in holding states accountable is rapidly coming to the fore. Over the past decades, a significant number of works have appeared that reject state-centrism. They consider the individual as an autonomous actor in the global legal order. The selection of sources was carried out according to three criteria: 1) relevance to key aspects of the study; 2) institutional and regional diversity that goes beyond the European perspective; 3) chronological freshness, focusing on publications from 2019-2025, when the most significant practical developments took place.</w:t>
      </w:r>
    </w:p>
    <w:p w14:paraId="54F7B2DD" w14:textId="77777777" w:rsidR="00421548" w:rsidRDefault="00421548" w:rsidP="00421548">
      <w:pPr>
        <w:spacing w:after="0"/>
        <w:ind w:firstLine="567"/>
        <w:jc w:val="both"/>
        <w:rPr>
          <w:rFonts w:cs="Times New Roman"/>
          <w:sz w:val="24"/>
          <w:szCs w:val="24"/>
          <w:lang w:val="en-US"/>
        </w:rPr>
      </w:pPr>
      <w:r w:rsidRPr="00B65D54">
        <w:rPr>
          <w:rFonts w:cs="Times New Roman"/>
          <w:sz w:val="24"/>
          <w:szCs w:val="24"/>
          <w:lang w:val="en-US"/>
        </w:rPr>
        <w:t xml:space="preserve">Particular attention should be paid to the work of Stahn (2022). </w:t>
      </w:r>
      <w:r>
        <w:rPr>
          <w:rFonts w:cs="Times New Roman"/>
          <w:sz w:val="24"/>
          <w:szCs w:val="24"/>
          <w:lang w:val="en-US"/>
        </w:rPr>
        <w:t>T</w:t>
      </w:r>
      <w:r w:rsidRPr="00B65D54">
        <w:rPr>
          <w:rFonts w:cs="Times New Roman"/>
          <w:sz w:val="24"/>
          <w:szCs w:val="24"/>
          <w:lang w:val="en-US"/>
        </w:rPr>
        <w:t xml:space="preserve">he </w:t>
      </w:r>
      <w:r>
        <w:rPr>
          <w:rFonts w:cs="Times New Roman"/>
          <w:sz w:val="24"/>
          <w:szCs w:val="24"/>
          <w:lang w:val="en-US"/>
        </w:rPr>
        <w:t>researcher</w:t>
      </w:r>
      <w:r w:rsidRPr="00B65D54">
        <w:rPr>
          <w:rFonts w:cs="Times New Roman"/>
          <w:sz w:val="24"/>
          <w:szCs w:val="24"/>
          <w:lang w:val="en-US"/>
        </w:rPr>
        <w:t xml:space="preserve"> shows how the transformation of “communication wars” makes the rhetoric of victims a factor in the legal qualification of crimes. Stahn emphasizes that responsibility is formed from below. </w:t>
      </w:r>
      <w:r>
        <w:rPr>
          <w:rFonts w:cs="Times New Roman"/>
          <w:sz w:val="24"/>
          <w:szCs w:val="24"/>
          <w:lang w:val="en-US"/>
        </w:rPr>
        <w:t>This</w:t>
      </w:r>
      <w:r w:rsidRPr="00B65D54">
        <w:rPr>
          <w:rFonts w:cs="Times New Roman"/>
          <w:sz w:val="24"/>
          <w:szCs w:val="24"/>
          <w:lang w:val="en-US"/>
        </w:rPr>
        <w:t xml:space="preserve"> opinion directly supports our idea of the individual as the driver of state responsibility.</w:t>
      </w:r>
      <w:r w:rsidRPr="00702F85">
        <w:rPr>
          <w:rFonts w:cs="Times New Roman"/>
          <w:sz w:val="24"/>
          <w:szCs w:val="24"/>
          <w:lang w:val="en-US"/>
        </w:rPr>
        <w:t xml:space="preserve"> </w:t>
      </w:r>
      <w:proofErr w:type="spellStart"/>
      <w:r w:rsidRPr="00B65D54">
        <w:rPr>
          <w:rFonts w:cs="Times New Roman"/>
          <w:sz w:val="24"/>
          <w:szCs w:val="24"/>
          <w:lang w:val="en-US"/>
        </w:rPr>
        <w:t>Bilodid</w:t>
      </w:r>
      <w:proofErr w:type="spellEnd"/>
      <w:r w:rsidRPr="00B65D54">
        <w:rPr>
          <w:rFonts w:cs="Times New Roman"/>
          <w:sz w:val="24"/>
          <w:szCs w:val="24"/>
          <w:lang w:val="en-US"/>
        </w:rPr>
        <w:t xml:space="preserve"> </w:t>
      </w:r>
      <w:r>
        <w:rPr>
          <w:rFonts w:cs="Times New Roman"/>
          <w:sz w:val="24"/>
          <w:szCs w:val="24"/>
          <w:lang w:val="en-US"/>
        </w:rPr>
        <w:t>and</w:t>
      </w:r>
      <w:r w:rsidRPr="00B65D54">
        <w:rPr>
          <w:rFonts w:cs="Times New Roman"/>
          <w:sz w:val="24"/>
          <w:szCs w:val="24"/>
          <w:lang w:val="en-US"/>
        </w:rPr>
        <w:t xml:space="preserve"> Shulga (2025) </w:t>
      </w:r>
      <w:r>
        <w:rPr>
          <w:rFonts w:cs="Times New Roman"/>
          <w:sz w:val="24"/>
          <w:szCs w:val="24"/>
          <w:lang w:val="en-US"/>
        </w:rPr>
        <w:t>hold a</w:t>
      </w:r>
      <w:r w:rsidRPr="00B65D54">
        <w:rPr>
          <w:rFonts w:cs="Times New Roman"/>
          <w:sz w:val="24"/>
          <w:szCs w:val="24"/>
          <w:lang w:val="en-US"/>
        </w:rPr>
        <w:t xml:space="preserve"> similar </w:t>
      </w:r>
      <w:r>
        <w:rPr>
          <w:rFonts w:cs="Times New Roman"/>
          <w:sz w:val="24"/>
          <w:szCs w:val="24"/>
          <w:lang w:val="en-US"/>
        </w:rPr>
        <w:t>opinion.</w:t>
      </w:r>
      <w:r w:rsidRPr="00B65D54">
        <w:rPr>
          <w:rFonts w:cs="Times New Roman"/>
          <w:sz w:val="24"/>
          <w:szCs w:val="24"/>
          <w:lang w:val="en-US"/>
        </w:rPr>
        <w:t xml:space="preserve"> The authors reveal how the reform of Protocol No. 11 turned the ECtHR into a permanent body and established the judicial autonomy of the individual. Their empirical study of Ukrainian cases illustrates that a massive flow of private complaints can change national legislation.</w:t>
      </w:r>
      <w:r>
        <w:rPr>
          <w:rFonts w:cs="Times New Roman"/>
          <w:sz w:val="24"/>
          <w:szCs w:val="24"/>
          <w:lang w:val="en-US"/>
        </w:rPr>
        <w:t xml:space="preserve"> </w:t>
      </w:r>
      <w:r w:rsidRPr="00CB5B61">
        <w:rPr>
          <w:rFonts w:cs="Times New Roman"/>
          <w:sz w:val="24"/>
          <w:szCs w:val="24"/>
          <w:lang w:val="en-US"/>
        </w:rPr>
        <w:t xml:space="preserve">Within the context of Ukraine, the study by </w:t>
      </w:r>
      <w:proofErr w:type="spellStart"/>
      <w:r w:rsidRPr="00CB5B61">
        <w:rPr>
          <w:rFonts w:cs="Times New Roman"/>
          <w:sz w:val="24"/>
          <w:szCs w:val="24"/>
          <w:lang w:val="en-US"/>
        </w:rPr>
        <w:t>Kolarz</w:t>
      </w:r>
      <w:proofErr w:type="spellEnd"/>
      <w:r w:rsidRPr="00CB5B61">
        <w:rPr>
          <w:rFonts w:cs="Times New Roman"/>
          <w:sz w:val="24"/>
          <w:szCs w:val="24"/>
          <w:lang w:val="en-US"/>
        </w:rPr>
        <w:t xml:space="preserve"> (2022) should be mentioned, which analyzes how external legal mechanisms can amplify individual and collective agency amid state-level conflict accountability. The researcher advocates the European Union’s active role in empowering Ukraine’s justice system during wartime, notably through institutional and financial support for Eurojust and the International Criminal Court.</w:t>
      </w:r>
    </w:p>
    <w:p w14:paraId="3D95B681" w14:textId="77777777" w:rsidR="00421548" w:rsidRPr="00B65D54" w:rsidRDefault="00421548" w:rsidP="00421548">
      <w:pPr>
        <w:spacing w:after="0"/>
        <w:ind w:firstLine="567"/>
        <w:jc w:val="both"/>
        <w:rPr>
          <w:rFonts w:cs="Times New Roman"/>
          <w:sz w:val="24"/>
          <w:szCs w:val="24"/>
          <w:lang w:val="en-US"/>
        </w:rPr>
      </w:pPr>
      <w:r>
        <w:rPr>
          <w:rFonts w:cs="Times New Roman"/>
          <w:sz w:val="24"/>
          <w:szCs w:val="24"/>
          <w:lang w:val="en-US"/>
        </w:rPr>
        <w:t xml:space="preserve">The research by </w:t>
      </w:r>
      <w:r w:rsidRPr="00B65D54">
        <w:rPr>
          <w:rFonts w:cs="Times New Roman"/>
          <w:sz w:val="24"/>
          <w:szCs w:val="24"/>
          <w:lang w:val="en-US"/>
        </w:rPr>
        <w:t>Peters (20</w:t>
      </w:r>
      <w:r>
        <w:rPr>
          <w:rFonts w:cs="Times New Roman"/>
          <w:sz w:val="24"/>
          <w:szCs w:val="24"/>
          <w:lang w:val="en-US"/>
        </w:rPr>
        <w:t>0</w:t>
      </w:r>
      <w:r w:rsidRPr="00B65D54">
        <w:rPr>
          <w:rFonts w:cs="Times New Roman"/>
          <w:sz w:val="24"/>
          <w:szCs w:val="24"/>
          <w:lang w:val="en-US"/>
        </w:rPr>
        <w:t>9) demonstrates how the concept of “humanity” undermines the classical absolute of state sovereignty and opens up space for the direct legal personality of the individual. This provides a theoretical foundation for our analysis of the transition from state-centrism to anthropocentrism.</w:t>
      </w:r>
      <w:r>
        <w:rPr>
          <w:rFonts w:cs="Times New Roman"/>
          <w:sz w:val="24"/>
          <w:szCs w:val="24"/>
          <w:lang w:val="en-US"/>
        </w:rPr>
        <w:t xml:space="preserve"> </w:t>
      </w:r>
      <w:proofErr w:type="spellStart"/>
      <w:r w:rsidRPr="00B65D54">
        <w:rPr>
          <w:rFonts w:cs="Times New Roman"/>
          <w:sz w:val="24"/>
          <w:szCs w:val="24"/>
          <w:lang w:val="en-US"/>
        </w:rPr>
        <w:t>Šturma</w:t>
      </w:r>
      <w:proofErr w:type="spellEnd"/>
      <w:r w:rsidRPr="00B65D54">
        <w:rPr>
          <w:rFonts w:cs="Times New Roman"/>
          <w:sz w:val="24"/>
          <w:szCs w:val="24"/>
          <w:lang w:val="en-US"/>
        </w:rPr>
        <w:t xml:space="preserve"> (2020) traces the evolution of ECtHR practice from </w:t>
      </w:r>
      <w:r w:rsidRPr="00B65D54">
        <w:rPr>
          <w:rFonts w:cs="Times New Roman"/>
          <w:sz w:val="24"/>
          <w:szCs w:val="24"/>
          <w:lang w:val="en-US"/>
        </w:rPr>
        <w:lastRenderedPageBreak/>
        <w:t>individual protection to “hybrid liability”. By this phenomenon, the author understands cases where complaints by individuals serve as an evidentiary basis against states. His elaboration of the “three waves” of the Convention jurisprudence supports the empirical block of our study.</w:t>
      </w:r>
    </w:p>
    <w:p w14:paraId="3387541F" w14:textId="77777777" w:rsidR="00421548" w:rsidRDefault="00421548" w:rsidP="00421548">
      <w:pPr>
        <w:spacing w:after="0"/>
        <w:ind w:firstLine="567"/>
        <w:jc w:val="both"/>
        <w:rPr>
          <w:rFonts w:cs="Times New Roman"/>
          <w:sz w:val="24"/>
          <w:szCs w:val="24"/>
          <w:lang w:val="en-US"/>
        </w:rPr>
      </w:pPr>
      <w:r w:rsidRPr="00B65D54">
        <w:rPr>
          <w:rFonts w:cs="Times New Roman"/>
          <w:sz w:val="24"/>
          <w:szCs w:val="24"/>
          <w:lang w:val="en-US"/>
        </w:rPr>
        <w:t xml:space="preserve">Pimenova (2025) examines the procedural rights of victims in the ICC and the Reparations Fund. The author shows that the participation of individuals is becoming the new norm. </w:t>
      </w:r>
      <w:r w:rsidRPr="00CB5B61">
        <w:rPr>
          <w:rFonts w:cs="Times New Roman"/>
          <w:sz w:val="24"/>
          <w:szCs w:val="24"/>
          <w:lang w:val="en-US"/>
        </w:rPr>
        <w:t xml:space="preserve">The research by </w:t>
      </w:r>
      <w:proofErr w:type="spellStart"/>
      <w:r w:rsidRPr="00CB5B61">
        <w:rPr>
          <w:rFonts w:cs="Times New Roman"/>
          <w:sz w:val="24"/>
          <w:szCs w:val="24"/>
          <w:lang w:val="en-US"/>
        </w:rPr>
        <w:t>Burjaliani</w:t>
      </w:r>
      <w:proofErr w:type="spellEnd"/>
      <w:r w:rsidRPr="00CB5B61">
        <w:rPr>
          <w:rFonts w:cs="Times New Roman"/>
          <w:sz w:val="24"/>
          <w:szCs w:val="24"/>
          <w:lang w:val="en-US"/>
        </w:rPr>
        <w:t xml:space="preserve"> (2021) underscores the central theme of the individual as an emerging locus of accountability. The researcher analyzes the </w:t>
      </w:r>
      <w:r>
        <w:rPr>
          <w:rFonts w:cs="Times New Roman"/>
          <w:sz w:val="24"/>
          <w:szCs w:val="24"/>
          <w:lang w:val="en-US"/>
        </w:rPr>
        <w:t xml:space="preserve">ECtHR </w:t>
      </w:r>
      <w:r w:rsidRPr="00CB5B61">
        <w:rPr>
          <w:rFonts w:cs="Times New Roman"/>
          <w:sz w:val="24"/>
          <w:szCs w:val="24"/>
          <w:lang w:val="en-US"/>
        </w:rPr>
        <w:t>ruling</w:t>
      </w:r>
      <w:r>
        <w:rPr>
          <w:rFonts w:cs="Times New Roman"/>
          <w:sz w:val="24"/>
          <w:szCs w:val="24"/>
          <w:lang w:val="en-US"/>
        </w:rPr>
        <w:t xml:space="preserve"> </w:t>
      </w:r>
      <w:r w:rsidRPr="00CB5B61">
        <w:rPr>
          <w:rFonts w:cs="Times New Roman"/>
          <w:sz w:val="24"/>
          <w:szCs w:val="24"/>
          <w:lang w:val="en-US"/>
        </w:rPr>
        <w:t xml:space="preserve">in the case of Georgia v. Russia, holding Russia accountable for numerous human rights violations. </w:t>
      </w:r>
      <w:proofErr w:type="spellStart"/>
      <w:r w:rsidRPr="00CB5B61">
        <w:rPr>
          <w:rFonts w:cs="Times New Roman"/>
          <w:sz w:val="24"/>
          <w:szCs w:val="24"/>
          <w:lang w:val="en-US"/>
        </w:rPr>
        <w:t>Burjaliani</w:t>
      </w:r>
      <w:proofErr w:type="spellEnd"/>
      <w:r w:rsidRPr="00CB5B61">
        <w:rPr>
          <w:rFonts w:cs="Times New Roman"/>
          <w:sz w:val="24"/>
          <w:szCs w:val="24"/>
          <w:lang w:val="en-US"/>
        </w:rPr>
        <w:t xml:space="preserve"> believes that this case signifies the expanding power of individual and interstate litigation as a means to address state misconduct. Arizmendi’s (2025) scholarly work traces the evolution of individuals from passive subjects under the traditional state-centric model to empowered actors in international law. This work reinforces the theoretical foundation of the historical transformation of individual agency.</w:t>
      </w:r>
    </w:p>
    <w:p w14:paraId="0239FCB1" w14:textId="69B2FA42" w:rsidR="00421548" w:rsidRPr="00421548" w:rsidRDefault="00421548" w:rsidP="00421548">
      <w:pPr>
        <w:spacing w:after="0"/>
        <w:jc w:val="both"/>
        <w:rPr>
          <w:rFonts w:cs="Times New Roman"/>
          <w:sz w:val="24"/>
          <w:szCs w:val="24"/>
          <w:highlight w:val="yellow"/>
          <w:lang w:val="uk-UA"/>
        </w:rPr>
      </w:pPr>
      <w:r>
        <w:rPr>
          <w:rFonts w:cs="Times New Roman"/>
          <w:sz w:val="24"/>
          <w:szCs w:val="24"/>
          <w:lang w:val="en-US"/>
        </w:rPr>
        <w:t>Thus, c</w:t>
      </w:r>
      <w:r w:rsidRPr="00CB5B61">
        <w:rPr>
          <w:rFonts w:cs="Times New Roman"/>
          <w:sz w:val="24"/>
          <w:szCs w:val="24"/>
          <w:lang w:val="en-US"/>
        </w:rPr>
        <w:t>ontemporary international law increasingly recognizes individuals as autonomous actors in ensuring state accountability. Emerging jurisprudence and scholarship confirm a shift from state-centrism to anthropocentrism, demonstrating that individual participation has become a systemic and irreversible element in addressing internationally wrongful acts of states.</w:t>
      </w:r>
    </w:p>
    <w:p w14:paraId="4EBC895A" w14:textId="77777777" w:rsidR="00261F21" w:rsidRPr="00B65D54" w:rsidRDefault="00261F21" w:rsidP="00B65D54">
      <w:pPr>
        <w:spacing w:after="0"/>
        <w:jc w:val="both"/>
        <w:rPr>
          <w:rFonts w:cs="Times New Roman"/>
          <w:sz w:val="24"/>
          <w:szCs w:val="24"/>
          <w:lang w:val="en-US"/>
        </w:rPr>
      </w:pPr>
    </w:p>
    <w:p w14:paraId="608F8D21" w14:textId="43D60788" w:rsidR="006431E0" w:rsidRPr="00B65D54" w:rsidRDefault="00421548" w:rsidP="00B65D54">
      <w:pPr>
        <w:spacing w:after="0"/>
        <w:jc w:val="both"/>
        <w:rPr>
          <w:rFonts w:cs="Times New Roman"/>
          <w:b/>
          <w:bCs/>
          <w:sz w:val="24"/>
          <w:szCs w:val="24"/>
          <w:lang w:val="en-US"/>
        </w:rPr>
      </w:pPr>
      <w:r>
        <w:rPr>
          <w:rFonts w:cs="Times New Roman"/>
          <w:b/>
          <w:bCs/>
          <w:sz w:val="24"/>
          <w:szCs w:val="24"/>
          <w:lang w:val="uk-UA"/>
        </w:rPr>
        <w:t>3</w:t>
      </w:r>
      <w:r w:rsidR="00261F21" w:rsidRPr="00B65D54">
        <w:rPr>
          <w:rFonts w:cs="Times New Roman"/>
          <w:b/>
          <w:bCs/>
          <w:sz w:val="24"/>
          <w:szCs w:val="24"/>
          <w:lang w:val="en-US"/>
        </w:rPr>
        <w:t xml:space="preserve">. </w:t>
      </w:r>
      <w:r w:rsidR="000F20B5" w:rsidRPr="00B65D54">
        <w:rPr>
          <w:rFonts w:cs="Times New Roman"/>
          <w:b/>
          <w:bCs/>
          <w:sz w:val="24"/>
          <w:szCs w:val="24"/>
          <w:lang w:val="en-US"/>
        </w:rPr>
        <w:t>Methodolog</w:t>
      </w:r>
      <w:r w:rsidR="000F20B5">
        <w:rPr>
          <w:rFonts w:cs="Times New Roman"/>
          <w:b/>
          <w:bCs/>
          <w:sz w:val="24"/>
          <w:szCs w:val="24"/>
          <w:lang w:val="en-US"/>
        </w:rPr>
        <w:t>ical Framework</w:t>
      </w:r>
    </w:p>
    <w:p w14:paraId="610A36EF" w14:textId="77777777" w:rsidR="00261F21" w:rsidRPr="00B65D54" w:rsidRDefault="00261F21" w:rsidP="00B65D54">
      <w:pPr>
        <w:spacing w:after="0"/>
        <w:jc w:val="both"/>
        <w:rPr>
          <w:rFonts w:cs="Times New Roman"/>
          <w:sz w:val="24"/>
          <w:szCs w:val="24"/>
          <w:lang w:val="en-US"/>
        </w:rPr>
      </w:pPr>
      <w:r w:rsidRPr="00B65D54">
        <w:rPr>
          <w:rFonts w:cs="Times New Roman"/>
          <w:sz w:val="24"/>
          <w:szCs w:val="24"/>
          <w:lang w:val="en-US"/>
        </w:rPr>
        <w:t>The methodological basis of the work is formed from general scientific and special legal approaches. This allowed us to consider the international legal responsibility of the state through the dynamic interaction of norms. The starting point is the dialectical approach, which sees international law not as a static system of norms, but as a process of constant renewal under the pressure of opposing imperatives. On this theoretical basis, a system-structural analysis was applied. The author decomposed the mechanism of responsibility into subsystems (collection of evidence, proceedings, execution of decisions); determined the functions of international and national courts; identified the execution gap.</w:t>
      </w:r>
    </w:p>
    <w:p w14:paraId="64134948" w14:textId="77777777" w:rsidR="0019205F" w:rsidRDefault="00261F21" w:rsidP="000F20B5">
      <w:pPr>
        <w:spacing w:after="0"/>
        <w:ind w:firstLine="567"/>
        <w:jc w:val="both"/>
        <w:rPr>
          <w:rFonts w:cs="Times New Roman"/>
          <w:sz w:val="24"/>
          <w:szCs w:val="24"/>
          <w:lang w:val="en-US"/>
        </w:rPr>
      </w:pPr>
      <w:r w:rsidRPr="00B65D54">
        <w:rPr>
          <w:rFonts w:cs="Times New Roman"/>
          <w:sz w:val="24"/>
          <w:szCs w:val="24"/>
          <w:lang w:val="en-US"/>
        </w:rPr>
        <w:t xml:space="preserve">For the normative component of the study, the formal-legal method was used. In particular, this method was applied through the literal and systemic interpretation of the Rome Statute, the European Convention and other considered acts. Their analysis allowed us to investigate the formation of the role of an individual in holding the state accountable through legal acts that underwent changes. The results of the formal legal analysis were critically compared with the actual mechanisms for implementing decisions and made it possible to outline regulatory gaps. In particular, it was established that although Art. 94 of the UN Charter imposes on states the obligation to implement the decisions of the International Court of Justice, the absence of procedural sanctions makes this norm declaratory. </w:t>
      </w:r>
      <w:r w:rsidR="0041577B" w:rsidRPr="0019205F">
        <w:rPr>
          <w:rFonts w:cs="Times New Roman"/>
          <w:sz w:val="24"/>
          <w:szCs w:val="24"/>
          <w:lang w:val="en-US"/>
        </w:rPr>
        <w:t xml:space="preserve">Similarly, the ECHR does not contain mandatory deadlines for the enforcement of ECtHR judgments, including judgments in civil </w:t>
      </w:r>
      <w:r w:rsidR="00422153" w:rsidRPr="0019205F">
        <w:rPr>
          <w:rFonts w:cs="Times New Roman"/>
          <w:sz w:val="24"/>
          <w:szCs w:val="24"/>
          <w:lang w:val="en-US"/>
        </w:rPr>
        <w:t>confiscation</w:t>
      </w:r>
      <w:r w:rsidR="00422153" w:rsidRPr="0019205F">
        <w:rPr>
          <w:rFonts w:cs="Times New Roman"/>
          <w:sz w:val="24"/>
          <w:szCs w:val="24"/>
          <w:lang w:val="uk-UA"/>
        </w:rPr>
        <w:t xml:space="preserve"> </w:t>
      </w:r>
      <w:r w:rsidR="0041577B" w:rsidRPr="0019205F">
        <w:rPr>
          <w:rFonts w:cs="Times New Roman"/>
          <w:sz w:val="24"/>
          <w:szCs w:val="24"/>
          <w:lang w:val="en-US"/>
        </w:rPr>
        <w:t>cases.</w:t>
      </w:r>
      <w:r w:rsidR="0041577B" w:rsidRPr="00B65D54">
        <w:rPr>
          <w:rFonts w:cs="Times New Roman"/>
          <w:sz w:val="24"/>
          <w:szCs w:val="24"/>
          <w:lang w:val="uk-UA"/>
        </w:rPr>
        <w:t xml:space="preserve"> </w:t>
      </w:r>
    </w:p>
    <w:p w14:paraId="5FEA60CA" w14:textId="183C51BF" w:rsidR="00261F21" w:rsidRPr="00B65D54" w:rsidRDefault="0019205F" w:rsidP="000F20B5">
      <w:pPr>
        <w:spacing w:after="0"/>
        <w:ind w:firstLine="567"/>
        <w:jc w:val="both"/>
        <w:rPr>
          <w:rFonts w:cs="Times New Roman"/>
          <w:sz w:val="24"/>
          <w:szCs w:val="24"/>
          <w:lang w:val="en-US"/>
        </w:rPr>
      </w:pPr>
      <w:r>
        <w:rPr>
          <w:rFonts w:cs="Times New Roman"/>
          <w:sz w:val="24"/>
          <w:szCs w:val="24"/>
          <w:lang w:val="en-US"/>
        </w:rPr>
        <w:t xml:space="preserve">The </w:t>
      </w:r>
      <w:r w:rsidR="00261F21" w:rsidRPr="00B65D54">
        <w:rPr>
          <w:rFonts w:cs="Times New Roman"/>
          <w:sz w:val="24"/>
          <w:szCs w:val="24"/>
          <w:lang w:val="en-US"/>
        </w:rPr>
        <w:t xml:space="preserve">historical method was applied to analyze the retrospective role of the state and the individual in international relations. The treatises and doctrinal works of classical positivism of the 17th–19th centuries were analyzed, which consolidated the state-centric paradigm. </w:t>
      </w:r>
      <w:r>
        <w:rPr>
          <w:rFonts w:cs="Times New Roman"/>
          <w:sz w:val="24"/>
          <w:szCs w:val="24"/>
          <w:lang w:val="en-US"/>
        </w:rPr>
        <w:t>T</w:t>
      </w:r>
      <w:r w:rsidR="00261F21" w:rsidRPr="00B65D54">
        <w:rPr>
          <w:rFonts w:cs="Times New Roman"/>
          <w:sz w:val="24"/>
          <w:szCs w:val="24"/>
          <w:lang w:val="en-US"/>
        </w:rPr>
        <w:t xml:space="preserve">he </w:t>
      </w:r>
      <w:r>
        <w:rPr>
          <w:rFonts w:cs="Times New Roman"/>
          <w:sz w:val="24"/>
          <w:szCs w:val="24"/>
          <w:lang w:val="en-US"/>
        </w:rPr>
        <w:t xml:space="preserve">article then described </w:t>
      </w:r>
      <w:r w:rsidR="00261F21" w:rsidRPr="00B65D54">
        <w:rPr>
          <w:rFonts w:cs="Times New Roman"/>
          <w:sz w:val="24"/>
          <w:szCs w:val="24"/>
          <w:lang w:val="en-US"/>
        </w:rPr>
        <w:t xml:space="preserve">the acts and theoretical discussions of the League of Nations, where the idea of international individual criminal responsibility was first voiced. The final point was the period after 1945, when the Nuremberg and Tokyo tribunals laid the legal foundation for individual responsibility for international crimes. Such a consistent review </w:t>
      </w:r>
      <w:r>
        <w:rPr>
          <w:rFonts w:cs="Times New Roman"/>
          <w:sz w:val="24"/>
          <w:szCs w:val="24"/>
          <w:lang w:val="en-US"/>
        </w:rPr>
        <w:t>showed</w:t>
      </w:r>
      <w:r w:rsidR="00261F21" w:rsidRPr="00B65D54">
        <w:rPr>
          <w:rFonts w:cs="Times New Roman"/>
          <w:sz w:val="24"/>
          <w:szCs w:val="24"/>
          <w:lang w:val="en-US"/>
        </w:rPr>
        <w:t xml:space="preserve"> that modern mechanisms for holding the state accountable have deep roots. Using this method, the author traced the shift in emphasis in international relations from the state to the individual.</w:t>
      </w:r>
    </w:p>
    <w:p w14:paraId="3D9020CA" w14:textId="2AF134EC" w:rsidR="00261F21" w:rsidRPr="00B65D54" w:rsidRDefault="00261F21" w:rsidP="000F20B5">
      <w:pPr>
        <w:spacing w:after="0"/>
        <w:ind w:firstLine="567"/>
        <w:jc w:val="both"/>
        <w:rPr>
          <w:rFonts w:cs="Times New Roman"/>
          <w:sz w:val="24"/>
          <w:szCs w:val="24"/>
          <w:lang w:val="en-US"/>
        </w:rPr>
      </w:pPr>
      <w:r w:rsidRPr="00B65D54">
        <w:rPr>
          <w:rFonts w:cs="Times New Roman"/>
          <w:sz w:val="24"/>
          <w:szCs w:val="24"/>
          <w:lang w:val="en-US"/>
        </w:rPr>
        <w:t xml:space="preserve">The </w:t>
      </w:r>
      <w:r w:rsidR="0019205F">
        <w:rPr>
          <w:rFonts w:cs="Times New Roman"/>
          <w:sz w:val="24"/>
          <w:szCs w:val="24"/>
          <w:lang w:val="en-US"/>
        </w:rPr>
        <w:t>article</w:t>
      </w:r>
      <w:r w:rsidRPr="00B65D54">
        <w:rPr>
          <w:rFonts w:cs="Times New Roman"/>
          <w:sz w:val="24"/>
          <w:szCs w:val="24"/>
          <w:lang w:val="en-US"/>
        </w:rPr>
        <w:t xml:space="preserve"> used the method of logical analysis. Its goal was to divide complex legal phenomena into their basic elements. At the normative level, this meant the gradual separation </w:t>
      </w:r>
      <w:r w:rsidRPr="00B65D54">
        <w:rPr>
          <w:rFonts w:cs="Times New Roman"/>
          <w:sz w:val="24"/>
          <w:szCs w:val="24"/>
          <w:lang w:val="en-US"/>
        </w:rPr>
        <w:lastRenderedPageBreak/>
        <w:t>from the texts of legal acts of those norms that directly define the procedural rights of the individual. At the empirical level, the analytical approach allowed us to detail each of the considered cases. After detailing individual elements, the synthesis method was applied. This made it possible to collect disparate conclusions into a coherent conceptual picture. The normative results were combined with empirical observations. Such a synthetic framework made it possible to identify systemic gaps and immediately correlate them with potential points of intervention.</w:t>
      </w:r>
    </w:p>
    <w:p w14:paraId="1B0B43A7" w14:textId="7D9F5FC4" w:rsidR="00F45E43" w:rsidRPr="00B65D54" w:rsidRDefault="00261F21" w:rsidP="000F20B5">
      <w:pPr>
        <w:spacing w:after="0"/>
        <w:ind w:firstLine="567"/>
        <w:jc w:val="both"/>
        <w:rPr>
          <w:rFonts w:cs="Times New Roman"/>
          <w:sz w:val="24"/>
          <w:szCs w:val="24"/>
          <w:lang w:val="en-US"/>
        </w:rPr>
      </w:pPr>
      <w:r w:rsidRPr="00B65D54">
        <w:rPr>
          <w:rFonts w:cs="Times New Roman"/>
          <w:sz w:val="24"/>
          <w:szCs w:val="24"/>
          <w:lang w:val="en-US"/>
        </w:rPr>
        <w:t>The empirical method ensured a proper analysis of the case study. A number of key precedents of the past and present centuries helped to test the hypothesis about the decisive role of coalitions of individuals in launching procedures against the state. To verify the trends, a content analysis and statistical review of the HUDOC databases, ICC and UN reports, and European Implementation Network data were carried out. When formulating recommendations, the author used a normatively projective approach. Models of ways to eliminate existing barriers were proposed and their effectiveness was assessed, and not just a formal expansion of the regulatory framework. The reliability of the conclusions is ensured by triangulation of dogmatic, comparative, and empirical material.</w:t>
      </w:r>
    </w:p>
    <w:p w14:paraId="51E3AA6C" w14:textId="77777777" w:rsidR="00935945" w:rsidRPr="00421548" w:rsidRDefault="00935945" w:rsidP="00B65D54">
      <w:pPr>
        <w:spacing w:after="0"/>
        <w:jc w:val="both"/>
        <w:rPr>
          <w:rFonts w:cs="Times New Roman"/>
          <w:sz w:val="24"/>
          <w:szCs w:val="24"/>
          <w:lang w:val="uk-UA"/>
        </w:rPr>
      </w:pPr>
    </w:p>
    <w:p w14:paraId="1F8542E1" w14:textId="62EF074E" w:rsidR="005C03F1" w:rsidRPr="00B65D54" w:rsidRDefault="006431E0" w:rsidP="00B65D54">
      <w:pPr>
        <w:spacing w:after="0"/>
        <w:jc w:val="both"/>
        <w:rPr>
          <w:rFonts w:cs="Times New Roman"/>
          <w:b/>
          <w:bCs/>
          <w:sz w:val="24"/>
          <w:szCs w:val="24"/>
          <w:lang w:val="en-US"/>
        </w:rPr>
      </w:pPr>
      <w:r w:rsidRPr="00B65D54">
        <w:rPr>
          <w:rFonts w:cs="Times New Roman"/>
          <w:b/>
          <w:bCs/>
          <w:sz w:val="24"/>
          <w:szCs w:val="24"/>
          <w:lang w:val="en-US"/>
        </w:rPr>
        <w:t xml:space="preserve">4. </w:t>
      </w:r>
      <w:r w:rsidR="00F07DA4" w:rsidRPr="00B65D54">
        <w:rPr>
          <w:rFonts w:cs="Times New Roman"/>
          <w:b/>
          <w:bCs/>
          <w:sz w:val="24"/>
          <w:szCs w:val="24"/>
          <w:lang w:val="en-US"/>
        </w:rPr>
        <w:t>Results</w:t>
      </w:r>
    </w:p>
    <w:p w14:paraId="39B85ADD" w14:textId="51E735F9" w:rsidR="00AB4B28" w:rsidRPr="00B65D54" w:rsidRDefault="005C03F1" w:rsidP="00B65D54">
      <w:pPr>
        <w:spacing w:after="0"/>
        <w:jc w:val="both"/>
        <w:rPr>
          <w:rFonts w:cs="Times New Roman"/>
          <w:i/>
          <w:iCs/>
          <w:sz w:val="24"/>
          <w:szCs w:val="24"/>
          <w:lang w:val="en-US"/>
        </w:rPr>
      </w:pPr>
      <w:r w:rsidRPr="00B65D54">
        <w:rPr>
          <w:rFonts w:cs="Times New Roman"/>
          <w:i/>
          <w:iCs/>
          <w:sz w:val="24"/>
          <w:szCs w:val="24"/>
          <w:lang w:val="en-US"/>
        </w:rPr>
        <w:t xml:space="preserve">4.1. </w:t>
      </w:r>
      <w:r w:rsidR="00261F21" w:rsidRPr="00B65D54">
        <w:rPr>
          <w:rFonts w:cs="Times New Roman"/>
          <w:i/>
          <w:iCs/>
          <w:sz w:val="24"/>
          <w:szCs w:val="24"/>
          <w:lang w:val="en-US"/>
        </w:rPr>
        <w:t>Historical transformation of the role of the individual in the system of international law</w:t>
      </w:r>
    </w:p>
    <w:p w14:paraId="4A04B357" w14:textId="77777777" w:rsidR="00642C15" w:rsidRDefault="00713241" w:rsidP="00B65D54">
      <w:pPr>
        <w:spacing w:after="0"/>
        <w:jc w:val="both"/>
        <w:rPr>
          <w:rFonts w:cs="Times New Roman"/>
          <w:sz w:val="24"/>
          <w:szCs w:val="24"/>
          <w:lang w:val="en-US"/>
        </w:rPr>
      </w:pPr>
      <w:r w:rsidRPr="00B65D54">
        <w:rPr>
          <w:rFonts w:cs="Times New Roman"/>
          <w:sz w:val="24"/>
          <w:szCs w:val="24"/>
          <w:lang w:val="en-US"/>
        </w:rPr>
        <w:t xml:space="preserve">In the classical sense, international law has long been perceived as the law of states. The idea of state-centrism occupied a central place in this paradigm. Its essence was revealed through the idea that only states were recognized as full-fledged subjects of international law. </w:t>
      </w:r>
      <w:r w:rsidR="00F07DA4">
        <w:rPr>
          <w:rFonts w:cs="Times New Roman"/>
          <w:sz w:val="24"/>
          <w:szCs w:val="24"/>
          <w:lang w:val="en-US"/>
        </w:rPr>
        <w:t>O</w:t>
      </w:r>
      <w:r w:rsidRPr="00B65D54">
        <w:rPr>
          <w:rFonts w:cs="Times New Roman"/>
          <w:sz w:val="24"/>
          <w:szCs w:val="24"/>
          <w:lang w:val="en-US"/>
        </w:rPr>
        <w:t>nly a state is capable of concluding international treaties, creating obligations, and acting as a party in disputes (</w:t>
      </w:r>
      <w:proofErr w:type="spellStart"/>
      <w:r w:rsidRPr="00B65D54">
        <w:rPr>
          <w:rFonts w:cs="Times New Roman"/>
          <w:sz w:val="24"/>
          <w:szCs w:val="24"/>
          <w:lang w:val="en-US"/>
        </w:rPr>
        <w:t>Yermolenko</w:t>
      </w:r>
      <w:proofErr w:type="spellEnd"/>
      <w:r w:rsidRPr="00B65D54">
        <w:rPr>
          <w:rFonts w:cs="Times New Roman"/>
          <w:sz w:val="24"/>
          <w:szCs w:val="24"/>
          <w:lang w:val="en-US"/>
        </w:rPr>
        <w:t xml:space="preserve">-Knyazeva, 2021). In contrast, individuals were outside this legal order and were limited by the jurisdiction of their state. Even the protection of their rights was implemented indirectly, mainly through the institution of diplomatic protection. This approach was enshrined in the Westphalian system, which laid the foundations for the classical model of international law. According to this model, the state was recognized as the sole and central actor in the global legal order. In addition, its sovereignty was considered absolute and not subject to external interference (Arizmendi, 2025). </w:t>
      </w:r>
    </w:p>
    <w:p w14:paraId="4754D7F4" w14:textId="140C35D5" w:rsidR="00713241" w:rsidRPr="00B65D54" w:rsidRDefault="00713241" w:rsidP="00F07DA4">
      <w:pPr>
        <w:spacing w:after="0"/>
        <w:ind w:firstLine="567"/>
        <w:jc w:val="both"/>
        <w:rPr>
          <w:rFonts w:cs="Times New Roman"/>
          <w:sz w:val="24"/>
          <w:szCs w:val="24"/>
          <w:lang w:val="en-US"/>
        </w:rPr>
      </w:pPr>
      <w:r w:rsidRPr="00B65D54">
        <w:rPr>
          <w:rFonts w:cs="Times New Roman"/>
          <w:sz w:val="24"/>
          <w:szCs w:val="24"/>
          <w:lang w:val="en-US"/>
        </w:rPr>
        <w:t>Key changes took place after World War II. The catastrophic consequences of the conflict exposed the inadequacy of the traditional model, which was focused exclusively on the state. This moment marked the beginning of the humanization of international law. This can be called a process in which a person as an individual acquires real international significance as a bearer of rights and obligations (Peters, 20</w:t>
      </w:r>
      <w:r w:rsidR="00EF4B9D">
        <w:rPr>
          <w:rFonts w:cs="Times New Roman"/>
          <w:sz w:val="24"/>
          <w:szCs w:val="24"/>
          <w:lang w:val="en-US"/>
        </w:rPr>
        <w:t>0</w:t>
      </w:r>
      <w:r w:rsidRPr="00B65D54">
        <w:rPr>
          <w:rFonts w:cs="Times New Roman"/>
          <w:sz w:val="24"/>
          <w:szCs w:val="24"/>
          <w:lang w:val="en-US"/>
        </w:rPr>
        <w:t xml:space="preserve">9). One of the first to consistently argue for the need to recognize the individual as a subject of international law was the renowned lawyer </w:t>
      </w:r>
      <w:proofErr w:type="spellStart"/>
      <w:r w:rsidRPr="00B65D54">
        <w:rPr>
          <w:rFonts w:cs="Times New Roman"/>
          <w:sz w:val="24"/>
          <w:szCs w:val="24"/>
          <w:lang w:val="en-US"/>
        </w:rPr>
        <w:t>Lauterpacht</w:t>
      </w:r>
      <w:proofErr w:type="spellEnd"/>
      <w:r w:rsidRPr="00B65D54">
        <w:rPr>
          <w:rFonts w:cs="Times New Roman"/>
          <w:sz w:val="24"/>
          <w:szCs w:val="24"/>
          <w:lang w:val="en-US"/>
        </w:rPr>
        <w:t>. He argued that international law should apply not only to states but also to individuals as direct participants in the global legal order (</w:t>
      </w:r>
      <w:proofErr w:type="spellStart"/>
      <w:r w:rsidRPr="00B65D54">
        <w:rPr>
          <w:rFonts w:cs="Times New Roman"/>
          <w:sz w:val="24"/>
          <w:szCs w:val="24"/>
          <w:lang w:val="en-US"/>
        </w:rPr>
        <w:t>Sheredko</w:t>
      </w:r>
      <w:proofErr w:type="spellEnd"/>
      <w:r w:rsidRPr="00B65D54">
        <w:rPr>
          <w:rFonts w:cs="Times New Roman"/>
          <w:sz w:val="24"/>
          <w:szCs w:val="24"/>
          <w:lang w:val="en-US"/>
        </w:rPr>
        <w:t>, 2023). His position was reflected in his subsequent works, in particular in the theory of limited international legal personality of individuals.</w:t>
      </w:r>
    </w:p>
    <w:p w14:paraId="4DD78FD3" w14:textId="1F4FE74C" w:rsidR="00713241" w:rsidRPr="00B65D54" w:rsidRDefault="00713241" w:rsidP="005723B2">
      <w:pPr>
        <w:spacing w:after="0"/>
        <w:ind w:firstLine="567"/>
        <w:jc w:val="both"/>
        <w:rPr>
          <w:rFonts w:cs="Times New Roman"/>
          <w:sz w:val="24"/>
          <w:szCs w:val="24"/>
          <w:lang w:val="en-US"/>
        </w:rPr>
      </w:pPr>
      <w:r w:rsidRPr="00B65D54">
        <w:rPr>
          <w:rFonts w:cs="Times New Roman"/>
          <w:sz w:val="24"/>
          <w:szCs w:val="24"/>
          <w:lang w:val="en-US"/>
        </w:rPr>
        <w:t>The further evolution of international human rights law after 1945 proved the growing role of the individual. The adoption of the UN Charter and key international legal instruments for the protection of human rights gave individuals a direct opportunity to protect their rights at the international level</w:t>
      </w:r>
      <w:r w:rsidR="005723B2">
        <w:rPr>
          <w:rFonts w:cs="Times New Roman"/>
          <w:sz w:val="24"/>
          <w:szCs w:val="24"/>
          <w:lang w:val="uk-UA"/>
        </w:rPr>
        <w:t xml:space="preserve"> </w:t>
      </w:r>
      <w:r w:rsidR="005723B2" w:rsidRPr="00B65D54">
        <w:rPr>
          <w:rFonts w:cs="Times New Roman"/>
          <w:sz w:val="24"/>
          <w:szCs w:val="24"/>
          <w:lang w:val="en-US"/>
        </w:rPr>
        <w:t>(</w:t>
      </w:r>
      <w:r w:rsidR="005723B2">
        <w:rPr>
          <w:rStyle w:val="af"/>
          <w:rFonts w:cs="Times New Roman"/>
          <w:b w:val="0"/>
          <w:bCs w:val="0"/>
          <w:sz w:val="24"/>
          <w:szCs w:val="24"/>
          <w:lang w:val="en-US"/>
        </w:rPr>
        <w:t>Council of Europe</w:t>
      </w:r>
      <w:r w:rsidR="005723B2" w:rsidRPr="00B65D54">
        <w:rPr>
          <w:rFonts w:cs="Times New Roman"/>
          <w:sz w:val="24"/>
          <w:szCs w:val="24"/>
          <w:lang w:val="en-US"/>
        </w:rPr>
        <w:t>, 1950)</w:t>
      </w:r>
      <w:r w:rsidRPr="00B65D54">
        <w:rPr>
          <w:rFonts w:cs="Times New Roman"/>
          <w:sz w:val="24"/>
          <w:szCs w:val="24"/>
          <w:lang w:val="en-US"/>
        </w:rPr>
        <w:t xml:space="preserve">. However, the concept of international criminal responsibility of individuals was actively developed in parallel with the development of international law. This concept has become one of the key forms of legal reinforcement of the role of individuals in the context of internationally wrongful acts of states. </w:t>
      </w:r>
    </w:p>
    <w:p w14:paraId="38543D30" w14:textId="1D1B486F" w:rsidR="00713241" w:rsidRPr="00B65D54" w:rsidRDefault="00713241" w:rsidP="009B61CF">
      <w:pPr>
        <w:spacing w:after="0"/>
        <w:ind w:firstLine="567"/>
        <w:jc w:val="both"/>
        <w:rPr>
          <w:rFonts w:cs="Times New Roman"/>
          <w:sz w:val="24"/>
          <w:szCs w:val="24"/>
          <w:lang w:val="en-US"/>
        </w:rPr>
      </w:pPr>
      <w:r w:rsidRPr="00B65D54">
        <w:rPr>
          <w:rFonts w:cs="Times New Roman"/>
          <w:sz w:val="24"/>
          <w:szCs w:val="24"/>
          <w:lang w:val="en-US"/>
        </w:rPr>
        <w:t xml:space="preserve">Legitimacy for </w:t>
      </w:r>
      <w:r w:rsidR="005723B2" w:rsidRPr="00B65D54">
        <w:rPr>
          <w:rFonts w:cs="Times New Roman"/>
          <w:sz w:val="24"/>
          <w:szCs w:val="24"/>
          <w:lang w:val="en-US"/>
        </w:rPr>
        <w:t>the practice of personalized responsibility</w:t>
      </w:r>
      <w:r w:rsidR="005723B2" w:rsidRPr="00B65D54">
        <w:rPr>
          <w:rFonts w:cs="Times New Roman"/>
          <w:sz w:val="24"/>
          <w:szCs w:val="24"/>
          <w:lang w:val="en-US"/>
        </w:rPr>
        <w:t xml:space="preserve"> </w:t>
      </w:r>
      <w:r w:rsidRPr="00B65D54">
        <w:rPr>
          <w:rFonts w:cs="Times New Roman"/>
          <w:sz w:val="24"/>
          <w:szCs w:val="24"/>
          <w:lang w:val="en-US"/>
        </w:rPr>
        <w:t>was provided by UN General Assembly Resolution No. 95 (I) (</w:t>
      </w:r>
      <w:r w:rsidR="00AF0FFB" w:rsidRPr="00AF0FFB">
        <w:rPr>
          <w:rFonts w:cs="Times New Roman"/>
          <w:sz w:val="24"/>
          <w:szCs w:val="24"/>
          <w:lang w:val="en-US"/>
        </w:rPr>
        <w:t>Cassese</w:t>
      </w:r>
      <w:r w:rsidRPr="00B65D54">
        <w:rPr>
          <w:rFonts w:cs="Times New Roman"/>
          <w:sz w:val="24"/>
          <w:szCs w:val="24"/>
          <w:lang w:val="en-US"/>
        </w:rPr>
        <w:t xml:space="preserve">, </w:t>
      </w:r>
      <w:r w:rsidR="00AF0FFB">
        <w:rPr>
          <w:rFonts w:cs="Times New Roman"/>
          <w:sz w:val="24"/>
          <w:szCs w:val="24"/>
          <w:lang w:val="en-US"/>
        </w:rPr>
        <w:t>2009</w:t>
      </w:r>
      <w:r w:rsidRPr="00B65D54">
        <w:rPr>
          <w:rFonts w:cs="Times New Roman"/>
          <w:sz w:val="24"/>
          <w:szCs w:val="24"/>
          <w:lang w:val="en-US"/>
        </w:rPr>
        <w:t xml:space="preserve">). This concept was further developed within the framework of specialized ad hoc international tribunals, in particular those dealing with the </w:t>
      </w:r>
      <w:r w:rsidRPr="00B65D54">
        <w:rPr>
          <w:rFonts w:cs="Times New Roman"/>
          <w:sz w:val="24"/>
          <w:szCs w:val="24"/>
          <w:lang w:val="en-US"/>
        </w:rPr>
        <w:lastRenderedPageBreak/>
        <w:t>former Yugoslavia and Rwanda. They became an institutional example of the international community</w:t>
      </w:r>
      <w:r w:rsidR="00AF0FFB">
        <w:rPr>
          <w:rFonts w:cs="Times New Roman"/>
          <w:sz w:val="24"/>
          <w:szCs w:val="24"/>
          <w:lang w:val="en-US"/>
        </w:rPr>
        <w:t>’</w:t>
      </w:r>
      <w:r w:rsidRPr="00B65D54">
        <w:rPr>
          <w:rFonts w:cs="Times New Roman"/>
          <w:sz w:val="24"/>
          <w:szCs w:val="24"/>
          <w:lang w:val="en-US"/>
        </w:rPr>
        <w:t>s response to systematic human rights violations, even taking into account the fact that such actions were carried out under the cover of a state mandate. In these cases, individuals were not simply held accountable for their own actions. They acted as a mechanism for holding the state accountable through its authorized representatives.</w:t>
      </w:r>
      <w:r w:rsidR="009B61CF">
        <w:rPr>
          <w:rFonts w:cs="Times New Roman"/>
          <w:sz w:val="24"/>
          <w:szCs w:val="24"/>
          <w:lang w:val="en-US"/>
        </w:rPr>
        <w:t xml:space="preserve"> </w:t>
      </w:r>
    </w:p>
    <w:p w14:paraId="4D8152B8" w14:textId="3AB68D29" w:rsidR="00DC68FB" w:rsidRPr="00B65D54" w:rsidRDefault="00713241" w:rsidP="00F07DA4">
      <w:pPr>
        <w:spacing w:after="0"/>
        <w:ind w:firstLine="567"/>
        <w:jc w:val="both"/>
        <w:rPr>
          <w:rFonts w:cs="Times New Roman"/>
          <w:sz w:val="24"/>
          <w:szCs w:val="24"/>
          <w:lang w:val="en-US"/>
        </w:rPr>
      </w:pPr>
      <w:r w:rsidRPr="00B65D54">
        <w:rPr>
          <w:rFonts w:cs="Times New Roman"/>
          <w:sz w:val="24"/>
          <w:szCs w:val="24"/>
          <w:lang w:val="en-US"/>
        </w:rPr>
        <w:t>This evolution found its logical conclusion in the establishment of a permanent institution – the International Criminal Court. The institution operates on the basis of the Rome Statute of the International Criminal Court (</w:t>
      </w:r>
      <w:r w:rsidR="007760B4" w:rsidRPr="00B65D54">
        <w:rPr>
          <w:rFonts w:cs="Times New Roman"/>
          <w:sz w:val="24"/>
          <w:szCs w:val="24"/>
          <w:lang w:val="en-US"/>
        </w:rPr>
        <w:t>International Criminal Court</w:t>
      </w:r>
      <w:r w:rsidR="007760B4">
        <w:rPr>
          <w:rFonts w:cs="Times New Roman"/>
          <w:sz w:val="24"/>
          <w:szCs w:val="24"/>
          <w:lang w:val="en-US"/>
        </w:rPr>
        <w:t xml:space="preserve">, </w:t>
      </w:r>
      <w:r w:rsidRPr="00B65D54">
        <w:rPr>
          <w:rFonts w:cs="Times New Roman"/>
          <w:sz w:val="24"/>
          <w:szCs w:val="24"/>
          <w:lang w:val="en-US"/>
        </w:rPr>
        <w:t>1998). The document establishes individual criminal responsibility for a number of crimes: genocide; crimes against humanity; war crimes; the crime of aggression. At the same time, the Rome Statute explicitly states that a person's official position is not a basis for avoiding the jurisdiction of the Court. Even the highest state officials cannot be exempt. This approach confirms the final consolidation of the principle of individualization of responsibility in international law (</w:t>
      </w:r>
      <w:proofErr w:type="spellStart"/>
      <w:r w:rsidRPr="00B65D54">
        <w:rPr>
          <w:rFonts w:cs="Times New Roman"/>
          <w:sz w:val="24"/>
          <w:szCs w:val="24"/>
          <w:lang w:val="en-US"/>
        </w:rPr>
        <w:t>Ioanes</w:t>
      </w:r>
      <w:proofErr w:type="spellEnd"/>
      <w:r w:rsidRPr="00B65D54">
        <w:rPr>
          <w:rFonts w:cs="Times New Roman"/>
          <w:sz w:val="24"/>
          <w:szCs w:val="24"/>
          <w:lang w:val="en-US"/>
        </w:rPr>
        <w:t xml:space="preserve"> &amp; Nicole, 2024).</w:t>
      </w:r>
    </w:p>
    <w:p w14:paraId="06025E74" w14:textId="085238A3" w:rsidR="00117A9C" w:rsidRPr="00B65D54" w:rsidRDefault="00713241" w:rsidP="00F07DA4">
      <w:pPr>
        <w:spacing w:after="0"/>
        <w:ind w:firstLine="567"/>
        <w:jc w:val="both"/>
        <w:rPr>
          <w:rFonts w:cs="Times New Roman"/>
          <w:sz w:val="24"/>
          <w:szCs w:val="24"/>
          <w:lang w:val="en-US"/>
        </w:rPr>
      </w:pPr>
      <w:r w:rsidRPr="00B65D54">
        <w:rPr>
          <w:rFonts w:cs="Times New Roman"/>
          <w:sz w:val="24"/>
          <w:szCs w:val="24"/>
          <w:lang w:val="en-US"/>
        </w:rPr>
        <w:t>It should be noted that the International Covenant on Civil and Political Rights (</w:t>
      </w:r>
      <w:r w:rsidR="00AF3456">
        <w:rPr>
          <w:rStyle w:val="af"/>
          <w:rFonts w:cs="Times New Roman"/>
          <w:b w:val="0"/>
          <w:bCs w:val="0"/>
          <w:sz w:val="24"/>
          <w:szCs w:val="24"/>
          <w:lang w:val="en-US"/>
        </w:rPr>
        <w:t>UN General Assembly</w:t>
      </w:r>
      <w:r w:rsidR="00AF3456">
        <w:rPr>
          <w:rFonts w:cs="Times New Roman"/>
          <w:sz w:val="24"/>
          <w:szCs w:val="24"/>
          <w:lang w:val="en-US"/>
        </w:rPr>
        <w:t xml:space="preserve">, </w:t>
      </w:r>
      <w:r w:rsidRPr="00B65D54">
        <w:rPr>
          <w:rFonts w:cs="Times New Roman"/>
          <w:sz w:val="24"/>
          <w:szCs w:val="24"/>
          <w:lang w:val="en-US"/>
        </w:rPr>
        <w:t>1966) and its optional protocols have created effective mechanisms for individual appeals to UN treaty bodies. UN committees develop practices for interpreting key legal standards, which can then be implemented in domestic legislation (</w:t>
      </w:r>
      <w:proofErr w:type="spellStart"/>
      <w:r w:rsidRPr="00B65D54">
        <w:rPr>
          <w:rFonts w:cs="Times New Roman"/>
          <w:sz w:val="24"/>
          <w:szCs w:val="24"/>
          <w:lang w:val="en-US"/>
        </w:rPr>
        <w:t>Zubarieva</w:t>
      </w:r>
      <w:proofErr w:type="spellEnd"/>
      <w:r w:rsidRPr="00B65D54">
        <w:rPr>
          <w:rFonts w:cs="Times New Roman"/>
          <w:sz w:val="24"/>
          <w:szCs w:val="24"/>
          <w:lang w:val="en-US"/>
        </w:rPr>
        <w:t>, 2016</w:t>
      </w:r>
      <w:r w:rsidR="00B30383">
        <w:rPr>
          <w:rFonts w:cs="Times New Roman"/>
          <w:sz w:val="24"/>
          <w:szCs w:val="24"/>
          <w:lang w:val="en-US"/>
        </w:rPr>
        <w:t xml:space="preserve">; </w:t>
      </w:r>
      <w:proofErr w:type="spellStart"/>
      <w:r w:rsidR="00B30383" w:rsidRPr="00B30383">
        <w:rPr>
          <w:rStyle w:val="af"/>
          <w:rFonts w:cs="Times New Roman"/>
          <w:b w:val="0"/>
          <w:bCs w:val="0"/>
          <w:sz w:val="24"/>
          <w:szCs w:val="24"/>
          <w:lang w:val="en-US"/>
        </w:rPr>
        <w:t>Kotsur</w:t>
      </w:r>
      <w:proofErr w:type="spellEnd"/>
      <w:r w:rsidR="00B30383">
        <w:rPr>
          <w:rStyle w:val="af"/>
          <w:rFonts w:cs="Times New Roman"/>
          <w:b w:val="0"/>
          <w:bCs w:val="0"/>
          <w:sz w:val="24"/>
          <w:szCs w:val="24"/>
          <w:lang w:val="en-US"/>
        </w:rPr>
        <w:t xml:space="preserve"> et al., 2023</w:t>
      </w:r>
      <w:r w:rsidRPr="00B65D54">
        <w:rPr>
          <w:rFonts w:cs="Times New Roman"/>
          <w:sz w:val="24"/>
          <w:szCs w:val="24"/>
          <w:lang w:val="en-US"/>
        </w:rPr>
        <w:t>). Appeals to UN treaty bodies allow victims to obtain recommendations on compensation or other forms of legal protection. Although these mechanisms require separate recognition by the state, they provide real control over compliance with international obligations. As Callejon (2024) notes, the participation of individuals in such procedures contributes to the formation of an international standard of legal protection even in jurisdictions with ineffective national remedies. This practice consolidates the functional role of individuals in the international legal system.</w:t>
      </w:r>
    </w:p>
    <w:p w14:paraId="4816A2AA" w14:textId="52C83B75" w:rsidR="00713241" w:rsidRPr="00B65D54" w:rsidRDefault="00713241" w:rsidP="00953670">
      <w:pPr>
        <w:spacing w:after="0"/>
        <w:ind w:firstLine="567"/>
        <w:jc w:val="both"/>
        <w:rPr>
          <w:rFonts w:cs="Times New Roman"/>
          <w:sz w:val="24"/>
          <w:szCs w:val="24"/>
          <w:lang w:val="en-US"/>
        </w:rPr>
      </w:pPr>
      <w:r w:rsidRPr="00B65D54">
        <w:rPr>
          <w:rFonts w:cs="Times New Roman"/>
          <w:sz w:val="24"/>
          <w:szCs w:val="24"/>
          <w:lang w:val="en-US"/>
        </w:rPr>
        <w:t>A significant initiative in this context is the work of the Trust Fund for Victims, established under the ICC. This mechanism provides not only compensation but also symbolic restoration of the dignity of victims. Although formally only states have the right to initiate inter-state lawsuits, individuals are increasingly becoming a source of legal initiative</w:t>
      </w:r>
      <w:r w:rsidR="005B27F9">
        <w:rPr>
          <w:rFonts w:cs="Times New Roman"/>
          <w:sz w:val="24"/>
          <w:szCs w:val="24"/>
          <w:lang w:val="en-US"/>
        </w:rPr>
        <w:t xml:space="preserve"> (</w:t>
      </w:r>
      <w:proofErr w:type="spellStart"/>
      <w:r w:rsidR="005B27F9" w:rsidRPr="00421548">
        <w:rPr>
          <w:rStyle w:val="af"/>
          <w:rFonts w:cs="Times New Roman"/>
          <w:b w:val="0"/>
          <w:bCs w:val="0"/>
          <w:sz w:val="24"/>
          <w:szCs w:val="24"/>
          <w:lang w:val="en-US"/>
        </w:rPr>
        <w:t>Omelchuk</w:t>
      </w:r>
      <w:proofErr w:type="spellEnd"/>
      <w:r w:rsidR="005B27F9">
        <w:rPr>
          <w:rStyle w:val="af"/>
          <w:rFonts w:cs="Times New Roman"/>
          <w:b w:val="0"/>
          <w:bCs w:val="0"/>
          <w:sz w:val="24"/>
          <w:szCs w:val="24"/>
          <w:lang w:val="en-US"/>
        </w:rPr>
        <w:t xml:space="preserve"> et al., 2022)</w:t>
      </w:r>
      <w:r w:rsidRPr="00B65D54">
        <w:rPr>
          <w:rFonts w:cs="Times New Roman"/>
          <w:sz w:val="24"/>
          <w:szCs w:val="24"/>
          <w:lang w:val="en-US"/>
        </w:rPr>
        <w:t>. A separate proof of the strengthening role of individuals in international law is access to the special procedures of the UN Human Rights Council. This mechanism allows individuals to directly appeal to international bodies. Although such appeals do not have the force of a court decision, they shape the international discourse on the responsibility of the state towards the individual</w:t>
      </w:r>
      <w:r w:rsidR="00510004">
        <w:rPr>
          <w:rFonts w:cs="Times New Roman"/>
          <w:sz w:val="24"/>
          <w:szCs w:val="24"/>
          <w:lang w:val="uk-UA"/>
        </w:rPr>
        <w:t xml:space="preserve"> (</w:t>
      </w:r>
      <w:proofErr w:type="spellStart"/>
      <w:r w:rsidR="00510004" w:rsidRPr="001A2F8A">
        <w:rPr>
          <w:rStyle w:val="af"/>
          <w:rFonts w:cs="Times New Roman"/>
          <w:b w:val="0"/>
          <w:bCs w:val="0"/>
          <w:sz w:val="24"/>
          <w:szCs w:val="24"/>
          <w:lang w:val="uk-UA"/>
        </w:rPr>
        <w:t>Shatilo</w:t>
      </w:r>
      <w:proofErr w:type="spellEnd"/>
      <w:r w:rsidR="00510004">
        <w:rPr>
          <w:rStyle w:val="af"/>
          <w:rFonts w:cs="Times New Roman"/>
          <w:b w:val="0"/>
          <w:bCs w:val="0"/>
          <w:sz w:val="24"/>
          <w:szCs w:val="24"/>
          <w:lang w:val="uk-UA"/>
        </w:rPr>
        <w:t xml:space="preserve"> </w:t>
      </w:r>
      <w:r w:rsidR="00510004">
        <w:rPr>
          <w:rStyle w:val="af"/>
          <w:rFonts w:cs="Times New Roman"/>
          <w:b w:val="0"/>
          <w:bCs w:val="0"/>
          <w:sz w:val="24"/>
          <w:szCs w:val="24"/>
          <w:lang w:val="en-US"/>
        </w:rPr>
        <w:t>et al., 2023)</w:t>
      </w:r>
      <w:r w:rsidRPr="00B65D54">
        <w:rPr>
          <w:rFonts w:cs="Times New Roman"/>
          <w:sz w:val="24"/>
          <w:szCs w:val="24"/>
          <w:lang w:val="en-US"/>
        </w:rPr>
        <w:t>.</w:t>
      </w:r>
    </w:p>
    <w:p w14:paraId="2CE57D75" w14:textId="0DA62313" w:rsidR="00713241" w:rsidRPr="00B65D54" w:rsidRDefault="00713241" w:rsidP="00D417BE">
      <w:pPr>
        <w:spacing w:after="0"/>
        <w:ind w:firstLine="567"/>
        <w:jc w:val="both"/>
        <w:rPr>
          <w:rFonts w:cs="Times New Roman"/>
          <w:sz w:val="24"/>
          <w:szCs w:val="24"/>
          <w:lang w:val="en-US"/>
        </w:rPr>
      </w:pPr>
      <w:r w:rsidRPr="00B65D54">
        <w:rPr>
          <w:rFonts w:cs="Times New Roman"/>
          <w:sz w:val="24"/>
          <w:szCs w:val="24"/>
          <w:lang w:val="en-US"/>
        </w:rPr>
        <w:t>Special attention should be paid to Independent International Mechanisms (hereinafter</w:t>
      </w:r>
      <w:r w:rsidR="005561AD">
        <w:rPr>
          <w:rFonts w:cs="Times New Roman"/>
          <w:sz w:val="24"/>
          <w:szCs w:val="24"/>
          <w:lang w:val="en-US"/>
        </w:rPr>
        <w:t xml:space="preserve"> – </w:t>
      </w:r>
      <w:r w:rsidRPr="00B65D54">
        <w:rPr>
          <w:rFonts w:cs="Times New Roman"/>
          <w:sz w:val="24"/>
          <w:szCs w:val="24"/>
          <w:lang w:val="en-US"/>
        </w:rPr>
        <w:t>IIMs), which are created by the UN General Assembly or the Human Rights Council to respond to mass violations of international humanitarian and human rights law. For example, the International Independent Mechanism for Investigating Crimes in Syria actively accepts information from individuals who have documentary evidence of crimes. As stated in the IIM</w:t>
      </w:r>
      <w:r w:rsidR="005561AD">
        <w:rPr>
          <w:rFonts w:cs="Times New Roman"/>
          <w:sz w:val="24"/>
          <w:szCs w:val="24"/>
          <w:lang w:val="en-US"/>
        </w:rPr>
        <w:t>’</w:t>
      </w:r>
      <w:r w:rsidRPr="00B65D54">
        <w:rPr>
          <w:rFonts w:cs="Times New Roman"/>
          <w:sz w:val="24"/>
          <w:szCs w:val="24"/>
          <w:lang w:val="en-US"/>
        </w:rPr>
        <w:t>s official mandate, the mechanism is to “collect, preserve, and analyze evidence that can be used in future legal proceedings, including tribunals” (United Nations, 2016).</w:t>
      </w:r>
      <w:r w:rsidR="00D417BE">
        <w:rPr>
          <w:rFonts w:cs="Times New Roman"/>
          <w:sz w:val="24"/>
          <w:szCs w:val="24"/>
          <w:lang w:val="uk-UA"/>
        </w:rPr>
        <w:t xml:space="preserve"> </w:t>
      </w:r>
      <w:r w:rsidRPr="00B65D54">
        <w:rPr>
          <w:rFonts w:cs="Times New Roman"/>
          <w:sz w:val="24"/>
          <w:szCs w:val="24"/>
          <w:lang w:val="en-US"/>
        </w:rPr>
        <w:t xml:space="preserve">In addition, individual actions and campaigns by victims can catalyze the creation of special international tribunals. There are well-known cases where testimony has triggered proceedings for crimes committed in other countries. As noted by Varney </w:t>
      </w:r>
      <w:r w:rsidR="00D417BE">
        <w:rPr>
          <w:rFonts w:cs="Times New Roman"/>
          <w:sz w:val="24"/>
          <w:szCs w:val="24"/>
          <w:lang w:val="en-US"/>
        </w:rPr>
        <w:t>and</w:t>
      </w:r>
      <w:r w:rsidRPr="00B65D54">
        <w:rPr>
          <w:rFonts w:cs="Times New Roman"/>
          <w:sz w:val="24"/>
          <w:szCs w:val="24"/>
          <w:lang w:val="en-US"/>
        </w:rPr>
        <w:t xml:space="preserve"> </w:t>
      </w:r>
      <w:proofErr w:type="spellStart"/>
      <w:r w:rsidRPr="00B65D54">
        <w:rPr>
          <w:rFonts w:cs="Times New Roman"/>
          <w:sz w:val="24"/>
          <w:szCs w:val="24"/>
          <w:lang w:val="en-US"/>
        </w:rPr>
        <w:t>Zduńczyk</w:t>
      </w:r>
      <w:proofErr w:type="spellEnd"/>
      <w:r w:rsidRPr="00B65D54">
        <w:rPr>
          <w:rFonts w:cs="Times New Roman"/>
          <w:sz w:val="24"/>
          <w:szCs w:val="24"/>
          <w:lang w:val="en-US"/>
        </w:rPr>
        <w:t xml:space="preserve"> (2020), universal jurisdiction not only allows for circumventing the passivity of the offending state, but also recognizes the autonomous capacity of individuals to seek justice, regardless of their citizenship or place of residence.</w:t>
      </w:r>
    </w:p>
    <w:p w14:paraId="2F866267" w14:textId="23E6B9AB" w:rsidR="00713241" w:rsidRPr="00B65D54" w:rsidRDefault="00713241" w:rsidP="006B0D19">
      <w:pPr>
        <w:spacing w:after="0"/>
        <w:ind w:firstLine="567"/>
        <w:jc w:val="both"/>
        <w:rPr>
          <w:rFonts w:cs="Times New Roman"/>
          <w:sz w:val="24"/>
          <w:szCs w:val="24"/>
          <w:lang w:val="en-US"/>
        </w:rPr>
      </w:pPr>
      <w:r w:rsidRPr="00B65D54">
        <w:rPr>
          <w:rFonts w:cs="Times New Roman"/>
          <w:sz w:val="24"/>
          <w:szCs w:val="24"/>
          <w:lang w:val="en-US"/>
        </w:rPr>
        <w:t xml:space="preserve">In summary, history has created a systemic dissonance between the traditional construct of international state responsibility and the latest practice of individual human rights and </w:t>
      </w:r>
      <w:r w:rsidRPr="00B65D54">
        <w:rPr>
          <w:rFonts w:cs="Times New Roman"/>
          <w:sz w:val="24"/>
          <w:szCs w:val="24"/>
          <w:lang w:val="en-US"/>
        </w:rPr>
        <w:lastRenderedPageBreak/>
        <w:t>criminal mechanisms. Further analysis will show whether this dissonance will transform into a stable regime of responsibility, where the state will be accountable to the individual.</w:t>
      </w:r>
    </w:p>
    <w:p w14:paraId="69F68CEE" w14:textId="77777777" w:rsidR="00117A9C" w:rsidRPr="00B65D54" w:rsidRDefault="00117A9C" w:rsidP="00B65D54">
      <w:pPr>
        <w:spacing w:after="0"/>
        <w:jc w:val="both"/>
        <w:rPr>
          <w:rFonts w:cs="Times New Roman"/>
          <w:b/>
          <w:bCs/>
          <w:sz w:val="24"/>
          <w:szCs w:val="24"/>
          <w:lang w:val="en-US"/>
        </w:rPr>
      </w:pPr>
    </w:p>
    <w:p w14:paraId="2CA0542C" w14:textId="77777777" w:rsidR="006F0942" w:rsidRPr="00B65D54" w:rsidRDefault="006F0942" w:rsidP="00B65D54">
      <w:pPr>
        <w:spacing w:after="0"/>
        <w:jc w:val="both"/>
        <w:rPr>
          <w:rFonts w:cs="Times New Roman"/>
          <w:i/>
          <w:iCs/>
          <w:sz w:val="24"/>
          <w:szCs w:val="24"/>
          <w:lang w:val="en-US"/>
        </w:rPr>
      </w:pPr>
      <w:r w:rsidRPr="00B65D54">
        <w:rPr>
          <w:rFonts w:cs="Times New Roman"/>
          <w:i/>
          <w:iCs/>
          <w:sz w:val="24"/>
          <w:szCs w:val="24"/>
          <w:lang w:val="en-US"/>
        </w:rPr>
        <w:t>4.2. Analysis of European mechanisms for individual participation in holding the state accountable</w:t>
      </w:r>
    </w:p>
    <w:p w14:paraId="400CA99C" w14:textId="6AAB456E" w:rsidR="006F0942" w:rsidRPr="00B65D54" w:rsidRDefault="006F0942" w:rsidP="00457E71">
      <w:pPr>
        <w:spacing w:after="0"/>
        <w:jc w:val="both"/>
        <w:rPr>
          <w:rFonts w:cs="Times New Roman"/>
          <w:sz w:val="24"/>
          <w:szCs w:val="24"/>
          <w:lang w:val="en-US"/>
        </w:rPr>
      </w:pPr>
      <w:r w:rsidRPr="00B65D54">
        <w:rPr>
          <w:rFonts w:cs="Times New Roman"/>
          <w:sz w:val="24"/>
          <w:szCs w:val="24"/>
          <w:lang w:val="en-US"/>
        </w:rPr>
        <w:t xml:space="preserve">The transformation of international law towards human-centeredness found its most vivid manifestation in the European legal space. As </w:t>
      </w:r>
      <w:proofErr w:type="spellStart"/>
      <w:r w:rsidRPr="00B65D54">
        <w:rPr>
          <w:rFonts w:cs="Times New Roman"/>
          <w:sz w:val="24"/>
          <w:szCs w:val="24"/>
          <w:lang w:val="en-US"/>
        </w:rPr>
        <w:t>Bilodid</w:t>
      </w:r>
      <w:proofErr w:type="spellEnd"/>
      <w:r w:rsidRPr="00B65D54">
        <w:rPr>
          <w:rFonts w:cs="Times New Roman"/>
          <w:sz w:val="24"/>
          <w:szCs w:val="24"/>
          <w:lang w:val="en-US"/>
        </w:rPr>
        <w:t xml:space="preserve"> &amp; Shulga (2025) aptly noted, this radically changed the balance between the individual and the state. This step transformed the individual from a passive object of care to an active participant in the formation of human rights policy. As Szwed (2024) notes, these processes are systematically described in the concept of “judicial empowerment of the individual.” According to this concept, Europe is currently transitioning from monistic “state-centrism” to a polycentric model, where individuals, states, and supranational institutions interact on equal terms.</w:t>
      </w:r>
    </w:p>
    <w:p w14:paraId="74CFA5E6" w14:textId="77777777" w:rsidR="00632793" w:rsidRDefault="006F0942" w:rsidP="00081C5B">
      <w:pPr>
        <w:spacing w:after="0"/>
        <w:ind w:firstLine="567"/>
        <w:jc w:val="both"/>
        <w:rPr>
          <w:rFonts w:cs="Times New Roman"/>
          <w:sz w:val="24"/>
          <w:szCs w:val="24"/>
          <w:lang w:val="en-US"/>
        </w:rPr>
      </w:pPr>
      <w:r w:rsidRPr="00B65D54">
        <w:rPr>
          <w:rFonts w:cs="Times New Roman"/>
          <w:sz w:val="24"/>
          <w:szCs w:val="24"/>
          <w:lang w:val="en-US"/>
        </w:rPr>
        <w:t>To understand the strengthening of the role of the individual in holding the state accountable, attention should be paid to specific judicial practice. At the practical level, this manifests itself in three successive “waves” of EC</w:t>
      </w:r>
      <w:r w:rsidR="00864C95" w:rsidRPr="00B65D54">
        <w:rPr>
          <w:rFonts w:cs="Times New Roman"/>
          <w:sz w:val="24"/>
          <w:szCs w:val="24"/>
          <w:lang w:val="en-US"/>
        </w:rPr>
        <w:t>t</w:t>
      </w:r>
      <w:r w:rsidRPr="00B65D54">
        <w:rPr>
          <w:rFonts w:cs="Times New Roman"/>
          <w:sz w:val="24"/>
          <w:szCs w:val="24"/>
          <w:lang w:val="en-US"/>
        </w:rPr>
        <w:t xml:space="preserve">HR precedents: </w:t>
      </w:r>
      <w:proofErr w:type="spellStart"/>
      <w:r w:rsidRPr="00B65D54">
        <w:rPr>
          <w:rFonts w:cs="Times New Roman"/>
          <w:sz w:val="24"/>
          <w:szCs w:val="24"/>
          <w:lang w:val="en-US"/>
        </w:rPr>
        <w:t>protection→attribution→hybrid</w:t>
      </w:r>
      <w:proofErr w:type="spellEnd"/>
      <w:r w:rsidRPr="00B65D54">
        <w:rPr>
          <w:rFonts w:cs="Times New Roman"/>
          <w:sz w:val="24"/>
          <w:szCs w:val="24"/>
          <w:lang w:val="en-US"/>
        </w:rPr>
        <w:t xml:space="preserve"> responsibility (</w:t>
      </w:r>
      <w:proofErr w:type="spellStart"/>
      <w:r w:rsidRPr="00B65D54">
        <w:rPr>
          <w:rFonts w:cs="Times New Roman"/>
          <w:sz w:val="24"/>
          <w:szCs w:val="24"/>
          <w:lang w:val="en-US"/>
        </w:rPr>
        <w:t>Šturma</w:t>
      </w:r>
      <w:proofErr w:type="spellEnd"/>
      <w:r w:rsidRPr="00B65D54">
        <w:rPr>
          <w:rFonts w:cs="Times New Roman"/>
          <w:sz w:val="24"/>
          <w:szCs w:val="24"/>
          <w:lang w:val="en-US"/>
        </w:rPr>
        <w:t>, 202</w:t>
      </w:r>
      <w:r w:rsidR="00892C5F">
        <w:rPr>
          <w:rFonts w:cs="Times New Roman"/>
          <w:sz w:val="24"/>
          <w:szCs w:val="24"/>
          <w:lang w:val="en-US"/>
        </w:rPr>
        <w:t>0</w:t>
      </w:r>
      <w:r w:rsidRPr="00B65D54">
        <w:rPr>
          <w:rFonts w:cs="Times New Roman"/>
          <w:sz w:val="24"/>
          <w:szCs w:val="24"/>
          <w:lang w:val="en-US"/>
        </w:rPr>
        <w:t>). Each “wave” expands the possibilities for complainants: from classic protection of individuals to the use of their experience as evidence of international responsibility of states. The significance of the EC</w:t>
      </w:r>
      <w:r w:rsidR="00950141">
        <w:rPr>
          <w:rFonts w:cs="Times New Roman"/>
          <w:sz w:val="24"/>
          <w:szCs w:val="24"/>
          <w:lang w:val="en-US"/>
        </w:rPr>
        <w:t>t</w:t>
      </w:r>
      <w:r w:rsidRPr="00B65D54">
        <w:rPr>
          <w:rFonts w:cs="Times New Roman"/>
          <w:sz w:val="24"/>
          <w:szCs w:val="24"/>
          <w:lang w:val="en-US"/>
        </w:rPr>
        <w:t xml:space="preserve">HR case law is illustrated by the </w:t>
      </w:r>
      <w:r w:rsidR="00CA4768" w:rsidRPr="00B65D54">
        <w:rPr>
          <w:rFonts w:cs="Times New Roman"/>
          <w:sz w:val="24"/>
          <w:szCs w:val="24"/>
          <w:lang w:val="en-US"/>
        </w:rPr>
        <w:t xml:space="preserve">decision </w:t>
      </w:r>
      <w:r w:rsidR="00CA4768">
        <w:rPr>
          <w:rFonts w:cs="Times New Roman"/>
          <w:sz w:val="24"/>
          <w:szCs w:val="24"/>
          <w:lang w:val="en-US"/>
        </w:rPr>
        <w:t xml:space="preserve">in the case of </w:t>
      </w:r>
      <w:proofErr w:type="spellStart"/>
      <w:r w:rsidRPr="00B65D54">
        <w:rPr>
          <w:rFonts w:cs="Times New Roman"/>
          <w:sz w:val="24"/>
          <w:szCs w:val="24"/>
          <w:lang w:val="en-US"/>
        </w:rPr>
        <w:t>Makaratzis</w:t>
      </w:r>
      <w:proofErr w:type="spellEnd"/>
      <w:r w:rsidRPr="00B65D54">
        <w:rPr>
          <w:rFonts w:cs="Times New Roman"/>
          <w:sz w:val="24"/>
          <w:szCs w:val="24"/>
          <w:lang w:val="en-US"/>
        </w:rPr>
        <w:t xml:space="preserve"> v. Greece (</w:t>
      </w:r>
      <w:r w:rsidR="00CA4768">
        <w:rPr>
          <w:rFonts w:cs="Times New Roman"/>
          <w:sz w:val="24"/>
          <w:szCs w:val="24"/>
          <w:lang w:val="en-US"/>
        </w:rPr>
        <w:t xml:space="preserve">European Court of Human Rights, </w:t>
      </w:r>
      <w:r w:rsidRPr="00B65D54">
        <w:rPr>
          <w:rFonts w:cs="Times New Roman"/>
          <w:sz w:val="24"/>
          <w:szCs w:val="24"/>
          <w:lang w:val="en-US"/>
        </w:rPr>
        <w:t xml:space="preserve">2004), which established standards of proportionality in the use of force. </w:t>
      </w:r>
    </w:p>
    <w:p w14:paraId="5770DFD9" w14:textId="643FA61F" w:rsidR="002C28FF" w:rsidRPr="00B65D54" w:rsidRDefault="00CA4768" w:rsidP="00081C5B">
      <w:pPr>
        <w:spacing w:after="0"/>
        <w:ind w:firstLine="567"/>
        <w:jc w:val="both"/>
        <w:rPr>
          <w:rFonts w:cs="Times New Roman"/>
          <w:sz w:val="24"/>
          <w:szCs w:val="24"/>
          <w:lang w:val="en-US"/>
        </w:rPr>
      </w:pPr>
      <w:r>
        <w:rPr>
          <w:rFonts w:cs="Times New Roman"/>
          <w:sz w:val="24"/>
          <w:szCs w:val="24"/>
          <w:lang w:val="en-US"/>
        </w:rPr>
        <w:t>The d</w:t>
      </w:r>
      <w:r w:rsidR="006F0942" w:rsidRPr="00B65D54">
        <w:rPr>
          <w:rFonts w:cs="Times New Roman"/>
          <w:sz w:val="24"/>
          <w:szCs w:val="24"/>
          <w:lang w:val="en-US"/>
        </w:rPr>
        <w:t>ecision</w:t>
      </w:r>
      <w:r>
        <w:rPr>
          <w:rFonts w:cs="Times New Roman"/>
          <w:sz w:val="24"/>
          <w:szCs w:val="24"/>
          <w:lang w:val="en-US"/>
        </w:rPr>
        <w:t xml:space="preserve"> in the case of</w:t>
      </w:r>
      <w:r w:rsidR="006F0942" w:rsidRPr="00B65D54">
        <w:rPr>
          <w:rFonts w:cs="Times New Roman"/>
          <w:sz w:val="24"/>
          <w:szCs w:val="24"/>
          <w:lang w:val="en-US"/>
        </w:rPr>
        <w:t xml:space="preserve"> </w:t>
      </w:r>
      <w:proofErr w:type="spellStart"/>
      <w:r w:rsidR="006F0942" w:rsidRPr="00B65D54">
        <w:rPr>
          <w:rFonts w:cs="Times New Roman"/>
          <w:sz w:val="24"/>
          <w:szCs w:val="24"/>
          <w:lang w:val="en-US"/>
        </w:rPr>
        <w:t>Ilascu</w:t>
      </w:r>
      <w:proofErr w:type="spellEnd"/>
      <w:r w:rsidR="006F0942" w:rsidRPr="00B65D54">
        <w:rPr>
          <w:rFonts w:cs="Times New Roman"/>
          <w:sz w:val="24"/>
          <w:szCs w:val="24"/>
          <w:lang w:val="en-US"/>
        </w:rPr>
        <w:t xml:space="preserve"> and Others v. Moldova and Russia (</w:t>
      </w:r>
      <w:r>
        <w:rPr>
          <w:rFonts w:cs="Times New Roman"/>
          <w:sz w:val="24"/>
          <w:szCs w:val="24"/>
          <w:lang w:val="en-US"/>
        </w:rPr>
        <w:t xml:space="preserve">European Court of Human Rights, </w:t>
      </w:r>
      <w:r w:rsidRPr="00B65D54">
        <w:rPr>
          <w:rFonts w:cs="Times New Roman"/>
          <w:sz w:val="24"/>
          <w:szCs w:val="24"/>
          <w:lang w:val="en-US"/>
        </w:rPr>
        <w:t>2004</w:t>
      </w:r>
      <w:r>
        <w:rPr>
          <w:rFonts w:cs="Times New Roman"/>
          <w:sz w:val="24"/>
          <w:szCs w:val="24"/>
          <w:lang w:val="en-US"/>
        </w:rPr>
        <w:t>b</w:t>
      </w:r>
      <w:r w:rsidR="006F0942" w:rsidRPr="00B65D54">
        <w:rPr>
          <w:rFonts w:cs="Times New Roman"/>
          <w:sz w:val="24"/>
          <w:szCs w:val="24"/>
          <w:lang w:val="en-US"/>
        </w:rPr>
        <w:t>) laid the foundation for a new approach to the responsibility of states for actions outside their territory. The latest joint case</w:t>
      </w:r>
      <w:r>
        <w:rPr>
          <w:rFonts w:cs="Times New Roman"/>
          <w:sz w:val="24"/>
          <w:szCs w:val="24"/>
          <w:lang w:val="en-US"/>
        </w:rPr>
        <w:t xml:space="preserve"> of </w:t>
      </w:r>
      <w:r w:rsidRPr="00CA4768">
        <w:rPr>
          <w:rFonts w:cs="Times New Roman"/>
          <w:sz w:val="24"/>
          <w:szCs w:val="24"/>
          <w:lang w:val="en-US"/>
        </w:rPr>
        <w:t>Ukraine and the Netherlands v. Russia</w:t>
      </w:r>
      <w:r w:rsidRPr="00B65D54">
        <w:rPr>
          <w:rFonts w:cs="Times New Roman"/>
          <w:sz w:val="24"/>
          <w:szCs w:val="24"/>
          <w:lang w:val="en-US"/>
        </w:rPr>
        <w:t xml:space="preserve"> </w:t>
      </w:r>
      <w:r w:rsidR="006F0942" w:rsidRPr="00B65D54">
        <w:rPr>
          <w:rFonts w:cs="Times New Roman"/>
          <w:sz w:val="24"/>
          <w:szCs w:val="24"/>
          <w:lang w:val="en-US"/>
        </w:rPr>
        <w:t>(</w:t>
      </w:r>
      <w:r>
        <w:rPr>
          <w:rFonts w:cs="Times New Roman"/>
          <w:sz w:val="24"/>
          <w:szCs w:val="24"/>
          <w:lang w:val="en-US"/>
        </w:rPr>
        <w:t xml:space="preserve">European Court of Human Rights, </w:t>
      </w:r>
      <w:r w:rsidR="006F0942" w:rsidRPr="00B65D54">
        <w:rPr>
          <w:rFonts w:cs="Times New Roman"/>
          <w:sz w:val="24"/>
          <w:szCs w:val="24"/>
          <w:lang w:val="en-US"/>
        </w:rPr>
        <w:t>2025</w:t>
      </w:r>
      <w:r w:rsidR="007B0A36">
        <w:rPr>
          <w:rFonts w:cs="Times New Roman"/>
          <w:sz w:val="24"/>
          <w:szCs w:val="24"/>
          <w:lang w:val="en-US"/>
        </w:rPr>
        <w:t>a</w:t>
      </w:r>
      <w:r w:rsidR="006F0942" w:rsidRPr="00B65D54">
        <w:rPr>
          <w:rFonts w:cs="Times New Roman"/>
          <w:sz w:val="24"/>
          <w:szCs w:val="24"/>
          <w:lang w:val="en-US"/>
        </w:rPr>
        <w:t xml:space="preserve">) confirmed that consolidated individual complaints can influence the determination of international responsibility of states in inter-state proceedings. They record massive human rights violations in temporarily occupied territories. As </w:t>
      </w:r>
      <w:proofErr w:type="spellStart"/>
      <w:r w:rsidR="006F0942" w:rsidRPr="00B65D54">
        <w:rPr>
          <w:rFonts w:cs="Times New Roman"/>
          <w:sz w:val="24"/>
          <w:szCs w:val="24"/>
          <w:lang w:val="en-US"/>
        </w:rPr>
        <w:t>Šturma</w:t>
      </w:r>
      <w:proofErr w:type="spellEnd"/>
      <w:r w:rsidR="006F0942" w:rsidRPr="00B65D54">
        <w:rPr>
          <w:rFonts w:cs="Times New Roman"/>
          <w:sz w:val="24"/>
          <w:szCs w:val="24"/>
          <w:lang w:val="en-US"/>
        </w:rPr>
        <w:t xml:space="preserve"> (2020) rightly notes, the Court</w:t>
      </w:r>
      <w:r w:rsidR="00632793">
        <w:rPr>
          <w:rFonts w:cs="Times New Roman"/>
          <w:sz w:val="24"/>
          <w:szCs w:val="24"/>
          <w:lang w:val="en-US"/>
        </w:rPr>
        <w:t>’</w:t>
      </w:r>
      <w:r w:rsidR="006F0942" w:rsidRPr="00B65D54">
        <w:rPr>
          <w:rFonts w:cs="Times New Roman"/>
          <w:sz w:val="24"/>
          <w:szCs w:val="24"/>
          <w:lang w:val="en-US"/>
        </w:rPr>
        <w:t>s practice demonstrates that the Convention has created a unique order. In it, the international obligations of states correlate with the direct rights of individuals, secured by a judicial mechanism for their enforcement</w:t>
      </w:r>
      <w:r w:rsidR="007105B9" w:rsidRPr="00B65D54">
        <w:rPr>
          <w:rFonts w:cs="Times New Roman"/>
          <w:sz w:val="24"/>
          <w:szCs w:val="24"/>
          <w:lang w:val="en-US"/>
        </w:rPr>
        <w:t>.</w:t>
      </w:r>
    </w:p>
    <w:p w14:paraId="1B77C560" w14:textId="52EEABCC" w:rsidR="00864C95" w:rsidRPr="00B65D54" w:rsidRDefault="00864C95" w:rsidP="00081C5B">
      <w:pPr>
        <w:spacing w:after="0"/>
        <w:ind w:firstLine="567"/>
        <w:jc w:val="both"/>
        <w:rPr>
          <w:rFonts w:cs="Times New Roman"/>
          <w:sz w:val="24"/>
          <w:szCs w:val="24"/>
          <w:lang w:val="en-US"/>
        </w:rPr>
      </w:pPr>
      <w:r w:rsidRPr="00B65D54">
        <w:rPr>
          <w:rFonts w:cs="Times New Roman"/>
          <w:sz w:val="24"/>
          <w:szCs w:val="24"/>
          <w:lang w:val="en-US"/>
        </w:rPr>
        <w:t xml:space="preserve">The role of individuals as procedural parties has also been strengthened thanks to EU instruments. The EU's global human rights sanctions regime of 2020 allows for targeted restrictions to be imposed on individuals responsible for serious crimes. Importantly, neither citizenship nor the place where the act was committed matters (Tsertsvadze, 2024). In other words, we can talk about the transnational nature of sanctions. This horizontal approach ensures </w:t>
      </w:r>
      <w:r w:rsidR="00510004" w:rsidRPr="00B65D54">
        <w:rPr>
          <w:rFonts w:cs="Times New Roman"/>
          <w:sz w:val="24"/>
          <w:szCs w:val="24"/>
          <w:lang w:val="en-US"/>
        </w:rPr>
        <w:t>personalization</w:t>
      </w:r>
      <w:r w:rsidRPr="00B65D54">
        <w:rPr>
          <w:rFonts w:cs="Times New Roman"/>
          <w:sz w:val="24"/>
          <w:szCs w:val="24"/>
          <w:lang w:val="en-US"/>
        </w:rPr>
        <w:t xml:space="preserve"> of responsibility and has a preventive effect. The practical implementation of sanctions is supported by the Freeze and Seize Task Force network and the G7 REPO mechanism, which freeze and confiscate the assets of sanctioned individuals. Their activities pave the way for the use of these resources for the benefit of victims (</w:t>
      </w:r>
      <w:proofErr w:type="spellStart"/>
      <w:r w:rsidRPr="00B65D54">
        <w:rPr>
          <w:rFonts w:cs="Times New Roman"/>
          <w:sz w:val="24"/>
          <w:szCs w:val="24"/>
          <w:lang w:val="en-US"/>
        </w:rPr>
        <w:t>Kolarz</w:t>
      </w:r>
      <w:proofErr w:type="spellEnd"/>
      <w:r w:rsidRPr="00B65D54">
        <w:rPr>
          <w:rFonts w:cs="Times New Roman"/>
          <w:sz w:val="24"/>
          <w:szCs w:val="24"/>
          <w:lang w:val="en-US"/>
        </w:rPr>
        <w:t>, 2022).</w:t>
      </w:r>
    </w:p>
    <w:p w14:paraId="60CF2A9D" w14:textId="677EA31C" w:rsidR="00864C95" w:rsidRPr="00B65D54" w:rsidRDefault="00864C95" w:rsidP="006B0D19">
      <w:pPr>
        <w:spacing w:after="0"/>
        <w:ind w:firstLine="567"/>
        <w:jc w:val="both"/>
        <w:rPr>
          <w:rFonts w:cs="Times New Roman"/>
          <w:sz w:val="24"/>
          <w:szCs w:val="24"/>
          <w:lang w:val="en-US"/>
        </w:rPr>
      </w:pPr>
      <w:r w:rsidRPr="00B65D54">
        <w:rPr>
          <w:rFonts w:cs="Times New Roman"/>
          <w:sz w:val="24"/>
          <w:szCs w:val="24"/>
          <w:lang w:val="en-US"/>
        </w:rPr>
        <w:t>For the first time in 2025, the Freeze &amp; Seize mechanism explicitly provided for the possibility of submitting an individual “victim request” to the Secretariat of the Working Group. Thus, this became another point of entry for private individuals into the processes of international responsibility. An individual acquires the ability not only to record the fact of a violation, but also to initiate legal proceedings aimed at holding both individuals and states accountable, with the subsequent restoration of violated rights.</w:t>
      </w:r>
      <w:r w:rsidR="006B0D19">
        <w:rPr>
          <w:rFonts w:cs="Times New Roman"/>
          <w:sz w:val="24"/>
          <w:szCs w:val="24"/>
          <w:lang w:val="en-US"/>
        </w:rPr>
        <w:t xml:space="preserve"> Therefore</w:t>
      </w:r>
      <w:r w:rsidRPr="00B65D54">
        <w:rPr>
          <w:rFonts w:cs="Times New Roman"/>
          <w:sz w:val="24"/>
          <w:szCs w:val="24"/>
          <w:lang w:val="en-US"/>
        </w:rPr>
        <w:t>, European legal mechanisms form a multi-level, comprehensive system that puts people at the center. They show how international law has moved from diplomatic protectionism to judicial autonomy for individuals, confirming their status as full subjects of legal relations and providing effective tools for enforcing and protecting violated rights.</w:t>
      </w:r>
    </w:p>
    <w:p w14:paraId="4FB93CBE" w14:textId="77777777" w:rsidR="00491D86" w:rsidRPr="00B65D54" w:rsidRDefault="00491D86" w:rsidP="00B65D54">
      <w:pPr>
        <w:spacing w:after="0"/>
        <w:jc w:val="both"/>
        <w:rPr>
          <w:rFonts w:cs="Times New Roman"/>
          <w:sz w:val="24"/>
          <w:szCs w:val="24"/>
          <w:lang w:val="en-US"/>
        </w:rPr>
      </w:pPr>
    </w:p>
    <w:p w14:paraId="1B3F45A9" w14:textId="0FFFD71D" w:rsidR="00A35887" w:rsidRPr="00B65D54" w:rsidRDefault="00491D86" w:rsidP="00B65D54">
      <w:pPr>
        <w:spacing w:after="0"/>
        <w:jc w:val="both"/>
        <w:rPr>
          <w:rFonts w:cs="Times New Roman"/>
          <w:i/>
          <w:iCs/>
          <w:sz w:val="24"/>
          <w:szCs w:val="24"/>
          <w:lang w:val="en-US"/>
        </w:rPr>
      </w:pPr>
      <w:r w:rsidRPr="00B65D54">
        <w:rPr>
          <w:rFonts w:cs="Times New Roman"/>
          <w:i/>
          <w:iCs/>
          <w:sz w:val="24"/>
          <w:szCs w:val="24"/>
          <w:lang w:val="en-US"/>
        </w:rPr>
        <w:lastRenderedPageBreak/>
        <w:t xml:space="preserve">4.3. </w:t>
      </w:r>
      <w:r w:rsidR="00864C95" w:rsidRPr="00B65D54">
        <w:rPr>
          <w:rFonts w:cs="Times New Roman"/>
          <w:i/>
          <w:iCs/>
          <w:sz w:val="24"/>
          <w:szCs w:val="24"/>
          <w:lang w:val="en-US"/>
        </w:rPr>
        <w:t>Practical cases of individual participation in international practice of holding states responsible in the 21st century</w:t>
      </w:r>
    </w:p>
    <w:p w14:paraId="26A19A28" w14:textId="26820CC8" w:rsidR="00A35887" w:rsidRPr="00B65D54" w:rsidRDefault="00864C95" w:rsidP="00E12D8A">
      <w:pPr>
        <w:spacing w:after="0"/>
        <w:jc w:val="both"/>
        <w:rPr>
          <w:rFonts w:cs="Times New Roman"/>
          <w:sz w:val="24"/>
          <w:szCs w:val="24"/>
          <w:lang w:val="en-US"/>
        </w:rPr>
      </w:pPr>
      <w:r w:rsidRPr="00B65D54">
        <w:rPr>
          <w:rFonts w:cs="Times New Roman"/>
          <w:sz w:val="24"/>
          <w:szCs w:val="24"/>
          <w:lang w:val="en-US"/>
        </w:rPr>
        <w:t>The first example for analysis will be Georgia. The five-day war in August 2008 between Georgia and Russia led to massive humanitarian losses, including hundreds of deaths and tens of thousands of displaced persons (Oniani, 2024). In response to these events, Georgia filed an interstate complaint against Russia with the ECtHR. The Grand Chamber of the ECtHR delivered a landmark judgment, finding the Russian Federation responsible for serious and systematic violations of the European Convention on Human Rights during and after the active hostilities. In particular, the Court found Russia guilty of the following crimes: killing civilians; destroying property; torturing prisoners; and forcibly expelling ethnic Georgians. The Court found that these violations were “administrative practices,” meaning they happened on a large scale and with the knowledge or consent of the defendant state</w:t>
      </w:r>
      <w:r w:rsidR="008D2E26">
        <w:rPr>
          <w:rFonts w:cs="Times New Roman"/>
          <w:sz w:val="24"/>
          <w:szCs w:val="24"/>
          <w:lang w:val="en-US"/>
        </w:rPr>
        <w:t xml:space="preserve"> (European Court of Human Rights, 2021)</w:t>
      </w:r>
      <w:r w:rsidRPr="00B65D54">
        <w:rPr>
          <w:rFonts w:cs="Times New Roman"/>
          <w:sz w:val="24"/>
          <w:szCs w:val="24"/>
          <w:lang w:val="en-US"/>
        </w:rPr>
        <w:t>. This decision was the first international legal confirmation of the state</w:t>
      </w:r>
      <w:r w:rsidR="008D2E26">
        <w:rPr>
          <w:rFonts w:cs="Times New Roman"/>
          <w:sz w:val="24"/>
          <w:szCs w:val="24"/>
          <w:lang w:val="en-US"/>
        </w:rPr>
        <w:t>’</w:t>
      </w:r>
      <w:r w:rsidRPr="00B65D54">
        <w:rPr>
          <w:rFonts w:cs="Times New Roman"/>
          <w:sz w:val="24"/>
          <w:szCs w:val="24"/>
          <w:lang w:val="en-US"/>
        </w:rPr>
        <w:t>s responsibility for the consequences of the 2008 war.</w:t>
      </w:r>
    </w:p>
    <w:p w14:paraId="29C75929" w14:textId="47938FDC" w:rsidR="00944608" w:rsidRPr="00B65D54" w:rsidRDefault="00944608" w:rsidP="006B0D19">
      <w:pPr>
        <w:spacing w:after="0"/>
        <w:ind w:firstLine="567"/>
        <w:jc w:val="both"/>
        <w:rPr>
          <w:rFonts w:cs="Times New Roman"/>
          <w:sz w:val="24"/>
          <w:szCs w:val="24"/>
          <w:lang w:val="en-US"/>
        </w:rPr>
      </w:pPr>
      <w:r w:rsidRPr="00B65D54">
        <w:rPr>
          <w:rFonts w:cs="Times New Roman"/>
          <w:sz w:val="24"/>
          <w:szCs w:val="24"/>
          <w:lang w:val="en-US"/>
        </w:rPr>
        <w:t xml:space="preserve">The 2021 decision strengthened their position, as the Court unequivocally established the fact of violations. This made it possible to convert humanitarian damage into legal claims for compensation. In April 2023, the ECtHR, relying on the decision in </w:t>
      </w:r>
      <w:r w:rsidR="008D2E26">
        <w:rPr>
          <w:rFonts w:cs="Times New Roman"/>
          <w:sz w:val="24"/>
          <w:szCs w:val="24"/>
          <w:lang w:val="en-US"/>
        </w:rPr>
        <w:t xml:space="preserve">the case of </w:t>
      </w:r>
      <w:r w:rsidRPr="00B65D54">
        <w:rPr>
          <w:rFonts w:cs="Times New Roman"/>
          <w:sz w:val="24"/>
          <w:szCs w:val="24"/>
          <w:lang w:val="en-US"/>
        </w:rPr>
        <w:t>Georgia v. Russia (II) (</w:t>
      </w:r>
      <w:r w:rsidR="008D2E26">
        <w:rPr>
          <w:rFonts w:cs="Times New Roman"/>
          <w:sz w:val="24"/>
          <w:szCs w:val="24"/>
          <w:lang w:val="en-US"/>
        </w:rPr>
        <w:t>European Court of Human Rights, 2021</w:t>
      </w:r>
      <w:r w:rsidRPr="00B65D54">
        <w:rPr>
          <w:rFonts w:cs="Times New Roman"/>
          <w:sz w:val="24"/>
          <w:szCs w:val="24"/>
          <w:lang w:val="en-US"/>
        </w:rPr>
        <w:t>), awarded Georgia €130 million in compensation for approximately 23,000 affected citizens (</w:t>
      </w:r>
      <w:proofErr w:type="spellStart"/>
      <w:r w:rsidRPr="00B65D54">
        <w:rPr>
          <w:rFonts w:cs="Times New Roman"/>
          <w:sz w:val="24"/>
          <w:szCs w:val="24"/>
          <w:lang w:val="en-US"/>
        </w:rPr>
        <w:t>Burjaliani</w:t>
      </w:r>
      <w:proofErr w:type="spellEnd"/>
      <w:r w:rsidRPr="00B65D54">
        <w:rPr>
          <w:rFonts w:cs="Times New Roman"/>
          <w:sz w:val="24"/>
          <w:szCs w:val="24"/>
          <w:lang w:val="en-US"/>
        </w:rPr>
        <w:t>, 2021). To date, the mechanism is still imperfect. After the aggression against Ukraine, Russia was expelled from the Council of Europe. It refuses to pay the fine and admit guilt. However, the very fact of this decision sets a precedent: the state is recognized as financially liable to individuals for mass human rights violations during the war. Thus, the Georgian case demonstrates that private individuals can obtain international recognition of the responsibility of the offending state and legally claim compensation for damages.</w:t>
      </w:r>
    </w:p>
    <w:p w14:paraId="22B3EA43" w14:textId="5085F35E" w:rsidR="0050358A" w:rsidRDefault="001B4D9C" w:rsidP="006B0D19">
      <w:pPr>
        <w:spacing w:after="0"/>
        <w:ind w:firstLine="567"/>
        <w:jc w:val="both"/>
        <w:rPr>
          <w:rFonts w:cs="Times New Roman"/>
          <w:sz w:val="24"/>
          <w:szCs w:val="24"/>
          <w:lang w:val="en-US"/>
        </w:rPr>
      </w:pPr>
      <w:r w:rsidRPr="00B65D54">
        <w:rPr>
          <w:rFonts w:cs="Times New Roman"/>
          <w:sz w:val="24"/>
          <w:szCs w:val="24"/>
          <w:lang w:val="en-US"/>
        </w:rPr>
        <w:t>Another example of the active role of private individuals in holding states accountable is the events during the second war for Nagorno-Karabakh in the fall of 2020. In the heat of the fighting, both sides of the conflict</w:t>
      </w:r>
      <w:r w:rsidR="002A6095" w:rsidRPr="00B65D54">
        <w:rPr>
          <w:rFonts w:cs="Times New Roman"/>
          <w:sz w:val="24"/>
          <w:szCs w:val="24"/>
          <w:lang w:val="en-US"/>
        </w:rPr>
        <w:t xml:space="preserve">, </w:t>
      </w:r>
      <w:r w:rsidRPr="00B65D54">
        <w:rPr>
          <w:rFonts w:cs="Times New Roman"/>
          <w:sz w:val="24"/>
          <w:szCs w:val="24"/>
          <w:lang w:val="en-US"/>
        </w:rPr>
        <w:t>Armenia and Azerbaijan</w:t>
      </w:r>
      <w:r w:rsidR="002A6095" w:rsidRPr="00B65D54">
        <w:rPr>
          <w:rFonts w:cs="Times New Roman"/>
          <w:sz w:val="24"/>
          <w:szCs w:val="24"/>
          <w:lang w:val="en-US"/>
        </w:rPr>
        <w:t xml:space="preserve">, </w:t>
      </w:r>
      <w:r w:rsidRPr="00B65D54">
        <w:rPr>
          <w:rFonts w:cs="Times New Roman"/>
          <w:sz w:val="24"/>
          <w:szCs w:val="24"/>
          <w:lang w:val="en-US"/>
        </w:rPr>
        <w:t xml:space="preserve">faced situations where soldiers were captured or went missing. The relatives of these individuals were unable to obtain information or assistance quickly through political channels. They turned to the ECtHR for protection. Under Rule 39 </w:t>
      </w:r>
      <w:r w:rsidR="00585FD6">
        <w:rPr>
          <w:rFonts w:cs="Times New Roman"/>
          <w:sz w:val="24"/>
          <w:szCs w:val="24"/>
          <w:lang w:val="en-US"/>
        </w:rPr>
        <w:t xml:space="preserve">– Interim measure </w:t>
      </w:r>
      <w:r w:rsidRPr="00B65D54">
        <w:rPr>
          <w:rFonts w:cs="Times New Roman"/>
          <w:sz w:val="24"/>
          <w:szCs w:val="24"/>
          <w:lang w:val="en-US"/>
        </w:rPr>
        <w:t xml:space="preserve">of the Rules of </w:t>
      </w:r>
      <w:r w:rsidR="00585FD6">
        <w:rPr>
          <w:rFonts w:cs="Times New Roman"/>
          <w:sz w:val="24"/>
          <w:szCs w:val="24"/>
          <w:lang w:val="en-US"/>
        </w:rPr>
        <w:t>Court (European Court of Human Rights</w:t>
      </w:r>
      <w:r w:rsidR="00585FD6" w:rsidRPr="00B65D54">
        <w:rPr>
          <w:rFonts w:cs="Times New Roman"/>
          <w:sz w:val="24"/>
          <w:szCs w:val="24"/>
          <w:lang w:val="en-US"/>
        </w:rPr>
        <w:t>, 202</w:t>
      </w:r>
      <w:r w:rsidR="00585FD6">
        <w:rPr>
          <w:rFonts w:cs="Times New Roman"/>
          <w:sz w:val="24"/>
          <w:szCs w:val="24"/>
          <w:lang w:val="en-US"/>
        </w:rPr>
        <w:t>5</w:t>
      </w:r>
      <w:r w:rsidR="007B0A36">
        <w:rPr>
          <w:rFonts w:cs="Times New Roman"/>
          <w:sz w:val="24"/>
          <w:szCs w:val="24"/>
          <w:lang w:val="en-US"/>
        </w:rPr>
        <w:t>b</w:t>
      </w:r>
      <w:r w:rsidR="00585FD6">
        <w:rPr>
          <w:rFonts w:cs="Times New Roman"/>
          <w:sz w:val="24"/>
          <w:szCs w:val="24"/>
          <w:lang w:val="en-US"/>
        </w:rPr>
        <w:t>)</w:t>
      </w:r>
      <w:r w:rsidRPr="00B65D54">
        <w:rPr>
          <w:rFonts w:cs="Times New Roman"/>
          <w:sz w:val="24"/>
          <w:szCs w:val="24"/>
          <w:lang w:val="en-US"/>
        </w:rPr>
        <w:t>, the Court has received a large number of requests concerning missing and captured persons on both sides of the conflict</w:t>
      </w:r>
      <w:r w:rsidR="00585FD6">
        <w:rPr>
          <w:rFonts w:cs="Times New Roman"/>
          <w:sz w:val="24"/>
          <w:szCs w:val="24"/>
          <w:lang w:val="en-US"/>
        </w:rPr>
        <w:t xml:space="preserve"> since 2020</w:t>
      </w:r>
      <w:r w:rsidRPr="00B65D54">
        <w:rPr>
          <w:rFonts w:cs="Times New Roman"/>
          <w:sz w:val="24"/>
          <w:szCs w:val="24"/>
          <w:lang w:val="en-US"/>
        </w:rPr>
        <w:t>. The Court clarified that this requirement applies not only to civilians but also to all persons captured during the conflict</w:t>
      </w:r>
      <w:r w:rsidR="0050358A">
        <w:rPr>
          <w:rFonts w:cs="Times New Roman"/>
          <w:sz w:val="24"/>
          <w:szCs w:val="24"/>
          <w:lang w:val="en-US"/>
        </w:rPr>
        <w:t xml:space="preserve"> (</w:t>
      </w:r>
      <w:proofErr w:type="spellStart"/>
      <w:r w:rsidR="0050358A" w:rsidRPr="00585FD6">
        <w:rPr>
          <w:rFonts w:cs="Times New Roman"/>
          <w:sz w:val="24"/>
          <w:szCs w:val="24"/>
          <w:lang w:val="en-US"/>
        </w:rPr>
        <w:t>Tsirli</w:t>
      </w:r>
      <w:proofErr w:type="spellEnd"/>
      <w:r w:rsidR="0050358A">
        <w:rPr>
          <w:rFonts w:cs="Times New Roman"/>
          <w:sz w:val="24"/>
          <w:szCs w:val="24"/>
          <w:lang w:val="en-US"/>
        </w:rPr>
        <w:t>, 2020)</w:t>
      </w:r>
      <w:r w:rsidRPr="00B65D54">
        <w:rPr>
          <w:rFonts w:cs="Times New Roman"/>
          <w:sz w:val="24"/>
          <w:szCs w:val="24"/>
          <w:lang w:val="en-US"/>
        </w:rPr>
        <w:t xml:space="preserve">. Thus, the Court explicitly extended the protection of the Convention to prisoners of war. </w:t>
      </w:r>
    </w:p>
    <w:p w14:paraId="7C88FE97" w14:textId="3DD635B7" w:rsidR="001B4D9C" w:rsidRPr="00B65D54" w:rsidRDefault="001B4D9C" w:rsidP="00021FAD">
      <w:pPr>
        <w:spacing w:after="0"/>
        <w:ind w:firstLine="567"/>
        <w:jc w:val="both"/>
        <w:rPr>
          <w:rFonts w:cs="Times New Roman"/>
          <w:sz w:val="24"/>
          <w:szCs w:val="24"/>
          <w:lang w:val="en-US"/>
        </w:rPr>
      </w:pPr>
      <w:r w:rsidRPr="00B65D54">
        <w:rPr>
          <w:rFonts w:cs="Times New Roman"/>
          <w:sz w:val="24"/>
          <w:szCs w:val="24"/>
          <w:lang w:val="en-US"/>
        </w:rPr>
        <w:t>When governments failed to provide sufficient information about the fate of specific prisoners, the ECtHR imposed interim measures, obliging the state to provide information about these individuals. These applications played an important humanitarian role. There have been cases where, as a result of the Court</w:t>
      </w:r>
      <w:r w:rsidR="0050358A">
        <w:rPr>
          <w:rFonts w:cs="Times New Roman"/>
          <w:sz w:val="24"/>
          <w:szCs w:val="24"/>
          <w:lang w:val="en-US"/>
        </w:rPr>
        <w:t>’</w:t>
      </w:r>
      <w:r w:rsidRPr="00B65D54">
        <w:rPr>
          <w:rFonts w:cs="Times New Roman"/>
          <w:sz w:val="24"/>
          <w:szCs w:val="24"/>
          <w:lang w:val="en-US"/>
        </w:rPr>
        <w:t xml:space="preserve">s intervention, states exchanged information about prisoners or returned some of them </w:t>
      </w:r>
      <w:r w:rsidRPr="00021FAD">
        <w:rPr>
          <w:rFonts w:cs="Times New Roman"/>
          <w:sz w:val="24"/>
          <w:szCs w:val="24"/>
          <w:lang w:val="en-US"/>
        </w:rPr>
        <w:t>(</w:t>
      </w:r>
      <w:r w:rsidR="00021FAD" w:rsidRPr="00021FAD">
        <w:rPr>
          <w:rFonts w:cs="Times New Roman"/>
          <w:sz w:val="24"/>
          <w:szCs w:val="24"/>
          <w:lang w:val="en-US"/>
        </w:rPr>
        <w:t>Gusarov &amp; Popov</w:t>
      </w:r>
      <w:r w:rsidRPr="00021FAD">
        <w:rPr>
          <w:rFonts w:cs="Times New Roman"/>
          <w:sz w:val="24"/>
          <w:szCs w:val="24"/>
          <w:lang w:val="en-US"/>
        </w:rPr>
        <w:t>, 202</w:t>
      </w:r>
      <w:r w:rsidR="00021FAD" w:rsidRPr="00021FAD">
        <w:rPr>
          <w:rFonts w:cs="Times New Roman"/>
          <w:sz w:val="24"/>
          <w:szCs w:val="24"/>
          <w:lang w:val="en-US"/>
        </w:rPr>
        <w:t>0</w:t>
      </w:r>
      <w:r w:rsidRPr="00021FAD">
        <w:rPr>
          <w:rFonts w:cs="Times New Roman"/>
          <w:sz w:val="24"/>
          <w:szCs w:val="24"/>
          <w:lang w:val="en-US"/>
        </w:rPr>
        <w:t>).</w:t>
      </w:r>
      <w:r w:rsidR="00021FAD">
        <w:rPr>
          <w:rFonts w:cs="Times New Roman"/>
          <w:sz w:val="24"/>
          <w:szCs w:val="24"/>
          <w:lang w:val="en-US"/>
        </w:rPr>
        <w:t xml:space="preserve"> </w:t>
      </w:r>
      <w:r w:rsidRPr="00B65D54">
        <w:rPr>
          <w:rFonts w:cs="Times New Roman"/>
          <w:sz w:val="24"/>
          <w:szCs w:val="24"/>
          <w:lang w:val="en-US"/>
        </w:rPr>
        <w:t xml:space="preserve">This case of Nagorno-Karabakh is indicative of the procedural subjectivity of private individuals even during the “hot phase” of the conflict. </w:t>
      </w:r>
    </w:p>
    <w:p w14:paraId="1280A120" w14:textId="65162080" w:rsidR="00051EED"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In addition, we have already mentioned the example of Syria. The civil war in 2011 was accompanied by horrific crimes committed by Bashar al-Assad</w:t>
      </w:r>
      <w:r w:rsidR="005D64C3">
        <w:rPr>
          <w:rFonts w:cs="Times New Roman"/>
          <w:sz w:val="24"/>
          <w:szCs w:val="24"/>
          <w:lang w:val="en-US"/>
        </w:rPr>
        <w:t>’</w:t>
      </w:r>
      <w:r w:rsidRPr="00B65D54">
        <w:rPr>
          <w:rFonts w:cs="Times New Roman"/>
          <w:sz w:val="24"/>
          <w:szCs w:val="24"/>
          <w:lang w:val="en-US"/>
        </w:rPr>
        <w:t xml:space="preserve">s regime against the civilian population. International intergovernmental mechanisms were blocked because Syria had not ratified the Rome Statute of the International Criminal Court. Furthermore, efforts to refer the situation to the ICC through the UN Security Council were vetoed. In such circumstances, Syrian victims and human rights defenders turned to the principle of universal jurisdiction. This means that the national courts of individual states can prosecute the most serious crimes </w:t>
      </w:r>
      <w:r w:rsidRPr="00B65D54">
        <w:rPr>
          <w:rFonts w:cs="Times New Roman"/>
          <w:sz w:val="24"/>
          <w:szCs w:val="24"/>
          <w:lang w:val="en-US"/>
        </w:rPr>
        <w:lastRenderedPageBreak/>
        <w:t>regardless of where they were committed and the nationality of the perpetrators. Germany played a special role in this process, where the law allows foreigners to be tried for crimes against humanity and war crimes committed abroad (Ehl, 2025).</w:t>
      </w:r>
    </w:p>
    <w:p w14:paraId="32DDDF4B" w14:textId="41BBB3A3" w:rsidR="005D64B7"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 xml:space="preserve">On January 3, 2022, the Higher Regional Court of Koblenz handed down a verdict in the case of former Syrian intelligence colonel Anwar R. This is the world's first verdict against a high-ranking official of the Assad regime for crimes against humanity. Anwar R. was found guilty of complicity in the torture of more than 4,000 prisoners, the murder of 27 people, rape, and sexual violence in the secret Al-Khatib prison in Damascus. He was sentenced to life imprisonment. This historic trial was made possible thanks to the efforts of a group of Syrian victims and the non-governmental organization European Center for Constitutional and Human Rights. Together, since 2017, they have been gathering evidence and have secured an international arrest warrant for Syrian officials from German prosecutors. In this case, 14 Syrians acted as co-plaintiffs and testified about their experiences. As human rights activists noted, this is a striking example of how the actions of a group of individuals led to the prosecution of a representative of the state regime </w:t>
      </w:r>
      <w:r w:rsidR="005D64B7" w:rsidRPr="00B65D54">
        <w:rPr>
          <w:rFonts w:cs="Times New Roman"/>
          <w:sz w:val="24"/>
          <w:szCs w:val="24"/>
          <w:lang w:val="en-US"/>
        </w:rPr>
        <w:t>(European Center for Constitutional and Human Rights, 2022).</w:t>
      </w:r>
    </w:p>
    <w:p w14:paraId="27151603" w14:textId="77777777" w:rsidR="00051EED"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This verdict was a turning point for the entire international justice system. It confirmed that universal jurisdiction can be an effective mechanism for victims of the most serious crimes. This case demonstrated that even in the absence of international jurisdiction, individuals can seek justice by turning to the courts of another state. European national justice effectively provided Syrian victims with a legal platform. This once again confirms that, at the present stage, the role of individuals in the context of holding states accountable has grown significantly and that they are full-fledged actors in international law.</w:t>
      </w:r>
    </w:p>
    <w:p w14:paraId="0BFBE43A" w14:textId="25F8C87E" w:rsidR="00051EED"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Another example of the expansion of universal jurisdiction thanks to the efforts of private individuals is the case concerning the genocide of the Rohingya people (a Muslim minority in Myanmar), which was initiated in Argentina. In 2017, the Myanmar military carried out so-called “cleansing operations” against the Rohingya, accompanied by mass killings and the expulsion of more than 700,000 civilians. Some countries, including Bangladesh and Gambia, initiated international proceedings. However, this mechanism proved ineffective. The Rohingya diaspora decided to act through Argentina</w:t>
      </w:r>
      <w:r w:rsidR="00C00948">
        <w:rPr>
          <w:rFonts w:cs="Times New Roman"/>
          <w:sz w:val="24"/>
          <w:szCs w:val="24"/>
          <w:lang w:val="en-US"/>
        </w:rPr>
        <w:t>’</w:t>
      </w:r>
      <w:r w:rsidRPr="00B65D54">
        <w:rPr>
          <w:rFonts w:cs="Times New Roman"/>
          <w:sz w:val="24"/>
          <w:szCs w:val="24"/>
          <w:lang w:val="en-US"/>
        </w:rPr>
        <w:t xml:space="preserve">s national justice system. In November 2019, the Burmese Rohingya </w:t>
      </w:r>
      <w:proofErr w:type="spellStart"/>
      <w:r w:rsidRPr="00B65D54">
        <w:rPr>
          <w:rFonts w:cs="Times New Roman"/>
          <w:sz w:val="24"/>
          <w:szCs w:val="24"/>
          <w:lang w:val="en-US"/>
        </w:rPr>
        <w:t>Organisation</w:t>
      </w:r>
      <w:proofErr w:type="spellEnd"/>
      <w:r w:rsidRPr="00B65D54">
        <w:rPr>
          <w:rFonts w:cs="Times New Roman"/>
          <w:sz w:val="24"/>
          <w:szCs w:val="24"/>
          <w:lang w:val="en-US"/>
        </w:rPr>
        <w:t xml:space="preserve"> UK, which brings together Rohingya in exile, filed a petition on behalf of the victims with the Argentine federal court demanding an investigation into crimes of genocide and crimes against humanity committed by the Myanmar military and officials. Argentine law allows for the application of universal jurisdiction. This precedent-setting lawsuit by the diaspora was based on the same principle as the German cases against Syria, namely that serious crimes affect all of humanity and can therefore be prosecuted anywhere (</w:t>
      </w:r>
      <w:r w:rsidR="00C00948" w:rsidRPr="00C00948">
        <w:rPr>
          <w:rFonts w:cs="Times New Roman"/>
          <w:sz w:val="24"/>
          <w:szCs w:val="24"/>
          <w:lang w:val="en-US"/>
        </w:rPr>
        <w:t>UN Human Rights Council</w:t>
      </w:r>
      <w:r w:rsidRPr="00B65D54">
        <w:rPr>
          <w:rFonts w:cs="Times New Roman"/>
          <w:sz w:val="24"/>
          <w:szCs w:val="24"/>
          <w:lang w:val="en-US"/>
        </w:rPr>
        <w:t>, 2024). The UN Independent Mechanism for the Collection of Evidence on Myanmar joined the case. It provided Argentine prosecutors with evidence and testimony. During 2022-2023, the Argentine authorities gathered evidence. This culminated in June 2024, when the Argentine federal prosecutor filed a motion for 25 arrest warrants for senior Myanmar officials, including the current head of state. In February 2025, an Argentine court granted the request and authorized the arrest of these individuals (</w:t>
      </w:r>
      <w:r w:rsidR="00591A89" w:rsidRPr="00591A89">
        <w:rPr>
          <w:rFonts w:cs="Times New Roman"/>
          <w:sz w:val="24"/>
          <w:szCs w:val="24"/>
          <w:lang w:val="en-US"/>
        </w:rPr>
        <w:t>Legal Action Worldwide</w:t>
      </w:r>
      <w:r w:rsidRPr="00B65D54">
        <w:rPr>
          <w:rFonts w:cs="Times New Roman"/>
          <w:sz w:val="24"/>
          <w:szCs w:val="24"/>
          <w:lang w:val="en-US"/>
        </w:rPr>
        <w:t>, 2025). Although the defendants are outside Argentina, the mere fact that international warrants have been issued puts legal pressure on the regime in Myanmar.</w:t>
      </w:r>
    </w:p>
    <w:p w14:paraId="661719CE" w14:textId="77777777" w:rsidR="00051EED"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 xml:space="preserve">This case does not concern Europe. However, we have described it to illustrate the transnational evolution of the status of individuals in international law. This case demonstrated the universality of the principle of universal jurisdiction in the literal sense. Thus, it is not only European courts that are prepared to prosecute international crimes. The initiators of the process were private individuals who did not wait for international punishment for the guilty in their own country. Instead, they independently appealed to the court of a foreign state. This clearly </w:t>
      </w:r>
      <w:r w:rsidRPr="00B65D54">
        <w:rPr>
          <w:rFonts w:cs="Times New Roman"/>
          <w:sz w:val="24"/>
          <w:szCs w:val="24"/>
          <w:lang w:val="en-US"/>
        </w:rPr>
        <w:lastRenderedPageBreak/>
        <w:t>demonstrates that even outside Europe, the ability of individuals to influence the prosecution of a violator state has increased.</w:t>
      </w:r>
    </w:p>
    <w:p w14:paraId="1F45EC79" w14:textId="0F1916CB" w:rsidR="00051EED"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Thus, the cases discussed above illustrate how, in the 21st century, private individuals have become influential actors in international legal responsibility. This evolution of international practice has several important dimensions. First, the effectiveness of international mechanisms increases significantly when people appeal to them directly. Individual complaints to the ECtHR have resulted in precedent-setting decisions. This is an important signal that human rights are important and that the state may be held accountable for their violation. Second, universal jurisdiction has become an effective tool in the hands of civil society against the immunity of state authorities</w:t>
      </w:r>
      <w:r w:rsidR="007F26C0">
        <w:rPr>
          <w:rFonts w:cs="Times New Roman"/>
          <w:sz w:val="24"/>
          <w:szCs w:val="24"/>
          <w:lang w:val="en-US"/>
        </w:rPr>
        <w:t xml:space="preserve"> (</w:t>
      </w:r>
      <w:proofErr w:type="spellStart"/>
      <w:r w:rsidR="007F26C0" w:rsidRPr="007F26C0">
        <w:rPr>
          <w:rFonts w:cs="Times New Roman"/>
          <w:sz w:val="24"/>
          <w:szCs w:val="24"/>
          <w:lang w:val="en-US"/>
        </w:rPr>
        <w:t>Bilousov</w:t>
      </w:r>
      <w:proofErr w:type="spellEnd"/>
      <w:r w:rsidR="007F26C0">
        <w:rPr>
          <w:rFonts w:cs="Times New Roman"/>
          <w:sz w:val="24"/>
          <w:szCs w:val="24"/>
          <w:lang w:val="en-US"/>
        </w:rPr>
        <w:t xml:space="preserve"> et al., 2023)</w:t>
      </w:r>
      <w:r w:rsidRPr="00B65D54">
        <w:rPr>
          <w:rFonts w:cs="Times New Roman"/>
          <w:sz w:val="24"/>
          <w:szCs w:val="24"/>
          <w:lang w:val="en-US"/>
        </w:rPr>
        <w:t xml:space="preserve">. The cases of Syria and Myanmar have confirmed this. Third, the participation of private individuals in international proceedings is changing the very nature of international legal responsibility. It makes it more </w:t>
      </w:r>
      <w:r w:rsidR="00930673" w:rsidRPr="00B65D54">
        <w:rPr>
          <w:rFonts w:cs="Times New Roman"/>
          <w:sz w:val="24"/>
          <w:szCs w:val="24"/>
          <w:lang w:val="en-US"/>
        </w:rPr>
        <w:t>personalized</w:t>
      </w:r>
      <w:r w:rsidRPr="00B65D54">
        <w:rPr>
          <w:rFonts w:cs="Times New Roman"/>
          <w:sz w:val="24"/>
          <w:szCs w:val="24"/>
          <w:lang w:val="en-US"/>
        </w:rPr>
        <w:t xml:space="preserve">, focused on restoring the rights of specific individuals. </w:t>
      </w:r>
    </w:p>
    <w:p w14:paraId="3EFA02D2" w14:textId="797D3ABC" w:rsidR="00DD4DAE" w:rsidRPr="00930673" w:rsidRDefault="00DD4DAE" w:rsidP="006B0D19">
      <w:pPr>
        <w:spacing w:after="0"/>
        <w:ind w:firstLine="567"/>
        <w:jc w:val="both"/>
        <w:rPr>
          <w:rFonts w:cs="Times New Roman"/>
          <w:sz w:val="24"/>
          <w:szCs w:val="24"/>
          <w:lang w:val="en-US"/>
        </w:rPr>
      </w:pPr>
      <w:r w:rsidRPr="00930673">
        <w:rPr>
          <w:rFonts w:cs="Times New Roman"/>
          <w:sz w:val="24"/>
          <w:szCs w:val="24"/>
          <w:lang w:val="en-US"/>
        </w:rPr>
        <w:t>Particular attention should be paid to the role of the individual in the issue of civil confiscation of assets of an aggressor state. This concept refers to a judicial or administrative mechanism for the compulsory seizure of property belonging to a foreign state or its associated entities, without the need for a prior criminal conviction (France, 2022). This instrument differs from classical criminal confiscation in that it is based on the balance of probabilities standard. It can be applied in cases where assets are considered to have been obtained as a result of gross violations of international law or are used to finance them (FATF, 2012). There are no direct universal norms on the civil confiscation of assets of an aggressor state at the international level. The relevant procedures are consistent with the principles of sovereign immunity of the state</w:t>
      </w:r>
      <w:r w:rsidR="005E179E">
        <w:rPr>
          <w:rFonts w:cs="Times New Roman"/>
          <w:sz w:val="24"/>
          <w:szCs w:val="24"/>
          <w:lang w:val="en-US"/>
        </w:rPr>
        <w:t xml:space="preserve"> and</w:t>
      </w:r>
      <w:r w:rsidRPr="00930673">
        <w:rPr>
          <w:rFonts w:cs="Times New Roman"/>
          <w:sz w:val="24"/>
          <w:szCs w:val="24"/>
          <w:lang w:val="en-US"/>
        </w:rPr>
        <w:t xml:space="preserve"> are enshrined in the United Nations Convention on Jurisdictional Immunities of States and Their Property (</w:t>
      </w:r>
      <w:r w:rsidR="005E179E" w:rsidRPr="005E179E">
        <w:rPr>
          <w:rFonts w:cs="Times New Roman"/>
          <w:sz w:val="24"/>
          <w:szCs w:val="24"/>
          <w:lang w:val="en-US"/>
        </w:rPr>
        <w:t>General Assembly of the United Nations</w:t>
      </w:r>
      <w:r w:rsidR="005E179E">
        <w:rPr>
          <w:rFonts w:cs="Times New Roman"/>
          <w:sz w:val="24"/>
          <w:szCs w:val="24"/>
          <w:lang w:val="en-US"/>
        </w:rPr>
        <w:t xml:space="preserve">, </w:t>
      </w:r>
      <w:r w:rsidRPr="00930673">
        <w:rPr>
          <w:rFonts w:cs="Times New Roman"/>
          <w:sz w:val="24"/>
          <w:szCs w:val="24"/>
          <w:lang w:val="en-US"/>
        </w:rPr>
        <w:t>2004).</w:t>
      </w:r>
    </w:p>
    <w:p w14:paraId="22DE2339" w14:textId="66DE80B4" w:rsidR="00DD4DAE" w:rsidRPr="00B65D54" w:rsidRDefault="00DD4DAE" w:rsidP="004E4348">
      <w:pPr>
        <w:spacing w:after="0"/>
        <w:ind w:firstLine="567"/>
        <w:jc w:val="both"/>
        <w:rPr>
          <w:rFonts w:cs="Times New Roman"/>
          <w:sz w:val="24"/>
          <w:szCs w:val="24"/>
          <w:lang w:val="en-US"/>
        </w:rPr>
      </w:pPr>
      <w:r w:rsidRPr="00930673">
        <w:rPr>
          <w:rFonts w:cs="Times New Roman"/>
          <w:sz w:val="24"/>
          <w:szCs w:val="24"/>
          <w:lang w:val="en-US"/>
        </w:rPr>
        <w:t xml:space="preserve">At the same time, recent events related to the aggression of the Russian Federation against Ukraine have led to the search for exceptions to this immunity in order to direct confiscated assets to reparation funds for victims (Ministry of Finance of Ukraine, 2024). </w:t>
      </w:r>
      <w:r w:rsidR="00D7342A">
        <w:rPr>
          <w:rFonts w:cs="Times New Roman"/>
          <w:sz w:val="24"/>
          <w:szCs w:val="24"/>
          <w:lang w:val="en-US"/>
        </w:rPr>
        <w:t>The 2023 amendments of t</w:t>
      </w:r>
      <w:r w:rsidR="00D7342A" w:rsidRPr="00930673">
        <w:rPr>
          <w:rFonts w:cs="Times New Roman"/>
          <w:sz w:val="24"/>
          <w:szCs w:val="24"/>
          <w:lang w:val="en-US"/>
        </w:rPr>
        <w:t xml:space="preserve">he Special Economic Measures Act </w:t>
      </w:r>
      <w:r w:rsidR="00D7342A">
        <w:rPr>
          <w:rFonts w:cs="Times New Roman"/>
          <w:sz w:val="24"/>
          <w:szCs w:val="24"/>
          <w:lang w:val="en-US"/>
        </w:rPr>
        <w:t>(</w:t>
      </w:r>
      <w:r w:rsidR="00D7342A" w:rsidRPr="00D7342A">
        <w:rPr>
          <w:rFonts w:cs="Times New Roman"/>
          <w:sz w:val="24"/>
          <w:szCs w:val="24"/>
          <w:lang w:val="en-US"/>
        </w:rPr>
        <w:t xml:space="preserve">Parliament of </w:t>
      </w:r>
      <w:r w:rsidRPr="00930673">
        <w:rPr>
          <w:rFonts w:cs="Times New Roman"/>
          <w:sz w:val="24"/>
          <w:szCs w:val="24"/>
          <w:lang w:val="en-US"/>
        </w:rPr>
        <w:t>Canada</w:t>
      </w:r>
      <w:r w:rsidR="00D7342A">
        <w:rPr>
          <w:rFonts w:cs="Times New Roman"/>
          <w:sz w:val="24"/>
          <w:szCs w:val="24"/>
          <w:lang w:val="en-US"/>
        </w:rPr>
        <w:t>, 1992)</w:t>
      </w:r>
      <w:r w:rsidRPr="00930673">
        <w:rPr>
          <w:rFonts w:cs="Times New Roman"/>
          <w:sz w:val="24"/>
          <w:szCs w:val="24"/>
          <w:lang w:val="en-US"/>
        </w:rPr>
        <w:t xml:space="preserve"> allow the confiscation of frozen assets of sanctioned foreign states for subsequent transfer to Ukraine. Similar initiatives are being considered in the United States under the REPO for Ukrainians Act (</w:t>
      </w:r>
      <w:r w:rsidR="004E4348" w:rsidRPr="004E4348">
        <w:rPr>
          <w:rFonts w:cs="Times New Roman"/>
          <w:sz w:val="24"/>
          <w:szCs w:val="24"/>
          <w:lang w:val="en-US"/>
        </w:rPr>
        <w:t>United States Congress</w:t>
      </w:r>
      <w:r w:rsidR="004E4348">
        <w:rPr>
          <w:rFonts w:cs="Times New Roman"/>
          <w:sz w:val="24"/>
          <w:szCs w:val="24"/>
          <w:lang w:val="en-US"/>
        </w:rPr>
        <w:t xml:space="preserve">, </w:t>
      </w:r>
      <w:r w:rsidRPr="00930673">
        <w:rPr>
          <w:rFonts w:cs="Times New Roman"/>
          <w:sz w:val="24"/>
          <w:szCs w:val="24"/>
          <w:lang w:val="en-US"/>
        </w:rPr>
        <w:t>2023</w:t>
      </w:r>
      <w:r w:rsidR="004E4348">
        <w:rPr>
          <w:rFonts w:cs="Times New Roman"/>
          <w:sz w:val="24"/>
          <w:szCs w:val="24"/>
          <w:lang w:val="en-US"/>
        </w:rPr>
        <w:t xml:space="preserve">). </w:t>
      </w:r>
      <w:r w:rsidRPr="00421548">
        <w:rPr>
          <w:rFonts w:eastAsia="Times New Roman" w:cs="Times New Roman"/>
          <w:kern w:val="0"/>
          <w:sz w:val="24"/>
          <w:szCs w:val="24"/>
          <w:lang w:val="en-US" w:eastAsia="ru-RU"/>
          <w14:ligatures w14:val="none"/>
        </w:rPr>
        <w:t>The legal possibility of such confiscation depends on a combination of national legislation, international obligations, and the doctrine of limited immunity, which allows for exceptions in cases of serious violations of jus cogens (McGregor, 2013). In the context of strengthening the role of the individual in state accountability mechanisms, civil confiscation can be an effective tool for providing material compensation to victims. However, this requires adequate procedural safeguards and transparency. One measure could be to channel confiscated funds into special funds accessible to individual applicants.</w:t>
      </w:r>
    </w:p>
    <w:p w14:paraId="1B0D41AA" w14:textId="77777777" w:rsidR="00051EED" w:rsidRPr="00B65D54" w:rsidRDefault="00051EED" w:rsidP="006B0D19">
      <w:pPr>
        <w:spacing w:after="0"/>
        <w:ind w:firstLine="567"/>
        <w:jc w:val="both"/>
        <w:rPr>
          <w:rFonts w:cs="Times New Roman"/>
          <w:sz w:val="24"/>
          <w:szCs w:val="24"/>
          <w:lang w:val="en-US"/>
        </w:rPr>
      </w:pPr>
      <w:r w:rsidRPr="00B65D54">
        <w:rPr>
          <w:rFonts w:cs="Times New Roman"/>
          <w:sz w:val="24"/>
          <w:szCs w:val="24"/>
          <w:lang w:val="en-US"/>
        </w:rPr>
        <w:t>Thus, practical cases of the 21st century have demonstrated the formation of a new model of state responsibility. Private individuals have become important participants and initiators of processes that were previously the prerogative of states. For our research, this means that we must take into account the role of individuals and civil society as drivers of international justice.</w:t>
      </w:r>
    </w:p>
    <w:p w14:paraId="3643E743" w14:textId="77777777" w:rsidR="00A35887" w:rsidRPr="00B65D54" w:rsidRDefault="00A35887" w:rsidP="00B65D54">
      <w:pPr>
        <w:spacing w:after="0"/>
        <w:jc w:val="both"/>
        <w:rPr>
          <w:rFonts w:cs="Times New Roman"/>
          <w:sz w:val="24"/>
          <w:szCs w:val="24"/>
          <w:lang w:val="en-US"/>
        </w:rPr>
      </w:pPr>
    </w:p>
    <w:p w14:paraId="0F9CF680" w14:textId="2595F5FE" w:rsidR="00B8464B" w:rsidRPr="00B65D54" w:rsidRDefault="0079494A" w:rsidP="00B65D54">
      <w:pPr>
        <w:spacing w:after="0"/>
        <w:jc w:val="both"/>
        <w:rPr>
          <w:rFonts w:cs="Times New Roman"/>
          <w:b/>
          <w:bCs/>
          <w:sz w:val="24"/>
          <w:szCs w:val="24"/>
          <w:lang w:val="en-US"/>
        </w:rPr>
      </w:pPr>
      <w:r w:rsidRPr="00B65D54">
        <w:rPr>
          <w:rFonts w:cs="Times New Roman"/>
          <w:b/>
          <w:bCs/>
          <w:sz w:val="24"/>
          <w:szCs w:val="24"/>
          <w:lang w:val="en-US"/>
        </w:rPr>
        <w:t xml:space="preserve">5. </w:t>
      </w:r>
      <w:r w:rsidR="000D6E88" w:rsidRPr="00B65D54">
        <w:rPr>
          <w:rFonts w:cs="Times New Roman"/>
          <w:b/>
          <w:bCs/>
          <w:sz w:val="24"/>
          <w:szCs w:val="24"/>
          <w:lang w:val="en-US"/>
        </w:rPr>
        <w:t>Discussion</w:t>
      </w:r>
    </w:p>
    <w:p w14:paraId="0289B92E" w14:textId="06A94F1D" w:rsidR="000D6E88" w:rsidRDefault="00194E69" w:rsidP="00B65D54">
      <w:pPr>
        <w:spacing w:after="0"/>
        <w:jc w:val="both"/>
        <w:rPr>
          <w:rFonts w:cs="Times New Roman"/>
          <w:sz w:val="24"/>
          <w:szCs w:val="24"/>
          <w:lang w:val="uk-UA"/>
        </w:rPr>
      </w:pPr>
      <w:r w:rsidRPr="00B65D54">
        <w:rPr>
          <w:rFonts w:cs="Times New Roman"/>
          <w:sz w:val="24"/>
          <w:szCs w:val="24"/>
          <w:lang w:val="en-US"/>
        </w:rPr>
        <w:t xml:space="preserve">A review of recent practice shows that today individuals are no longer merely “objects of protection” in international law. Individuals are increasingly taking the initiative in holding states accountable. This trend has systemic implications. Nevertheless, ensuring the rights of individuals in connection with internationally wrongful acts of states continues to face numerous challenges. Despite the existence of a ramified system of human rights protection, victims of international crimes still face numerous barriers. They are often denied effective </w:t>
      </w:r>
      <w:r w:rsidRPr="00B65D54">
        <w:rPr>
          <w:rFonts w:cs="Times New Roman"/>
          <w:sz w:val="24"/>
          <w:szCs w:val="24"/>
          <w:lang w:val="en-US"/>
        </w:rPr>
        <w:lastRenderedPageBreak/>
        <w:t>access to information, participation in judicial proceedings, adequate protection, and compensation, as noted in a study by leading human rights organizations (</w:t>
      </w:r>
      <w:r w:rsidR="000D6E88" w:rsidRPr="000D6E88">
        <w:rPr>
          <w:rFonts w:cs="Times New Roman"/>
          <w:sz w:val="24"/>
          <w:szCs w:val="24"/>
          <w:lang w:val="en-US"/>
        </w:rPr>
        <w:t>Finnin</w:t>
      </w:r>
      <w:r w:rsidRPr="00B65D54">
        <w:rPr>
          <w:rFonts w:cs="Times New Roman"/>
          <w:sz w:val="24"/>
          <w:szCs w:val="24"/>
          <w:lang w:val="en-US"/>
        </w:rPr>
        <w:t xml:space="preserve">, 2020). </w:t>
      </w:r>
    </w:p>
    <w:p w14:paraId="0D75A326" w14:textId="023A54C9" w:rsidR="00194E69" w:rsidRPr="00B65D54" w:rsidRDefault="00194E69" w:rsidP="000D6E88">
      <w:pPr>
        <w:spacing w:after="0"/>
        <w:ind w:firstLine="567"/>
        <w:jc w:val="both"/>
        <w:rPr>
          <w:rFonts w:cs="Times New Roman"/>
          <w:sz w:val="24"/>
          <w:szCs w:val="24"/>
          <w:lang w:val="en-US"/>
        </w:rPr>
      </w:pPr>
      <w:r w:rsidRPr="00B65D54">
        <w:rPr>
          <w:rFonts w:cs="Times New Roman"/>
          <w:sz w:val="24"/>
          <w:szCs w:val="24"/>
          <w:lang w:val="en-US"/>
        </w:rPr>
        <w:t>Human Rights Watch (2024) emphasizes that jurisdictional barriers remain one of the fundamental structural limitations. For example, the International Criminal Court does not have its own enforcement tools. This makes it dependent on the political will of member states to ensure the arrest of defendants. Although most EU countries are parties to the Rome Statute, the execution of arrest warrants is often blocked for political reasons. As a result, dozens of suspects remain at large for years, significantly undermining confidence in the effectiveness of international justice. An additional factor complicating access to justice is political pressure on judicial institutions. In many cases, there is direct or indirect interference by the executive branch in the judicial process. According to the conclusions of the International Commission of Jurists, such distortions of the justice system are systemic in a number of European countries (</w:t>
      </w:r>
      <w:r w:rsidR="00F253DF" w:rsidRPr="00F253DF">
        <w:rPr>
          <w:rStyle w:val="af"/>
          <w:rFonts w:cs="Times New Roman"/>
          <w:b w:val="0"/>
          <w:bCs w:val="0"/>
          <w:sz w:val="24"/>
          <w:szCs w:val="24"/>
          <w:lang w:val="en-US"/>
        </w:rPr>
        <w:t>Duffy</w:t>
      </w:r>
      <w:r w:rsidR="00F253DF">
        <w:rPr>
          <w:rStyle w:val="af"/>
          <w:rFonts w:cs="Times New Roman"/>
          <w:b w:val="0"/>
          <w:bCs w:val="0"/>
          <w:sz w:val="24"/>
          <w:szCs w:val="24"/>
          <w:lang w:val="en-US"/>
        </w:rPr>
        <w:t xml:space="preserve"> et al.</w:t>
      </w:r>
      <w:r w:rsidRPr="00B65D54">
        <w:rPr>
          <w:rFonts w:cs="Times New Roman"/>
          <w:sz w:val="24"/>
          <w:szCs w:val="24"/>
          <w:lang w:val="en-US"/>
        </w:rPr>
        <w:t>, 2025).</w:t>
      </w:r>
    </w:p>
    <w:p w14:paraId="7500954F" w14:textId="77777777" w:rsidR="00194E69" w:rsidRPr="00B65D54" w:rsidRDefault="00194E69" w:rsidP="000D6E88">
      <w:pPr>
        <w:spacing w:after="0"/>
        <w:ind w:firstLine="567"/>
        <w:jc w:val="both"/>
        <w:rPr>
          <w:rFonts w:cs="Times New Roman"/>
          <w:sz w:val="24"/>
          <w:szCs w:val="24"/>
          <w:lang w:val="en-US"/>
        </w:rPr>
      </w:pPr>
      <w:r w:rsidRPr="00B65D54">
        <w:rPr>
          <w:rFonts w:cs="Times New Roman"/>
          <w:sz w:val="24"/>
          <w:szCs w:val="24"/>
          <w:lang w:val="en-US"/>
        </w:rPr>
        <w:t>Practice shows that the individual's right to appeal remains unevenly accessible. Therefore, it is advisable for states to create funds for procedural support for victims, in particular to provide pro bono legal services. This will improve the quality of investigations and strengthen the legitimacy of court decisions. The issue of state immunity deserves special attention. States should clearly regulate in procedural law exceptions to the immunity of the state and its officials in cases of serious international crimes, so that decisions have a better chance of being enforced and internationally recognized.</w:t>
      </w:r>
    </w:p>
    <w:p w14:paraId="664CA2D6" w14:textId="77777777" w:rsidR="00194E69" w:rsidRPr="00B65D54" w:rsidRDefault="00194E69" w:rsidP="000D6E88">
      <w:pPr>
        <w:spacing w:after="0"/>
        <w:ind w:firstLine="567"/>
        <w:jc w:val="both"/>
        <w:rPr>
          <w:rFonts w:cs="Times New Roman"/>
          <w:sz w:val="24"/>
          <w:szCs w:val="24"/>
          <w:lang w:val="en-US"/>
        </w:rPr>
      </w:pPr>
      <w:r w:rsidRPr="00B65D54">
        <w:rPr>
          <w:rFonts w:cs="Times New Roman"/>
          <w:sz w:val="24"/>
          <w:szCs w:val="24"/>
          <w:lang w:val="en-US"/>
        </w:rPr>
        <w:t>In addition to difficulties in accessing justice, another serious problem is the low level of enforcement of decisions by international courts. In the ECtHR system, this manifests itself in the prolonged disregard or delay in the enforcement of decisions by national authorities. As of 2024, approximately 44% of so-called “leading” decisions remain unenforced by member states. This poses a serious threat to the principle of the rule of law (European Implementation Network, 2024). Systematic non-enforcement of international court decisions undermines the legitimacy of the very idea of a fair trial. In the activities of the ICC, a similar problem manifests itself in the unwillingness of states to cooperate in the transfer of accused persons. Even after binding decisions have been issued, their implementation does not always take place. In fact, this leads to evasion of responsibility, contrary to the formal obligations of the parties to the Rome Statute (Human Rights Watch, 2024).</w:t>
      </w:r>
    </w:p>
    <w:p w14:paraId="53D585F8" w14:textId="5C9D3430" w:rsidR="001D66CB" w:rsidRPr="00B65D54" w:rsidRDefault="00194E69" w:rsidP="000D6E88">
      <w:pPr>
        <w:spacing w:after="0"/>
        <w:ind w:firstLine="567"/>
        <w:jc w:val="both"/>
        <w:rPr>
          <w:rFonts w:cs="Times New Roman"/>
          <w:sz w:val="24"/>
          <w:szCs w:val="24"/>
          <w:lang w:val="en-US"/>
        </w:rPr>
      </w:pPr>
      <w:r w:rsidRPr="00B65D54">
        <w:rPr>
          <w:rFonts w:cs="Times New Roman"/>
          <w:sz w:val="24"/>
          <w:szCs w:val="24"/>
          <w:lang w:val="en-US"/>
        </w:rPr>
        <w:t>A practical step that could significantly reduce the barriers described above is the introduction within the EU of an updated “European Arrest Warrant+” mechanism, which would automatically equate International Criminal Court warrants with ordinary European warrants. The essence of the initiative is the adoption of a special protocol to Framework Decision 2002/584/JHA. According to this protocol, member states would be obliged to execute ICC warrants without additional political coordination. To prevent the mechanism from becoming yet another declaration, the protocol would have to include financial and political sanctions for non-compliance</w:t>
      </w:r>
      <w:r w:rsidR="00945519" w:rsidRPr="00B65D54">
        <w:rPr>
          <w:rFonts w:cs="Times New Roman"/>
          <w:sz w:val="24"/>
          <w:szCs w:val="24"/>
          <w:lang w:val="en-US"/>
        </w:rPr>
        <w:t xml:space="preserve"> (</w:t>
      </w:r>
      <w:r w:rsidR="00345549">
        <w:rPr>
          <w:rStyle w:val="af"/>
          <w:rFonts w:cs="Times New Roman"/>
          <w:b w:val="0"/>
          <w:bCs w:val="0"/>
          <w:sz w:val="24"/>
          <w:szCs w:val="24"/>
          <w:lang w:val="en-US"/>
        </w:rPr>
        <w:t>Council of the European Union</w:t>
      </w:r>
      <w:r w:rsidR="00945519" w:rsidRPr="00B65D54">
        <w:rPr>
          <w:rFonts w:cs="Times New Roman"/>
          <w:sz w:val="24"/>
          <w:szCs w:val="24"/>
          <w:lang w:val="en-US"/>
        </w:rPr>
        <w:t xml:space="preserve">, 2002). </w:t>
      </w:r>
      <w:r w:rsidR="001D66CB" w:rsidRPr="00B65D54">
        <w:rPr>
          <w:rFonts w:cs="Times New Roman"/>
          <w:sz w:val="24"/>
          <w:szCs w:val="24"/>
          <w:lang w:val="en-US"/>
        </w:rPr>
        <w:t>In such a model, the ICC would no longer depend on the situational political will of governments. In addition, failure to comply with an order would become disadvantageous for a member state. At the same time, the European Union would demonstrate that it can turn the principle of universality into a real legal standard.</w:t>
      </w:r>
    </w:p>
    <w:p w14:paraId="4181580B" w14:textId="0F4D5586" w:rsidR="001D66CB" w:rsidRPr="00B65D54" w:rsidRDefault="001D66CB" w:rsidP="000D6E88">
      <w:pPr>
        <w:spacing w:after="0"/>
        <w:ind w:firstLine="567"/>
        <w:jc w:val="both"/>
        <w:rPr>
          <w:rFonts w:cs="Times New Roman"/>
          <w:sz w:val="24"/>
          <w:szCs w:val="24"/>
          <w:lang w:val="en-US"/>
        </w:rPr>
      </w:pPr>
      <w:r w:rsidRPr="00B65D54">
        <w:rPr>
          <w:rFonts w:cs="Times New Roman"/>
          <w:sz w:val="24"/>
          <w:szCs w:val="24"/>
          <w:lang w:val="en-US"/>
        </w:rPr>
        <w:t>Equally important is the problem of insufficient implementation of international standards in national legal systems. The European Network for the Implementation of Court Decisions qualifies the non-execution of ECtHR and EU Court decisions as a systemic problem. The governments of many states continue to ignore the need to harmonize national legislation and administrative practice with the requirements of international law (</w:t>
      </w:r>
      <w:r w:rsidR="00345549" w:rsidRPr="00BA7676">
        <w:rPr>
          <w:rStyle w:val="af"/>
          <w:rFonts w:cs="Times New Roman"/>
          <w:b w:val="0"/>
          <w:bCs w:val="0"/>
          <w:sz w:val="24"/>
          <w:szCs w:val="24"/>
          <w:lang w:val="en-US"/>
        </w:rPr>
        <w:t>European Implementation Network</w:t>
      </w:r>
      <w:r w:rsidR="00345549">
        <w:rPr>
          <w:rStyle w:val="af"/>
          <w:rFonts w:cs="Times New Roman"/>
          <w:b w:val="0"/>
          <w:bCs w:val="0"/>
          <w:sz w:val="24"/>
          <w:szCs w:val="24"/>
          <w:lang w:val="en-US"/>
        </w:rPr>
        <w:t xml:space="preserve"> &amp;</w:t>
      </w:r>
      <w:r w:rsidR="00345549" w:rsidRPr="00BA7676">
        <w:rPr>
          <w:rStyle w:val="af"/>
          <w:rFonts w:cs="Times New Roman"/>
          <w:b w:val="0"/>
          <w:bCs w:val="0"/>
          <w:sz w:val="24"/>
          <w:szCs w:val="24"/>
          <w:lang w:val="en-US"/>
        </w:rPr>
        <w:t xml:space="preserve"> Democracy Reporting International</w:t>
      </w:r>
      <w:r w:rsidRPr="00B65D54">
        <w:rPr>
          <w:rFonts w:cs="Times New Roman"/>
          <w:sz w:val="24"/>
          <w:szCs w:val="24"/>
          <w:lang w:val="en-US"/>
        </w:rPr>
        <w:t xml:space="preserve">, 2024). This causes a chronic </w:t>
      </w:r>
      <w:r w:rsidRPr="00B65D54">
        <w:rPr>
          <w:rFonts w:cs="Times New Roman"/>
          <w:sz w:val="24"/>
          <w:szCs w:val="24"/>
          <w:lang w:val="en-US"/>
        </w:rPr>
        <w:lastRenderedPageBreak/>
        <w:t>gap between declarative adherence to European standards and their actual application, which ultimately discredits the very system of human rights protection on the continent.</w:t>
      </w:r>
    </w:p>
    <w:p w14:paraId="6BAECED7" w14:textId="7B31CCCD" w:rsidR="0058305B" w:rsidRPr="00B65D54" w:rsidRDefault="001D66CB" w:rsidP="000D6E88">
      <w:pPr>
        <w:spacing w:after="0"/>
        <w:ind w:firstLine="567"/>
        <w:jc w:val="both"/>
        <w:rPr>
          <w:rFonts w:cs="Times New Roman"/>
          <w:sz w:val="24"/>
          <w:szCs w:val="24"/>
          <w:lang w:val="uk-UA"/>
        </w:rPr>
      </w:pPr>
      <w:r w:rsidRPr="00B65D54">
        <w:rPr>
          <w:rFonts w:cs="Times New Roman"/>
          <w:sz w:val="24"/>
          <w:szCs w:val="24"/>
          <w:lang w:val="en-US"/>
        </w:rPr>
        <w:t>We believe that the problem of systemic non-compliance with decisions can be minimized by introducing an “automatic implementation cycle” in each state. That is, after a decision comes into force, the government submits a short “Implementation Act” to parliament within 30 days. It comes into force without discussion if parliament does not vote against it within 90 days. An independent parliamentary commissioner monitors implementation and can initiate disciplinary action against officials.</w:t>
      </w:r>
    </w:p>
    <w:p w14:paraId="3964E8BA" w14:textId="77777777" w:rsidR="001D66CB" w:rsidRPr="00B65D54" w:rsidRDefault="001D66CB" w:rsidP="000D6E88">
      <w:pPr>
        <w:spacing w:after="0"/>
        <w:ind w:firstLine="567"/>
        <w:jc w:val="both"/>
        <w:rPr>
          <w:rFonts w:cs="Times New Roman"/>
          <w:sz w:val="24"/>
          <w:szCs w:val="24"/>
          <w:lang w:val="en-US"/>
        </w:rPr>
      </w:pPr>
      <w:r w:rsidRPr="00B65D54">
        <w:rPr>
          <w:rFonts w:cs="Times New Roman"/>
          <w:sz w:val="24"/>
          <w:szCs w:val="24"/>
          <w:lang w:val="en-US"/>
        </w:rPr>
        <w:t>At the same time, there are also positive prospects. At the European Union level, key instruments in the field of victims' rights are being reviewed (European Union Agency for Fundamental Rights, 2024). In addition, a number of EU countries have already established specialized prosecutorial structures and investigative units to investigate war crimes and crimes of an international nature, accompanied by systematic support for victims.</w:t>
      </w:r>
    </w:p>
    <w:p w14:paraId="6F41029B" w14:textId="77777777" w:rsidR="001D66CB" w:rsidRPr="00B65D54" w:rsidRDefault="001D66CB" w:rsidP="000D6E88">
      <w:pPr>
        <w:spacing w:after="0"/>
        <w:ind w:firstLine="567"/>
        <w:jc w:val="both"/>
        <w:rPr>
          <w:rFonts w:cs="Times New Roman"/>
          <w:sz w:val="24"/>
          <w:szCs w:val="24"/>
          <w:lang w:val="en-US"/>
        </w:rPr>
      </w:pPr>
      <w:r w:rsidRPr="00B65D54">
        <w:rPr>
          <w:rFonts w:cs="Times New Roman"/>
          <w:sz w:val="24"/>
          <w:szCs w:val="24"/>
          <w:lang w:val="en-US"/>
        </w:rPr>
        <w:t>Therefore, in order to effectively strengthen the role of individuals in the international legal system, it is necessary not only to remove institutional and procedural barriers, but also to reform the internal legal mechanisms of the participating countries. The adaptation of national legislation and proactive support for victims are necessary conditions for overcoming the systemic ineffectiveness of international human rights protection in Europe.</w:t>
      </w:r>
    </w:p>
    <w:p w14:paraId="565AC596" w14:textId="77777777" w:rsidR="00E94B16" w:rsidRPr="00B65D54" w:rsidRDefault="00E94B16" w:rsidP="00B65D54">
      <w:pPr>
        <w:spacing w:after="0"/>
        <w:jc w:val="both"/>
        <w:rPr>
          <w:rFonts w:cs="Times New Roman"/>
          <w:b/>
          <w:bCs/>
          <w:sz w:val="24"/>
          <w:szCs w:val="24"/>
          <w:lang w:val="en-US"/>
        </w:rPr>
      </w:pPr>
    </w:p>
    <w:p w14:paraId="042EF4D4" w14:textId="1910DBB3" w:rsidR="00735D03" w:rsidRPr="00B65D54" w:rsidRDefault="000D6E88" w:rsidP="00B65D54">
      <w:pPr>
        <w:spacing w:after="0"/>
        <w:jc w:val="both"/>
        <w:rPr>
          <w:rFonts w:cs="Times New Roman"/>
          <w:b/>
          <w:bCs/>
          <w:sz w:val="24"/>
          <w:szCs w:val="24"/>
          <w:lang w:val="uk-UA"/>
        </w:rPr>
      </w:pPr>
      <w:r>
        <w:rPr>
          <w:rFonts w:cs="Times New Roman"/>
          <w:b/>
          <w:bCs/>
          <w:sz w:val="24"/>
          <w:szCs w:val="24"/>
          <w:lang w:val="uk-UA"/>
        </w:rPr>
        <w:t xml:space="preserve">6. </w:t>
      </w:r>
      <w:r w:rsidRPr="00B65D54">
        <w:rPr>
          <w:rFonts w:cs="Times New Roman"/>
          <w:b/>
          <w:bCs/>
          <w:sz w:val="24"/>
          <w:szCs w:val="24"/>
          <w:lang w:val="en-US"/>
        </w:rPr>
        <w:t>Conclusion</w:t>
      </w:r>
    </w:p>
    <w:p w14:paraId="1C1F65CA" w14:textId="58158785" w:rsidR="002879C5" w:rsidRPr="00B65D54" w:rsidRDefault="001D66CB" w:rsidP="00B65D54">
      <w:pPr>
        <w:spacing w:after="0"/>
        <w:jc w:val="both"/>
        <w:rPr>
          <w:rFonts w:cs="Times New Roman"/>
          <w:sz w:val="24"/>
          <w:szCs w:val="24"/>
          <w:lang w:val="uk-UA"/>
        </w:rPr>
      </w:pPr>
      <w:r w:rsidRPr="00B65D54">
        <w:rPr>
          <w:rFonts w:cs="Times New Roman"/>
          <w:sz w:val="24"/>
          <w:szCs w:val="24"/>
          <w:lang w:val="en-US"/>
        </w:rPr>
        <w:t>Practical cases in the 21st century have shown that it is the initiative of individuals that triggers judicial mechanisms where inter-state procedures are ineffective. Mass individual lawsuits have become a new driver of state accountability. The universal jurisdiction of national courts has proven effective in cases where the offending state does not recognize international tribunals or blocks their jurisdiction.</w:t>
      </w:r>
    </w:p>
    <w:p w14:paraId="3518E02F" w14:textId="4040E255" w:rsidR="001D66CB" w:rsidRPr="00B65D54" w:rsidRDefault="001D66CB" w:rsidP="000D6E88">
      <w:pPr>
        <w:spacing w:after="0"/>
        <w:ind w:firstLine="567"/>
        <w:jc w:val="both"/>
        <w:rPr>
          <w:rFonts w:cs="Times New Roman"/>
          <w:sz w:val="24"/>
          <w:szCs w:val="24"/>
          <w:lang w:val="en-US"/>
        </w:rPr>
      </w:pPr>
      <w:r w:rsidRPr="00B65D54">
        <w:rPr>
          <w:rFonts w:cs="Times New Roman"/>
          <w:sz w:val="24"/>
          <w:szCs w:val="24"/>
          <w:lang w:val="en-US"/>
        </w:rPr>
        <w:t>At the same time, systemic challenges emerged: jurisdictional gaps; the ICC's dependence on cooperation between states; slow and selective enforcement of EC</w:t>
      </w:r>
      <w:r w:rsidR="00A35AD7">
        <w:rPr>
          <w:rFonts w:cs="Times New Roman"/>
          <w:sz w:val="24"/>
          <w:szCs w:val="24"/>
          <w:lang w:val="en-US"/>
        </w:rPr>
        <w:t>t</w:t>
      </w:r>
      <w:r w:rsidRPr="00B65D54">
        <w:rPr>
          <w:rFonts w:cs="Times New Roman"/>
          <w:sz w:val="24"/>
          <w:szCs w:val="24"/>
          <w:lang w:val="en-US"/>
        </w:rPr>
        <w:t>HR and ECJ decisions; political pressure on national legal systems; and unequal access. The proposed practical solutions aim to remove these barriers without the need for radical restructuring of existing institutions. For states experiencing armed conflict, the mass involvement of victims in international and national proceedings serves not only as a legal but also as a political argument in inter-state negotiations. The broad participation of individuals increases the legitimacy of decisions and creates public pressure that encourages the enforcement of judgments. However, this requires institutional support.</w:t>
      </w:r>
    </w:p>
    <w:p w14:paraId="0F2CAD9D" w14:textId="1860598B" w:rsidR="00B4077A" w:rsidRPr="00B65D54" w:rsidRDefault="001D66CB" w:rsidP="000D6E88">
      <w:pPr>
        <w:spacing w:after="0"/>
        <w:ind w:firstLine="567"/>
        <w:jc w:val="both"/>
        <w:rPr>
          <w:rFonts w:cs="Times New Roman"/>
          <w:sz w:val="24"/>
          <w:szCs w:val="24"/>
          <w:lang w:val="uk-UA"/>
        </w:rPr>
      </w:pPr>
      <w:r w:rsidRPr="00B65D54">
        <w:rPr>
          <w:rFonts w:cs="Times New Roman"/>
          <w:sz w:val="24"/>
          <w:szCs w:val="24"/>
          <w:lang w:val="en-US"/>
        </w:rPr>
        <w:t xml:space="preserve">The further development of the international system of state responsibility depends on the harmonization of national legislation with international standards and mechanisms for redirecting confiscated assets to reparations funds. Only in this way can the determination of individual courts and activists be transformed into established practice. Finally, the experience of the 21st century shows that the strength of the international legal order is determined not only by intergovernmental agreements, but also by the ability of individuals to protect their rights. By integrating individual initiative into official mechanisms, states strengthen their own resilience to internal abuses. </w:t>
      </w:r>
    </w:p>
    <w:p w14:paraId="7CD3D98D" w14:textId="77777777" w:rsidR="002879C5" w:rsidRDefault="002879C5" w:rsidP="00B65D54">
      <w:pPr>
        <w:spacing w:after="0"/>
        <w:jc w:val="both"/>
        <w:rPr>
          <w:rFonts w:cs="Times New Roman"/>
          <w:b/>
          <w:bCs/>
          <w:sz w:val="24"/>
          <w:szCs w:val="24"/>
          <w:lang w:val="en-US"/>
        </w:rPr>
      </w:pPr>
    </w:p>
    <w:p w14:paraId="02EC562A" w14:textId="77777777" w:rsidR="003F53BA" w:rsidRPr="00B8166F" w:rsidRDefault="003F53BA" w:rsidP="003F53BA">
      <w:pPr>
        <w:spacing w:after="0"/>
        <w:jc w:val="both"/>
        <w:rPr>
          <w:b/>
          <w:bCs/>
          <w:sz w:val="24"/>
          <w:szCs w:val="24"/>
          <w:lang w:val="en-US"/>
        </w:rPr>
      </w:pPr>
      <w:r w:rsidRPr="00B8166F">
        <w:rPr>
          <w:b/>
          <w:bCs/>
          <w:sz w:val="24"/>
          <w:szCs w:val="24"/>
          <w:lang w:val="en-US"/>
        </w:rPr>
        <w:t>Statements</w:t>
      </w:r>
    </w:p>
    <w:p w14:paraId="3FB242CE" w14:textId="77777777" w:rsidR="003F53BA" w:rsidRPr="00B8166F" w:rsidRDefault="003F53BA" w:rsidP="003F53BA">
      <w:pPr>
        <w:spacing w:after="0"/>
        <w:jc w:val="both"/>
        <w:rPr>
          <w:b/>
          <w:bCs/>
          <w:sz w:val="24"/>
          <w:szCs w:val="24"/>
          <w:lang w:val="en-US"/>
        </w:rPr>
      </w:pPr>
    </w:p>
    <w:p w14:paraId="34B99F7F" w14:textId="77777777" w:rsidR="003F53BA" w:rsidRPr="00B8166F" w:rsidRDefault="003F53BA" w:rsidP="003F53BA">
      <w:pPr>
        <w:spacing w:after="0"/>
        <w:jc w:val="both"/>
        <w:rPr>
          <w:b/>
          <w:bCs/>
          <w:sz w:val="24"/>
          <w:szCs w:val="24"/>
          <w:lang w:val="en-US"/>
        </w:rPr>
      </w:pPr>
      <w:r w:rsidRPr="00B8166F">
        <w:rPr>
          <w:b/>
          <w:bCs/>
          <w:sz w:val="24"/>
          <w:szCs w:val="24"/>
          <w:lang w:val="en-US"/>
        </w:rPr>
        <w:t xml:space="preserve">Data availability statement </w:t>
      </w:r>
    </w:p>
    <w:p w14:paraId="5028A0A1" w14:textId="77777777" w:rsidR="003F53BA" w:rsidRPr="00B8166F" w:rsidRDefault="003F53BA" w:rsidP="003F53BA">
      <w:pPr>
        <w:spacing w:after="0"/>
        <w:jc w:val="both"/>
        <w:rPr>
          <w:sz w:val="24"/>
          <w:szCs w:val="24"/>
          <w:lang w:val="en-US"/>
        </w:rPr>
      </w:pPr>
      <w:r w:rsidRPr="00B8166F">
        <w:rPr>
          <w:sz w:val="24"/>
          <w:szCs w:val="24"/>
          <w:lang w:val="en-US"/>
        </w:rPr>
        <w:t>Data will be available on request.</w:t>
      </w:r>
    </w:p>
    <w:p w14:paraId="77B2C965" w14:textId="77777777" w:rsidR="003F53BA" w:rsidRPr="00B8166F" w:rsidRDefault="003F53BA" w:rsidP="003F53BA">
      <w:pPr>
        <w:spacing w:after="0"/>
        <w:contextualSpacing/>
        <w:rPr>
          <w:rFonts w:eastAsia="Times New Roman"/>
          <w:bCs/>
          <w:noProof/>
          <w:sz w:val="24"/>
          <w:szCs w:val="24"/>
          <w:lang w:val="en-US" w:eastAsia="uk-UA"/>
        </w:rPr>
      </w:pPr>
    </w:p>
    <w:p w14:paraId="20E51FE1" w14:textId="77777777" w:rsidR="003F53BA" w:rsidRPr="00B8166F" w:rsidRDefault="003F53BA" w:rsidP="003F53BA">
      <w:pPr>
        <w:spacing w:after="0"/>
        <w:jc w:val="both"/>
        <w:rPr>
          <w:rFonts w:eastAsia="Times New Roman"/>
          <w:b/>
          <w:bCs/>
          <w:sz w:val="24"/>
          <w:szCs w:val="24"/>
          <w:lang w:val="en-US" w:eastAsia="ru-RU"/>
        </w:rPr>
      </w:pPr>
      <w:r w:rsidRPr="00B8166F">
        <w:rPr>
          <w:rFonts w:eastAsia="Times New Roman"/>
          <w:b/>
          <w:bCs/>
          <w:sz w:val="24"/>
          <w:szCs w:val="24"/>
          <w:lang w:val="en-US" w:eastAsia="ru-RU"/>
        </w:rPr>
        <w:t>Compliance with Ethical Standards</w:t>
      </w:r>
    </w:p>
    <w:p w14:paraId="1104BBB4" w14:textId="77777777" w:rsidR="003F53BA" w:rsidRPr="00B8166F" w:rsidRDefault="003F53BA" w:rsidP="003F53BA">
      <w:pPr>
        <w:spacing w:after="0"/>
        <w:jc w:val="both"/>
        <w:rPr>
          <w:rFonts w:eastAsia="Times New Roman"/>
          <w:sz w:val="24"/>
          <w:szCs w:val="24"/>
          <w:lang w:val="en-US" w:eastAsia="ru-RU"/>
        </w:rPr>
      </w:pPr>
    </w:p>
    <w:p w14:paraId="7DA1AE5F" w14:textId="77777777" w:rsidR="003F53BA" w:rsidRPr="00B8166F" w:rsidRDefault="003F53BA" w:rsidP="003F53BA">
      <w:pPr>
        <w:spacing w:after="0"/>
        <w:jc w:val="both"/>
        <w:rPr>
          <w:rFonts w:eastAsia="Times New Roman"/>
          <w:b/>
          <w:bCs/>
          <w:sz w:val="24"/>
          <w:szCs w:val="24"/>
          <w:lang w:val="en-US" w:eastAsia="ru-RU"/>
        </w:rPr>
      </w:pPr>
      <w:r w:rsidRPr="00B8166F">
        <w:rPr>
          <w:rFonts w:eastAsia="Times New Roman"/>
          <w:b/>
          <w:bCs/>
          <w:sz w:val="24"/>
          <w:szCs w:val="24"/>
          <w:lang w:val="en-US" w:eastAsia="ru-RU"/>
        </w:rPr>
        <w:lastRenderedPageBreak/>
        <w:t>Disclosure of potential conflicts of interest</w:t>
      </w:r>
    </w:p>
    <w:p w14:paraId="3EAB6561" w14:textId="77777777" w:rsidR="003F53BA" w:rsidRPr="00B8166F" w:rsidRDefault="003F53BA" w:rsidP="003F53BA">
      <w:pPr>
        <w:spacing w:after="0"/>
        <w:jc w:val="both"/>
        <w:rPr>
          <w:rFonts w:eastAsia="Times New Roman"/>
          <w:sz w:val="24"/>
          <w:szCs w:val="24"/>
          <w:lang w:val="en-US" w:eastAsia="ru-RU"/>
        </w:rPr>
      </w:pPr>
      <w:r w:rsidRPr="00B8166F">
        <w:rPr>
          <w:rFonts w:eastAsia="Times New Roman"/>
          <w:sz w:val="24"/>
          <w:szCs w:val="24"/>
          <w:lang w:val="en-US" w:eastAsia="ru-RU"/>
        </w:rPr>
        <w:t>The authors declare they have no conflict of interest.</w:t>
      </w:r>
    </w:p>
    <w:p w14:paraId="505CFF3F" w14:textId="77777777" w:rsidR="003F53BA" w:rsidRPr="00B8166F" w:rsidRDefault="003F53BA" w:rsidP="003F53BA">
      <w:pPr>
        <w:spacing w:after="0"/>
        <w:jc w:val="both"/>
        <w:rPr>
          <w:rFonts w:eastAsia="Times New Roman"/>
          <w:sz w:val="24"/>
          <w:szCs w:val="24"/>
          <w:lang w:val="en-US" w:eastAsia="ru-RU"/>
        </w:rPr>
      </w:pPr>
    </w:p>
    <w:p w14:paraId="1AB8F8E5" w14:textId="77777777" w:rsidR="003F53BA" w:rsidRPr="00B8166F" w:rsidRDefault="003F53BA" w:rsidP="003F53BA">
      <w:pPr>
        <w:spacing w:after="0"/>
        <w:jc w:val="both"/>
        <w:rPr>
          <w:rFonts w:eastAsia="Times New Roman"/>
          <w:b/>
          <w:bCs/>
          <w:sz w:val="24"/>
          <w:szCs w:val="24"/>
          <w:lang w:val="en-US" w:eastAsia="ru-RU"/>
        </w:rPr>
      </w:pPr>
      <w:r w:rsidRPr="00B8166F">
        <w:rPr>
          <w:rFonts w:eastAsia="Times New Roman"/>
          <w:b/>
          <w:bCs/>
          <w:sz w:val="24"/>
          <w:szCs w:val="24"/>
          <w:lang w:val="en-US" w:eastAsia="ru-RU"/>
        </w:rPr>
        <w:t>Ethical Approval</w:t>
      </w:r>
    </w:p>
    <w:p w14:paraId="453116F9" w14:textId="77777777" w:rsidR="003F53BA" w:rsidRPr="00B8166F" w:rsidRDefault="003F53BA" w:rsidP="003F53BA">
      <w:pPr>
        <w:spacing w:after="0"/>
        <w:jc w:val="both"/>
        <w:rPr>
          <w:rFonts w:eastAsia="Times New Roman"/>
          <w:sz w:val="24"/>
          <w:szCs w:val="24"/>
          <w:lang w:val="en-US" w:eastAsia="ru-RU"/>
        </w:rPr>
      </w:pPr>
      <w:r w:rsidRPr="00B8166F">
        <w:rPr>
          <w:rFonts w:eastAsia="Times New Roman"/>
          <w:sz w:val="24"/>
          <w:szCs w:val="24"/>
          <w:lang w:val="en-US" w:eastAsia="ru-RU"/>
        </w:rPr>
        <w:t>This article does not contain any studies with human participants or animals performed by any of the authors</w:t>
      </w:r>
    </w:p>
    <w:p w14:paraId="074B27A0" w14:textId="77777777" w:rsidR="003F53BA" w:rsidRPr="00B8166F" w:rsidRDefault="003F53BA" w:rsidP="003F53BA">
      <w:pPr>
        <w:spacing w:after="0"/>
        <w:jc w:val="both"/>
        <w:rPr>
          <w:rFonts w:eastAsia="Times New Roman"/>
          <w:sz w:val="24"/>
          <w:szCs w:val="24"/>
          <w:lang w:val="en-US" w:eastAsia="ru-RU"/>
        </w:rPr>
      </w:pPr>
    </w:p>
    <w:p w14:paraId="693BDE71" w14:textId="77777777" w:rsidR="003F53BA" w:rsidRPr="00B8166F" w:rsidRDefault="003F53BA" w:rsidP="003F53BA">
      <w:pPr>
        <w:spacing w:after="0"/>
        <w:jc w:val="both"/>
        <w:rPr>
          <w:rFonts w:eastAsia="Times New Roman"/>
          <w:b/>
          <w:bCs/>
          <w:sz w:val="24"/>
          <w:szCs w:val="24"/>
          <w:lang w:val="en-US" w:eastAsia="ru-RU"/>
        </w:rPr>
      </w:pPr>
      <w:r w:rsidRPr="00B8166F">
        <w:rPr>
          <w:rFonts w:eastAsia="Times New Roman"/>
          <w:b/>
          <w:bCs/>
          <w:sz w:val="24"/>
          <w:szCs w:val="24"/>
          <w:lang w:val="en-US" w:eastAsia="ru-RU"/>
        </w:rPr>
        <w:t>Informed consent</w:t>
      </w:r>
    </w:p>
    <w:p w14:paraId="1AE54E69" w14:textId="24DCE2AB" w:rsidR="003F53BA" w:rsidRPr="003F53BA" w:rsidRDefault="003F53BA" w:rsidP="00B65D54">
      <w:pPr>
        <w:spacing w:after="0"/>
        <w:jc w:val="both"/>
        <w:rPr>
          <w:rFonts w:eastAsia="Times New Roman"/>
          <w:sz w:val="24"/>
          <w:szCs w:val="24"/>
          <w:lang w:val="en-US" w:eastAsia="ru-RU"/>
        </w:rPr>
      </w:pPr>
      <w:r w:rsidRPr="00B8166F">
        <w:rPr>
          <w:rFonts w:eastAsia="Times New Roman"/>
          <w:sz w:val="24"/>
          <w:szCs w:val="24"/>
          <w:lang w:val="en-US" w:eastAsia="ru-RU"/>
        </w:rPr>
        <w:t>Not Applicable</w:t>
      </w:r>
    </w:p>
    <w:p w14:paraId="4A6795D8" w14:textId="77777777" w:rsidR="003F53BA" w:rsidRPr="00B65D54" w:rsidRDefault="003F53BA" w:rsidP="00B65D54">
      <w:pPr>
        <w:spacing w:after="0"/>
        <w:jc w:val="both"/>
        <w:rPr>
          <w:rFonts w:cs="Times New Roman"/>
          <w:b/>
          <w:bCs/>
          <w:sz w:val="24"/>
          <w:szCs w:val="24"/>
          <w:lang w:val="en-US"/>
        </w:rPr>
      </w:pPr>
    </w:p>
    <w:p w14:paraId="66105910" w14:textId="4CAA64F3" w:rsidR="00B4077A" w:rsidRPr="00B65D54" w:rsidRDefault="00345549" w:rsidP="00B65D54">
      <w:pPr>
        <w:spacing w:after="0"/>
        <w:jc w:val="both"/>
        <w:rPr>
          <w:rStyle w:val="af"/>
          <w:rFonts w:cs="Times New Roman"/>
          <w:sz w:val="24"/>
          <w:szCs w:val="24"/>
          <w:lang w:val="en-US"/>
        </w:rPr>
      </w:pPr>
      <w:r w:rsidRPr="00B65D54">
        <w:rPr>
          <w:rFonts w:cs="Times New Roman"/>
          <w:b/>
          <w:bCs/>
          <w:sz w:val="24"/>
          <w:szCs w:val="24"/>
          <w:lang w:val="en-US"/>
        </w:rPr>
        <w:t>References</w:t>
      </w:r>
    </w:p>
    <w:p w14:paraId="03510285"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 xml:space="preserve">Arizmendi, N. (2025). Individuals in international law: A historical shift towards agency. </w:t>
      </w:r>
      <w:r w:rsidRPr="00BA7676">
        <w:rPr>
          <w:rStyle w:val="af"/>
          <w:rFonts w:cs="Times New Roman"/>
          <w:b w:val="0"/>
          <w:bCs w:val="0"/>
          <w:i/>
          <w:iCs/>
          <w:sz w:val="24"/>
          <w:szCs w:val="24"/>
          <w:lang w:val="en-US"/>
        </w:rPr>
        <w:t>The Age of Human Rights Journal</w:t>
      </w:r>
      <w:r w:rsidRPr="00BA7676">
        <w:rPr>
          <w:rStyle w:val="af"/>
          <w:rFonts w:cs="Times New Roman"/>
          <w:b w:val="0"/>
          <w:bCs w:val="0"/>
          <w:sz w:val="24"/>
          <w:szCs w:val="24"/>
          <w:lang w:val="en-US"/>
        </w:rPr>
        <w:t xml:space="preserve">, </w:t>
      </w:r>
      <w:r w:rsidRPr="00F07DA4">
        <w:rPr>
          <w:rStyle w:val="af"/>
          <w:rFonts w:cs="Times New Roman"/>
          <w:b w:val="0"/>
          <w:bCs w:val="0"/>
          <w:i/>
          <w:iCs/>
          <w:sz w:val="24"/>
          <w:szCs w:val="24"/>
          <w:lang w:val="en-US"/>
        </w:rPr>
        <w:t>25</w:t>
      </w:r>
      <w:r w:rsidRPr="00BA7676">
        <w:rPr>
          <w:rStyle w:val="af"/>
          <w:rFonts w:cs="Times New Roman"/>
          <w:b w:val="0"/>
          <w:bCs w:val="0"/>
          <w:sz w:val="24"/>
          <w:szCs w:val="24"/>
          <w:lang w:val="en-US"/>
        </w:rPr>
        <w:t>, e9536.</w:t>
      </w:r>
      <w:r>
        <w:rPr>
          <w:rStyle w:val="af"/>
          <w:rFonts w:cs="Times New Roman"/>
          <w:b w:val="0"/>
          <w:bCs w:val="0"/>
          <w:sz w:val="24"/>
          <w:szCs w:val="24"/>
          <w:lang w:val="en-US"/>
        </w:rPr>
        <w:t xml:space="preserve"> </w:t>
      </w:r>
      <w:hyperlink r:id="rId8" w:history="1">
        <w:r w:rsidRPr="00EE7C66">
          <w:rPr>
            <w:rStyle w:val="ad"/>
            <w:rFonts w:cs="Times New Roman"/>
            <w:sz w:val="24"/>
            <w:szCs w:val="24"/>
            <w:lang w:val="en-US"/>
          </w:rPr>
          <w:t>https://doi.org/10.17561/tahrj.v25.9536</w:t>
        </w:r>
      </w:hyperlink>
      <w:r>
        <w:rPr>
          <w:rStyle w:val="af"/>
          <w:rFonts w:cs="Times New Roman"/>
          <w:b w:val="0"/>
          <w:bCs w:val="0"/>
          <w:sz w:val="24"/>
          <w:szCs w:val="24"/>
          <w:lang w:val="en-US"/>
        </w:rPr>
        <w:t xml:space="preserve"> </w:t>
      </w:r>
    </w:p>
    <w:p w14:paraId="37283397" w14:textId="061193CA" w:rsidR="007B0A36" w:rsidRPr="00BA7676" w:rsidRDefault="007B0A36" w:rsidP="00BA7676">
      <w:pPr>
        <w:spacing w:after="0"/>
        <w:ind w:left="567" w:hanging="567"/>
        <w:jc w:val="both"/>
        <w:rPr>
          <w:rStyle w:val="af"/>
          <w:rFonts w:cs="Times New Roman"/>
          <w:b w:val="0"/>
          <w:bCs w:val="0"/>
          <w:sz w:val="24"/>
          <w:szCs w:val="24"/>
          <w:lang w:val="en-US"/>
        </w:rPr>
      </w:pPr>
      <w:r w:rsidRPr="00BA7676">
        <w:rPr>
          <w:rFonts w:cs="Times New Roman"/>
          <w:sz w:val="24"/>
          <w:szCs w:val="24"/>
          <w:lang w:val="en-US"/>
        </w:rPr>
        <w:t>Basch, S. (2024). New Lines In</w:t>
      </w:r>
      <w:r>
        <w:rPr>
          <w:rFonts w:cs="Times New Roman"/>
          <w:sz w:val="24"/>
          <w:szCs w:val="24"/>
          <w:lang w:val="en-US"/>
        </w:rPr>
        <w:t>s</w:t>
      </w:r>
      <w:r w:rsidRPr="00BA7676">
        <w:rPr>
          <w:rFonts w:cs="Times New Roman"/>
          <w:sz w:val="24"/>
          <w:szCs w:val="24"/>
          <w:lang w:val="en-US"/>
        </w:rPr>
        <w:t xml:space="preserve">titute for Policy and Strategy releases report concluding war crimes in Tigray war. </w:t>
      </w:r>
      <w:r w:rsidRPr="00BA7676">
        <w:rPr>
          <w:rFonts w:cs="Times New Roman"/>
          <w:i/>
          <w:iCs/>
          <w:sz w:val="24"/>
          <w:szCs w:val="24"/>
          <w:lang w:val="en-US"/>
        </w:rPr>
        <w:t>American Society of International Law</w:t>
      </w:r>
      <w:r>
        <w:rPr>
          <w:rFonts w:cs="Times New Roman"/>
          <w:i/>
          <w:iCs/>
          <w:sz w:val="24"/>
          <w:szCs w:val="24"/>
          <w:lang w:val="en-US"/>
        </w:rPr>
        <w:t>.</w:t>
      </w:r>
      <w:r w:rsidRPr="00BA7676">
        <w:rPr>
          <w:rFonts w:cs="Times New Roman"/>
          <w:i/>
          <w:iCs/>
          <w:sz w:val="24"/>
          <w:szCs w:val="24"/>
          <w:lang w:val="en-US"/>
        </w:rPr>
        <w:t xml:space="preserve"> </w:t>
      </w:r>
      <w:r w:rsidRPr="00BA7676">
        <w:rPr>
          <w:rStyle w:val="af"/>
          <w:rFonts w:cs="Times New Roman"/>
          <w:b w:val="0"/>
          <w:bCs w:val="0"/>
          <w:sz w:val="24"/>
          <w:szCs w:val="24"/>
          <w:lang w:val="en-US"/>
        </w:rPr>
        <w:t>Retrieved from</w:t>
      </w:r>
      <w:r w:rsidRPr="00BA7676">
        <w:rPr>
          <w:rFonts w:cs="Times New Roman"/>
          <w:sz w:val="24"/>
          <w:szCs w:val="24"/>
          <w:lang w:val="en-US"/>
        </w:rPr>
        <w:t xml:space="preserve"> </w:t>
      </w:r>
      <w:hyperlink r:id="rId9" w:history="1">
        <w:r w:rsidRPr="00EE7C66">
          <w:rPr>
            <w:rStyle w:val="ad"/>
            <w:rFonts w:cs="Times New Roman"/>
            <w:sz w:val="24"/>
            <w:szCs w:val="24"/>
            <w:lang w:val="en-US"/>
          </w:rPr>
          <w:t>https://www.asil.org/ILIB/new-lines-intitute-policy-and-strategy-releases-report-concluding-war-crimes-tigray-war</w:t>
        </w:r>
      </w:hyperlink>
      <w:r>
        <w:rPr>
          <w:rFonts w:cs="Times New Roman"/>
          <w:sz w:val="24"/>
          <w:szCs w:val="24"/>
          <w:lang w:val="en-US"/>
        </w:rPr>
        <w:t xml:space="preserve"> </w:t>
      </w:r>
    </w:p>
    <w:p w14:paraId="1C500046" w14:textId="77777777" w:rsidR="007B0A36" w:rsidRDefault="007B0A36" w:rsidP="00BA7676">
      <w:pPr>
        <w:spacing w:after="0"/>
        <w:ind w:left="567" w:hanging="567"/>
        <w:jc w:val="both"/>
        <w:rPr>
          <w:rStyle w:val="af"/>
          <w:rFonts w:cs="Times New Roman"/>
          <w:b w:val="0"/>
          <w:bCs w:val="0"/>
          <w:sz w:val="24"/>
          <w:szCs w:val="24"/>
          <w:lang w:val="en-US"/>
        </w:rPr>
      </w:pPr>
      <w:proofErr w:type="spellStart"/>
      <w:r w:rsidRPr="00BA7676">
        <w:rPr>
          <w:rStyle w:val="af"/>
          <w:rFonts w:cs="Times New Roman"/>
          <w:b w:val="0"/>
          <w:bCs w:val="0"/>
          <w:sz w:val="24"/>
          <w:szCs w:val="24"/>
          <w:lang w:val="en-US"/>
        </w:rPr>
        <w:t>Bilodid</w:t>
      </w:r>
      <w:proofErr w:type="spellEnd"/>
      <w:r w:rsidRPr="00BA7676">
        <w:rPr>
          <w:rStyle w:val="af"/>
          <w:rFonts w:cs="Times New Roman"/>
          <w:b w:val="0"/>
          <w:bCs w:val="0"/>
          <w:sz w:val="24"/>
          <w:szCs w:val="24"/>
          <w:lang w:val="en-US"/>
        </w:rPr>
        <w:t xml:space="preserve">, S.I., </w:t>
      </w:r>
      <w:r>
        <w:rPr>
          <w:rStyle w:val="af"/>
          <w:rFonts w:cs="Times New Roman"/>
          <w:b w:val="0"/>
          <w:bCs w:val="0"/>
          <w:sz w:val="24"/>
          <w:szCs w:val="24"/>
          <w:lang w:val="en-US"/>
        </w:rPr>
        <w:t xml:space="preserve">&amp; </w:t>
      </w:r>
      <w:r w:rsidRPr="00BA7676">
        <w:rPr>
          <w:rStyle w:val="af"/>
          <w:rFonts w:cs="Times New Roman"/>
          <w:b w:val="0"/>
          <w:bCs w:val="0"/>
          <w:sz w:val="24"/>
          <w:szCs w:val="24"/>
          <w:lang w:val="en-US"/>
        </w:rPr>
        <w:t xml:space="preserve">Shulga, V.O. (2025). The role of the European Court of Human Rights in the formation of international standards for the protection of human rights. </w:t>
      </w:r>
      <w:r w:rsidRPr="00702F85">
        <w:rPr>
          <w:rStyle w:val="af"/>
          <w:rFonts w:cs="Times New Roman"/>
          <w:b w:val="0"/>
          <w:bCs w:val="0"/>
          <w:i/>
          <w:iCs/>
          <w:sz w:val="24"/>
          <w:szCs w:val="24"/>
          <w:lang w:val="en-US"/>
        </w:rPr>
        <w:t>Uzhhorod National University Herald</w:t>
      </w:r>
      <w:r>
        <w:rPr>
          <w:rStyle w:val="af"/>
          <w:rFonts w:cs="Times New Roman"/>
          <w:b w:val="0"/>
          <w:bCs w:val="0"/>
          <w:i/>
          <w:iCs/>
          <w:sz w:val="24"/>
          <w:szCs w:val="24"/>
          <w:lang w:val="en-US"/>
        </w:rPr>
        <w:t>, 4</w:t>
      </w:r>
      <w:r>
        <w:rPr>
          <w:rStyle w:val="af"/>
          <w:rFonts w:cs="Times New Roman"/>
          <w:b w:val="0"/>
          <w:bCs w:val="0"/>
          <w:sz w:val="24"/>
          <w:szCs w:val="24"/>
          <w:lang w:val="en-US"/>
        </w:rPr>
        <w:t>(88)</w:t>
      </w:r>
      <w:r w:rsidRPr="00BA7676">
        <w:rPr>
          <w:rStyle w:val="af"/>
          <w:rFonts w:cs="Times New Roman"/>
          <w:b w:val="0"/>
          <w:bCs w:val="0"/>
          <w:sz w:val="24"/>
          <w:szCs w:val="24"/>
          <w:lang w:val="en-US"/>
        </w:rPr>
        <w:t>, 21–27.</w:t>
      </w:r>
      <w:r>
        <w:rPr>
          <w:rStyle w:val="af"/>
          <w:rFonts w:cs="Times New Roman"/>
          <w:b w:val="0"/>
          <w:bCs w:val="0"/>
          <w:sz w:val="24"/>
          <w:szCs w:val="24"/>
          <w:lang w:val="en-US"/>
        </w:rPr>
        <w:t xml:space="preserve"> </w:t>
      </w:r>
      <w:hyperlink r:id="rId10" w:history="1">
        <w:r w:rsidRPr="00EE7C66">
          <w:rPr>
            <w:rStyle w:val="ad"/>
            <w:rFonts w:cs="Times New Roman"/>
            <w:sz w:val="24"/>
            <w:szCs w:val="24"/>
            <w:lang w:val="en-US"/>
          </w:rPr>
          <w:t>https://doi.org/10.24144/2307-3322.2025.88.4.3</w:t>
        </w:r>
      </w:hyperlink>
      <w:r>
        <w:rPr>
          <w:rStyle w:val="af"/>
          <w:rFonts w:cs="Times New Roman"/>
          <w:b w:val="0"/>
          <w:bCs w:val="0"/>
          <w:sz w:val="24"/>
          <w:szCs w:val="24"/>
          <w:lang w:val="en-US"/>
        </w:rPr>
        <w:t xml:space="preserve"> </w:t>
      </w:r>
    </w:p>
    <w:p w14:paraId="383B81CA" w14:textId="75EEEB42" w:rsidR="007F26C0" w:rsidRPr="007F26C0" w:rsidRDefault="007F26C0" w:rsidP="00BA7676">
      <w:pPr>
        <w:spacing w:after="0"/>
        <w:ind w:left="567" w:hanging="567"/>
        <w:jc w:val="both"/>
        <w:rPr>
          <w:rStyle w:val="af"/>
          <w:rFonts w:cs="Times New Roman"/>
          <w:b w:val="0"/>
          <w:bCs w:val="0"/>
          <w:sz w:val="24"/>
          <w:szCs w:val="24"/>
          <w:lang w:val="en-US"/>
        </w:rPr>
      </w:pPr>
      <w:proofErr w:type="spellStart"/>
      <w:r w:rsidRPr="007F26C0">
        <w:rPr>
          <w:rFonts w:cs="Times New Roman"/>
          <w:sz w:val="24"/>
          <w:szCs w:val="24"/>
          <w:lang w:val="en-US"/>
        </w:rPr>
        <w:t>Bilousov</w:t>
      </w:r>
      <w:proofErr w:type="spellEnd"/>
      <w:r w:rsidRPr="007F26C0">
        <w:rPr>
          <w:rFonts w:cs="Times New Roman"/>
          <w:sz w:val="24"/>
          <w:szCs w:val="24"/>
          <w:lang w:val="en-US"/>
        </w:rPr>
        <w:t xml:space="preserve">, Y., </w:t>
      </w:r>
      <w:proofErr w:type="spellStart"/>
      <w:r w:rsidRPr="007F26C0">
        <w:rPr>
          <w:rFonts w:cs="Times New Roman"/>
          <w:sz w:val="24"/>
          <w:szCs w:val="24"/>
          <w:lang w:val="en-US"/>
        </w:rPr>
        <w:t>Yakoviyk</w:t>
      </w:r>
      <w:proofErr w:type="spellEnd"/>
      <w:r w:rsidRPr="007F26C0">
        <w:rPr>
          <w:rFonts w:cs="Times New Roman"/>
          <w:sz w:val="24"/>
          <w:szCs w:val="24"/>
          <w:lang w:val="en-US"/>
        </w:rPr>
        <w:t xml:space="preserve">, I., </w:t>
      </w:r>
      <w:proofErr w:type="spellStart"/>
      <w:r w:rsidRPr="007F26C0">
        <w:rPr>
          <w:rFonts w:cs="Times New Roman"/>
          <w:sz w:val="24"/>
          <w:szCs w:val="24"/>
          <w:lang w:val="en-US"/>
        </w:rPr>
        <w:t>Kosinova</w:t>
      </w:r>
      <w:proofErr w:type="spellEnd"/>
      <w:r w:rsidRPr="007F26C0">
        <w:rPr>
          <w:rFonts w:cs="Times New Roman"/>
          <w:sz w:val="24"/>
          <w:szCs w:val="24"/>
          <w:lang w:val="en-US"/>
        </w:rPr>
        <w:t xml:space="preserve">, D., </w:t>
      </w:r>
      <w:proofErr w:type="spellStart"/>
      <w:r w:rsidRPr="007F26C0">
        <w:rPr>
          <w:rFonts w:cs="Times New Roman"/>
          <w:sz w:val="24"/>
          <w:szCs w:val="24"/>
          <w:lang w:val="en-US"/>
        </w:rPr>
        <w:t>Asirian</w:t>
      </w:r>
      <w:proofErr w:type="spellEnd"/>
      <w:r w:rsidRPr="007F26C0">
        <w:rPr>
          <w:rFonts w:cs="Times New Roman"/>
          <w:sz w:val="24"/>
          <w:szCs w:val="24"/>
          <w:lang w:val="en-US"/>
        </w:rPr>
        <w:t xml:space="preserve">, S., &amp; Zhukov, I. (2023). Foreign state immunity in the context of Russia’s full-scale aggression against Ukraine. </w:t>
      </w:r>
      <w:r w:rsidRPr="007F26C0">
        <w:rPr>
          <w:rFonts w:cs="Times New Roman"/>
          <w:i/>
          <w:iCs/>
          <w:sz w:val="24"/>
          <w:szCs w:val="24"/>
          <w:lang w:val="en-US"/>
        </w:rPr>
        <w:t xml:space="preserve">Amazonia </w:t>
      </w:r>
      <w:proofErr w:type="spellStart"/>
      <w:r w:rsidRPr="007F26C0">
        <w:rPr>
          <w:rFonts w:cs="Times New Roman"/>
          <w:i/>
          <w:iCs/>
          <w:sz w:val="24"/>
          <w:szCs w:val="24"/>
          <w:lang w:val="en-US"/>
        </w:rPr>
        <w:t>Investiga</w:t>
      </w:r>
      <w:proofErr w:type="spellEnd"/>
      <w:r>
        <w:rPr>
          <w:rFonts w:cs="Times New Roman"/>
          <w:i/>
          <w:iCs/>
          <w:sz w:val="24"/>
          <w:szCs w:val="24"/>
          <w:lang w:val="en-US"/>
        </w:rPr>
        <w:t>,</w:t>
      </w:r>
      <w:r w:rsidRPr="007F26C0">
        <w:rPr>
          <w:rFonts w:cs="Times New Roman"/>
          <w:i/>
          <w:iCs/>
          <w:sz w:val="24"/>
          <w:szCs w:val="24"/>
          <w:lang w:val="en-US"/>
        </w:rPr>
        <w:t xml:space="preserve"> 12</w:t>
      </w:r>
      <w:r w:rsidRPr="007F26C0">
        <w:rPr>
          <w:rFonts w:cs="Times New Roman"/>
          <w:sz w:val="24"/>
          <w:szCs w:val="24"/>
          <w:lang w:val="en-US"/>
        </w:rPr>
        <w:t>,</w:t>
      </w:r>
      <w:r>
        <w:rPr>
          <w:rFonts w:cs="Times New Roman"/>
          <w:sz w:val="24"/>
          <w:szCs w:val="24"/>
          <w:lang w:val="en-US"/>
        </w:rPr>
        <w:t>(</w:t>
      </w:r>
      <w:r w:rsidRPr="007F26C0">
        <w:rPr>
          <w:rFonts w:cs="Times New Roman"/>
          <w:sz w:val="24"/>
          <w:szCs w:val="24"/>
          <w:lang w:val="en-US"/>
        </w:rPr>
        <w:t>67</w:t>
      </w:r>
      <w:r>
        <w:rPr>
          <w:rFonts w:cs="Times New Roman"/>
          <w:sz w:val="24"/>
          <w:szCs w:val="24"/>
          <w:lang w:val="en-US"/>
        </w:rPr>
        <w:t xml:space="preserve">), </w:t>
      </w:r>
      <w:r w:rsidRPr="007F26C0">
        <w:rPr>
          <w:rFonts w:cs="Times New Roman"/>
          <w:sz w:val="24"/>
          <w:szCs w:val="24"/>
          <w:lang w:val="en-US"/>
        </w:rPr>
        <w:t>283-292.</w:t>
      </w:r>
      <w:r>
        <w:rPr>
          <w:rFonts w:cs="Times New Roman"/>
          <w:sz w:val="24"/>
          <w:szCs w:val="24"/>
          <w:lang w:val="en-US"/>
        </w:rPr>
        <w:t xml:space="preserve"> </w:t>
      </w:r>
      <w:hyperlink r:id="rId11" w:history="1">
        <w:r w:rsidRPr="00D20CDF">
          <w:rPr>
            <w:rStyle w:val="ad"/>
            <w:rFonts w:cs="Times New Roman"/>
            <w:sz w:val="24"/>
            <w:szCs w:val="24"/>
            <w:lang w:val="en-US"/>
          </w:rPr>
          <w:t>https://doi.org/10.34069/AI/2023.67.07.25</w:t>
        </w:r>
      </w:hyperlink>
    </w:p>
    <w:p w14:paraId="44273DCB" w14:textId="77777777" w:rsidR="007B0A36" w:rsidRPr="00BA7676" w:rsidRDefault="007B0A36" w:rsidP="00BA7676">
      <w:pPr>
        <w:spacing w:after="0"/>
        <w:ind w:left="567" w:hanging="567"/>
        <w:jc w:val="both"/>
        <w:rPr>
          <w:rStyle w:val="af"/>
          <w:rFonts w:cs="Times New Roman"/>
          <w:b w:val="0"/>
          <w:bCs w:val="0"/>
          <w:sz w:val="24"/>
          <w:szCs w:val="24"/>
          <w:lang w:val="en-US"/>
        </w:rPr>
      </w:pPr>
      <w:proofErr w:type="spellStart"/>
      <w:r w:rsidRPr="00BA7676">
        <w:rPr>
          <w:rStyle w:val="af"/>
          <w:rFonts w:cs="Times New Roman"/>
          <w:b w:val="0"/>
          <w:bCs w:val="0"/>
          <w:sz w:val="24"/>
          <w:szCs w:val="24"/>
          <w:lang w:val="en-US"/>
        </w:rPr>
        <w:t>Burjaliani</w:t>
      </w:r>
      <w:proofErr w:type="spellEnd"/>
      <w:r w:rsidRPr="00BA7676">
        <w:rPr>
          <w:rStyle w:val="af"/>
          <w:rFonts w:cs="Times New Roman"/>
          <w:b w:val="0"/>
          <w:bCs w:val="0"/>
          <w:sz w:val="24"/>
          <w:szCs w:val="24"/>
          <w:lang w:val="en-US"/>
        </w:rPr>
        <w:t>, T. (2021)</w:t>
      </w:r>
      <w:r>
        <w:rPr>
          <w:rStyle w:val="af"/>
          <w:rFonts w:cs="Times New Roman"/>
          <w:b w:val="0"/>
          <w:bCs w:val="0"/>
          <w:sz w:val="24"/>
          <w:szCs w:val="24"/>
          <w:lang w:val="en-US"/>
        </w:rPr>
        <w:t>.</w:t>
      </w:r>
      <w:r w:rsidRPr="00BA7676">
        <w:rPr>
          <w:rStyle w:val="af"/>
          <w:rFonts w:cs="Times New Roman"/>
          <w:b w:val="0"/>
          <w:bCs w:val="0"/>
          <w:sz w:val="24"/>
          <w:szCs w:val="24"/>
          <w:lang w:val="en-US"/>
        </w:rPr>
        <w:t xml:space="preserve"> The European Court and the 2008 war: </w:t>
      </w:r>
      <w:r>
        <w:rPr>
          <w:rStyle w:val="af"/>
          <w:rFonts w:cs="Times New Roman"/>
          <w:b w:val="0"/>
          <w:bCs w:val="0"/>
          <w:sz w:val="24"/>
          <w:szCs w:val="24"/>
          <w:lang w:val="en-US"/>
        </w:rPr>
        <w:t>W</w:t>
      </w:r>
      <w:r w:rsidRPr="00BA7676">
        <w:rPr>
          <w:rStyle w:val="af"/>
          <w:rFonts w:cs="Times New Roman"/>
          <w:b w:val="0"/>
          <w:bCs w:val="0"/>
          <w:sz w:val="24"/>
          <w:szCs w:val="24"/>
          <w:lang w:val="en-US"/>
        </w:rPr>
        <w:t xml:space="preserve">hy Georgia should be pleased, and Russia sorry. </w:t>
      </w:r>
      <w:proofErr w:type="spellStart"/>
      <w:r w:rsidRPr="00BA7676">
        <w:rPr>
          <w:rStyle w:val="af"/>
          <w:rFonts w:cs="Times New Roman"/>
          <w:b w:val="0"/>
          <w:bCs w:val="0"/>
          <w:i/>
          <w:iCs/>
          <w:sz w:val="24"/>
          <w:szCs w:val="24"/>
          <w:lang w:val="en-US"/>
        </w:rPr>
        <w:t>Justiceinfo</w:t>
      </w:r>
      <w:proofErr w:type="spellEnd"/>
      <w:r w:rsidRPr="00BA7676">
        <w:rPr>
          <w:rStyle w:val="af"/>
          <w:rFonts w:cs="Times New Roman"/>
          <w:b w:val="0"/>
          <w:bCs w:val="0"/>
          <w:sz w:val="24"/>
          <w:szCs w:val="24"/>
          <w:lang w:val="en-US"/>
        </w:rPr>
        <w:t xml:space="preserve">. Retrieved from </w:t>
      </w:r>
      <w:hyperlink r:id="rId12" w:history="1">
        <w:r w:rsidRPr="00EE7C66">
          <w:rPr>
            <w:rStyle w:val="ad"/>
            <w:rFonts w:cs="Times New Roman"/>
            <w:sz w:val="24"/>
            <w:szCs w:val="24"/>
            <w:lang w:val="en-US"/>
          </w:rPr>
          <w:t>https://www.justiceinfo.net/en/69008-european-court-2008-war-why-georgia-pleased-russia-sorry.html</w:t>
        </w:r>
      </w:hyperlink>
      <w:r>
        <w:rPr>
          <w:rStyle w:val="af"/>
          <w:rFonts w:cs="Times New Roman"/>
          <w:b w:val="0"/>
          <w:bCs w:val="0"/>
          <w:sz w:val="24"/>
          <w:szCs w:val="24"/>
          <w:lang w:val="en-US"/>
        </w:rPr>
        <w:t xml:space="preserve"> </w:t>
      </w:r>
    </w:p>
    <w:p w14:paraId="307A6FB6"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 xml:space="preserve">Callejon, C. (2024). </w:t>
      </w:r>
      <w:r w:rsidRPr="00ED3928">
        <w:rPr>
          <w:rStyle w:val="af"/>
          <w:rFonts w:cs="Times New Roman"/>
          <w:b w:val="0"/>
          <w:bCs w:val="0"/>
          <w:i/>
          <w:iCs/>
          <w:sz w:val="24"/>
          <w:szCs w:val="24"/>
          <w:lang w:val="en-US"/>
        </w:rPr>
        <w:t>UN treaty body individual communications procedures: What is at stake in the strengthening process</w:t>
      </w:r>
      <w:r w:rsidRPr="00ED3928">
        <w:rPr>
          <w:rStyle w:val="af"/>
          <w:rFonts w:cs="Times New Roman"/>
          <w:b w:val="0"/>
          <w:bCs w:val="0"/>
          <w:i/>
          <w:iCs/>
          <w:sz w:val="24"/>
          <w:szCs w:val="24"/>
          <w:lang w:val="uk-UA"/>
        </w:rPr>
        <w:t>?</w:t>
      </w:r>
      <w:r w:rsidRPr="00BA7676">
        <w:rPr>
          <w:rStyle w:val="af"/>
          <w:rFonts w:cs="Times New Roman"/>
          <w:b w:val="0"/>
          <w:bCs w:val="0"/>
          <w:sz w:val="24"/>
          <w:szCs w:val="24"/>
          <w:lang w:val="en-US"/>
        </w:rPr>
        <w:t xml:space="preserve"> Geneva</w:t>
      </w:r>
      <w:r>
        <w:rPr>
          <w:rStyle w:val="af"/>
          <w:rFonts w:cs="Times New Roman"/>
          <w:b w:val="0"/>
          <w:bCs w:val="0"/>
          <w:sz w:val="24"/>
          <w:szCs w:val="24"/>
          <w:lang w:val="uk-UA"/>
        </w:rPr>
        <w:t>:</w:t>
      </w:r>
      <w:r>
        <w:rPr>
          <w:rStyle w:val="af"/>
          <w:rFonts w:cs="Times New Roman"/>
          <w:b w:val="0"/>
          <w:bCs w:val="0"/>
          <w:sz w:val="24"/>
          <w:szCs w:val="24"/>
          <w:lang w:val="en-US"/>
        </w:rPr>
        <w:t xml:space="preserve"> Geneva Academy</w:t>
      </w:r>
      <w:r w:rsidRPr="00BA7676">
        <w:rPr>
          <w:rStyle w:val="af"/>
          <w:rFonts w:cs="Times New Roman"/>
          <w:b w:val="0"/>
          <w:bCs w:val="0"/>
          <w:sz w:val="24"/>
          <w:szCs w:val="24"/>
          <w:lang w:val="en-US"/>
        </w:rPr>
        <w:t xml:space="preserve">. </w:t>
      </w:r>
    </w:p>
    <w:p w14:paraId="641C6039" w14:textId="77777777" w:rsidR="007B0A36" w:rsidRPr="00AF0FFB" w:rsidRDefault="007B0A36" w:rsidP="00AF0FFB">
      <w:pPr>
        <w:spacing w:after="0"/>
        <w:ind w:left="567" w:hanging="567"/>
        <w:jc w:val="both"/>
        <w:rPr>
          <w:rFonts w:cs="Times New Roman"/>
          <w:sz w:val="24"/>
          <w:szCs w:val="24"/>
          <w:lang w:val="en-US"/>
        </w:rPr>
      </w:pPr>
      <w:r w:rsidRPr="00AF0FFB">
        <w:rPr>
          <w:rFonts w:cs="Times New Roman"/>
          <w:sz w:val="24"/>
          <w:szCs w:val="24"/>
          <w:lang w:val="en-US"/>
        </w:rPr>
        <w:t>Cassese</w:t>
      </w:r>
      <w:r>
        <w:rPr>
          <w:rFonts w:cs="Times New Roman"/>
          <w:sz w:val="24"/>
          <w:szCs w:val="24"/>
          <w:lang w:val="en-US"/>
        </w:rPr>
        <w:t>, A.</w:t>
      </w:r>
      <w:r w:rsidRPr="00BA7676">
        <w:rPr>
          <w:rStyle w:val="af"/>
          <w:rFonts w:cs="Times New Roman"/>
          <w:b w:val="0"/>
          <w:bCs w:val="0"/>
          <w:sz w:val="24"/>
          <w:szCs w:val="24"/>
          <w:lang w:val="en-US"/>
        </w:rPr>
        <w:t xml:space="preserve"> (</w:t>
      </w:r>
      <w:r>
        <w:rPr>
          <w:rStyle w:val="af"/>
          <w:rFonts w:cs="Times New Roman"/>
          <w:b w:val="0"/>
          <w:bCs w:val="0"/>
          <w:sz w:val="24"/>
          <w:szCs w:val="24"/>
          <w:lang w:val="en-US"/>
        </w:rPr>
        <w:t>2009</w:t>
      </w:r>
      <w:r w:rsidRPr="00BA7676">
        <w:rPr>
          <w:rStyle w:val="af"/>
          <w:rFonts w:cs="Times New Roman"/>
          <w:b w:val="0"/>
          <w:bCs w:val="0"/>
          <w:sz w:val="24"/>
          <w:szCs w:val="24"/>
          <w:lang w:val="en-US"/>
        </w:rPr>
        <w:t xml:space="preserve">). </w:t>
      </w:r>
      <w:r w:rsidRPr="00AF0FFB">
        <w:rPr>
          <w:rStyle w:val="af"/>
          <w:rFonts w:cs="Times New Roman"/>
          <w:b w:val="0"/>
          <w:bCs w:val="0"/>
          <w:i/>
          <w:iCs/>
          <w:sz w:val="24"/>
          <w:szCs w:val="24"/>
          <w:lang w:val="en-US"/>
        </w:rPr>
        <w:t>Affirmation of the principles of international law recognized by the Charter of the Nürnberg Tribunal</w:t>
      </w:r>
      <w:r>
        <w:rPr>
          <w:rStyle w:val="af"/>
          <w:rFonts w:cs="Times New Roman"/>
          <w:b w:val="0"/>
          <w:bCs w:val="0"/>
          <w:i/>
          <w:iCs/>
          <w:sz w:val="24"/>
          <w:szCs w:val="24"/>
          <w:lang w:val="en-US"/>
        </w:rPr>
        <w:t xml:space="preserve"> </w:t>
      </w:r>
      <w:r w:rsidRPr="00AF0FFB">
        <w:rPr>
          <w:rStyle w:val="af"/>
          <w:rFonts w:cs="Times New Roman"/>
          <w:b w:val="0"/>
          <w:bCs w:val="0"/>
          <w:i/>
          <w:iCs/>
          <w:sz w:val="24"/>
          <w:szCs w:val="24"/>
          <w:lang w:val="en-US"/>
        </w:rPr>
        <w:t xml:space="preserve">General Assembly </w:t>
      </w:r>
      <w:r>
        <w:rPr>
          <w:rStyle w:val="af"/>
          <w:rFonts w:cs="Times New Roman"/>
          <w:b w:val="0"/>
          <w:bCs w:val="0"/>
          <w:i/>
          <w:iCs/>
          <w:sz w:val="24"/>
          <w:szCs w:val="24"/>
          <w:lang w:val="en-US"/>
        </w:rPr>
        <w:t>R</w:t>
      </w:r>
      <w:r w:rsidRPr="00AF0FFB">
        <w:rPr>
          <w:rStyle w:val="af"/>
          <w:rFonts w:cs="Times New Roman"/>
          <w:b w:val="0"/>
          <w:bCs w:val="0"/>
          <w:i/>
          <w:iCs/>
          <w:sz w:val="24"/>
          <w:szCs w:val="24"/>
          <w:lang w:val="en-US"/>
        </w:rPr>
        <w:t>esolution 95 (I)</w:t>
      </w:r>
      <w:r w:rsidRPr="00BA7676">
        <w:rPr>
          <w:rStyle w:val="af"/>
          <w:rFonts w:cs="Times New Roman"/>
          <w:b w:val="0"/>
          <w:bCs w:val="0"/>
          <w:sz w:val="24"/>
          <w:szCs w:val="24"/>
          <w:lang w:val="en-US"/>
        </w:rPr>
        <w:t xml:space="preserve">. </w:t>
      </w:r>
      <w:r>
        <w:rPr>
          <w:rStyle w:val="af"/>
          <w:rFonts w:cs="Times New Roman"/>
          <w:b w:val="0"/>
          <w:bCs w:val="0"/>
          <w:sz w:val="24"/>
          <w:szCs w:val="24"/>
          <w:lang w:val="en-US"/>
        </w:rPr>
        <w:t xml:space="preserve">New York: </w:t>
      </w:r>
      <w:r w:rsidRPr="00AF0FFB">
        <w:rPr>
          <w:rFonts w:cs="Times New Roman"/>
          <w:sz w:val="24"/>
          <w:szCs w:val="24"/>
          <w:lang w:val="en-US"/>
        </w:rPr>
        <w:t>United Nations Audiovisual Library of International Law</w:t>
      </w:r>
      <w:r>
        <w:rPr>
          <w:rFonts w:cs="Times New Roman"/>
          <w:sz w:val="24"/>
          <w:szCs w:val="24"/>
          <w:lang w:val="en-US"/>
        </w:rPr>
        <w:t>.</w:t>
      </w:r>
    </w:p>
    <w:p w14:paraId="4E114792" w14:textId="77777777" w:rsidR="007B0A36" w:rsidRPr="00316E3D" w:rsidRDefault="007B0A36" w:rsidP="00BA7676">
      <w:pPr>
        <w:spacing w:after="0"/>
        <w:ind w:left="567" w:hanging="567"/>
        <w:jc w:val="both"/>
        <w:rPr>
          <w:rStyle w:val="af"/>
          <w:rFonts w:cs="Times New Roman"/>
          <w:b w:val="0"/>
          <w:bCs w:val="0"/>
          <w:sz w:val="24"/>
          <w:szCs w:val="24"/>
          <w:lang w:val="en-US"/>
        </w:rPr>
      </w:pPr>
      <w:r>
        <w:rPr>
          <w:rStyle w:val="af"/>
          <w:rFonts w:cs="Times New Roman"/>
          <w:b w:val="0"/>
          <w:bCs w:val="0"/>
          <w:sz w:val="24"/>
          <w:szCs w:val="24"/>
          <w:lang w:val="en-US"/>
        </w:rPr>
        <w:t xml:space="preserve">Council of Europe. (1950). </w:t>
      </w:r>
      <w:r w:rsidRPr="00BA7676">
        <w:rPr>
          <w:rStyle w:val="af"/>
          <w:rFonts w:cs="Times New Roman"/>
          <w:b w:val="0"/>
          <w:bCs w:val="0"/>
          <w:sz w:val="24"/>
          <w:szCs w:val="24"/>
          <w:lang w:val="en-US"/>
        </w:rPr>
        <w:t xml:space="preserve">European Convention on Human Rights. </w:t>
      </w:r>
      <w:r w:rsidRPr="00316E3D">
        <w:rPr>
          <w:rFonts w:cs="Times New Roman"/>
          <w:i/>
          <w:iCs/>
          <w:sz w:val="24"/>
          <w:szCs w:val="24"/>
          <w:lang w:val="en-US"/>
        </w:rPr>
        <w:t>European Treaty Series, 5</w:t>
      </w:r>
      <w:r>
        <w:rPr>
          <w:rFonts w:cs="Times New Roman"/>
          <w:i/>
          <w:iCs/>
          <w:sz w:val="24"/>
          <w:szCs w:val="24"/>
          <w:lang w:val="en-US"/>
        </w:rPr>
        <w:t xml:space="preserve">, </w:t>
      </w:r>
      <w:r>
        <w:rPr>
          <w:rFonts w:cs="Times New Roman"/>
          <w:sz w:val="24"/>
          <w:szCs w:val="24"/>
          <w:lang w:val="en-US"/>
        </w:rPr>
        <w:t xml:space="preserve">1-14. </w:t>
      </w:r>
    </w:p>
    <w:p w14:paraId="25DC6978" w14:textId="77777777" w:rsidR="007B0A36" w:rsidRPr="00BA7676" w:rsidRDefault="007B0A36" w:rsidP="00BA7676">
      <w:pPr>
        <w:spacing w:after="0"/>
        <w:ind w:left="567" w:hanging="567"/>
        <w:jc w:val="both"/>
        <w:rPr>
          <w:rStyle w:val="ad"/>
          <w:rFonts w:cs="Times New Roman"/>
          <w:color w:val="auto"/>
          <w:sz w:val="24"/>
          <w:szCs w:val="24"/>
          <w:lang w:val="en-US"/>
        </w:rPr>
      </w:pPr>
      <w:r>
        <w:rPr>
          <w:rStyle w:val="af"/>
          <w:rFonts w:cs="Times New Roman"/>
          <w:b w:val="0"/>
          <w:bCs w:val="0"/>
          <w:sz w:val="24"/>
          <w:szCs w:val="24"/>
          <w:lang w:val="en-US"/>
        </w:rPr>
        <w:t xml:space="preserve">Council of the European Union. </w:t>
      </w:r>
      <w:r w:rsidRPr="00BA7676">
        <w:rPr>
          <w:rStyle w:val="af"/>
          <w:rFonts w:cs="Times New Roman"/>
          <w:b w:val="0"/>
          <w:bCs w:val="0"/>
          <w:sz w:val="24"/>
          <w:szCs w:val="24"/>
          <w:lang w:val="en-US"/>
        </w:rPr>
        <w:t xml:space="preserve">(2002). 2002/584/JHA: Council Framework Decision of 13 June 2002 on the European arrest warrant and the surrender procedures between Member States - Statements made by certain Member States on the adoption of the Framework Decision. Retrieved from </w:t>
      </w:r>
      <w:hyperlink r:id="rId13" w:history="1">
        <w:r w:rsidRPr="00BA7676">
          <w:rPr>
            <w:rStyle w:val="ad"/>
            <w:rFonts w:cs="Times New Roman"/>
            <w:color w:val="auto"/>
            <w:sz w:val="24"/>
            <w:szCs w:val="24"/>
            <w:lang w:val="en-US"/>
          </w:rPr>
          <w:t>https://eur-lex.europa.eu/eli/dec_framw/2002/584/oj/eng</w:t>
        </w:r>
      </w:hyperlink>
    </w:p>
    <w:p w14:paraId="5306AB8E" w14:textId="77777777" w:rsidR="007B0A36" w:rsidRPr="00BA7676" w:rsidRDefault="007B0A36" w:rsidP="00BA7676">
      <w:pPr>
        <w:spacing w:after="0"/>
        <w:ind w:left="567" w:hanging="567"/>
        <w:jc w:val="both"/>
        <w:rPr>
          <w:rStyle w:val="af"/>
          <w:rFonts w:cs="Times New Roman"/>
          <w:b w:val="0"/>
          <w:bCs w:val="0"/>
          <w:sz w:val="24"/>
          <w:szCs w:val="24"/>
          <w:lang w:val="en-US"/>
        </w:rPr>
      </w:pPr>
      <w:r w:rsidRPr="00F253DF">
        <w:rPr>
          <w:rStyle w:val="af"/>
          <w:rFonts w:cs="Times New Roman"/>
          <w:b w:val="0"/>
          <w:bCs w:val="0"/>
          <w:sz w:val="24"/>
          <w:szCs w:val="24"/>
          <w:lang w:val="en-US"/>
        </w:rPr>
        <w:t xml:space="preserve">Duffy, H., </w:t>
      </w:r>
      <w:proofErr w:type="spellStart"/>
      <w:r w:rsidRPr="00F253DF">
        <w:rPr>
          <w:rStyle w:val="af"/>
          <w:rFonts w:cs="Times New Roman"/>
          <w:b w:val="0"/>
          <w:bCs w:val="0"/>
          <w:sz w:val="24"/>
          <w:szCs w:val="24"/>
          <w:lang w:val="en-US"/>
        </w:rPr>
        <w:t>Hammarström</w:t>
      </w:r>
      <w:proofErr w:type="spellEnd"/>
      <w:r w:rsidRPr="00F253DF">
        <w:rPr>
          <w:rStyle w:val="af"/>
          <w:rFonts w:cs="Times New Roman"/>
          <w:b w:val="0"/>
          <w:bCs w:val="0"/>
          <w:sz w:val="24"/>
          <w:szCs w:val="24"/>
          <w:lang w:val="en-US"/>
        </w:rPr>
        <w:t xml:space="preserve">, E., &amp; </w:t>
      </w:r>
      <w:proofErr w:type="spellStart"/>
      <w:r w:rsidRPr="00F253DF">
        <w:rPr>
          <w:rStyle w:val="af"/>
          <w:rFonts w:cs="Times New Roman"/>
          <w:b w:val="0"/>
          <w:bCs w:val="0"/>
          <w:sz w:val="24"/>
          <w:szCs w:val="24"/>
          <w:lang w:val="en-US"/>
        </w:rPr>
        <w:t>Babická</w:t>
      </w:r>
      <w:proofErr w:type="spellEnd"/>
      <w:r w:rsidRPr="00F253DF">
        <w:rPr>
          <w:rStyle w:val="af"/>
          <w:rFonts w:cs="Times New Roman"/>
          <w:b w:val="0"/>
          <w:bCs w:val="0"/>
          <w:sz w:val="24"/>
          <w:szCs w:val="24"/>
          <w:lang w:val="en-US"/>
        </w:rPr>
        <w:t xml:space="preserve">, K. </w:t>
      </w:r>
      <w:r>
        <w:rPr>
          <w:rStyle w:val="af"/>
          <w:rFonts w:cs="Times New Roman"/>
          <w:b w:val="0"/>
          <w:bCs w:val="0"/>
          <w:sz w:val="24"/>
          <w:szCs w:val="24"/>
          <w:lang w:val="en-US"/>
        </w:rPr>
        <w:t xml:space="preserve">(2025). </w:t>
      </w:r>
      <w:r w:rsidRPr="00F253DF">
        <w:rPr>
          <w:rStyle w:val="af"/>
          <w:rFonts w:cs="Times New Roman"/>
          <w:b w:val="0"/>
          <w:bCs w:val="0"/>
          <w:i/>
          <w:iCs/>
          <w:sz w:val="24"/>
          <w:szCs w:val="24"/>
          <w:lang w:val="en-US"/>
        </w:rPr>
        <w:t>Justice under pressure: Strategic litigation of judicial independence in Europe.</w:t>
      </w:r>
      <w:r w:rsidRPr="00BA7676">
        <w:rPr>
          <w:rStyle w:val="af"/>
          <w:rFonts w:cs="Times New Roman"/>
          <w:b w:val="0"/>
          <w:bCs w:val="0"/>
          <w:sz w:val="24"/>
          <w:szCs w:val="24"/>
          <w:lang w:val="en-US"/>
        </w:rPr>
        <w:t xml:space="preserve"> </w:t>
      </w:r>
      <w:r w:rsidRPr="00421548">
        <w:rPr>
          <w:rFonts w:cs="Times New Roman"/>
          <w:sz w:val="24"/>
          <w:szCs w:val="24"/>
          <w:lang w:val="en-US"/>
        </w:rPr>
        <w:t>Geneva</w:t>
      </w:r>
      <w:r>
        <w:rPr>
          <w:rFonts w:cs="Times New Roman"/>
          <w:sz w:val="24"/>
          <w:szCs w:val="24"/>
          <w:lang w:val="en-US"/>
        </w:rPr>
        <w:t xml:space="preserve">: </w:t>
      </w:r>
      <w:r w:rsidRPr="00BA7676">
        <w:rPr>
          <w:rStyle w:val="af"/>
          <w:rFonts w:cs="Times New Roman"/>
          <w:b w:val="0"/>
          <w:bCs w:val="0"/>
          <w:sz w:val="24"/>
          <w:szCs w:val="24"/>
          <w:lang w:val="en-US"/>
        </w:rPr>
        <w:t xml:space="preserve">International Commission of Jurists. </w:t>
      </w:r>
    </w:p>
    <w:p w14:paraId="41F057BA" w14:textId="79908526" w:rsidR="007B0A36" w:rsidRPr="00BA7676" w:rsidRDefault="007B0A36" w:rsidP="00BA7676">
      <w:pPr>
        <w:spacing w:after="0"/>
        <w:ind w:left="567" w:hanging="567"/>
        <w:jc w:val="both"/>
        <w:rPr>
          <w:rStyle w:val="af"/>
          <w:rFonts w:cs="Times New Roman"/>
          <w:b w:val="0"/>
          <w:bCs w:val="0"/>
          <w:sz w:val="24"/>
          <w:szCs w:val="24"/>
          <w:lang w:val="en-US"/>
        </w:rPr>
      </w:pPr>
      <w:r w:rsidRPr="00BA7676">
        <w:rPr>
          <w:rFonts w:cs="Times New Roman"/>
          <w:sz w:val="24"/>
          <w:szCs w:val="24"/>
          <w:lang w:val="en-US"/>
        </w:rPr>
        <w:t xml:space="preserve">Ehl, D. (2025). Tigrayan survivors seek justice in German courts. </w:t>
      </w:r>
      <w:r w:rsidR="00421548" w:rsidRPr="00421548">
        <w:rPr>
          <w:rFonts w:cs="Times New Roman"/>
          <w:i/>
          <w:iCs/>
          <w:sz w:val="24"/>
          <w:szCs w:val="24"/>
          <w:lang w:val="en-US"/>
        </w:rPr>
        <w:t>Deutsche Welle.</w:t>
      </w:r>
      <w:r w:rsidR="00421548">
        <w:rPr>
          <w:rFonts w:cs="Times New Roman"/>
          <w:sz w:val="24"/>
          <w:szCs w:val="24"/>
          <w:lang w:val="en-US"/>
        </w:rPr>
        <w:t xml:space="preserve"> </w:t>
      </w:r>
      <w:r w:rsidRPr="00BA7676">
        <w:rPr>
          <w:rStyle w:val="af"/>
          <w:rFonts w:cs="Times New Roman"/>
          <w:b w:val="0"/>
          <w:bCs w:val="0"/>
          <w:sz w:val="24"/>
          <w:szCs w:val="24"/>
          <w:lang w:val="en-US"/>
        </w:rPr>
        <w:t xml:space="preserve">Retrieved from </w:t>
      </w:r>
      <w:hyperlink r:id="rId14" w:history="1">
        <w:r w:rsidRPr="00EE7C66">
          <w:rPr>
            <w:rStyle w:val="ad"/>
            <w:rFonts w:cs="Times New Roman"/>
            <w:sz w:val="24"/>
            <w:szCs w:val="24"/>
            <w:lang w:val="en-US"/>
          </w:rPr>
          <w:t>https://www.dw.com/en/tigrayan-survivors-seek-justice-in-german-courts/a-72099489</w:t>
        </w:r>
      </w:hyperlink>
      <w:r>
        <w:rPr>
          <w:rFonts w:cs="Times New Roman"/>
          <w:sz w:val="24"/>
          <w:szCs w:val="24"/>
          <w:lang w:val="en-US"/>
        </w:rPr>
        <w:t xml:space="preserve"> </w:t>
      </w:r>
    </w:p>
    <w:p w14:paraId="24E53F74"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Fonts w:cs="Times New Roman"/>
          <w:sz w:val="24"/>
          <w:szCs w:val="24"/>
          <w:lang w:val="en-US"/>
        </w:rPr>
        <w:t>European Center for Constitutional and Human Rights</w:t>
      </w:r>
      <w:r>
        <w:rPr>
          <w:rFonts w:cs="Times New Roman"/>
          <w:sz w:val="24"/>
          <w:szCs w:val="24"/>
          <w:lang w:val="en-US"/>
        </w:rPr>
        <w:t xml:space="preserve">. </w:t>
      </w:r>
      <w:r w:rsidRPr="00BA7676">
        <w:rPr>
          <w:rFonts w:cs="Times New Roman"/>
          <w:sz w:val="24"/>
          <w:szCs w:val="24"/>
          <w:lang w:val="en-US"/>
        </w:rPr>
        <w:t xml:space="preserve">(2022). Syria trial in Koblenz: Life sentence for Anwar R for crimes against humanity. </w:t>
      </w:r>
      <w:r w:rsidRPr="00BA7676">
        <w:rPr>
          <w:rStyle w:val="af"/>
          <w:rFonts w:cs="Times New Roman"/>
          <w:b w:val="0"/>
          <w:bCs w:val="0"/>
          <w:sz w:val="24"/>
          <w:szCs w:val="24"/>
          <w:lang w:val="en-US"/>
        </w:rPr>
        <w:t xml:space="preserve">Retrieved from </w:t>
      </w:r>
      <w:hyperlink r:id="rId15" w:history="1">
        <w:r w:rsidRPr="00BA7676">
          <w:rPr>
            <w:rStyle w:val="ad"/>
            <w:rFonts w:cs="Times New Roman"/>
            <w:color w:val="auto"/>
            <w:sz w:val="24"/>
            <w:szCs w:val="24"/>
            <w:lang w:val="en-US"/>
          </w:rPr>
          <w:t>https://www.ecchr.eu/en/press-release/syria-verdict-anwar-r/</w:t>
        </w:r>
      </w:hyperlink>
    </w:p>
    <w:p w14:paraId="28EA6672" w14:textId="77777777" w:rsidR="007B0A36" w:rsidRPr="00BA7676" w:rsidRDefault="007B0A36" w:rsidP="00BA7676">
      <w:pPr>
        <w:tabs>
          <w:tab w:val="left" w:pos="3438"/>
        </w:tabs>
        <w:spacing w:after="0"/>
        <w:ind w:left="567" w:hanging="567"/>
        <w:jc w:val="both"/>
        <w:rPr>
          <w:rStyle w:val="af"/>
          <w:rFonts w:cs="Times New Roman"/>
          <w:b w:val="0"/>
          <w:bCs w:val="0"/>
          <w:sz w:val="24"/>
          <w:szCs w:val="24"/>
          <w:lang w:val="en-US"/>
        </w:rPr>
      </w:pPr>
      <w:r>
        <w:rPr>
          <w:rFonts w:cs="Times New Roman"/>
          <w:sz w:val="24"/>
          <w:szCs w:val="24"/>
          <w:lang w:val="en-US"/>
        </w:rPr>
        <w:t xml:space="preserve">European Court of Human Rights. (2004a). Case of </w:t>
      </w:r>
      <w:proofErr w:type="spellStart"/>
      <w:r w:rsidRPr="00BA7676">
        <w:rPr>
          <w:rFonts w:cs="Times New Roman"/>
          <w:sz w:val="24"/>
          <w:szCs w:val="24"/>
          <w:lang w:val="en-US"/>
        </w:rPr>
        <w:t>Makaratzis</w:t>
      </w:r>
      <w:proofErr w:type="spellEnd"/>
      <w:r w:rsidRPr="00BA7676">
        <w:rPr>
          <w:rFonts w:cs="Times New Roman"/>
          <w:sz w:val="24"/>
          <w:szCs w:val="24"/>
          <w:lang w:val="en-US"/>
        </w:rPr>
        <w:t xml:space="preserve"> v. Greece</w:t>
      </w:r>
      <w:r>
        <w:rPr>
          <w:rFonts w:cs="Times New Roman"/>
          <w:sz w:val="24"/>
          <w:szCs w:val="24"/>
          <w:lang w:val="en-US"/>
        </w:rPr>
        <w:t xml:space="preserve">. </w:t>
      </w:r>
      <w:r w:rsidRPr="00BA7676">
        <w:rPr>
          <w:rFonts w:cs="Times New Roman"/>
          <w:sz w:val="24"/>
          <w:szCs w:val="24"/>
          <w:lang w:val="en-US"/>
        </w:rPr>
        <w:t xml:space="preserve">Application no. 50385/99. </w:t>
      </w:r>
      <w:r w:rsidRPr="00BA7676">
        <w:rPr>
          <w:rStyle w:val="af"/>
          <w:rFonts w:cs="Times New Roman"/>
          <w:b w:val="0"/>
          <w:bCs w:val="0"/>
          <w:sz w:val="24"/>
          <w:szCs w:val="24"/>
          <w:lang w:val="en-US"/>
        </w:rPr>
        <w:t xml:space="preserve">Retrieved from </w:t>
      </w:r>
      <w:hyperlink r:id="rId16" w:history="1">
        <w:r w:rsidRPr="00EE7C66">
          <w:rPr>
            <w:rStyle w:val="ad"/>
            <w:rFonts w:cs="Times New Roman"/>
            <w:sz w:val="24"/>
            <w:szCs w:val="24"/>
            <w:lang w:val="en-US"/>
          </w:rPr>
          <w:t>https://hudoc.echr.coe.int/eng?i=001-67820</w:t>
        </w:r>
      </w:hyperlink>
      <w:r>
        <w:rPr>
          <w:rStyle w:val="af"/>
          <w:rFonts w:cs="Times New Roman"/>
          <w:b w:val="0"/>
          <w:bCs w:val="0"/>
          <w:sz w:val="24"/>
          <w:szCs w:val="24"/>
          <w:lang w:val="en-US"/>
        </w:rPr>
        <w:t xml:space="preserve"> </w:t>
      </w:r>
    </w:p>
    <w:p w14:paraId="4368EDD1" w14:textId="77777777" w:rsidR="007B0A36" w:rsidRPr="00BA7676" w:rsidRDefault="007B0A36" w:rsidP="00BA7676">
      <w:pPr>
        <w:spacing w:after="0"/>
        <w:ind w:left="567" w:hanging="567"/>
        <w:jc w:val="both"/>
        <w:rPr>
          <w:rStyle w:val="af"/>
          <w:rFonts w:cs="Times New Roman"/>
          <w:b w:val="0"/>
          <w:bCs w:val="0"/>
          <w:sz w:val="24"/>
          <w:szCs w:val="24"/>
          <w:lang w:val="en-US"/>
        </w:rPr>
      </w:pPr>
      <w:r>
        <w:rPr>
          <w:rFonts w:cs="Times New Roman"/>
          <w:sz w:val="24"/>
          <w:szCs w:val="24"/>
          <w:lang w:val="en-US"/>
        </w:rPr>
        <w:t xml:space="preserve">European Court of Human Rights. (2004b). Case of </w:t>
      </w:r>
      <w:proofErr w:type="spellStart"/>
      <w:r w:rsidRPr="00BA7676">
        <w:rPr>
          <w:rFonts w:cs="Times New Roman"/>
          <w:sz w:val="24"/>
          <w:szCs w:val="24"/>
          <w:lang w:val="en-US"/>
        </w:rPr>
        <w:t>Ilascu</w:t>
      </w:r>
      <w:proofErr w:type="spellEnd"/>
      <w:r w:rsidRPr="00BA7676">
        <w:rPr>
          <w:rFonts w:cs="Times New Roman"/>
          <w:sz w:val="24"/>
          <w:szCs w:val="24"/>
          <w:lang w:val="en-US"/>
        </w:rPr>
        <w:t xml:space="preserve"> and Others v. Moldova and Russia</w:t>
      </w:r>
      <w:r>
        <w:rPr>
          <w:rFonts w:cs="Times New Roman"/>
          <w:sz w:val="24"/>
          <w:szCs w:val="24"/>
          <w:lang w:val="en-US"/>
        </w:rPr>
        <w:t xml:space="preserve">. </w:t>
      </w:r>
      <w:r w:rsidRPr="00BA7676">
        <w:rPr>
          <w:rFonts w:cs="Times New Roman"/>
          <w:sz w:val="24"/>
          <w:szCs w:val="24"/>
          <w:lang w:val="en-US"/>
        </w:rPr>
        <w:t xml:space="preserve">Application no. 48787/99. </w:t>
      </w:r>
      <w:r w:rsidRPr="00BA7676">
        <w:rPr>
          <w:rStyle w:val="af"/>
          <w:rFonts w:cs="Times New Roman"/>
          <w:b w:val="0"/>
          <w:bCs w:val="0"/>
          <w:sz w:val="24"/>
          <w:szCs w:val="24"/>
          <w:lang w:val="en-US"/>
        </w:rPr>
        <w:t xml:space="preserve">Retrieved from </w:t>
      </w:r>
      <w:hyperlink r:id="rId17" w:history="1">
        <w:r w:rsidRPr="00EE7C66">
          <w:rPr>
            <w:rStyle w:val="ad"/>
            <w:rFonts w:cs="Times New Roman"/>
            <w:sz w:val="24"/>
            <w:szCs w:val="24"/>
            <w:lang w:val="en-US"/>
          </w:rPr>
          <w:t>https://hudoc.echr.coe.int/fre?i=001-61886</w:t>
        </w:r>
      </w:hyperlink>
      <w:r>
        <w:rPr>
          <w:rStyle w:val="af"/>
          <w:rFonts w:cs="Times New Roman"/>
          <w:b w:val="0"/>
          <w:bCs w:val="0"/>
          <w:sz w:val="24"/>
          <w:szCs w:val="24"/>
          <w:lang w:val="en-US"/>
        </w:rPr>
        <w:t xml:space="preserve"> </w:t>
      </w:r>
    </w:p>
    <w:p w14:paraId="2B7852EE" w14:textId="77777777" w:rsidR="007B0A36" w:rsidRPr="00BA7676" w:rsidRDefault="007B0A36" w:rsidP="00BA7676">
      <w:pPr>
        <w:spacing w:after="0"/>
        <w:ind w:left="567" w:hanging="567"/>
        <w:jc w:val="both"/>
        <w:rPr>
          <w:rStyle w:val="af"/>
          <w:rFonts w:cs="Times New Roman"/>
          <w:b w:val="0"/>
          <w:bCs w:val="0"/>
          <w:sz w:val="24"/>
          <w:szCs w:val="24"/>
          <w:lang w:val="en-US"/>
        </w:rPr>
      </w:pPr>
      <w:r>
        <w:rPr>
          <w:rFonts w:cs="Times New Roman"/>
          <w:sz w:val="24"/>
          <w:szCs w:val="24"/>
          <w:lang w:val="en-US"/>
        </w:rPr>
        <w:lastRenderedPageBreak/>
        <w:t xml:space="preserve">European Court of Human Rights. </w:t>
      </w:r>
      <w:r w:rsidRPr="00BA7676">
        <w:rPr>
          <w:rFonts w:cs="Times New Roman"/>
          <w:sz w:val="24"/>
          <w:szCs w:val="24"/>
          <w:lang w:val="en-US"/>
        </w:rPr>
        <w:t>(2021)</w:t>
      </w:r>
      <w:r>
        <w:rPr>
          <w:rFonts w:cs="Times New Roman"/>
          <w:sz w:val="24"/>
          <w:szCs w:val="24"/>
          <w:lang w:val="en-US"/>
        </w:rPr>
        <w:t xml:space="preserve">. </w:t>
      </w:r>
      <w:r w:rsidRPr="00BA7676">
        <w:rPr>
          <w:rFonts w:cs="Times New Roman"/>
          <w:sz w:val="24"/>
          <w:szCs w:val="24"/>
          <w:lang w:val="en-US"/>
        </w:rPr>
        <w:t>Georgia v. Russia (II)</w:t>
      </w:r>
      <w:r>
        <w:rPr>
          <w:rFonts w:cs="Times New Roman"/>
          <w:sz w:val="24"/>
          <w:szCs w:val="24"/>
          <w:lang w:val="en-US"/>
        </w:rPr>
        <w:t>.</w:t>
      </w:r>
      <w:r w:rsidRPr="00BA7676">
        <w:rPr>
          <w:rFonts w:cs="Times New Roman"/>
          <w:sz w:val="24"/>
          <w:szCs w:val="24"/>
          <w:lang w:val="en-US"/>
        </w:rPr>
        <w:t xml:space="preserve"> Application no. 38263/08. </w:t>
      </w:r>
      <w:r w:rsidRPr="00BA7676">
        <w:rPr>
          <w:rStyle w:val="af"/>
          <w:rFonts w:cs="Times New Roman"/>
          <w:b w:val="0"/>
          <w:bCs w:val="0"/>
          <w:sz w:val="24"/>
          <w:szCs w:val="24"/>
          <w:lang w:val="en-US"/>
        </w:rPr>
        <w:t xml:space="preserve">Retrieved from </w:t>
      </w:r>
      <w:hyperlink r:id="rId18" w:history="1">
        <w:r w:rsidRPr="00EE7C66">
          <w:rPr>
            <w:rStyle w:val="ad"/>
            <w:rFonts w:cs="Times New Roman"/>
            <w:sz w:val="24"/>
            <w:szCs w:val="24"/>
            <w:lang w:val="en-US"/>
          </w:rPr>
          <w:t>https://hudoc.echr.coe.int/fre?i=001-207757</w:t>
        </w:r>
      </w:hyperlink>
      <w:r>
        <w:rPr>
          <w:rStyle w:val="af"/>
          <w:rFonts w:cs="Times New Roman"/>
          <w:b w:val="0"/>
          <w:bCs w:val="0"/>
          <w:sz w:val="24"/>
          <w:szCs w:val="24"/>
          <w:lang w:val="en-US"/>
        </w:rPr>
        <w:t xml:space="preserve"> </w:t>
      </w:r>
    </w:p>
    <w:p w14:paraId="42122C6F" w14:textId="78D4EC58" w:rsidR="007B0A36" w:rsidRPr="00BA7676" w:rsidRDefault="007B0A36" w:rsidP="00BA7676">
      <w:pPr>
        <w:spacing w:after="0"/>
        <w:ind w:left="567" w:hanging="567"/>
        <w:jc w:val="both"/>
        <w:rPr>
          <w:rStyle w:val="af"/>
          <w:rFonts w:cs="Times New Roman"/>
          <w:b w:val="0"/>
          <w:bCs w:val="0"/>
          <w:sz w:val="24"/>
          <w:szCs w:val="24"/>
          <w:lang w:val="en-US"/>
        </w:rPr>
      </w:pPr>
      <w:r>
        <w:rPr>
          <w:rFonts w:cs="Times New Roman"/>
          <w:sz w:val="24"/>
          <w:szCs w:val="24"/>
          <w:lang w:val="en-US"/>
        </w:rPr>
        <w:t xml:space="preserve">European Court of Human Rights. </w:t>
      </w:r>
      <w:r w:rsidRPr="00BA7676">
        <w:rPr>
          <w:rFonts w:cs="Times New Roman"/>
          <w:sz w:val="24"/>
          <w:szCs w:val="24"/>
          <w:lang w:val="en-US"/>
        </w:rPr>
        <w:t>(2025</w:t>
      </w:r>
      <w:r>
        <w:rPr>
          <w:rFonts w:cs="Times New Roman"/>
          <w:sz w:val="24"/>
          <w:szCs w:val="24"/>
          <w:lang w:val="en-US"/>
        </w:rPr>
        <w:t>a</w:t>
      </w:r>
      <w:r w:rsidRPr="00BA7676">
        <w:rPr>
          <w:rFonts w:cs="Times New Roman"/>
          <w:sz w:val="24"/>
          <w:szCs w:val="24"/>
          <w:lang w:val="en-US"/>
        </w:rPr>
        <w:t>)</w:t>
      </w:r>
      <w:r>
        <w:rPr>
          <w:rFonts w:cs="Times New Roman"/>
          <w:sz w:val="24"/>
          <w:szCs w:val="24"/>
          <w:lang w:val="en-US"/>
        </w:rPr>
        <w:t xml:space="preserve">. Case of </w:t>
      </w:r>
      <w:r w:rsidRPr="00CA4768">
        <w:rPr>
          <w:rFonts w:cs="Times New Roman"/>
          <w:sz w:val="24"/>
          <w:szCs w:val="24"/>
          <w:lang w:val="en-US"/>
        </w:rPr>
        <w:t>Ukraine and the Netherlands v. Russia</w:t>
      </w:r>
      <w:r>
        <w:rPr>
          <w:rFonts w:cs="Times New Roman"/>
          <w:sz w:val="24"/>
          <w:szCs w:val="24"/>
          <w:lang w:val="en-US"/>
        </w:rPr>
        <w:t>.</w:t>
      </w:r>
      <w:r w:rsidRPr="00BA7676">
        <w:rPr>
          <w:rFonts w:cs="Times New Roman"/>
          <w:sz w:val="24"/>
          <w:szCs w:val="24"/>
          <w:lang w:val="en-US"/>
        </w:rPr>
        <w:t xml:space="preserve"> Applications 43800/14, 8019/16, </w:t>
      </w:r>
      <w:r>
        <w:rPr>
          <w:rFonts w:cs="Times New Roman"/>
          <w:sz w:val="24"/>
          <w:szCs w:val="24"/>
          <w:lang w:val="en-US"/>
        </w:rPr>
        <w:t xml:space="preserve">and </w:t>
      </w:r>
      <w:r w:rsidRPr="00BA7676">
        <w:rPr>
          <w:rFonts w:cs="Times New Roman"/>
          <w:sz w:val="24"/>
          <w:szCs w:val="24"/>
          <w:lang w:val="en-US"/>
        </w:rPr>
        <w:t xml:space="preserve">28525/20. </w:t>
      </w:r>
      <w:r w:rsidRPr="00BA7676">
        <w:rPr>
          <w:rStyle w:val="af"/>
          <w:rFonts w:cs="Times New Roman"/>
          <w:b w:val="0"/>
          <w:bCs w:val="0"/>
          <w:sz w:val="24"/>
          <w:szCs w:val="24"/>
          <w:lang w:val="en-US"/>
        </w:rPr>
        <w:t xml:space="preserve">Retrieved from </w:t>
      </w:r>
      <w:hyperlink r:id="rId19" w:history="1">
        <w:r w:rsidRPr="00EE7C66">
          <w:rPr>
            <w:rStyle w:val="ad"/>
            <w:rFonts w:cs="Times New Roman"/>
            <w:sz w:val="24"/>
            <w:szCs w:val="24"/>
            <w:lang w:val="en-US"/>
          </w:rPr>
          <w:t>https://hudoc.echr.coe.int/eng?i=002-13989</w:t>
        </w:r>
      </w:hyperlink>
      <w:r>
        <w:rPr>
          <w:rStyle w:val="af"/>
          <w:rFonts w:cs="Times New Roman"/>
          <w:b w:val="0"/>
          <w:bCs w:val="0"/>
          <w:sz w:val="24"/>
          <w:szCs w:val="24"/>
          <w:lang w:val="en-US"/>
        </w:rPr>
        <w:t xml:space="preserve"> </w:t>
      </w:r>
    </w:p>
    <w:p w14:paraId="4E3F6C19" w14:textId="1B7BDA31" w:rsidR="007B0A36" w:rsidRPr="00BA7676" w:rsidRDefault="007B0A36" w:rsidP="00BA7676">
      <w:pPr>
        <w:spacing w:after="0"/>
        <w:ind w:left="567" w:hanging="567"/>
        <w:jc w:val="both"/>
        <w:rPr>
          <w:rStyle w:val="af"/>
          <w:rFonts w:cs="Times New Roman"/>
          <w:b w:val="0"/>
          <w:bCs w:val="0"/>
          <w:sz w:val="24"/>
          <w:szCs w:val="24"/>
          <w:u w:val="single"/>
          <w:lang w:val="en-US"/>
        </w:rPr>
      </w:pPr>
      <w:r>
        <w:rPr>
          <w:rFonts w:cs="Times New Roman"/>
          <w:sz w:val="24"/>
          <w:szCs w:val="24"/>
          <w:lang w:val="en-US"/>
        </w:rPr>
        <w:t>European Court of Human Rights.</w:t>
      </w:r>
      <w:r w:rsidRPr="00BA7676">
        <w:rPr>
          <w:rFonts w:cs="Times New Roman"/>
          <w:sz w:val="24"/>
          <w:szCs w:val="24"/>
          <w:lang w:val="en-US"/>
        </w:rPr>
        <w:t xml:space="preserve"> (202</w:t>
      </w:r>
      <w:r>
        <w:rPr>
          <w:rFonts w:cs="Times New Roman"/>
          <w:sz w:val="24"/>
          <w:szCs w:val="24"/>
          <w:lang w:val="en-US"/>
        </w:rPr>
        <w:t>5b</w:t>
      </w:r>
      <w:r w:rsidRPr="00BA7676">
        <w:rPr>
          <w:rFonts w:cs="Times New Roman"/>
          <w:sz w:val="24"/>
          <w:szCs w:val="24"/>
          <w:lang w:val="en-US"/>
        </w:rPr>
        <w:t xml:space="preserve">). </w:t>
      </w:r>
      <w:r w:rsidRPr="00585FD6">
        <w:rPr>
          <w:rFonts w:cs="Times New Roman"/>
          <w:i/>
          <w:iCs/>
          <w:sz w:val="24"/>
          <w:szCs w:val="24"/>
          <w:lang w:val="en-US"/>
        </w:rPr>
        <w:t>Rules of Court</w:t>
      </w:r>
      <w:r w:rsidRPr="00BA7676">
        <w:rPr>
          <w:rFonts w:cs="Times New Roman"/>
          <w:sz w:val="24"/>
          <w:szCs w:val="24"/>
          <w:lang w:val="en-US"/>
        </w:rPr>
        <w:t xml:space="preserve">. </w:t>
      </w:r>
      <w:r w:rsidRPr="00585FD6">
        <w:rPr>
          <w:rFonts w:cs="Times New Roman"/>
          <w:sz w:val="24"/>
          <w:szCs w:val="24"/>
          <w:lang w:val="en-US"/>
        </w:rPr>
        <w:t>Strasbourg</w:t>
      </w:r>
      <w:r>
        <w:rPr>
          <w:rStyle w:val="af"/>
          <w:rFonts w:cs="Times New Roman"/>
          <w:b w:val="0"/>
          <w:bCs w:val="0"/>
          <w:sz w:val="24"/>
          <w:szCs w:val="24"/>
          <w:lang w:val="en-US"/>
        </w:rPr>
        <w:t xml:space="preserve">: Council of Europe. </w:t>
      </w:r>
    </w:p>
    <w:p w14:paraId="7222E9C0"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European Implementation Network</w:t>
      </w:r>
      <w:r>
        <w:rPr>
          <w:rStyle w:val="af"/>
          <w:rFonts w:cs="Times New Roman"/>
          <w:b w:val="0"/>
          <w:bCs w:val="0"/>
          <w:sz w:val="24"/>
          <w:szCs w:val="24"/>
          <w:lang w:val="en-US"/>
        </w:rPr>
        <w:t>, &amp;</w:t>
      </w:r>
      <w:r w:rsidRPr="00BA7676">
        <w:rPr>
          <w:rStyle w:val="af"/>
          <w:rFonts w:cs="Times New Roman"/>
          <w:b w:val="0"/>
          <w:bCs w:val="0"/>
          <w:sz w:val="24"/>
          <w:szCs w:val="24"/>
          <w:lang w:val="en-US"/>
        </w:rPr>
        <w:t xml:space="preserve"> Democracy Reporting International. (2024). Justice delayed justice denied: Non</w:t>
      </w:r>
      <w:r>
        <w:rPr>
          <w:rStyle w:val="af"/>
          <w:rFonts w:cs="Times New Roman"/>
          <w:b w:val="0"/>
          <w:bCs w:val="0"/>
          <w:sz w:val="24"/>
          <w:szCs w:val="24"/>
          <w:lang w:val="en-US"/>
        </w:rPr>
        <w:t>-</w:t>
      </w:r>
      <w:r w:rsidRPr="00BA7676">
        <w:rPr>
          <w:rStyle w:val="af"/>
          <w:rFonts w:cs="Times New Roman"/>
          <w:b w:val="0"/>
          <w:bCs w:val="0"/>
          <w:sz w:val="24"/>
          <w:szCs w:val="24"/>
          <w:lang w:val="en-US"/>
        </w:rPr>
        <w:t xml:space="preserve">implementation of European Courts’ judgments and the rule of law. Retrieved from </w:t>
      </w:r>
      <w:hyperlink r:id="rId20" w:history="1">
        <w:r w:rsidRPr="00EE7C66">
          <w:rPr>
            <w:rStyle w:val="ad"/>
            <w:rFonts w:cs="Times New Roman"/>
            <w:sz w:val="24"/>
            <w:szCs w:val="24"/>
            <w:lang w:val="en-US"/>
          </w:rPr>
          <w:t>https://www.einnetwork.org/blog-five/2024/9/20/justice-delayed-and-justice-denied-report-on-the-non-implementation-of-european-judgments-and-the-rule-of-law</w:t>
        </w:r>
      </w:hyperlink>
      <w:r>
        <w:rPr>
          <w:rStyle w:val="af"/>
          <w:rFonts w:cs="Times New Roman"/>
          <w:b w:val="0"/>
          <w:bCs w:val="0"/>
          <w:sz w:val="24"/>
          <w:szCs w:val="24"/>
          <w:lang w:val="en-US"/>
        </w:rPr>
        <w:t xml:space="preserve"> </w:t>
      </w:r>
    </w:p>
    <w:p w14:paraId="406E4F74" w14:textId="77777777" w:rsidR="007B0A36" w:rsidRPr="00BA7676" w:rsidRDefault="007B0A36" w:rsidP="00BA7676">
      <w:pPr>
        <w:spacing w:after="0"/>
        <w:ind w:left="567" w:hanging="567"/>
        <w:jc w:val="both"/>
        <w:rPr>
          <w:rStyle w:val="ad"/>
          <w:rFonts w:cs="Times New Roman"/>
          <w:color w:val="auto"/>
          <w:sz w:val="24"/>
          <w:szCs w:val="24"/>
          <w:lang w:val="en-US"/>
        </w:rPr>
      </w:pPr>
      <w:r w:rsidRPr="00BA7676">
        <w:rPr>
          <w:rStyle w:val="af"/>
          <w:rFonts w:cs="Times New Roman"/>
          <w:b w:val="0"/>
          <w:bCs w:val="0"/>
          <w:sz w:val="24"/>
          <w:szCs w:val="24"/>
          <w:lang w:val="en-US"/>
        </w:rPr>
        <w:t>European Union Agency for Fundamental Rights</w:t>
      </w:r>
      <w:r>
        <w:rPr>
          <w:rStyle w:val="af"/>
          <w:rFonts w:cs="Times New Roman"/>
          <w:b w:val="0"/>
          <w:bCs w:val="0"/>
          <w:sz w:val="24"/>
          <w:szCs w:val="24"/>
          <w:lang w:val="en-US"/>
        </w:rPr>
        <w:t>.</w:t>
      </w:r>
      <w:r w:rsidRPr="00BA7676">
        <w:rPr>
          <w:rStyle w:val="af"/>
          <w:rFonts w:cs="Times New Roman"/>
          <w:b w:val="0"/>
          <w:bCs w:val="0"/>
          <w:sz w:val="24"/>
          <w:szCs w:val="24"/>
          <w:lang w:val="en-US"/>
        </w:rPr>
        <w:t xml:space="preserve"> (2024). Stepping up the response to victims of crime: FRA findings on challenges and solutions. Retrieved from </w:t>
      </w:r>
      <w:hyperlink r:id="rId21" w:history="1">
        <w:r w:rsidRPr="00BA7676">
          <w:rPr>
            <w:rStyle w:val="ad"/>
            <w:rFonts w:cs="Times New Roman"/>
            <w:color w:val="auto"/>
            <w:sz w:val="24"/>
            <w:szCs w:val="24"/>
            <w:lang w:val="en-US"/>
          </w:rPr>
          <w:t>https://fra.europa.eu/en/publication/2024/stepping-response-victims-crime</w:t>
        </w:r>
      </w:hyperlink>
    </w:p>
    <w:p w14:paraId="62EAF3C6" w14:textId="77777777" w:rsidR="007B0A36" w:rsidRPr="00930673" w:rsidRDefault="007B0A36" w:rsidP="00BA7676">
      <w:pPr>
        <w:spacing w:after="0"/>
        <w:ind w:left="567" w:hanging="567"/>
        <w:jc w:val="both"/>
        <w:rPr>
          <w:rFonts w:cs="Times New Roman"/>
          <w:sz w:val="24"/>
          <w:szCs w:val="24"/>
          <w:u w:val="single"/>
          <w:lang w:val="en-US"/>
        </w:rPr>
      </w:pPr>
      <w:r w:rsidRPr="00930673">
        <w:rPr>
          <w:rFonts w:cs="Times New Roman"/>
          <w:sz w:val="24"/>
          <w:szCs w:val="24"/>
          <w:lang w:val="en-US"/>
        </w:rPr>
        <w:t>FATF</w:t>
      </w:r>
      <w:r>
        <w:rPr>
          <w:rFonts w:cs="Times New Roman"/>
          <w:sz w:val="24"/>
          <w:szCs w:val="24"/>
          <w:lang w:val="en-US"/>
        </w:rPr>
        <w:t>.</w:t>
      </w:r>
      <w:r w:rsidRPr="00930673">
        <w:rPr>
          <w:rFonts w:cs="Times New Roman"/>
          <w:sz w:val="24"/>
          <w:szCs w:val="24"/>
          <w:lang w:val="en-US"/>
        </w:rPr>
        <w:t xml:space="preserve"> (2012). </w:t>
      </w:r>
      <w:r w:rsidRPr="00930673">
        <w:rPr>
          <w:rFonts w:cs="Times New Roman"/>
          <w:i/>
          <w:iCs/>
          <w:sz w:val="24"/>
          <w:szCs w:val="24"/>
          <w:lang w:val="en-US"/>
        </w:rPr>
        <w:t>Best practices on confiscation (recommendations 4 and 38) and a framework for ongoing work on asset recovery</w:t>
      </w:r>
      <w:r>
        <w:rPr>
          <w:rFonts w:cs="Times New Roman"/>
          <w:sz w:val="24"/>
          <w:szCs w:val="24"/>
          <w:lang w:val="uk-UA"/>
        </w:rPr>
        <w:t>.</w:t>
      </w:r>
      <w:r w:rsidRPr="00930673">
        <w:rPr>
          <w:rFonts w:cs="Times New Roman"/>
          <w:sz w:val="24"/>
          <w:szCs w:val="24"/>
          <w:lang w:val="en-US"/>
        </w:rPr>
        <w:t xml:space="preserve"> Paris</w:t>
      </w:r>
      <w:r>
        <w:rPr>
          <w:rFonts w:cs="Times New Roman"/>
          <w:sz w:val="24"/>
          <w:szCs w:val="24"/>
          <w:lang w:val="uk-UA"/>
        </w:rPr>
        <w:t xml:space="preserve">: </w:t>
      </w:r>
      <w:r>
        <w:rPr>
          <w:rFonts w:cs="Times New Roman"/>
          <w:sz w:val="24"/>
          <w:szCs w:val="24"/>
          <w:lang w:val="en-US"/>
        </w:rPr>
        <w:t>OECD.</w:t>
      </w:r>
    </w:p>
    <w:p w14:paraId="6A96DC94" w14:textId="77777777" w:rsidR="007B0A36" w:rsidRPr="000D6E88" w:rsidRDefault="007B0A36" w:rsidP="00BA7676">
      <w:pPr>
        <w:spacing w:after="0"/>
        <w:ind w:left="567" w:hanging="567"/>
        <w:jc w:val="both"/>
        <w:rPr>
          <w:rStyle w:val="af"/>
          <w:rFonts w:cs="Times New Roman"/>
          <w:b w:val="0"/>
          <w:bCs w:val="0"/>
          <w:sz w:val="24"/>
          <w:szCs w:val="24"/>
          <w:lang w:val="en-US"/>
        </w:rPr>
      </w:pPr>
      <w:r w:rsidRPr="000D6E88">
        <w:rPr>
          <w:rFonts w:cs="Times New Roman"/>
          <w:sz w:val="24"/>
          <w:szCs w:val="24"/>
          <w:lang w:val="en-US"/>
        </w:rPr>
        <w:t>Finnin</w:t>
      </w:r>
      <w:r>
        <w:rPr>
          <w:rFonts w:cs="Times New Roman"/>
          <w:sz w:val="24"/>
          <w:szCs w:val="24"/>
          <w:lang w:val="en-US"/>
        </w:rPr>
        <w:t xml:space="preserve">, S. </w:t>
      </w:r>
      <w:r w:rsidRPr="00BA7676">
        <w:rPr>
          <w:rStyle w:val="af"/>
          <w:rFonts w:cs="Times New Roman"/>
          <w:b w:val="0"/>
          <w:bCs w:val="0"/>
          <w:sz w:val="24"/>
          <w:szCs w:val="24"/>
          <w:lang w:val="en-US"/>
        </w:rPr>
        <w:t>(2020)</w:t>
      </w:r>
      <w:r>
        <w:rPr>
          <w:rStyle w:val="af"/>
          <w:rFonts w:cs="Times New Roman"/>
          <w:b w:val="0"/>
          <w:bCs w:val="0"/>
          <w:sz w:val="24"/>
          <w:szCs w:val="24"/>
          <w:lang w:val="en-US"/>
        </w:rPr>
        <w:t xml:space="preserve">. </w:t>
      </w:r>
      <w:r w:rsidRPr="000D6E88">
        <w:rPr>
          <w:rStyle w:val="af"/>
          <w:rFonts w:cs="Times New Roman"/>
          <w:b w:val="0"/>
          <w:bCs w:val="0"/>
          <w:i/>
          <w:iCs/>
          <w:sz w:val="24"/>
          <w:szCs w:val="24"/>
          <w:lang w:val="en-US"/>
        </w:rPr>
        <w:t>Breaking down barriers: Access to justice in Europe for victims of international crimes</w:t>
      </w:r>
      <w:r w:rsidRPr="00BA7676">
        <w:rPr>
          <w:rStyle w:val="af"/>
          <w:rFonts w:cs="Times New Roman"/>
          <w:b w:val="0"/>
          <w:bCs w:val="0"/>
          <w:sz w:val="24"/>
          <w:szCs w:val="24"/>
          <w:lang w:val="en-US"/>
        </w:rPr>
        <w:t xml:space="preserve">. </w:t>
      </w:r>
      <w:r w:rsidRPr="00421548">
        <w:rPr>
          <w:rFonts w:cs="Times New Roman"/>
          <w:sz w:val="24"/>
          <w:szCs w:val="24"/>
          <w:lang w:val="en-US"/>
        </w:rPr>
        <w:t>Brussels</w:t>
      </w:r>
      <w:r>
        <w:rPr>
          <w:rFonts w:cs="Times New Roman"/>
          <w:sz w:val="24"/>
          <w:szCs w:val="24"/>
          <w:lang w:val="en-US"/>
        </w:rPr>
        <w:t xml:space="preserve">: European Union. </w:t>
      </w:r>
    </w:p>
    <w:p w14:paraId="3898F7F4" w14:textId="77777777" w:rsidR="007B0A36" w:rsidRPr="00BA7676" w:rsidRDefault="007B0A36" w:rsidP="00BA7676">
      <w:pPr>
        <w:spacing w:after="0"/>
        <w:ind w:left="567" w:hanging="567"/>
        <w:jc w:val="both"/>
        <w:rPr>
          <w:rFonts w:cs="Times New Roman"/>
          <w:sz w:val="24"/>
          <w:szCs w:val="24"/>
          <w:u w:val="single"/>
          <w:lang w:val="en-US"/>
        </w:rPr>
      </w:pPr>
      <w:r w:rsidRPr="00930673">
        <w:rPr>
          <w:rFonts w:cs="Times New Roman"/>
          <w:sz w:val="24"/>
          <w:szCs w:val="24"/>
          <w:lang w:val="en-US"/>
        </w:rPr>
        <w:t xml:space="preserve">France, G. (2022). Non-conviction-based confiscation as an alternative tool to asset recovery. </w:t>
      </w:r>
      <w:r w:rsidRPr="00930673">
        <w:rPr>
          <w:rFonts w:cs="Times New Roman"/>
          <w:i/>
          <w:iCs/>
          <w:sz w:val="24"/>
          <w:szCs w:val="24"/>
          <w:lang w:val="en-US"/>
        </w:rPr>
        <w:t>Transparency International</w:t>
      </w:r>
      <w:r w:rsidRPr="00930673">
        <w:rPr>
          <w:rFonts w:cs="Times New Roman"/>
          <w:sz w:val="24"/>
          <w:szCs w:val="24"/>
          <w:lang w:val="en-US"/>
        </w:rPr>
        <w:t xml:space="preserve">. </w:t>
      </w:r>
      <w:r w:rsidRPr="00930673">
        <w:rPr>
          <w:rStyle w:val="af"/>
          <w:rFonts w:cs="Times New Roman"/>
          <w:b w:val="0"/>
          <w:bCs w:val="0"/>
          <w:sz w:val="24"/>
          <w:szCs w:val="24"/>
          <w:lang w:val="en-US"/>
        </w:rPr>
        <w:t>Retrieved from https://knowledgehub.transparency.org/assets/uploads/helpdesk/Non-Conviction-Based-Forfeiture_2022.pdf</w:t>
      </w:r>
    </w:p>
    <w:p w14:paraId="5F6D0B7A" w14:textId="77777777" w:rsidR="007B0A36" w:rsidRPr="00BA7676" w:rsidRDefault="007B0A36" w:rsidP="00BA7676">
      <w:pPr>
        <w:spacing w:after="0"/>
        <w:ind w:left="567" w:hanging="567"/>
        <w:jc w:val="both"/>
        <w:rPr>
          <w:rFonts w:cs="Times New Roman"/>
          <w:sz w:val="24"/>
          <w:szCs w:val="24"/>
          <w:lang w:val="en-US"/>
        </w:rPr>
      </w:pPr>
      <w:r w:rsidRPr="005E179E">
        <w:rPr>
          <w:rFonts w:cs="Times New Roman"/>
          <w:sz w:val="24"/>
          <w:szCs w:val="24"/>
          <w:lang w:val="en-US"/>
        </w:rPr>
        <w:t>General Assembly of the United Nations</w:t>
      </w:r>
      <w:r>
        <w:rPr>
          <w:rFonts w:cs="Times New Roman"/>
          <w:sz w:val="24"/>
          <w:szCs w:val="24"/>
          <w:lang w:val="en-US"/>
        </w:rPr>
        <w:t xml:space="preserve">. (2004). </w:t>
      </w:r>
      <w:r w:rsidRPr="005E179E">
        <w:rPr>
          <w:rFonts w:cs="Times New Roman"/>
          <w:i/>
          <w:iCs/>
          <w:sz w:val="24"/>
          <w:szCs w:val="24"/>
          <w:lang w:val="en-US"/>
        </w:rPr>
        <w:t xml:space="preserve">United Nations Convention on Jurisdictional Immunities of States and Their Property. </w:t>
      </w:r>
      <w:r>
        <w:rPr>
          <w:rStyle w:val="af"/>
          <w:rFonts w:cs="Times New Roman"/>
          <w:b w:val="0"/>
          <w:bCs w:val="0"/>
          <w:sz w:val="24"/>
          <w:szCs w:val="24"/>
          <w:lang w:val="en-US"/>
        </w:rPr>
        <w:t>New York: United Nations.</w:t>
      </w:r>
    </w:p>
    <w:p w14:paraId="755E3E3B" w14:textId="77777777" w:rsidR="007B0A36" w:rsidRDefault="007B0A36" w:rsidP="00021FAD">
      <w:pPr>
        <w:spacing w:after="0"/>
        <w:ind w:left="567" w:hanging="567"/>
        <w:jc w:val="both"/>
        <w:rPr>
          <w:rStyle w:val="af"/>
          <w:rFonts w:cs="Times New Roman"/>
          <w:b w:val="0"/>
          <w:bCs w:val="0"/>
          <w:sz w:val="24"/>
          <w:szCs w:val="24"/>
          <w:lang w:val="en-US"/>
        </w:rPr>
      </w:pPr>
      <w:r w:rsidRPr="00021FAD">
        <w:rPr>
          <w:rStyle w:val="af"/>
          <w:rFonts w:cs="Times New Roman"/>
          <w:b w:val="0"/>
          <w:bCs w:val="0"/>
          <w:sz w:val="24"/>
          <w:szCs w:val="24"/>
          <w:lang w:val="en-US"/>
        </w:rPr>
        <w:t xml:space="preserve">Gusarov, K.V., </w:t>
      </w:r>
      <w:r>
        <w:rPr>
          <w:rStyle w:val="af"/>
          <w:rFonts w:cs="Times New Roman"/>
          <w:b w:val="0"/>
          <w:bCs w:val="0"/>
          <w:sz w:val="24"/>
          <w:szCs w:val="24"/>
          <w:lang w:val="en-US"/>
        </w:rPr>
        <w:t xml:space="preserve">&amp; </w:t>
      </w:r>
      <w:r w:rsidRPr="00021FAD">
        <w:rPr>
          <w:rStyle w:val="af"/>
          <w:rFonts w:cs="Times New Roman"/>
          <w:b w:val="0"/>
          <w:bCs w:val="0"/>
          <w:sz w:val="24"/>
          <w:szCs w:val="24"/>
          <w:lang w:val="en-US"/>
        </w:rPr>
        <w:t>Popov, O.I.</w:t>
      </w:r>
      <w:r>
        <w:rPr>
          <w:rStyle w:val="af"/>
          <w:rFonts w:cs="Times New Roman"/>
          <w:b w:val="0"/>
          <w:bCs w:val="0"/>
          <w:sz w:val="24"/>
          <w:szCs w:val="24"/>
          <w:lang w:val="en-US"/>
        </w:rPr>
        <w:t xml:space="preserve"> (2020). </w:t>
      </w:r>
      <w:r w:rsidRPr="00021FAD">
        <w:rPr>
          <w:rStyle w:val="af"/>
          <w:rFonts w:cs="Times New Roman"/>
          <w:b w:val="0"/>
          <w:bCs w:val="0"/>
          <w:sz w:val="24"/>
          <w:szCs w:val="24"/>
          <w:lang w:val="en-US"/>
        </w:rPr>
        <w:t>Recognition of the fact of birth or death in the temporarily occupied territory under the rules of special proceedings</w:t>
      </w:r>
      <w:r>
        <w:rPr>
          <w:rStyle w:val="af"/>
          <w:rFonts w:cs="Times New Roman"/>
          <w:b w:val="0"/>
          <w:bCs w:val="0"/>
          <w:sz w:val="24"/>
          <w:szCs w:val="24"/>
          <w:lang w:val="en-US"/>
        </w:rPr>
        <w:t xml:space="preserve">. </w:t>
      </w:r>
      <w:r w:rsidRPr="000322DB">
        <w:rPr>
          <w:rStyle w:val="af"/>
          <w:rFonts w:cs="Times New Roman"/>
          <w:b w:val="0"/>
          <w:bCs w:val="0"/>
          <w:i/>
          <w:iCs/>
          <w:sz w:val="24"/>
          <w:szCs w:val="24"/>
          <w:lang w:val="en-US"/>
        </w:rPr>
        <w:t>Journal of the National Academy of Legal Sciences of Ukraine, 27</w:t>
      </w:r>
      <w:r w:rsidRPr="00021FAD">
        <w:rPr>
          <w:rStyle w:val="af"/>
          <w:rFonts w:cs="Times New Roman"/>
          <w:b w:val="0"/>
          <w:bCs w:val="0"/>
          <w:sz w:val="24"/>
          <w:szCs w:val="24"/>
          <w:lang w:val="en-US"/>
        </w:rPr>
        <w:t>(4), 161–171</w:t>
      </w:r>
      <w:r>
        <w:rPr>
          <w:rStyle w:val="af"/>
          <w:rFonts w:cs="Times New Roman"/>
          <w:b w:val="0"/>
          <w:bCs w:val="0"/>
          <w:sz w:val="24"/>
          <w:szCs w:val="24"/>
          <w:lang w:val="en-US"/>
        </w:rPr>
        <w:t xml:space="preserve">. </w:t>
      </w:r>
      <w:hyperlink r:id="rId22" w:history="1">
        <w:r w:rsidRPr="00EE7C66">
          <w:rPr>
            <w:rStyle w:val="ad"/>
            <w:rFonts w:cs="Times New Roman"/>
            <w:sz w:val="24"/>
            <w:szCs w:val="24"/>
            <w:lang w:val="en-US"/>
          </w:rPr>
          <w:t>https://doi.org/10.37635/jnalsu.27(4).2020.161-171</w:t>
        </w:r>
      </w:hyperlink>
      <w:r>
        <w:rPr>
          <w:rStyle w:val="af"/>
          <w:rFonts w:cs="Times New Roman"/>
          <w:b w:val="0"/>
          <w:bCs w:val="0"/>
          <w:sz w:val="24"/>
          <w:szCs w:val="24"/>
          <w:lang w:val="en-US"/>
        </w:rPr>
        <w:t xml:space="preserve"> </w:t>
      </w:r>
    </w:p>
    <w:p w14:paraId="3B864163"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 xml:space="preserve">Human Rights Watch. (2024). EU cooperation in International Criminal Court arrests. Retrieved from </w:t>
      </w:r>
      <w:hyperlink r:id="rId23" w:history="1">
        <w:r w:rsidRPr="00EE7C66">
          <w:rPr>
            <w:rStyle w:val="ad"/>
            <w:rFonts w:cs="Times New Roman"/>
            <w:sz w:val="24"/>
            <w:szCs w:val="24"/>
            <w:lang w:val="en-US"/>
          </w:rPr>
          <w:t>https://www.hrw.org/news/2024/11/26/eu-cooperation-international-criminal-court-arrests</w:t>
        </w:r>
      </w:hyperlink>
      <w:r>
        <w:rPr>
          <w:rStyle w:val="af"/>
          <w:rFonts w:cs="Times New Roman"/>
          <w:b w:val="0"/>
          <w:bCs w:val="0"/>
          <w:sz w:val="24"/>
          <w:szCs w:val="24"/>
          <w:lang w:val="en-US"/>
        </w:rPr>
        <w:t xml:space="preserve"> </w:t>
      </w:r>
    </w:p>
    <w:p w14:paraId="6B6637D0" w14:textId="77777777" w:rsidR="007B0A36" w:rsidRDefault="007B0A36" w:rsidP="00BA7676">
      <w:pPr>
        <w:spacing w:after="0"/>
        <w:ind w:left="567" w:hanging="567"/>
        <w:jc w:val="both"/>
        <w:rPr>
          <w:rStyle w:val="af"/>
          <w:rFonts w:cs="Times New Roman"/>
          <w:b w:val="0"/>
          <w:bCs w:val="0"/>
          <w:sz w:val="24"/>
          <w:szCs w:val="24"/>
          <w:lang w:val="uk-UA"/>
        </w:rPr>
      </w:pPr>
      <w:r w:rsidRPr="00BA7676">
        <w:rPr>
          <w:rFonts w:cs="Times New Roman"/>
          <w:sz w:val="24"/>
          <w:szCs w:val="24"/>
          <w:lang w:val="en-US"/>
        </w:rPr>
        <w:t>International Criminal Court</w:t>
      </w:r>
      <w:r>
        <w:rPr>
          <w:rStyle w:val="af"/>
          <w:rFonts w:cs="Times New Roman"/>
          <w:b w:val="0"/>
          <w:bCs w:val="0"/>
          <w:sz w:val="24"/>
          <w:szCs w:val="24"/>
          <w:lang w:val="en-US"/>
        </w:rPr>
        <w:t xml:space="preserve">. (1998). </w:t>
      </w:r>
      <w:r w:rsidRPr="007760B4">
        <w:rPr>
          <w:rFonts w:cs="Times New Roman"/>
          <w:i/>
          <w:iCs/>
          <w:sz w:val="24"/>
          <w:szCs w:val="24"/>
          <w:lang w:val="en-US"/>
        </w:rPr>
        <w:t>Rome Statute of the International Criminal Court</w:t>
      </w:r>
      <w:r w:rsidRPr="00BA7676">
        <w:rPr>
          <w:rStyle w:val="af"/>
          <w:rFonts w:cs="Times New Roman"/>
          <w:b w:val="0"/>
          <w:bCs w:val="0"/>
          <w:sz w:val="24"/>
          <w:szCs w:val="24"/>
          <w:lang w:val="en-US"/>
        </w:rPr>
        <w:t xml:space="preserve">. </w:t>
      </w:r>
      <w:r>
        <w:rPr>
          <w:rStyle w:val="af"/>
          <w:rFonts w:cs="Times New Roman"/>
          <w:b w:val="0"/>
          <w:bCs w:val="0"/>
          <w:sz w:val="24"/>
          <w:szCs w:val="24"/>
          <w:lang w:val="en-US"/>
        </w:rPr>
        <w:t xml:space="preserve">The Hague: </w:t>
      </w:r>
      <w:r w:rsidRPr="00BA7676">
        <w:rPr>
          <w:rFonts w:cs="Times New Roman"/>
          <w:sz w:val="24"/>
          <w:szCs w:val="24"/>
          <w:lang w:val="en-US"/>
        </w:rPr>
        <w:t>International Criminal Court</w:t>
      </w:r>
      <w:r>
        <w:rPr>
          <w:rStyle w:val="af"/>
          <w:rFonts w:cs="Times New Roman"/>
          <w:b w:val="0"/>
          <w:bCs w:val="0"/>
          <w:sz w:val="24"/>
          <w:szCs w:val="24"/>
          <w:lang w:val="en-US"/>
        </w:rPr>
        <w:t xml:space="preserve">. </w:t>
      </w:r>
    </w:p>
    <w:p w14:paraId="5A4ECC24" w14:textId="77777777" w:rsidR="007B0A36" w:rsidRPr="00BA7676" w:rsidRDefault="007B0A36" w:rsidP="00BA7676">
      <w:pPr>
        <w:spacing w:after="0"/>
        <w:ind w:left="567" w:hanging="567"/>
        <w:jc w:val="both"/>
        <w:rPr>
          <w:rStyle w:val="af"/>
          <w:rFonts w:cs="Times New Roman"/>
          <w:b w:val="0"/>
          <w:bCs w:val="0"/>
          <w:sz w:val="24"/>
          <w:szCs w:val="24"/>
          <w:lang w:val="en-US"/>
        </w:rPr>
      </w:pPr>
      <w:proofErr w:type="spellStart"/>
      <w:r w:rsidRPr="00BA7676">
        <w:rPr>
          <w:rFonts w:cs="Times New Roman"/>
          <w:sz w:val="24"/>
          <w:szCs w:val="24"/>
          <w:lang w:val="en-US"/>
        </w:rPr>
        <w:t>Ioanes</w:t>
      </w:r>
      <w:proofErr w:type="spellEnd"/>
      <w:r w:rsidRPr="00BA7676">
        <w:rPr>
          <w:rFonts w:cs="Times New Roman"/>
          <w:sz w:val="24"/>
          <w:szCs w:val="24"/>
          <w:lang w:val="en-US"/>
        </w:rPr>
        <w:t xml:space="preserve">, E., </w:t>
      </w:r>
      <w:r>
        <w:rPr>
          <w:rFonts w:cs="Times New Roman"/>
          <w:sz w:val="24"/>
          <w:szCs w:val="24"/>
          <w:lang w:val="en-US"/>
        </w:rPr>
        <w:t xml:space="preserve">&amp; </w:t>
      </w:r>
      <w:r w:rsidRPr="00BA7676">
        <w:rPr>
          <w:rFonts w:cs="Times New Roman"/>
          <w:sz w:val="24"/>
          <w:szCs w:val="24"/>
          <w:lang w:val="en-US"/>
        </w:rPr>
        <w:t xml:space="preserve">Narea, N. (2024). Why ICC arrest warrants matter, even if Israel and Hamas leaders evade them. </w:t>
      </w:r>
      <w:r w:rsidRPr="00BA7676">
        <w:rPr>
          <w:rFonts w:cs="Times New Roman"/>
          <w:i/>
          <w:iCs/>
          <w:sz w:val="24"/>
          <w:szCs w:val="24"/>
          <w:lang w:val="en-US"/>
        </w:rPr>
        <w:t>Vox</w:t>
      </w:r>
      <w:r w:rsidRPr="00BA7676">
        <w:rPr>
          <w:rFonts w:cs="Times New Roman"/>
          <w:sz w:val="24"/>
          <w:szCs w:val="24"/>
          <w:lang w:val="en-US"/>
        </w:rPr>
        <w:t xml:space="preserve">. </w:t>
      </w:r>
      <w:r w:rsidRPr="00BA7676">
        <w:rPr>
          <w:rStyle w:val="af"/>
          <w:rFonts w:cs="Times New Roman"/>
          <w:b w:val="0"/>
          <w:bCs w:val="0"/>
          <w:sz w:val="24"/>
          <w:szCs w:val="24"/>
          <w:lang w:val="en-US"/>
        </w:rPr>
        <w:t xml:space="preserve">Retrieved from </w:t>
      </w:r>
      <w:hyperlink r:id="rId24" w:history="1">
        <w:r w:rsidRPr="00BA7676">
          <w:rPr>
            <w:rStyle w:val="ad"/>
            <w:rFonts w:cs="Times New Roman"/>
            <w:color w:val="auto"/>
            <w:sz w:val="24"/>
            <w:szCs w:val="24"/>
            <w:lang w:val="en-US"/>
          </w:rPr>
          <w:t>https://www.vox.com/world-politics/350915/icc-arrest-netanyahu-israel-sinwar-hamas-khan-prosecutor-gallant-idf-haniyeh</w:t>
        </w:r>
      </w:hyperlink>
    </w:p>
    <w:p w14:paraId="1BFA5FCA" w14:textId="77777777" w:rsidR="007B0A36" w:rsidRDefault="007B0A36" w:rsidP="00BA7676">
      <w:pPr>
        <w:spacing w:after="0"/>
        <w:ind w:left="567" w:hanging="567"/>
        <w:jc w:val="both"/>
        <w:rPr>
          <w:rStyle w:val="af"/>
          <w:rFonts w:cs="Times New Roman"/>
          <w:b w:val="0"/>
          <w:bCs w:val="0"/>
          <w:sz w:val="24"/>
          <w:szCs w:val="24"/>
          <w:lang w:val="en-US"/>
        </w:rPr>
      </w:pPr>
      <w:proofErr w:type="spellStart"/>
      <w:r w:rsidRPr="00BA7676">
        <w:rPr>
          <w:rStyle w:val="af"/>
          <w:rFonts w:cs="Times New Roman"/>
          <w:b w:val="0"/>
          <w:bCs w:val="0"/>
          <w:sz w:val="24"/>
          <w:szCs w:val="24"/>
          <w:lang w:val="en-US"/>
        </w:rPr>
        <w:t>Kolarz</w:t>
      </w:r>
      <w:proofErr w:type="spellEnd"/>
      <w:r w:rsidRPr="00BA7676">
        <w:rPr>
          <w:rStyle w:val="af"/>
          <w:rFonts w:cs="Times New Roman"/>
          <w:b w:val="0"/>
          <w:bCs w:val="0"/>
          <w:sz w:val="24"/>
          <w:szCs w:val="24"/>
          <w:lang w:val="en-US"/>
        </w:rPr>
        <w:t xml:space="preserve">, S. (2022). EU </w:t>
      </w:r>
      <w:r>
        <w:rPr>
          <w:rStyle w:val="af"/>
          <w:rFonts w:cs="Times New Roman"/>
          <w:b w:val="0"/>
          <w:bCs w:val="0"/>
          <w:sz w:val="24"/>
          <w:szCs w:val="24"/>
          <w:lang w:val="en-US"/>
        </w:rPr>
        <w:t>su</w:t>
      </w:r>
      <w:r w:rsidRPr="00BA7676">
        <w:rPr>
          <w:rStyle w:val="af"/>
          <w:rFonts w:cs="Times New Roman"/>
          <w:b w:val="0"/>
          <w:bCs w:val="0"/>
          <w:sz w:val="24"/>
          <w:szCs w:val="24"/>
          <w:lang w:val="en-US"/>
        </w:rPr>
        <w:t xml:space="preserve">pports the Ukrainian justice system in the face of war. </w:t>
      </w:r>
      <w:r w:rsidRPr="00BA7676">
        <w:rPr>
          <w:rStyle w:val="af"/>
          <w:rFonts w:cs="Times New Roman"/>
          <w:b w:val="0"/>
          <w:bCs w:val="0"/>
          <w:i/>
          <w:iCs/>
          <w:sz w:val="24"/>
          <w:szCs w:val="24"/>
          <w:lang w:val="en-US"/>
        </w:rPr>
        <w:t>PISM Bulletin</w:t>
      </w:r>
      <w:r>
        <w:rPr>
          <w:rStyle w:val="af"/>
          <w:rFonts w:cs="Times New Roman"/>
          <w:b w:val="0"/>
          <w:bCs w:val="0"/>
          <w:i/>
          <w:iCs/>
          <w:sz w:val="24"/>
          <w:szCs w:val="24"/>
          <w:lang w:val="en-US"/>
        </w:rPr>
        <w:t>, 151</w:t>
      </w:r>
      <w:r>
        <w:rPr>
          <w:rStyle w:val="af"/>
          <w:rFonts w:cs="Times New Roman"/>
          <w:b w:val="0"/>
          <w:bCs w:val="0"/>
          <w:sz w:val="24"/>
          <w:szCs w:val="24"/>
          <w:lang w:val="en-US"/>
        </w:rPr>
        <w:t>(2068), 1-2.</w:t>
      </w:r>
    </w:p>
    <w:p w14:paraId="0EEA684E" w14:textId="54BFE542" w:rsidR="00B30383" w:rsidRPr="00BA7676" w:rsidRDefault="00B30383" w:rsidP="00BA7676">
      <w:pPr>
        <w:spacing w:after="0"/>
        <w:ind w:left="567" w:hanging="567"/>
        <w:jc w:val="both"/>
        <w:rPr>
          <w:rStyle w:val="af"/>
          <w:rFonts w:cs="Times New Roman"/>
          <w:b w:val="0"/>
          <w:bCs w:val="0"/>
          <w:sz w:val="24"/>
          <w:szCs w:val="24"/>
          <w:lang w:val="en-US"/>
        </w:rPr>
      </w:pPr>
      <w:proofErr w:type="spellStart"/>
      <w:r w:rsidRPr="00B30383">
        <w:rPr>
          <w:rStyle w:val="af"/>
          <w:rFonts w:cs="Times New Roman"/>
          <w:b w:val="0"/>
          <w:bCs w:val="0"/>
          <w:sz w:val="24"/>
          <w:szCs w:val="24"/>
          <w:lang w:val="en-US"/>
        </w:rPr>
        <w:t>Kotsur</w:t>
      </w:r>
      <w:proofErr w:type="spellEnd"/>
      <w:r w:rsidRPr="00B30383">
        <w:rPr>
          <w:rStyle w:val="af"/>
          <w:rFonts w:cs="Times New Roman"/>
          <w:b w:val="0"/>
          <w:bCs w:val="0"/>
          <w:sz w:val="24"/>
          <w:szCs w:val="24"/>
          <w:lang w:val="en-US"/>
        </w:rPr>
        <w:t xml:space="preserve">, V., </w:t>
      </w:r>
      <w:proofErr w:type="spellStart"/>
      <w:r w:rsidRPr="00B30383">
        <w:rPr>
          <w:rStyle w:val="af"/>
          <w:rFonts w:cs="Times New Roman"/>
          <w:b w:val="0"/>
          <w:bCs w:val="0"/>
          <w:sz w:val="24"/>
          <w:szCs w:val="24"/>
          <w:lang w:val="en-US"/>
        </w:rPr>
        <w:t>Hovpun</w:t>
      </w:r>
      <w:proofErr w:type="spellEnd"/>
      <w:r w:rsidRPr="00B30383">
        <w:rPr>
          <w:rStyle w:val="af"/>
          <w:rFonts w:cs="Times New Roman"/>
          <w:b w:val="0"/>
          <w:bCs w:val="0"/>
          <w:sz w:val="24"/>
          <w:szCs w:val="24"/>
          <w:lang w:val="en-US"/>
        </w:rPr>
        <w:t xml:space="preserve">, O., </w:t>
      </w:r>
      <w:proofErr w:type="spellStart"/>
      <w:r w:rsidRPr="00B30383">
        <w:rPr>
          <w:rStyle w:val="af"/>
          <w:rFonts w:cs="Times New Roman"/>
          <w:b w:val="0"/>
          <w:bCs w:val="0"/>
          <w:sz w:val="24"/>
          <w:szCs w:val="24"/>
          <w:lang w:val="en-US"/>
        </w:rPr>
        <w:t>Podhorets</w:t>
      </w:r>
      <w:proofErr w:type="spellEnd"/>
      <w:r w:rsidRPr="00B30383">
        <w:rPr>
          <w:rStyle w:val="af"/>
          <w:rFonts w:cs="Times New Roman"/>
          <w:b w:val="0"/>
          <w:bCs w:val="0"/>
          <w:sz w:val="24"/>
          <w:szCs w:val="24"/>
          <w:lang w:val="en-US"/>
        </w:rPr>
        <w:t xml:space="preserve">, S., Metil, A., &amp; </w:t>
      </w:r>
      <w:proofErr w:type="spellStart"/>
      <w:r w:rsidRPr="00B30383">
        <w:rPr>
          <w:rStyle w:val="af"/>
          <w:rFonts w:cs="Times New Roman"/>
          <w:b w:val="0"/>
          <w:bCs w:val="0"/>
          <w:sz w:val="24"/>
          <w:szCs w:val="24"/>
          <w:lang w:val="en-US"/>
        </w:rPr>
        <w:t>Chasova</w:t>
      </w:r>
      <w:proofErr w:type="spellEnd"/>
      <w:r w:rsidRPr="00B30383">
        <w:rPr>
          <w:rStyle w:val="af"/>
          <w:rFonts w:cs="Times New Roman"/>
          <w:b w:val="0"/>
          <w:bCs w:val="0"/>
          <w:sz w:val="24"/>
          <w:szCs w:val="24"/>
          <w:lang w:val="en-US"/>
        </w:rPr>
        <w:t xml:space="preserve">, T. (2023). State regulation of anti-corruption activities in Ukraine during martial law. </w:t>
      </w:r>
      <w:r w:rsidRPr="00B30383">
        <w:rPr>
          <w:rStyle w:val="af"/>
          <w:rFonts w:cs="Times New Roman"/>
          <w:b w:val="0"/>
          <w:bCs w:val="0"/>
          <w:i/>
          <w:iCs/>
          <w:sz w:val="24"/>
          <w:szCs w:val="24"/>
          <w:lang w:val="en-US"/>
        </w:rPr>
        <w:t>Journal of International Legal Communication, 11</w:t>
      </w:r>
      <w:r w:rsidRPr="00B30383">
        <w:rPr>
          <w:rStyle w:val="af"/>
          <w:rFonts w:cs="Times New Roman"/>
          <w:b w:val="0"/>
          <w:bCs w:val="0"/>
          <w:sz w:val="24"/>
          <w:szCs w:val="24"/>
          <w:lang w:val="en-US"/>
        </w:rPr>
        <w:t xml:space="preserve">(4), 65-79. </w:t>
      </w:r>
      <w:hyperlink r:id="rId25" w:history="1">
        <w:r w:rsidRPr="00975D6B">
          <w:rPr>
            <w:rStyle w:val="ad"/>
            <w:rFonts w:cs="Times New Roman"/>
            <w:sz w:val="24"/>
            <w:szCs w:val="24"/>
            <w:lang w:val="en-US"/>
          </w:rPr>
          <w:t>https://doi.org/10.32612/uw.27201643.2023.11.4.pp.65-79</w:t>
        </w:r>
      </w:hyperlink>
      <w:r>
        <w:rPr>
          <w:rStyle w:val="af"/>
          <w:rFonts w:cs="Times New Roman"/>
          <w:b w:val="0"/>
          <w:bCs w:val="0"/>
          <w:sz w:val="24"/>
          <w:szCs w:val="24"/>
          <w:lang w:val="en-US"/>
        </w:rPr>
        <w:t xml:space="preserve"> </w:t>
      </w:r>
    </w:p>
    <w:p w14:paraId="6F3992A2" w14:textId="77777777" w:rsidR="007B0A36" w:rsidRPr="00BA7676" w:rsidRDefault="007B0A36" w:rsidP="00BA7676">
      <w:pPr>
        <w:spacing w:after="0"/>
        <w:ind w:left="567" w:hanging="567"/>
        <w:jc w:val="both"/>
        <w:rPr>
          <w:rFonts w:cs="Times New Roman"/>
          <w:sz w:val="24"/>
          <w:szCs w:val="24"/>
          <w:lang w:val="en-US"/>
        </w:rPr>
      </w:pPr>
      <w:r w:rsidRPr="00591A89">
        <w:rPr>
          <w:rFonts w:cs="Times New Roman"/>
          <w:sz w:val="24"/>
          <w:szCs w:val="24"/>
          <w:lang w:val="en-US"/>
        </w:rPr>
        <w:t>Legal Action Worldwide</w:t>
      </w:r>
      <w:r>
        <w:rPr>
          <w:rFonts w:cs="Times New Roman"/>
          <w:sz w:val="24"/>
          <w:szCs w:val="24"/>
          <w:lang w:val="en-US"/>
        </w:rPr>
        <w:t>.</w:t>
      </w:r>
      <w:r w:rsidRPr="00BA7676">
        <w:rPr>
          <w:rFonts w:cs="Times New Roman"/>
          <w:sz w:val="24"/>
          <w:szCs w:val="24"/>
          <w:lang w:val="en-US"/>
        </w:rPr>
        <w:t xml:space="preserve"> (2025). Argentina Court issues arrest warrants for genocide and crimes against humanity committed against the Rohingya community. </w:t>
      </w:r>
      <w:r w:rsidRPr="00BA7676">
        <w:rPr>
          <w:rStyle w:val="af"/>
          <w:rFonts w:cs="Times New Roman"/>
          <w:b w:val="0"/>
          <w:bCs w:val="0"/>
          <w:sz w:val="24"/>
          <w:szCs w:val="24"/>
          <w:lang w:val="en-US"/>
        </w:rPr>
        <w:t xml:space="preserve">Retrieved from </w:t>
      </w:r>
      <w:hyperlink r:id="rId26" w:history="1">
        <w:r w:rsidRPr="00EE7C66">
          <w:rPr>
            <w:rStyle w:val="ad"/>
            <w:rFonts w:cs="Times New Roman"/>
            <w:sz w:val="24"/>
            <w:szCs w:val="24"/>
            <w:lang w:val="en-US"/>
          </w:rPr>
          <w:t>https://reliefweb.int/report/bangladesh/argentina-court-issues-arrest-warrants-genocide-and-crimes-against-humanity-committed-against-rohingya-community</w:t>
        </w:r>
      </w:hyperlink>
      <w:r>
        <w:rPr>
          <w:rStyle w:val="af"/>
          <w:rFonts w:cs="Times New Roman"/>
          <w:b w:val="0"/>
          <w:bCs w:val="0"/>
          <w:sz w:val="24"/>
          <w:szCs w:val="24"/>
          <w:lang w:val="en-US"/>
        </w:rPr>
        <w:t xml:space="preserve"> </w:t>
      </w:r>
    </w:p>
    <w:p w14:paraId="4329F785" w14:textId="77777777" w:rsidR="007B0A36" w:rsidRPr="004E4348" w:rsidRDefault="007B0A36" w:rsidP="00BA7676">
      <w:pPr>
        <w:spacing w:after="0"/>
        <w:ind w:left="567" w:hanging="567"/>
        <w:jc w:val="both"/>
        <w:rPr>
          <w:rFonts w:eastAsia="Times New Roman" w:cs="Times New Roman"/>
          <w:kern w:val="0"/>
          <w:sz w:val="24"/>
          <w:szCs w:val="24"/>
          <w:lang w:val="uk-UA" w:eastAsia="ru-RU"/>
          <w14:ligatures w14:val="none"/>
        </w:rPr>
      </w:pPr>
      <w:r w:rsidRPr="00421548">
        <w:rPr>
          <w:rFonts w:eastAsia="Times New Roman" w:cs="Times New Roman"/>
          <w:kern w:val="0"/>
          <w:sz w:val="24"/>
          <w:szCs w:val="24"/>
          <w:lang w:val="en-US" w:eastAsia="ru-RU"/>
          <w14:ligatures w14:val="none"/>
        </w:rPr>
        <w:t>McGregor, L. (2013). State immunity and human rights: Is there a future after</w:t>
      </w:r>
      <w:r>
        <w:rPr>
          <w:rFonts w:eastAsia="Times New Roman" w:cs="Times New Roman"/>
          <w:kern w:val="0"/>
          <w:sz w:val="24"/>
          <w:szCs w:val="24"/>
          <w:lang w:val="uk-UA" w:eastAsia="ru-RU"/>
          <w14:ligatures w14:val="none"/>
        </w:rPr>
        <w:t xml:space="preserve"> </w:t>
      </w:r>
      <w:r w:rsidRPr="00421548">
        <w:rPr>
          <w:rFonts w:eastAsia="Times New Roman" w:cs="Times New Roman"/>
          <w:kern w:val="0"/>
          <w:sz w:val="24"/>
          <w:szCs w:val="24"/>
          <w:lang w:val="en-US" w:eastAsia="ru-RU"/>
          <w14:ligatures w14:val="none"/>
        </w:rPr>
        <w:t>Germany v. Italy?</w:t>
      </w:r>
      <w:r>
        <w:rPr>
          <w:rFonts w:eastAsia="Times New Roman" w:cs="Times New Roman"/>
          <w:kern w:val="0"/>
          <w:sz w:val="24"/>
          <w:szCs w:val="24"/>
          <w:lang w:val="uk-UA" w:eastAsia="ru-RU"/>
          <w14:ligatures w14:val="none"/>
        </w:rPr>
        <w:t xml:space="preserve"> </w:t>
      </w:r>
      <w:r w:rsidRPr="00421548">
        <w:rPr>
          <w:rFonts w:eastAsia="Times New Roman" w:cs="Times New Roman"/>
          <w:i/>
          <w:iCs/>
          <w:kern w:val="0"/>
          <w:sz w:val="24"/>
          <w:szCs w:val="24"/>
          <w:lang w:val="en-US" w:eastAsia="ru-RU"/>
          <w14:ligatures w14:val="none"/>
        </w:rPr>
        <w:t>Journal of International Criminal Justice, 11</w:t>
      </w:r>
      <w:r w:rsidRPr="007B4413">
        <w:rPr>
          <w:rFonts w:eastAsia="Times New Roman" w:cs="Times New Roman"/>
          <w:kern w:val="0"/>
          <w:sz w:val="24"/>
          <w:szCs w:val="24"/>
          <w:lang w:val="en-US" w:eastAsia="ru-RU"/>
          <w14:ligatures w14:val="none"/>
        </w:rPr>
        <w:t>(</w:t>
      </w:r>
      <w:r w:rsidRPr="00421548">
        <w:rPr>
          <w:rFonts w:eastAsia="Times New Roman" w:cs="Times New Roman"/>
          <w:kern w:val="0"/>
          <w:sz w:val="24"/>
          <w:szCs w:val="24"/>
          <w:lang w:val="en-US" w:eastAsia="ru-RU"/>
          <w14:ligatures w14:val="none"/>
        </w:rPr>
        <w:t>1</w:t>
      </w:r>
      <w:r w:rsidRPr="007B4413">
        <w:rPr>
          <w:rFonts w:eastAsia="Times New Roman" w:cs="Times New Roman"/>
          <w:kern w:val="0"/>
          <w:sz w:val="24"/>
          <w:szCs w:val="24"/>
          <w:lang w:val="en-US" w:eastAsia="ru-RU"/>
          <w14:ligatures w14:val="none"/>
        </w:rPr>
        <w:t xml:space="preserve">), </w:t>
      </w:r>
      <w:r w:rsidRPr="00421548">
        <w:rPr>
          <w:rFonts w:eastAsia="Times New Roman" w:cs="Times New Roman"/>
          <w:kern w:val="0"/>
          <w:sz w:val="24"/>
          <w:szCs w:val="24"/>
          <w:lang w:val="en-US" w:eastAsia="ru-RU"/>
          <w14:ligatures w14:val="none"/>
        </w:rPr>
        <w:t>125–145</w:t>
      </w:r>
      <w:r w:rsidRPr="007B4413">
        <w:rPr>
          <w:rFonts w:eastAsia="Times New Roman" w:cs="Times New Roman"/>
          <w:kern w:val="0"/>
          <w:sz w:val="24"/>
          <w:szCs w:val="24"/>
          <w:lang w:val="en-US" w:eastAsia="ru-RU"/>
          <w14:ligatures w14:val="none"/>
        </w:rPr>
        <w:t>.</w:t>
      </w:r>
      <w:r>
        <w:rPr>
          <w:rFonts w:eastAsia="Times New Roman" w:cs="Times New Roman"/>
          <w:kern w:val="0"/>
          <w:sz w:val="24"/>
          <w:szCs w:val="24"/>
          <w:lang w:val="uk-UA" w:eastAsia="ru-RU"/>
          <w14:ligatures w14:val="none"/>
        </w:rPr>
        <w:t xml:space="preserve"> </w:t>
      </w:r>
      <w:hyperlink r:id="rId27" w:history="1">
        <w:r w:rsidRPr="00EE7C66">
          <w:rPr>
            <w:rStyle w:val="ad"/>
            <w:rFonts w:eastAsia="Times New Roman" w:cs="Times New Roman"/>
            <w:kern w:val="0"/>
            <w:sz w:val="24"/>
            <w:szCs w:val="24"/>
            <w:lang w:val="uk-UA" w:eastAsia="ru-RU"/>
            <w14:ligatures w14:val="none"/>
          </w:rPr>
          <w:t>https://doi.org/10.1093/jicj/mqs081</w:t>
        </w:r>
      </w:hyperlink>
      <w:r>
        <w:rPr>
          <w:rFonts w:eastAsia="Times New Roman" w:cs="Times New Roman"/>
          <w:kern w:val="0"/>
          <w:sz w:val="24"/>
          <w:szCs w:val="24"/>
          <w:lang w:val="uk-UA" w:eastAsia="ru-RU"/>
          <w14:ligatures w14:val="none"/>
        </w:rPr>
        <w:t xml:space="preserve"> </w:t>
      </w:r>
    </w:p>
    <w:p w14:paraId="3C098448" w14:textId="77777777" w:rsidR="007B0A36" w:rsidRDefault="007B0A36" w:rsidP="00BA7676">
      <w:pPr>
        <w:spacing w:after="0"/>
        <w:ind w:left="567" w:hanging="567"/>
        <w:jc w:val="both"/>
        <w:rPr>
          <w:rStyle w:val="ad"/>
          <w:rFonts w:cs="Times New Roman"/>
          <w:color w:val="auto"/>
          <w:sz w:val="24"/>
          <w:szCs w:val="24"/>
          <w:lang w:val="en-US"/>
        </w:rPr>
      </w:pPr>
      <w:r w:rsidRPr="007B4413">
        <w:rPr>
          <w:rStyle w:val="af"/>
          <w:rFonts w:cs="Times New Roman"/>
          <w:b w:val="0"/>
          <w:bCs w:val="0"/>
          <w:sz w:val="24"/>
          <w:szCs w:val="24"/>
          <w:lang w:val="en-US"/>
        </w:rPr>
        <w:lastRenderedPageBreak/>
        <w:t>Ministry of Finance of Ukraine</w:t>
      </w:r>
      <w:r>
        <w:rPr>
          <w:rStyle w:val="af"/>
          <w:rFonts w:cs="Times New Roman"/>
          <w:b w:val="0"/>
          <w:bCs w:val="0"/>
          <w:sz w:val="24"/>
          <w:szCs w:val="24"/>
          <w:lang w:val="en-US"/>
        </w:rPr>
        <w:t>.</w:t>
      </w:r>
      <w:r w:rsidRPr="007B4413">
        <w:rPr>
          <w:rStyle w:val="af"/>
          <w:rFonts w:cs="Times New Roman"/>
          <w:b w:val="0"/>
          <w:bCs w:val="0"/>
          <w:sz w:val="24"/>
          <w:szCs w:val="24"/>
          <w:lang w:val="en-US"/>
        </w:rPr>
        <w:t xml:space="preserve"> (2024). European Commission proposal: EUR 35 billion in EU macro-financial assistance on a non-refundable basis. </w:t>
      </w:r>
      <w:r>
        <w:rPr>
          <w:rStyle w:val="af"/>
          <w:rFonts w:cs="Times New Roman"/>
          <w:b w:val="0"/>
          <w:bCs w:val="0"/>
          <w:i/>
          <w:iCs/>
          <w:sz w:val="24"/>
          <w:szCs w:val="24"/>
          <w:lang w:val="en-US"/>
        </w:rPr>
        <w:t xml:space="preserve">Government Portal. </w:t>
      </w:r>
      <w:r w:rsidRPr="007B4413">
        <w:rPr>
          <w:rStyle w:val="af"/>
          <w:rFonts w:cs="Times New Roman"/>
          <w:b w:val="0"/>
          <w:bCs w:val="0"/>
          <w:sz w:val="24"/>
          <w:szCs w:val="24"/>
          <w:lang w:val="en-US"/>
        </w:rPr>
        <w:t xml:space="preserve">Retrieved from </w:t>
      </w:r>
      <w:hyperlink r:id="rId28" w:history="1">
        <w:r w:rsidRPr="007B4413">
          <w:rPr>
            <w:rStyle w:val="ad"/>
            <w:rFonts w:cs="Times New Roman"/>
            <w:color w:val="auto"/>
            <w:sz w:val="24"/>
            <w:szCs w:val="24"/>
            <w:lang w:val="en-US"/>
          </w:rPr>
          <w:t>https://www.kmu.gov.ua/en/news/propozytsiia-ievrokomisii-35-mlrd-ievro-makrofinansovoi-dopomohy-dlia-ukrainy-na-bezpovorotnii-osnovi</w:t>
        </w:r>
      </w:hyperlink>
    </w:p>
    <w:p w14:paraId="185201C8" w14:textId="6D9B7E0A" w:rsidR="00421548" w:rsidRPr="007B4413" w:rsidRDefault="00421548" w:rsidP="00BA7676">
      <w:pPr>
        <w:spacing w:after="0"/>
        <w:ind w:left="567" w:hanging="567"/>
        <w:jc w:val="both"/>
        <w:rPr>
          <w:rStyle w:val="af"/>
          <w:rFonts w:cs="Times New Roman"/>
          <w:b w:val="0"/>
          <w:bCs w:val="0"/>
          <w:sz w:val="24"/>
          <w:szCs w:val="24"/>
          <w:lang w:val="en-US"/>
        </w:rPr>
      </w:pPr>
      <w:proofErr w:type="spellStart"/>
      <w:r w:rsidRPr="00421548">
        <w:rPr>
          <w:rStyle w:val="af"/>
          <w:rFonts w:cs="Times New Roman"/>
          <w:b w:val="0"/>
          <w:bCs w:val="0"/>
          <w:sz w:val="24"/>
          <w:szCs w:val="24"/>
          <w:lang w:val="en-US"/>
        </w:rPr>
        <w:t>Omelchuk</w:t>
      </w:r>
      <w:proofErr w:type="spellEnd"/>
      <w:r w:rsidRPr="00421548">
        <w:rPr>
          <w:rStyle w:val="af"/>
          <w:rFonts w:cs="Times New Roman"/>
          <w:b w:val="0"/>
          <w:bCs w:val="0"/>
          <w:sz w:val="24"/>
          <w:szCs w:val="24"/>
          <w:lang w:val="en-US"/>
        </w:rPr>
        <w:t xml:space="preserve">, O. M., </w:t>
      </w:r>
      <w:proofErr w:type="spellStart"/>
      <w:r w:rsidRPr="00421548">
        <w:rPr>
          <w:rStyle w:val="af"/>
          <w:rFonts w:cs="Times New Roman"/>
          <w:b w:val="0"/>
          <w:bCs w:val="0"/>
          <w:sz w:val="24"/>
          <w:szCs w:val="24"/>
          <w:lang w:val="en-US"/>
        </w:rPr>
        <w:t>Haiur</w:t>
      </w:r>
      <w:proofErr w:type="spellEnd"/>
      <w:r w:rsidRPr="00421548">
        <w:rPr>
          <w:rStyle w:val="af"/>
          <w:rFonts w:cs="Times New Roman"/>
          <w:b w:val="0"/>
          <w:bCs w:val="0"/>
          <w:sz w:val="24"/>
          <w:szCs w:val="24"/>
          <w:lang w:val="en-US"/>
        </w:rPr>
        <w:t xml:space="preserve">, I. Y., </w:t>
      </w:r>
      <w:proofErr w:type="spellStart"/>
      <w:r w:rsidRPr="00421548">
        <w:rPr>
          <w:rStyle w:val="af"/>
          <w:rFonts w:cs="Times New Roman"/>
          <w:b w:val="0"/>
          <w:bCs w:val="0"/>
          <w:sz w:val="24"/>
          <w:szCs w:val="24"/>
          <w:lang w:val="en-US"/>
        </w:rPr>
        <w:t>Kozytska</w:t>
      </w:r>
      <w:proofErr w:type="spellEnd"/>
      <w:r w:rsidRPr="00421548">
        <w:rPr>
          <w:rStyle w:val="af"/>
          <w:rFonts w:cs="Times New Roman"/>
          <w:b w:val="0"/>
          <w:bCs w:val="0"/>
          <w:sz w:val="24"/>
          <w:szCs w:val="24"/>
          <w:lang w:val="en-US"/>
        </w:rPr>
        <w:t xml:space="preserve">, O. G., </w:t>
      </w:r>
      <w:proofErr w:type="spellStart"/>
      <w:r w:rsidRPr="00421548">
        <w:rPr>
          <w:rStyle w:val="af"/>
          <w:rFonts w:cs="Times New Roman"/>
          <w:b w:val="0"/>
          <w:bCs w:val="0"/>
          <w:sz w:val="24"/>
          <w:szCs w:val="24"/>
          <w:lang w:val="en-US"/>
        </w:rPr>
        <w:t>Prysiazhna</w:t>
      </w:r>
      <w:proofErr w:type="spellEnd"/>
      <w:r w:rsidRPr="00421548">
        <w:rPr>
          <w:rStyle w:val="af"/>
          <w:rFonts w:cs="Times New Roman"/>
          <w:b w:val="0"/>
          <w:bCs w:val="0"/>
          <w:sz w:val="24"/>
          <w:szCs w:val="24"/>
          <w:lang w:val="en-US"/>
        </w:rPr>
        <w:t xml:space="preserve">, A. V., &amp; </w:t>
      </w:r>
      <w:proofErr w:type="spellStart"/>
      <w:r w:rsidRPr="00421548">
        <w:rPr>
          <w:rStyle w:val="af"/>
          <w:rFonts w:cs="Times New Roman"/>
          <w:b w:val="0"/>
          <w:bCs w:val="0"/>
          <w:sz w:val="24"/>
          <w:szCs w:val="24"/>
          <w:lang w:val="en-US"/>
        </w:rPr>
        <w:t>Khmelevska</w:t>
      </w:r>
      <w:proofErr w:type="spellEnd"/>
      <w:r w:rsidRPr="00421548">
        <w:rPr>
          <w:rStyle w:val="af"/>
          <w:rFonts w:cs="Times New Roman"/>
          <w:b w:val="0"/>
          <w:bCs w:val="0"/>
          <w:sz w:val="24"/>
          <w:szCs w:val="24"/>
          <w:lang w:val="en-US"/>
        </w:rPr>
        <w:t xml:space="preserve">, N. V. (2022). Analysis of the activities of law enforcement authorities in the field of combating crime and corruption offences. </w:t>
      </w:r>
      <w:r w:rsidRPr="00421548">
        <w:rPr>
          <w:rStyle w:val="af"/>
          <w:rFonts w:cs="Times New Roman"/>
          <w:b w:val="0"/>
          <w:bCs w:val="0"/>
          <w:i/>
          <w:iCs/>
          <w:sz w:val="24"/>
          <w:szCs w:val="24"/>
          <w:lang w:val="en-US"/>
        </w:rPr>
        <w:t>Journal of Money Laundering Control, 25</w:t>
      </w:r>
      <w:r w:rsidRPr="00421548">
        <w:rPr>
          <w:rStyle w:val="af"/>
          <w:rFonts w:cs="Times New Roman"/>
          <w:b w:val="0"/>
          <w:bCs w:val="0"/>
          <w:sz w:val="24"/>
          <w:szCs w:val="24"/>
          <w:lang w:val="en-US"/>
        </w:rPr>
        <w:t>(3), 700</w:t>
      </w:r>
      <w:r>
        <w:rPr>
          <w:rStyle w:val="af"/>
          <w:rFonts w:cs="Times New Roman"/>
          <w:b w:val="0"/>
          <w:bCs w:val="0"/>
          <w:sz w:val="24"/>
          <w:szCs w:val="24"/>
          <w:lang w:val="en-US"/>
        </w:rPr>
        <w:t>–</w:t>
      </w:r>
      <w:r w:rsidRPr="00421548">
        <w:rPr>
          <w:rStyle w:val="af"/>
          <w:rFonts w:cs="Times New Roman"/>
          <w:b w:val="0"/>
          <w:bCs w:val="0"/>
          <w:sz w:val="24"/>
          <w:szCs w:val="24"/>
          <w:lang w:val="en-US"/>
        </w:rPr>
        <w:t xml:space="preserve">716. </w:t>
      </w:r>
      <w:hyperlink r:id="rId29" w:history="1">
        <w:r w:rsidRPr="00975D6B">
          <w:rPr>
            <w:rStyle w:val="ad"/>
            <w:rFonts w:cs="Times New Roman"/>
            <w:sz w:val="24"/>
            <w:szCs w:val="24"/>
            <w:lang w:val="en-US"/>
          </w:rPr>
          <w:t>https://doi.org/10.1108/JMLC-07-2021-0073</w:t>
        </w:r>
      </w:hyperlink>
      <w:r>
        <w:rPr>
          <w:rStyle w:val="af"/>
          <w:rFonts w:cs="Times New Roman"/>
          <w:b w:val="0"/>
          <w:bCs w:val="0"/>
          <w:sz w:val="24"/>
          <w:szCs w:val="24"/>
          <w:lang w:val="en-US"/>
        </w:rPr>
        <w:t xml:space="preserve"> </w:t>
      </w:r>
    </w:p>
    <w:p w14:paraId="54248543"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Fonts w:cs="Times New Roman"/>
          <w:sz w:val="24"/>
          <w:szCs w:val="24"/>
          <w:lang w:val="en-US"/>
        </w:rPr>
        <w:t xml:space="preserve">Oniani, T. (2024). Georgia 2008 war: </w:t>
      </w:r>
      <w:r>
        <w:rPr>
          <w:rFonts w:cs="Times New Roman"/>
          <w:sz w:val="24"/>
          <w:szCs w:val="24"/>
          <w:lang w:val="en-US"/>
        </w:rPr>
        <w:t>W</w:t>
      </w:r>
      <w:r w:rsidRPr="00BA7676">
        <w:rPr>
          <w:rFonts w:cs="Times New Roman"/>
          <w:sz w:val="24"/>
          <w:szCs w:val="24"/>
          <w:lang w:val="en-US"/>
        </w:rPr>
        <w:t xml:space="preserve">hen Russia won’t pay victims, solutions still exist. </w:t>
      </w:r>
      <w:proofErr w:type="spellStart"/>
      <w:r w:rsidRPr="00BA7676">
        <w:rPr>
          <w:rFonts w:cs="Times New Roman"/>
          <w:i/>
          <w:iCs/>
          <w:sz w:val="24"/>
          <w:szCs w:val="24"/>
          <w:lang w:val="en-US"/>
        </w:rPr>
        <w:t>JusticeInfo</w:t>
      </w:r>
      <w:proofErr w:type="spellEnd"/>
      <w:r w:rsidRPr="00BA7676">
        <w:rPr>
          <w:rFonts w:cs="Times New Roman"/>
          <w:sz w:val="24"/>
          <w:szCs w:val="24"/>
          <w:lang w:val="en-US"/>
        </w:rPr>
        <w:t>.</w:t>
      </w:r>
      <w:r w:rsidRPr="00BA7676">
        <w:rPr>
          <w:rStyle w:val="af"/>
          <w:rFonts w:cs="Times New Roman"/>
          <w:b w:val="0"/>
          <w:bCs w:val="0"/>
          <w:sz w:val="24"/>
          <w:szCs w:val="24"/>
          <w:lang w:val="en-US"/>
        </w:rPr>
        <w:t xml:space="preserve"> Retrieved from https://www.justiceinfo.net/en/134838-georgia-2008-war-when-russia-wont-pay-victims-solutions-still-exist.html</w:t>
      </w:r>
    </w:p>
    <w:p w14:paraId="181943A5" w14:textId="77777777" w:rsidR="007B0A36" w:rsidRPr="00D7342A" w:rsidRDefault="007B0A36" w:rsidP="00BA7676">
      <w:pPr>
        <w:spacing w:after="0"/>
        <w:ind w:left="567" w:hanging="567"/>
        <w:jc w:val="both"/>
        <w:rPr>
          <w:rStyle w:val="ad"/>
          <w:rFonts w:cs="Times New Roman"/>
          <w:color w:val="auto"/>
          <w:sz w:val="24"/>
          <w:szCs w:val="24"/>
          <w:lang w:val="en-US"/>
        </w:rPr>
      </w:pPr>
      <w:r w:rsidRPr="00D7342A">
        <w:rPr>
          <w:rFonts w:cs="Times New Roman"/>
          <w:sz w:val="24"/>
          <w:szCs w:val="24"/>
          <w:lang w:val="en-US"/>
        </w:rPr>
        <w:t>Parliament of Canada</w:t>
      </w:r>
      <w:r>
        <w:rPr>
          <w:rFonts w:cs="Times New Roman"/>
          <w:sz w:val="24"/>
          <w:szCs w:val="24"/>
          <w:lang w:val="en-US"/>
        </w:rPr>
        <w:t xml:space="preserve">. </w:t>
      </w:r>
      <w:r w:rsidRPr="00D7342A">
        <w:rPr>
          <w:rFonts w:cs="Times New Roman"/>
          <w:sz w:val="24"/>
          <w:szCs w:val="24"/>
          <w:lang w:val="en-US"/>
        </w:rPr>
        <w:t>(1992)</w:t>
      </w:r>
      <w:r w:rsidRPr="00D7342A">
        <w:rPr>
          <w:rFonts w:cs="Times New Roman"/>
          <w:sz w:val="24"/>
          <w:szCs w:val="24"/>
          <w:lang w:val="uk-UA"/>
        </w:rPr>
        <w:t xml:space="preserve">. </w:t>
      </w:r>
      <w:r w:rsidRPr="00D7342A">
        <w:rPr>
          <w:rFonts w:cs="Times New Roman"/>
          <w:sz w:val="24"/>
          <w:szCs w:val="24"/>
          <w:lang w:val="en-US"/>
        </w:rPr>
        <w:t>Special Economic Measures Act</w:t>
      </w:r>
      <w:r>
        <w:rPr>
          <w:rFonts w:cs="Times New Roman"/>
          <w:sz w:val="24"/>
          <w:szCs w:val="24"/>
          <w:lang w:val="en-US"/>
        </w:rPr>
        <w:t>.</w:t>
      </w:r>
      <w:r w:rsidRPr="00D7342A">
        <w:rPr>
          <w:rFonts w:cs="Times New Roman"/>
          <w:sz w:val="24"/>
          <w:szCs w:val="24"/>
          <w:lang w:val="en-US"/>
        </w:rPr>
        <w:t xml:space="preserve"> </w:t>
      </w:r>
      <w:r w:rsidRPr="00D7342A">
        <w:rPr>
          <w:rStyle w:val="af"/>
          <w:rFonts w:cs="Times New Roman"/>
          <w:b w:val="0"/>
          <w:bCs w:val="0"/>
          <w:sz w:val="24"/>
          <w:szCs w:val="24"/>
          <w:lang w:val="en-US"/>
        </w:rPr>
        <w:t xml:space="preserve">Retrieved from </w:t>
      </w:r>
      <w:hyperlink r:id="rId30" w:history="1">
        <w:r w:rsidRPr="00EE7C66">
          <w:rPr>
            <w:rStyle w:val="ad"/>
            <w:rFonts w:cs="Times New Roman"/>
            <w:sz w:val="24"/>
            <w:szCs w:val="24"/>
            <w:lang w:val="uk-UA"/>
          </w:rPr>
          <w:t>https://laws-lois.justice.gc.ca/eng/acts/s-14.5/page-1.html</w:t>
        </w:r>
      </w:hyperlink>
      <w:r>
        <w:rPr>
          <w:rFonts w:cs="Times New Roman"/>
          <w:sz w:val="24"/>
          <w:szCs w:val="24"/>
          <w:lang w:val="en-US"/>
        </w:rPr>
        <w:t xml:space="preserve"> </w:t>
      </w:r>
    </w:p>
    <w:p w14:paraId="1C44BE6D"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Peters, A. (20</w:t>
      </w:r>
      <w:r>
        <w:rPr>
          <w:rStyle w:val="af"/>
          <w:rFonts w:cs="Times New Roman"/>
          <w:b w:val="0"/>
          <w:bCs w:val="0"/>
          <w:sz w:val="24"/>
          <w:szCs w:val="24"/>
          <w:lang w:val="en-US"/>
        </w:rPr>
        <w:t>0</w:t>
      </w:r>
      <w:r w:rsidRPr="00BA7676">
        <w:rPr>
          <w:rStyle w:val="af"/>
          <w:rFonts w:cs="Times New Roman"/>
          <w:b w:val="0"/>
          <w:bCs w:val="0"/>
          <w:sz w:val="24"/>
          <w:szCs w:val="24"/>
          <w:lang w:val="en-US"/>
        </w:rPr>
        <w:t xml:space="preserve">9). Humanity as the A and Omega of sovereignty. </w:t>
      </w:r>
      <w:r w:rsidRPr="00BA7676">
        <w:rPr>
          <w:rStyle w:val="af"/>
          <w:rFonts w:cs="Times New Roman"/>
          <w:b w:val="0"/>
          <w:bCs w:val="0"/>
          <w:i/>
          <w:iCs/>
          <w:sz w:val="24"/>
          <w:szCs w:val="24"/>
          <w:lang w:val="en-US"/>
        </w:rPr>
        <w:t>European Journal of International Law</w:t>
      </w:r>
      <w:r w:rsidRPr="00EF4B9D">
        <w:rPr>
          <w:rStyle w:val="af"/>
          <w:rFonts w:cs="Times New Roman"/>
          <w:b w:val="0"/>
          <w:bCs w:val="0"/>
          <w:sz w:val="24"/>
          <w:szCs w:val="24"/>
          <w:lang w:val="en-US"/>
        </w:rPr>
        <w:t>, 30</w:t>
      </w:r>
      <w:r w:rsidRPr="00BA7676">
        <w:rPr>
          <w:rStyle w:val="af"/>
          <w:rFonts w:cs="Times New Roman"/>
          <w:b w:val="0"/>
          <w:bCs w:val="0"/>
          <w:sz w:val="24"/>
          <w:szCs w:val="24"/>
          <w:lang w:val="en-US"/>
        </w:rPr>
        <w:t>(2), 513–544.</w:t>
      </w:r>
      <w:r>
        <w:rPr>
          <w:rStyle w:val="af"/>
          <w:rFonts w:cs="Times New Roman"/>
          <w:b w:val="0"/>
          <w:bCs w:val="0"/>
          <w:sz w:val="24"/>
          <w:szCs w:val="24"/>
          <w:lang w:val="en-US"/>
        </w:rPr>
        <w:t xml:space="preserve"> </w:t>
      </w:r>
      <w:hyperlink r:id="rId31" w:history="1">
        <w:r w:rsidRPr="00EE7C66">
          <w:rPr>
            <w:rStyle w:val="ad"/>
            <w:rFonts w:cs="Times New Roman"/>
            <w:sz w:val="24"/>
            <w:szCs w:val="24"/>
            <w:lang w:val="en-US"/>
          </w:rPr>
          <w:t>https://dx.doi.org/10.1093/ejil/chp026</w:t>
        </w:r>
      </w:hyperlink>
      <w:r>
        <w:rPr>
          <w:rStyle w:val="af"/>
          <w:rFonts w:cs="Times New Roman"/>
          <w:b w:val="0"/>
          <w:bCs w:val="0"/>
          <w:sz w:val="24"/>
          <w:szCs w:val="24"/>
          <w:lang w:val="en-US"/>
        </w:rPr>
        <w:t xml:space="preserve"> </w:t>
      </w:r>
    </w:p>
    <w:p w14:paraId="144A18E4"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Fonts w:cs="Times New Roman"/>
          <w:sz w:val="24"/>
          <w:szCs w:val="24"/>
          <w:lang w:val="en-US"/>
        </w:rPr>
        <w:t xml:space="preserve">Petrossian, G. (2024). Legal battles over Nagorno-Karabakh: A review of the jurisprudence to date. </w:t>
      </w:r>
      <w:r w:rsidRPr="00BA7676">
        <w:rPr>
          <w:rFonts w:cs="Times New Roman"/>
          <w:i/>
          <w:iCs/>
          <w:sz w:val="24"/>
          <w:szCs w:val="24"/>
          <w:lang w:val="en-US"/>
        </w:rPr>
        <w:t>American Society of International Law</w:t>
      </w:r>
      <w:r w:rsidRPr="00BA7676">
        <w:rPr>
          <w:rFonts w:cs="Times New Roman"/>
          <w:sz w:val="24"/>
          <w:szCs w:val="24"/>
          <w:lang w:val="en-US"/>
        </w:rPr>
        <w:t xml:space="preserve">, </w:t>
      </w:r>
      <w:r w:rsidRPr="00BA7676">
        <w:rPr>
          <w:rFonts w:cs="Times New Roman"/>
          <w:i/>
          <w:iCs/>
          <w:sz w:val="24"/>
          <w:szCs w:val="24"/>
          <w:lang w:val="en-US"/>
        </w:rPr>
        <w:t>28</w:t>
      </w:r>
      <w:r w:rsidRPr="00BA7676">
        <w:rPr>
          <w:rFonts w:cs="Times New Roman"/>
          <w:sz w:val="24"/>
          <w:szCs w:val="24"/>
          <w:lang w:val="en-US"/>
        </w:rPr>
        <w:t>(11)</w:t>
      </w:r>
      <w:r>
        <w:rPr>
          <w:rFonts w:cs="Times New Roman"/>
          <w:sz w:val="24"/>
          <w:szCs w:val="24"/>
          <w:lang w:val="en-US"/>
        </w:rPr>
        <w:t>, 1–7.</w:t>
      </w:r>
      <w:r w:rsidRPr="00BA7676">
        <w:rPr>
          <w:rFonts w:cs="Times New Roman"/>
          <w:sz w:val="24"/>
          <w:szCs w:val="24"/>
          <w:lang w:val="en-US"/>
        </w:rPr>
        <w:t xml:space="preserve"> </w:t>
      </w:r>
    </w:p>
    <w:p w14:paraId="79A9ACA1" w14:textId="77777777" w:rsidR="007B0A36" w:rsidRDefault="007B0A36" w:rsidP="00BA7676">
      <w:pPr>
        <w:spacing w:after="0"/>
        <w:ind w:left="567" w:hanging="567"/>
        <w:jc w:val="both"/>
        <w:rPr>
          <w:rStyle w:val="af"/>
          <w:rFonts w:cs="Times New Roman"/>
          <w:b w:val="0"/>
          <w:bCs w:val="0"/>
          <w:sz w:val="24"/>
          <w:szCs w:val="24"/>
          <w:lang w:val="uk-UA"/>
        </w:rPr>
      </w:pPr>
      <w:r w:rsidRPr="00BA7676">
        <w:rPr>
          <w:rStyle w:val="af"/>
          <w:rFonts w:cs="Times New Roman"/>
          <w:b w:val="0"/>
          <w:bCs w:val="0"/>
          <w:sz w:val="24"/>
          <w:szCs w:val="24"/>
          <w:lang w:val="en-US"/>
        </w:rPr>
        <w:t xml:space="preserve">Pimenova, </w:t>
      </w:r>
      <w:proofErr w:type="spellStart"/>
      <w:r w:rsidRPr="00BA7676">
        <w:rPr>
          <w:rStyle w:val="af"/>
          <w:rFonts w:cs="Times New Roman"/>
          <w:b w:val="0"/>
          <w:bCs w:val="0"/>
          <w:sz w:val="24"/>
          <w:szCs w:val="24"/>
          <w:lang w:val="en-US"/>
        </w:rPr>
        <w:t>A.Yu</w:t>
      </w:r>
      <w:proofErr w:type="spellEnd"/>
      <w:r w:rsidRPr="00BA7676">
        <w:rPr>
          <w:rStyle w:val="af"/>
          <w:rFonts w:cs="Times New Roman"/>
          <w:b w:val="0"/>
          <w:bCs w:val="0"/>
          <w:sz w:val="24"/>
          <w:szCs w:val="24"/>
          <w:lang w:val="en-US"/>
        </w:rPr>
        <w:t xml:space="preserve">. (2025). Ensuring the rights of victims in international criminal proceedings. </w:t>
      </w:r>
      <w:r w:rsidRPr="00702F85">
        <w:rPr>
          <w:rStyle w:val="af"/>
          <w:rFonts w:cs="Times New Roman"/>
          <w:b w:val="0"/>
          <w:bCs w:val="0"/>
          <w:i/>
          <w:iCs/>
          <w:sz w:val="24"/>
          <w:szCs w:val="24"/>
          <w:lang w:val="en-US"/>
        </w:rPr>
        <w:t>Uzhhorod National University Herald</w:t>
      </w:r>
      <w:r>
        <w:rPr>
          <w:rStyle w:val="af"/>
          <w:rFonts w:cs="Times New Roman"/>
          <w:b w:val="0"/>
          <w:bCs w:val="0"/>
          <w:i/>
          <w:iCs/>
          <w:sz w:val="24"/>
          <w:szCs w:val="24"/>
          <w:lang w:val="en-US"/>
        </w:rPr>
        <w:t>, 4</w:t>
      </w:r>
      <w:r>
        <w:rPr>
          <w:rStyle w:val="af"/>
          <w:rFonts w:cs="Times New Roman"/>
          <w:b w:val="0"/>
          <w:bCs w:val="0"/>
          <w:sz w:val="24"/>
          <w:szCs w:val="24"/>
          <w:lang w:val="en-US"/>
        </w:rPr>
        <w:t>(88)</w:t>
      </w:r>
      <w:r w:rsidRPr="00BA7676">
        <w:rPr>
          <w:rStyle w:val="af"/>
          <w:rFonts w:cs="Times New Roman"/>
          <w:b w:val="0"/>
          <w:bCs w:val="0"/>
          <w:sz w:val="24"/>
          <w:szCs w:val="24"/>
          <w:lang w:val="en-US"/>
        </w:rPr>
        <w:t>, 128–13</w:t>
      </w:r>
      <w:r>
        <w:rPr>
          <w:rStyle w:val="af"/>
          <w:rFonts w:cs="Times New Roman"/>
          <w:b w:val="0"/>
          <w:bCs w:val="0"/>
          <w:sz w:val="24"/>
          <w:szCs w:val="24"/>
          <w:lang w:val="en-US"/>
        </w:rPr>
        <w:t>4</w:t>
      </w:r>
      <w:r w:rsidRPr="00BA7676">
        <w:rPr>
          <w:rStyle w:val="af"/>
          <w:rFonts w:cs="Times New Roman"/>
          <w:b w:val="0"/>
          <w:bCs w:val="0"/>
          <w:sz w:val="24"/>
          <w:szCs w:val="24"/>
          <w:lang w:val="en-US"/>
        </w:rPr>
        <w:t>.</w:t>
      </w:r>
      <w:r>
        <w:rPr>
          <w:rStyle w:val="af"/>
          <w:rFonts w:cs="Times New Roman"/>
          <w:b w:val="0"/>
          <w:bCs w:val="0"/>
          <w:sz w:val="24"/>
          <w:szCs w:val="24"/>
          <w:lang w:val="en-US"/>
        </w:rPr>
        <w:t xml:space="preserve"> </w:t>
      </w:r>
      <w:hyperlink r:id="rId32" w:history="1">
        <w:r w:rsidRPr="00EE7C66">
          <w:rPr>
            <w:rStyle w:val="ad"/>
            <w:rFonts w:cs="Times New Roman"/>
            <w:sz w:val="24"/>
            <w:szCs w:val="24"/>
            <w:lang w:val="en-US"/>
          </w:rPr>
          <w:t>https://doi.org/10.24144/2307-3322.2025.88.4.19</w:t>
        </w:r>
      </w:hyperlink>
      <w:r>
        <w:rPr>
          <w:rStyle w:val="af"/>
          <w:rFonts w:cs="Times New Roman"/>
          <w:b w:val="0"/>
          <w:bCs w:val="0"/>
          <w:sz w:val="24"/>
          <w:szCs w:val="24"/>
          <w:lang w:val="en-US"/>
        </w:rPr>
        <w:t xml:space="preserve"> </w:t>
      </w:r>
    </w:p>
    <w:p w14:paraId="42785A42" w14:textId="783A058B" w:rsidR="001A2F8A" w:rsidRPr="001A2F8A" w:rsidRDefault="001A2F8A" w:rsidP="00BA7676">
      <w:pPr>
        <w:spacing w:after="0"/>
        <w:ind w:left="567" w:hanging="567"/>
        <w:jc w:val="both"/>
        <w:rPr>
          <w:rStyle w:val="af"/>
          <w:rFonts w:cs="Times New Roman"/>
          <w:b w:val="0"/>
          <w:bCs w:val="0"/>
          <w:sz w:val="24"/>
          <w:szCs w:val="24"/>
          <w:lang w:val="uk-UA"/>
        </w:rPr>
      </w:pPr>
      <w:proofErr w:type="spellStart"/>
      <w:r w:rsidRPr="001A2F8A">
        <w:rPr>
          <w:rStyle w:val="af"/>
          <w:rFonts w:cs="Times New Roman"/>
          <w:b w:val="0"/>
          <w:bCs w:val="0"/>
          <w:sz w:val="24"/>
          <w:szCs w:val="24"/>
          <w:lang w:val="uk-UA"/>
        </w:rPr>
        <w:t>Shatilo</w:t>
      </w:r>
      <w:proofErr w:type="spellEnd"/>
      <w:r w:rsidRPr="001A2F8A">
        <w:rPr>
          <w:rStyle w:val="af"/>
          <w:rFonts w:cs="Times New Roman"/>
          <w:b w:val="0"/>
          <w:bCs w:val="0"/>
          <w:sz w:val="24"/>
          <w:szCs w:val="24"/>
          <w:lang w:val="uk-UA"/>
        </w:rPr>
        <w:t xml:space="preserve">, V. A., </w:t>
      </w:r>
      <w:proofErr w:type="spellStart"/>
      <w:r w:rsidRPr="001A2F8A">
        <w:rPr>
          <w:rStyle w:val="af"/>
          <w:rFonts w:cs="Times New Roman"/>
          <w:b w:val="0"/>
          <w:bCs w:val="0"/>
          <w:sz w:val="24"/>
          <w:szCs w:val="24"/>
          <w:lang w:val="uk-UA"/>
        </w:rPr>
        <w:t>Kharytonov</w:t>
      </w:r>
      <w:proofErr w:type="spellEnd"/>
      <w:r w:rsidRPr="001A2F8A">
        <w:rPr>
          <w:rStyle w:val="af"/>
          <w:rFonts w:cs="Times New Roman"/>
          <w:b w:val="0"/>
          <w:bCs w:val="0"/>
          <w:sz w:val="24"/>
          <w:szCs w:val="24"/>
          <w:lang w:val="uk-UA"/>
        </w:rPr>
        <w:t xml:space="preserve">, S. O., </w:t>
      </w:r>
      <w:proofErr w:type="spellStart"/>
      <w:r w:rsidRPr="001A2F8A">
        <w:rPr>
          <w:rStyle w:val="af"/>
          <w:rFonts w:cs="Times New Roman"/>
          <w:b w:val="0"/>
          <w:bCs w:val="0"/>
          <w:sz w:val="24"/>
          <w:szCs w:val="24"/>
          <w:lang w:val="uk-UA"/>
        </w:rPr>
        <w:t>Kovbasa</w:t>
      </w:r>
      <w:proofErr w:type="spellEnd"/>
      <w:r w:rsidRPr="001A2F8A">
        <w:rPr>
          <w:rStyle w:val="af"/>
          <w:rFonts w:cs="Times New Roman"/>
          <w:b w:val="0"/>
          <w:bCs w:val="0"/>
          <w:sz w:val="24"/>
          <w:szCs w:val="24"/>
          <w:lang w:val="uk-UA"/>
        </w:rPr>
        <w:t xml:space="preserve">, V. M., </w:t>
      </w:r>
      <w:proofErr w:type="spellStart"/>
      <w:r w:rsidRPr="001A2F8A">
        <w:rPr>
          <w:rStyle w:val="af"/>
          <w:rFonts w:cs="Times New Roman"/>
          <w:b w:val="0"/>
          <w:bCs w:val="0"/>
          <w:sz w:val="24"/>
          <w:szCs w:val="24"/>
          <w:lang w:val="uk-UA"/>
        </w:rPr>
        <w:t>Svintsytskyi</w:t>
      </w:r>
      <w:proofErr w:type="spellEnd"/>
      <w:r w:rsidRPr="001A2F8A">
        <w:rPr>
          <w:rStyle w:val="af"/>
          <w:rFonts w:cs="Times New Roman"/>
          <w:b w:val="0"/>
          <w:bCs w:val="0"/>
          <w:sz w:val="24"/>
          <w:szCs w:val="24"/>
          <w:lang w:val="uk-UA"/>
        </w:rPr>
        <w:t xml:space="preserve">, A. V., &amp; </w:t>
      </w:r>
      <w:proofErr w:type="spellStart"/>
      <w:r w:rsidRPr="001A2F8A">
        <w:rPr>
          <w:rStyle w:val="af"/>
          <w:rFonts w:cs="Times New Roman"/>
          <w:b w:val="0"/>
          <w:bCs w:val="0"/>
          <w:sz w:val="24"/>
          <w:szCs w:val="24"/>
          <w:lang w:val="uk-UA"/>
        </w:rPr>
        <w:t>Lyseiuk</w:t>
      </w:r>
      <w:proofErr w:type="spellEnd"/>
      <w:r w:rsidRPr="001A2F8A">
        <w:rPr>
          <w:rStyle w:val="af"/>
          <w:rFonts w:cs="Times New Roman"/>
          <w:b w:val="0"/>
          <w:bCs w:val="0"/>
          <w:sz w:val="24"/>
          <w:szCs w:val="24"/>
          <w:lang w:val="uk-UA"/>
        </w:rPr>
        <w:t xml:space="preserve">, A. M. (2023). </w:t>
      </w:r>
      <w:proofErr w:type="spellStart"/>
      <w:r w:rsidRPr="001A2F8A">
        <w:rPr>
          <w:rStyle w:val="af"/>
          <w:rFonts w:cs="Times New Roman"/>
          <w:b w:val="0"/>
          <w:bCs w:val="0"/>
          <w:sz w:val="24"/>
          <w:szCs w:val="24"/>
          <w:lang w:val="uk-UA"/>
        </w:rPr>
        <w:t>Prospects</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for</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state</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and</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individual</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responsibility</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in</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cases</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of</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aggression</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in</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the</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context</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of</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Russia's</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armed</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aggression</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against</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sz w:val="24"/>
          <w:szCs w:val="24"/>
          <w:lang w:val="uk-UA"/>
        </w:rPr>
        <w:t>Ukraine</w:t>
      </w:r>
      <w:proofErr w:type="spellEnd"/>
      <w:r w:rsidRPr="001A2F8A">
        <w:rPr>
          <w:rStyle w:val="af"/>
          <w:rFonts w:cs="Times New Roman"/>
          <w:b w:val="0"/>
          <w:bCs w:val="0"/>
          <w:sz w:val="24"/>
          <w:szCs w:val="24"/>
          <w:lang w:val="uk-UA"/>
        </w:rPr>
        <w:t xml:space="preserve">. </w:t>
      </w:r>
      <w:proofErr w:type="spellStart"/>
      <w:r w:rsidRPr="001A2F8A">
        <w:rPr>
          <w:rStyle w:val="af"/>
          <w:rFonts w:cs="Times New Roman"/>
          <w:b w:val="0"/>
          <w:bCs w:val="0"/>
          <w:i/>
          <w:iCs/>
          <w:sz w:val="24"/>
          <w:szCs w:val="24"/>
          <w:lang w:val="uk-UA"/>
        </w:rPr>
        <w:t>International</w:t>
      </w:r>
      <w:proofErr w:type="spellEnd"/>
      <w:r w:rsidRPr="001A2F8A">
        <w:rPr>
          <w:rStyle w:val="af"/>
          <w:rFonts w:cs="Times New Roman"/>
          <w:b w:val="0"/>
          <w:bCs w:val="0"/>
          <w:i/>
          <w:iCs/>
          <w:sz w:val="24"/>
          <w:szCs w:val="24"/>
          <w:lang w:val="uk-UA"/>
        </w:rPr>
        <w:t xml:space="preserve"> </w:t>
      </w:r>
      <w:proofErr w:type="spellStart"/>
      <w:r w:rsidRPr="001A2F8A">
        <w:rPr>
          <w:rStyle w:val="af"/>
          <w:rFonts w:cs="Times New Roman"/>
          <w:b w:val="0"/>
          <w:bCs w:val="0"/>
          <w:i/>
          <w:iCs/>
          <w:sz w:val="24"/>
          <w:szCs w:val="24"/>
          <w:lang w:val="uk-UA"/>
        </w:rPr>
        <w:t>Criminal</w:t>
      </w:r>
      <w:proofErr w:type="spellEnd"/>
      <w:r w:rsidRPr="001A2F8A">
        <w:rPr>
          <w:rStyle w:val="af"/>
          <w:rFonts w:cs="Times New Roman"/>
          <w:b w:val="0"/>
          <w:bCs w:val="0"/>
          <w:i/>
          <w:iCs/>
          <w:sz w:val="24"/>
          <w:szCs w:val="24"/>
          <w:lang w:val="uk-UA"/>
        </w:rPr>
        <w:t xml:space="preserve"> </w:t>
      </w:r>
      <w:proofErr w:type="spellStart"/>
      <w:r w:rsidRPr="001A2F8A">
        <w:rPr>
          <w:rStyle w:val="af"/>
          <w:rFonts w:cs="Times New Roman"/>
          <w:b w:val="0"/>
          <w:bCs w:val="0"/>
          <w:i/>
          <w:iCs/>
          <w:sz w:val="24"/>
          <w:szCs w:val="24"/>
          <w:lang w:val="uk-UA"/>
        </w:rPr>
        <w:t>Law</w:t>
      </w:r>
      <w:proofErr w:type="spellEnd"/>
      <w:r w:rsidRPr="001A2F8A">
        <w:rPr>
          <w:rStyle w:val="af"/>
          <w:rFonts w:cs="Times New Roman"/>
          <w:b w:val="0"/>
          <w:bCs w:val="0"/>
          <w:i/>
          <w:iCs/>
          <w:sz w:val="24"/>
          <w:szCs w:val="24"/>
          <w:lang w:val="uk-UA"/>
        </w:rPr>
        <w:t xml:space="preserve"> </w:t>
      </w:r>
      <w:proofErr w:type="spellStart"/>
      <w:r w:rsidRPr="001A2F8A">
        <w:rPr>
          <w:rStyle w:val="af"/>
          <w:rFonts w:cs="Times New Roman"/>
          <w:b w:val="0"/>
          <w:bCs w:val="0"/>
          <w:i/>
          <w:iCs/>
          <w:sz w:val="24"/>
          <w:szCs w:val="24"/>
          <w:lang w:val="uk-UA"/>
        </w:rPr>
        <w:t>Review</w:t>
      </w:r>
      <w:proofErr w:type="spellEnd"/>
      <w:r w:rsidRPr="001A2F8A">
        <w:rPr>
          <w:rStyle w:val="af"/>
          <w:rFonts w:cs="Times New Roman"/>
          <w:b w:val="0"/>
          <w:bCs w:val="0"/>
          <w:i/>
          <w:iCs/>
          <w:sz w:val="24"/>
          <w:szCs w:val="24"/>
          <w:lang w:val="uk-UA"/>
        </w:rPr>
        <w:t>, 23</w:t>
      </w:r>
      <w:r w:rsidRPr="001A2F8A">
        <w:rPr>
          <w:rStyle w:val="af"/>
          <w:rFonts w:cs="Times New Roman"/>
          <w:b w:val="0"/>
          <w:bCs w:val="0"/>
          <w:sz w:val="24"/>
          <w:szCs w:val="24"/>
          <w:lang w:val="uk-UA"/>
        </w:rPr>
        <w:t>(4), 626–641.</w:t>
      </w:r>
      <w:r>
        <w:rPr>
          <w:rStyle w:val="af"/>
          <w:rFonts w:cs="Times New Roman"/>
          <w:b w:val="0"/>
          <w:bCs w:val="0"/>
          <w:sz w:val="24"/>
          <w:szCs w:val="24"/>
          <w:lang w:val="uk-UA"/>
        </w:rPr>
        <w:t xml:space="preserve"> </w:t>
      </w:r>
      <w:hyperlink r:id="rId33" w:history="1">
        <w:r w:rsidRPr="00975D6B">
          <w:rPr>
            <w:rStyle w:val="ad"/>
            <w:rFonts w:cs="Times New Roman"/>
            <w:sz w:val="24"/>
            <w:szCs w:val="24"/>
            <w:lang w:val="uk-UA"/>
          </w:rPr>
          <w:t>https://doi.org/10.1163/15718123-bja10154</w:t>
        </w:r>
      </w:hyperlink>
      <w:r>
        <w:rPr>
          <w:rStyle w:val="af"/>
          <w:rFonts w:cs="Times New Roman"/>
          <w:b w:val="0"/>
          <w:bCs w:val="0"/>
          <w:sz w:val="24"/>
          <w:szCs w:val="24"/>
          <w:lang w:val="uk-UA"/>
        </w:rPr>
        <w:t xml:space="preserve"> </w:t>
      </w:r>
    </w:p>
    <w:p w14:paraId="7D509977" w14:textId="77777777" w:rsidR="007B0A36" w:rsidRPr="00BA7676" w:rsidRDefault="007B0A36" w:rsidP="00BA7676">
      <w:pPr>
        <w:spacing w:after="0"/>
        <w:ind w:left="567" w:hanging="567"/>
        <w:jc w:val="both"/>
        <w:rPr>
          <w:rStyle w:val="ad"/>
          <w:rFonts w:cs="Times New Roman"/>
          <w:color w:val="auto"/>
          <w:sz w:val="24"/>
          <w:szCs w:val="24"/>
          <w:lang w:val="en-US"/>
        </w:rPr>
      </w:pPr>
      <w:proofErr w:type="spellStart"/>
      <w:r w:rsidRPr="00BA7676">
        <w:rPr>
          <w:rStyle w:val="af"/>
          <w:rFonts w:cs="Times New Roman"/>
          <w:b w:val="0"/>
          <w:bCs w:val="0"/>
          <w:sz w:val="24"/>
          <w:szCs w:val="24"/>
          <w:lang w:val="en-US"/>
        </w:rPr>
        <w:t>Sheredko</w:t>
      </w:r>
      <w:proofErr w:type="spellEnd"/>
      <w:r w:rsidRPr="00BA7676">
        <w:rPr>
          <w:rStyle w:val="af"/>
          <w:rFonts w:cs="Times New Roman"/>
          <w:b w:val="0"/>
          <w:bCs w:val="0"/>
          <w:sz w:val="24"/>
          <w:szCs w:val="24"/>
          <w:lang w:val="en-US"/>
        </w:rPr>
        <w:t xml:space="preserve">, O.M. (2023). </w:t>
      </w:r>
      <w:r w:rsidRPr="00642C15">
        <w:rPr>
          <w:rStyle w:val="af"/>
          <w:rFonts w:cs="Times New Roman"/>
          <w:b w:val="0"/>
          <w:bCs w:val="0"/>
          <w:i/>
          <w:iCs/>
          <w:sz w:val="24"/>
          <w:szCs w:val="24"/>
          <w:lang w:val="en-US"/>
        </w:rPr>
        <w:t xml:space="preserve">Hersh </w:t>
      </w:r>
      <w:proofErr w:type="spellStart"/>
      <w:r w:rsidRPr="00642C15">
        <w:rPr>
          <w:rStyle w:val="af"/>
          <w:rFonts w:cs="Times New Roman"/>
          <w:b w:val="0"/>
          <w:bCs w:val="0"/>
          <w:i/>
          <w:iCs/>
          <w:sz w:val="24"/>
          <w:szCs w:val="24"/>
          <w:lang w:val="en-US"/>
        </w:rPr>
        <w:t>Lauterpacht’s</w:t>
      </w:r>
      <w:proofErr w:type="spellEnd"/>
      <w:r w:rsidRPr="00642C15">
        <w:rPr>
          <w:rStyle w:val="af"/>
          <w:rFonts w:cs="Times New Roman"/>
          <w:b w:val="0"/>
          <w:bCs w:val="0"/>
          <w:i/>
          <w:iCs/>
          <w:sz w:val="24"/>
          <w:szCs w:val="24"/>
          <w:lang w:val="en-US"/>
        </w:rPr>
        <w:t xml:space="preserve"> contribution to the development of the concept of human rights in public international law</w:t>
      </w:r>
      <w:r>
        <w:rPr>
          <w:rStyle w:val="af"/>
          <w:rFonts w:cs="Times New Roman"/>
          <w:b w:val="0"/>
          <w:bCs w:val="0"/>
          <w:sz w:val="24"/>
          <w:szCs w:val="24"/>
          <w:lang w:val="en-US"/>
        </w:rPr>
        <w:t>. Lviv:</w:t>
      </w:r>
      <w:r w:rsidRPr="00BA7676">
        <w:rPr>
          <w:rStyle w:val="af"/>
          <w:rFonts w:cs="Times New Roman"/>
          <w:b w:val="0"/>
          <w:bCs w:val="0"/>
          <w:sz w:val="24"/>
          <w:szCs w:val="24"/>
          <w:lang w:val="en-US"/>
        </w:rPr>
        <w:t xml:space="preserve"> Ivan Franko National University of Lviv</w:t>
      </w:r>
      <w:r>
        <w:rPr>
          <w:rStyle w:val="af"/>
          <w:rFonts w:cs="Times New Roman"/>
          <w:b w:val="0"/>
          <w:bCs w:val="0"/>
          <w:sz w:val="24"/>
          <w:szCs w:val="24"/>
          <w:lang w:val="en-US"/>
        </w:rPr>
        <w:t>.</w:t>
      </w:r>
    </w:p>
    <w:p w14:paraId="181C6989" w14:textId="77777777" w:rsidR="007B0A36" w:rsidRPr="00BA7676" w:rsidRDefault="007B0A36" w:rsidP="00BA7676">
      <w:pPr>
        <w:spacing w:after="0"/>
        <w:ind w:left="567" w:hanging="567"/>
        <w:jc w:val="both"/>
        <w:rPr>
          <w:rFonts w:cs="Times New Roman"/>
          <w:sz w:val="24"/>
          <w:szCs w:val="24"/>
          <w:lang w:val="en-US"/>
        </w:rPr>
      </w:pPr>
      <w:r w:rsidRPr="00BA7676">
        <w:rPr>
          <w:rFonts w:cs="Times New Roman"/>
          <w:sz w:val="24"/>
          <w:szCs w:val="24"/>
          <w:lang w:val="en-US"/>
        </w:rPr>
        <w:t xml:space="preserve">Stahn, C. (2018). </w:t>
      </w:r>
      <w:r w:rsidRPr="00BA7676">
        <w:rPr>
          <w:rFonts w:cs="Times New Roman"/>
          <w:i/>
          <w:iCs/>
          <w:sz w:val="24"/>
          <w:szCs w:val="24"/>
          <w:lang w:val="en-US"/>
        </w:rPr>
        <w:t>A critical introduction to international criminal law.</w:t>
      </w:r>
      <w:r w:rsidRPr="00BA7676">
        <w:rPr>
          <w:rFonts w:cs="Times New Roman"/>
          <w:sz w:val="24"/>
          <w:szCs w:val="24"/>
          <w:lang w:val="en-US"/>
        </w:rPr>
        <w:t xml:space="preserve"> Cambridge: Cambridge University Press.</w:t>
      </w:r>
    </w:p>
    <w:p w14:paraId="150977A0" w14:textId="77777777" w:rsidR="007B0A36" w:rsidRPr="00BA7676" w:rsidRDefault="007B0A36" w:rsidP="00BA7676">
      <w:pPr>
        <w:spacing w:after="0"/>
        <w:ind w:left="567" w:hanging="567"/>
        <w:jc w:val="both"/>
        <w:rPr>
          <w:rFonts w:cs="Times New Roman"/>
          <w:sz w:val="24"/>
          <w:szCs w:val="24"/>
          <w:lang w:val="en-US"/>
        </w:rPr>
      </w:pPr>
      <w:r w:rsidRPr="00BA7676">
        <w:rPr>
          <w:rFonts w:cs="Times New Roman"/>
          <w:sz w:val="24"/>
          <w:szCs w:val="24"/>
          <w:lang w:val="en-US"/>
        </w:rPr>
        <w:t xml:space="preserve">Stahn, C. (2022). More than rhetoric? International criminal justice, crime semantics and the role of the ICC in the Ukraine conflict. </w:t>
      </w:r>
      <w:proofErr w:type="spellStart"/>
      <w:r w:rsidRPr="00BA7676">
        <w:rPr>
          <w:rFonts w:cs="Times New Roman"/>
          <w:i/>
          <w:iCs/>
          <w:sz w:val="24"/>
          <w:szCs w:val="24"/>
          <w:lang w:val="en-US"/>
        </w:rPr>
        <w:t>OpinioJuris</w:t>
      </w:r>
      <w:proofErr w:type="spellEnd"/>
      <w:r w:rsidRPr="00BA7676">
        <w:rPr>
          <w:rFonts w:cs="Times New Roman"/>
          <w:sz w:val="24"/>
          <w:szCs w:val="24"/>
          <w:lang w:val="en-US"/>
        </w:rPr>
        <w:t xml:space="preserve">. </w:t>
      </w:r>
      <w:r w:rsidRPr="00BA7676">
        <w:rPr>
          <w:rStyle w:val="af"/>
          <w:rFonts w:cs="Times New Roman"/>
          <w:b w:val="0"/>
          <w:bCs w:val="0"/>
          <w:sz w:val="24"/>
          <w:szCs w:val="24"/>
          <w:lang w:val="en-US"/>
        </w:rPr>
        <w:t>Retrieved from</w:t>
      </w:r>
      <w:r w:rsidRPr="00BA7676">
        <w:rPr>
          <w:rFonts w:cs="Times New Roman"/>
          <w:sz w:val="24"/>
          <w:szCs w:val="24"/>
          <w:lang w:val="en-US"/>
        </w:rPr>
        <w:t xml:space="preserve"> </w:t>
      </w:r>
      <w:hyperlink r:id="rId34" w:history="1">
        <w:r w:rsidRPr="00BA7676">
          <w:rPr>
            <w:rStyle w:val="ad"/>
            <w:rFonts w:cs="Times New Roman"/>
            <w:color w:val="auto"/>
            <w:sz w:val="24"/>
            <w:szCs w:val="24"/>
            <w:lang w:val="en-US"/>
          </w:rPr>
          <w:t>https://opiniojuris.org/2022/02/25/more-than-rhetoric-international-criminal-justice-crime-semantics-and-the-role-of-the-icc-in-the-ukraine-conflict/</w:t>
        </w:r>
      </w:hyperlink>
    </w:p>
    <w:p w14:paraId="273EFA36" w14:textId="77777777" w:rsidR="007B0A36" w:rsidRPr="00EF4B9D" w:rsidRDefault="007B0A36" w:rsidP="00EF4B9D">
      <w:pPr>
        <w:spacing w:after="0"/>
        <w:ind w:left="567" w:hanging="567"/>
        <w:jc w:val="both"/>
        <w:rPr>
          <w:rStyle w:val="af"/>
          <w:rFonts w:cs="Times New Roman"/>
          <w:b w:val="0"/>
          <w:bCs w:val="0"/>
          <w:sz w:val="24"/>
          <w:szCs w:val="24"/>
          <w:lang w:val="en-US"/>
        </w:rPr>
      </w:pPr>
      <w:proofErr w:type="spellStart"/>
      <w:r w:rsidRPr="00BA7676">
        <w:rPr>
          <w:rStyle w:val="af"/>
          <w:rFonts w:cs="Times New Roman"/>
          <w:b w:val="0"/>
          <w:bCs w:val="0"/>
          <w:sz w:val="24"/>
          <w:szCs w:val="24"/>
          <w:lang w:val="en-US"/>
        </w:rPr>
        <w:t>Šturma</w:t>
      </w:r>
      <w:proofErr w:type="spellEnd"/>
      <w:r w:rsidRPr="00BA7676">
        <w:rPr>
          <w:rStyle w:val="af"/>
          <w:rFonts w:cs="Times New Roman"/>
          <w:b w:val="0"/>
          <w:bCs w:val="0"/>
          <w:sz w:val="24"/>
          <w:szCs w:val="24"/>
          <w:lang w:val="en-US"/>
        </w:rPr>
        <w:t xml:space="preserve">, P. (2020). State </w:t>
      </w:r>
      <w:r>
        <w:rPr>
          <w:rStyle w:val="af"/>
          <w:rFonts w:cs="Times New Roman"/>
          <w:b w:val="0"/>
          <w:bCs w:val="0"/>
          <w:sz w:val="24"/>
          <w:szCs w:val="24"/>
          <w:lang w:val="en-US"/>
        </w:rPr>
        <w:t>r</w:t>
      </w:r>
      <w:r w:rsidRPr="00BA7676">
        <w:rPr>
          <w:rStyle w:val="af"/>
          <w:rFonts w:cs="Times New Roman"/>
          <w:b w:val="0"/>
          <w:bCs w:val="0"/>
          <w:sz w:val="24"/>
          <w:szCs w:val="24"/>
          <w:lang w:val="en-US"/>
        </w:rPr>
        <w:t xml:space="preserve">esponsibility and the European Convention on Human Rights. </w:t>
      </w:r>
      <w:r w:rsidRPr="00EF4B9D">
        <w:rPr>
          <w:rStyle w:val="af"/>
          <w:rFonts w:cs="Times New Roman"/>
          <w:b w:val="0"/>
          <w:bCs w:val="0"/>
          <w:sz w:val="24"/>
          <w:szCs w:val="24"/>
          <w:lang w:val="en-US"/>
        </w:rPr>
        <w:t xml:space="preserve">Czech </w:t>
      </w:r>
      <w:r w:rsidRPr="00EF4B9D">
        <w:rPr>
          <w:rStyle w:val="af"/>
          <w:rFonts w:cs="Times New Roman"/>
          <w:b w:val="0"/>
          <w:bCs w:val="0"/>
          <w:i/>
          <w:iCs/>
          <w:sz w:val="24"/>
          <w:szCs w:val="24"/>
          <w:lang w:val="en-US"/>
        </w:rPr>
        <w:t>Yearbook of Public &amp; Private International Law</w:t>
      </w:r>
      <w:r>
        <w:rPr>
          <w:rStyle w:val="af"/>
          <w:rFonts w:cs="Times New Roman"/>
          <w:b w:val="0"/>
          <w:bCs w:val="0"/>
          <w:i/>
          <w:iCs/>
          <w:sz w:val="24"/>
          <w:szCs w:val="24"/>
          <w:lang w:val="en-US"/>
        </w:rPr>
        <w:t>, 11</w:t>
      </w:r>
      <w:r>
        <w:rPr>
          <w:rStyle w:val="af"/>
          <w:rFonts w:cs="Times New Roman"/>
          <w:b w:val="0"/>
          <w:bCs w:val="0"/>
          <w:sz w:val="24"/>
          <w:szCs w:val="24"/>
          <w:lang w:val="en-US"/>
        </w:rPr>
        <w:t>, 3–18.</w:t>
      </w:r>
    </w:p>
    <w:p w14:paraId="3611AF3A" w14:textId="77777777" w:rsidR="007B0A36" w:rsidRPr="00081C5B"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 xml:space="preserve">Szwed, M. (2024). Protecting the rights of judges: </w:t>
      </w:r>
      <w:r>
        <w:rPr>
          <w:rStyle w:val="af"/>
          <w:rFonts w:cs="Times New Roman"/>
          <w:b w:val="0"/>
          <w:bCs w:val="0"/>
          <w:sz w:val="24"/>
          <w:szCs w:val="24"/>
          <w:lang w:val="en-US"/>
        </w:rPr>
        <w:t>T</w:t>
      </w:r>
      <w:r w:rsidRPr="00BA7676">
        <w:rPr>
          <w:rStyle w:val="af"/>
          <w:rFonts w:cs="Times New Roman"/>
          <w:b w:val="0"/>
          <w:bCs w:val="0"/>
          <w:sz w:val="24"/>
          <w:szCs w:val="24"/>
          <w:lang w:val="en-US"/>
        </w:rPr>
        <w:t>he judgments of the European Court of Human Rights in</w:t>
      </w:r>
      <w:r>
        <w:rPr>
          <w:rStyle w:val="af"/>
          <w:rFonts w:cs="Times New Roman"/>
          <w:b w:val="0"/>
          <w:bCs w:val="0"/>
          <w:sz w:val="24"/>
          <w:szCs w:val="24"/>
          <w:lang w:val="en-US"/>
        </w:rPr>
        <w:t xml:space="preserve"> </w:t>
      </w:r>
      <w:proofErr w:type="spellStart"/>
      <w:r w:rsidRPr="00BA7676">
        <w:rPr>
          <w:rStyle w:val="af"/>
          <w:rFonts w:cs="Times New Roman"/>
          <w:b w:val="0"/>
          <w:bCs w:val="0"/>
          <w:sz w:val="24"/>
          <w:szCs w:val="24"/>
          <w:lang w:val="en-US"/>
        </w:rPr>
        <w:t>Juszczyszyn</w:t>
      </w:r>
      <w:proofErr w:type="spellEnd"/>
      <w:r w:rsidRPr="00BA7676">
        <w:rPr>
          <w:rStyle w:val="af"/>
          <w:rFonts w:cs="Times New Roman"/>
          <w:b w:val="0"/>
          <w:bCs w:val="0"/>
          <w:sz w:val="24"/>
          <w:szCs w:val="24"/>
          <w:lang w:val="en-US"/>
        </w:rPr>
        <w:t xml:space="preserve"> v Poland</w:t>
      </w:r>
      <w:r>
        <w:rPr>
          <w:rStyle w:val="af"/>
          <w:rFonts w:cs="Times New Roman"/>
          <w:b w:val="0"/>
          <w:bCs w:val="0"/>
          <w:sz w:val="24"/>
          <w:szCs w:val="24"/>
          <w:lang w:val="en-US"/>
        </w:rPr>
        <w:t xml:space="preserve"> </w:t>
      </w:r>
      <w:r w:rsidRPr="00BA7676">
        <w:rPr>
          <w:rStyle w:val="af"/>
          <w:rFonts w:cs="Times New Roman"/>
          <w:b w:val="0"/>
          <w:bCs w:val="0"/>
          <w:sz w:val="24"/>
          <w:szCs w:val="24"/>
          <w:lang w:val="en-US"/>
        </w:rPr>
        <w:t>and</w:t>
      </w:r>
      <w:r>
        <w:rPr>
          <w:rStyle w:val="af"/>
          <w:rFonts w:cs="Times New Roman"/>
          <w:b w:val="0"/>
          <w:bCs w:val="0"/>
          <w:sz w:val="24"/>
          <w:szCs w:val="24"/>
          <w:lang w:val="en-US"/>
        </w:rPr>
        <w:t xml:space="preserve"> </w:t>
      </w:r>
      <w:proofErr w:type="spellStart"/>
      <w:r w:rsidRPr="00BA7676">
        <w:rPr>
          <w:rStyle w:val="af"/>
          <w:rFonts w:cs="Times New Roman"/>
          <w:b w:val="0"/>
          <w:bCs w:val="0"/>
          <w:sz w:val="24"/>
          <w:szCs w:val="24"/>
          <w:lang w:val="en-US"/>
        </w:rPr>
        <w:t>Tuleya</w:t>
      </w:r>
      <w:proofErr w:type="spellEnd"/>
      <w:r w:rsidRPr="00BA7676">
        <w:rPr>
          <w:rStyle w:val="af"/>
          <w:rFonts w:cs="Times New Roman"/>
          <w:b w:val="0"/>
          <w:bCs w:val="0"/>
          <w:sz w:val="24"/>
          <w:szCs w:val="24"/>
          <w:lang w:val="en-US"/>
        </w:rPr>
        <w:t xml:space="preserve"> v. Poland.</w:t>
      </w:r>
      <w:r>
        <w:rPr>
          <w:rStyle w:val="af"/>
          <w:rFonts w:cs="Times New Roman"/>
          <w:b w:val="0"/>
          <w:bCs w:val="0"/>
          <w:sz w:val="24"/>
          <w:szCs w:val="24"/>
          <w:lang w:val="en-US"/>
        </w:rPr>
        <w:t xml:space="preserve"> </w:t>
      </w:r>
      <w:r w:rsidRPr="00BA7676">
        <w:rPr>
          <w:rStyle w:val="af"/>
          <w:rFonts w:cs="Times New Roman"/>
          <w:b w:val="0"/>
          <w:bCs w:val="0"/>
          <w:i/>
          <w:iCs/>
          <w:sz w:val="24"/>
          <w:szCs w:val="24"/>
          <w:lang w:val="en-US"/>
        </w:rPr>
        <w:t>ERA Forum</w:t>
      </w:r>
      <w:r w:rsidRPr="00081C5B">
        <w:rPr>
          <w:rStyle w:val="af"/>
          <w:rFonts w:cs="Times New Roman"/>
          <w:b w:val="0"/>
          <w:bCs w:val="0"/>
          <w:i/>
          <w:iCs/>
          <w:sz w:val="24"/>
          <w:szCs w:val="24"/>
          <w:lang w:val="en-US"/>
        </w:rPr>
        <w:t>, 25</w:t>
      </w:r>
      <w:r w:rsidRPr="00BA7676">
        <w:rPr>
          <w:rStyle w:val="af"/>
          <w:rFonts w:cs="Times New Roman"/>
          <w:b w:val="0"/>
          <w:bCs w:val="0"/>
          <w:sz w:val="24"/>
          <w:szCs w:val="24"/>
          <w:lang w:val="en-US"/>
        </w:rPr>
        <w:t>, 141–158.</w:t>
      </w:r>
      <w:r>
        <w:rPr>
          <w:rStyle w:val="af"/>
          <w:rFonts w:cs="Times New Roman"/>
          <w:b w:val="0"/>
          <w:bCs w:val="0"/>
          <w:sz w:val="24"/>
          <w:szCs w:val="24"/>
          <w:lang w:val="en-US"/>
        </w:rPr>
        <w:t xml:space="preserve"> </w:t>
      </w:r>
      <w:hyperlink r:id="rId35" w:history="1">
        <w:r w:rsidRPr="00421548">
          <w:rPr>
            <w:rStyle w:val="ad"/>
            <w:rFonts w:cs="Times New Roman"/>
            <w:sz w:val="24"/>
            <w:szCs w:val="24"/>
            <w:lang w:val="en-US"/>
          </w:rPr>
          <w:t>https://doi.org/10.1007/s12027-024-00783-y</w:t>
        </w:r>
      </w:hyperlink>
      <w:r>
        <w:rPr>
          <w:rFonts w:cs="Times New Roman"/>
          <w:sz w:val="24"/>
          <w:szCs w:val="24"/>
          <w:lang w:val="en-US"/>
        </w:rPr>
        <w:t xml:space="preserve"> </w:t>
      </w:r>
    </w:p>
    <w:p w14:paraId="5F7C1418" w14:textId="77777777" w:rsidR="007B0A36" w:rsidRPr="00BA7676" w:rsidRDefault="007B0A36" w:rsidP="00BA7676">
      <w:pPr>
        <w:spacing w:after="0"/>
        <w:ind w:left="567" w:hanging="567"/>
        <w:jc w:val="both"/>
        <w:rPr>
          <w:rStyle w:val="af"/>
          <w:rFonts w:cs="Times New Roman"/>
          <w:b w:val="0"/>
          <w:bCs w:val="0"/>
          <w:sz w:val="24"/>
          <w:szCs w:val="24"/>
          <w:lang w:val="en-US"/>
        </w:rPr>
      </w:pPr>
      <w:r w:rsidRPr="005723B2">
        <w:rPr>
          <w:rStyle w:val="af"/>
          <w:rFonts w:cs="Times New Roman"/>
          <w:b w:val="0"/>
          <w:bCs w:val="0"/>
          <w:sz w:val="24"/>
          <w:szCs w:val="24"/>
          <w:highlight w:val="yellow"/>
          <w:lang w:val="en-US"/>
        </w:rPr>
        <w:t xml:space="preserve">Tanaka, Y. (2022). Reflections on Georges </w:t>
      </w:r>
      <w:proofErr w:type="spellStart"/>
      <w:r w:rsidRPr="005723B2">
        <w:rPr>
          <w:rStyle w:val="af"/>
          <w:rFonts w:cs="Times New Roman"/>
          <w:b w:val="0"/>
          <w:bCs w:val="0"/>
          <w:sz w:val="24"/>
          <w:szCs w:val="24"/>
          <w:highlight w:val="yellow"/>
          <w:lang w:val="en-US"/>
        </w:rPr>
        <w:t>Scelle’s</w:t>
      </w:r>
      <w:proofErr w:type="spellEnd"/>
      <w:r w:rsidRPr="005723B2">
        <w:rPr>
          <w:rStyle w:val="af"/>
          <w:rFonts w:cs="Times New Roman"/>
          <w:b w:val="0"/>
          <w:bCs w:val="0"/>
          <w:sz w:val="24"/>
          <w:szCs w:val="24"/>
          <w:highlight w:val="yellow"/>
          <w:lang w:val="en-US"/>
        </w:rPr>
        <w:t xml:space="preserve"> theory of the law of </w:t>
      </w:r>
      <w:proofErr w:type="spellStart"/>
      <w:r w:rsidRPr="005723B2">
        <w:rPr>
          <w:rStyle w:val="af"/>
          <w:rFonts w:cs="Times New Roman"/>
          <w:b w:val="0"/>
          <w:bCs w:val="0"/>
          <w:sz w:val="24"/>
          <w:szCs w:val="24"/>
          <w:highlight w:val="yellow"/>
          <w:lang w:val="en-US"/>
        </w:rPr>
        <w:t>dédoublement</w:t>
      </w:r>
      <w:proofErr w:type="spellEnd"/>
      <w:r w:rsidRPr="005723B2">
        <w:rPr>
          <w:rStyle w:val="af"/>
          <w:rFonts w:cs="Times New Roman"/>
          <w:b w:val="0"/>
          <w:bCs w:val="0"/>
          <w:sz w:val="24"/>
          <w:szCs w:val="24"/>
          <w:highlight w:val="yellow"/>
          <w:lang w:val="en-US"/>
        </w:rPr>
        <w:t xml:space="preserve"> </w:t>
      </w:r>
      <w:proofErr w:type="spellStart"/>
      <w:r w:rsidRPr="005723B2">
        <w:rPr>
          <w:rStyle w:val="af"/>
          <w:rFonts w:cs="Times New Roman"/>
          <w:b w:val="0"/>
          <w:bCs w:val="0"/>
          <w:sz w:val="24"/>
          <w:szCs w:val="24"/>
          <w:highlight w:val="yellow"/>
          <w:lang w:val="en-US"/>
        </w:rPr>
        <w:t>fonctionnel</w:t>
      </w:r>
      <w:proofErr w:type="spellEnd"/>
      <w:r w:rsidRPr="005723B2">
        <w:rPr>
          <w:rStyle w:val="af"/>
          <w:rFonts w:cs="Times New Roman"/>
          <w:b w:val="0"/>
          <w:bCs w:val="0"/>
          <w:sz w:val="24"/>
          <w:szCs w:val="24"/>
          <w:highlight w:val="yellow"/>
          <w:lang w:val="en-US"/>
        </w:rPr>
        <w:t xml:space="preserve"> in the law of the sea: Two models for the protection of community interests. </w:t>
      </w:r>
      <w:r w:rsidRPr="005723B2">
        <w:rPr>
          <w:rStyle w:val="af"/>
          <w:rFonts w:cs="Times New Roman"/>
          <w:b w:val="0"/>
          <w:bCs w:val="0"/>
          <w:i/>
          <w:iCs/>
          <w:sz w:val="24"/>
          <w:szCs w:val="24"/>
          <w:highlight w:val="yellow"/>
          <w:lang w:val="en-US"/>
        </w:rPr>
        <w:t>The International Journal of Marine and Coastal Law, 38</w:t>
      </w:r>
      <w:r w:rsidRPr="005723B2">
        <w:rPr>
          <w:rStyle w:val="af"/>
          <w:rFonts w:cs="Times New Roman"/>
          <w:b w:val="0"/>
          <w:bCs w:val="0"/>
          <w:sz w:val="24"/>
          <w:szCs w:val="24"/>
          <w:highlight w:val="yellow"/>
          <w:lang w:val="en-US"/>
        </w:rPr>
        <w:t xml:space="preserve">(1), 39-69. </w:t>
      </w:r>
      <w:hyperlink r:id="rId36" w:history="1">
        <w:r w:rsidRPr="005723B2">
          <w:rPr>
            <w:rStyle w:val="ad"/>
            <w:rFonts w:cs="Times New Roman"/>
            <w:sz w:val="24"/>
            <w:szCs w:val="24"/>
            <w:highlight w:val="yellow"/>
            <w:lang w:val="en-US"/>
          </w:rPr>
          <w:t>https://doi.org/10.1163/15718085-bja10110</w:t>
        </w:r>
      </w:hyperlink>
      <w:r>
        <w:rPr>
          <w:rStyle w:val="af"/>
          <w:rFonts w:cs="Times New Roman"/>
          <w:b w:val="0"/>
          <w:bCs w:val="0"/>
          <w:sz w:val="24"/>
          <w:szCs w:val="24"/>
          <w:lang w:val="en-US"/>
        </w:rPr>
        <w:t xml:space="preserve"> </w:t>
      </w:r>
    </w:p>
    <w:p w14:paraId="361BB642"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 xml:space="preserve">Tsertsvadze, T. (2024). Sharpening the EU Global Human Rights Sanctions Regime. </w:t>
      </w:r>
      <w:r w:rsidRPr="00BA7676">
        <w:rPr>
          <w:rStyle w:val="af"/>
          <w:rFonts w:cs="Times New Roman"/>
          <w:b w:val="0"/>
          <w:bCs w:val="0"/>
          <w:i/>
          <w:iCs/>
          <w:sz w:val="24"/>
          <w:szCs w:val="24"/>
          <w:lang w:val="en-US"/>
        </w:rPr>
        <w:t>European Democracy Hub.</w:t>
      </w:r>
      <w:r w:rsidRPr="00BA7676">
        <w:rPr>
          <w:rStyle w:val="af"/>
          <w:rFonts w:cs="Times New Roman"/>
          <w:b w:val="0"/>
          <w:bCs w:val="0"/>
          <w:sz w:val="24"/>
          <w:szCs w:val="24"/>
          <w:lang w:val="en-US"/>
        </w:rPr>
        <w:t xml:space="preserve"> Retrieved from </w:t>
      </w:r>
      <w:hyperlink r:id="rId37" w:history="1">
        <w:r w:rsidRPr="00BA7676">
          <w:rPr>
            <w:rStyle w:val="ad"/>
            <w:rFonts w:cs="Times New Roman"/>
            <w:color w:val="auto"/>
            <w:sz w:val="24"/>
            <w:szCs w:val="24"/>
            <w:lang w:val="en-US"/>
          </w:rPr>
          <w:t>https://europeandemocracyhub.epd.eu/sharpening-the-eus-global-human-rights-sanctions-regime/</w:t>
        </w:r>
      </w:hyperlink>
    </w:p>
    <w:p w14:paraId="602BDE23" w14:textId="77777777" w:rsidR="007B0A36" w:rsidRDefault="007B0A36" w:rsidP="00BA7676">
      <w:pPr>
        <w:spacing w:after="0"/>
        <w:ind w:left="567" w:hanging="567"/>
        <w:jc w:val="both"/>
        <w:rPr>
          <w:rFonts w:cs="Times New Roman"/>
          <w:sz w:val="24"/>
          <w:szCs w:val="24"/>
          <w:lang w:val="en-US"/>
        </w:rPr>
      </w:pPr>
      <w:proofErr w:type="spellStart"/>
      <w:r w:rsidRPr="00585FD6">
        <w:rPr>
          <w:rFonts w:cs="Times New Roman"/>
          <w:sz w:val="24"/>
          <w:szCs w:val="24"/>
          <w:lang w:val="en-US"/>
        </w:rPr>
        <w:t>Tsirli</w:t>
      </w:r>
      <w:proofErr w:type="spellEnd"/>
      <w:r>
        <w:rPr>
          <w:rFonts w:cs="Times New Roman"/>
          <w:sz w:val="24"/>
          <w:szCs w:val="24"/>
          <w:lang w:val="en-US"/>
        </w:rPr>
        <w:t xml:space="preserve">, M. (2020). </w:t>
      </w:r>
      <w:r w:rsidRPr="00585FD6">
        <w:rPr>
          <w:rFonts w:cs="Times New Roman"/>
          <w:i/>
          <w:iCs/>
          <w:sz w:val="24"/>
          <w:szCs w:val="24"/>
          <w:lang w:val="en-US"/>
        </w:rPr>
        <w:t>The interim measure indicated in the case of Armenia v. Azerbaijan and Rule 39 proceedings with regard to alleged captives to remain in force.</w:t>
      </w:r>
      <w:r>
        <w:rPr>
          <w:rFonts w:cs="Times New Roman"/>
          <w:sz w:val="24"/>
          <w:szCs w:val="24"/>
          <w:lang w:val="en-US"/>
        </w:rPr>
        <w:t xml:space="preserve"> </w:t>
      </w:r>
      <w:r w:rsidRPr="00421548">
        <w:rPr>
          <w:rFonts w:cs="Times New Roman"/>
          <w:sz w:val="24"/>
          <w:szCs w:val="24"/>
          <w:lang w:val="en-US"/>
        </w:rPr>
        <w:t>Strasbourg</w:t>
      </w:r>
      <w:r>
        <w:rPr>
          <w:rFonts w:cs="Times New Roman"/>
          <w:sz w:val="24"/>
          <w:szCs w:val="24"/>
          <w:lang w:val="en-US"/>
        </w:rPr>
        <w:t xml:space="preserve">: </w:t>
      </w:r>
      <w:r w:rsidRPr="00421548">
        <w:rPr>
          <w:rFonts w:cs="Times New Roman"/>
          <w:sz w:val="24"/>
          <w:szCs w:val="24"/>
          <w:lang w:val="en-US"/>
        </w:rPr>
        <w:t>ECHR Registry</w:t>
      </w:r>
      <w:r>
        <w:rPr>
          <w:rFonts w:cs="Times New Roman"/>
          <w:sz w:val="24"/>
          <w:szCs w:val="24"/>
          <w:lang w:val="en-US"/>
        </w:rPr>
        <w:t xml:space="preserve">. </w:t>
      </w:r>
    </w:p>
    <w:p w14:paraId="0DF5CE98" w14:textId="77777777" w:rsidR="007B0A36" w:rsidRPr="000322DB" w:rsidRDefault="007B0A36" w:rsidP="000B54E5">
      <w:pPr>
        <w:spacing w:after="0"/>
        <w:ind w:left="567" w:hanging="567"/>
        <w:jc w:val="both"/>
        <w:rPr>
          <w:rStyle w:val="af"/>
          <w:rFonts w:cs="Times New Roman"/>
          <w:b w:val="0"/>
          <w:bCs w:val="0"/>
          <w:sz w:val="24"/>
          <w:szCs w:val="24"/>
          <w:lang w:val="en-US"/>
        </w:rPr>
      </w:pPr>
      <w:proofErr w:type="spellStart"/>
      <w:r w:rsidRPr="00585FD6">
        <w:rPr>
          <w:rFonts w:cs="Times New Roman"/>
          <w:sz w:val="24"/>
          <w:szCs w:val="24"/>
          <w:lang w:val="en-US"/>
        </w:rPr>
        <w:t>Tsirli</w:t>
      </w:r>
      <w:proofErr w:type="spellEnd"/>
      <w:r>
        <w:rPr>
          <w:rFonts w:cs="Times New Roman"/>
          <w:sz w:val="24"/>
          <w:szCs w:val="24"/>
          <w:lang w:val="en-US"/>
        </w:rPr>
        <w:t>, M. (2021</w:t>
      </w:r>
      <w:r>
        <w:rPr>
          <w:lang w:val="en-US"/>
        </w:rPr>
        <w:t xml:space="preserve">). </w:t>
      </w:r>
      <w:r w:rsidRPr="000B54E5">
        <w:rPr>
          <w:rFonts w:cs="Times New Roman"/>
          <w:i/>
          <w:iCs/>
          <w:sz w:val="24"/>
          <w:szCs w:val="24"/>
          <w:lang w:val="en-US"/>
        </w:rPr>
        <w:t xml:space="preserve">Armenia v. Azerbaijan and alleged captives: </w:t>
      </w:r>
      <w:r>
        <w:rPr>
          <w:rFonts w:cs="Times New Roman"/>
          <w:i/>
          <w:iCs/>
          <w:sz w:val="24"/>
          <w:szCs w:val="24"/>
          <w:lang w:val="en-US"/>
        </w:rPr>
        <w:t>n</w:t>
      </w:r>
      <w:r w:rsidRPr="000B54E5">
        <w:rPr>
          <w:rFonts w:cs="Times New Roman"/>
          <w:i/>
          <w:iCs/>
          <w:sz w:val="24"/>
          <w:szCs w:val="24"/>
          <w:lang w:val="en-US"/>
        </w:rPr>
        <w:t>otification to the Committee of Ministers of interim measures indicated</w:t>
      </w:r>
      <w:r w:rsidRPr="00585FD6">
        <w:rPr>
          <w:rFonts w:cs="Times New Roman"/>
          <w:i/>
          <w:iCs/>
          <w:sz w:val="24"/>
          <w:szCs w:val="24"/>
          <w:lang w:val="en-US"/>
        </w:rPr>
        <w:t>.</w:t>
      </w:r>
      <w:r>
        <w:rPr>
          <w:rFonts w:cs="Times New Roman"/>
          <w:sz w:val="24"/>
          <w:szCs w:val="24"/>
          <w:lang w:val="en-US"/>
        </w:rPr>
        <w:t xml:space="preserve"> </w:t>
      </w:r>
      <w:r w:rsidRPr="000B54E5">
        <w:rPr>
          <w:rFonts w:cs="Times New Roman"/>
          <w:sz w:val="24"/>
          <w:szCs w:val="24"/>
          <w:lang w:val="en-US"/>
        </w:rPr>
        <w:t>Strasbourg</w:t>
      </w:r>
      <w:r>
        <w:rPr>
          <w:rFonts w:cs="Times New Roman"/>
          <w:sz w:val="24"/>
          <w:szCs w:val="24"/>
          <w:lang w:val="en-US"/>
        </w:rPr>
        <w:t xml:space="preserve">: </w:t>
      </w:r>
      <w:r w:rsidRPr="000B54E5">
        <w:rPr>
          <w:rFonts w:cs="Times New Roman"/>
          <w:sz w:val="24"/>
          <w:szCs w:val="24"/>
          <w:lang w:val="en-US"/>
        </w:rPr>
        <w:t>ECHR Registry</w:t>
      </w:r>
      <w:r>
        <w:rPr>
          <w:rFonts w:cs="Times New Roman"/>
          <w:sz w:val="24"/>
          <w:szCs w:val="24"/>
          <w:lang w:val="en-US"/>
        </w:rPr>
        <w:t>.</w:t>
      </w:r>
    </w:p>
    <w:p w14:paraId="2A034395" w14:textId="77777777" w:rsidR="007B0A36" w:rsidRPr="00BA7676" w:rsidRDefault="007B0A36" w:rsidP="00BA7676">
      <w:pPr>
        <w:spacing w:after="0"/>
        <w:ind w:left="567" w:hanging="567"/>
        <w:jc w:val="both"/>
        <w:rPr>
          <w:rStyle w:val="af"/>
          <w:rFonts w:cs="Times New Roman"/>
          <w:b w:val="0"/>
          <w:bCs w:val="0"/>
          <w:sz w:val="24"/>
          <w:szCs w:val="24"/>
          <w:lang w:val="en-US"/>
        </w:rPr>
      </w:pPr>
      <w:r>
        <w:rPr>
          <w:rStyle w:val="af"/>
          <w:rFonts w:cs="Times New Roman"/>
          <w:b w:val="0"/>
          <w:bCs w:val="0"/>
          <w:sz w:val="24"/>
          <w:szCs w:val="24"/>
          <w:lang w:val="en-US"/>
        </w:rPr>
        <w:lastRenderedPageBreak/>
        <w:t xml:space="preserve">UN General Assembly. (1966). </w:t>
      </w:r>
      <w:r w:rsidRPr="00BA7676">
        <w:rPr>
          <w:rStyle w:val="af"/>
          <w:rFonts w:cs="Times New Roman"/>
          <w:b w:val="0"/>
          <w:bCs w:val="0"/>
          <w:sz w:val="24"/>
          <w:szCs w:val="24"/>
          <w:lang w:val="en-US"/>
        </w:rPr>
        <w:t xml:space="preserve">International Covenant on Civil and Political Rights. Retrieved from </w:t>
      </w:r>
      <w:hyperlink r:id="rId38" w:history="1">
        <w:r w:rsidRPr="00EE7C66">
          <w:rPr>
            <w:rStyle w:val="ad"/>
            <w:rFonts w:cs="Times New Roman"/>
            <w:sz w:val="24"/>
            <w:szCs w:val="24"/>
            <w:lang w:val="en-US"/>
          </w:rPr>
          <w:t>https://www.ohchr.org/en/instruments-mechanisms/instruments/international-covenant-civil-and-political-rights</w:t>
        </w:r>
      </w:hyperlink>
      <w:r>
        <w:rPr>
          <w:rStyle w:val="af"/>
          <w:rFonts w:cs="Times New Roman"/>
          <w:b w:val="0"/>
          <w:bCs w:val="0"/>
          <w:sz w:val="24"/>
          <w:szCs w:val="24"/>
          <w:lang w:val="en-US"/>
        </w:rPr>
        <w:t xml:space="preserve"> </w:t>
      </w:r>
    </w:p>
    <w:p w14:paraId="5A4484F7" w14:textId="77777777" w:rsidR="007B0A36" w:rsidRPr="00421548" w:rsidRDefault="007B0A36" w:rsidP="00C00948">
      <w:pPr>
        <w:spacing w:after="0"/>
        <w:ind w:left="567" w:hanging="567"/>
        <w:rPr>
          <w:rStyle w:val="af"/>
          <w:rFonts w:cs="Times New Roman"/>
          <w:b w:val="0"/>
          <w:bCs w:val="0"/>
          <w:sz w:val="24"/>
          <w:szCs w:val="24"/>
          <w:lang w:val="en-US"/>
        </w:rPr>
      </w:pPr>
      <w:r w:rsidRPr="005E179E">
        <w:rPr>
          <w:rFonts w:cs="Times New Roman"/>
          <w:sz w:val="24"/>
          <w:szCs w:val="24"/>
          <w:lang w:val="en-US"/>
        </w:rPr>
        <w:t>UN Human Rights Council</w:t>
      </w:r>
      <w:r>
        <w:rPr>
          <w:rFonts w:cs="Times New Roman"/>
          <w:sz w:val="24"/>
          <w:szCs w:val="24"/>
          <w:lang w:val="uk-UA"/>
        </w:rPr>
        <w:t>.</w:t>
      </w:r>
      <w:r w:rsidRPr="00BA7676">
        <w:rPr>
          <w:rFonts w:cs="Times New Roman"/>
          <w:sz w:val="24"/>
          <w:szCs w:val="24"/>
          <w:lang w:val="en-US"/>
        </w:rPr>
        <w:t xml:space="preserve"> (2024). </w:t>
      </w:r>
      <w:r w:rsidRPr="00C00948">
        <w:rPr>
          <w:rFonts w:cs="Times New Roman"/>
          <w:sz w:val="24"/>
          <w:szCs w:val="24"/>
          <w:lang w:val="en-US"/>
        </w:rPr>
        <w:t>Independent investigative mechanism for Myanmar</w:t>
      </w:r>
      <w:r>
        <w:rPr>
          <w:rFonts w:cs="Times New Roman"/>
          <w:sz w:val="24"/>
          <w:szCs w:val="24"/>
          <w:lang w:val="uk-UA"/>
        </w:rPr>
        <w:t>.</w:t>
      </w:r>
      <w:r w:rsidRPr="00BA7676">
        <w:rPr>
          <w:rFonts w:cs="Times New Roman"/>
          <w:sz w:val="24"/>
          <w:szCs w:val="24"/>
          <w:lang w:val="en-US"/>
        </w:rPr>
        <w:t xml:space="preserve"> </w:t>
      </w:r>
      <w:r w:rsidRPr="005E179E">
        <w:rPr>
          <w:rFonts w:cs="Times New Roman"/>
          <w:sz w:val="24"/>
          <w:szCs w:val="24"/>
          <w:lang w:val="en-US"/>
        </w:rPr>
        <w:t xml:space="preserve">The </w:t>
      </w:r>
      <w:r w:rsidRPr="00C00948">
        <w:rPr>
          <w:rFonts w:cs="Times New Roman"/>
          <w:sz w:val="24"/>
          <w:szCs w:val="24"/>
          <w:lang w:val="en-US"/>
        </w:rPr>
        <w:t>case in Argentina.</w:t>
      </w:r>
      <w:r w:rsidRPr="00BA7676">
        <w:rPr>
          <w:rFonts w:cs="Times New Roman"/>
          <w:sz w:val="24"/>
          <w:szCs w:val="24"/>
          <w:lang w:val="en-US"/>
        </w:rPr>
        <w:t xml:space="preserve"> </w:t>
      </w:r>
      <w:r w:rsidRPr="00BA7676">
        <w:rPr>
          <w:rStyle w:val="af"/>
          <w:rFonts w:cs="Times New Roman"/>
          <w:b w:val="0"/>
          <w:bCs w:val="0"/>
          <w:sz w:val="24"/>
          <w:szCs w:val="24"/>
          <w:lang w:val="en-US"/>
        </w:rPr>
        <w:t xml:space="preserve">Retrieved from </w:t>
      </w:r>
      <w:hyperlink r:id="rId39" w:history="1">
        <w:r w:rsidRPr="00BA7676">
          <w:rPr>
            <w:rStyle w:val="ad"/>
            <w:rFonts w:cs="Times New Roman"/>
            <w:color w:val="auto"/>
            <w:sz w:val="24"/>
            <w:szCs w:val="24"/>
            <w:lang w:val="en-US"/>
          </w:rPr>
          <w:t>https://iimm.un.org/en/universal-jurisdiction</w:t>
        </w:r>
      </w:hyperlink>
    </w:p>
    <w:p w14:paraId="11ADEFC5" w14:textId="77777777" w:rsidR="007B0A36" w:rsidRPr="00BA7676" w:rsidRDefault="007B0A36" w:rsidP="00BA7676">
      <w:pPr>
        <w:spacing w:after="0"/>
        <w:ind w:left="567" w:hanging="567"/>
        <w:jc w:val="both"/>
        <w:rPr>
          <w:rStyle w:val="ad"/>
          <w:rFonts w:cs="Times New Roman"/>
          <w:color w:val="auto"/>
          <w:sz w:val="24"/>
          <w:szCs w:val="24"/>
          <w:lang w:val="en-US"/>
        </w:rPr>
      </w:pPr>
      <w:r w:rsidRPr="00BA7676">
        <w:rPr>
          <w:rStyle w:val="af"/>
          <w:rFonts w:cs="Times New Roman"/>
          <w:b w:val="0"/>
          <w:bCs w:val="0"/>
          <w:sz w:val="24"/>
          <w:szCs w:val="24"/>
          <w:lang w:val="en-US"/>
        </w:rPr>
        <w:t>United Nations</w:t>
      </w:r>
      <w:r>
        <w:rPr>
          <w:rStyle w:val="af"/>
          <w:rFonts w:cs="Times New Roman"/>
          <w:b w:val="0"/>
          <w:bCs w:val="0"/>
          <w:sz w:val="24"/>
          <w:szCs w:val="24"/>
          <w:lang w:val="uk-UA"/>
        </w:rPr>
        <w:t>.</w:t>
      </w:r>
      <w:r w:rsidRPr="00BA7676">
        <w:rPr>
          <w:rStyle w:val="af"/>
          <w:rFonts w:cs="Times New Roman"/>
          <w:b w:val="0"/>
          <w:bCs w:val="0"/>
          <w:sz w:val="24"/>
          <w:szCs w:val="24"/>
          <w:lang w:val="en-US"/>
        </w:rPr>
        <w:t xml:space="preserve"> (2016). General Assembly Resolution A/RES/71/248</w:t>
      </w:r>
      <w:r>
        <w:rPr>
          <w:rStyle w:val="af"/>
          <w:rFonts w:cs="Times New Roman"/>
          <w:b w:val="0"/>
          <w:bCs w:val="0"/>
          <w:sz w:val="24"/>
          <w:szCs w:val="24"/>
          <w:lang w:val="uk-UA"/>
        </w:rPr>
        <w:t>.</w:t>
      </w:r>
      <w:r w:rsidRPr="00BA7676">
        <w:rPr>
          <w:rStyle w:val="af"/>
          <w:rFonts w:cs="Times New Roman"/>
          <w:b w:val="0"/>
          <w:bCs w:val="0"/>
          <w:sz w:val="24"/>
          <w:szCs w:val="24"/>
          <w:lang w:val="en-US"/>
        </w:rPr>
        <w:t xml:space="preserve"> International</w:t>
      </w:r>
      <w:r>
        <w:rPr>
          <w:rStyle w:val="af"/>
          <w:rFonts w:cs="Times New Roman"/>
          <w:b w:val="0"/>
          <w:bCs w:val="0"/>
          <w:sz w:val="24"/>
          <w:szCs w:val="24"/>
          <w:lang w:val="uk-UA"/>
        </w:rPr>
        <w:t>,</w:t>
      </w:r>
      <w:r w:rsidRPr="00BA7676">
        <w:rPr>
          <w:rStyle w:val="af"/>
          <w:rFonts w:cs="Times New Roman"/>
          <w:b w:val="0"/>
          <w:bCs w:val="0"/>
          <w:sz w:val="24"/>
          <w:szCs w:val="24"/>
          <w:lang w:val="en-US"/>
        </w:rPr>
        <w:t xml:space="preserve"> impartial and independent mechanism to assist in the investigation and prosecution of persons responsible for the most serious crimes under international law committed in the Syrian Arab Republic since March 2011. Retrieved from </w:t>
      </w:r>
      <w:hyperlink r:id="rId40" w:history="1">
        <w:r w:rsidRPr="00BA7676">
          <w:rPr>
            <w:rStyle w:val="ad"/>
            <w:rFonts w:cs="Times New Roman"/>
            <w:color w:val="auto"/>
            <w:sz w:val="24"/>
            <w:szCs w:val="24"/>
            <w:lang w:val="en-US"/>
          </w:rPr>
          <w:t>https://digitallibrary.un.org/record/856708?v=pdf</w:t>
        </w:r>
      </w:hyperlink>
    </w:p>
    <w:p w14:paraId="58D40B97" w14:textId="77777777" w:rsidR="007B0A36" w:rsidRPr="00BA7676" w:rsidRDefault="007B0A36" w:rsidP="00BA7676">
      <w:pPr>
        <w:spacing w:after="0"/>
        <w:ind w:left="567" w:hanging="567"/>
        <w:jc w:val="both"/>
        <w:rPr>
          <w:rFonts w:cs="Times New Roman"/>
          <w:b/>
          <w:bCs/>
          <w:sz w:val="24"/>
          <w:szCs w:val="24"/>
          <w:highlight w:val="lightGray"/>
          <w:lang w:val="uk-UA"/>
        </w:rPr>
      </w:pPr>
      <w:r w:rsidRPr="004E4348">
        <w:rPr>
          <w:rFonts w:cs="Times New Roman"/>
          <w:sz w:val="24"/>
          <w:szCs w:val="24"/>
          <w:lang w:val="en-US"/>
        </w:rPr>
        <w:t>United States Congress</w:t>
      </w:r>
      <w:r>
        <w:rPr>
          <w:rFonts w:cs="Times New Roman"/>
          <w:sz w:val="24"/>
          <w:szCs w:val="24"/>
          <w:lang w:val="uk-UA"/>
        </w:rPr>
        <w:t xml:space="preserve">. </w:t>
      </w:r>
      <w:r w:rsidRPr="004E4348">
        <w:rPr>
          <w:rFonts w:cs="Times New Roman"/>
          <w:sz w:val="24"/>
          <w:szCs w:val="24"/>
          <w:lang w:val="uk-UA"/>
        </w:rPr>
        <w:t xml:space="preserve">(2023). </w:t>
      </w:r>
      <w:r w:rsidRPr="004E4348">
        <w:rPr>
          <w:rFonts w:cs="Times New Roman"/>
          <w:sz w:val="24"/>
          <w:szCs w:val="24"/>
          <w:lang w:val="en-US"/>
        </w:rPr>
        <w:t>REPO for Ukrainians Act. Retrieved from</w:t>
      </w:r>
      <w:r w:rsidRPr="004E4348">
        <w:rPr>
          <w:rFonts w:cs="Times New Roman"/>
          <w:sz w:val="24"/>
          <w:szCs w:val="24"/>
          <w:lang w:val="uk-UA"/>
        </w:rPr>
        <w:t xml:space="preserve"> https://www.congress.gov/bill/118th-congress/house-bill/4175</w:t>
      </w:r>
    </w:p>
    <w:p w14:paraId="59CD9471" w14:textId="77777777" w:rsidR="007B0A36" w:rsidRPr="00BA7676"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Varga, R. (202</w:t>
      </w:r>
      <w:r>
        <w:rPr>
          <w:rStyle w:val="af"/>
          <w:rFonts w:cs="Times New Roman"/>
          <w:b w:val="0"/>
          <w:bCs w:val="0"/>
          <w:sz w:val="24"/>
          <w:szCs w:val="24"/>
          <w:lang w:val="en-US"/>
        </w:rPr>
        <w:t>4</w:t>
      </w:r>
      <w:r w:rsidRPr="00BA7676">
        <w:rPr>
          <w:rStyle w:val="af"/>
          <w:rFonts w:cs="Times New Roman"/>
          <w:b w:val="0"/>
          <w:bCs w:val="0"/>
          <w:sz w:val="24"/>
          <w:szCs w:val="24"/>
          <w:lang w:val="en-US"/>
        </w:rPr>
        <w:t xml:space="preserve">) The Russian-Ukrainian war: The possibilities of ensuring accountability. </w:t>
      </w:r>
      <w:r w:rsidRPr="00BA7676">
        <w:rPr>
          <w:rStyle w:val="af"/>
          <w:rFonts w:cs="Times New Roman"/>
          <w:b w:val="0"/>
          <w:bCs w:val="0"/>
          <w:i/>
          <w:iCs/>
          <w:sz w:val="24"/>
          <w:szCs w:val="24"/>
          <w:lang w:val="en-US"/>
        </w:rPr>
        <w:t>Hungarian Journal of Legal Studies</w:t>
      </w:r>
      <w:r w:rsidRPr="00BA7676">
        <w:rPr>
          <w:rStyle w:val="af"/>
          <w:rFonts w:cs="Times New Roman"/>
          <w:b w:val="0"/>
          <w:bCs w:val="0"/>
          <w:sz w:val="24"/>
          <w:szCs w:val="24"/>
          <w:lang w:val="en-US"/>
        </w:rPr>
        <w:t xml:space="preserve">, </w:t>
      </w:r>
      <w:r w:rsidRPr="000F20B5">
        <w:rPr>
          <w:rStyle w:val="af"/>
          <w:rFonts w:cs="Times New Roman"/>
          <w:b w:val="0"/>
          <w:bCs w:val="0"/>
          <w:i/>
          <w:iCs/>
          <w:sz w:val="24"/>
          <w:szCs w:val="24"/>
          <w:lang w:val="en-US"/>
        </w:rPr>
        <w:t>64</w:t>
      </w:r>
      <w:r w:rsidRPr="00BA7676">
        <w:rPr>
          <w:rStyle w:val="af"/>
          <w:rFonts w:cs="Times New Roman"/>
          <w:b w:val="0"/>
          <w:bCs w:val="0"/>
          <w:sz w:val="24"/>
          <w:szCs w:val="24"/>
          <w:lang w:val="en-US"/>
        </w:rPr>
        <w:t xml:space="preserve">(4), 580-588. </w:t>
      </w:r>
      <w:hyperlink r:id="rId41" w:history="1">
        <w:r w:rsidRPr="00EE7C66">
          <w:rPr>
            <w:rStyle w:val="ad"/>
            <w:rFonts w:cs="Times New Roman"/>
            <w:sz w:val="24"/>
            <w:szCs w:val="24"/>
            <w:lang w:val="en-US"/>
          </w:rPr>
          <w:t>https://doi.org/10.1556/2052.2024.00007</w:t>
        </w:r>
      </w:hyperlink>
      <w:r>
        <w:rPr>
          <w:rStyle w:val="af"/>
          <w:rFonts w:cs="Times New Roman"/>
          <w:b w:val="0"/>
          <w:bCs w:val="0"/>
          <w:sz w:val="24"/>
          <w:szCs w:val="24"/>
          <w:lang w:val="en-US"/>
        </w:rPr>
        <w:t xml:space="preserve"> </w:t>
      </w:r>
    </w:p>
    <w:p w14:paraId="3EC4A52B" w14:textId="77777777" w:rsidR="007B0A36" w:rsidRPr="00D417BE" w:rsidRDefault="007B0A36" w:rsidP="00BA7676">
      <w:pPr>
        <w:spacing w:after="0"/>
        <w:ind w:left="567" w:hanging="567"/>
        <w:jc w:val="both"/>
        <w:rPr>
          <w:rStyle w:val="af"/>
          <w:rFonts w:cs="Times New Roman"/>
          <w:b w:val="0"/>
          <w:bCs w:val="0"/>
          <w:sz w:val="24"/>
          <w:szCs w:val="24"/>
          <w:lang w:val="en-US"/>
        </w:rPr>
      </w:pPr>
      <w:r w:rsidRPr="00BA7676">
        <w:rPr>
          <w:rStyle w:val="af"/>
          <w:rFonts w:cs="Times New Roman"/>
          <w:b w:val="0"/>
          <w:bCs w:val="0"/>
          <w:sz w:val="24"/>
          <w:szCs w:val="24"/>
          <w:lang w:val="en-US"/>
        </w:rPr>
        <w:t>Varney, H.</w:t>
      </w:r>
      <w:r>
        <w:rPr>
          <w:rStyle w:val="af"/>
          <w:rFonts w:cs="Times New Roman"/>
          <w:b w:val="0"/>
          <w:bCs w:val="0"/>
          <w:sz w:val="24"/>
          <w:szCs w:val="24"/>
          <w:lang w:val="en-US"/>
        </w:rPr>
        <w:t>, &amp;</w:t>
      </w:r>
      <w:r w:rsidRPr="00BA7676">
        <w:rPr>
          <w:rStyle w:val="af"/>
          <w:rFonts w:cs="Times New Roman"/>
          <w:b w:val="0"/>
          <w:bCs w:val="0"/>
          <w:sz w:val="24"/>
          <w:szCs w:val="24"/>
          <w:lang w:val="en-US"/>
        </w:rPr>
        <w:t xml:space="preserve"> </w:t>
      </w:r>
      <w:proofErr w:type="spellStart"/>
      <w:r w:rsidRPr="00BA7676">
        <w:rPr>
          <w:rStyle w:val="af"/>
          <w:rFonts w:cs="Times New Roman"/>
          <w:b w:val="0"/>
          <w:bCs w:val="0"/>
          <w:sz w:val="24"/>
          <w:szCs w:val="24"/>
          <w:lang w:val="en-US"/>
        </w:rPr>
        <w:t>Zduńczyk</w:t>
      </w:r>
      <w:proofErr w:type="spellEnd"/>
      <w:r w:rsidRPr="00BA7676">
        <w:rPr>
          <w:rStyle w:val="af"/>
          <w:rFonts w:cs="Times New Roman"/>
          <w:b w:val="0"/>
          <w:bCs w:val="0"/>
          <w:sz w:val="24"/>
          <w:szCs w:val="24"/>
          <w:lang w:val="en-US"/>
        </w:rPr>
        <w:t xml:space="preserve">, K. (2020). </w:t>
      </w:r>
      <w:r w:rsidRPr="00D417BE">
        <w:rPr>
          <w:rStyle w:val="af"/>
          <w:rFonts w:cs="Times New Roman"/>
          <w:b w:val="0"/>
          <w:bCs w:val="0"/>
          <w:i/>
          <w:iCs/>
          <w:sz w:val="24"/>
          <w:szCs w:val="24"/>
          <w:lang w:val="en-US"/>
        </w:rPr>
        <w:t>Advancing global accountability. The role of universal jurisdiction in prosecuting international crimes</w:t>
      </w:r>
      <w:r>
        <w:rPr>
          <w:rStyle w:val="af"/>
          <w:rFonts w:cs="Times New Roman"/>
          <w:b w:val="0"/>
          <w:bCs w:val="0"/>
          <w:sz w:val="24"/>
          <w:szCs w:val="24"/>
          <w:lang w:val="en-US"/>
        </w:rPr>
        <w:t>.</w:t>
      </w:r>
      <w:r w:rsidRPr="00BA7676">
        <w:rPr>
          <w:rStyle w:val="af"/>
          <w:rFonts w:cs="Times New Roman"/>
          <w:b w:val="0"/>
          <w:bCs w:val="0"/>
          <w:sz w:val="24"/>
          <w:szCs w:val="24"/>
          <w:lang w:val="en-US"/>
        </w:rPr>
        <w:t xml:space="preserve"> </w:t>
      </w:r>
      <w:r>
        <w:rPr>
          <w:rStyle w:val="af"/>
          <w:rFonts w:cs="Times New Roman"/>
          <w:b w:val="0"/>
          <w:bCs w:val="0"/>
          <w:sz w:val="24"/>
          <w:szCs w:val="24"/>
          <w:lang w:val="en-US"/>
        </w:rPr>
        <w:t xml:space="preserve">New York: </w:t>
      </w:r>
      <w:r w:rsidRPr="00D417BE">
        <w:rPr>
          <w:rFonts w:cs="Times New Roman"/>
          <w:sz w:val="24"/>
          <w:szCs w:val="24"/>
          <w:lang w:val="en-US"/>
        </w:rPr>
        <w:t>International Center for Transitional Justice</w:t>
      </w:r>
      <w:r>
        <w:rPr>
          <w:rFonts w:cs="Times New Roman"/>
          <w:sz w:val="24"/>
          <w:szCs w:val="24"/>
          <w:lang w:val="en-US"/>
        </w:rPr>
        <w:t xml:space="preserve">. </w:t>
      </w:r>
    </w:p>
    <w:p w14:paraId="19012E9A" w14:textId="77777777" w:rsidR="007B0A36" w:rsidRPr="00BA7676" w:rsidRDefault="007B0A36" w:rsidP="00BA7676">
      <w:pPr>
        <w:spacing w:after="0"/>
        <w:ind w:left="567" w:hanging="567"/>
        <w:jc w:val="both"/>
        <w:rPr>
          <w:rStyle w:val="af"/>
          <w:rFonts w:cs="Times New Roman"/>
          <w:b w:val="0"/>
          <w:bCs w:val="0"/>
          <w:sz w:val="24"/>
          <w:szCs w:val="24"/>
          <w:lang w:val="en-US"/>
        </w:rPr>
      </w:pPr>
      <w:proofErr w:type="spellStart"/>
      <w:r w:rsidRPr="00BA7676">
        <w:rPr>
          <w:rStyle w:val="af"/>
          <w:rFonts w:cs="Times New Roman"/>
          <w:b w:val="0"/>
          <w:bCs w:val="0"/>
          <w:sz w:val="24"/>
          <w:szCs w:val="24"/>
          <w:lang w:val="en-US"/>
        </w:rPr>
        <w:t>Yermolenko</w:t>
      </w:r>
      <w:proofErr w:type="spellEnd"/>
      <w:r w:rsidRPr="00BA7676">
        <w:rPr>
          <w:rStyle w:val="af"/>
          <w:rFonts w:cs="Times New Roman"/>
          <w:b w:val="0"/>
          <w:bCs w:val="0"/>
          <w:sz w:val="24"/>
          <w:szCs w:val="24"/>
          <w:lang w:val="en-US"/>
        </w:rPr>
        <w:t xml:space="preserve">-Knyazeva, L. S. (2021). </w:t>
      </w:r>
      <w:r w:rsidRPr="00642C15">
        <w:rPr>
          <w:rStyle w:val="af"/>
          <w:rFonts w:cs="Times New Roman"/>
          <w:b w:val="0"/>
          <w:bCs w:val="0"/>
          <w:sz w:val="24"/>
          <w:szCs w:val="24"/>
          <w:lang w:val="en-US"/>
        </w:rPr>
        <w:t>An individual as a subject of international law</w:t>
      </w:r>
      <w:r w:rsidRPr="00BA7676">
        <w:rPr>
          <w:rStyle w:val="af"/>
          <w:rFonts w:cs="Times New Roman"/>
          <w:b w:val="0"/>
          <w:bCs w:val="0"/>
          <w:sz w:val="24"/>
          <w:szCs w:val="24"/>
          <w:lang w:val="en-US"/>
        </w:rPr>
        <w:t xml:space="preserve">. </w:t>
      </w:r>
      <w:r w:rsidRPr="00BA7676">
        <w:rPr>
          <w:rStyle w:val="af"/>
          <w:rFonts w:cs="Times New Roman"/>
          <w:b w:val="0"/>
          <w:bCs w:val="0"/>
          <w:i/>
          <w:iCs/>
          <w:sz w:val="24"/>
          <w:szCs w:val="24"/>
          <w:lang w:val="en-US"/>
        </w:rPr>
        <w:t>Scientific Bulletin of the Flight Academy</w:t>
      </w:r>
      <w:r w:rsidRPr="00642C15">
        <w:rPr>
          <w:rStyle w:val="af"/>
          <w:rFonts w:cs="Times New Roman"/>
          <w:b w:val="0"/>
          <w:bCs w:val="0"/>
          <w:i/>
          <w:iCs/>
          <w:sz w:val="24"/>
          <w:szCs w:val="24"/>
          <w:lang w:val="en-US"/>
        </w:rPr>
        <w:t>, 3-4</w:t>
      </w:r>
      <w:r w:rsidRPr="00BA7676">
        <w:rPr>
          <w:rStyle w:val="af"/>
          <w:rFonts w:cs="Times New Roman"/>
          <w:b w:val="0"/>
          <w:bCs w:val="0"/>
          <w:sz w:val="24"/>
          <w:szCs w:val="24"/>
          <w:lang w:val="en-US"/>
        </w:rPr>
        <w:t>, 166–171.</w:t>
      </w:r>
      <w:r>
        <w:rPr>
          <w:rStyle w:val="af"/>
          <w:rFonts w:cs="Times New Roman"/>
          <w:b w:val="0"/>
          <w:bCs w:val="0"/>
          <w:sz w:val="24"/>
          <w:szCs w:val="24"/>
          <w:lang w:val="en-US"/>
        </w:rPr>
        <w:t xml:space="preserve"> </w:t>
      </w:r>
      <w:hyperlink r:id="rId42" w:history="1">
        <w:r w:rsidRPr="00EE7C66">
          <w:rPr>
            <w:rStyle w:val="ad"/>
            <w:rFonts w:cs="Times New Roman"/>
            <w:sz w:val="24"/>
            <w:szCs w:val="24"/>
            <w:lang w:val="en-US"/>
          </w:rPr>
          <w:t>https://doi.org/10.33251/2707-8620-2021-3-4-166-171</w:t>
        </w:r>
      </w:hyperlink>
      <w:r>
        <w:rPr>
          <w:rStyle w:val="af"/>
          <w:rFonts w:cs="Times New Roman"/>
          <w:b w:val="0"/>
          <w:bCs w:val="0"/>
          <w:sz w:val="24"/>
          <w:szCs w:val="24"/>
          <w:lang w:val="en-US"/>
        </w:rPr>
        <w:t xml:space="preserve"> </w:t>
      </w:r>
    </w:p>
    <w:p w14:paraId="5D658476" w14:textId="77777777" w:rsidR="007B0A36" w:rsidRDefault="007B0A36" w:rsidP="00BA7676">
      <w:pPr>
        <w:spacing w:after="0"/>
        <w:ind w:left="567" w:hanging="567"/>
        <w:jc w:val="both"/>
        <w:rPr>
          <w:rStyle w:val="af"/>
          <w:rFonts w:cs="Times New Roman"/>
          <w:b w:val="0"/>
          <w:bCs w:val="0"/>
          <w:sz w:val="24"/>
          <w:szCs w:val="24"/>
          <w:lang w:val="en-US"/>
        </w:rPr>
      </w:pPr>
      <w:proofErr w:type="spellStart"/>
      <w:r w:rsidRPr="00BA7676">
        <w:rPr>
          <w:rStyle w:val="af"/>
          <w:rFonts w:cs="Times New Roman"/>
          <w:b w:val="0"/>
          <w:bCs w:val="0"/>
          <w:sz w:val="24"/>
          <w:szCs w:val="24"/>
          <w:lang w:val="en-US"/>
        </w:rPr>
        <w:t>Zubarieva</w:t>
      </w:r>
      <w:proofErr w:type="spellEnd"/>
      <w:r w:rsidRPr="00BA7676">
        <w:rPr>
          <w:rStyle w:val="af"/>
          <w:rFonts w:cs="Times New Roman"/>
          <w:b w:val="0"/>
          <w:bCs w:val="0"/>
          <w:sz w:val="24"/>
          <w:szCs w:val="24"/>
          <w:lang w:val="en-US"/>
        </w:rPr>
        <w:t xml:space="preserve">, A.S. (2016). Certain aspects of the implementation of the decisions of the UN Human Rights Committee in Ukraine. </w:t>
      </w:r>
      <w:r w:rsidRPr="00BA7676">
        <w:rPr>
          <w:rStyle w:val="af"/>
          <w:rFonts w:cs="Times New Roman"/>
          <w:b w:val="0"/>
          <w:bCs w:val="0"/>
          <w:i/>
          <w:iCs/>
          <w:sz w:val="24"/>
          <w:szCs w:val="24"/>
          <w:lang w:val="en-US"/>
        </w:rPr>
        <w:t>Scientific Bulletin of the International Humanitarian University</w:t>
      </w:r>
      <w:r w:rsidRPr="00BA7676">
        <w:rPr>
          <w:rStyle w:val="af"/>
          <w:rFonts w:cs="Times New Roman"/>
          <w:b w:val="0"/>
          <w:bCs w:val="0"/>
          <w:sz w:val="24"/>
          <w:szCs w:val="24"/>
          <w:lang w:val="en-US"/>
        </w:rPr>
        <w:t xml:space="preserve">, </w:t>
      </w:r>
      <w:r w:rsidRPr="00AF3456">
        <w:rPr>
          <w:rStyle w:val="af"/>
          <w:rFonts w:cs="Times New Roman"/>
          <w:b w:val="0"/>
          <w:bCs w:val="0"/>
          <w:i/>
          <w:iCs/>
          <w:sz w:val="24"/>
          <w:szCs w:val="24"/>
          <w:lang w:val="en-US"/>
        </w:rPr>
        <w:t>20</w:t>
      </w:r>
      <w:r w:rsidRPr="00BA7676">
        <w:rPr>
          <w:rStyle w:val="af"/>
          <w:rFonts w:cs="Times New Roman"/>
          <w:b w:val="0"/>
          <w:bCs w:val="0"/>
          <w:sz w:val="24"/>
          <w:szCs w:val="24"/>
          <w:lang w:val="en-US"/>
        </w:rPr>
        <w:t>, 174–178.</w:t>
      </w:r>
    </w:p>
    <w:p w14:paraId="4E05188A" w14:textId="77777777" w:rsidR="00B4077A" w:rsidRPr="00BA7676" w:rsidRDefault="00B4077A" w:rsidP="00BA7676">
      <w:pPr>
        <w:spacing w:after="0"/>
        <w:ind w:left="567" w:hanging="567"/>
        <w:jc w:val="both"/>
        <w:rPr>
          <w:rFonts w:cs="Times New Roman"/>
          <w:sz w:val="24"/>
          <w:szCs w:val="24"/>
          <w:lang w:val="en-US"/>
        </w:rPr>
      </w:pPr>
    </w:p>
    <w:p w14:paraId="4F1B3625" w14:textId="348B3928" w:rsidR="005D6691" w:rsidRPr="00BA7676" w:rsidRDefault="005D6691" w:rsidP="00B65D54">
      <w:pPr>
        <w:spacing w:after="0"/>
        <w:jc w:val="both"/>
        <w:rPr>
          <w:rFonts w:cs="Times New Roman"/>
          <w:b/>
          <w:bCs/>
          <w:sz w:val="24"/>
          <w:szCs w:val="24"/>
          <w:lang w:val="en-US"/>
        </w:rPr>
      </w:pPr>
    </w:p>
    <w:sectPr w:rsidR="005D6691" w:rsidRPr="00BA7676" w:rsidSect="00C00948">
      <w:footerReference w:type="default" r:id="rId43"/>
      <w:pgSz w:w="11920" w:h="16850"/>
      <w:pgMar w:top="1440" w:right="1440" w:bottom="1440" w:left="144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1AADD3" w14:textId="77777777" w:rsidR="001A1C62" w:rsidRDefault="001A1C62" w:rsidP="001016C2">
      <w:pPr>
        <w:spacing w:after="0"/>
      </w:pPr>
      <w:r>
        <w:separator/>
      </w:r>
    </w:p>
  </w:endnote>
  <w:endnote w:type="continuationSeparator" w:id="0">
    <w:p w14:paraId="66722698" w14:textId="77777777" w:rsidR="001A1C62" w:rsidRDefault="001A1C62" w:rsidP="001016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3030610"/>
      <w:docPartObj>
        <w:docPartGallery w:val="Page Numbers (Bottom of Page)"/>
        <w:docPartUnique/>
      </w:docPartObj>
    </w:sdtPr>
    <w:sdtContent>
      <w:p w14:paraId="01211CCB" w14:textId="33D61267" w:rsidR="00CA0F70" w:rsidRPr="00CA0F70" w:rsidRDefault="00CA0F70" w:rsidP="00CA0F70">
        <w:pPr>
          <w:pStyle w:val="af3"/>
          <w:jc w:val="right"/>
        </w:pPr>
        <w:r w:rsidRPr="00C00948">
          <w:rPr>
            <w:sz w:val="24"/>
            <w:szCs w:val="24"/>
          </w:rPr>
          <w:fldChar w:fldCharType="begin"/>
        </w:r>
        <w:r w:rsidRPr="00C00948">
          <w:rPr>
            <w:sz w:val="24"/>
            <w:szCs w:val="24"/>
          </w:rPr>
          <w:instrText>PAGE   \* MERGEFORMAT</w:instrText>
        </w:r>
        <w:r w:rsidRPr="00C00948">
          <w:rPr>
            <w:sz w:val="24"/>
            <w:szCs w:val="24"/>
          </w:rPr>
          <w:fldChar w:fldCharType="separate"/>
        </w:r>
        <w:r w:rsidRPr="00C00948">
          <w:rPr>
            <w:sz w:val="24"/>
            <w:szCs w:val="24"/>
          </w:rPr>
          <w:t>2</w:t>
        </w:r>
        <w:r w:rsidRPr="00C00948">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399EAF" w14:textId="77777777" w:rsidR="001A1C62" w:rsidRDefault="001A1C62" w:rsidP="001016C2">
      <w:pPr>
        <w:spacing w:after="0"/>
      </w:pPr>
      <w:r>
        <w:separator/>
      </w:r>
    </w:p>
  </w:footnote>
  <w:footnote w:type="continuationSeparator" w:id="0">
    <w:p w14:paraId="44C23A32" w14:textId="77777777" w:rsidR="001A1C62" w:rsidRDefault="001A1C62" w:rsidP="001016C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057E1"/>
    <w:multiLevelType w:val="hybridMultilevel"/>
    <w:tmpl w:val="2F08C6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ED221A"/>
    <w:multiLevelType w:val="hybridMultilevel"/>
    <w:tmpl w:val="CA76A022"/>
    <w:lvl w:ilvl="0" w:tplc="35382E5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CED58FC"/>
    <w:multiLevelType w:val="hybridMultilevel"/>
    <w:tmpl w:val="F62EE6E6"/>
    <w:lvl w:ilvl="0" w:tplc="A92C9E72">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8615D66"/>
    <w:multiLevelType w:val="hybridMultilevel"/>
    <w:tmpl w:val="DB5625B2"/>
    <w:lvl w:ilvl="0" w:tplc="19A8BE3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181274"/>
    <w:multiLevelType w:val="multilevel"/>
    <w:tmpl w:val="5610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7D1BF8"/>
    <w:multiLevelType w:val="multilevel"/>
    <w:tmpl w:val="5610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105C4A"/>
    <w:multiLevelType w:val="hybridMultilevel"/>
    <w:tmpl w:val="FD7C094A"/>
    <w:lvl w:ilvl="0" w:tplc="AC52487C">
      <w:start w:val="1"/>
      <w:numFmt w:val="decimal"/>
      <w:lvlText w:val="%1."/>
      <w:lvlJc w:val="left"/>
      <w:pPr>
        <w:ind w:left="1068" w:hanging="708"/>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8B768C"/>
    <w:multiLevelType w:val="multilevel"/>
    <w:tmpl w:val="5610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2A469B"/>
    <w:multiLevelType w:val="multilevel"/>
    <w:tmpl w:val="D4707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F23BD3"/>
    <w:multiLevelType w:val="multilevel"/>
    <w:tmpl w:val="5610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E775A2"/>
    <w:multiLevelType w:val="multilevel"/>
    <w:tmpl w:val="5610F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9A27A2"/>
    <w:multiLevelType w:val="multilevel"/>
    <w:tmpl w:val="3EC0D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7930661">
    <w:abstractNumId w:val="8"/>
  </w:num>
  <w:num w:numId="2" w16cid:durableId="698237285">
    <w:abstractNumId w:val="11"/>
  </w:num>
  <w:num w:numId="3" w16cid:durableId="793712545">
    <w:abstractNumId w:val="7"/>
  </w:num>
  <w:num w:numId="4" w16cid:durableId="15450220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2763175">
    <w:abstractNumId w:val="4"/>
  </w:num>
  <w:num w:numId="6" w16cid:durableId="524710326">
    <w:abstractNumId w:val="10"/>
  </w:num>
  <w:num w:numId="7" w16cid:durableId="837814441">
    <w:abstractNumId w:val="2"/>
  </w:num>
  <w:num w:numId="8" w16cid:durableId="75056513">
    <w:abstractNumId w:val="5"/>
  </w:num>
  <w:num w:numId="9" w16cid:durableId="1382636186">
    <w:abstractNumId w:val="3"/>
  </w:num>
  <w:num w:numId="10" w16cid:durableId="891429611">
    <w:abstractNumId w:val="9"/>
  </w:num>
  <w:num w:numId="11" w16cid:durableId="1302953971">
    <w:abstractNumId w:val="6"/>
  </w:num>
  <w:num w:numId="12" w16cid:durableId="1934126511">
    <w:abstractNumId w:val="1"/>
  </w:num>
  <w:num w:numId="13" w16cid:durableId="254557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0FA"/>
    <w:rsid w:val="000035C0"/>
    <w:rsid w:val="000041C4"/>
    <w:rsid w:val="000156BF"/>
    <w:rsid w:val="000179DE"/>
    <w:rsid w:val="00021FAD"/>
    <w:rsid w:val="0002619B"/>
    <w:rsid w:val="000322DB"/>
    <w:rsid w:val="00051EED"/>
    <w:rsid w:val="00060B46"/>
    <w:rsid w:val="0006243D"/>
    <w:rsid w:val="00063304"/>
    <w:rsid w:val="00070AD4"/>
    <w:rsid w:val="000763AC"/>
    <w:rsid w:val="00081C5B"/>
    <w:rsid w:val="000B54E5"/>
    <w:rsid w:val="000C6C2C"/>
    <w:rsid w:val="000D6E88"/>
    <w:rsid w:val="000F0AFA"/>
    <w:rsid w:val="000F0EEB"/>
    <w:rsid w:val="000F1C47"/>
    <w:rsid w:val="000F20B5"/>
    <w:rsid w:val="000F3A60"/>
    <w:rsid w:val="001016C2"/>
    <w:rsid w:val="00103F75"/>
    <w:rsid w:val="001060A1"/>
    <w:rsid w:val="001060EE"/>
    <w:rsid w:val="00106D13"/>
    <w:rsid w:val="001144C0"/>
    <w:rsid w:val="00117A9C"/>
    <w:rsid w:val="00150B4D"/>
    <w:rsid w:val="00151C46"/>
    <w:rsid w:val="001545E3"/>
    <w:rsid w:val="00155489"/>
    <w:rsid w:val="001573C0"/>
    <w:rsid w:val="00173C6F"/>
    <w:rsid w:val="0019205F"/>
    <w:rsid w:val="00194E69"/>
    <w:rsid w:val="001A0C4F"/>
    <w:rsid w:val="001A1C62"/>
    <w:rsid w:val="001A2F8A"/>
    <w:rsid w:val="001B4D9C"/>
    <w:rsid w:val="001D66CB"/>
    <w:rsid w:val="002116D1"/>
    <w:rsid w:val="0021229C"/>
    <w:rsid w:val="00223340"/>
    <w:rsid w:val="002236C4"/>
    <w:rsid w:val="0022426F"/>
    <w:rsid w:val="002418C2"/>
    <w:rsid w:val="002428C2"/>
    <w:rsid w:val="0024798B"/>
    <w:rsid w:val="00261F21"/>
    <w:rsid w:val="0026415D"/>
    <w:rsid w:val="002712CF"/>
    <w:rsid w:val="002807F1"/>
    <w:rsid w:val="00285A74"/>
    <w:rsid w:val="00286AF6"/>
    <w:rsid w:val="002879C5"/>
    <w:rsid w:val="0029309F"/>
    <w:rsid w:val="00297D46"/>
    <w:rsid w:val="00297F6C"/>
    <w:rsid w:val="002A447C"/>
    <w:rsid w:val="002A6095"/>
    <w:rsid w:val="002C28FF"/>
    <w:rsid w:val="002D6B0E"/>
    <w:rsid w:val="002E072E"/>
    <w:rsid w:val="002E5037"/>
    <w:rsid w:val="002E7731"/>
    <w:rsid w:val="00316E3D"/>
    <w:rsid w:val="0031700F"/>
    <w:rsid w:val="00345549"/>
    <w:rsid w:val="00347661"/>
    <w:rsid w:val="003675E0"/>
    <w:rsid w:val="003814BD"/>
    <w:rsid w:val="00385F02"/>
    <w:rsid w:val="003A6CEA"/>
    <w:rsid w:val="003A7BF4"/>
    <w:rsid w:val="003C454E"/>
    <w:rsid w:val="003C6344"/>
    <w:rsid w:val="003C6D17"/>
    <w:rsid w:val="003F53BA"/>
    <w:rsid w:val="0041577B"/>
    <w:rsid w:val="00421548"/>
    <w:rsid w:val="00422153"/>
    <w:rsid w:val="004505D1"/>
    <w:rsid w:val="00457E71"/>
    <w:rsid w:val="00491D86"/>
    <w:rsid w:val="00491E88"/>
    <w:rsid w:val="004A1811"/>
    <w:rsid w:val="004B50D3"/>
    <w:rsid w:val="004D5AC1"/>
    <w:rsid w:val="004E2B55"/>
    <w:rsid w:val="004E4348"/>
    <w:rsid w:val="004F39A7"/>
    <w:rsid w:val="00500BAD"/>
    <w:rsid w:val="0050358A"/>
    <w:rsid w:val="00510004"/>
    <w:rsid w:val="005173C3"/>
    <w:rsid w:val="00521599"/>
    <w:rsid w:val="0052495E"/>
    <w:rsid w:val="00531A32"/>
    <w:rsid w:val="00535325"/>
    <w:rsid w:val="005561AD"/>
    <w:rsid w:val="005723B2"/>
    <w:rsid w:val="0058305B"/>
    <w:rsid w:val="0058421E"/>
    <w:rsid w:val="0058492D"/>
    <w:rsid w:val="00585FD6"/>
    <w:rsid w:val="00591A89"/>
    <w:rsid w:val="00593459"/>
    <w:rsid w:val="00595E09"/>
    <w:rsid w:val="005B00FA"/>
    <w:rsid w:val="005B27F9"/>
    <w:rsid w:val="005C03F1"/>
    <w:rsid w:val="005D068B"/>
    <w:rsid w:val="005D64B7"/>
    <w:rsid w:val="005D64C3"/>
    <w:rsid w:val="005D6691"/>
    <w:rsid w:val="005E179E"/>
    <w:rsid w:val="005F1763"/>
    <w:rsid w:val="00611CB9"/>
    <w:rsid w:val="0061502C"/>
    <w:rsid w:val="006154FD"/>
    <w:rsid w:val="00632793"/>
    <w:rsid w:val="00642612"/>
    <w:rsid w:val="00642C15"/>
    <w:rsid w:val="006431E0"/>
    <w:rsid w:val="00645158"/>
    <w:rsid w:val="0064616D"/>
    <w:rsid w:val="00652952"/>
    <w:rsid w:val="00653441"/>
    <w:rsid w:val="00663674"/>
    <w:rsid w:val="006925FF"/>
    <w:rsid w:val="0069530E"/>
    <w:rsid w:val="006A6E14"/>
    <w:rsid w:val="006B0D19"/>
    <w:rsid w:val="006B399F"/>
    <w:rsid w:val="006B5F6F"/>
    <w:rsid w:val="006C0B77"/>
    <w:rsid w:val="006D5F23"/>
    <w:rsid w:val="006D6F00"/>
    <w:rsid w:val="006E1F5D"/>
    <w:rsid w:val="006F0942"/>
    <w:rsid w:val="0070231D"/>
    <w:rsid w:val="00702F85"/>
    <w:rsid w:val="007105B9"/>
    <w:rsid w:val="00710FFD"/>
    <w:rsid w:val="00713241"/>
    <w:rsid w:val="00730576"/>
    <w:rsid w:val="007342FC"/>
    <w:rsid w:val="00735D03"/>
    <w:rsid w:val="00744250"/>
    <w:rsid w:val="007632AD"/>
    <w:rsid w:val="00763D0F"/>
    <w:rsid w:val="00764471"/>
    <w:rsid w:val="00767FB3"/>
    <w:rsid w:val="00772D3D"/>
    <w:rsid w:val="007760B4"/>
    <w:rsid w:val="00776BC4"/>
    <w:rsid w:val="00784717"/>
    <w:rsid w:val="0079145C"/>
    <w:rsid w:val="0079494A"/>
    <w:rsid w:val="007B0A36"/>
    <w:rsid w:val="007B4413"/>
    <w:rsid w:val="007D2F35"/>
    <w:rsid w:val="007E5F3F"/>
    <w:rsid w:val="007F26C0"/>
    <w:rsid w:val="0080208F"/>
    <w:rsid w:val="00810A30"/>
    <w:rsid w:val="008219B1"/>
    <w:rsid w:val="008242FF"/>
    <w:rsid w:val="00854643"/>
    <w:rsid w:val="00864C95"/>
    <w:rsid w:val="00870751"/>
    <w:rsid w:val="00892C5F"/>
    <w:rsid w:val="008D2E26"/>
    <w:rsid w:val="008D57D1"/>
    <w:rsid w:val="008E0904"/>
    <w:rsid w:val="008E722B"/>
    <w:rsid w:val="008E76E7"/>
    <w:rsid w:val="008F5216"/>
    <w:rsid w:val="009008CB"/>
    <w:rsid w:val="00922C48"/>
    <w:rsid w:val="009249DC"/>
    <w:rsid w:val="00930673"/>
    <w:rsid w:val="0093095C"/>
    <w:rsid w:val="00935945"/>
    <w:rsid w:val="00936080"/>
    <w:rsid w:val="00944608"/>
    <w:rsid w:val="00945519"/>
    <w:rsid w:val="00947537"/>
    <w:rsid w:val="00950141"/>
    <w:rsid w:val="00953670"/>
    <w:rsid w:val="0095705E"/>
    <w:rsid w:val="00961118"/>
    <w:rsid w:val="009814BA"/>
    <w:rsid w:val="009820E3"/>
    <w:rsid w:val="00994437"/>
    <w:rsid w:val="009A603F"/>
    <w:rsid w:val="009B61CF"/>
    <w:rsid w:val="009B693C"/>
    <w:rsid w:val="009C1BC7"/>
    <w:rsid w:val="009C5ECB"/>
    <w:rsid w:val="009C5FDB"/>
    <w:rsid w:val="009F6A2E"/>
    <w:rsid w:val="00A000E7"/>
    <w:rsid w:val="00A0702A"/>
    <w:rsid w:val="00A316B2"/>
    <w:rsid w:val="00A32896"/>
    <w:rsid w:val="00A35887"/>
    <w:rsid w:val="00A35AD7"/>
    <w:rsid w:val="00A64C96"/>
    <w:rsid w:val="00AA5B2D"/>
    <w:rsid w:val="00AB2945"/>
    <w:rsid w:val="00AB4B28"/>
    <w:rsid w:val="00AD750C"/>
    <w:rsid w:val="00AE36A7"/>
    <w:rsid w:val="00AE52DA"/>
    <w:rsid w:val="00AF0F62"/>
    <w:rsid w:val="00AF0FFB"/>
    <w:rsid w:val="00AF3456"/>
    <w:rsid w:val="00B01E21"/>
    <w:rsid w:val="00B062B7"/>
    <w:rsid w:val="00B077D1"/>
    <w:rsid w:val="00B17B9C"/>
    <w:rsid w:val="00B30383"/>
    <w:rsid w:val="00B32121"/>
    <w:rsid w:val="00B4077A"/>
    <w:rsid w:val="00B53E2E"/>
    <w:rsid w:val="00B65D54"/>
    <w:rsid w:val="00B8464B"/>
    <w:rsid w:val="00B85B4E"/>
    <w:rsid w:val="00B85BDA"/>
    <w:rsid w:val="00B91194"/>
    <w:rsid w:val="00B915B7"/>
    <w:rsid w:val="00B91F2F"/>
    <w:rsid w:val="00BA2205"/>
    <w:rsid w:val="00BA610F"/>
    <w:rsid w:val="00BA7676"/>
    <w:rsid w:val="00BB3639"/>
    <w:rsid w:val="00BC4730"/>
    <w:rsid w:val="00BE40B3"/>
    <w:rsid w:val="00BE6D1A"/>
    <w:rsid w:val="00BF5ED1"/>
    <w:rsid w:val="00C00948"/>
    <w:rsid w:val="00C00ABB"/>
    <w:rsid w:val="00C0213C"/>
    <w:rsid w:val="00C04BE5"/>
    <w:rsid w:val="00C06BD5"/>
    <w:rsid w:val="00C23ACD"/>
    <w:rsid w:val="00C3674E"/>
    <w:rsid w:val="00C44AC3"/>
    <w:rsid w:val="00C46B66"/>
    <w:rsid w:val="00C77990"/>
    <w:rsid w:val="00C921F3"/>
    <w:rsid w:val="00C92640"/>
    <w:rsid w:val="00C93138"/>
    <w:rsid w:val="00CA0F70"/>
    <w:rsid w:val="00CA4768"/>
    <w:rsid w:val="00CB5B61"/>
    <w:rsid w:val="00CD010B"/>
    <w:rsid w:val="00CD75AF"/>
    <w:rsid w:val="00CD7E2F"/>
    <w:rsid w:val="00CE5747"/>
    <w:rsid w:val="00CF5F04"/>
    <w:rsid w:val="00D125F0"/>
    <w:rsid w:val="00D12661"/>
    <w:rsid w:val="00D15D76"/>
    <w:rsid w:val="00D26DC4"/>
    <w:rsid w:val="00D417BE"/>
    <w:rsid w:val="00D50FE4"/>
    <w:rsid w:val="00D67510"/>
    <w:rsid w:val="00D7125B"/>
    <w:rsid w:val="00D7342A"/>
    <w:rsid w:val="00D83DC3"/>
    <w:rsid w:val="00D9144E"/>
    <w:rsid w:val="00DC58DC"/>
    <w:rsid w:val="00DC68FB"/>
    <w:rsid w:val="00DD4DAE"/>
    <w:rsid w:val="00DD7640"/>
    <w:rsid w:val="00E07636"/>
    <w:rsid w:val="00E12D8A"/>
    <w:rsid w:val="00E20CEA"/>
    <w:rsid w:val="00E317EE"/>
    <w:rsid w:val="00E31C30"/>
    <w:rsid w:val="00E31FD7"/>
    <w:rsid w:val="00E627B3"/>
    <w:rsid w:val="00E67C08"/>
    <w:rsid w:val="00E80146"/>
    <w:rsid w:val="00E91640"/>
    <w:rsid w:val="00E9413B"/>
    <w:rsid w:val="00E94B16"/>
    <w:rsid w:val="00EA0B37"/>
    <w:rsid w:val="00EA59DF"/>
    <w:rsid w:val="00EC2C22"/>
    <w:rsid w:val="00ED3928"/>
    <w:rsid w:val="00EE35B5"/>
    <w:rsid w:val="00EE4070"/>
    <w:rsid w:val="00EF4B9D"/>
    <w:rsid w:val="00F0286C"/>
    <w:rsid w:val="00F07DA4"/>
    <w:rsid w:val="00F11A51"/>
    <w:rsid w:val="00F12C76"/>
    <w:rsid w:val="00F1545C"/>
    <w:rsid w:val="00F217E8"/>
    <w:rsid w:val="00F253DF"/>
    <w:rsid w:val="00F45022"/>
    <w:rsid w:val="00F45312"/>
    <w:rsid w:val="00F45E43"/>
    <w:rsid w:val="00F5040F"/>
    <w:rsid w:val="00F61A2A"/>
    <w:rsid w:val="00F817C7"/>
    <w:rsid w:val="00F8422F"/>
    <w:rsid w:val="00F909E7"/>
    <w:rsid w:val="00F92840"/>
    <w:rsid w:val="00F96674"/>
    <w:rsid w:val="00FC1FF6"/>
    <w:rsid w:val="00FC3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F79B6"/>
  <w15:chartTrackingRefBased/>
  <w15:docId w15:val="{4538D7BD-2B4D-4694-A72C-293321BE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286C"/>
    <w:pPr>
      <w:spacing w:line="240" w:lineRule="auto"/>
    </w:pPr>
    <w:rPr>
      <w:rFonts w:ascii="Times New Roman" w:hAnsi="Times New Roman"/>
      <w:sz w:val="28"/>
    </w:rPr>
  </w:style>
  <w:style w:type="paragraph" w:styleId="1">
    <w:name w:val="heading 1"/>
    <w:basedOn w:val="a"/>
    <w:next w:val="a"/>
    <w:link w:val="10"/>
    <w:uiPriority w:val="9"/>
    <w:qFormat/>
    <w:rsid w:val="005B00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B00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5B00F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5B00F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5B00F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5B00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B00F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B00F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B00F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00F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B00F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5B00FA"/>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B00FA"/>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B00FA"/>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B00F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B00F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B00F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B00FA"/>
    <w:rPr>
      <w:rFonts w:eastAsiaTheme="majorEastAsia" w:cstheme="majorBidi"/>
      <w:color w:val="272727" w:themeColor="text1" w:themeTint="D8"/>
      <w:sz w:val="28"/>
    </w:rPr>
  </w:style>
  <w:style w:type="paragraph" w:styleId="a3">
    <w:name w:val="Title"/>
    <w:basedOn w:val="a"/>
    <w:next w:val="a"/>
    <w:link w:val="a4"/>
    <w:uiPriority w:val="10"/>
    <w:qFormat/>
    <w:rsid w:val="005B00F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B00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00F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5B00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B00FA"/>
    <w:pPr>
      <w:spacing w:before="160"/>
      <w:jc w:val="center"/>
    </w:pPr>
    <w:rPr>
      <w:i/>
      <w:iCs/>
      <w:color w:val="404040" w:themeColor="text1" w:themeTint="BF"/>
    </w:rPr>
  </w:style>
  <w:style w:type="character" w:customStyle="1" w:styleId="22">
    <w:name w:val="Цитата 2 Знак"/>
    <w:basedOn w:val="a0"/>
    <w:link w:val="21"/>
    <w:uiPriority w:val="29"/>
    <w:rsid w:val="005B00FA"/>
    <w:rPr>
      <w:rFonts w:ascii="Times New Roman" w:hAnsi="Times New Roman"/>
      <w:i/>
      <w:iCs/>
      <w:color w:val="404040" w:themeColor="text1" w:themeTint="BF"/>
      <w:sz w:val="28"/>
    </w:rPr>
  </w:style>
  <w:style w:type="paragraph" w:styleId="a7">
    <w:name w:val="List Paragraph"/>
    <w:basedOn w:val="a"/>
    <w:uiPriority w:val="34"/>
    <w:qFormat/>
    <w:rsid w:val="005B00FA"/>
    <w:pPr>
      <w:ind w:left="720"/>
      <w:contextualSpacing/>
    </w:pPr>
  </w:style>
  <w:style w:type="character" w:styleId="a8">
    <w:name w:val="Intense Emphasis"/>
    <w:basedOn w:val="a0"/>
    <w:uiPriority w:val="21"/>
    <w:qFormat/>
    <w:rsid w:val="005B00FA"/>
    <w:rPr>
      <w:i/>
      <w:iCs/>
      <w:color w:val="2E74B5" w:themeColor="accent1" w:themeShade="BF"/>
    </w:rPr>
  </w:style>
  <w:style w:type="paragraph" w:styleId="a9">
    <w:name w:val="Intense Quote"/>
    <w:basedOn w:val="a"/>
    <w:next w:val="a"/>
    <w:link w:val="aa"/>
    <w:uiPriority w:val="30"/>
    <w:qFormat/>
    <w:rsid w:val="005B00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B00FA"/>
    <w:rPr>
      <w:rFonts w:ascii="Times New Roman" w:hAnsi="Times New Roman"/>
      <w:i/>
      <w:iCs/>
      <w:color w:val="2E74B5" w:themeColor="accent1" w:themeShade="BF"/>
      <w:sz w:val="28"/>
    </w:rPr>
  </w:style>
  <w:style w:type="character" w:styleId="ab">
    <w:name w:val="Intense Reference"/>
    <w:basedOn w:val="a0"/>
    <w:uiPriority w:val="32"/>
    <w:qFormat/>
    <w:rsid w:val="005B00FA"/>
    <w:rPr>
      <w:b/>
      <w:bCs/>
      <w:smallCaps/>
      <w:color w:val="2E74B5" w:themeColor="accent1" w:themeShade="BF"/>
      <w:spacing w:val="5"/>
    </w:rPr>
  </w:style>
  <w:style w:type="paragraph" w:styleId="ac">
    <w:name w:val="Normal (Web)"/>
    <w:basedOn w:val="a"/>
    <w:uiPriority w:val="99"/>
    <w:semiHidden/>
    <w:unhideWhenUsed/>
    <w:rsid w:val="00767FB3"/>
    <w:rPr>
      <w:rFonts w:cs="Times New Roman"/>
      <w:sz w:val="24"/>
      <w:szCs w:val="24"/>
    </w:rPr>
  </w:style>
  <w:style w:type="character" w:styleId="ad">
    <w:name w:val="Hyperlink"/>
    <w:basedOn w:val="a0"/>
    <w:uiPriority w:val="99"/>
    <w:unhideWhenUsed/>
    <w:rsid w:val="00CD7E2F"/>
    <w:rPr>
      <w:color w:val="0563C1" w:themeColor="hyperlink"/>
      <w:u w:val="single"/>
    </w:rPr>
  </w:style>
  <w:style w:type="character" w:styleId="ae">
    <w:name w:val="Unresolved Mention"/>
    <w:basedOn w:val="a0"/>
    <w:uiPriority w:val="99"/>
    <w:semiHidden/>
    <w:unhideWhenUsed/>
    <w:rsid w:val="00CD7E2F"/>
    <w:rPr>
      <w:color w:val="605E5C"/>
      <w:shd w:val="clear" w:color="auto" w:fill="E1DFDD"/>
    </w:rPr>
  </w:style>
  <w:style w:type="character" w:styleId="af">
    <w:name w:val="Strong"/>
    <w:basedOn w:val="a0"/>
    <w:uiPriority w:val="22"/>
    <w:qFormat/>
    <w:rsid w:val="00730576"/>
    <w:rPr>
      <w:b/>
      <w:bCs/>
    </w:rPr>
  </w:style>
  <w:style w:type="character" w:styleId="af0">
    <w:name w:val="Emphasis"/>
    <w:basedOn w:val="a0"/>
    <w:uiPriority w:val="20"/>
    <w:qFormat/>
    <w:rsid w:val="00730576"/>
    <w:rPr>
      <w:i/>
      <w:iCs/>
    </w:rPr>
  </w:style>
  <w:style w:type="paragraph" w:styleId="af1">
    <w:name w:val="header"/>
    <w:basedOn w:val="a"/>
    <w:link w:val="af2"/>
    <w:uiPriority w:val="99"/>
    <w:unhideWhenUsed/>
    <w:rsid w:val="001016C2"/>
    <w:pPr>
      <w:tabs>
        <w:tab w:val="center" w:pos="4677"/>
        <w:tab w:val="right" w:pos="9355"/>
      </w:tabs>
      <w:spacing w:after="0"/>
    </w:pPr>
  </w:style>
  <w:style w:type="character" w:customStyle="1" w:styleId="af2">
    <w:name w:val="Верхний колонтитул Знак"/>
    <w:basedOn w:val="a0"/>
    <w:link w:val="af1"/>
    <w:uiPriority w:val="99"/>
    <w:rsid w:val="001016C2"/>
    <w:rPr>
      <w:rFonts w:ascii="Times New Roman" w:hAnsi="Times New Roman"/>
      <w:sz w:val="28"/>
    </w:rPr>
  </w:style>
  <w:style w:type="paragraph" w:styleId="af3">
    <w:name w:val="footer"/>
    <w:basedOn w:val="a"/>
    <w:link w:val="af4"/>
    <w:uiPriority w:val="99"/>
    <w:unhideWhenUsed/>
    <w:rsid w:val="001016C2"/>
    <w:pPr>
      <w:tabs>
        <w:tab w:val="center" w:pos="4677"/>
        <w:tab w:val="right" w:pos="9355"/>
      </w:tabs>
      <w:spacing w:after="0"/>
    </w:pPr>
  </w:style>
  <w:style w:type="character" w:customStyle="1" w:styleId="af4">
    <w:name w:val="Нижний колонтитул Знак"/>
    <w:basedOn w:val="a0"/>
    <w:link w:val="af3"/>
    <w:uiPriority w:val="99"/>
    <w:rsid w:val="001016C2"/>
    <w:rPr>
      <w:rFonts w:ascii="Times New Roman" w:hAnsi="Times New Roman"/>
      <w:sz w:val="28"/>
    </w:rPr>
  </w:style>
  <w:style w:type="character" w:customStyle="1" w:styleId="personname">
    <w:name w:val="person_name"/>
    <w:basedOn w:val="a0"/>
    <w:rsid w:val="00EE35B5"/>
  </w:style>
  <w:style w:type="character" w:customStyle="1" w:styleId="metatext">
    <w:name w:val="meta_text"/>
    <w:basedOn w:val="a0"/>
    <w:rsid w:val="00535325"/>
  </w:style>
  <w:style w:type="character" w:styleId="af5">
    <w:name w:val="FollowedHyperlink"/>
    <w:basedOn w:val="a0"/>
    <w:uiPriority w:val="99"/>
    <w:semiHidden/>
    <w:unhideWhenUsed/>
    <w:rsid w:val="001554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207">
      <w:bodyDiv w:val="1"/>
      <w:marLeft w:val="0"/>
      <w:marRight w:val="0"/>
      <w:marTop w:val="0"/>
      <w:marBottom w:val="0"/>
      <w:divBdr>
        <w:top w:val="none" w:sz="0" w:space="0" w:color="auto"/>
        <w:left w:val="none" w:sz="0" w:space="0" w:color="auto"/>
        <w:bottom w:val="none" w:sz="0" w:space="0" w:color="auto"/>
        <w:right w:val="none" w:sz="0" w:space="0" w:color="auto"/>
      </w:divBdr>
    </w:div>
    <w:div w:id="19741365">
      <w:bodyDiv w:val="1"/>
      <w:marLeft w:val="0"/>
      <w:marRight w:val="0"/>
      <w:marTop w:val="0"/>
      <w:marBottom w:val="0"/>
      <w:divBdr>
        <w:top w:val="none" w:sz="0" w:space="0" w:color="auto"/>
        <w:left w:val="none" w:sz="0" w:space="0" w:color="auto"/>
        <w:bottom w:val="none" w:sz="0" w:space="0" w:color="auto"/>
        <w:right w:val="none" w:sz="0" w:space="0" w:color="auto"/>
      </w:divBdr>
    </w:div>
    <w:div w:id="29230947">
      <w:bodyDiv w:val="1"/>
      <w:marLeft w:val="0"/>
      <w:marRight w:val="0"/>
      <w:marTop w:val="0"/>
      <w:marBottom w:val="0"/>
      <w:divBdr>
        <w:top w:val="none" w:sz="0" w:space="0" w:color="auto"/>
        <w:left w:val="none" w:sz="0" w:space="0" w:color="auto"/>
        <w:bottom w:val="none" w:sz="0" w:space="0" w:color="auto"/>
        <w:right w:val="none" w:sz="0" w:space="0" w:color="auto"/>
      </w:divBdr>
    </w:div>
    <w:div w:id="49816737">
      <w:bodyDiv w:val="1"/>
      <w:marLeft w:val="0"/>
      <w:marRight w:val="0"/>
      <w:marTop w:val="0"/>
      <w:marBottom w:val="0"/>
      <w:divBdr>
        <w:top w:val="none" w:sz="0" w:space="0" w:color="auto"/>
        <w:left w:val="none" w:sz="0" w:space="0" w:color="auto"/>
        <w:bottom w:val="none" w:sz="0" w:space="0" w:color="auto"/>
        <w:right w:val="none" w:sz="0" w:space="0" w:color="auto"/>
      </w:divBdr>
    </w:div>
    <w:div w:id="56172777">
      <w:bodyDiv w:val="1"/>
      <w:marLeft w:val="0"/>
      <w:marRight w:val="0"/>
      <w:marTop w:val="0"/>
      <w:marBottom w:val="0"/>
      <w:divBdr>
        <w:top w:val="none" w:sz="0" w:space="0" w:color="auto"/>
        <w:left w:val="none" w:sz="0" w:space="0" w:color="auto"/>
        <w:bottom w:val="none" w:sz="0" w:space="0" w:color="auto"/>
        <w:right w:val="none" w:sz="0" w:space="0" w:color="auto"/>
      </w:divBdr>
    </w:div>
    <w:div w:id="64037315">
      <w:bodyDiv w:val="1"/>
      <w:marLeft w:val="0"/>
      <w:marRight w:val="0"/>
      <w:marTop w:val="0"/>
      <w:marBottom w:val="0"/>
      <w:divBdr>
        <w:top w:val="none" w:sz="0" w:space="0" w:color="auto"/>
        <w:left w:val="none" w:sz="0" w:space="0" w:color="auto"/>
        <w:bottom w:val="none" w:sz="0" w:space="0" w:color="auto"/>
        <w:right w:val="none" w:sz="0" w:space="0" w:color="auto"/>
      </w:divBdr>
    </w:div>
    <w:div w:id="64451588">
      <w:bodyDiv w:val="1"/>
      <w:marLeft w:val="0"/>
      <w:marRight w:val="0"/>
      <w:marTop w:val="0"/>
      <w:marBottom w:val="0"/>
      <w:divBdr>
        <w:top w:val="none" w:sz="0" w:space="0" w:color="auto"/>
        <w:left w:val="none" w:sz="0" w:space="0" w:color="auto"/>
        <w:bottom w:val="none" w:sz="0" w:space="0" w:color="auto"/>
        <w:right w:val="none" w:sz="0" w:space="0" w:color="auto"/>
      </w:divBdr>
    </w:div>
    <w:div w:id="67121502">
      <w:bodyDiv w:val="1"/>
      <w:marLeft w:val="0"/>
      <w:marRight w:val="0"/>
      <w:marTop w:val="0"/>
      <w:marBottom w:val="0"/>
      <w:divBdr>
        <w:top w:val="none" w:sz="0" w:space="0" w:color="auto"/>
        <w:left w:val="none" w:sz="0" w:space="0" w:color="auto"/>
        <w:bottom w:val="none" w:sz="0" w:space="0" w:color="auto"/>
        <w:right w:val="none" w:sz="0" w:space="0" w:color="auto"/>
      </w:divBdr>
    </w:div>
    <w:div w:id="84040000">
      <w:bodyDiv w:val="1"/>
      <w:marLeft w:val="0"/>
      <w:marRight w:val="0"/>
      <w:marTop w:val="0"/>
      <w:marBottom w:val="0"/>
      <w:divBdr>
        <w:top w:val="none" w:sz="0" w:space="0" w:color="auto"/>
        <w:left w:val="none" w:sz="0" w:space="0" w:color="auto"/>
        <w:bottom w:val="none" w:sz="0" w:space="0" w:color="auto"/>
        <w:right w:val="none" w:sz="0" w:space="0" w:color="auto"/>
      </w:divBdr>
    </w:div>
    <w:div w:id="86073668">
      <w:bodyDiv w:val="1"/>
      <w:marLeft w:val="0"/>
      <w:marRight w:val="0"/>
      <w:marTop w:val="0"/>
      <w:marBottom w:val="0"/>
      <w:divBdr>
        <w:top w:val="none" w:sz="0" w:space="0" w:color="auto"/>
        <w:left w:val="none" w:sz="0" w:space="0" w:color="auto"/>
        <w:bottom w:val="none" w:sz="0" w:space="0" w:color="auto"/>
        <w:right w:val="none" w:sz="0" w:space="0" w:color="auto"/>
      </w:divBdr>
    </w:div>
    <w:div w:id="89282886">
      <w:bodyDiv w:val="1"/>
      <w:marLeft w:val="0"/>
      <w:marRight w:val="0"/>
      <w:marTop w:val="0"/>
      <w:marBottom w:val="0"/>
      <w:divBdr>
        <w:top w:val="none" w:sz="0" w:space="0" w:color="auto"/>
        <w:left w:val="none" w:sz="0" w:space="0" w:color="auto"/>
        <w:bottom w:val="none" w:sz="0" w:space="0" w:color="auto"/>
        <w:right w:val="none" w:sz="0" w:space="0" w:color="auto"/>
      </w:divBdr>
    </w:div>
    <w:div w:id="94449985">
      <w:bodyDiv w:val="1"/>
      <w:marLeft w:val="0"/>
      <w:marRight w:val="0"/>
      <w:marTop w:val="0"/>
      <w:marBottom w:val="0"/>
      <w:divBdr>
        <w:top w:val="none" w:sz="0" w:space="0" w:color="auto"/>
        <w:left w:val="none" w:sz="0" w:space="0" w:color="auto"/>
        <w:bottom w:val="none" w:sz="0" w:space="0" w:color="auto"/>
        <w:right w:val="none" w:sz="0" w:space="0" w:color="auto"/>
      </w:divBdr>
    </w:div>
    <w:div w:id="121845555">
      <w:bodyDiv w:val="1"/>
      <w:marLeft w:val="0"/>
      <w:marRight w:val="0"/>
      <w:marTop w:val="0"/>
      <w:marBottom w:val="0"/>
      <w:divBdr>
        <w:top w:val="none" w:sz="0" w:space="0" w:color="auto"/>
        <w:left w:val="none" w:sz="0" w:space="0" w:color="auto"/>
        <w:bottom w:val="none" w:sz="0" w:space="0" w:color="auto"/>
        <w:right w:val="none" w:sz="0" w:space="0" w:color="auto"/>
      </w:divBdr>
    </w:div>
    <w:div w:id="139857319">
      <w:bodyDiv w:val="1"/>
      <w:marLeft w:val="0"/>
      <w:marRight w:val="0"/>
      <w:marTop w:val="0"/>
      <w:marBottom w:val="0"/>
      <w:divBdr>
        <w:top w:val="none" w:sz="0" w:space="0" w:color="auto"/>
        <w:left w:val="none" w:sz="0" w:space="0" w:color="auto"/>
        <w:bottom w:val="none" w:sz="0" w:space="0" w:color="auto"/>
        <w:right w:val="none" w:sz="0" w:space="0" w:color="auto"/>
      </w:divBdr>
    </w:div>
    <w:div w:id="155266840">
      <w:bodyDiv w:val="1"/>
      <w:marLeft w:val="0"/>
      <w:marRight w:val="0"/>
      <w:marTop w:val="0"/>
      <w:marBottom w:val="0"/>
      <w:divBdr>
        <w:top w:val="none" w:sz="0" w:space="0" w:color="auto"/>
        <w:left w:val="none" w:sz="0" w:space="0" w:color="auto"/>
        <w:bottom w:val="none" w:sz="0" w:space="0" w:color="auto"/>
        <w:right w:val="none" w:sz="0" w:space="0" w:color="auto"/>
      </w:divBdr>
      <w:divsChild>
        <w:div w:id="1099569617">
          <w:marLeft w:val="0"/>
          <w:marRight w:val="0"/>
          <w:marTop w:val="0"/>
          <w:marBottom w:val="0"/>
          <w:divBdr>
            <w:top w:val="none" w:sz="0" w:space="0" w:color="auto"/>
            <w:left w:val="none" w:sz="0" w:space="0" w:color="auto"/>
            <w:bottom w:val="none" w:sz="0" w:space="0" w:color="auto"/>
            <w:right w:val="none" w:sz="0" w:space="0" w:color="auto"/>
          </w:divBdr>
          <w:divsChild>
            <w:div w:id="323365062">
              <w:marLeft w:val="0"/>
              <w:marRight w:val="0"/>
              <w:marTop w:val="0"/>
              <w:marBottom w:val="0"/>
              <w:divBdr>
                <w:top w:val="none" w:sz="0" w:space="0" w:color="auto"/>
                <w:left w:val="none" w:sz="0" w:space="0" w:color="auto"/>
                <w:bottom w:val="none" w:sz="0" w:space="0" w:color="auto"/>
                <w:right w:val="none" w:sz="0" w:space="0" w:color="auto"/>
              </w:divBdr>
              <w:divsChild>
                <w:div w:id="506596810">
                  <w:marLeft w:val="0"/>
                  <w:marRight w:val="0"/>
                  <w:marTop w:val="0"/>
                  <w:marBottom w:val="0"/>
                  <w:divBdr>
                    <w:top w:val="none" w:sz="0" w:space="0" w:color="auto"/>
                    <w:left w:val="none" w:sz="0" w:space="0" w:color="auto"/>
                    <w:bottom w:val="none" w:sz="0" w:space="0" w:color="auto"/>
                    <w:right w:val="none" w:sz="0" w:space="0" w:color="auto"/>
                  </w:divBdr>
                  <w:divsChild>
                    <w:div w:id="697314210">
                      <w:marLeft w:val="0"/>
                      <w:marRight w:val="0"/>
                      <w:marTop w:val="0"/>
                      <w:marBottom w:val="0"/>
                      <w:divBdr>
                        <w:top w:val="none" w:sz="0" w:space="0" w:color="auto"/>
                        <w:left w:val="none" w:sz="0" w:space="0" w:color="auto"/>
                        <w:bottom w:val="none" w:sz="0" w:space="0" w:color="auto"/>
                        <w:right w:val="none" w:sz="0" w:space="0" w:color="auto"/>
                      </w:divBdr>
                      <w:divsChild>
                        <w:div w:id="1203203331">
                          <w:marLeft w:val="0"/>
                          <w:marRight w:val="0"/>
                          <w:marTop w:val="0"/>
                          <w:marBottom w:val="0"/>
                          <w:divBdr>
                            <w:top w:val="none" w:sz="0" w:space="0" w:color="auto"/>
                            <w:left w:val="none" w:sz="0" w:space="0" w:color="auto"/>
                            <w:bottom w:val="none" w:sz="0" w:space="0" w:color="auto"/>
                            <w:right w:val="none" w:sz="0" w:space="0" w:color="auto"/>
                          </w:divBdr>
                          <w:divsChild>
                            <w:div w:id="1150370903">
                              <w:marLeft w:val="0"/>
                              <w:marRight w:val="0"/>
                              <w:marTop w:val="0"/>
                              <w:marBottom w:val="0"/>
                              <w:divBdr>
                                <w:top w:val="none" w:sz="0" w:space="0" w:color="auto"/>
                                <w:left w:val="none" w:sz="0" w:space="0" w:color="auto"/>
                                <w:bottom w:val="none" w:sz="0" w:space="0" w:color="auto"/>
                                <w:right w:val="none" w:sz="0" w:space="0" w:color="auto"/>
                              </w:divBdr>
                              <w:divsChild>
                                <w:div w:id="1399860816">
                                  <w:marLeft w:val="0"/>
                                  <w:marRight w:val="0"/>
                                  <w:marTop w:val="0"/>
                                  <w:marBottom w:val="0"/>
                                  <w:divBdr>
                                    <w:top w:val="none" w:sz="0" w:space="0" w:color="auto"/>
                                    <w:left w:val="none" w:sz="0" w:space="0" w:color="auto"/>
                                    <w:bottom w:val="none" w:sz="0" w:space="0" w:color="auto"/>
                                    <w:right w:val="none" w:sz="0" w:space="0" w:color="auto"/>
                                  </w:divBdr>
                                  <w:divsChild>
                                    <w:div w:id="7133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154175">
                      <w:marLeft w:val="0"/>
                      <w:marRight w:val="0"/>
                      <w:marTop w:val="0"/>
                      <w:marBottom w:val="0"/>
                      <w:divBdr>
                        <w:top w:val="none" w:sz="0" w:space="0" w:color="auto"/>
                        <w:left w:val="none" w:sz="0" w:space="0" w:color="auto"/>
                        <w:bottom w:val="none" w:sz="0" w:space="0" w:color="auto"/>
                        <w:right w:val="none" w:sz="0" w:space="0" w:color="auto"/>
                      </w:divBdr>
                      <w:divsChild>
                        <w:div w:id="14328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8394">
      <w:bodyDiv w:val="1"/>
      <w:marLeft w:val="0"/>
      <w:marRight w:val="0"/>
      <w:marTop w:val="0"/>
      <w:marBottom w:val="0"/>
      <w:divBdr>
        <w:top w:val="none" w:sz="0" w:space="0" w:color="auto"/>
        <w:left w:val="none" w:sz="0" w:space="0" w:color="auto"/>
        <w:bottom w:val="none" w:sz="0" w:space="0" w:color="auto"/>
        <w:right w:val="none" w:sz="0" w:space="0" w:color="auto"/>
      </w:divBdr>
    </w:div>
    <w:div w:id="186332435">
      <w:bodyDiv w:val="1"/>
      <w:marLeft w:val="0"/>
      <w:marRight w:val="0"/>
      <w:marTop w:val="0"/>
      <w:marBottom w:val="0"/>
      <w:divBdr>
        <w:top w:val="none" w:sz="0" w:space="0" w:color="auto"/>
        <w:left w:val="none" w:sz="0" w:space="0" w:color="auto"/>
        <w:bottom w:val="none" w:sz="0" w:space="0" w:color="auto"/>
        <w:right w:val="none" w:sz="0" w:space="0" w:color="auto"/>
      </w:divBdr>
    </w:div>
    <w:div w:id="209537279">
      <w:bodyDiv w:val="1"/>
      <w:marLeft w:val="0"/>
      <w:marRight w:val="0"/>
      <w:marTop w:val="0"/>
      <w:marBottom w:val="0"/>
      <w:divBdr>
        <w:top w:val="none" w:sz="0" w:space="0" w:color="auto"/>
        <w:left w:val="none" w:sz="0" w:space="0" w:color="auto"/>
        <w:bottom w:val="none" w:sz="0" w:space="0" w:color="auto"/>
        <w:right w:val="none" w:sz="0" w:space="0" w:color="auto"/>
      </w:divBdr>
    </w:div>
    <w:div w:id="213465189">
      <w:bodyDiv w:val="1"/>
      <w:marLeft w:val="0"/>
      <w:marRight w:val="0"/>
      <w:marTop w:val="0"/>
      <w:marBottom w:val="0"/>
      <w:divBdr>
        <w:top w:val="none" w:sz="0" w:space="0" w:color="auto"/>
        <w:left w:val="none" w:sz="0" w:space="0" w:color="auto"/>
        <w:bottom w:val="none" w:sz="0" w:space="0" w:color="auto"/>
        <w:right w:val="none" w:sz="0" w:space="0" w:color="auto"/>
      </w:divBdr>
    </w:div>
    <w:div w:id="213582922">
      <w:bodyDiv w:val="1"/>
      <w:marLeft w:val="0"/>
      <w:marRight w:val="0"/>
      <w:marTop w:val="0"/>
      <w:marBottom w:val="0"/>
      <w:divBdr>
        <w:top w:val="none" w:sz="0" w:space="0" w:color="auto"/>
        <w:left w:val="none" w:sz="0" w:space="0" w:color="auto"/>
        <w:bottom w:val="none" w:sz="0" w:space="0" w:color="auto"/>
        <w:right w:val="none" w:sz="0" w:space="0" w:color="auto"/>
      </w:divBdr>
    </w:div>
    <w:div w:id="214850996">
      <w:bodyDiv w:val="1"/>
      <w:marLeft w:val="0"/>
      <w:marRight w:val="0"/>
      <w:marTop w:val="0"/>
      <w:marBottom w:val="0"/>
      <w:divBdr>
        <w:top w:val="none" w:sz="0" w:space="0" w:color="auto"/>
        <w:left w:val="none" w:sz="0" w:space="0" w:color="auto"/>
        <w:bottom w:val="none" w:sz="0" w:space="0" w:color="auto"/>
        <w:right w:val="none" w:sz="0" w:space="0" w:color="auto"/>
      </w:divBdr>
    </w:div>
    <w:div w:id="217322161">
      <w:bodyDiv w:val="1"/>
      <w:marLeft w:val="0"/>
      <w:marRight w:val="0"/>
      <w:marTop w:val="0"/>
      <w:marBottom w:val="0"/>
      <w:divBdr>
        <w:top w:val="none" w:sz="0" w:space="0" w:color="auto"/>
        <w:left w:val="none" w:sz="0" w:space="0" w:color="auto"/>
        <w:bottom w:val="none" w:sz="0" w:space="0" w:color="auto"/>
        <w:right w:val="none" w:sz="0" w:space="0" w:color="auto"/>
      </w:divBdr>
    </w:div>
    <w:div w:id="247160464">
      <w:bodyDiv w:val="1"/>
      <w:marLeft w:val="0"/>
      <w:marRight w:val="0"/>
      <w:marTop w:val="0"/>
      <w:marBottom w:val="0"/>
      <w:divBdr>
        <w:top w:val="none" w:sz="0" w:space="0" w:color="auto"/>
        <w:left w:val="none" w:sz="0" w:space="0" w:color="auto"/>
        <w:bottom w:val="none" w:sz="0" w:space="0" w:color="auto"/>
        <w:right w:val="none" w:sz="0" w:space="0" w:color="auto"/>
      </w:divBdr>
    </w:div>
    <w:div w:id="250355663">
      <w:bodyDiv w:val="1"/>
      <w:marLeft w:val="0"/>
      <w:marRight w:val="0"/>
      <w:marTop w:val="0"/>
      <w:marBottom w:val="0"/>
      <w:divBdr>
        <w:top w:val="none" w:sz="0" w:space="0" w:color="auto"/>
        <w:left w:val="none" w:sz="0" w:space="0" w:color="auto"/>
        <w:bottom w:val="none" w:sz="0" w:space="0" w:color="auto"/>
        <w:right w:val="none" w:sz="0" w:space="0" w:color="auto"/>
      </w:divBdr>
    </w:div>
    <w:div w:id="258485211">
      <w:bodyDiv w:val="1"/>
      <w:marLeft w:val="0"/>
      <w:marRight w:val="0"/>
      <w:marTop w:val="0"/>
      <w:marBottom w:val="0"/>
      <w:divBdr>
        <w:top w:val="none" w:sz="0" w:space="0" w:color="auto"/>
        <w:left w:val="none" w:sz="0" w:space="0" w:color="auto"/>
        <w:bottom w:val="none" w:sz="0" w:space="0" w:color="auto"/>
        <w:right w:val="none" w:sz="0" w:space="0" w:color="auto"/>
      </w:divBdr>
    </w:div>
    <w:div w:id="272176414">
      <w:bodyDiv w:val="1"/>
      <w:marLeft w:val="0"/>
      <w:marRight w:val="0"/>
      <w:marTop w:val="0"/>
      <w:marBottom w:val="0"/>
      <w:divBdr>
        <w:top w:val="none" w:sz="0" w:space="0" w:color="auto"/>
        <w:left w:val="none" w:sz="0" w:space="0" w:color="auto"/>
        <w:bottom w:val="none" w:sz="0" w:space="0" w:color="auto"/>
        <w:right w:val="none" w:sz="0" w:space="0" w:color="auto"/>
      </w:divBdr>
    </w:div>
    <w:div w:id="280958565">
      <w:bodyDiv w:val="1"/>
      <w:marLeft w:val="0"/>
      <w:marRight w:val="0"/>
      <w:marTop w:val="0"/>
      <w:marBottom w:val="0"/>
      <w:divBdr>
        <w:top w:val="none" w:sz="0" w:space="0" w:color="auto"/>
        <w:left w:val="none" w:sz="0" w:space="0" w:color="auto"/>
        <w:bottom w:val="none" w:sz="0" w:space="0" w:color="auto"/>
        <w:right w:val="none" w:sz="0" w:space="0" w:color="auto"/>
      </w:divBdr>
    </w:div>
    <w:div w:id="284386786">
      <w:bodyDiv w:val="1"/>
      <w:marLeft w:val="0"/>
      <w:marRight w:val="0"/>
      <w:marTop w:val="0"/>
      <w:marBottom w:val="0"/>
      <w:divBdr>
        <w:top w:val="none" w:sz="0" w:space="0" w:color="auto"/>
        <w:left w:val="none" w:sz="0" w:space="0" w:color="auto"/>
        <w:bottom w:val="none" w:sz="0" w:space="0" w:color="auto"/>
        <w:right w:val="none" w:sz="0" w:space="0" w:color="auto"/>
      </w:divBdr>
    </w:div>
    <w:div w:id="288367574">
      <w:bodyDiv w:val="1"/>
      <w:marLeft w:val="0"/>
      <w:marRight w:val="0"/>
      <w:marTop w:val="0"/>
      <w:marBottom w:val="0"/>
      <w:divBdr>
        <w:top w:val="none" w:sz="0" w:space="0" w:color="auto"/>
        <w:left w:val="none" w:sz="0" w:space="0" w:color="auto"/>
        <w:bottom w:val="none" w:sz="0" w:space="0" w:color="auto"/>
        <w:right w:val="none" w:sz="0" w:space="0" w:color="auto"/>
      </w:divBdr>
    </w:div>
    <w:div w:id="293025003">
      <w:bodyDiv w:val="1"/>
      <w:marLeft w:val="0"/>
      <w:marRight w:val="0"/>
      <w:marTop w:val="0"/>
      <w:marBottom w:val="0"/>
      <w:divBdr>
        <w:top w:val="none" w:sz="0" w:space="0" w:color="auto"/>
        <w:left w:val="none" w:sz="0" w:space="0" w:color="auto"/>
        <w:bottom w:val="none" w:sz="0" w:space="0" w:color="auto"/>
        <w:right w:val="none" w:sz="0" w:space="0" w:color="auto"/>
      </w:divBdr>
    </w:div>
    <w:div w:id="296645804">
      <w:bodyDiv w:val="1"/>
      <w:marLeft w:val="0"/>
      <w:marRight w:val="0"/>
      <w:marTop w:val="0"/>
      <w:marBottom w:val="0"/>
      <w:divBdr>
        <w:top w:val="none" w:sz="0" w:space="0" w:color="auto"/>
        <w:left w:val="none" w:sz="0" w:space="0" w:color="auto"/>
        <w:bottom w:val="none" w:sz="0" w:space="0" w:color="auto"/>
        <w:right w:val="none" w:sz="0" w:space="0" w:color="auto"/>
      </w:divBdr>
    </w:div>
    <w:div w:id="305861204">
      <w:bodyDiv w:val="1"/>
      <w:marLeft w:val="0"/>
      <w:marRight w:val="0"/>
      <w:marTop w:val="0"/>
      <w:marBottom w:val="0"/>
      <w:divBdr>
        <w:top w:val="none" w:sz="0" w:space="0" w:color="auto"/>
        <w:left w:val="none" w:sz="0" w:space="0" w:color="auto"/>
        <w:bottom w:val="none" w:sz="0" w:space="0" w:color="auto"/>
        <w:right w:val="none" w:sz="0" w:space="0" w:color="auto"/>
      </w:divBdr>
      <w:divsChild>
        <w:div w:id="1314026238">
          <w:marLeft w:val="0"/>
          <w:marRight w:val="0"/>
          <w:marTop w:val="0"/>
          <w:marBottom w:val="0"/>
          <w:divBdr>
            <w:top w:val="none" w:sz="0" w:space="0" w:color="auto"/>
            <w:left w:val="none" w:sz="0" w:space="0" w:color="auto"/>
            <w:bottom w:val="none" w:sz="0" w:space="0" w:color="auto"/>
            <w:right w:val="none" w:sz="0" w:space="0" w:color="auto"/>
          </w:divBdr>
          <w:divsChild>
            <w:div w:id="414939663">
              <w:marLeft w:val="0"/>
              <w:marRight w:val="0"/>
              <w:marTop w:val="0"/>
              <w:marBottom w:val="0"/>
              <w:divBdr>
                <w:top w:val="none" w:sz="0" w:space="0" w:color="auto"/>
                <w:left w:val="none" w:sz="0" w:space="0" w:color="auto"/>
                <w:bottom w:val="none" w:sz="0" w:space="0" w:color="auto"/>
                <w:right w:val="none" w:sz="0" w:space="0" w:color="auto"/>
              </w:divBdr>
              <w:divsChild>
                <w:div w:id="1684474941">
                  <w:marLeft w:val="0"/>
                  <w:marRight w:val="0"/>
                  <w:marTop w:val="0"/>
                  <w:marBottom w:val="0"/>
                  <w:divBdr>
                    <w:top w:val="none" w:sz="0" w:space="0" w:color="auto"/>
                    <w:left w:val="none" w:sz="0" w:space="0" w:color="auto"/>
                    <w:bottom w:val="none" w:sz="0" w:space="0" w:color="auto"/>
                    <w:right w:val="none" w:sz="0" w:space="0" w:color="auto"/>
                  </w:divBdr>
                  <w:divsChild>
                    <w:div w:id="206915891">
                      <w:marLeft w:val="0"/>
                      <w:marRight w:val="0"/>
                      <w:marTop w:val="0"/>
                      <w:marBottom w:val="0"/>
                      <w:divBdr>
                        <w:top w:val="none" w:sz="0" w:space="0" w:color="auto"/>
                        <w:left w:val="none" w:sz="0" w:space="0" w:color="auto"/>
                        <w:bottom w:val="none" w:sz="0" w:space="0" w:color="auto"/>
                        <w:right w:val="none" w:sz="0" w:space="0" w:color="auto"/>
                      </w:divBdr>
                      <w:divsChild>
                        <w:div w:id="690910767">
                          <w:marLeft w:val="0"/>
                          <w:marRight w:val="0"/>
                          <w:marTop w:val="0"/>
                          <w:marBottom w:val="0"/>
                          <w:divBdr>
                            <w:top w:val="none" w:sz="0" w:space="0" w:color="auto"/>
                            <w:left w:val="none" w:sz="0" w:space="0" w:color="auto"/>
                            <w:bottom w:val="none" w:sz="0" w:space="0" w:color="auto"/>
                            <w:right w:val="none" w:sz="0" w:space="0" w:color="auto"/>
                          </w:divBdr>
                          <w:divsChild>
                            <w:div w:id="1107504679">
                              <w:marLeft w:val="0"/>
                              <w:marRight w:val="0"/>
                              <w:marTop w:val="0"/>
                              <w:marBottom w:val="0"/>
                              <w:divBdr>
                                <w:top w:val="none" w:sz="0" w:space="0" w:color="auto"/>
                                <w:left w:val="none" w:sz="0" w:space="0" w:color="auto"/>
                                <w:bottom w:val="none" w:sz="0" w:space="0" w:color="auto"/>
                                <w:right w:val="none" w:sz="0" w:space="0" w:color="auto"/>
                              </w:divBdr>
                              <w:divsChild>
                                <w:div w:id="1097562552">
                                  <w:marLeft w:val="0"/>
                                  <w:marRight w:val="0"/>
                                  <w:marTop w:val="0"/>
                                  <w:marBottom w:val="0"/>
                                  <w:divBdr>
                                    <w:top w:val="none" w:sz="0" w:space="0" w:color="auto"/>
                                    <w:left w:val="none" w:sz="0" w:space="0" w:color="auto"/>
                                    <w:bottom w:val="none" w:sz="0" w:space="0" w:color="auto"/>
                                    <w:right w:val="none" w:sz="0" w:space="0" w:color="auto"/>
                                  </w:divBdr>
                                  <w:divsChild>
                                    <w:div w:id="13109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287713">
                      <w:marLeft w:val="0"/>
                      <w:marRight w:val="0"/>
                      <w:marTop w:val="0"/>
                      <w:marBottom w:val="0"/>
                      <w:divBdr>
                        <w:top w:val="none" w:sz="0" w:space="0" w:color="auto"/>
                        <w:left w:val="none" w:sz="0" w:space="0" w:color="auto"/>
                        <w:bottom w:val="none" w:sz="0" w:space="0" w:color="auto"/>
                        <w:right w:val="none" w:sz="0" w:space="0" w:color="auto"/>
                      </w:divBdr>
                      <w:divsChild>
                        <w:div w:id="128870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385241">
      <w:bodyDiv w:val="1"/>
      <w:marLeft w:val="0"/>
      <w:marRight w:val="0"/>
      <w:marTop w:val="0"/>
      <w:marBottom w:val="0"/>
      <w:divBdr>
        <w:top w:val="none" w:sz="0" w:space="0" w:color="auto"/>
        <w:left w:val="none" w:sz="0" w:space="0" w:color="auto"/>
        <w:bottom w:val="none" w:sz="0" w:space="0" w:color="auto"/>
        <w:right w:val="none" w:sz="0" w:space="0" w:color="auto"/>
      </w:divBdr>
    </w:div>
    <w:div w:id="316304821">
      <w:bodyDiv w:val="1"/>
      <w:marLeft w:val="0"/>
      <w:marRight w:val="0"/>
      <w:marTop w:val="0"/>
      <w:marBottom w:val="0"/>
      <w:divBdr>
        <w:top w:val="none" w:sz="0" w:space="0" w:color="auto"/>
        <w:left w:val="none" w:sz="0" w:space="0" w:color="auto"/>
        <w:bottom w:val="none" w:sz="0" w:space="0" w:color="auto"/>
        <w:right w:val="none" w:sz="0" w:space="0" w:color="auto"/>
      </w:divBdr>
    </w:div>
    <w:div w:id="316957444">
      <w:bodyDiv w:val="1"/>
      <w:marLeft w:val="0"/>
      <w:marRight w:val="0"/>
      <w:marTop w:val="0"/>
      <w:marBottom w:val="0"/>
      <w:divBdr>
        <w:top w:val="none" w:sz="0" w:space="0" w:color="auto"/>
        <w:left w:val="none" w:sz="0" w:space="0" w:color="auto"/>
        <w:bottom w:val="none" w:sz="0" w:space="0" w:color="auto"/>
        <w:right w:val="none" w:sz="0" w:space="0" w:color="auto"/>
      </w:divBdr>
    </w:div>
    <w:div w:id="318386074">
      <w:bodyDiv w:val="1"/>
      <w:marLeft w:val="0"/>
      <w:marRight w:val="0"/>
      <w:marTop w:val="0"/>
      <w:marBottom w:val="0"/>
      <w:divBdr>
        <w:top w:val="none" w:sz="0" w:space="0" w:color="auto"/>
        <w:left w:val="none" w:sz="0" w:space="0" w:color="auto"/>
        <w:bottom w:val="none" w:sz="0" w:space="0" w:color="auto"/>
        <w:right w:val="none" w:sz="0" w:space="0" w:color="auto"/>
      </w:divBdr>
    </w:div>
    <w:div w:id="324289347">
      <w:bodyDiv w:val="1"/>
      <w:marLeft w:val="0"/>
      <w:marRight w:val="0"/>
      <w:marTop w:val="0"/>
      <w:marBottom w:val="0"/>
      <w:divBdr>
        <w:top w:val="none" w:sz="0" w:space="0" w:color="auto"/>
        <w:left w:val="none" w:sz="0" w:space="0" w:color="auto"/>
        <w:bottom w:val="none" w:sz="0" w:space="0" w:color="auto"/>
        <w:right w:val="none" w:sz="0" w:space="0" w:color="auto"/>
      </w:divBdr>
      <w:divsChild>
        <w:div w:id="1007444414">
          <w:marLeft w:val="0"/>
          <w:marRight w:val="0"/>
          <w:marTop w:val="0"/>
          <w:marBottom w:val="0"/>
          <w:divBdr>
            <w:top w:val="none" w:sz="0" w:space="0" w:color="auto"/>
            <w:left w:val="none" w:sz="0" w:space="0" w:color="auto"/>
            <w:bottom w:val="none" w:sz="0" w:space="0" w:color="auto"/>
            <w:right w:val="none" w:sz="0" w:space="0" w:color="auto"/>
          </w:divBdr>
          <w:divsChild>
            <w:div w:id="537278483">
              <w:marLeft w:val="0"/>
              <w:marRight w:val="0"/>
              <w:marTop w:val="0"/>
              <w:marBottom w:val="0"/>
              <w:divBdr>
                <w:top w:val="none" w:sz="0" w:space="0" w:color="auto"/>
                <w:left w:val="none" w:sz="0" w:space="0" w:color="auto"/>
                <w:bottom w:val="none" w:sz="0" w:space="0" w:color="auto"/>
                <w:right w:val="none" w:sz="0" w:space="0" w:color="auto"/>
              </w:divBdr>
            </w:div>
          </w:divsChild>
        </w:div>
        <w:div w:id="1613049116">
          <w:marLeft w:val="0"/>
          <w:marRight w:val="0"/>
          <w:marTop w:val="0"/>
          <w:marBottom w:val="0"/>
          <w:divBdr>
            <w:top w:val="none" w:sz="0" w:space="0" w:color="auto"/>
            <w:left w:val="none" w:sz="0" w:space="0" w:color="auto"/>
            <w:bottom w:val="none" w:sz="0" w:space="0" w:color="auto"/>
            <w:right w:val="none" w:sz="0" w:space="0" w:color="auto"/>
          </w:divBdr>
          <w:divsChild>
            <w:div w:id="129984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215440">
      <w:bodyDiv w:val="1"/>
      <w:marLeft w:val="0"/>
      <w:marRight w:val="0"/>
      <w:marTop w:val="0"/>
      <w:marBottom w:val="0"/>
      <w:divBdr>
        <w:top w:val="none" w:sz="0" w:space="0" w:color="auto"/>
        <w:left w:val="none" w:sz="0" w:space="0" w:color="auto"/>
        <w:bottom w:val="none" w:sz="0" w:space="0" w:color="auto"/>
        <w:right w:val="none" w:sz="0" w:space="0" w:color="auto"/>
      </w:divBdr>
    </w:div>
    <w:div w:id="332758070">
      <w:bodyDiv w:val="1"/>
      <w:marLeft w:val="0"/>
      <w:marRight w:val="0"/>
      <w:marTop w:val="0"/>
      <w:marBottom w:val="0"/>
      <w:divBdr>
        <w:top w:val="none" w:sz="0" w:space="0" w:color="auto"/>
        <w:left w:val="none" w:sz="0" w:space="0" w:color="auto"/>
        <w:bottom w:val="none" w:sz="0" w:space="0" w:color="auto"/>
        <w:right w:val="none" w:sz="0" w:space="0" w:color="auto"/>
      </w:divBdr>
    </w:div>
    <w:div w:id="333604739">
      <w:bodyDiv w:val="1"/>
      <w:marLeft w:val="0"/>
      <w:marRight w:val="0"/>
      <w:marTop w:val="0"/>
      <w:marBottom w:val="0"/>
      <w:divBdr>
        <w:top w:val="none" w:sz="0" w:space="0" w:color="auto"/>
        <w:left w:val="none" w:sz="0" w:space="0" w:color="auto"/>
        <w:bottom w:val="none" w:sz="0" w:space="0" w:color="auto"/>
        <w:right w:val="none" w:sz="0" w:space="0" w:color="auto"/>
      </w:divBdr>
    </w:div>
    <w:div w:id="337974873">
      <w:bodyDiv w:val="1"/>
      <w:marLeft w:val="0"/>
      <w:marRight w:val="0"/>
      <w:marTop w:val="0"/>
      <w:marBottom w:val="0"/>
      <w:divBdr>
        <w:top w:val="none" w:sz="0" w:space="0" w:color="auto"/>
        <w:left w:val="none" w:sz="0" w:space="0" w:color="auto"/>
        <w:bottom w:val="none" w:sz="0" w:space="0" w:color="auto"/>
        <w:right w:val="none" w:sz="0" w:space="0" w:color="auto"/>
      </w:divBdr>
    </w:div>
    <w:div w:id="343288232">
      <w:bodyDiv w:val="1"/>
      <w:marLeft w:val="0"/>
      <w:marRight w:val="0"/>
      <w:marTop w:val="0"/>
      <w:marBottom w:val="0"/>
      <w:divBdr>
        <w:top w:val="none" w:sz="0" w:space="0" w:color="auto"/>
        <w:left w:val="none" w:sz="0" w:space="0" w:color="auto"/>
        <w:bottom w:val="none" w:sz="0" w:space="0" w:color="auto"/>
        <w:right w:val="none" w:sz="0" w:space="0" w:color="auto"/>
      </w:divBdr>
    </w:div>
    <w:div w:id="346757240">
      <w:bodyDiv w:val="1"/>
      <w:marLeft w:val="0"/>
      <w:marRight w:val="0"/>
      <w:marTop w:val="0"/>
      <w:marBottom w:val="0"/>
      <w:divBdr>
        <w:top w:val="none" w:sz="0" w:space="0" w:color="auto"/>
        <w:left w:val="none" w:sz="0" w:space="0" w:color="auto"/>
        <w:bottom w:val="none" w:sz="0" w:space="0" w:color="auto"/>
        <w:right w:val="none" w:sz="0" w:space="0" w:color="auto"/>
      </w:divBdr>
    </w:div>
    <w:div w:id="357314788">
      <w:bodyDiv w:val="1"/>
      <w:marLeft w:val="0"/>
      <w:marRight w:val="0"/>
      <w:marTop w:val="0"/>
      <w:marBottom w:val="0"/>
      <w:divBdr>
        <w:top w:val="none" w:sz="0" w:space="0" w:color="auto"/>
        <w:left w:val="none" w:sz="0" w:space="0" w:color="auto"/>
        <w:bottom w:val="none" w:sz="0" w:space="0" w:color="auto"/>
        <w:right w:val="none" w:sz="0" w:space="0" w:color="auto"/>
      </w:divBdr>
    </w:div>
    <w:div w:id="370111843">
      <w:bodyDiv w:val="1"/>
      <w:marLeft w:val="0"/>
      <w:marRight w:val="0"/>
      <w:marTop w:val="0"/>
      <w:marBottom w:val="0"/>
      <w:divBdr>
        <w:top w:val="none" w:sz="0" w:space="0" w:color="auto"/>
        <w:left w:val="none" w:sz="0" w:space="0" w:color="auto"/>
        <w:bottom w:val="none" w:sz="0" w:space="0" w:color="auto"/>
        <w:right w:val="none" w:sz="0" w:space="0" w:color="auto"/>
      </w:divBdr>
    </w:div>
    <w:div w:id="373237176">
      <w:bodyDiv w:val="1"/>
      <w:marLeft w:val="0"/>
      <w:marRight w:val="0"/>
      <w:marTop w:val="0"/>
      <w:marBottom w:val="0"/>
      <w:divBdr>
        <w:top w:val="none" w:sz="0" w:space="0" w:color="auto"/>
        <w:left w:val="none" w:sz="0" w:space="0" w:color="auto"/>
        <w:bottom w:val="none" w:sz="0" w:space="0" w:color="auto"/>
        <w:right w:val="none" w:sz="0" w:space="0" w:color="auto"/>
      </w:divBdr>
    </w:div>
    <w:div w:id="380901865">
      <w:bodyDiv w:val="1"/>
      <w:marLeft w:val="0"/>
      <w:marRight w:val="0"/>
      <w:marTop w:val="0"/>
      <w:marBottom w:val="0"/>
      <w:divBdr>
        <w:top w:val="none" w:sz="0" w:space="0" w:color="auto"/>
        <w:left w:val="none" w:sz="0" w:space="0" w:color="auto"/>
        <w:bottom w:val="none" w:sz="0" w:space="0" w:color="auto"/>
        <w:right w:val="none" w:sz="0" w:space="0" w:color="auto"/>
      </w:divBdr>
    </w:div>
    <w:div w:id="383678281">
      <w:bodyDiv w:val="1"/>
      <w:marLeft w:val="0"/>
      <w:marRight w:val="0"/>
      <w:marTop w:val="0"/>
      <w:marBottom w:val="0"/>
      <w:divBdr>
        <w:top w:val="none" w:sz="0" w:space="0" w:color="auto"/>
        <w:left w:val="none" w:sz="0" w:space="0" w:color="auto"/>
        <w:bottom w:val="none" w:sz="0" w:space="0" w:color="auto"/>
        <w:right w:val="none" w:sz="0" w:space="0" w:color="auto"/>
      </w:divBdr>
    </w:div>
    <w:div w:id="384187014">
      <w:bodyDiv w:val="1"/>
      <w:marLeft w:val="0"/>
      <w:marRight w:val="0"/>
      <w:marTop w:val="0"/>
      <w:marBottom w:val="0"/>
      <w:divBdr>
        <w:top w:val="none" w:sz="0" w:space="0" w:color="auto"/>
        <w:left w:val="none" w:sz="0" w:space="0" w:color="auto"/>
        <w:bottom w:val="none" w:sz="0" w:space="0" w:color="auto"/>
        <w:right w:val="none" w:sz="0" w:space="0" w:color="auto"/>
      </w:divBdr>
    </w:div>
    <w:div w:id="405030064">
      <w:bodyDiv w:val="1"/>
      <w:marLeft w:val="0"/>
      <w:marRight w:val="0"/>
      <w:marTop w:val="0"/>
      <w:marBottom w:val="0"/>
      <w:divBdr>
        <w:top w:val="none" w:sz="0" w:space="0" w:color="auto"/>
        <w:left w:val="none" w:sz="0" w:space="0" w:color="auto"/>
        <w:bottom w:val="none" w:sz="0" w:space="0" w:color="auto"/>
        <w:right w:val="none" w:sz="0" w:space="0" w:color="auto"/>
      </w:divBdr>
    </w:div>
    <w:div w:id="406996781">
      <w:bodyDiv w:val="1"/>
      <w:marLeft w:val="0"/>
      <w:marRight w:val="0"/>
      <w:marTop w:val="0"/>
      <w:marBottom w:val="0"/>
      <w:divBdr>
        <w:top w:val="none" w:sz="0" w:space="0" w:color="auto"/>
        <w:left w:val="none" w:sz="0" w:space="0" w:color="auto"/>
        <w:bottom w:val="none" w:sz="0" w:space="0" w:color="auto"/>
        <w:right w:val="none" w:sz="0" w:space="0" w:color="auto"/>
      </w:divBdr>
    </w:div>
    <w:div w:id="415320055">
      <w:bodyDiv w:val="1"/>
      <w:marLeft w:val="0"/>
      <w:marRight w:val="0"/>
      <w:marTop w:val="0"/>
      <w:marBottom w:val="0"/>
      <w:divBdr>
        <w:top w:val="none" w:sz="0" w:space="0" w:color="auto"/>
        <w:left w:val="none" w:sz="0" w:space="0" w:color="auto"/>
        <w:bottom w:val="none" w:sz="0" w:space="0" w:color="auto"/>
        <w:right w:val="none" w:sz="0" w:space="0" w:color="auto"/>
      </w:divBdr>
    </w:div>
    <w:div w:id="429933019">
      <w:bodyDiv w:val="1"/>
      <w:marLeft w:val="0"/>
      <w:marRight w:val="0"/>
      <w:marTop w:val="0"/>
      <w:marBottom w:val="0"/>
      <w:divBdr>
        <w:top w:val="none" w:sz="0" w:space="0" w:color="auto"/>
        <w:left w:val="none" w:sz="0" w:space="0" w:color="auto"/>
        <w:bottom w:val="none" w:sz="0" w:space="0" w:color="auto"/>
        <w:right w:val="none" w:sz="0" w:space="0" w:color="auto"/>
      </w:divBdr>
    </w:div>
    <w:div w:id="433135711">
      <w:bodyDiv w:val="1"/>
      <w:marLeft w:val="0"/>
      <w:marRight w:val="0"/>
      <w:marTop w:val="0"/>
      <w:marBottom w:val="0"/>
      <w:divBdr>
        <w:top w:val="none" w:sz="0" w:space="0" w:color="auto"/>
        <w:left w:val="none" w:sz="0" w:space="0" w:color="auto"/>
        <w:bottom w:val="none" w:sz="0" w:space="0" w:color="auto"/>
        <w:right w:val="none" w:sz="0" w:space="0" w:color="auto"/>
      </w:divBdr>
    </w:div>
    <w:div w:id="434790673">
      <w:bodyDiv w:val="1"/>
      <w:marLeft w:val="0"/>
      <w:marRight w:val="0"/>
      <w:marTop w:val="0"/>
      <w:marBottom w:val="0"/>
      <w:divBdr>
        <w:top w:val="none" w:sz="0" w:space="0" w:color="auto"/>
        <w:left w:val="none" w:sz="0" w:space="0" w:color="auto"/>
        <w:bottom w:val="none" w:sz="0" w:space="0" w:color="auto"/>
        <w:right w:val="none" w:sz="0" w:space="0" w:color="auto"/>
      </w:divBdr>
    </w:div>
    <w:div w:id="450318618">
      <w:bodyDiv w:val="1"/>
      <w:marLeft w:val="0"/>
      <w:marRight w:val="0"/>
      <w:marTop w:val="0"/>
      <w:marBottom w:val="0"/>
      <w:divBdr>
        <w:top w:val="none" w:sz="0" w:space="0" w:color="auto"/>
        <w:left w:val="none" w:sz="0" w:space="0" w:color="auto"/>
        <w:bottom w:val="none" w:sz="0" w:space="0" w:color="auto"/>
        <w:right w:val="none" w:sz="0" w:space="0" w:color="auto"/>
      </w:divBdr>
    </w:div>
    <w:div w:id="476840556">
      <w:bodyDiv w:val="1"/>
      <w:marLeft w:val="0"/>
      <w:marRight w:val="0"/>
      <w:marTop w:val="0"/>
      <w:marBottom w:val="0"/>
      <w:divBdr>
        <w:top w:val="none" w:sz="0" w:space="0" w:color="auto"/>
        <w:left w:val="none" w:sz="0" w:space="0" w:color="auto"/>
        <w:bottom w:val="none" w:sz="0" w:space="0" w:color="auto"/>
        <w:right w:val="none" w:sz="0" w:space="0" w:color="auto"/>
      </w:divBdr>
    </w:div>
    <w:div w:id="479007971">
      <w:bodyDiv w:val="1"/>
      <w:marLeft w:val="0"/>
      <w:marRight w:val="0"/>
      <w:marTop w:val="0"/>
      <w:marBottom w:val="0"/>
      <w:divBdr>
        <w:top w:val="none" w:sz="0" w:space="0" w:color="auto"/>
        <w:left w:val="none" w:sz="0" w:space="0" w:color="auto"/>
        <w:bottom w:val="none" w:sz="0" w:space="0" w:color="auto"/>
        <w:right w:val="none" w:sz="0" w:space="0" w:color="auto"/>
      </w:divBdr>
    </w:div>
    <w:div w:id="488865111">
      <w:bodyDiv w:val="1"/>
      <w:marLeft w:val="0"/>
      <w:marRight w:val="0"/>
      <w:marTop w:val="0"/>
      <w:marBottom w:val="0"/>
      <w:divBdr>
        <w:top w:val="none" w:sz="0" w:space="0" w:color="auto"/>
        <w:left w:val="none" w:sz="0" w:space="0" w:color="auto"/>
        <w:bottom w:val="none" w:sz="0" w:space="0" w:color="auto"/>
        <w:right w:val="none" w:sz="0" w:space="0" w:color="auto"/>
      </w:divBdr>
    </w:div>
    <w:div w:id="490564862">
      <w:bodyDiv w:val="1"/>
      <w:marLeft w:val="0"/>
      <w:marRight w:val="0"/>
      <w:marTop w:val="0"/>
      <w:marBottom w:val="0"/>
      <w:divBdr>
        <w:top w:val="none" w:sz="0" w:space="0" w:color="auto"/>
        <w:left w:val="none" w:sz="0" w:space="0" w:color="auto"/>
        <w:bottom w:val="none" w:sz="0" w:space="0" w:color="auto"/>
        <w:right w:val="none" w:sz="0" w:space="0" w:color="auto"/>
      </w:divBdr>
    </w:div>
    <w:div w:id="551813724">
      <w:bodyDiv w:val="1"/>
      <w:marLeft w:val="0"/>
      <w:marRight w:val="0"/>
      <w:marTop w:val="0"/>
      <w:marBottom w:val="0"/>
      <w:divBdr>
        <w:top w:val="none" w:sz="0" w:space="0" w:color="auto"/>
        <w:left w:val="none" w:sz="0" w:space="0" w:color="auto"/>
        <w:bottom w:val="none" w:sz="0" w:space="0" w:color="auto"/>
        <w:right w:val="none" w:sz="0" w:space="0" w:color="auto"/>
      </w:divBdr>
    </w:div>
    <w:div w:id="554585134">
      <w:bodyDiv w:val="1"/>
      <w:marLeft w:val="0"/>
      <w:marRight w:val="0"/>
      <w:marTop w:val="0"/>
      <w:marBottom w:val="0"/>
      <w:divBdr>
        <w:top w:val="none" w:sz="0" w:space="0" w:color="auto"/>
        <w:left w:val="none" w:sz="0" w:space="0" w:color="auto"/>
        <w:bottom w:val="none" w:sz="0" w:space="0" w:color="auto"/>
        <w:right w:val="none" w:sz="0" w:space="0" w:color="auto"/>
      </w:divBdr>
    </w:div>
    <w:div w:id="573012158">
      <w:bodyDiv w:val="1"/>
      <w:marLeft w:val="0"/>
      <w:marRight w:val="0"/>
      <w:marTop w:val="0"/>
      <w:marBottom w:val="0"/>
      <w:divBdr>
        <w:top w:val="none" w:sz="0" w:space="0" w:color="auto"/>
        <w:left w:val="none" w:sz="0" w:space="0" w:color="auto"/>
        <w:bottom w:val="none" w:sz="0" w:space="0" w:color="auto"/>
        <w:right w:val="none" w:sz="0" w:space="0" w:color="auto"/>
      </w:divBdr>
    </w:div>
    <w:div w:id="579144653">
      <w:bodyDiv w:val="1"/>
      <w:marLeft w:val="0"/>
      <w:marRight w:val="0"/>
      <w:marTop w:val="0"/>
      <w:marBottom w:val="0"/>
      <w:divBdr>
        <w:top w:val="none" w:sz="0" w:space="0" w:color="auto"/>
        <w:left w:val="none" w:sz="0" w:space="0" w:color="auto"/>
        <w:bottom w:val="none" w:sz="0" w:space="0" w:color="auto"/>
        <w:right w:val="none" w:sz="0" w:space="0" w:color="auto"/>
      </w:divBdr>
    </w:div>
    <w:div w:id="581450355">
      <w:bodyDiv w:val="1"/>
      <w:marLeft w:val="0"/>
      <w:marRight w:val="0"/>
      <w:marTop w:val="0"/>
      <w:marBottom w:val="0"/>
      <w:divBdr>
        <w:top w:val="none" w:sz="0" w:space="0" w:color="auto"/>
        <w:left w:val="none" w:sz="0" w:space="0" w:color="auto"/>
        <w:bottom w:val="none" w:sz="0" w:space="0" w:color="auto"/>
        <w:right w:val="none" w:sz="0" w:space="0" w:color="auto"/>
      </w:divBdr>
    </w:div>
    <w:div w:id="603995115">
      <w:bodyDiv w:val="1"/>
      <w:marLeft w:val="0"/>
      <w:marRight w:val="0"/>
      <w:marTop w:val="0"/>
      <w:marBottom w:val="0"/>
      <w:divBdr>
        <w:top w:val="none" w:sz="0" w:space="0" w:color="auto"/>
        <w:left w:val="none" w:sz="0" w:space="0" w:color="auto"/>
        <w:bottom w:val="none" w:sz="0" w:space="0" w:color="auto"/>
        <w:right w:val="none" w:sz="0" w:space="0" w:color="auto"/>
      </w:divBdr>
    </w:div>
    <w:div w:id="606741728">
      <w:bodyDiv w:val="1"/>
      <w:marLeft w:val="0"/>
      <w:marRight w:val="0"/>
      <w:marTop w:val="0"/>
      <w:marBottom w:val="0"/>
      <w:divBdr>
        <w:top w:val="none" w:sz="0" w:space="0" w:color="auto"/>
        <w:left w:val="none" w:sz="0" w:space="0" w:color="auto"/>
        <w:bottom w:val="none" w:sz="0" w:space="0" w:color="auto"/>
        <w:right w:val="none" w:sz="0" w:space="0" w:color="auto"/>
      </w:divBdr>
    </w:div>
    <w:div w:id="609360936">
      <w:bodyDiv w:val="1"/>
      <w:marLeft w:val="0"/>
      <w:marRight w:val="0"/>
      <w:marTop w:val="0"/>
      <w:marBottom w:val="0"/>
      <w:divBdr>
        <w:top w:val="none" w:sz="0" w:space="0" w:color="auto"/>
        <w:left w:val="none" w:sz="0" w:space="0" w:color="auto"/>
        <w:bottom w:val="none" w:sz="0" w:space="0" w:color="auto"/>
        <w:right w:val="none" w:sz="0" w:space="0" w:color="auto"/>
      </w:divBdr>
    </w:div>
    <w:div w:id="613751877">
      <w:bodyDiv w:val="1"/>
      <w:marLeft w:val="0"/>
      <w:marRight w:val="0"/>
      <w:marTop w:val="0"/>
      <w:marBottom w:val="0"/>
      <w:divBdr>
        <w:top w:val="none" w:sz="0" w:space="0" w:color="auto"/>
        <w:left w:val="none" w:sz="0" w:space="0" w:color="auto"/>
        <w:bottom w:val="none" w:sz="0" w:space="0" w:color="auto"/>
        <w:right w:val="none" w:sz="0" w:space="0" w:color="auto"/>
      </w:divBdr>
    </w:div>
    <w:div w:id="628124853">
      <w:bodyDiv w:val="1"/>
      <w:marLeft w:val="0"/>
      <w:marRight w:val="0"/>
      <w:marTop w:val="0"/>
      <w:marBottom w:val="0"/>
      <w:divBdr>
        <w:top w:val="none" w:sz="0" w:space="0" w:color="auto"/>
        <w:left w:val="none" w:sz="0" w:space="0" w:color="auto"/>
        <w:bottom w:val="none" w:sz="0" w:space="0" w:color="auto"/>
        <w:right w:val="none" w:sz="0" w:space="0" w:color="auto"/>
      </w:divBdr>
    </w:div>
    <w:div w:id="640499666">
      <w:bodyDiv w:val="1"/>
      <w:marLeft w:val="0"/>
      <w:marRight w:val="0"/>
      <w:marTop w:val="0"/>
      <w:marBottom w:val="0"/>
      <w:divBdr>
        <w:top w:val="none" w:sz="0" w:space="0" w:color="auto"/>
        <w:left w:val="none" w:sz="0" w:space="0" w:color="auto"/>
        <w:bottom w:val="none" w:sz="0" w:space="0" w:color="auto"/>
        <w:right w:val="none" w:sz="0" w:space="0" w:color="auto"/>
      </w:divBdr>
    </w:div>
    <w:div w:id="665405283">
      <w:bodyDiv w:val="1"/>
      <w:marLeft w:val="0"/>
      <w:marRight w:val="0"/>
      <w:marTop w:val="0"/>
      <w:marBottom w:val="0"/>
      <w:divBdr>
        <w:top w:val="none" w:sz="0" w:space="0" w:color="auto"/>
        <w:left w:val="none" w:sz="0" w:space="0" w:color="auto"/>
        <w:bottom w:val="none" w:sz="0" w:space="0" w:color="auto"/>
        <w:right w:val="none" w:sz="0" w:space="0" w:color="auto"/>
      </w:divBdr>
    </w:div>
    <w:div w:id="676201792">
      <w:bodyDiv w:val="1"/>
      <w:marLeft w:val="0"/>
      <w:marRight w:val="0"/>
      <w:marTop w:val="0"/>
      <w:marBottom w:val="0"/>
      <w:divBdr>
        <w:top w:val="none" w:sz="0" w:space="0" w:color="auto"/>
        <w:left w:val="none" w:sz="0" w:space="0" w:color="auto"/>
        <w:bottom w:val="none" w:sz="0" w:space="0" w:color="auto"/>
        <w:right w:val="none" w:sz="0" w:space="0" w:color="auto"/>
      </w:divBdr>
    </w:div>
    <w:div w:id="680663991">
      <w:bodyDiv w:val="1"/>
      <w:marLeft w:val="0"/>
      <w:marRight w:val="0"/>
      <w:marTop w:val="0"/>
      <w:marBottom w:val="0"/>
      <w:divBdr>
        <w:top w:val="none" w:sz="0" w:space="0" w:color="auto"/>
        <w:left w:val="none" w:sz="0" w:space="0" w:color="auto"/>
        <w:bottom w:val="none" w:sz="0" w:space="0" w:color="auto"/>
        <w:right w:val="none" w:sz="0" w:space="0" w:color="auto"/>
      </w:divBdr>
    </w:div>
    <w:div w:id="681980117">
      <w:bodyDiv w:val="1"/>
      <w:marLeft w:val="0"/>
      <w:marRight w:val="0"/>
      <w:marTop w:val="0"/>
      <w:marBottom w:val="0"/>
      <w:divBdr>
        <w:top w:val="none" w:sz="0" w:space="0" w:color="auto"/>
        <w:left w:val="none" w:sz="0" w:space="0" w:color="auto"/>
        <w:bottom w:val="none" w:sz="0" w:space="0" w:color="auto"/>
        <w:right w:val="none" w:sz="0" w:space="0" w:color="auto"/>
      </w:divBdr>
    </w:div>
    <w:div w:id="688335252">
      <w:bodyDiv w:val="1"/>
      <w:marLeft w:val="0"/>
      <w:marRight w:val="0"/>
      <w:marTop w:val="0"/>
      <w:marBottom w:val="0"/>
      <w:divBdr>
        <w:top w:val="none" w:sz="0" w:space="0" w:color="auto"/>
        <w:left w:val="none" w:sz="0" w:space="0" w:color="auto"/>
        <w:bottom w:val="none" w:sz="0" w:space="0" w:color="auto"/>
        <w:right w:val="none" w:sz="0" w:space="0" w:color="auto"/>
      </w:divBdr>
    </w:div>
    <w:div w:id="697778389">
      <w:bodyDiv w:val="1"/>
      <w:marLeft w:val="0"/>
      <w:marRight w:val="0"/>
      <w:marTop w:val="0"/>
      <w:marBottom w:val="0"/>
      <w:divBdr>
        <w:top w:val="none" w:sz="0" w:space="0" w:color="auto"/>
        <w:left w:val="none" w:sz="0" w:space="0" w:color="auto"/>
        <w:bottom w:val="none" w:sz="0" w:space="0" w:color="auto"/>
        <w:right w:val="none" w:sz="0" w:space="0" w:color="auto"/>
      </w:divBdr>
    </w:div>
    <w:div w:id="700252712">
      <w:bodyDiv w:val="1"/>
      <w:marLeft w:val="0"/>
      <w:marRight w:val="0"/>
      <w:marTop w:val="0"/>
      <w:marBottom w:val="0"/>
      <w:divBdr>
        <w:top w:val="none" w:sz="0" w:space="0" w:color="auto"/>
        <w:left w:val="none" w:sz="0" w:space="0" w:color="auto"/>
        <w:bottom w:val="none" w:sz="0" w:space="0" w:color="auto"/>
        <w:right w:val="none" w:sz="0" w:space="0" w:color="auto"/>
      </w:divBdr>
    </w:div>
    <w:div w:id="701442062">
      <w:bodyDiv w:val="1"/>
      <w:marLeft w:val="0"/>
      <w:marRight w:val="0"/>
      <w:marTop w:val="0"/>
      <w:marBottom w:val="0"/>
      <w:divBdr>
        <w:top w:val="none" w:sz="0" w:space="0" w:color="auto"/>
        <w:left w:val="none" w:sz="0" w:space="0" w:color="auto"/>
        <w:bottom w:val="none" w:sz="0" w:space="0" w:color="auto"/>
        <w:right w:val="none" w:sz="0" w:space="0" w:color="auto"/>
      </w:divBdr>
    </w:div>
    <w:div w:id="715542480">
      <w:bodyDiv w:val="1"/>
      <w:marLeft w:val="0"/>
      <w:marRight w:val="0"/>
      <w:marTop w:val="0"/>
      <w:marBottom w:val="0"/>
      <w:divBdr>
        <w:top w:val="none" w:sz="0" w:space="0" w:color="auto"/>
        <w:left w:val="none" w:sz="0" w:space="0" w:color="auto"/>
        <w:bottom w:val="none" w:sz="0" w:space="0" w:color="auto"/>
        <w:right w:val="none" w:sz="0" w:space="0" w:color="auto"/>
      </w:divBdr>
    </w:div>
    <w:div w:id="722019283">
      <w:bodyDiv w:val="1"/>
      <w:marLeft w:val="0"/>
      <w:marRight w:val="0"/>
      <w:marTop w:val="0"/>
      <w:marBottom w:val="0"/>
      <w:divBdr>
        <w:top w:val="none" w:sz="0" w:space="0" w:color="auto"/>
        <w:left w:val="none" w:sz="0" w:space="0" w:color="auto"/>
        <w:bottom w:val="none" w:sz="0" w:space="0" w:color="auto"/>
        <w:right w:val="none" w:sz="0" w:space="0" w:color="auto"/>
      </w:divBdr>
    </w:div>
    <w:div w:id="731780720">
      <w:bodyDiv w:val="1"/>
      <w:marLeft w:val="0"/>
      <w:marRight w:val="0"/>
      <w:marTop w:val="0"/>
      <w:marBottom w:val="0"/>
      <w:divBdr>
        <w:top w:val="none" w:sz="0" w:space="0" w:color="auto"/>
        <w:left w:val="none" w:sz="0" w:space="0" w:color="auto"/>
        <w:bottom w:val="none" w:sz="0" w:space="0" w:color="auto"/>
        <w:right w:val="none" w:sz="0" w:space="0" w:color="auto"/>
      </w:divBdr>
      <w:divsChild>
        <w:div w:id="1927110514">
          <w:marLeft w:val="0"/>
          <w:marRight w:val="0"/>
          <w:marTop w:val="0"/>
          <w:marBottom w:val="0"/>
          <w:divBdr>
            <w:top w:val="none" w:sz="0" w:space="0" w:color="auto"/>
            <w:left w:val="none" w:sz="0" w:space="0" w:color="auto"/>
            <w:bottom w:val="none" w:sz="0" w:space="0" w:color="auto"/>
            <w:right w:val="none" w:sz="0" w:space="0" w:color="auto"/>
          </w:divBdr>
          <w:divsChild>
            <w:div w:id="81147447">
              <w:marLeft w:val="0"/>
              <w:marRight w:val="0"/>
              <w:marTop w:val="0"/>
              <w:marBottom w:val="0"/>
              <w:divBdr>
                <w:top w:val="none" w:sz="0" w:space="0" w:color="auto"/>
                <w:left w:val="none" w:sz="0" w:space="0" w:color="auto"/>
                <w:bottom w:val="none" w:sz="0" w:space="0" w:color="auto"/>
                <w:right w:val="none" w:sz="0" w:space="0" w:color="auto"/>
              </w:divBdr>
              <w:divsChild>
                <w:div w:id="764421369">
                  <w:marLeft w:val="0"/>
                  <w:marRight w:val="0"/>
                  <w:marTop w:val="0"/>
                  <w:marBottom w:val="0"/>
                  <w:divBdr>
                    <w:top w:val="none" w:sz="0" w:space="0" w:color="auto"/>
                    <w:left w:val="none" w:sz="0" w:space="0" w:color="auto"/>
                    <w:bottom w:val="none" w:sz="0" w:space="0" w:color="auto"/>
                    <w:right w:val="none" w:sz="0" w:space="0" w:color="auto"/>
                  </w:divBdr>
                  <w:divsChild>
                    <w:div w:id="652637115">
                      <w:marLeft w:val="0"/>
                      <w:marRight w:val="0"/>
                      <w:marTop w:val="0"/>
                      <w:marBottom w:val="0"/>
                      <w:divBdr>
                        <w:top w:val="none" w:sz="0" w:space="0" w:color="auto"/>
                        <w:left w:val="none" w:sz="0" w:space="0" w:color="auto"/>
                        <w:bottom w:val="none" w:sz="0" w:space="0" w:color="auto"/>
                        <w:right w:val="none" w:sz="0" w:space="0" w:color="auto"/>
                      </w:divBdr>
                      <w:divsChild>
                        <w:div w:id="1394429495">
                          <w:marLeft w:val="0"/>
                          <w:marRight w:val="0"/>
                          <w:marTop w:val="0"/>
                          <w:marBottom w:val="0"/>
                          <w:divBdr>
                            <w:top w:val="none" w:sz="0" w:space="0" w:color="auto"/>
                            <w:left w:val="none" w:sz="0" w:space="0" w:color="auto"/>
                            <w:bottom w:val="none" w:sz="0" w:space="0" w:color="auto"/>
                            <w:right w:val="none" w:sz="0" w:space="0" w:color="auto"/>
                          </w:divBdr>
                          <w:divsChild>
                            <w:div w:id="661393885">
                              <w:marLeft w:val="0"/>
                              <w:marRight w:val="0"/>
                              <w:marTop w:val="0"/>
                              <w:marBottom w:val="0"/>
                              <w:divBdr>
                                <w:top w:val="none" w:sz="0" w:space="0" w:color="auto"/>
                                <w:left w:val="none" w:sz="0" w:space="0" w:color="auto"/>
                                <w:bottom w:val="none" w:sz="0" w:space="0" w:color="auto"/>
                                <w:right w:val="none" w:sz="0" w:space="0" w:color="auto"/>
                              </w:divBdr>
                              <w:divsChild>
                                <w:div w:id="1046176979">
                                  <w:marLeft w:val="0"/>
                                  <w:marRight w:val="0"/>
                                  <w:marTop w:val="0"/>
                                  <w:marBottom w:val="0"/>
                                  <w:divBdr>
                                    <w:top w:val="none" w:sz="0" w:space="0" w:color="auto"/>
                                    <w:left w:val="none" w:sz="0" w:space="0" w:color="auto"/>
                                    <w:bottom w:val="none" w:sz="0" w:space="0" w:color="auto"/>
                                    <w:right w:val="none" w:sz="0" w:space="0" w:color="auto"/>
                                  </w:divBdr>
                                  <w:divsChild>
                                    <w:div w:id="377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757941">
                      <w:marLeft w:val="0"/>
                      <w:marRight w:val="0"/>
                      <w:marTop w:val="0"/>
                      <w:marBottom w:val="0"/>
                      <w:divBdr>
                        <w:top w:val="none" w:sz="0" w:space="0" w:color="auto"/>
                        <w:left w:val="none" w:sz="0" w:space="0" w:color="auto"/>
                        <w:bottom w:val="none" w:sz="0" w:space="0" w:color="auto"/>
                        <w:right w:val="none" w:sz="0" w:space="0" w:color="auto"/>
                      </w:divBdr>
                      <w:divsChild>
                        <w:div w:id="17604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263338">
      <w:bodyDiv w:val="1"/>
      <w:marLeft w:val="0"/>
      <w:marRight w:val="0"/>
      <w:marTop w:val="0"/>
      <w:marBottom w:val="0"/>
      <w:divBdr>
        <w:top w:val="none" w:sz="0" w:space="0" w:color="auto"/>
        <w:left w:val="none" w:sz="0" w:space="0" w:color="auto"/>
        <w:bottom w:val="none" w:sz="0" w:space="0" w:color="auto"/>
        <w:right w:val="none" w:sz="0" w:space="0" w:color="auto"/>
      </w:divBdr>
      <w:divsChild>
        <w:div w:id="723528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8551338">
      <w:bodyDiv w:val="1"/>
      <w:marLeft w:val="0"/>
      <w:marRight w:val="0"/>
      <w:marTop w:val="0"/>
      <w:marBottom w:val="0"/>
      <w:divBdr>
        <w:top w:val="none" w:sz="0" w:space="0" w:color="auto"/>
        <w:left w:val="none" w:sz="0" w:space="0" w:color="auto"/>
        <w:bottom w:val="none" w:sz="0" w:space="0" w:color="auto"/>
        <w:right w:val="none" w:sz="0" w:space="0" w:color="auto"/>
      </w:divBdr>
      <w:divsChild>
        <w:div w:id="474638086">
          <w:marLeft w:val="0"/>
          <w:marRight w:val="0"/>
          <w:marTop w:val="0"/>
          <w:marBottom w:val="0"/>
          <w:divBdr>
            <w:top w:val="none" w:sz="0" w:space="0" w:color="auto"/>
            <w:left w:val="none" w:sz="0" w:space="0" w:color="auto"/>
            <w:bottom w:val="none" w:sz="0" w:space="0" w:color="auto"/>
            <w:right w:val="none" w:sz="0" w:space="0" w:color="auto"/>
          </w:divBdr>
          <w:divsChild>
            <w:div w:id="74981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018112">
      <w:bodyDiv w:val="1"/>
      <w:marLeft w:val="0"/>
      <w:marRight w:val="0"/>
      <w:marTop w:val="0"/>
      <w:marBottom w:val="0"/>
      <w:divBdr>
        <w:top w:val="none" w:sz="0" w:space="0" w:color="auto"/>
        <w:left w:val="none" w:sz="0" w:space="0" w:color="auto"/>
        <w:bottom w:val="none" w:sz="0" w:space="0" w:color="auto"/>
        <w:right w:val="none" w:sz="0" w:space="0" w:color="auto"/>
      </w:divBdr>
    </w:div>
    <w:div w:id="796408143">
      <w:bodyDiv w:val="1"/>
      <w:marLeft w:val="0"/>
      <w:marRight w:val="0"/>
      <w:marTop w:val="0"/>
      <w:marBottom w:val="0"/>
      <w:divBdr>
        <w:top w:val="none" w:sz="0" w:space="0" w:color="auto"/>
        <w:left w:val="none" w:sz="0" w:space="0" w:color="auto"/>
        <w:bottom w:val="none" w:sz="0" w:space="0" w:color="auto"/>
        <w:right w:val="none" w:sz="0" w:space="0" w:color="auto"/>
      </w:divBdr>
    </w:div>
    <w:div w:id="825825299">
      <w:bodyDiv w:val="1"/>
      <w:marLeft w:val="0"/>
      <w:marRight w:val="0"/>
      <w:marTop w:val="0"/>
      <w:marBottom w:val="0"/>
      <w:divBdr>
        <w:top w:val="none" w:sz="0" w:space="0" w:color="auto"/>
        <w:left w:val="none" w:sz="0" w:space="0" w:color="auto"/>
        <w:bottom w:val="none" w:sz="0" w:space="0" w:color="auto"/>
        <w:right w:val="none" w:sz="0" w:space="0" w:color="auto"/>
      </w:divBdr>
    </w:div>
    <w:div w:id="861938328">
      <w:bodyDiv w:val="1"/>
      <w:marLeft w:val="0"/>
      <w:marRight w:val="0"/>
      <w:marTop w:val="0"/>
      <w:marBottom w:val="0"/>
      <w:divBdr>
        <w:top w:val="none" w:sz="0" w:space="0" w:color="auto"/>
        <w:left w:val="none" w:sz="0" w:space="0" w:color="auto"/>
        <w:bottom w:val="none" w:sz="0" w:space="0" w:color="auto"/>
        <w:right w:val="none" w:sz="0" w:space="0" w:color="auto"/>
      </w:divBdr>
    </w:div>
    <w:div w:id="866023262">
      <w:bodyDiv w:val="1"/>
      <w:marLeft w:val="0"/>
      <w:marRight w:val="0"/>
      <w:marTop w:val="0"/>
      <w:marBottom w:val="0"/>
      <w:divBdr>
        <w:top w:val="none" w:sz="0" w:space="0" w:color="auto"/>
        <w:left w:val="none" w:sz="0" w:space="0" w:color="auto"/>
        <w:bottom w:val="none" w:sz="0" w:space="0" w:color="auto"/>
        <w:right w:val="none" w:sz="0" w:space="0" w:color="auto"/>
      </w:divBdr>
    </w:div>
    <w:div w:id="883559956">
      <w:bodyDiv w:val="1"/>
      <w:marLeft w:val="0"/>
      <w:marRight w:val="0"/>
      <w:marTop w:val="0"/>
      <w:marBottom w:val="0"/>
      <w:divBdr>
        <w:top w:val="none" w:sz="0" w:space="0" w:color="auto"/>
        <w:left w:val="none" w:sz="0" w:space="0" w:color="auto"/>
        <w:bottom w:val="none" w:sz="0" w:space="0" w:color="auto"/>
        <w:right w:val="none" w:sz="0" w:space="0" w:color="auto"/>
      </w:divBdr>
    </w:div>
    <w:div w:id="896673411">
      <w:bodyDiv w:val="1"/>
      <w:marLeft w:val="0"/>
      <w:marRight w:val="0"/>
      <w:marTop w:val="0"/>
      <w:marBottom w:val="0"/>
      <w:divBdr>
        <w:top w:val="none" w:sz="0" w:space="0" w:color="auto"/>
        <w:left w:val="none" w:sz="0" w:space="0" w:color="auto"/>
        <w:bottom w:val="none" w:sz="0" w:space="0" w:color="auto"/>
        <w:right w:val="none" w:sz="0" w:space="0" w:color="auto"/>
      </w:divBdr>
    </w:div>
    <w:div w:id="896744668">
      <w:bodyDiv w:val="1"/>
      <w:marLeft w:val="0"/>
      <w:marRight w:val="0"/>
      <w:marTop w:val="0"/>
      <w:marBottom w:val="0"/>
      <w:divBdr>
        <w:top w:val="none" w:sz="0" w:space="0" w:color="auto"/>
        <w:left w:val="none" w:sz="0" w:space="0" w:color="auto"/>
        <w:bottom w:val="none" w:sz="0" w:space="0" w:color="auto"/>
        <w:right w:val="none" w:sz="0" w:space="0" w:color="auto"/>
      </w:divBdr>
    </w:div>
    <w:div w:id="919368213">
      <w:bodyDiv w:val="1"/>
      <w:marLeft w:val="0"/>
      <w:marRight w:val="0"/>
      <w:marTop w:val="0"/>
      <w:marBottom w:val="0"/>
      <w:divBdr>
        <w:top w:val="none" w:sz="0" w:space="0" w:color="auto"/>
        <w:left w:val="none" w:sz="0" w:space="0" w:color="auto"/>
        <w:bottom w:val="none" w:sz="0" w:space="0" w:color="auto"/>
        <w:right w:val="none" w:sz="0" w:space="0" w:color="auto"/>
      </w:divBdr>
    </w:div>
    <w:div w:id="922030603">
      <w:bodyDiv w:val="1"/>
      <w:marLeft w:val="0"/>
      <w:marRight w:val="0"/>
      <w:marTop w:val="0"/>
      <w:marBottom w:val="0"/>
      <w:divBdr>
        <w:top w:val="none" w:sz="0" w:space="0" w:color="auto"/>
        <w:left w:val="none" w:sz="0" w:space="0" w:color="auto"/>
        <w:bottom w:val="none" w:sz="0" w:space="0" w:color="auto"/>
        <w:right w:val="none" w:sz="0" w:space="0" w:color="auto"/>
      </w:divBdr>
    </w:div>
    <w:div w:id="925958377">
      <w:bodyDiv w:val="1"/>
      <w:marLeft w:val="0"/>
      <w:marRight w:val="0"/>
      <w:marTop w:val="0"/>
      <w:marBottom w:val="0"/>
      <w:divBdr>
        <w:top w:val="none" w:sz="0" w:space="0" w:color="auto"/>
        <w:left w:val="none" w:sz="0" w:space="0" w:color="auto"/>
        <w:bottom w:val="none" w:sz="0" w:space="0" w:color="auto"/>
        <w:right w:val="none" w:sz="0" w:space="0" w:color="auto"/>
      </w:divBdr>
    </w:div>
    <w:div w:id="927542011">
      <w:bodyDiv w:val="1"/>
      <w:marLeft w:val="0"/>
      <w:marRight w:val="0"/>
      <w:marTop w:val="0"/>
      <w:marBottom w:val="0"/>
      <w:divBdr>
        <w:top w:val="none" w:sz="0" w:space="0" w:color="auto"/>
        <w:left w:val="none" w:sz="0" w:space="0" w:color="auto"/>
        <w:bottom w:val="none" w:sz="0" w:space="0" w:color="auto"/>
        <w:right w:val="none" w:sz="0" w:space="0" w:color="auto"/>
      </w:divBdr>
    </w:div>
    <w:div w:id="934943942">
      <w:bodyDiv w:val="1"/>
      <w:marLeft w:val="0"/>
      <w:marRight w:val="0"/>
      <w:marTop w:val="0"/>
      <w:marBottom w:val="0"/>
      <w:divBdr>
        <w:top w:val="none" w:sz="0" w:space="0" w:color="auto"/>
        <w:left w:val="none" w:sz="0" w:space="0" w:color="auto"/>
        <w:bottom w:val="none" w:sz="0" w:space="0" w:color="auto"/>
        <w:right w:val="none" w:sz="0" w:space="0" w:color="auto"/>
      </w:divBdr>
    </w:div>
    <w:div w:id="957028665">
      <w:bodyDiv w:val="1"/>
      <w:marLeft w:val="0"/>
      <w:marRight w:val="0"/>
      <w:marTop w:val="0"/>
      <w:marBottom w:val="0"/>
      <w:divBdr>
        <w:top w:val="none" w:sz="0" w:space="0" w:color="auto"/>
        <w:left w:val="none" w:sz="0" w:space="0" w:color="auto"/>
        <w:bottom w:val="none" w:sz="0" w:space="0" w:color="auto"/>
        <w:right w:val="none" w:sz="0" w:space="0" w:color="auto"/>
      </w:divBdr>
    </w:div>
    <w:div w:id="958296991">
      <w:bodyDiv w:val="1"/>
      <w:marLeft w:val="0"/>
      <w:marRight w:val="0"/>
      <w:marTop w:val="0"/>
      <w:marBottom w:val="0"/>
      <w:divBdr>
        <w:top w:val="none" w:sz="0" w:space="0" w:color="auto"/>
        <w:left w:val="none" w:sz="0" w:space="0" w:color="auto"/>
        <w:bottom w:val="none" w:sz="0" w:space="0" w:color="auto"/>
        <w:right w:val="none" w:sz="0" w:space="0" w:color="auto"/>
      </w:divBdr>
    </w:div>
    <w:div w:id="959067341">
      <w:bodyDiv w:val="1"/>
      <w:marLeft w:val="0"/>
      <w:marRight w:val="0"/>
      <w:marTop w:val="0"/>
      <w:marBottom w:val="0"/>
      <w:divBdr>
        <w:top w:val="none" w:sz="0" w:space="0" w:color="auto"/>
        <w:left w:val="none" w:sz="0" w:space="0" w:color="auto"/>
        <w:bottom w:val="none" w:sz="0" w:space="0" w:color="auto"/>
        <w:right w:val="none" w:sz="0" w:space="0" w:color="auto"/>
      </w:divBdr>
    </w:div>
    <w:div w:id="960307848">
      <w:bodyDiv w:val="1"/>
      <w:marLeft w:val="0"/>
      <w:marRight w:val="0"/>
      <w:marTop w:val="0"/>
      <w:marBottom w:val="0"/>
      <w:divBdr>
        <w:top w:val="none" w:sz="0" w:space="0" w:color="auto"/>
        <w:left w:val="none" w:sz="0" w:space="0" w:color="auto"/>
        <w:bottom w:val="none" w:sz="0" w:space="0" w:color="auto"/>
        <w:right w:val="none" w:sz="0" w:space="0" w:color="auto"/>
      </w:divBdr>
    </w:div>
    <w:div w:id="962886388">
      <w:bodyDiv w:val="1"/>
      <w:marLeft w:val="0"/>
      <w:marRight w:val="0"/>
      <w:marTop w:val="0"/>
      <w:marBottom w:val="0"/>
      <w:divBdr>
        <w:top w:val="none" w:sz="0" w:space="0" w:color="auto"/>
        <w:left w:val="none" w:sz="0" w:space="0" w:color="auto"/>
        <w:bottom w:val="none" w:sz="0" w:space="0" w:color="auto"/>
        <w:right w:val="none" w:sz="0" w:space="0" w:color="auto"/>
      </w:divBdr>
    </w:div>
    <w:div w:id="963072956">
      <w:bodyDiv w:val="1"/>
      <w:marLeft w:val="0"/>
      <w:marRight w:val="0"/>
      <w:marTop w:val="0"/>
      <w:marBottom w:val="0"/>
      <w:divBdr>
        <w:top w:val="none" w:sz="0" w:space="0" w:color="auto"/>
        <w:left w:val="none" w:sz="0" w:space="0" w:color="auto"/>
        <w:bottom w:val="none" w:sz="0" w:space="0" w:color="auto"/>
        <w:right w:val="none" w:sz="0" w:space="0" w:color="auto"/>
      </w:divBdr>
      <w:divsChild>
        <w:div w:id="1937445420">
          <w:marLeft w:val="0"/>
          <w:marRight w:val="0"/>
          <w:marTop w:val="0"/>
          <w:marBottom w:val="0"/>
          <w:divBdr>
            <w:top w:val="none" w:sz="0" w:space="0" w:color="auto"/>
            <w:left w:val="none" w:sz="0" w:space="0" w:color="auto"/>
            <w:bottom w:val="none" w:sz="0" w:space="0" w:color="auto"/>
            <w:right w:val="none" w:sz="0" w:space="0" w:color="auto"/>
          </w:divBdr>
          <w:divsChild>
            <w:div w:id="536820379">
              <w:marLeft w:val="0"/>
              <w:marRight w:val="0"/>
              <w:marTop w:val="0"/>
              <w:marBottom w:val="0"/>
              <w:divBdr>
                <w:top w:val="none" w:sz="0" w:space="0" w:color="auto"/>
                <w:left w:val="none" w:sz="0" w:space="0" w:color="auto"/>
                <w:bottom w:val="none" w:sz="0" w:space="0" w:color="auto"/>
                <w:right w:val="none" w:sz="0" w:space="0" w:color="auto"/>
              </w:divBdr>
              <w:divsChild>
                <w:div w:id="540677729">
                  <w:marLeft w:val="0"/>
                  <w:marRight w:val="0"/>
                  <w:marTop w:val="0"/>
                  <w:marBottom w:val="0"/>
                  <w:divBdr>
                    <w:top w:val="none" w:sz="0" w:space="0" w:color="auto"/>
                    <w:left w:val="none" w:sz="0" w:space="0" w:color="auto"/>
                    <w:bottom w:val="none" w:sz="0" w:space="0" w:color="auto"/>
                    <w:right w:val="none" w:sz="0" w:space="0" w:color="auto"/>
                  </w:divBdr>
                  <w:divsChild>
                    <w:div w:id="1429734227">
                      <w:marLeft w:val="0"/>
                      <w:marRight w:val="0"/>
                      <w:marTop w:val="0"/>
                      <w:marBottom w:val="0"/>
                      <w:divBdr>
                        <w:top w:val="none" w:sz="0" w:space="0" w:color="auto"/>
                        <w:left w:val="none" w:sz="0" w:space="0" w:color="auto"/>
                        <w:bottom w:val="none" w:sz="0" w:space="0" w:color="auto"/>
                        <w:right w:val="none" w:sz="0" w:space="0" w:color="auto"/>
                      </w:divBdr>
                      <w:divsChild>
                        <w:div w:id="920410891">
                          <w:marLeft w:val="0"/>
                          <w:marRight w:val="0"/>
                          <w:marTop w:val="0"/>
                          <w:marBottom w:val="0"/>
                          <w:divBdr>
                            <w:top w:val="none" w:sz="0" w:space="0" w:color="auto"/>
                            <w:left w:val="none" w:sz="0" w:space="0" w:color="auto"/>
                            <w:bottom w:val="none" w:sz="0" w:space="0" w:color="auto"/>
                            <w:right w:val="none" w:sz="0" w:space="0" w:color="auto"/>
                          </w:divBdr>
                          <w:divsChild>
                            <w:div w:id="1604219713">
                              <w:marLeft w:val="0"/>
                              <w:marRight w:val="0"/>
                              <w:marTop w:val="0"/>
                              <w:marBottom w:val="0"/>
                              <w:divBdr>
                                <w:top w:val="none" w:sz="0" w:space="0" w:color="auto"/>
                                <w:left w:val="none" w:sz="0" w:space="0" w:color="auto"/>
                                <w:bottom w:val="none" w:sz="0" w:space="0" w:color="auto"/>
                                <w:right w:val="none" w:sz="0" w:space="0" w:color="auto"/>
                              </w:divBdr>
                              <w:divsChild>
                                <w:div w:id="1916666265">
                                  <w:marLeft w:val="0"/>
                                  <w:marRight w:val="0"/>
                                  <w:marTop w:val="0"/>
                                  <w:marBottom w:val="0"/>
                                  <w:divBdr>
                                    <w:top w:val="none" w:sz="0" w:space="0" w:color="auto"/>
                                    <w:left w:val="none" w:sz="0" w:space="0" w:color="auto"/>
                                    <w:bottom w:val="none" w:sz="0" w:space="0" w:color="auto"/>
                                    <w:right w:val="none" w:sz="0" w:space="0" w:color="auto"/>
                                  </w:divBdr>
                                  <w:divsChild>
                                    <w:div w:id="129328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691006">
      <w:bodyDiv w:val="1"/>
      <w:marLeft w:val="0"/>
      <w:marRight w:val="0"/>
      <w:marTop w:val="0"/>
      <w:marBottom w:val="0"/>
      <w:divBdr>
        <w:top w:val="none" w:sz="0" w:space="0" w:color="auto"/>
        <w:left w:val="none" w:sz="0" w:space="0" w:color="auto"/>
        <w:bottom w:val="none" w:sz="0" w:space="0" w:color="auto"/>
        <w:right w:val="none" w:sz="0" w:space="0" w:color="auto"/>
      </w:divBdr>
    </w:div>
    <w:div w:id="993415619">
      <w:bodyDiv w:val="1"/>
      <w:marLeft w:val="0"/>
      <w:marRight w:val="0"/>
      <w:marTop w:val="0"/>
      <w:marBottom w:val="0"/>
      <w:divBdr>
        <w:top w:val="none" w:sz="0" w:space="0" w:color="auto"/>
        <w:left w:val="none" w:sz="0" w:space="0" w:color="auto"/>
        <w:bottom w:val="none" w:sz="0" w:space="0" w:color="auto"/>
        <w:right w:val="none" w:sz="0" w:space="0" w:color="auto"/>
      </w:divBdr>
    </w:div>
    <w:div w:id="1004942571">
      <w:bodyDiv w:val="1"/>
      <w:marLeft w:val="0"/>
      <w:marRight w:val="0"/>
      <w:marTop w:val="0"/>
      <w:marBottom w:val="0"/>
      <w:divBdr>
        <w:top w:val="none" w:sz="0" w:space="0" w:color="auto"/>
        <w:left w:val="none" w:sz="0" w:space="0" w:color="auto"/>
        <w:bottom w:val="none" w:sz="0" w:space="0" w:color="auto"/>
        <w:right w:val="none" w:sz="0" w:space="0" w:color="auto"/>
      </w:divBdr>
      <w:divsChild>
        <w:div w:id="1580215501">
          <w:marLeft w:val="0"/>
          <w:marRight w:val="0"/>
          <w:marTop w:val="0"/>
          <w:marBottom w:val="0"/>
          <w:divBdr>
            <w:top w:val="none" w:sz="0" w:space="0" w:color="auto"/>
            <w:left w:val="none" w:sz="0" w:space="0" w:color="auto"/>
            <w:bottom w:val="none" w:sz="0" w:space="0" w:color="auto"/>
            <w:right w:val="none" w:sz="0" w:space="0" w:color="auto"/>
          </w:divBdr>
          <w:divsChild>
            <w:div w:id="228004754">
              <w:marLeft w:val="0"/>
              <w:marRight w:val="0"/>
              <w:marTop w:val="0"/>
              <w:marBottom w:val="0"/>
              <w:divBdr>
                <w:top w:val="none" w:sz="0" w:space="0" w:color="auto"/>
                <w:left w:val="none" w:sz="0" w:space="0" w:color="auto"/>
                <w:bottom w:val="none" w:sz="0" w:space="0" w:color="auto"/>
                <w:right w:val="none" w:sz="0" w:space="0" w:color="auto"/>
              </w:divBdr>
              <w:divsChild>
                <w:div w:id="421296013">
                  <w:marLeft w:val="0"/>
                  <w:marRight w:val="0"/>
                  <w:marTop w:val="0"/>
                  <w:marBottom w:val="0"/>
                  <w:divBdr>
                    <w:top w:val="none" w:sz="0" w:space="0" w:color="auto"/>
                    <w:left w:val="none" w:sz="0" w:space="0" w:color="auto"/>
                    <w:bottom w:val="none" w:sz="0" w:space="0" w:color="auto"/>
                    <w:right w:val="none" w:sz="0" w:space="0" w:color="auto"/>
                  </w:divBdr>
                  <w:divsChild>
                    <w:div w:id="386683822">
                      <w:marLeft w:val="0"/>
                      <w:marRight w:val="0"/>
                      <w:marTop w:val="0"/>
                      <w:marBottom w:val="0"/>
                      <w:divBdr>
                        <w:top w:val="none" w:sz="0" w:space="0" w:color="auto"/>
                        <w:left w:val="none" w:sz="0" w:space="0" w:color="auto"/>
                        <w:bottom w:val="none" w:sz="0" w:space="0" w:color="auto"/>
                        <w:right w:val="none" w:sz="0" w:space="0" w:color="auto"/>
                      </w:divBdr>
                      <w:divsChild>
                        <w:div w:id="1242374954">
                          <w:marLeft w:val="0"/>
                          <w:marRight w:val="0"/>
                          <w:marTop w:val="0"/>
                          <w:marBottom w:val="0"/>
                          <w:divBdr>
                            <w:top w:val="none" w:sz="0" w:space="0" w:color="auto"/>
                            <w:left w:val="none" w:sz="0" w:space="0" w:color="auto"/>
                            <w:bottom w:val="none" w:sz="0" w:space="0" w:color="auto"/>
                            <w:right w:val="none" w:sz="0" w:space="0" w:color="auto"/>
                          </w:divBdr>
                          <w:divsChild>
                            <w:div w:id="951594513">
                              <w:marLeft w:val="0"/>
                              <w:marRight w:val="0"/>
                              <w:marTop w:val="0"/>
                              <w:marBottom w:val="0"/>
                              <w:divBdr>
                                <w:top w:val="none" w:sz="0" w:space="0" w:color="auto"/>
                                <w:left w:val="none" w:sz="0" w:space="0" w:color="auto"/>
                                <w:bottom w:val="none" w:sz="0" w:space="0" w:color="auto"/>
                                <w:right w:val="none" w:sz="0" w:space="0" w:color="auto"/>
                              </w:divBdr>
                              <w:divsChild>
                                <w:div w:id="988247463">
                                  <w:marLeft w:val="0"/>
                                  <w:marRight w:val="0"/>
                                  <w:marTop w:val="0"/>
                                  <w:marBottom w:val="0"/>
                                  <w:divBdr>
                                    <w:top w:val="none" w:sz="0" w:space="0" w:color="auto"/>
                                    <w:left w:val="none" w:sz="0" w:space="0" w:color="auto"/>
                                    <w:bottom w:val="none" w:sz="0" w:space="0" w:color="auto"/>
                                    <w:right w:val="none" w:sz="0" w:space="0" w:color="auto"/>
                                  </w:divBdr>
                                  <w:divsChild>
                                    <w:div w:id="60268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12214">
                      <w:marLeft w:val="0"/>
                      <w:marRight w:val="0"/>
                      <w:marTop w:val="0"/>
                      <w:marBottom w:val="0"/>
                      <w:divBdr>
                        <w:top w:val="none" w:sz="0" w:space="0" w:color="auto"/>
                        <w:left w:val="none" w:sz="0" w:space="0" w:color="auto"/>
                        <w:bottom w:val="none" w:sz="0" w:space="0" w:color="auto"/>
                        <w:right w:val="none" w:sz="0" w:space="0" w:color="auto"/>
                      </w:divBdr>
                      <w:divsChild>
                        <w:div w:id="14184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573601">
      <w:bodyDiv w:val="1"/>
      <w:marLeft w:val="0"/>
      <w:marRight w:val="0"/>
      <w:marTop w:val="0"/>
      <w:marBottom w:val="0"/>
      <w:divBdr>
        <w:top w:val="none" w:sz="0" w:space="0" w:color="auto"/>
        <w:left w:val="none" w:sz="0" w:space="0" w:color="auto"/>
        <w:bottom w:val="none" w:sz="0" w:space="0" w:color="auto"/>
        <w:right w:val="none" w:sz="0" w:space="0" w:color="auto"/>
      </w:divBdr>
    </w:div>
    <w:div w:id="1025597462">
      <w:bodyDiv w:val="1"/>
      <w:marLeft w:val="0"/>
      <w:marRight w:val="0"/>
      <w:marTop w:val="0"/>
      <w:marBottom w:val="0"/>
      <w:divBdr>
        <w:top w:val="none" w:sz="0" w:space="0" w:color="auto"/>
        <w:left w:val="none" w:sz="0" w:space="0" w:color="auto"/>
        <w:bottom w:val="none" w:sz="0" w:space="0" w:color="auto"/>
        <w:right w:val="none" w:sz="0" w:space="0" w:color="auto"/>
      </w:divBdr>
    </w:div>
    <w:div w:id="1055734892">
      <w:bodyDiv w:val="1"/>
      <w:marLeft w:val="0"/>
      <w:marRight w:val="0"/>
      <w:marTop w:val="0"/>
      <w:marBottom w:val="0"/>
      <w:divBdr>
        <w:top w:val="none" w:sz="0" w:space="0" w:color="auto"/>
        <w:left w:val="none" w:sz="0" w:space="0" w:color="auto"/>
        <w:bottom w:val="none" w:sz="0" w:space="0" w:color="auto"/>
        <w:right w:val="none" w:sz="0" w:space="0" w:color="auto"/>
      </w:divBdr>
    </w:div>
    <w:div w:id="1066101043">
      <w:bodyDiv w:val="1"/>
      <w:marLeft w:val="0"/>
      <w:marRight w:val="0"/>
      <w:marTop w:val="0"/>
      <w:marBottom w:val="0"/>
      <w:divBdr>
        <w:top w:val="none" w:sz="0" w:space="0" w:color="auto"/>
        <w:left w:val="none" w:sz="0" w:space="0" w:color="auto"/>
        <w:bottom w:val="none" w:sz="0" w:space="0" w:color="auto"/>
        <w:right w:val="none" w:sz="0" w:space="0" w:color="auto"/>
      </w:divBdr>
    </w:div>
    <w:div w:id="1066225353">
      <w:bodyDiv w:val="1"/>
      <w:marLeft w:val="0"/>
      <w:marRight w:val="0"/>
      <w:marTop w:val="0"/>
      <w:marBottom w:val="0"/>
      <w:divBdr>
        <w:top w:val="none" w:sz="0" w:space="0" w:color="auto"/>
        <w:left w:val="none" w:sz="0" w:space="0" w:color="auto"/>
        <w:bottom w:val="none" w:sz="0" w:space="0" w:color="auto"/>
        <w:right w:val="none" w:sz="0" w:space="0" w:color="auto"/>
      </w:divBdr>
    </w:div>
    <w:div w:id="1075127757">
      <w:bodyDiv w:val="1"/>
      <w:marLeft w:val="0"/>
      <w:marRight w:val="0"/>
      <w:marTop w:val="0"/>
      <w:marBottom w:val="0"/>
      <w:divBdr>
        <w:top w:val="none" w:sz="0" w:space="0" w:color="auto"/>
        <w:left w:val="none" w:sz="0" w:space="0" w:color="auto"/>
        <w:bottom w:val="none" w:sz="0" w:space="0" w:color="auto"/>
        <w:right w:val="none" w:sz="0" w:space="0" w:color="auto"/>
      </w:divBdr>
    </w:div>
    <w:div w:id="1091319150">
      <w:bodyDiv w:val="1"/>
      <w:marLeft w:val="0"/>
      <w:marRight w:val="0"/>
      <w:marTop w:val="0"/>
      <w:marBottom w:val="0"/>
      <w:divBdr>
        <w:top w:val="none" w:sz="0" w:space="0" w:color="auto"/>
        <w:left w:val="none" w:sz="0" w:space="0" w:color="auto"/>
        <w:bottom w:val="none" w:sz="0" w:space="0" w:color="auto"/>
        <w:right w:val="none" w:sz="0" w:space="0" w:color="auto"/>
      </w:divBdr>
    </w:div>
    <w:div w:id="1109350429">
      <w:bodyDiv w:val="1"/>
      <w:marLeft w:val="0"/>
      <w:marRight w:val="0"/>
      <w:marTop w:val="0"/>
      <w:marBottom w:val="0"/>
      <w:divBdr>
        <w:top w:val="none" w:sz="0" w:space="0" w:color="auto"/>
        <w:left w:val="none" w:sz="0" w:space="0" w:color="auto"/>
        <w:bottom w:val="none" w:sz="0" w:space="0" w:color="auto"/>
        <w:right w:val="none" w:sz="0" w:space="0" w:color="auto"/>
      </w:divBdr>
    </w:div>
    <w:div w:id="1117483951">
      <w:bodyDiv w:val="1"/>
      <w:marLeft w:val="0"/>
      <w:marRight w:val="0"/>
      <w:marTop w:val="0"/>
      <w:marBottom w:val="0"/>
      <w:divBdr>
        <w:top w:val="none" w:sz="0" w:space="0" w:color="auto"/>
        <w:left w:val="none" w:sz="0" w:space="0" w:color="auto"/>
        <w:bottom w:val="none" w:sz="0" w:space="0" w:color="auto"/>
        <w:right w:val="none" w:sz="0" w:space="0" w:color="auto"/>
      </w:divBdr>
    </w:div>
    <w:div w:id="1124738424">
      <w:bodyDiv w:val="1"/>
      <w:marLeft w:val="0"/>
      <w:marRight w:val="0"/>
      <w:marTop w:val="0"/>
      <w:marBottom w:val="0"/>
      <w:divBdr>
        <w:top w:val="none" w:sz="0" w:space="0" w:color="auto"/>
        <w:left w:val="none" w:sz="0" w:space="0" w:color="auto"/>
        <w:bottom w:val="none" w:sz="0" w:space="0" w:color="auto"/>
        <w:right w:val="none" w:sz="0" w:space="0" w:color="auto"/>
      </w:divBdr>
    </w:div>
    <w:div w:id="1132410048">
      <w:bodyDiv w:val="1"/>
      <w:marLeft w:val="0"/>
      <w:marRight w:val="0"/>
      <w:marTop w:val="0"/>
      <w:marBottom w:val="0"/>
      <w:divBdr>
        <w:top w:val="none" w:sz="0" w:space="0" w:color="auto"/>
        <w:left w:val="none" w:sz="0" w:space="0" w:color="auto"/>
        <w:bottom w:val="none" w:sz="0" w:space="0" w:color="auto"/>
        <w:right w:val="none" w:sz="0" w:space="0" w:color="auto"/>
      </w:divBdr>
    </w:div>
    <w:div w:id="1133251095">
      <w:bodyDiv w:val="1"/>
      <w:marLeft w:val="0"/>
      <w:marRight w:val="0"/>
      <w:marTop w:val="0"/>
      <w:marBottom w:val="0"/>
      <w:divBdr>
        <w:top w:val="none" w:sz="0" w:space="0" w:color="auto"/>
        <w:left w:val="none" w:sz="0" w:space="0" w:color="auto"/>
        <w:bottom w:val="none" w:sz="0" w:space="0" w:color="auto"/>
        <w:right w:val="none" w:sz="0" w:space="0" w:color="auto"/>
      </w:divBdr>
    </w:div>
    <w:div w:id="1134368558">
      <w:bodyDiv w:val="1"/>
      <w:marLeft w:val="0"/>
      <w:marRight w:val="0"/>
      <w:marTop w:val="0"/>
      <w:marBottom w:val="0"/>
      <w:divBdr>
        <w:top w:val="none" w:sz="0" w:space="0" w:color="auto"/>
        <w:left w:val="none" w:sz="0" w:space="0" w:color="auto"/>
        <w:bottom w:val="none" w:sz="0" w:space="0" w:color="auto"/>
        <w:right w:val="none" w:sz="0" w:space="0" w:color="auto"/>
      </w:divBdr>
    </w:div>
    <w:div w:id="1136753566">
      <w:bodyDiv w:val="1"/>
      <w:marLeft w:val="0"/>
      <w:marRight w:val="0"/>
      <w:marTop w:val="0"/>
      <w:marBottom w:val="0"/>
      <w:divBdr>
        <w:top w:val="none" w:sz="0" w:space="0" w:color="auto"/>
        <w:left w:val="none" w:sz="0" w:space="0" w:color="auto"/>
        <w:bottom w:val="none" w:sz="0" w:space="0" w:color="auto"/>
        <w:right w:val="none" w:sz="0" w:space="0" w:color="auto"/>
      </w:divBdr>
      <w:divsChild>
        <w:div w:id="603616717">
          <w:marLeft w:val="0"/>
          <w:marRight w:val="0"/>
          <w:marTop w:val="0"/>
          <w:marBottom w:val="0"/>
          <w:divBdr>
            <w:top w:val="none" w:sz="0" w:space="0" w:color="auto"/>
            <w:left w:val="none" w:sz="0" w:space="0" w:color="auto"/>
            <w:bottom w:val="none" w:sz="0" w:space="0" w:color="auto"/>
            <w:right w:val="none" w:sz="0" w:space="0" w:color="auto"/>
          </w:divBdr>
          <w:divsChild>
            <w:div w:id="38093499">
              <w:marLeft w:val="0"/>
              <w:marRight w:val="0"/>
              <w:marTop w:val="0"/>
              <w:marBottom w:val="0"/>
              <w:divBdr>
                <w:top w:val="none" w:sz="0" w:space="0" w:color="auto"/>
                <w:left w:val="none" w:sz="0" w:space="0" w:color="auto"/>
                <w:bottom w:val="none" w:sz="0" w:space="0" w:color="auto"/>
                <w:right w:val="none" w:sz="0" w:space="0" w:color="auto"/>
              </w:divBdr>
            </w:div>
          </w:divsChild>
        </w:div>
        <w:div w:id="2013214912">
          <w:marLeft w:val="0"/>
          <w:marRight w:val="0"/>
          <w:marTop w:val="0"/>
          <w:marBottom w:val="0"/>
          <w:divBdr>
            <w:top w:val="none" w:sz="0" w:space="0" w:color="auto"/>
            <w:left w:val="none" w:sz="0" w:space="0" w:color="auto"/>
            <w:bottom w:val="none" w:sz="0" w:space="0" w:color="auto"/>
            <w:right w:val="none" w:sz="0" w:space="0" w:color="auto"/>
          </w:divBdr>
          <w:divsChild>
            <w:div w:id="194256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001346">
      <w:bodyDiv w:val="1"/>
      <w:marLeft w:val="0"/>
      <w:marRight w:val="0"/>
      <w:marTop w:val="0"/>
      <w:marBottom w:val="0"/>
      <w:divBdr>
        <w:top w:val="none" w:sz="0" w:space="0" w:color="auto"/>
        <w:left w:val="none" w:sz="0" w:space="0" w:color="auto"/>
        <w:bottom w:val="none" w:sz="0" w:space="0" w:color="auto"/>
        <w:right w:val="none" w:sz="0" w:space="0" w:color="auto"/>
      </w:divBdr>
    </w:div>
    <w:div w:id="1152715616">
      <w:bodyDiv w:val="1"/>
      <w:marLeft w:val="0"/>
      <w:marRight w:val="0"/>
      <w:marTop w:val="0"/>
      <w:marBottom w:val="0"/>
      <w:divBdr>
        <w:top w:val="none" w:sz="0" w:space="0" w:color="auto"/>
        <w:left w:val="none" w:sz="0" w:space="0" w:color="auto"/>
        <w:bottom w:val="none" w:sz="0" w:space="0" w:color="auto"/>
        <w:right w:val="none" w:sz="0" w:space="0" w:color="auto"/>
      </w:divBdr>
    </w:div>
    <w:div w:id="1165047282">
      <w:bodyDiv w:val="1"/>
      <w:marLeft w:val="0"/>
      <w:marRight w:val="0"/>
      <w:marTop w:val="0"/>
      <w:marBottom w:val="0"/>
      <w:divBdr>
        <w:top w:val="none" w:sz="0" w:space="0" w:color="auto"/>
        <w:left w:val="none" w:sz="0" w:space="0" w:color="auto"/>
        <w:bottom w:val="none" w:sz="0" w:space="0" w:color="auto"/>
        <w:right w:val="none" w:sz="0" w:space="0" w:color="auto"/>
      </w:divBdr>
    </w:div>
    <w:div w:id="1176770510">
      <w:bodyDiv w:val="1"/>
      <w:marLeft w:val="0"/>
      <w:marRight w:val="0"/>
      <w:marTop w:val="0"/>
      <w:marBottom w:val="0"/>
      <w:divBdr>
        <w:top w:val="none" w:sz="0" w:space="0" w:color="auto"/>
        <w:left w:val="none" w:sz="0" w:space="0" w:color="auto"/>
        <w:bottom w:val="none" w:sz="0" w:space="0" w:color="auto"/>
        <w:right w:val="none" w:sz="0" w:space="0" w:color="auto"/>
      </w:divBdr>
    </w:div>
    <w:div w:id="1182546694">
      <w:bodyDiv w:val="1"/>
      <w:marLeft w:val="0"/>
      <w:marRight w:val="0"/>
      <w:marTop w:val="0"/>
      <w:marBottom w:val="0"/>
      <w:divBdr>
        <w:top w:val="none" w:sz="0" w:space="0" w:color="auto"/>
        <w:left w:val="none" w:sz="0" w:space="0" w:color="auto"/>
        <w:bottom w:val="none" w:sz="0" w:space="0" w:color="auto"/>
        <w:right w:val="none" w:sz="0" w:space="0" w:color="auto"/>
      </w:divBdr>
    </w:div>
    <w:div w:id="1183203630">
      <w:bodyDiv w:val="1"/>
      <w:marLeft w:val="0"/>
      <w:marRight w:val="0"/>
      <w:marTop w:val="0"/>
      <w:marBottom w:val="0"/>
      <w:divBdr>
        <w:top w:val="none" w:sz="0" w:space="0" w:color="auto"/>
        <w:left w:val="none" w:sz="0" w:space="0" w:color="auto"/>
        <w:bottom w:val="none" w:sz="0" w:space="0" w:color="auto"/>
        <w:right w:val="none" w:sz="0" w:space="0" w:color="auto"/>
      </w:divBdr>
    </w:div>
    <w:div w:id="1191071679">
      <w:bodyDiv w:val="1"/>
      <w:marLeft w:val="0"/>
      <w:marRight w:val="0"/>
      <w:marTop w:val="0"/>
      <w:marBottom w:val="0"/>
      <w:divBdr>
        <w:top w:val="none" w:sz="0" w:space="0" w:color="auto"/>
        <w:left w:val="none" w:sz="0" w:space="0" w:color="auto"/>
        <w:bottom w:val="none" w:sz="0" w:space="0" w:color="auto"/>
        <w:right w:val="none" w:sz="0" w:space="0" w:color="auto"/>
      </w:divBdr>
    </w:div>
    <w:div w:id="1197155594">
      <w:bodyDiv w:val="1"/>
      <w:marLeft w:val="0"/>
      <w:marRight w:val="0"/>
      <w:marTop w:val="0"/>
      <w:marBottom w:val="0"/>
      <w:divBdr>
        <w:top w:val="none" w:sz="0" w:space="0" w:color="auto"/>
        <w:left w:val="none" w:sz="0" w:space="0" w:color="auto"/>
        <w:bottom w:val="none" w:sz="0" w:space="0" w:color="auto"/>
        <w:right w:val="none" w:sz="0" w:space="0" w:color="auto"/>
      </w:divBdr>
    </w:div>
    <w:div w:id="1208954771">
      <w:bodyDiv w:val="1"/>
      <w:marLeft w:val="0"/>
      <w:marRight w:val="0"/>
      <w:marTop w:val="0"/>
      <w:marBottom w:val="0"/>
      <w:divBdr>
        <w:top w:val="none" w:sz="0" w:space="0" w:color="auto"/>
        <w:left w:val="none" w:sz="0" w:space="0" w:color="auto"/>
        <w:bottom w:val="none" w:sz="0" w:space="0" w:color="auto"/>
        <w:right w:val="none" w:sz="0" w:space="0" w:color="auto"/>
      </w:divBdr>
    </w:div>
    <w:div w:id="1218200554">
      <w:bodyDiv w:val="1"/>
      <w:marLeft w:val="0"/>
      <w:marRight w:val="0"/>
      <w:marTop w:val="0"/>
      <w:marBottom w:val="0"/>
      <w:divBdr>
        <w:top w:val="none" w:sz="0" w:space="0" w:color="auto"/>
        <w:left w:val="none" w:sz="0" w:space="0" w:color="auto"/>
        <w:bottom w:val="none" w:sz="0" w:space="0" w:color="auto"/>
        <w:right w:val="none" w:sz="0" w:space="0" w:color="auto"/>
      </w:divBdr>
    </w:div>
    <w:div w:id="1218787334">
      <w:bodyDiv w:val="1"/>
      <w:marLeft w:val="0"/>
      <w:marRight w:val="0"/>
      <w:marTop w:val="0"/>
      <w:marBottom w:val="0"/>
      <w:divBdr>
        <w:top w:val="none" w:sz="0" w:space="0" w:color="auto"/>
        <w:left w:val="none" w:sz="0" w:space="0" w:color="auto"/>
        <w:bottom w:val="none" w:sz="0" w:space="0" w:color="auto"/>
        <w:right w:val="none" w:sz="0" w:space="0" w:color="auto"/>
      </w:divBdr>
    </w:div>
    <w:div w:id="1222332582">
      <w:bodyDiv w:val="1"/>
      <w:marLeft w:val="0"/>
      <w:marRight w:val="0"/>
      <w:marTop w:val="0"/>
      <w:marBottom w:val="0"/>
      <w:divBdr>
        <w:top w:val="none" w:sz="0" w:space="0" w:color="auto"/>
        <w:left w:val="none" w:sz="0" w:space="0" w:color="auto"/>
        <w:bottom w:val="none" w:sz="0" w:space="0" w:color="auto"/>
        <w:right w:val="none" w:sz="0" w:space="0" w:color="auto"/>
      </w:divBdr>
    </w:div>
    <w:div w:id="1229145375">
      <w:bodyDiv w:val="1"/>
      <w:marLeft w:val="0"/>
      <w:marRight w:val="0"/>
      <w:marTop w:val="0"/>
      <w:marBottom w:val="0"/>
      <w:divBdr>
        <w:top w:val="none" w:sz="0" w:space="0" w:color="auto"/>
        <w:left w:val="none" w:sz="0" w:space="0" w:color="auto"/>
        <w:bottom w:val="none" w:sz="0" w:space="0" w:color="auto"/>
        <w:right w:val="none" w:sz="0" w:space="0" w:color="auto"/>
      </w:divBdr>
    </w:div>
    <w:div w:id="1242251181">
      <w:bodyDiv w:val="1"/>
      <w:marLeft w:val="0"/>
      <w:marRight w:val="0"/>
      <w:marTop w:val="0"/>
      <w:marBottom w:val="0"/>
      <w:divBdr>
        <w:top w:val="none" w:sz="0" w:space="0" w:color="auto"/>
        <w:left w:val="none" w:sz="0" w:space="0" w:color="auto"/>
        <w:bottom w:val="none" w:sz="0" w:space="0" w:color="auto"/>
        <w:right w:val="none" w:sz="0" w:space="0" w:color="auto"/>
      </w:divBdr>
    </w:div>
    <w:div w:id="1244487312">
      <w:bodyDiv w:val="1"/>
      <w:marLeft w:val="0"/>
      <w:marRight w:val="0"/>
      <w:marTop w:val="0"/>
      <w:marBottom w:val="0"/>
      <w:divBdr>
        <w:top w:val="none" w:sz="0" w:space="0" w:color="auto"/>
        <w:left w:val="none" w:sz="0" w:space="0" w:color="auto"/>
        <w:bottom w:val="none" w:sz="0" w:space="0" w:color="auto"/>
        <w:right w:val="none" w:sz="0" w:space="0" w:color="auto"/>
      </w:divBdr>
    </w:div>
    <w:div w:id="1246264569">
      <w:bodyDiv w:val="1"/>
      <w:marLeft w:val="0"/>
      <w:marRight w:val="0"/>
      <w:marTop w:val="0"/>
      <w:marBottom w:val="0"/>
      <w:divBdr>
        <w:top w:val="none" w:sz="0" w:space="0" w:color="auto"/>
        <w:left w:val="none" w:sz="0" w:space="0" w:color="auto"/>
        <w:bottom w:val="none" w:sz="0" w:space="0" w:color="auto"/>
        <w:right w:val="none" w:sz="0" w:space="0" w:color="auto"/>
      </w:divBdr>
    </w:div>
    <w:div w:id="1269697797">
      <w:bodyDiv w:val="1"/>
      <w:marLeft w:val="0"/>
      <w:marRight w:val="0"/>
      <w:marTop w:val="0"/>
      <w:marBottom w:val="0"/>
      <w:divBdr>
        <w:top w:val="none" w:sz="0" w:space="0" w:color="auto"/>
        <w:left w:val="none" w:sz="0" w:space="0" w:color="auto"/>
        <w:bottom w:val="none" w:sz="0" w:space="0" w:color="auto"/>
        <w:right w:val="none" w:sz="0" w:space="0" w:color="auto"/>
      </w:divBdr>
    </w:div>
    <w:div w:id="1274362374">
      <w:bodyDiv w:val="1"/>
      <w:marLeft w:val="0"/>
      <w:marRight w:val="0"/>
      <w:marTop w:val="0"/>
      <w:marBottom w:val="0"/>
      <w:divBdr>
        <w:top w:val="none" w:sz="0" w:space="0" w:color="auto"/>
        <w:left w:val="none" w:sz="0" w:space="0" w:color="auto"/>
        <w:bottom w:val="none" w:sz="0" w:space="0" w:color="auto"/>
        <w:right w:val="none" w:sz="0" w:space="0" w:color="auto"/>
      </w:divBdr>
    </w:div>
    <w:div w:id="1289237686">
      <w:bodyDiv w:val="1"/>
      <w:marLeft w:val="0"/>
      <w:marRight w:val="0"/>
      <w:marTop w:val="0"/>
      <w:marBottom w:val="0"/>
      <w:divBdr>
        <w:top w:val="none" w:sz="0" w:space="0" w:color="auto"/>
        <w:left w:val="none" w:sz="0" w:space="0" w:color="auto"/>
        <w:bottom w:val="none" w:sz="0" w:space="0" w:color="auto"/>
        <w:right w:val="none" w:sz="0" w:space="0" w:color="auto"/>
      </w:divBdr>
    </w:div>
    <w:div w:id="1294482615">
      <w:bodyDiv w:val="1"/>
      <w:marLeft w:val="0"/>
      <w:marRight w:val="0"/>
      <w:marTop w:val="0"/>
      <w:marBottom w:val="0"/>
      <w:divBdr>
        <w:top w:val="none" w:sz="0" w:space="0" w:color="auto"/>
        <w:left w:val="none" w:sz="0" w:space="0" w:color="auto"/>
        <w:bottom w:val="none" w:sz="0" w:space="0" w:color="auto"/>
        <w:right w:val="none" w:sz="0" w:space="0" w:color="auto"/>
      </w:divBdr>
    </w:div>
    <w:div w:id="1295524699">
      <w:bodyDiv w:val="1"/>
      <w:marLeft w:val="0"/>
      <w:marRight w:val="0"/>
      <w:marTop w:val="0"/>
      <w:marBottom w:val="0"/>
      <w:divBdr>
        <w:top w:val="none" w:sz="0" w:space="0" w:color="auto"/>
        <w:left w:val="none" w:sz="0" w:space="0" w:color="auto"/>
        <w:bottom w:val="none" w:sz="0" w:space="0" w:color="auto"/>
        <w:right w:val="none" w:sz="0" w:space="0" w:color="auto"/>
      </w:divBdr>
    </w:div>
    <w:div w:id="1297830981">
      <w:bodyDiv w:val="1"/>
      <w:marLeft w:val="0"/>
      <w:marRight w:val="0"/>
      <w:marTop w:val="0"/>
      <w:marBottom w:val="0"/>
      <w:divBdr>
        <w:top w:val="none" w:sz="0" w:space="0" w:color="auto"/>
        <w:left w:val="none" w:sz="0" w:space="0" w:color="auto"/>
        <w:bottom w:val="none" w:sz="0" w:space="0" w:color="auto"/>
        <w:right w:val="none" w:sz="0" w:space="0" w:color="auto"/>
      </w:divBdr>
    </w:div>
    <w:div w:id="1311982727">
      <w:bodyDiv w:val="1"/>
      <w:marLeft w:val="0"/>
      <w:marRight w:val="0"/>
      <w:marTop w:val="0"/>
      <w:marBottom w:val="0"/>
      <w:divBdr>
        <w:top w:val="none" w:sz="0" w:space="0" w:color="auto"/>
        <w:left w:val="none" w:sz="0" w:space="0" w:color="auto"/>
        <w:bottom w:val="none" w:sz="0" w:space="0" w:color="auto"/>
        <w:right w:val="none" w:sz="0" w:space="0" w:color="auto"/>
      </w:divBdr>
    </w:div>
    <w:div w:id="1323238975">
      <w:bodyDiv w:val="1"/>
      <w:marLeft w:val="0"/>
      <w:marRight w:val="0"/>
      <w:marTop w:val="0"/>
      <w:marBottom w:val="0"/>
      <w:divBdr>
        <w:top w:val="none" w:sz="0" w:space="0" w:color="auto"/>
        <w:left w:val="none" w:sz="0" w:space="0" w:color="auto"/>
        <w:bottom w:val="none" w:sz="0" w:space="0" w:color="auto"/>
        <w:right w:val="none" w:sz="0" w:space="0" w:color="auto"/>
      </w:divBdr>
    </w:div>
    <w:div w:id="1346521485">
      <w:bodyDiv w:val="1"/>
      <w:marLeft w:val="0"/>
      <w:marRight w:val="0"/>
      <w:marTop w:val="0"/>
      <w:marBottom w:val="0"/>
      <w:divBdr>
        <w:top w:val="none" w:sz="0" w:space="0" w:color="auto"/>
        <w:left w:val="none" w:sz="0" w:space="0" w:color="auto"/>
        <w:bottom w:val="none" w:sz="0" w:space="0" w:color="auto"/>
        <w:right w:val="none" w:sz="0" w:space="0" w:color="auto"/>
      </w:divBdr>
    </w:div>
    <w:div w:id="1350255736">
      <w:bodyDiv w:val="1"/>
      <w:marLeft w:val="0"/>
      <w:marRight w:val="0"/>
      <w:marTop w:val="0"/>
      <w:marBottom w:val="0"/>
      <w:divBdr>
        <w:top w:val="none" w:sz="0" w:space="0" w:color="auto"/>
        <w:left w:val="none" w:sz="0" w:space="0" w:color="auto"/>
        <w:bottom w:val="none" w:sz="0" w:space="0" w:color="auto"/>
        <w:right w:val="none" w:sz="0" w:space="0" w:color="auto"/>
      </w:divBdr>
    </w:div>
    <w:div w:id="1350791772">
      <w:bodyDiv w:val="1"/>
      <w:marLeft w:val="0"/>
      <w:marRight w:val="0"/>
      <w:marTop w:val="0"/>
      <w:marBottom w:val="0"/>
      <w:divBdr>
        <w:top w:val="none" w:sz="0" w:space="0" w:color="auto"/>
        <w:left w:val="none" w:sz="0" w:space="0" w:color="auto"/>
        <w:bottom w:val="none" w:sz="0" w:space="0" w:color="auto"/>
        <w:right w:val="none" w:sz="0" w:space="0" w:color="auto"/>
      </w:divBdr>
    </w:div>
    <w:div w:id="1351839928">
      <w:bodyDiv w:val="1"/>
      <w:marLeft w:val="0"/>
      <w:marRight w:val="0"/>
      <w:marTop w:val="0"/>
      <w:marBottom w:val="0"/>
      <w:divBdr>
        <w:top w:val="none" w:sz="0" w:space="0" w:color="auto"/>
        <w:left w:val="none" w:sz="0" w:space="0" w:color="auto"/>
        <w:bottom w:val="none" w:sz="0" w:space="0" w:color="auto"/>
        <w:right w:val="none" w:sz="0" w:space="0" w:color="auto"/>
      </w:divBdr>
    </w:div>
    <w:div w:id="1377316511">
      <w:bodyDiv w:val="1"/>
      <w:marLeft w:val="0"/>
      <w:marRight w:val="0"/>
      <w:marTop w:val="0"/>
      <w:marBottom w:val="0"/>
      <w:divBdr>
        <w:top w:val="none" w:sz="0" w:space="0" w:color="auto"/>
        <w:left w:val="none" w:sz="0" w:space="0" w:color="auto"/>
        <w:bottom w:val="none" w:sz="0" w:space="0" w:color="auto"/>
        <w:right w:val="none" w:sz="0" w:space="0" w:color="auto"/>
      </w:divBdr>
    </w:div>
    <w:div w:id="1401519231">
      <w:bodyDiv w:val="1"/>
      <w:marLeft w:val="0"/>
      <w:marRight w:val="0"/>
      <w:marTop w:val="0"/>
      <w:marBottom w:val="0"/>
      <w:divBdr>
        <w:top w:val="none" w:sz="0" w:space="0" w:color="auto"/>
        <w:left w:val="none" w:sz="0" w:space="0" w:color="auto"/>
        <w:bottom w:val="none" w:sz="0" w:space="0" w:color="auto"/>
        <w:right w:val="none" w:sz="0" w:space="0" w:color="auto"/>
      </w:divBdr>
    </w:div>
    <w:div w:id="1411002442">
      <w:bodyDiv w:val="1"/>
      <w:marLeft w:val="0"/>
      <w:marRight w:val="0"/>
      <w:marTop w:val="0"/>
      <w:marBottom w:val="0"/>
      <w:divBdr>
        <w:top w:val="none" w:sz="0" w:space="0" w:color="auto"/>
        <w:left w:val="none" w:sz="0" w:space="0" w:color="auto"/>
        <w:bottom w:val="none" w:sz="0" w:space="0" w:color="auto"/>
        <w:right w:val="none" w:sz="0" w:space="0" w:color="auto"/>
      </w:divBdr>
      <w:divsChild>
        <w:div w:id="931351846">
          <w:marLeft w:val="0"/>
          <w:marRight w:val="0"/>
          <w:marTop w:val="0"/>
          <w:marBottom w:val="0"/>
          <w:divBdr>
            <w:top w:val="none" w:sz="0" w:space="0" w:color="auto"/>
            <w:left w:val="none" w:sz="0" w:space="0" w:color="auto"/>
            <w:bottom w:val="none" w:sz="0" w:space="0" w:color="auto"/>
            <w:right w:val="none" w:sz="0" w:space="0" w:color="auto"/>
          </w:divBdr>
          <w:divsChild>
            <w:div w:id="1091392436">
              <w:marLeft w:val="0"/>
              <w:marRight w:val="0"/>
              <w:marTop w:val="0"/>
              <w:marBottom w:val="0"/>
              <w:divBdr>
                <w:top w:val="none" w:sz="0" w:space="0" w:color="auto"/>
                <w:left w:val="none" w:sz="0" w:space="0" w:color="auto"/>
                <w:bottom w:val="none" w:sz="0" w:space="0" w:color="auto"/>
                <w:right w:val="none" w:sz="0" w:space="0" w:color="auto"/>
              </w:divBdr>
              <w:divsChild>
                <w:div w:id="2141680643">
                  <w:marLeft w:val="0"/>
                  <w:marRight w:val="0"/>
                  <w:marTop w:val="0"/>
                  <w:marBottom w:val="0"/>
                  <w:divBdr>
                    <w:top w:val="none" w:sz="0" w:space="0" w:color="auto"/>
                    <w:left w:val="none" w:sz="0" w:space="0" w:color="auto"/>
                    <w:bottom w:val="none" w:sz="0" w:space="0" w:color="auto"/>
                    <w:right w:val="none" w:sz="0" w:space="0" w:color="auto"/>
                  </w:divBdr>
                  <w:divsChild>
                    <w:div w:id="374040343">
                      <w:marLeft w:val="0"/>
                      <w:marRight w:val="0"/>
                      <w:marTop w:val="0"/>
                      <w:marBottom w:val="0"/>
                      <w:divBdr>
                        <w:top w:val="none" w:sz="0" w:space="0" w:color="auto"/>
                        <w:left w:val="none" w:sz="0" w:space="0" w:color="auto"/>
                        <w:bottom w:val="none" w:sz="0" w:space="0" w:color="auto"/>
                        <w:right w:val="none" w:sz="0" w:space="0" w:color="auto"/>
                      </w:divBdr>
                      <w:divsChild>
                        <w:div w:id="607154007">
                          <w:marLeft w:val="0"/>
                          <w:marRight w:val="0"/>
                          <w:marTop w:val="0"/>
                          <w:marBottom w:val="0"/>
                          <w:divBdr>
                            <w:top w:val="none" w:sz="0" w:space="0" w:color="auto"/>
                            <w:left w:val="none" w:sz="0" w:space="0" w:color="auto"/>
                            <w:bottom w:val="none" w:sz="0" w:space="0" w:color="auto"/>
                            <w:right w:val="none" w:sz="0" w:space="0" w:color="auto"/>
                          </w:divBdr>
                          <w:divsChild>
                            <w:div w:id="689910778">
                              <w:marLeft w:val="0"/>
                              <w:marRight w:val="0"/>
                              <w:marTop w:val="0"/>
                              <w:marBottom w:val="0"/>
                              <w:divBdr>
                                <w:top w:val="none" w:sz="0" w:space="0" w:color="auto"/>
                                <w:left w:val="none" w:sz="0" w:space="0" w:color="auto"/>
                                <w:bottom w:val="none" w:sz="0" w:space="0" w:color="auto"/>
                                <w:right w:val="none" w:sz="0" w:space="0" w:color="auto"/>
                              </w:divBdr>
                              <w:divsChild>
                                <w:div w:id="1744109896">
                                  <w:marLeft w:val="0"/>
                                  <w:marRight w:val="0"/>
                                  <w:marTop w:val="0"/>
                                  <w:marBottom w:val="0"/>
                                  <w:divBdr>
                                    <w:top w:val="none" w:sz="0" w:space="0" w:color="auto"/>
                                    <w:left w:val="none" w:sz="0" w:space="0" w:color="auto"/>
                                    <w:bottom w:val="none" w:sz="0" w:space="0" w:color="auto"/>
                                    <w:right w:val="none" w:sz="0" w:space="0" w:color="auto"/>
                                  </w:divBdr>
                                  <w:divsChild>
                                    <w:div w:id="125967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3278639">
      <w:bodyDiv w:val="1"/>
      <w:marLeft w:val="0"/>
      <w:marRight w:val="0"/>
      <w:marTop w:val="0"/>
      <w:marBottom w:val="0"/>
      <w:divBdr>
        <w:top w:val="none" w:sz="0" w:space="0" w:color="auto"/>
        <w:left w:val="none" w:sz="0" w:space="0" w:color="auto"/>
        <w:bottom w:val="none" w:sz="0" w:space="0" w:color="auto"/>
        <w:right w:val="none" w:sz="0" w:space="0" w:color="auto"/>
      </w:divBdr>
    </w:div>
    <w:div w:id="1433814609">
      <w:bodyDiv w:val="1"/>
      <w:marLeft w:val="0"/>
      <w:marRight w:val="0"/>
      <w:marTop w:val="0"/>
      <w:marBottom w:val="0"/>
      <w:divBdr>
        <w:top w:val="none" w:sz="0" w:space="0" w:color="auto"/>
        <w:left w:val="none" w:sz="0" w:space="0" w:color="auto"/>
        <w:bottom w:val="none" w:sz="0" w:space="0" w:color="auto"/>
        <w:right w:val="none" w:sz="0" w:space="0" w:color="auto"/>
      </w:divBdr>
    </w:div>
    <w:div w:id="1463229576">
      <w:bodyDiv w:val="1"/>
      <w:marLeft w:val="0"/>
      <w:marRight w:val="0"/>
      <w:marTop w:val="0"/>
      <w:marBottom w:val="0"/>
      <w:divBdr>
        <w:top w:val="none" w:sz="0" w:space="0" w:color="auto"/>
        <w:left w:val="none" w:sz="0" w:space="0" w:color="auto"/>
        <w:bottom w:val="none" w:sz="0" w:space="0" w:color="auto"/>
        <w:right w:val="none" w:sz="0" w:space="0" w:color="auto"/>
      </w:divBdr>
    </w:div>
    <w:div w:id="1487210824">
      <w:bodyDiv w:val="1"/>
      <w:marLeft w:val="0"/>
      <w:marRight w:val="0"/>
      <w:marTop w:val="0"/>
      <w:marBottom w:val="0"/>
      <w:divBdr>
        <w:top w:val="none" w:sz="0" w:space="0" w:color="auto"/>
        <w:left w:val="none" w:sz="0" w:space="0" w:color="auto"/>
        <w:bottom w:val="none" w:sz="0" w:space="0" w:color="auto"/>
        <w:right w:val="none" w:sz="0" w:space="0" w:color="auto"/>
      </w:divBdr>
    </w:div>
    <w:div w:id="1497915307">
      <w:bodyDiv w:val="1"/>
      <w:marLeft w:val="0"/>
      <w:marRight w:val="0"/>
      <w:marTop w:val="0"/>
      <w:marBottom w:val="0"/>
      <w:divBdr>
        <w:top w:val="none" w:sz="0" w:space="0" w:color="auto"/>
        <w:left w:val="none" w:sz="0" w:space="0" w:color="auto"/>
        <w:bottom w:val="none" w:sz="0" w:space="0" w:color="auto"/>
        <w:right w:val="none" w:sz="0" w:space="0" w:color="auto"/>
      </w:divBdr>
    </w:div>
    <w:div w:id="1498425596">
      <w:bodyDiv w:val="1"/>
      <w:marLeft w:val="0"/>
      <w:marRight w:val="0"/>
      <w:marTop w:val="0"/>
      <w:marBottom w:val="0"/>
      <w:divBdr>
        <w:top w:val="none" w:sz="0" w:space="0" w:color="auto"/>
        <w:left w:val="none" w:sz="0" w:space="0" w:color="auto"/>
        <w:bottom w:val="none" w:sz="0" w:space="0" w:color="auto"/>
        <w:right w:val="none" w:sz="0" w:space="0" w:color="auto"/>
      </w:divBdr>
    </w:div>
    <w:div w:id="1510480776">
      <w:bodyDiv w:val="1"/>
      <w:marLeft w:val="0"/>
      <w:marRight w:val="0"/>
      <w:marTop w:val="0"/>
      <w:marBottom w:val="0"/>
      <w:divBdr>
        <w:top w:val="none" w:sz="0" w:space="0" w:color="auto"/>
        <w:left w:val="none" w:sz="0" w:space="0" w:color="auto"/>
        <w:bottom w:val="none" w:sz="0" w:space="0" w:color="auto"/>
        <w:right w:val="none" w:sz="0" w:space="0" w:color="auto"/>
      </w:divBdr>
    </w:div>
    <w:div w:id="1515921399">
      <w:bodyDiv w:val="1"/>
      <w:marLeft w:val="0"/>
      <w:marRight w:val="0"/>
      <w:marTop w:val="0"/>
      <w:marBottom w:val="0"/>
      <w:divBdr>
        <w:top w:val="none" w:sz="0" w:space="0" w:color="auto"/>
        <w:left w:val="none" w:sz="0" w:space="0" w:color="auto"/>
        <w:bottom w:val="none" w:sz="0" w:space="0" w:color="auto"/>
        <w:right w:val="none" w:sz="0" w:space="0" w:color="auto"/>
      </w:divBdr>
    </w:div>
    <w:div w:id="1549297647">
      <w:bodyDiv w:val="1"/>
      <w:marLeft w:val="0"/>
      <w:marRight w:val="0"/>
      <w:marTop w:val="0"/>
      <w:marBottom w:val="0"/>
      <w:divBdr>
        <w:top w:val="none" w:sz="0" w:space="0" w:color="auto"/>
        <w:left w:val="none" w:sz="0" w:space="0" w:color="auto"/>
        <w:bottom w:val="none" w:sz="0" w:space="0" w:color="auto"/>
        <w:right w:val="none" w:sz="0" w:space="0" w:color="auto"/>
      </w:divBdr>
    </w:div>
    <w:div w:id="1553804779">
      <w:bodyDiv w:val="1"/>
      <w:marLeft w:val="0"/>
      <w:marRight w:val="0"/>
      <w:marTop w:val="0"/>
      <w:marBottom w:val="0"/>
      <w:divBdr>
        <w:top w:val="none" w:sz="0" w:space="0" w:color="auto"/>
        <w:left w:val="none" w:sz="0" w:space="0" w:color="auto"/>
        <w:bottom w:val="none" w:sz="0" w:space="0" w:color="auto"/>
        <w:right w:val="none" w:sz="0" w:space="0" w:color="auto"/>
      </w:divBdr>
    </w:div>
    <w:div w:id="1554199410">
      <w:bodyDiv w:val="1"/>
      <w:marLeft w:val="0"/>
      <w:marRight w:val="0"/>
      <w:marTop w:val="0"/>
      <w:marBottom w:val="0"/>
      <w:divBdr>
        <w:top w:val="none" w:sz="0" w:space="0" w:color="auto"/>
        <w:left w:val="none" w:sz="0" w:space="0" w:color="auto"/>
        <w:bottom w:val="none" w:sz="0" w:space="0" w:color="auto"/>
        <w:right w:val="none" w:sz="0" w:space="0" w:color="auto"/>
      </w:divBdr>
    </w:div>
    <w:div w:id="1556090240">
      <w:bodyDiv w:val="1"/>
      <w:marLeft w:val="0"/>
      <w:marRight w:val="0"/>
      <w:marTop w:val="0"/>
      <w:marBottom w:val="0"/>
      <w:divBdr>
        <w:top w:val="none" w:sz="0" w:space="0" w:color="auto"/>
        <w:left w:val="none" w:sz="0" w:space="0" w:color="auto"/>
        <w:bottom w:val="none" w:sz="0" w:space="0" w:color="auto"/>
        <w:right w:val="none" w:sz="0" w:space="0" w:color="auto"/>
      </w:divBdr>
    </w:div>
    <w:div w:id="1571035531">
      <w:bodyDiv w:val="1"/>
      <w:marLeft w:val="0"/>
      <w:marRight w:val="0"/>
      <w:marTop w:val="0"/>
      <w:marBottom w:val="0"/>
      <w:divBdr>
        <w:top w:val="none" w:sz="0" w:space="0" w:color="auto"/>
        <w:left w:val="none" w:sz="0" w:space="0" w:color="auto"/>
        <w:bottom w:val="none" w:sz="0" w:space="0" w:color="auto"/>
        <w:right w:val="none" w:sz="0" w:space="0" w:color="auto"/>
      </w:divBdr>
    </w:div>
    <w:div w:id="1572545392">
      <w:bodyDiv w:val="1"/>
      <w:marLeft w:val="0"/>
      <w:marRight w:val="0"/>
      <w:marTop w:val="0"/>
      <w:marBottom w:val="0"/>
      <w:divBdr>
        <w:top w:val="none" w:sz="0" w:space="0" w:color="auto"/>
        <w:left w:val="none" w:sz="0" w:space="0" w:color="auto"/>
        <w:bottom w:val="none" w:sz="0" w:space="0" w:color="auto"/>
        <w:right w:val="none" w:sz="0" w:space="0" w:color="auto"/>
      </w:divBdr>
    </w:div>
    <w:div w:id="1577663628">
      <w:bodyDiv w:val="1"/>
      <w:marLeft w:val="0"/>
      <w:marRight w:val="0"/>
      <w:marTop w:val="0"/>
      <w:marBottom w:val="0"/>
      <w:divBdr>
        <w:top w:val="none" w:sz="0" w:space="0" w:color="auto"/>
        <w:left w:val="none" w:sz="0" w:space="0" w:color="auto"/>
        <w:bottom w:val="none" w:sz="0" w:space="0" w:color="auto"/>
        <w:right w:val="none" w:sz="0" w:space="0" w:color="auto"/>
      </w:divBdr>
    </w:div>
    <w:div w:id="1578174948">
      <w:bodyDiv w:val="1"/>
      <w:marLeft w:val="0"/>
      <w:marRight w:val="0"/>
      <w:marTop w:val="0"/>
      <w:marBottom w:val="0"/>
      <w:divBdr>
        <w:top w:val="none" w:sz="0" w:space="0" w:color="auto"/>
        <w:left w:val="none" w:sz="0" w:space="0" w:color="auto"/>
        <w:bottom w:val="none" w:sz="0" w:space="0" w:color="auto"/>
        <w:right w:val="none" w:sz="0" w:space="0" w:color="auto"/>
      </w:divBdr>
    </w:div>
    <w:div w:id="1604418489">
      <w:bodyDiv w:val="1"/>
      <w:marLeft w:val="0"/>
      <w:marRight w:val="0"/>
      <w:marTop w:val="0"/>
      <w:marBottom w:val="0"/>
      <w:divBdr>
        <w:top w:val="none" w:sz="0" w:space="0" w:color="auto"/>
        <w:left w:val="none" w:sz="0" w:space="0" w:color="auto"/>
        <w:bottom w:val="none" w:sz="0" w:space="0" w:color="auto"/>
        <w:right w:val="none" w:sz="0" w:space="0" w:color="auto"/>
      </w:divBdr>
    </w:div>
    <w:div w:id="1607031695">
      <w:bodyDiv w:val="1"/>
      <w:marLeft w:val="0"/>
      <w:marRight w:val="0"/>
      <w:marTop w:val="0"/>
      <w:marBottom w:val="0"/>
      <w:divBdr>
        <w:top w:val="none" w:sz="0" w:space="0" w:color="auto"/>
        <w:left w:val="none" w:sz="0" w:space="0" w:color="auto"/>
        <w:bottom w:val="none" w:sz="0" w:space="0" w:color="auto"/>
        <w:right w:val="none" w:sz="0" w:space="0" w:color="auto"/>
      </w:divBdr>
    </w:div>
    <w:div w:id="1625581732">
      <w:bodyDiv w:val="1"/>
      <w:marLeft w:val="0"/>
      <w:marRight w:val="0"/>
      <w:marTop w:val="0"/>
      <w:marBottom w:val="0"/>
      <w:divBdr>
        <w:top w:val="none" w:sz="0" w:space="0" w:color="auto"/>
        <w:left w:val="none" w:sz="0" w:space="0" w:color="auto"/>
        <w:bottom w:val="none" w:sz="0" w:space="0" w:color="auto"/>
        <w:right w:val="none" w:sz="0" w:space="0" w:color="auto"/>
      </w:divBdr>
    </w:div>
    <w:div w:id="1625693768">
      <w:bodyDiv w:val="1"/>
      <w:marLeft w:val="0"/>
      <w:marRight w:val="0"/>
      <w:marTop w:val="0"/>
      <w:marBottom w:val="0"/>
      <w:divBdr>
        <w:top w:val="none" w:sz="0" w:space="0" w:color="auto"/>
        <w:left w:val="none" w:sz="0" w:space="0" w:color="auto"/>
        <w:bottom w:val="none" w:sz="0" w:space="0" w:color="auto"/>
        <w:right w:val="none" w:sz="0" w:space="0" w:color="auto"/>
      </w:divBdr>
    </w:div>
    <w:div w:id="1639651876">
      <w:bodyDiv w:val="1"/>
      <w:marLeft w:val="0"/>
      <w:marRight w:val="0"/>
      <w:marTop w:val="0"/>
      <w:marBottom w:val="0"/>
      <w:divBdr>
        <w:top w:val="none" w:sz="0" w:space="0" w:color="auto"/>
        <w:left w:val="none" w:sz="0" w:space="0" w:color="auto"/>
        <w:bottom w:val="none" w:sz="0" w:space="0" w:color="auto"/>
        <w:right w:val="none" w:sz="0" w:space="0" w:color="auto"/>
      </w:divBdr>
    </w:div>
    <w:div w:id="1640649668">
      <w:bodyDiv w:val="1"/>
      <w:marLeft w:val="0"/>
      <w:marRight w:val="0"/>
      <w:marTop w:val="0"/>
      <w:marBottom w:val="0"/>
      <w:divBdr>
        <w:top w:val="none" w:sz="0" w:space="0" w:color="auto"/>
        <w:left w:val="none" w:sz="0" w:space="0" w:color="auto"/>
        <w:bottom w:val="none" w:sz="0" w:space="0" w:color="auto"/>
        <w:right w:val="none" w:sz="0" w:space="0" w:color="auto"/>
      </w:divBdr>
    </w:div>
    <w:div w:id="1657802400">
      <w:bodyDiv w:val="1"/>
      <w:marLeft w:val="0"/>
      <w:marRight w:val="0"/>
      <w:marTop w:val="0"/>
      <w:marBottom w:val="0"/>
      <w:divBdr>
        <w:top w:val="none" w:sz="0" w:space="0" w:color="auto"/>
        <w:left w:val="none" w:sz="0" w:space="0" w:color="auto"/>
        <w:bottom w:val="none" w:sz="0" w:space="0" w:color="auto"/>
        <w:right w:val="none" w:sz="0" w:space="0" w:color="auto"/>
      </w:divBdr>
    </w:div>
    <w:div w:id="1662539448">
      <w:bodyDiv w:val="1"/>
      <w:marLeft w:val="0"/>
      <w:marRight w:val="0"/>
      <w:marTop w:val="0"/>
      <w:marBottom w:val="0"/>
      <w:divBdr>
        <w:top w:val="none" w:sz="0" w:space="0" w:color="auto"/>
        <w:left w:val="none" w:sz="0" w:space="0" w:color="auto"/>
        <w:bottom w:val="none" w:sz="0" w:space="0" w:color="auto"/>
        <w:right w:val="none" w:sz="0" w:space="0" w:color="auto"/>
      </w:divBdr>
    </w:div>
    <w:div w:id="1674263548">
      <w:bodyDiv w:val="1"/>
      <w:marLeft w:val="0"/>
      <w:marRight w:val="0"/>
      <w:marTop w:val="0"/>
      <w:marBottom w:val="0"/>
      <w:divBdr>
        <w:top w:val="none" w:sz="0" w:space="0" w:color="auto"/>
        <w:left w:val="none" w:sz="0" w:space="0" w:color="auto"/>
        <w:bottom w:val="none" w:sz="0" w:space="0" w:color="auto"/>
        <w:right w:val="none" w:sz="0" w:space="0" w:color="auto"/>
      </w:divBdr>
    </w:div>
    <w:div w:id="1678969822">
      <w:bodyDiv w:val="1"/>
      <w:marLeft w:val="0"/>
      <w:marRight w:val="0"/>
      <w:marTop w:val="0"/>
      <w:marBottom w:val="0"/>
      <w:divBdr>
        <w:top w:val="none" w:sz="0" w:space="0" w:color="auto"/>
        <w:left w:val="none" w:sz="0" w:space="0" w:color="auto"/>
        <w:bottom w:val="none" w:sz="0" w:space="0" w:color="auto"/>
        <w:right w:val="none" w:sz="0" w:space="0" w:color="auto"/>
      </w:divBdr>
    </w:div>
    <w:div w:id="1683897494">
      <w:bodyDiv w:val="1"/>
      <w:marLeft w:val="0"/>
      <w:marRight w:val="0"/>
      <w:marTop w:val="0"/>
      <w:marBottom w:val="0"/>
      <w:divBdr>
        <w:top w:val="none" w:sz="0" w:space="0" w:color="auto"/>
        <w:left w:val="none" w:sz="0" w:space="0" w:color="auto"/>
        <w:bottom w:val="none" w:sz="0" w:space="0" w:color="auto"/>
        <w:right w:val="none" w:sz="0" w:space="0" w:color="auto"/>
      </w:divBdr>
    </w:div>
    <w:div w:id="1687098571">
      <w:bodyDiv w:val="1"/>
      <w:marLeft w:val="0"/>
      <w:marRight w:val="0"/>
      <w:marTop w:val="0"/>
      <w:marBottom w:val="0"/>
      <w:divBdr>
        <w:top w:val="none" w:sz="0" w:space="0" w:color="auto"/>
        <w:left w:val="none" w:sz="0" w:space="0" w:color="auto"/>
        <w:bottom w:val="none" w:sz="0" w:space="0" w:color="auto"/>
        <w:right w:val="none" w:sz="0" w:space="0" w:color="auto"/>
      </w:divBdr>
    </w:div>
    <w:div w:id="1699894216">
      <w:bodyDiv w:val="1"/>
      <w:marLeft w:val="0"/>
      <w:marRight w:val="0"/>
      <w:marTop w:val="0"/>
      <w:marBottom w:val="0"/>
      <w:divBdr>
        <w:top w:val="none" w:sz="0" w:space="0" w:color="auto"/>
        <w:left w:val="none" w:sz="0" w:space="0" w:color="auto"/>
        <w:bottom w:val="none" w:sz="0" w:space="0" w:color="auto"/>
        <w:right w:val="none" w:sz="0" w:space="0" w:color="auto"/>
      </w:divBdr>
    </w:div>
    <w:div w:id="1711758373">
      <w:bodyDiv w:val="1"/>
      <w:marLeft w:val="0"/>
      <w:marRight w:val="0"/>
      <w:marTop w:val="0"/>
      <w:marBottom w:val="0"/>
      <w:divBdr>
        <w:top w:val="none" w:sz="0" w:space="0" w:color="auto"/>
        <w:left w:val="none" w:sz="0" w:space="0" w:color="auto"/>
        <w:bottom w:val="none" w:sz="0" w:space="0" w:color="auto"/>
        <w:right w:val="none" w:sz="0" w:space="0" w:color="auto"/>
      </w:divBdr>
    </w:div>
    <w:div w:id="1712925276">
      <w:bodyDiv w:val="1"/>
      <w:marLeft w:val="0"/>
      <w:marRight w:val="0"/>
      <w:marTop w:val="0"/>
      <w:marBottom w:val="0"/>
      <w:divBdr>
        <w:top w:val="none" w:sz="0" w:space="0" w:color="auto"/>
        <w:left w:val="none" w:sz="0" w:space="0" w:color="auto"/>
        <w:bottom w:val="none" w:sz="0" w:space="0" w:color="auto"/>
        <w:right w:val="none" w:sz="0" w:space="0" w:color="auto"/>
      </w:divBdr>
    </w:div>
    <w:div w:id="1722099373">
      <w:bodyDiv w:val="1"/>
      <w:marLeft w:val="0"/>
      <w:marRight w:val="0"/>
      <w:marTop w:val="0"/>
      <w:marBottom w:val="0"/>
      <w:divBdr>
        <w:top w:val="none" w:sz="0" w:space="0" w:color="auto"/>
        <w:left w:val="none" w:sz="0" w:space="0" w:color="auto"/>
        <w:bottom w:val="none" w:sz="0" w:space="0" w:color="auto"/>
        <w:right w:val="none" w:sz="0" w:space="0" w:color="auto"/>
      </w:divBdr>
      <w:divsChild>
        <w:div w:id="25569852">
          <w:marLeft w:val="0"/>
          <w:marRight w:val="0"/>
          <w:marTop w:val="0"/>
          <w:marBottom w:val="0"/>
          <w:divBdr>
            <w:top w:val="none" w:sz="0" w:space="0" w:color="auto"/>
            <w:left w:val="none" w:sz="0" w:space="0" w:color="auto"/>
            <w:bottom w:val="none" w:sz="0" w:space="0" w:color="auto"/>
            <w:right w:val="none" w:sz="0" w:space="0" w:color="auto"/>
          </w:divBdr>
          <w:divsChild>
            <w:div w:id="507911734">
              <w:marLeft w:val="0"/>
              <w:marRight w:val="0"/>
              <w:marTop w:val="0"/>
              <w:marBottom w:val="0"/>
              <w:divBdr>
                <w:top w:val="none" w:sz="0" w:space="0" w:color="auto"/>
                <w:left w:val="none" w:sz="0" w:space="0" w:color="auto"/>
                <w:bottom w:val="none" w:sz="0" w:space="0" w:color="auto"/>
                <w:right w:val="none" w:sz="0" w:space="0" w:color="auto"/>
              </w:divBdr>
              <w:divsChild>
                <w:div w:id="378818530">
                  <w:marLeft w:val="0"/>
                  <w:marRight w:val="0"/>
                  <w:marTop w:val="0"/>
                  <w:marBottom w:val="0"/>
                  <w:divBdr>
                    <w:top w:val="none" w:sz="0" w:space="0" w:color="auto"/>
                    <w:left w:val="none" w:sz="0" w:space="0" w:color="auto"/>
                    <w:bottom w:val="none" w:sz="0" w:space="0" w:color="auto"/>
                    <w:right w:val="none" w:sz="0" w:space="0" w:color="auto"/>
                  </w:divBdr>
                  <w:divsChild>
                    <w:div w:id="353919270">
                      <w:marLeft w:val="0"/>
                      <w:marRight w:val="0"/>
                      <w:marTop w:val="0"/>
                      <w:marBottom w:val="0"/>
                      <w:divBdr>
                        <w:top w:val="none" w:sz="0" w:space="0" w:color="auto"/>
                        <w:left w:val="none" w:sz="0" w:space="0" w:color="auto"/>
                        <w:bottom w:val="none" w:sz="0" w:space="0" w:color="auto"/>
                        <w:right w:val="none" w:sz="0" w:space="0" w:color="auto"/>
                      </w:divBdr>
                      <w:divsChild>
                        <w:div w:id="1959334920">
                          <w:marLeft w:val="0"/>
                          <w:marRight w:val="0"/>
                          <w:marTop w:val="0"/>
                          <w:marBottom w:val="0"/>
                          <w:divBdr>
                            <w:top w:val="none" w:sz="0" w:space="0" w:color="auto"/>
                            <w:left w:val="none" w:sz="0" w:space="0" w:color="auto"/>
                            <w:bottom w:val="none" w:sz="0" w:space="0" w:color="auto"/>
                            <w:right w:val="none" w:sz="0" w:space="0" w:color="auto"/>
                          </w:divBdr>
                          <w:divsChild>
                            <w:div w:id="84616438">
                              <w:marLeft w:val="0"/>
                              <w:marRight w:val="0"/>
                              <w:marTop w:val="0"/>
                              <w:marBottom w:val="0"/>
                              <w:divBdr>
                                <w:top w:val="none" w:sz="0" w:space="0" w:color="auto"/>
                                <w:left w:val="none" w:sz="0" w:space="0" w:color="auto"/>
                                <w:bottom w:val="none" w:sz="0" w:space="0" w:color="auto"/>
                                <w:right w:val="none" w:sz="0" w:space="0" w:color="auto"/>
                              </w:divBdr>
                              <w:divsChild>
                                <w:div w:id="1588688854">
                                  <w:marLeft w:val="0"/>
                                  <w:marRight w:val="0"/>
                                  <w:marTop w:val="0"/>
                                  <w:marBottom w:val="0"/>
                                  <w:divBdr>
                                    <w:top w:val="none" w:sz="0" w:space="0" w:color="auto"/>
                                    <w:left w:val="none" w:sz="0" w:space="0" w:color="auto"/>
                                    <w:bottom w:val="none" w:sz="0" w:space="0" w:color="auto"/>
                                    <w:right w:val="none" w:sz="0" w:space="0" w:color="auto"/>
                                  </w:divBdr>
                                  <w:divsChild>
                                    <w:div w:id="157354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3554552">
      <w:bodyDiv w:val="1"/>
      <w:marLeft w:val="0"/>
      <w:marRight w:val="0"/>
      <w:marTop w:val="0"/>
      <w:marBottom w:val="0"/>
      <w:divBdr>
        <w:top w:val="none" w:sz="0" w:space="0" w:color="auto"/>
        <w:left w:val="none" w:sz="0" w:space="0" w:color="auto"/>
        <w:bottom w:val="none" w:sz="0" w:space="0" w:color="auto"/>
        <w:right w:val="none" w:sz="0" w:space="0" w:color="auto"/>
      </w:divBdr>
    </w:div>
    <w:div w:id="1732194009">
      <w:bodyDiv w:val="1"/>
      <w:marLeft w:val="0"/>
      <w:marRight w:val="0"/>
      <w:marTop w:val="0"/>
      <w:marBottom w:val="0"/>
      <w:divBdr>
        <w:top w:val="none" w:sz="0" w:space="0" w:color="auto"/>
        <w:left w:val="none" w:sz="0" w:space="0" w:color="auto"/>
        <w:bottom w:val="none" w:sz="0" w:space="0" w:color="auto"/>
        <w:right w:val="none" w:sz="0" w:space="0" w:color="auto"/>
      </w:divBdr>
      <w:divsChild>
        <w:div w:id="287784453">
          <w:marLeft w:val="0"/>
          <w:marRight w:val="0"/>
          <w:marTop w:val="0"/>
          <w:marBottom w:val="0"/>
          <w:divBdr>
            <w:top w:val="none" w:sz="0" w:space="0" w:color="auto"/>
            <w:left w:val="none" w:sz="0" w:space="0" w:color="auto"/>
            <w:bottom w:val="none" w:sz="0" w:space="0" w:color="auto"/>
            <w:right w:val="none" w:sz="0" w:space="0" w:color="auto"/>
          </w:divBdr>
          <w:divsChild>
            <w:div w:id="298806297">
              <w:marLeft w:val="0"/>
              <w:marRight w:val="0"/>
              <w:marTop w:val="0"/>
              <w:marBottom w:val="0"/>
              <w:divBdr>
                <w:top w:val="none" w:sz="0" w:space="0" w:color="auto"/>
                <w:left w:val="none" w:sz="0" w:space="0" w:color="auto"/>
                <w:bottom w:val="none" w:sz="0" w:space="0" w:color="auto"/>
                <w:right w:val="none" w:sz="0" w:space="0" w:color="auto"/>
              </w:divBdr>
              <w:divsChild>
                <w:div w:id="1932007016">
                  <w:marLeft w:val="0"/>
                  <w:marRight w:val="0"/>
                  <w:marTop w:val="0"/>
                  <w:marBottom w:val="0"/>
                  <w:divBdr>
                    <w:top w:val="none" w:sz="0" w:space="0" w:color="auto"/>
                    <w:left w:val="none" w:sz="0" w:space="0" w:color="auto"/>
                    <w:bottom w:val="none" w:sz="0" w:space="0" w:color="auto"/>
                    <w:right w:val="none" w:sz="0" w:space="0" w:color="auto"/>
                  </w:divBdr>
                  <w:divsChild>
                    <w:div w:id="2025010533">
                      <w:marLeft w:val="0"/>
                      <w:marRight w:val="0"/>
                      <w:marTop w:val="0"/>
                      <w:marBottom w:val="0"/>
                      <w:divBdr>
                        <w:top w:val="none" w:sz="0" w:space="0" w:color="auto"/>
                        <w:left w:val="none" w:sz="0" w:space="0" w:color="auto"/>
                        <w:bottom w:val="none" w:sz="0" w:space="0" w:color="auto"/>
                        <w:right w:val="none" w:sz="0" w:space="0" w:color="auto"/>
                      </w:divBdr>
                      <w:divsChild>
                        <w:div w:id="187911039">
                          <w:marLeft w:val="0"/>
                          <w:marRight w:val="0"/>
                          <w:marTop w:val="0"/>
                          <w:marBottom w:val="0"/>
                          <w:divBdr>
                            <w:top w:val="none" w:sz="0" w:space="0" w:color="auto"/>
                            <w:left w:val="none" w:sz="0" w:space="0" w:color="auto"/>
                            <w:bottom w:val="none" w:sz="0" w:space="0" w:color="auto"/>
                            <w:right w:val="none" w:sz="0" w:space="0" w:color="auto"/>
                          </w:divBdr>
                          <w:divsChild>
                            <w:div w:id="1234269483">
                              <w:marLeft w:val="0"/>
                              <w:marRight w:val="0"/>
                              <w:marTop w:val="0"/>
                              <w:marBottom w:val="0"/>
                              <w:divBdr>
                                <w:top w:val="none" w:sz="0" w:space="0" w:color="auto"/>
                                <w:left w:val="none" w:sz="0" w:space="0" w:color="auto"/>
                                <w:bottom w:val="none" w:sz="0" w:space="0" w:color="auto"/>
                                <w:right w:val="none" w:sz="0" w:space="0" w:color="auto"/>
                              </w:divBdr>
                              <w:divsChild>
                                <w:div w:id="481122569">
                                  <w:marLeft w:val="0"/>
                                  <w:marRight w:val="0"/>
                                  <w:marTop w:val="0"/>
                                  <w:marBottom w:val="0"/>
                                  <w:divBdr>
                                    <w:top w:val="none" w:sz="0" w:space="0" w:color="auto"/>
                                    <w:left w:val="none" w:sz="0" w:space="0" w:color="auto"/>
                                    <w:bottom w:val="none" w:sz="0" w:space="0" w:color="auto"/>
                                    <w:right w:val="none" w:sz="0" w:space="0" w:color="auto"/>
                                  </w:divBdr>
                                  <w:divsChild>
                                    <w:div w:id="19384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563789">
      <w:bodyDiv w:val="1"/>
      <w:marLeft w:val="0"/>
      <w:marRight w:val="0"/>
      <w:marTop w:val="0"/>
      <w:marBottom w:val="0"/>
      <w:divBdr>
        <w:top w:val="none" w:sz="0" w:space="0" w:color="auto"/>
        <w:left w:val="none" w:sz="0" w:space="0" w:color="auto"/>
        <w:bottom w:val="none" w:sz="0" w:space="0" w:color="auto"/>
        <w:right w:val="none" w:sz="0" w:space="0" w:color="auto"/>
      </w:divBdr>
    </w:div>
    <w:div w:id="1754820551">
      <w:bodyDiv w:val="1"/>
      <w:marLeft w:val="0"/>
      <w:marRight w:val="0"/>
      <w:marTop w:val="0"/>
      <w:marBottom w:val="0"/>
      <w:divBdr>
        <w:top w:val="none" w:sz="0" w:space="0" w:color="auto"/>
        <w:left w:val="none" w:sz="0" w:space="0" w:color="auto"/>
        <w:bottom w:val="none" w:sz="0" w:space="0" w:color="auto"/>
        <w:right w:val="none" w:sz="0" w:space="0" w:color="auto"/>
      </w:divBdr>
    </w:div>
    <w:div w:id="1772705708">
      <w:bodyDiv w:val="1"/>
      <w:marLeft w:val="0"/>
      <w:marRight w:val="0"/>
      <w:marTop w:val="0"/>
      <w:marBottom w:val="0"/>
      <w:divBdr>
        <w:top w:val="none" w:sz="0" w:space="0" w:color="auto"/>
        <w:left w:val="none" w:sz="0" w:space="0" w:color="auto"/>
        <w:bottom w:val="none" w:sz="0" w:space="0" w:color="auto"/>
        <w:right w:val="none" w:sz="0" w:space="0" w:color="auto"/>
      </w:divBdr>
    </w:div>
    <w:div w:id="1774352454">
      <w:bodyDiv w:val="1"/>
      <w:marLeft w:val="0"/>
      <w:marRight w:val="0"/>
      <w:marTop w:val="0"/>
      <w:marBottom w:val="0"/>
      <w:divBdr>
        <w:top w:val="none" w:sz="0" w:space="0" w:color="auto"/>
        <w:left w:val="none" w:sz="0" w:space="0" w:color="auto"/>
        <w:bottom w:val="none" w:sz="0" w:space="0" w:color="auto"/>
        <w:right w:val="none" w:sz="0" w:space="0" w:color="auto"/>
      </w:divBdr>
    </w:div>
    <w:div w:id="1784761657">
      <w:bodyDiv w:val="1"/>
      <w:marLeft w:val="0"/>
      <w:marRight w:val="0"/>
      <w:marTop w:val="0"/>
      <w:marBottom w:val="0"/>
      <w:divBdr>
        <w:top w:val="none" w:sz="0" w:space="0" w:color="auto"/>
        <w:left w:val="none" w:sz="0" w:space="0" w:color="auto"/>
        <w:bottom w:val="none" w:sz="0" w:space="0" w:color="auto"/>
        <w:right w:val="none" w:sz="0" w:space="0" w:color="auto"/>
      </w:divBdr>
    </w:div>
    <w:div w:id="1789662222">
      <w:bodyDiv w:val="1"/>
      <w:marLeft w:val="0"/>
      <w:marRight w:val="0"/>
      <w:marTop w:val="0"/>
      <w:marBottom w:val="0"/>
      <w:divBdr>
        <w:top w:val="none" w:sz="0" w:space="0" w:color="auto"/>
        <w:left w:val="none" w:sz="0" w:space="0" w:color="auto"/>
        <w:bottom w:val="none" w:sz="0" w:space="0" w:color="auto"/>
        <w:right w:val="none" w:sz="0" w:space="0" w:color="auto"/>
      </w:divBdr>
      <w:divsChild>
        <w:div w:id="791024077">
          <w:marLeft w:val="0"/>
          <w:marRight w:val="0"/>
          <w:marTop w:val="0"/>
          <w:marBottom w:val="0"/>
          <w:divBdr>
            <w:top w:val="none" w:sz="0" w:space="0" w:color="auto"/>
            <w:left w:val="none" w:sz="0" w:space="0" w:color="auto"/>
            <w:bottom w:val="none" w:sz="0" w:space="0" w:color="auto"/>
            <w:right w:val="none" w:sz="0" w:space="0" w:color="auto"/>
          </w:divBdr>
          <w:divsChild>
            <w:div w:id="59166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536464">
      <w:bodyDiv w:val="1"/>
      <w:marLeft w:val="0"/>
      <w:marRight w:val="0"/>
      <w:marTop w:val="0"/>
      <w:marBottom w:val="0"/>
      <w:divBdr>
        <w:top w:val="none" w:sz="0" w:space="0" w:color="auto"/>
        <w:left w:val="none" w:sz="0" w:space="0" w:color="auto"/>
        <w:bottom w:val="none" w:sz="0" w:space="0" w:color="auto"/>
        <w:right w:val="none" w:sz="0" w:space="0" w:color="auto"/>
      </w:divBdr>
    </w:div>
    <w:div w:id="1806653835">
      <w:bodyDiv w:val="1"/>
      <w:marLeft w:val="0"/>
      <w:marRight w:val="0"/>
      <w:marTop w:val="0"/>
      <w:marBottom w:val="0"/>
      <w:divBdr>
        <w:top w:val="none" w:sz="0" w:space="0" w:color="auto"/>
        <w:left w:val="none" w:sz="0" w:space="0" w:color="auto"/>
        <w:bottom w:val="none" w:sz="0" w:space="0" w:color="auto"/>
        <w:right w:val="none" w:sz="0" w:space="0" w:color="auto"/>
      </w:divBdr>
      <w:divsChild>
        <w:div w:id="1309474849">
          <w:marLeft w:val="0"/>
          <w:marRight w:val="0"/>
          <w:marTop w:val="0"/>
          <w:marBottom w:val="0"/>
          <w:divBdr>
            <w:top w:val="none" w:sz="0" w:space="0" w:color="auto"/>
            <w:left w:val="none" w:sz="0" w:space="0" w:color="auto"/>
            <w:bottom w:val="none" w:sz="0" w:space="0" w:color="auto"/>
            <w:right w:val="none" w:sz="0" w:space="0" w:color="auto"/>
          </w:divBdr>
          <w:divsChild>
            <w:div w:id="915364582">
              <w:marLeft w:val="0"/>
              <w:marRight w:val="0"/>
              <w:marTop w:val="0"/>
              <w:marBottom w:val="0"/>
              <w:divBdr>
                <w:top w:val="none" w:sz="0" w:space="0" w:color="auto"/>
                <w:left w:val="none" w:sz="0" w:space="0" w:color="auto"/>
                <w:bottom w:val="none" w:sz="0" w:space="0" w:color="auto"/>
                <w:right w:val="none" w:sz="0" w:space="0" w:color="auto"/>
              </w:divBdr>
              <w:divsChild>
                <w:div w:id="623535166">
                  <w:marLeft w:val="0"/>
                  <w:marRight w:val="0"/>
                  <w:marTop w:val="0"/>
                  <w:marBottom w:val="0"/>
                  <w:divBdr>
                    <w:top w:val="none" w:sz="0" w:space="0" w:color="auto"/>
                    <w:left w:val="none" w:sz="0" w:space="0" w:color="auto"/>
                    <w:bottom w:val="none" w:sz="0" w:space="0" w:color="auto"/>
                    <w:right w:val="none" w:sz="0" w:space="0" w:color="auto"/>
                  </w:divBdr>
                  <w:divsChild>
                    <w:div w:id="2121680100">
                      <w:marLeft w:val="0"/>
                      <w:marRight w:val="0"/>
                      <w:marTop w:val="0"/>
                      <w:marBottom w:val="0"/>
                      <w:divBdr>
                        <w:top w:val="none" w:sz="0" w:space="0" w:color="auto"/>
                        <w:left w:val="none" w:sz="0" w:space="0" w:color="auto"/>
                        <w:bottom w:val="none" w:sz="0" w:space="0" w:color="auto"/>
                        <w:right w:val="none" w:sz="0" w:space="0" w:color="auto"/>
                      </w:divBdr>
                      <w:divsChild>
                        <w:div w:id="1671567371">
                          <w:marLeft w:val="0"/>
                          <w:marRight w:val="0"/>
                          <w:marTop w:val="0"/>
                          <w:marBottom w:val="0"/>
                          <w:divBdr>
                            <w:top w:val="none" w:sz="0" w:space="0" w:color="auto"/>
                            <w:left w:val="none" w:sz="0" w:space="0" w:color="auto"/>
                            <w:bottom w:val="none" w:sz="0" w:space="0" w:color="auto"/>
                            <w:right w:val="none" w:sz="0" w:space="0" w:color="auto"/>
                          </w:divBdr>
                          <w:divsChild>
                            <w:div w:id="277881003">
                              <w:marLeft w:val="0"/>
                              <w:marRight w:val="0"/>
                              <w:marTop w:val="0"/>
                              <w:marBottom w:val="0"/>
                              <w:divBdr>
                                <w:top w:val="none" w:sz="0" w:space="0" w:color="auto"/>
                                <w:left w:val="none" w:sz="0" w:space="0" w:color="auto"/>
                                <w:bottom w:val="none" w:sz="0" w:space="0" w:color="auto"/>
                                <w:right w:val="none" w:sz="0" w:space="0" w:color="auto"/>
                              </w:divBdr>
                              <w:divsChild>
                                <w:div w:id="58594910">
                                  <w:marLeft w:val="0"/>
                                  <w:marRight w:val="0"/>
                                  <w:marTop w:val="0"/>
                                  <w:marBottom w:val="0"/>
                                  <w:divBdr>
                                    <w:top w:val="none" w:sz="0" w:space="0" w:color="auto"/>
                                    <w:left w:val="none" w:sz="0" w:space="0" w:color="auto"/>
                                    <w:bottom w:val="none" w:sz="0" w:space="0" w:color="auto"/>
                                    <w:right w:val="none" w:sz="0" w:space="0" w:color="auto"/>
                                  </w:divBdr>
                                  <w:divsChild>
                                    <w:div w:id="136585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317636">
                      <w:marLeft w:val="0"/>
                      <w:marRight w:val="0"/>
                      <w:marTop w:val="0"/>
                      <w:marBottom w:val="0"/>
                      <w:divBdr>
                        <w:top w:val="none" w:sz="0" w:space="0" w:color="auto"/>
                        <w:left w:val="none" w:sz="0" w:space="0" w:color="auto"/>
                        <w:bottom w:val="none" w:sz="0" w:space="0" w:color="auto"/>
                        <w:right w:val="none" w:sz="0" w:space="0" w:color="auto"/>
                      </w:divBdr>
                      <w:divsChild>
                        <w:div w:id="18034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21765">
      <w:bodyDiv w:val="1"/>
      <w:marLeft w:val="0"/>
      <w:marRight w:val="0"/>
      <w:marTop w:val="0"/>
      <w:marBottom w:val="0"/>
      <w:divBdr>
        <w:top w:val="none" w:sz="0" w:space="0" w:color="auto"/>
        <w:left w:val="none" w:sz="0" w:space="0" w:color="auto"/>
        <w:bottom w:val="none" w:sz="0" w:space="0" w:color="auto"/>
        <w:right w:val="none" w:sz="0" w:space="0" w:color="auto"/>
      </w:divBdr>
    </w:div>
    <w:div w:id="1826125817">
      <w:bodyDiv w:val="1"/>
      <w:marLeft w:val="0"/>
      <w:marRight w:val="0"/>
      <w:marTop w:val="0"/>
      <w:marBottom w:val="0"/>
      <w:divBdr>
        <w:top w:val="none" w:sz="0" w:space="0" w:color="auto"/>
        <w:left w:val="none" w:sz="0" w:space="0" w:color="auto"/>
        <w:bottom w:val="none" w:sz="0" w:space="0" w:color="auto"/>
        <w:right w:val="none" w:sz="0" w:space="0" w:color="auto"/>
      </w:divBdr>
    </w:div>
    <w:div w:id="1834450332">
      <w:bodyDiv w:val="1"/>
      <w:marLeft w:val="0"/>
      <w:marRight w:val="0"/>
      <w:marTop w:val="0"/>
      <w:marBottom w:val="0"/>
      <w:divBdr>
        <w:top w:val="none" w:sz="0" w:space="0" w:color="auto"/>
        <w:left w:val="none" w:sz="0" w:space="0" w:color="auto"/>
        <w:bottom w:val="none" w:sz="0" w:space="0" w:color="auto"/>
        <w:right w:val="none" w:sz="0" w:space="0" w:color="auto"/>
      </w:divBdr>
    </w:div>
    <w:div w:id="1840459503">
      <w:bodyDiv w:val="1"/>
      <w:marLeft w:val="0"/>
      <w:marRight w:val="0"/>
      <w:marTop w:val="0"/>
      <w:marBottom w:val="0"/>
      <w:divBdr>
        <w:top w:val="none" w:sz="0" w:space="0" w:color="auto"/>
        <w:left w:val="none" w:sz="0" w:space="0" w:color="auto"/>
        <w:bottom w:val="none" w:sz="0" w:space="0" w:color="auto"/>
        <w:right w:val="none" w:sz="0" w:space="0" w:color="auto"/>
      </w:divBdr>
    </w:div>
    <w:div w:id="1847399110">
      <w:bodyDiv w:val="1"/>
      <w:marLeft w:val="0"/>
      <w:marRight w:val="0"/>
      <w:marTop w:val="0"/>
      <w:marBottom w:val="0"/>
      <w:divBdr>
        <w:top w:val="none" w:sz="0" w:space="0" w:color="auto"/>
        <w:left w:val="none" w:sz="0" w:space="0" w:color="auto"/>
        <w:bottom w:val="none" w:sz="0" w:space="0" w:color="auto"/>
        <w:right w:val="none" w:sz="0" w:space="0" w:color="auto"/>
      </w:divBdr>
    </w:div>
    <w:div w:id="1860780530">
      <w:bodyDiv w:val="1"/>
      <w:marLeft w:val="0"/>
      <w:marRight w:val="0"/>
      <w:marTop w:val="0"/>
      <w:marBottom w:val="0"/>
      <w:divBdr>
        <w:top w:val="none" w:sz="0" w:space="0" w:color="auto"/>
        <w:left w:val="none" w:sz="0" w:space="0" w:color="auto"/>
        <w:bottom w:val="none" w:sz="0" w:space="0" w:color="auto"/>
        <w:right w:val="none" w:sz="0" w:space="0" w:color="auto"/>
      </w:divBdr>
    </w:div>
    <w:div w:id="1863547632">
      <w:bodyDiv w:val="1"/>
      <w:marLeft w:val="0"/>
      <w:marRight w:val="0"/>
      <w:marTop w:val="0"/>
      <w:marBottom w:val="0"/>
      <w:divBdr>
        <w:top w:val="none" w:sz="0" w:space="0" w:color="auto"/>
        <w:left w:val="none" w:sz="0" w:space="0" w:color="auto"/>
        <w:bottom w:val="none" w:sz="0" w:space="0" w:color="auto"/>
        <w:right w:val="none" w:sz="0" w:space="0" w:color="auto"/>
      </w:divBdr>
    </w:div>
    <w:div w:id="1869634291">
      <w:bodyDiv w:val="1"/>
      <w:marLeft w:val="0"/>
      <w:marRight w:val="0"/>
      <w:marTop w:val="0"/>
      <w:marBottom w:val="0"/>
      <w:divBdr>
        <w:top w:val="none" w:sz="0" w:space="0" w:color="auto"/>
        <w:left w:val="none" w:sz="0" w:space="0" w:color="auto"/>
        <w:bottom w:val="none" w:sz="0" w:space="0" w:color="auto"/>
        <w:right w:val="none" w:sz="0" w:space="0" w:color="auto"/>
      </w:divBdr>
    </w:div>
    <w:div w:id="1878350354">
      <w:bodyDiv w:val="1"/>
      <w:marLeft w:val="0"/>
      <w:marRight w:val="0"/>
      <w:marTop w:val="0"/>
      <w:marBottom w:val="0"/>
      <w:divBdr>
        <w:top w:val="none" w:sz="0" w:space="0" w:color="auto"/>
        <w:left w:val="none" w:sz="0" w:space="0" w:color="auto"/>
        <w:bottom w:val="none" w:sz="0" w:space="0" w:color="auto"/>
        <w:right w:val="none" w:sz="0" w:space="0" w:color="auto"/>
      </w:divBdr>
    </w:div>
    <w:div w:id="1880821439">
      <w:bodyDiv w:val="1"/>
      <w:marLeft w:val="0"/>
      <w:marRight w:val="0"/>
      <w:marTop w:val="0"/>
      <w:marBottom w:val="0"/>
      <w:divBdr>
        <w:top w:val="none" w:sz="0" w:space="0" w:color="auto"/>
        <w:left w:val="none" w:sz="0" w:space="0" w:color="auto"/>
        <w:bottom w:val="none" w:sz="0" w:space="0" w:color="auto"/>
        <w:right w:val="none" w:sz="0" w:space="0" w:color="auto"/>
      </w:divBdr>
      <w:divsChild>
        <w:div w:id="1377312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367624">
      <w:bodyDiv w:val="1"/>
      <w:marLeft w:val="0"/>
      <w:marRight w:val="0"/>
      <w:marTop w:val="0"/>
      <w:marBottom w:val="0"/>
      <w:divBdr>
        <w:top w:val="none" w:sz="0" w:space="0" w:color="auto"/>
        <w:left w:val="none" w:sz="0" w:space="0" w:color="auto"/>
        <w:bottom w:val="none" w:sz="0" w:space="0" w:color="auto"/>
        <w:right w:val="none" w:sz="0" w:space="0" w:color="auto"/>
      </w:divBdr>
    </w:div>
    <w:div w:id="1886720153">
      <w:bodyDiv w:val="1"/>
      <w:marLeft w:val="0"/>
      <w:marRight w:val="0"/>
      <w:marTop w:val="0"/>
      <w:marBottom w:val="0"/>
      <w:divBdr>
        <w:top w:val="none" w:sz="0" w:space="0" w:color="auto"/>
        <w:left w:val="none" w:sz="0" w:space="0" w:color="auto"/>
        <w:bottom w:val="none" w:sz="0" w:space="0" w:color="auto"/>
        <w:right w:val="none" w:sz="0" w:space="0" w:color="auto"/>
      </w:divBdr>
      <w:divsChild>
        <w:div w:id="3871962">
          <w:marLeft w:val="0"/>
          <w:marRight w:val="0"/>
          <w:marTop w:val="0"/>
          <w:marBottom w:val="0"/>
          <w:divBdr>
            <w:top w:val="none" w:sz="0" w:space="0" w:color="auto"/>
            <w:left w:val="none" w:sz="0" w:space="0" w:color="auto"/>
            <w:bottom w:val="none" w:sz="0" w:space="0" w:color="auto"/>
            <w:right w:val="none" w:sz="0" w:space="0" w:color="auto"/>
          </w:divBdr>
          <w:divsChild>
            <w:div w:id="1387997036">
              <w:marLeft w:val="0"/>
              <w:marRight w:val="0"/>
              <w:marTop w:val="0"/>
              <w:marBottom w:val="0"/>
              <w:divBdr>
                <w:top w:val="none" w:sz="0" w:space="0" w:color="auto"/>
                <w:left w:val="none" w:sz="0" w:space="0" w:color="auto"/>
                <w:bottom w:val="none" w:sz="0" w:space="0" w:color="auto"/>
                <w:right w:val="none" w:sz="0" w:space="0" w:color="auto"/>
              </w:divBdr>
              <w:divsChild>
                <w:div w:id="2047290600">
                  <w:marLeft w:val="0"/>
                  <w:marRight w:val="0"/>
                  <w:marTop w:val="0"/>
                  <w:marBottom w:val="0"/>
                  <w:divBdr>
                    <w:top w:val="none" w:sz="0" w:space="0" w:color="auto"/>
                    <w:left w:val="none" w:sz="0" w:space="0" w:color="auto"/>
                    <w:bottom w:val="none" w:sz="0" w:space="0" w:color="auto"/>
                    <w:right w:val="none" w:sz="0" w:space="0" w:color="auto"/>
                  </w:divBdr>
                  <w:divsChild>
                    <w:div w:id="1610550528">
                      <w:marLeft w:val="0"/>
                      <w:marRight w:val="0"/>
                      <w:marTop w:val="0"/>
                      <w:marBottom w:val="0"/>
                      <w:divBdr>
                        <w:top w:val="none" w:sz="0" w:space="0" w:color="auto"/>
                        <w:left w:val="none" w:sz="0" w:space="0" w:color="auto"/>
                        <w:bottom w:val="none" w:sz="0" w:space="0" w:color="auto"/>
                        <w:right w:val="none" w:sz="0" w:space="0" w:color="auto"/>
                      </w:divBdr>
                      <w:divsChild>
                        <w:div w:id="419259051">
                          <w:marLeft w:val="0"/>
                          <w:marRight w:val="0"/>
                          <w:marTop w:val="0"/>
                          <w:marBottom w:val="0"/>
                          <w:divBdr>
                            <w:top w:val="none" w:sz="0" w:space="0" w:color="auto"/>
                            <w:left w:val="none" w:sz="0" w:space="0" w:color="auto"/>
                            <w:bottom w:val="none" w:sz="0" w:space="0" w:color="auto"/>
                            <w:right w:val="none" w:sz="0" w:space="0" w:color="auto"/>
                          </w:divBdr>
                          <w:divsChild>
                            <w:div w:id="1412044288">
                              <w:marLeft w:val="0"/>
                              <w:marRight w:val="0"/>
                              <w:marTop w:val="0"/>
                              <w:marBottom w:val="0"/>
                              <w:divBdr>
                                <w:top w:val="none" w:sz="0" w:space="0" w:color="auto"/>
                                <w:left w:val="none" w:sz="0" w:space="0" w:color="auto"/>
                                <w:bottom w:val="none" w:sz="0" w:space="0" w:color="auto"/>
                                <w:right w:val="none" w:sz="0" w:space="0" w:color="auto"/>
                              </w:divBdr>
                              <w:divsChild>
                                <w:div w:id="824786433">
                                  <w:marLeft w:val="0"/>
                                  <w:marRight w:val="0"/>
                                  <w:marTop w:val="0"/>
                                  <w:marBottom w:val="0"/>
                                  <w:divBdr>
                                    <w:top w:val="none" w:sz="0" w:space="0" w:color="auto"/>
                                    <w:left w:val="none" w:sz="0" w:space="0" w:color="auto"/>
                                    <w:bottom w:val="none" w:sz="0" w:space="0" w:color="auto"/>
                                    <w:right w:val="none" w:sz="0" w:space="0" w:color="auto"/>
                                  </w:divBdr>
                                  <w:divsChild>
                                    <w:div w:id="138294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825916">
                      <w:marLeft w:val="0"/>
                      <w:marRight w:val="0"/>
                      <w:marTop w:val="0"/>
                      <w:marBottom w:val="0"/>
                      <w:divBdr>
                        <w:top w:val="none" w:sz="0" w:space="0" w:color="auto"/>
                        <w:left w:val="none" w:sz="0" w:space="0" w:color="auto"/>
                        <w:bottom w:val="none" w:sz="0" w:space="0" w:color="auto"/>
                        <w:right w:val="none" w:sz="0" w:space="0" w:color="auto"/>
                      </w:divBdr>
                      <w:divsChild>
                        <w:div w:id="13112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0797773">
      <w:bodyDiv w:val="1"/>
      <w:marLeft w:val="0"/>
      <w:marRight w:val="0"/>
      <w:marTop w:val="0"/>
      <w:marBottom w:val="0"/>
      <w:divBdr>
        <w:top w:val="none" w:sz="0" w:space="0" w:color="auto"/>
        <w:left w:val="none" w:sz="0" w:space="0" w:color="auto"/>
        <w:bottom w:val="none" w:sz="0" w:space="0" w:color="auto"/>
        <w:right w:val="none" w:sz="0" w:space="0" w:color="auto"/>
      </w:divBdr>
    </w:div>
    <w:div w:id="1893732298">
      <w:bodyDiv w:val="1"/>
      <w:marLeft w:val="0"/>
      <w:marRight w:val="0"/>
      <w:marTop w:val="0"/>
      <w:marBottom w:val="0"/>
      <w:divBdr>
        <w:top w:val="none" w:sz="0" w:space="0" w:color="auto"/>
        <w:left w:val="none" w:sz="0" w:space="0" w:color="auto"/>
        <w:bottom w:val="none" w:sz="0" w:space="0" w:color="auto"/>
        <w:right w:val="none" w:sz="0" w:space="0" w:color="auto"/>
      </w:divBdr>
    </w:div>
    <w:div w:id="1900282628">
      <w:bodyDiv w:val="1"/>
      <w:marLeft w:val="0"/>
      <w:marRight w:val="0"/>
      <w:marTop w:val="0"/>
      <w:marBottom w:val="0"/>
      <w:divBdr>
        <w:top w:val="none" w:sz="0" w:space="0" w:color="auto"/>
        <w:left w:val="none" w:sz="0" w:space="0" w:color="auto"/>
        <w:bottom w:val="none" w:sz="0" w:space="0" w:color="auto"/>
        <w:right w:val="none" w:sz="0" w:space="0" w:color="auto"/>
      </w:divBdr>
    </w:div>
    <w:div w:id="1908107091">
      <w:bodyDiv w:val="1"/>
      <w:marLeft w:val="0"/>
      <w:marRight w:val="0"/>
      <w:marTop w:val="0"/>
      <w:marBottom w:val="0"/>
      <w:divBdr>
        <w:top w:val="none" w:sz="0" w:space="0" w:color="auto"/>
        <w:left w:val="none" w:sz="0" w:space="0" w:color="auto"/>
        <w:bottom w:val="none" w:sz="0" w:space="0" w:color="auto"/>
        <w:right w:val="none" w:sz="0" w:space="0" w:color="auto"/>
      </w:divBdr>
      <w:divsChild>
        <w:div w:id="1063673815">
          <w:marLeft w:val="0"/>
          <w:marRight w:val="0"/>
          <w:marTop w:val="0"/>
          <w:marBottom w:val="0"/>
          <w:divBdr>
            <w:top w:val="none" w:sz="0" w:space="0" w:color="auto"/>
            <w:left w:val="none" w:sz="0" w:space="0" w:color="auto"/>
            <w:bottom w:val="none" w:sz="0" w:space="0" w:color="auto"/>
            <w:right w:val="none" w:sz="0" w:space="0" w:color="auto"/>
          </w:divBdr>
          <w:divsChild>
            <w:div w:id="2111706208">
              <w:marLeft w:val="0"/>
              <w:marRight w:val="0"/>
              <w:marTop w:val="0"/>
              <w:marBottom w:val="0"/>
              <w:divBdr>
                <w:top w:val="none" w:sz="0" w:space="0" w:color="auto"/>
                <w:left w:val="none" w:sz="0" w:space="0" w:color="auto"/>
                <w:bottom w:val="none" w:sz="0" w:space="0" w:color="auto"/>
                <w:right w:val="none" w:sz="0" w:space="0" w:color="auto"/>
              </w:divBdr>
              <w:divsChild>
                <w:div w:id="1811944609">
                  <w:marLeft w:val="0"/>
                  <w:marRight w:val="0"/>
                  <w:marTop w:val="0"/>
                  <w:marBottom w:val="0"/>
                  <w:divBdr>
                    <w:top w:val="none" w:sz="0" w:space="0" w:color="auto"/>
                    <w:left w:val="none" w:sz="0" w:space="0" w:color="auto"/>
                    <w:bottom w:val="none" w:sz="0" w:space="0" w:color="auto"/>
                    <w:right w:val="none" w:sz="0" w:space="0" w:color="auto"/>
                  </w:divBdr>
                  <w:divsChild>
                    <w:div w:id="1831940112">
                      <w:marLeft w:val="0"/>
                      <w:marRight w:val="0"/>
                      <w:marTop w:val="0"/>
                      <w:marBottom w:val="0"/>
                      <w:divBdr>
                        <w:top w:val="none" w:sz="0" w:space="0" w:color="auto"/>
                        <w:left w:val="none" w:sz="0" w:space="0" w:color="auto"/>
                        <w:bottom w:val="none" w:sz="0" w:space="0" w:color="auto"/>
                        <w:right w:val="none" w:sz="0" w:space="0" w:color="auto"/>
                      </w:divBdr>
                      <w:divsChild>
                        <w:div w:id="1694454125">
                          <w:marLeft w:val="0"/>
                          <w:marRight w:val="0"/>
                          <w:marTop w:val="0"/>
                          <w:marBottom w:val="0"/>
                          <w:divBdr>
                            <w:top w:val="none" w:sz="0" w:space="0" w:color="auto"/>
                            <w:left w:val="none" w:sz="0" w:space="0" w:color="auto"/>
                            <w:bottom w:val="none" w:sz="0" w:space="0" w:color="auto"/>
                            <w:right w:val="none" w:sz="0" w:space="0" w:color="auto"/>
                          </w:divBdr>
                          <w:divsChild>
                            <w:div w:id="758019129">
                              <w:marLeft w:val="0"/>
                              <w:marRight w:val="0"/>
                              <w:marTop w:val="0"/>
                              <w:marBottom w:val="0"/>
                              <w:divBdr>
                                <w:top w:val="none" w:sz="0" w:space="0" w:color="auto"/>
                                <w:left w:val="none" w:sz="0" w:space="0" w:color="auto"/>
                                <w:bottom w:val="none" w:sz="0" w:space="0" w:color="auto"/>
                                <w:right w:val="none" w:sz="0" w:space="0" w:color="auto"/>
                              </w:divBdr>
                              <w:divsChild>
                                <w:div w:id="294680762">
                                  <w:marLeft w:val="0"/>
                                  <w:marRight w:val="0"/>
                                  <w:marTop w:val="0"/>
                                  <w:marBottom w:val="0"/>
                                  <w:divBdr>
                                    <w:top w:val="none" w:sz="0" w:space="0" w:color="auto"/>
                                    <w:left w:val="none" w:sz="0" w:space="0" w:color="auto"/>
                                    <w:bottom w:val="none" w:sz="0" w:space="0" w:color="auto"/>
                                    <w:right w:val="none" w:sz="0" w:space="0" w:color="auto"/>
                                  </w:divBdr>
                                  <w:divsChild>
                                    <w:div w:id="5257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2718292">
      <w:bodyDiv w:val="1"/>
      <w:marLeft w:val="0"/>
      <w:marRight w:val="0"/>
      <w:marTop w:val="0"/>
      <w:marBottom w:val="0"/>
      <w:divBdr>
        <w:top w:val="none" w:sz="0" w:space="0" w:color="auto"/>
        <w:left w:val="none" w:sz="0" w:space="0" w:color="auto"/>
        <w:bottom w:val="none" w:sz="0" w:space="0" w:color="auto"/>
        <w:right w:val="none" w:sz="0" w:space="0" w:color="auto"/>
      </w:divBdr>
    </w:div>
    <w:div w:id="1925646774">
      <w:bodyDiv w:val="1"/>
      <w:marLeft w:val="0"/>
      <w:marRight w:val="0"/>
      <w:marTop w:val="0"/>
      <w:marBottom w:val="0"/>
      <w:divBdr>
        <w:top w:val="none" w:sz="0" w:space="0" w:color="auto"/>
        <w:left w:val="none" w:sz="0" w:space="0" w:color="auto"/>
        <w:bottom w:val="none" w:sz="0" w:space="0" w:color="auto"/>
        <w:right w:val="none" w:sz="0" w:space="0" w:color="auto"/>
      </w:divBdr>
    </w:div>
    <w:div w:id="1953055508">
      <w:bodyDiv w:val="1"/>
      <w:marLeft w:val="0"/>
      <w:marRight w:val="0"/>
      <w:marTop w:val="0"/>
      <w:marBottom w:val="0"/>
      <w:divBdr>
        <w:top w:val="none" w:sz="0" w:space="0" w:color="auto"/>
        <w:left w:val="none" w:sz="0" w:space="0" w:color="auto"/>
        <w:bottom w:val="none" w:sz="0" w:space="0" w:color="auto"/>
        <w:right w:val="none" w:sz="0" w:space="0" w:color="auto"/>
      </w:divBdr>
    </w:div>
    <w:div w:id="1961721374">
      <w:bodyDiv w:val="1"/>
      <w:marLeft w:val="0"/>
      <w:marRight w:val="0"/>
      <w:marTop w:val="0"/>
      <w:marBottom w:val="0"/>
      <w:divBdr>
        <w:top w:val="none" w:sz="0" w:space="0" w:color="auto"/>
        <w:left w:val="none" w:sz="0" w:space="0" w:color="auto"/>
        <w:bottom w:val="none" w:sz="0" w:space="0" w:color="auto"/>
        <w:right w:val="none" w:sz="0" w:space="0" w:color="auto"/>
      </w:divBdr>
    </w:div>
    <w:div w:id="1963996918">
      <w:bodyDiv w:val="1"/>
      <w:marLeft w:val="0"/>
      <w:marRight w:val="0"/>
      <w:marTop w:val="0"/>
      <w:marBottom w:val="0"/>
      <w:divBdr>
        <w:top w:val="none" w:sz="0" w:space="0" w:color="auto"/>
        <w:left w:val="none" w:sz="0" w:space="0" w:color="auto"/>
        <w:bottom w:val="none" w:sz="0" w:space="0" w:color="auto"/>
        <w:right w:val="none" w:sz="0" w:space="0" w:color="auto"/>
      </w:divBdr>
    </w:div>
    <w:div w:id="1964772119">
      <w:bodyDiv w:val="1"/>
      <w:marLeft w:val="0"/>
      <w:marRight w:val="0"/>
      <w:marTop w:val="0"/>
      <w:marBottom w:val="0"/>
      <w:divBdr>
        <w:top w:val="none" w:sz="0" w:space="0" w:color="auto"/>
        <w:left w:val="none" w:sz="0" w:space="0" w:color="auto"/>
        <w:bottom w:val="none" w:sz="0" w:space="0" w:color="auto"/>
        <w:right w:val="none" w:sz="0" w:space="0" w:color="auto"/>
      </w:divBdr>
    </w:div>
    <w:div w:id="1978759295">
      <w:bodyDiv w:val="1"/>
      <w:marLeft w:val="0"/>
      <w:marRight w:val="0"/>
      <w:marTop w:val="0"/>
      <w:marBottom w:val="0"/>
      <w:divBdr>
        <w:top w:val="none" w:sz="0" w:space="0" w:color="auto"/>
        <w:left w:val="none" w:sz="0" w:space="0" w:color="auto"/>
        <w:bottom w:val="none" w:sz="0" w:space="0" w:color="auto"/>
        <w:right w:val="none" w:sz="0" w:space="0" w:color="auto"/>
      </w:divBdr>
    </w:div>
    <w:div w:id="1994334939">
      <w:bodyDiv w:val="1"/>
      <w:marLeft w:val="0"/>
      <w:marRight w:val="0"/>
      <w:marTop w:val="0"/>
      <w:marBottom w:val="0"/>
      <w:divBdr>
        <w:top w:val="none" w:sz="0" w:space="0" w:color="auto"/>
        <w:left w:val="none" w:sz="0" w:space="0" w:color="auto"/>
        <w:bottom w:val="none" w:sz="0" w:space="0" w:color="auto"/>
        <w:right w:val="none" w:sz="0" w:space="0" w:color="auto"/>
      </w:divBdr>
    </w:div>
    <w:div w:id="2012831086">
      <w:bodyDiv w:val="1"/>
      <w:marLeft w:val="0"/>
      <w:marRight w:val="0"/>
      <w:marTop w:val="0"/>
      <w:marBottom w:val="0"/>
      <w:divBdr>
        <w:top w:val="none" w:sz="0" w:space="0" w:color="auto"/>
        <w:left w:val="none" w:sz="0" w:space="0" w:color="auto"/>
        <w:bottom w:val="none" w:sz="0" w:space="0" w:color="auto"/>
        <w:right w:val="none" w:sz="0" w:space="0" w:color="auto"/>
      </w:divBdr>
    </w:div>
    <w:div w:id="2018000265">
      <w:bodyDiv w:val="1"/>
      <w:marLeft w:val="0"/>
      <w:marRight w:val="0"/>
      <w:marTop w:val="0"/>
      <w:marBottom w:val="0"/>
      <w:divBdr>
        <w:top w:val="none" w:sz="0" w:space="0" w:color="auto"/>
        <w:left w:val="none" w:sz="0" w:space="0" w:color="auto"/>
        <w:bottom w:val="none" w:sz="0" w:space="0" w:color="auto"/>
        <w:right w:val="none" w:sz="0" w:space="0" w:color="auto"/>
      </w:divBdr>
    </w:div>
    <w:div w:id="2018575737">
      <w:bodyDiv w:val="1"/>
      <w:marLeft w:val="0"/>
      <w:marRight w:val="0"/>
      <w:marTop w:val="0"/>
      <w:marBottom w:val="0"/>
      <w:divBdr>
        <w:top w:val="none" w:sz="0" w:space="0" w:color="auto"/>
        <w:left w:val="none" w:sz="0" w:space="0" w:color="auto"/>
        <w:bottom w:val="none" w:sz="0" w:space="0" w:color="auto"/>
        <w:right w:val="none" w:sz="0" w:space="0" w:color="auto"/>
      </w:divBdr>
    </w:div>
    <w:div w:id="2021816277">
      <w:bodyDiv w:val="1"/>
      <w:marLeft w:val="0"/>
      <w:marRight w:val="0"/>
      <w:marTop w:val="0"/>
      <w:marBottom w:val="0"/>
      <w:divBdr>
        <w:top w:val="none" w:sz="0" w:space="0" w:color="auto"/>
        <w:left w:val="none" w:sz="0" w:space="0" w:color="auto"/>
        <w:bottom w:val="none" w:sz="0" w:space="0" w:color="auto"/>
        <w:right w:val="none" w:sz="0" w:space="0" w:color="auto"/>
      </w:divBdr>
    </w:div>
    <w:div w:id="2038508491">
      <w:bodyDiv w:val="1"/>
      <w:marLeft w:val="0"/>
      <w:marRight w:val="0"/>
      <w:marTop w:val="0"/>
      <w:marBottom w:val="0"/>
      <w:divBdr>
        <w:top w:val="none" w:sz="0" w:space="0" w:color="auto"/>
        <w:left w:val="none" w:sz="0" w:space="0" w:color="auto"/>
        <w:bottom w:val="none" w:sz="0" w:space="0" w:color="auto"/>
        <w:right w:val="none" w:sz="0" w:space="0" w:color="auto"/>
      </w:divBdr>
    </w:div>
    <w:div w:id="2045053512">
      <w:bodyDiv w:val="1"/>
      <w:marLeft w:val="0"/>
      <w:marRight w:val="0"/>
      <w:marTop w:val="0"/>
      <w:marBottom w:val="0"/>
      <w:divBdr>
        <w:top w:val="none" w:sz="0" w:space="0" w:color="auto"/>
        <w:left w:val="none" w:sz="0" w:space="0" w:color="auto"/>
        <w:bottom w:val="none" w:sz="0" w:space="0" w:color="auto"/>
        <w:right w:val="none" w:sz="0" w:space="0" w:color="auto"/>
      </w:divBdr>
    </w:div>
    <w:div w:id="2049839171">
      <w:bodyDiv w:val="1"/>
      <w:marLeft w:val="0"/>
      <w:marRight w:val="0"/>
      <w:marTop w:val="0"/>
      <w:marBottom w:val="0"/>
      <w:divBdr>
        <w:top w:val="none" w:sz="0" w:space="0" w:color="auto"/>
        <w:left w:val="none" w:sz="0" w:space="0" w:color="auto"/>
        <w:bottom w:val="none" w:sz="0" w:space="0" w:color="auto"/>
        <w:right w:val="none" w:sz="0" w:space="0" w:color="auto"/>
      </w:divBdr>
    </w:div>
    <w:div w:id="2053993872">
      <w:bodyDiv w:val="1"/>
      <w:marLeft w:val="0"/>
      <w:marRight w:val="0"/>
      <w:marTop w:val="0"/>
      <w:marBottom w:val="0"/>
      <w:divBdr>
        <w:top w:val="none" w:sz="0" w:space="0" w:color="auto"/>
        <w:left w:val="none" w:sz="0" w:space="0" w:color="auto"/>
        <w:bottom w:val="none" w:sz="0" w:space="0" w:color="auto"/>
        <w:right w:val="none" w:sz="0" w:space="0" w:color="auto"/>
      </w:divBdr>
    </w:div>
    <w:div w:id="2066294853">
      <w:bodyDiv w:val="1"/>
      <w:marLeft w:val="0"/>
      <w:marRight w:val="0"/>
      <w:marTop w:val="0"/>
      <w:marBottom w:val="0"/>
      <w:divBdr>
        <w:top w:val="none" w:sz="0" w:space="0" w:color="auto"/>
        <w:left w:val="none" w:sz="0" w:space="0" w:color="auto"/>
        <w:bottom w:val="none" w:sz="0" w:space="0" w:color="auto"/>
        <w:right w:val="none" w:sz="0" w:space="0" w:color="auto"/>
      </w:divBdr>
    </w:div>
    <w:div w:id="2067102836">
      <w:bodyDiv w:val="1"/>
      <w:marLeft w:val="0"/>
      <w:marRight w:val="0"/>
      <w:marTop w:val="0"/>
      <w:marBottom w:val="0"/>
      <w:divBdr>
        <w:top w:val="none" w:sz="0" w:space="0" w:color="auto"/>
        <w:left w:val="none" w:sz="0" w:space="0" w:color="auto"/>
        <w:bottom w:val="none" w:sz="0" w:space="0" w:color="auto"/>
        <w:right w:val="none" w:sz="0" w:space="0" w:color="auto"/>
      </w:divBdr>
    </w:div>
    <w:div w:id="2068213243">
      <w:bodyDiv w:val="1"/>
      <w:marLeft w:val="0"/>
      <w:marRight w:val="0"/>
      <w:marTop w:val="0"/>
      <w:marBottom w:val="0"/>
      <w:divBdr>
        <w:top w:val="none" w:sz="0" w:space="0" w:color="auto"/>
        <w:left w:val="none" w:sz="0" w:space="0" w:color="auto"/>
        <w:bottom w:val="none" w:sz="0" w:space="0" w:color="auto"/>
        <w:right w:val="none" w:sz="0" w:space="0" w:color="auto"/>
      </w:divBdr>
    </w:div>
    <w:div w:id="2072537876">
      <w:bodyDiv w:val="1"/>
      <w:marLeft w:val="0"/>
      <w:marRight w:val="0"/>
      <w:marTop w:val="0"/>
      <w:marBottom w:val="0"/>
      <w:divBdr>
        <w:top w:val="none" w:sz="0" w:space="0" w:color="auto"/>
        <w:left w:val="none" w:sz="0" w:space="0" w:color="auto"/>
        <w:bottom w:val="none" w:sz="0" w:space="0" w:color="auto"/>
        <w:right w:val="none" w:sz="0" w:space="0" w:color="auto"/>
      </w:divBdr>
    </w:div>
    <w:div w:id="2087336577">
      <w:bodyDiv w:val="1"/>
      <w:marLeft w:val="0"/>
      <w:marRight w:val="0"/>
      <w:marTop w:val="0"/>
      <w:marBottom w:val="0"/>
      <w:divBdr>
        <w:top w:val="none" w:sz="0" w:space="0" w:color="auto"/>
        <w:left w:val="none" w:sz="0" w:space="0" w:color="auto"/>
        <w:bottom w:val="none" w:sz="0" w:space="0" w:color="auto"/>
        <w:right w:val="none" w:sz="0" w:space="0" w:color="auto"/>
      </w:divBdr>
    </w:div>
    <w:div w:id="2091805370">
      <w:bodyDiv w:val="1"/>
      <w:marLeft w:val="0"/>
      <w:marRight w:val="0"/>
      <w:marTop w:val="0"/>
      <w:marBottom w:val="0"/>
      <w:divBdr>
        <w:top w:val="none" w:sz="0" w:space="0" w:color="auto"/>
        <w:left w:val="none" w:sz="0" w:space="0" w:color="auto"/>
        <w:bottom w:val="none" w:sz="0" w:space="0" w:color="auto"/>
        <w:right w:val="none" w:sz="0" w:space="0" w:color="auto"/>
      </w:divBdr>
    </w:div>
    <w:div w:id="2099251615">
      <w:bodyDiv w:val="1"/>
      <w:marLeft w:val="0"/>
      <w:marRight w:val="0"/>
      <w:marTop w:val="0"/>
      <w:marBottom w:val="0"/>
      <w:divBdr>
        <w:top w:val="none" w:sz="0" w:space="0" w:color="auto"/>
        <w:left w:val="none" w:sz="0" w:space="0" w:color="auto"/>
        <w:bottom w:val="none" w:sz="0" w:space="0" w:color="auto"/>
        <w:right w:val="none" w:sz="0" w:space="0" w:color="auto"/>
      </w:divBdr>
    </w:div>
    <w:div w:id="2106148612">
      <w:bodyDiv w:val="1"/>
      <w:marLeft w:val="0"/>
      <w:marRight w:val="0"/>
      <w:marTop w:val="0"/>
      <w:marBottom w:val="0"/>
      <w:divBdr>
        <w:top w:val="none" w:sz="0" w:space="0" w:color="auto"/>
        <w:left w:val="none" w:sz="0" w:space="0" w:color="auto"/>
        <w:bottom w:val="none" w:sz="0" w:space="0" w:color="auto"/>
        <w:right w:val="none" w:sz="0" w:space="0" w:color="auto"/>
      </w:divBdr>
    </w:div>
    <w:div w:id="2109889239">
      <w:bodyDiv w:val="1"/>
      <w:marLeft w:val="0"/>
      <w:marRight w:val="0"/>
      <w:marTop w:val="0"/>
      <w:marBottom w:val="0"/>
      <w:divBdr>
        <w:top w:val="none" w:sz="0" w:space="0" w:color="auto"/>
        <w:left w:val="none" w:sz="0" w:space="0" w:color="auto"/>
        <w:bottom w:val="none" w:sz="0" w:space="0" w:color="auto"/>
        <w:right w:val="none" w:sz="0" w:space="0" w:color="auto"/>
      </w:divBdr>
    </w:div>
    <w:div w:id="2111586714">
      <w:bodyDiv w:val="1"/>
      <w:marLeft w:val="0"/>
      <w:marRight w:val="0"/>
      <w:marTop w:val="0"/>
      <w:marBottom w:val="0"/>
      <w:divBdr>
        <w:top w:val="none" w:sz="0" w:space="0" w:color="auto"/>
        <w:left w:val="none" w:sz="0" w:space="0" w:color="auto"/>
        <w:bottom w:val="none" w:sz="0" w:space="0" w:color="auto"/>
        <w:right w:val="none" w:sz="0" w:space="0" w:color="auto"/>
      </w:divBdr>
    </w:div>
    <w:div w:id="2121603490">
      <w:bodyDiv w:val="1"/>
      <w:marLeft w:val="0"/>
      <w:marRight w:val="0"/>
      <w:marTop w:val="0"/>
      <w:marBottom w:val="0"/>
      <w:divBdr>
        <w:top w:val="none" w:sz="0" w:space="0" w:color="auto"/>
        <w:left w:val="none" w:sz="0" w:space="0" w:color="auto"/>
        <w:bottom w:val="none" w:sz="0" w:space="0" w:color="auto"/>
        <w:right w:val="none" w:sz="0" w:space="0" w:color="auto"/>
      </w:divBdr>
    </w:div>
    <w:div w:id="2122534544">
      <w:bodyDiv w:val="1"/>
      <w:marLeft w:val="0"/>
      <w:marRight w:val="0"/>
      <w:marTop w:val="0"/>
      <w:marBottom w:val="0"/>
      <w:divBdr>
        <w:top w:val="none" w:sz="0" w:space="0" w:color="auto"/>
        <w:left w:val="none" w:sz="0" w:space="0" w:color="auto"/>
        <w:bottom w:val="none" w:sz="0" w:space="0" w:color="auto"/>
        <w:right w:val="none" w:sz="0" w:space="0" w:color="auto"/>
      </w:divBdr>
      <w:divsChild>
        <w:div w:id="739864916">
          <w:marLeft w:val="0"/>
          <w:marRight w:val="0"/>
          <w:marTop w:val="0"/>
          <w:marBottom w:val="0"/>
          <w:divBdr>
            <w:top w:val="none" w:sz="0" w:space="0" w:color="auto"/>
            <w:left w:val="none" w:sz="0" w:space="0" w:color="auto"/>
            <w:bottom w:val="none" w:sz="0" w:space="0" w:color="auto"/>
            <w:right w:val="none" w:sz="0" w:space="0" w:color="auto"/>
          </w:divBdr>
          <w:divsChild>
            <w:div w:id="133576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1115">
      <w:bodyDiv w:val="1"/>
      <w:marLeft w:val="0"/>
      <w:marRight w:val="0"/>
      <w:marTop w:val="0"/>
      <w:marBottom w:val="0"/>
      <w:divBdr>
        <w:top w:val="none" w:sz="0" w:space="0" w:color="auto"/>
        <w:left w:val="none" w:sz="0" w:space="0" w:color="auto"/>
        <w:bottom w:val="none" w:sz="0" w:space="0" w:color="auto"/>
        <w:right w:val="none" w:sz="0" w:space="0" w:color="auto"/>
      </w:divBdr>
    </w:div>
    <w:div w:id="2139834423">
      <w:bodyDiv w:val="1"/>
      <w:marLeft w:val="0"/>
      <w:marRight w:val="0"/>
      <w:marTop w:val="0"/>
      <w:marBottom w:val="0"/>
      <w:divBdr>
        <w:top w:val="none" w:sz="0" w:space="0" w:color="auto"/>
        <w:left w:val="none" w:sz="0" w:space="0" w:color="auto"/>
        <w:bottom w:val="none" w:sz="0" w:space="0" w:color="auto"/>
        <w:right w:val="none" w:sz="0" w:space="0" w:color="auto"/>
      </w:divBdr>
    </w:div>
    <w:div w:id="2141458177">
      <w:bodyDiv w:val="1"/>
      <w:marLeft w:val="0"/>
      <w:marRight w:val="0"/>
      <w:marTop w:val="0"/>
      <w:marBottom w:val="0"/>
      <w:divBdr>
        <w:top w:val="none" w:sz="0" w:space="0" w:color="auto"/>
        <w:left w:val="none" w:sz="0" w:space="0" w:color="auto"/>
        <w:bottom w:val="none" w:sz="0" w:space="0" w:color="auto"/>
        <w:right w:val="none" w:sz="0" w:space="0" w:color="auto"/>
      </w:divBdr>
      <w:divsChild>
        <w:div w:id="1007753354">
          <w:marLeft w:val="0"/>
          <w:marRight w:val="0"/>
          <w:marTop w:val="0"/>
          <w:marBottom w:val="0"/>
          <w:divBdr>
            <w:top w:val="none" w:sz="0" w:space="0" w:color="auto"/>
            <w:left w:val="none" w:sz="0" w:space="0" w:color="auto"/>
            <w:bottom w:val="none" w:sz="0" w:space="0" w:color="auto"/>
            <w:right w:val="none" w:sz="0" w:space="0" w:color="auto"/>
          </w:divBdr>
          <w:divsChild>
            <w:div w:id="1272666854">
              <w:marLeft w:val="0"/>
              <w:marRight w:val="0"/>
              <w:marTop w:val="0"/>
              <w:marBottom w:val="0"/>
              <w:divBdr>
                <w:top w:val="none" w:sz="0" w:space="0" w:color="auto"/>
                <w:left w:val="none" w:sz="0" w:space="0" w:color="auto"/>
                <w:bottom w:val="none" w:sz="0" w:space="0" w:color="auto"/>
                <w:right w:val="none" w:sz="0" w:space="0" w:color="auto"/>
              </w:divBdr>
              <w:divsChild>
                <w:div w:id="1928269814">
                  <w:marLeft w:val="0"/>
                  <w:marRight w:val="0"/>
                  <w:marTop w:val="0"/>
                  <w:marBottom w:val="0"/>
                  <w:divBdr>
                    <w:top w:val="none" w:sz="0" w:space="0" w:color="auto"/>
                    <w:left w:val="none" w:sz="0" w:space="0" w:color="auto"/>
                    <w:bottom w:val="none" w:sz="0" w:space="0" w:color="auto"/>
                    <w:right w:val="none" w:sz="0" w:space="0" w:color="auto"/>
                  </w:divBdr>
                  <w:divsChild>
                    <w:div w:id="1566991270">
                      <w:marLeft w:val="0"/>
                      <w:marRight w:val="0"/>
                      <w:marTop w:val="0"/>
                      <w:marBottom w:val="0"/>
                      <w:divBdr>
                        <w:top w:val="none" w:sz="0" w:space="0" w:color="auto"/>
                        <w:left w:val="none" w:sz="0" w:space="0" w:color="auto"/>
                        <w:bottom w:val="none" w:sz="0" w:space="0" w:color="auto"/>
                        <w:right w:val="none" w:sz="0" w:space="0" w:color="auto"/>
                      </w:divBdr>
                      <w:divsChild>
                        <w:div w:id="1226798451">
                          <w:marLeft w:val="0"/>
                          <w:marRight w:val="0"/>
                          <w:marTop w:val="0"/>
                          <w:marBottom w:val="0"/>
                          <w:divBdr>
                            <w:top w:val="none" w:sz="0" w:space="0" w:color="auto"/>
                            <w:left w:val="none" w:sz="0" w:space="0" w:color="auto"/>
                            <w:bottom w:val="none" w:sz="0" w:space="0" w:color="auto"/>
                            <w:right w:val="none" w:sz="0" w:space="0" w:color="auto"/>
                          </w:divBdr>
                          <w:divsChild>
                            <w:div w:id="1718965963">
                              <w:marLeft w:val="0"/>
                              <w:marRight w:val="0"/>
                              <w:marTop w:val="0"/>
                              <w:marBottom w:val="0"/>
                              <w:divBdr>
                                <w:top w:val="none" w:sz="0" w:space="0" w:color="auto"/>
                                <w:left w:val="none" w:sz="0" w:space="0" w:color="auto"/>
                                <w:bottom w:val="none" w:sz="0" w:space="0" w:color="auto"/>
                                <w:right w:val="none" w:sz="0" w:space="0" w:color="auto"/>
                              </w:divBdr>
                              <w:divsChild>
                                <w:div w:id="1545949165">
                                  <w:marLeft w:val="0"/>
                                  <w:marRight w:val="0"/>
                                  <w:marTop w:val="0"/>
                                  <w:marBottom w:val="0"/>
                                  <w:divBdr>
                                    <w:top w:val="none" w:sz="0" w:space="0" w:color="auto"/>
                                    <w:left w:val="none" w:sz="0" w:space="0" w:color="auto"/>
                                    <w:bottom w:val="none" w:sz="0" w:space="0" w:color="auto"/>
                                    <w:right w:val="none" w:sz="0" w:space="0" w:color="auto"/>
                                  </w:divBdr>
                                  <w:divsChild>
                                    <w:div w:id="3786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eli/dec_framw/2002/584/oj/eng" TargetMode="External"/><Relationship Id="rId18" Type="http://schemas.openxmlformats.org/officeDocument/2006/relationships/hyperlink" Target="https://hudoc.echr.coe.int/fre?i=001-207757" TargetMode="External"/><Relationship Id="rId26" Type="http://schemas.openxmlformats.org/officeDocument/2006/relationships/hyperlink" Target="https://reliefweb.int/report/bangladesh/argentina-court-issues-arrest-warrants-genocide-and-crimes-against-humanity-committed-against-rohingya-community" TargetMode="External"/><Relationship Id="rId39" Type="http://schemas.openxmlformats.org/officeDocument/2006/relationships/hyperlink" Target="https://iimm.un.org/en/universal-jurisdiction" TargetMode="External"/><Relationship Id="rId21" Type="http://schemas.openxmlformats.org/officeDocument/2006/relationships/hyperlink" Target="https://fra.europa.eu/en/publication/2024/stepping-response-victims-crime" TargetMode="External"/><Relationship Id="rId34" Type="http://schemas.openxmlformats.org/officeDocument/2006/relationships/hyperlink" Target="https://opiniojuris.org/2022/02/25/more-than-rhetoric-international-criminal-justice-crime-semantics-and-the-role-of-the-icc-in-the-ukraine-conflict/" TargetMode="External"/><Relationship Id="rId42" Type="http://schemas.openxmlformats.org/officeDocument/2006/relationships/hyperlink" Target="https://doi.org/10.33251/2707-8620-2021-3-4-166-17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udoc.echr.coe.int/eng?i=001-67820" TargetMode="External"/><Relationship Id="rId29" Type="http://schemas.openxmlformats.org/officeDocument/2006/relationships/hyperlink" Target="https://doi.org/10.1108/JMLC-07-2021-007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4069/AI/2023.67.07.25" TargetMode="External"/><Relationship Id="rId24" Type="http://schemas.openxmlformats.org/officeDocument/2006/relationships/hyperlink" Target="https://www.vox.com/world-politics/350915/icc-arrest-netanyahu-israel-sinwar-hamas-khan-prosecutor-gallant-idf-haniyeh" TargetMode="External"/><Relationship Id="rId32" Type="http://schemas.openxmlformats.org/officeDocument/2006/relationships/hyperlink" Target="https://doi.org/10.24144/2307-3322.2025.88.4.19" TargetMode="External"/><Relationship Id="rId37" Type="http://schemas.openxmlformats.org/officeDocument/2006/relationships/hyperlink" Target="https://europeandemocracyhub.epd.eu/sharpening-the-eus-global-human-rights-sanctions-regime/" TargetMode="External"/><Relationship Id="rId40" Type="http://schemas.openxmlformats.org/officeDocument/2006/relationships/hyperlink" Target="https://digitallibrary.un.org/record/856708?v=pdf"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cchr.eu/en/press-release/syria-verdict-anwar-r/" TargetMode="External"/><Relationship Id="rId23" Type="http://schemas.openxmlformats.org/officeDocument/2006/relationships/hyperlink" Target="https://www.hrw.org/news/2024/11/26/eu-cooperation-international-criminal-court-arrests" TargetMode="External"/><Relationship Id="rId28" Type="http://schemas.openxmlformats.org/officeDocument/2006/relationships/hyperlink" Target="https://www.kmu.gov.ua/en/news/propozytsiia-ievrokomisii-35-mlrd-ievro-makrofinansovoi-dopomohy-dlia-ukrainy-na-bezpovorotnii-osnovi" TargetMode="External"/><Relationship Id="rId36" Type="http://schemas.openxmlformats.org/officeDocument/2006/relationships/hyperlink" Target="https://doi.org/10.1163/15718085-bja10110" TargetMode="External"/><Relationship Id="rId10" Type="http://schemas.openxmlformats.org/officeDocument/2006/relationships/hyperlink" Target="https://doi.org/10.24144/2307-3322.2025.88.4.3" TargetMode="External"/><Relationship Id="rId19" Type="http://schemas.openxmlformats.org/officeDocument/2006/relationships/hyperlink" Target="https://hudoc.echr.coe.int/eng?i=002-13989" TargetMode="External"/><Relationship Id="rId31" Type="http://schemas.openxmlformats.org/officeDocument/2006/relationships/hyperlink" Target="https://dx.doi.org/10.1093/ejil/chp026"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sil.org/ILIB/new-lines-intitute-policy-and-strategy-releases-report-concluding-war-crimes-tigray-war" TargetMode="External"/><Relationship Id="rId14" Type="http://schemas.openxmlformats.org/officeDocument/2006/relationships/hyperlink" Target="https://www.dw.com/en/tigrayan-survivors-seek-justice-in-german-courts/a-72099489" TargetMode="External"/><Relationship Id="rId22" Type="http://schemas.openxmlformats.org/officeDocument/2006/relationships/hyperlink" Target="https://doi.org/10.37635/jnalsu.27(4).2020.161-171" TargetMode="External"/><Relationship Id="rId27" Type="http://schemas.openxmlformats.org/officeDocument/2006/relationships/hyperlink" Target="https://doi.org/10.1093/jicj/mqs081" TargetMode="External"/><Relationship Id="rId30" Type="http://schemas.openxmlformats.org/officeDocument/2006/relationships/hyperlink" Target="https://laws-lois.justice.gc.ca/eng/acts/s-14.5/page-1.html" TargetMode="External"/><Relationship Id="rId35" Type="http://schemas.openxmlformats.org/officeDocument/2006/relationships/hyperlink" Target="https://doi.org/10.1007/s12027-024-00783-y" TargetMode="External"/><Relationship Id="rId43" Type="http://schemas.openxmlformats.org/officeDocument/2006/relationships/footer" Target="footer1.xml"/><Relationship Id="rId8" Type="http://schemas.openxmlformats.org/officeDocument/2006/relationships/hyperlink" Target="https://doi.org/10.17561/tahrj.v25.9536" TargetMode="External"/><Relationship Id="rId3" Type="http://schemas.openxmlformats.org/officeDocument/2006/relationships/styles" Target="styles.xml"/><Relationship Id="rId12" Type="http://schemas.openxmlformats.org/officeDocument/2006/relationships/hyperlink" Target="https://www.justiceinfo.net/en/69008-european-court-2008-war-why-georgia-pleased-russia-sorry.html" TargetMode="External"/><Relationship Id="rId17" Type="http://schemas.openxmlformats.org/officeDocument/2006/relationships/hyperlink" Target="https://hudoc.echr.coe.int/fre?i=001-61886" TargetMode="External"/><Relationship Id="rId25" Type="http://schemas.openxmlformats.org/officeDocument/2006/relationships/hyperlink" Target="https://doi.org/10.32612/uw.27201643.2023.11.4.pp.65-79" TargetMode="External"/><Relationship Id="rId33" Type="http://schemas.openxmlformats.org/officeDocument/2006/relationships/hyperlink" Target="https://doi.org/10.1163/15718123-bja10154" TargetMode="External"/><Relationship Id="rId38" Type="http://schemas.openxmlformats.org/officeDocument/2006/relationships/hyperlink" Target="https://www.ohchr.org/en/instruments-mechanisms/instruments/international-covenant-civil-and-political-rights" TargetMode="External"/><Relationship Id="rId20" Type="http://schemas.openxmlformats.org/officeDocument/2006/relationships/hyperlink" Target="https://www.einnetwork.org/blog-five/2024/9/20/justice-delayed-and-justice-denied-report-on-the-non-implementation-of-european-judgments-and-the-rule-of-law" TargetMode="External"/><Relationship Id="rId41" Type="http://schemas.openxmlformats.org/officeDocument/2006/relationships/hyperlink" Target="https://doi.org/10.1556/2052.2024.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8708A-AC64-4B9F-B79B-1AA7FF50C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15</Pages>
  <Words>9094</Words>
  <Characters>51841</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4</cp:revision>
  <dcterms:created xsi:type="dcterms:W3CDTF">2025-08-30T17:44:00Z</dcterms:created>
  <dcterms:modified xsi:type="dcterms:W3CDTF">2026-05-27T08:52:00Z</dcterms:modified>
</cp:coreProperties>
</file>