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51007" w14:textId="58FEB0EB" w:rsidR="008D7F4B" w:rsidRPr="00E33071" w:rsidRDefault="008D7F4B" w:rsidP="00C90D8E">
      <w:pPr>
        <w:pStyle w:val="NormalWeb"/>
        <w:jc w:val="center"/>
        <w:rPr>
          <w:rStyle w:val="Strong"/>
          <w:sz w:val="32"/>
          <w:szCs w:val="32"/>
        </w:rPr>
      </w:pPr>
      <w:r w:rsidRPr="00E33071">
        <w:rPr>
          <w:rStyle w:val="Strong"/>
          <w:sz w:val="32"/>
          <w:szCs w:val="32"/>
        </w:rPr>
        <w:t xml:space="preserve">Digital Healthcare Transformation: The Role of Telemedicine and Information </w:t>
      </w:r>
      <w:r w:rsidR="00E33071">
        <w:rPr>
          <w:rStyle w:val="Strong"/>
          <w:sz w:val="32"/>
          <w:szCs w:val="32"/>
        </w:rPr>
        <w:t>Systems in Hospital Management d</w:t>
      </w:r>
      <w:r w:rsidRPr="00E33071">
        <w:rPr>
          <w:rStyle w:val="Strong"/>
          <w:sz w:val="32"/>
          <w:szCs w:val="32"/>
        </w:rPr>
        <w:t>uring COVID-19</w:t>
      </w:r>
    </w:p>
    <w:p w14:paraId="07314A98" w14:textId="77777777" w:rsidR="00E33071" w:rsidRPr="009C62E9" w:rsidRDefault="00E33071" w:rsidP="00E33071">
      <w:pPr>
        <w:spacing w:after="0" w:line="240" w:lineRule="auto"/>
        <w:ind w:left="284" w:right="-368"/>
        <w:jc w:val="center"/>
        <w:rPr>
          <w:rFonts w:ascii="Times New Roman" w:hAnsi="Times New Roman" w:cs="Times New Roman"/>
          <w:i/>
          <w:color w:val="000000"/>
        </w:rPr>
      </w:pPr>
      <w:r w:rsidRPr="009C62E9">
        <w:rPr>
          <w:rFonts w:ascii="Times New Roman" w:hAnsi="Times New Roman" w:cs="Times New Roman"/>
          <w:color w:val="000000"/>
        </w:rPr>
        <w:t xml:space="preserve">Ms. S. </w:t>
      </w:r>
      <w:proofErr w:type="spellStart"/>
      <w:r w:rsidRPr="009C62E9">
        <w:rPr>
          <w:rFonts w:ascii="Times New Roman" w:hAnsi="Times New Roman" w:cs="Times New Roman"/>
          <w:color w:val="000000"/>
        </w:rPr>
        <w:t>Indhumathy</w:t>
      </w:r>
      <w:proofErr w:type="spellEnd"/>
      <w:r w:rsidRPr="009C62E9">
        <w:rPr>
          <w:rFonts w:ascii="Times New Roman" w:hAnsi="Times New Roman" w:cs="Times New Roman"/>
          <w:color w:val="000000"/>
        </w:rPr>
        <w:t xml:space="preserve">, </w:t>
      </w:r>
      <w:r w:rsidRPr="009C62E9">
        <w:rPr>
          <w:rFonts w:ascii="Times New Roman" w:hAnsi="Times New Roman" w:cs="Times New Roman"/>
          <w:i/>
          <w:color w:val="000000"/>
        </w:rPr>
        <w:t xml:space="preserve">Research Scholar, </w:t>
      </w:r>
      <w:r w:rsidRPr="009C62E9">
        <w:rPr>
          <w:rFonts w:ascii="Times New Roman" w:hAnsi="Times New Roman" w:cs="Times New Roman"/>
          <w:i/>
          <w:color w:val="000000"/>
        </w:rPr>
        <w:br/>
        <w:t xml:space="preserve">School of Management and Commerce, </w:t>
      </w:r>
    </w:p>
    <w:p w14:paraId="09075308" w14:textId="0CD1AF3E" w:rsidR="00E33071" w:rsidRPr="009C62E9" w:rsidRDefault="00E33071" w:rsidP="00E33071">
      <w:pPr>
        <w:spacing w:after="0" w:line="240" w:lineRule="auto"/>
        <w:ind w:left="284" w:right="-368"/>
        <w:jc w:val="center"/>
        <w:rPr>
          <w:rFonts w:ascii="Times New Roman" w:hAnsi="Times New Roman" w:cs="Times New Roman"/>
          <w:color w:val="000000"/>
        </w:rPr>
      </w:pPr>
      <w:r w:rsidRPr="009C62E9">
        <w:rPr>
          <w:rFonts w:ascii="Times New Roman" w:hAnsi="Times New Roman" w:cs="Times New Roman"/>
          <w:i/>
          <w:color w:val="000000"/>
        </w:rPr>
        <w:t>Bharath Institute of Higher Education and Research</w:t>
      </w:r>
      <w:r>
        <w:rPr>
          <w:rFonts w:ascii="Times New Roman" w:hAnsi="Times New Roman" w:cs="Times New Roman"/>
          <w:i/>
          <w:color w:val="000000"/>
        </w:rPr>
        <w:t xml:space="preserve">, </w:t>
      </w:r>
      <w:r w:rsidRPr="0032428B">
        <w:rPr>
          <w:rFonts w:ascii="Times New Roman" w:hAnsi="Times New Roman" w:cs="Times New Roman"/>
          <w:i/>
          <w:color w:val="000000"/>
        </w:rPr>
        <w:t>Chennai, India</w:t>
      </w:r>
    </w:p>
    <w:p w14:paraId="0DAED515" w14:textId="79091B04" w:rsidR="00E33071" w:rsidRPr="00295351" w:rsidRDefault="00E33071" w:rsidP="000851D6">
      <w:pPr>
        <w:pStyle w:val="NormalWeb"/>
        <w:spacing w:before="0" w:beforeAutospacing="0"/>
        <w:jc w:val="center"/>
        <w:rPr>
          <w:rStyle w:val="Hyperlink"/>
          <w:i/>
          <w:iCs/>
        </w:rPr>
      </w:pPr>
      <w:hyperlink r:id="rId6" w:history="1">
        <w:r w:rsidRPr="00295351">
          <w:rPr>
            <w:rStyle w:val="Hyperlink"/>
            <w:i/>
            <w:iCs/>
          </w:rPr>
          <w:t>sim2907@gmail.com</w:t>
        </w:r>
      </w:hyperlink>
    </w:p>
    <w:p w14:paraId="67D983BD" w14:textId="77777777" w:rsidR="00216C6E" w:rsidRDefault="00216C6E" w:rsidP="00216C6E">
      <w:pPr>
        <w:spacing w:after="0" w:line="240" w:lineRule="auto"/>
        <w:ind w:left="284" w:right="-368"/>
        <w:jc w:val="center"/>
        <w:rPr>
          <w:rFonts w:ascii="Times New Roman" w:hAnsi="Times New Roman" w:cs="Times New Roman"/>
          <w:color w:val="000000"/>
        </w:rPr>
      </w:pPr>
      <w:r w:rsidRPr="004A6EB3">
        <w:rPr>
          <w:rFonts w:ascii="Times New Roman" w:hAnsi="Times New Roman" w:cs="Times New Roman"/>
          <w:color w:val="000000"/>
        </w:rPr>
        <w:t>Dr.</w:t>
      </w:r>
      <w:r>
        <w:rPr>
          <w:rFonts w:ascii="Times New Roman" w:hAnsi="Times New Roman" w:cs="Times New Roman"/>
          <w:color w:val="000000"/>
        </w:rPr>
        <w:t xml:space="preserve"> </w:t>
      </w:r>
      <w:r w:rsidRPr="004A6EB3">
        <w:rPr>
          <w:rFonts w:ascii="Times New Roman" w:hAnsi="Times New Roman" w:cs="Times New Roman"/>
          <w:color w:val="000000"/>
        </w:rPr>
        <w:t>A. Balamurugan</w:t>
      </w:r>
      <w:r>
        <w:rPr>
          <w:rFonts w:ascii="Times New Roman" w:hAnsi="Times New Roman" w:cs="Times New Roman"/>
          <w:color w:val="000000"/>
        </w:rPr>
        <w:t xml:space="preserve">, </w:t>
      </w:r>
      <w:r w:rsidRPr="004A6EB3">
        <w:rPr>
          <w:rFonts w:ascii="Times New Roman" w:hAnsi="Times New Roman" w:cs="Times New Roman"/>
          <w:i/>
          <w:color w:val="000000"/>
        </w:rPr>
        <w:t>Professor,</w:t>
      </w:r>
    </w:p>
    <w:p w14:paraId="1E9FEA8A" w14:textId="77777777" w:rsidR="00216C6E" w:rsidRPr="009C62E9" w:rsidRDefault="00216C6E" w:rsidP="00216C6E">
      <w:pPr>
        <w:spacing w:after="0" w:line="240" w:lineRule="auto"/>
        <w:ind w:left="284" w:right="-368"/>
        <w:jc w:val="center"/>
        <w:rPr>
          <w:rFonts w:ascii="Times New Roman" w:hAnsi="Times New Roman" w:cs="Times New Roman"/>
          <w:i/>
          <w:color w:val="000000"/>
        </w:rPr>
      </w:pPr>
      <w:r w:rsidRPr="009C62E9">
        <w:rPr>
          <w:rFonts w:ascii="Times New Roman" w:hAnsi="Times New Roman" w:cs="Times New Roman"/>
          <w:i/>
          <w:color w:val="000000"/>
        </w:rPr>
        <w:t xml:space="preserve">School of Management and Commerce, </w:t>
      </w:r>
    </w:p>
    <w:p w14:paraId="1CE7133B" w14:textId="77F573CA" w:rsidR="00216C6E" w:rsidRDefault="00216C6E" w:rsidP="00216C6E">
      <w:pPr>
        <w:pStyle w:val="NormalWeb"/>
        <w:spacing w:before="0" w:beforeAutospacing="0" w:after="0" w:afterAutospacing="0"/>
        <w:jc w:val="center"/>
        <w:rPr>
          <w:i/>
          <w:color w:val="000000"/>
        </w:rPr>
      </w:pPr>
      <w:r w:rsidRPr="009C62E9">
        <w:rPr>
          <w:i/>
          <w:color w:val="000000"/>
        </w:rPr>
        <w:t>Bharath Institute of Higher Education and Research</w:t>
      </w:r>
      <w:r>
        <w:rPr>
          <w:i/>
          <w:color w:val="000000"/>
        </w:rPr>
        <w:t xml:space="preserve">, </w:t>
      </w:r>
      <w:r w:rsidRPr="0032428B">
        <w:rPr>
          <w:i/>
          <w:color w:val="000000"/>
        </w:rPr>
        <w:t>Chennai, India</w:t>
      </w:r>
    </w:p>
    <w:p w14:paraId="18D746E5" w14:textId="627ABD78" w:rsidR="00216C6E" w:rsidRPr="00295351" w:rsidRDefault="00216C6E" w:rsidP="00216C6E">
      <w:pPr>
        <w:pStyle w:val="NormalWeb"/>
        <w:spacing w:before="0" w:beforeAutospacing="0"/>
        <w:jc w:val="center"/>
        <w:rPr>
          <w:rStyle w:val="Hyperlink"/>
          <w:i/>
          <w:iCs/>
        </w:rPr>
      </w:pPr>
      <w:r w:rsidRPr="00295351">
        <w:rPr>
          <w:rStyle w:val="Hyperlink"/>
          <w:i/>
          <w:iCs/>
        </w:rPr>
        <w:t>balamurugan.thm@bharathuniv.ac.in</w:t>
      </w:r>
    </w:p>
    <w:p w14:paraId="475741B6" w14:textId="573A9F5E" w:rsidR="008D7F4B" w:rsidRPr="008D7F4B" w:rsidRDefault="00CC263E" w:rsidP="008D7F4B">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0B43EB">
        <w:rPr>
          <w:rStyle w:val="Strong"/>
          <w:rFonts w:ascii="Times New Roman" w:hAnsi="Times New Roman" w:cs="Times New Roman"/>
        </w:rPr>
        <w:t>ABSTRACT:</w:t>
      </w:r>
    </w:p>
    <w:p w14:paraId="7980BE14" w14:textId="77777777" w:rsidR="008D7F4B" w:rsidRPr="008D7F4B" w:rsidRDefault="008D7F4B" w:rsidP="00C90D8E">
      <w:pPr>
        <w:spacing w:before="100" w:beforeAutospacing="1" w:after="100" w:afterAutospacing="1" w:line="240" w:lineRule="auto"/>
        <w:jc w:val="both"/>
        <w:rPr>
          <w:rFonts w:ascii="Times New Roman" w:eastAsia="Times New Roman" w:hAnsi="Times New Roman" w:cs="Times New Roman"/>
          <w:kern w:val="0"/>
        </w:rPr>
      </w:pPr>
      <w:r w:rsidRPr="008D7F4B">
        <w:rPr>
          <w:rFonts w:ascii="Times New Roman" w:eastAsia="Times New Roman" w:hAnsi="Times New Roman" w:cs="Times New Roman"/>
          <w:kern w:val="0"/>
        </w:rPr>
        <w:t>The COVID-19 pandemic acted as a catalyst for rapid digital transformation in the healthcare sector, necessitating the swift adoption of innovative technologies to manage the crisis. This study explores the pivotal role of telemedicine and healthcare information systems (HIS) in hospital management during the pandemic. With physical distancing norms and overburdened medical infrastructure, telemedicine emerged as a key solution to ensure continuous patient care, remote consultations, and efficient triage. Meanwhile, integrated information systems supported data sharing, real-time surveillance, and resource allocation across departments and hospitals. The research analyzes how hospitals leveraged digital tools to maintain service delivery, enhance emergency response, and ensure clinical efficiency. It also examines the challenges encountered in implementation, such as digital literacy gaps, data security concerns, and infrastructure limitations. The findings underscore that a resilient and tech-enabled healthcare ecosystem is crucial for future health emergencies. The study concludes by recommending strategic investments in digital infrastructure and training to sustain and scale these innovations beyond the pandemic.</w:t>
      </w:r>
    </w:p>
    <w:p w14:paraId="5B08F2BC" w14:textId="50AA894F" w:rsidR="008D7F4B" w:rsidRPr="008D7F4B" w:rsidRDefault="00B2514E" w:rsidP="008D7F4B">
      <w:pPr>
        <w:spacing w:before="100" w:beforeAutospacing="1" w:after="100" w:afterAutospacing="1" w:line="240" w:lineRule="auto"/>
        <w:rPr>
          <w:rFonts w:ascii="Times New Roman" w:eastAsia="Times New Roman" w:hAnsi="Times New Roman" w:cs="Times New Roman"/>
          <w:kern w:val="0"/>
        </w:rPr>
      </w:pPr>
      <w:r w:rsidRPr="008D7F4B">
        <w:rPr>
          <w:rFonts w:ascii="Times New Roman" w:eastAsia="Times New Roman" w:hAnsi="Times New Roman" w:cs="Times New Roman"/>
          <w:b/>
          <w:bCs/>
          <w:kern w:val="0"/>
        </w:rPr>
        <w:t>KEYWORDS:</w:t>
      </w:r>
      <w:r w:rsidR="008D7F4B" w:rsidRPr="008D7F4B">
        <w:rPr>
          <w:rFonts w:ascii="Times New Roman" w:eastAsia="Times New Roman" w:hAnsi="Times New Roman" w:cs="Times New Roman"/>
          <w:kern w:val="0"/>
        </w:rPr>
        <w:br/>
        <w:t>Digital healthcare, telemedicine, hospital management, COVID-19, healthcare information systems, digital transformation, emergency response, remote patient care</w:t>
      </w:r>
    </w:p>
    <w:p w14:paraId="0154FEAD" w14:textId="6A321F5C" w:rsidR="008D7F4B" w:rsidRPr="008D7F4B" w:rsidRDefault="00AB1803" w:rsidP="008D7F4B">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8D7F4B">
        <w:rPr>
          <w:rFonts w:ascii="Times New Roman" w:eastAsia="Times New Roman" w:hAnsi="Times New Roman" w:cs="Times New Roman"/>
          <w:b/>
          <w:bCs/>
          <w:kern w:val="0"/>
          <w:sz w:val="27"/>
          <w:szCs w:val="27"/>
        </w:rPr>
        <w:t>INTRODUCTION</w:t>
      </w:r>
      <w:r w:rsidR="008D7F4B" w:rsidRPr="008D7F4B">
        <w:rPr>
          <w:rFonts w:ascii="Times New Roman" w:eastAsia="Times New Roman" w:hAnsi="Times New Roman" w:cs="Times New Roman"/>
          <w:b/>
          <w:bCs/>
          <w:kern w:val="0"/>
          <w:sz w:val="27"/>
          <w:szCs w:val="27"/>
        </w:rPr>
        <w:t>:</w:t>
      </w:r>
    </w:p>
    <w:p w14:paraId="34BAE74C" w14:textId="77777777" w:rsidR="008D7F4B" w:rsidRPr="008D7F4B" w:rsidRDefault="00BC5D73" w:rsidP="00C90D8E">
      <w:pPr>
        <w:spacing w:before="100" w:beforeAutospacing="1" w:after="100" w:afterAutospacing="1" w:line="240" w:lineRule="auto"/>
        <w:jc w:val="both"/>
        <w:rPr>
          <w:rFonts w:ascii="Times New Roman" w:eastAsia="Times New Roman" w:hAnsi="Times New Roman" w:cs="Times New Roman"/>
          <w:kern w:val="0"/>
        </w:rPr>
      </w:pPr>
      <w:r>
        <w:rPr>
          <w:rFonts w:ascii="Times New Roman" w:eastAsia="Times New Roman" w:hAnsi="Times New Roman" w:cs="Times New Roman"/>
          <w:kern w:val="0"/>
        </w:rPr>
        <w:fldChar w:fldCharType="begin" w:fldLock="1"/>
      </w:r>
      <w:r>
        <w:rPr>
          <w:rFonts w:ascii="Times New Roman" w:eastAsia="Times New Roman" w:hAnsi="Times New Roman" w:cs="Times New Roman"/>
          <w:kern w:val="0"/>
        </w:rPr>
        <w:instrText>ADDIN CSL_CITATION {"citationItems":[{"id":"ITEM-1","itemData":{"DOI":"10.1038/s41591-022-02125-2","author":[{"dropping-particle":"","family":"Teo","given":"Zhen Ling","non-dropping-particle":"","parse-names":false,"suffix":""},{"dropping-particle":"","family":"Ting","given":"Daniel Shu Wei","non-dropping-particle":"","parse-names":false,"suffix":""}],"container-title":"Nature Network Boston","id":"ITEM-1","issued":{"date-parts":[["2023"]]},"title":"Non-fungible tokens for the management of health data","type":"article-journal"},"uris":["http://www.mendeley.com/documents/?uuid=10ad6ae1-0dd9-4d44-b34a-375f3e98bb2d"]}],"mendeley":{"formattedCitation":"[1]","plainTextFormattedCitation":"[1]","previouslyFormattedCitation":"[1]"},"properties":{"noteIndex":0},"schema":"https://github.com/citation-style-language/schema/raw/master/csl-citation.json"}</w:instrText>
      </w:r>
      <w:r>
        <w:rPr>
          <w:rFonts w:ascii="Times New Roman" w:eastAsia="Times New Roman" w:hAnsi="Times New Roman" w:cs="Times New Roman"/>
          <w:kern w:val="0"/>
        </w:rPr>
        <w:fldChar w:fldCharType="separate"/>
      </w:r>
      <w:r w:rsidRPr="00BC5D73">
        <w:rPr>
          <w:rFonts w:ascii="Times New Roman" w:eastAsia="Times New Roman" w:hAnsi="Times New Roman" w:cs="Times New Roman"/>
          <w:noProof/>
          <w:kern w:val="0"/>
        </w:rPr>
        <w:t>[1]</w:t>
      </w:r>
      <w:r>
        <w:rPr>
          <w:rFonts w:ascii="Times New Roman" w:eastAsia="Times New Roman" w:hAnsi="Times New Roman" w:cs="Times New Roman"/>
          <w:kern w:val="0"/>
        </w:rPr>
        <w:fldChar w:fldCharType="end"/>
      </w:r>
      <w:r w:rsidR="008D7F4B" w:rsidRPr="008D7F4B">
        <w:rPr>
          <w:rFonts w:ascii="Times New Roman" w:eastAsia="Times New Roman" w:hAnsi="Times New Roman" w:cs="Times New Roman"/>
          <w:kern w:val="0"/>
        </w:rPr>
        <w:t>The COVID-19 pandemic marked a turning point for global healthcare systems, triggering an unprecedented wave of digital transformation. Hospitals, already strained by surging patient numbers and limited resources, faced immense pressure to adapt quickly.</w:t>
      </w:r>
      <w:r>
        <w:rPr>
          <w:rFonts w:ascii="Times New Roman" w:eastAsia="Times New Roman" w:hAnsi="Times New Roman" w:cs="Times New Roman"/>
          <w:kern w:val="0"/>
        </w:rPr>
        <w:fldChar w:fldCharType="begin" w:fldLock="1"/>
      </w:r>
      <w:r>
        <w:rPr>
          <w:rFonts w:ascii="Times New Roman" w:eastAsia="Times New Roman" w:hAnsi="Times New Roman" w:cs="Times New Roman"/>
          <w:kern w:val="0"/>
        </w:rPr>
        <w:instrText>ADDIN CSL_CITATION {"citationItems":[{"id":"ITEM-1","itemData":{"DOI":"10.1177/09514848241309285","abstract":"BACKGROUND Traditional hospital management responses during the coronavirus disease 2019 (COVID-19) pandemic proved ineffective, particularly considering the pre-existing challenges in healthcare systems. The study examines hospital management challenges during the COVID-19 pandemic, transforming their lived experiences into a conceptual approach to prevent repetition and benefit health planners and policymakers in future crises and normal times.   METHODS This qualitative study utilized the grounded theory methodology, conducting in-depth interviews with 12 hospital administrators from seven major referral hospitals in Shiraz, Bushehr, and Tehran, focusing on COVID-19 patients' complex conditions. The participants had a mean age of 46.6 ± 8.8 years. Data analysis was conducted using the grounded theory (Straussian approach).   RESULTS A total of 98 subthemes and 25 themes were identified during the data analysis process. Using axial and selective coding, we found that in the presence of contextual and causal conditions, the lack of hospital resilience was recognized as the core theme in the final model. Intervening conditions, strategies to overcome the challenges of hospital management, and the outcomes were identified.   CONCLUSIONS Iranian hospital administrators dealing with COVID-19 recognize the lack of hospital resilience as their main management obstacle. Non-resilient hospitals' response to crises with new management strategies can fail due to insufficient documentation and information sharing, leading to persistent problems. Prioritizing evidence-based strategies and sharing successful approaches from other healthcare systems can improve resilience. Nationwide guidelines will ensure equitable patient treatment and reduce lawsuits against physicians for resource-efficient use. Hospital resilience implementation in real-world settings is widely sought for evidence.","author":[{"dropping-particle":"","family":"Ghahramani","given":"Sulmaz","non-dropping-particle":"","parse-names":false,"suffix":""},{"dropping-particle":"","family":"Lankarani","given":"K Bagheri","non-dropping-particle":"","parse-names":false,"suffix":""},{"dropping-particle":"","family":"Zakeri","given":"Mohammadreza","non-dropping-particle":"","parse-names":false,"suffix":""},{"dropping-particle":"","family":"Ghahramani","given":"Sahar","non-dropping-particle":"","parse-names":false,"suffix":""},{"dropping-particle":"","family":"Shojaei","given":"Payam","non-dropping-particle":"","parse-names":false,"suffix":""}],"container-title":"Health Services Management Research","id":"ITEM-1","issued":{"date-parts":[["2024"]]},"title":"Lack of hospital resilience as the main challenge of hospital management during the COVID-19 pandemic: A grounded theory study.","type":"article-journal"},"uris":["http://www.mendeley.com/documents/?uuid=087cdbc2-4b4e-440a-8595-7989e8039263"]}],"mendeley":{"formattedCitation":"[2]","plainTextFormattedCitation":"[2]","previouslyFormattedCitation":"[2]"},"properties":{"noteIndex":0},"schema":"https://github.com/citation-style-language/schema/raw/master/csl-citation.json"}</w:instrText>
      </w:r>
      <w:r>
        <w:rPr>
          <w:rFonts w:ascii="Times New Roman" w:eastAsia="Times New Roman" w:hAnsi="Times New Roman" w:cs="Times New Roman"/>
          <w:kern w:val="0"/>
        </w:rPr>
        <w:fldChar w:fldCharType="separate"/>
      </w:r>
      <w:r w:rsidRPr="00BC5D73">
        <w:rPr>
          <w:rFonts w:ascii="Times New Roman" w:eastAsia="Times New Roman" w:hAnsi="Times New Roman" w:cs="Times New Roman"/>
          <w:noProof/>
          <w:kern w:val="0"/>
        </w:rPr>
        <w:t>[2]</w:t>
      </w:r>
      <w:r>
        <w:rPr>
          <w:rFonts w:ascii="Times New Roman" w:eastAsia="Times New Roman" w:hAnsi="Times New Roman" w:cs="Times New Roman"/>
          <w:kern w:val="0"/>
        </w:rPr>
        <w:fldChar w:fldCharType="end"/>
      </w:r>
      <w:r w:rsidR="008D7F4B" w:rsidRPr="008D7F4B">
        <w:rPr>
          <w:rFonts w:ascii="Times New Roman" w:eastAsia="Times New Roman" w:hAnsi="Times New Roman" w:cs="Times New Roman"/>
          <w:kern w:val="0"/>
        </w:rPr>
        <w:t xml:space="preserve"> Traditional models of care were disrupted, and digital technologies—once considered supplementary—suddenly became central to healthcare delivery. </w:t>
      </w:r>
      <w:r>
        <w:rPr>
          <w:rFonts w:ascii="Times New Roman" w:eastAsia="Times New Roman" w:hAnsi="Times New Roman" w:cs="Times New Roman"/>
          <w:kern w:val="0"/>
        </w:rPr>
        <w:fldChar w:fldCharType="begin" w:fldLock="1"/>
      </w:r>
      <w:r>
        <w:rPr>
          <w:rFonts w:ascii="Times New Roman" w:eastAsia="Times New Roman" w:hAnsi="Times New Roman" w:cs="Times New Roman"/>
          <w:kern w:val="0"/>
        </w:rPr>
        <w:instrText>ADDIN CSL_CITATION {"citationItems":[{"id":"ITEM-1","itemData":{"DOI":"10.4018/jdm.360708","abstract":"With COVID-19-led business disruption and businesses expediting their move towards digital transformation, Industry experts observed a phenomenon of increased adoption of Open Source Software and database management systems to digitalize the business while keeping costs low. This research has studied this phenomenon using a three-step approach: using the collective intelligence of Twitter without the context of COVID-19, Twitter data with the context of COVID-19, and empirical validation with actual monthly downloads data of open source projects from SourceForge in Pre-COVID and COVID-19 time periods. The research finds that although the COVID-19 pandemic has triggered a digital transformation and the use of database management systems in many organizations, but there is no statistically significant increased use that can be attributed to a crisis response due to the pandemic.","author":[{"dropping-particle":"","family":"Panda","given":"Deepak Kumar","non-dropping-particle":"","parse-names":false,"suffix":""},{"dropping-particle":"","family":"Panigrahi","given":"P","non-dropping-particle":"","parse-names":false,"suffix":""},{"dropping-particle":"","family":"Attar","given":"R","non-dropping-particle":"","parse-names":false,"suffix":""},{"dropping-particle":"","family":"Gupta","given":"B","non-dropping-particle":"","parse-names":false,"suffix":""}],"container-title":"Journal of Database Management","id":"ITEM-1","issued":{"date-parts":[["2024"]]},"title":"Open Source Adoption for Digital Transformation and Data Management During the COVID-19 Crisis","type":"article-journal"},"uris":["http://www.mendeley.com/documents/?uuid=3cba445c-53ac-49b9-980c-0b8f8577f9d8"]}],"mendeley":{"formattedCitation":"[3]","plainTextFormattedCitation":"[3]","previouslyFormattedCitation":"[3]"},"properties":{"noteIndex":0},"schema":"https://github.com/citation-style-language/schema/raw/master/csl-citation.json"}</w:instrText>
      </w:r>
      <w:r>
        <w:rPr>
          <w:rFonts w:ascii="Times New Roman" w:eastAsia="Times New Roman" w:hAnsi="Times New Roman" w:cs="Times New Roman"/>
          <w:kern w:val="0"/>
        </w:rPr>
        <w:fldChar w:fldCharType="separate"/>
      </w:r>
      <w:r w:rsidRPr="00BC5D73">
        <w:rPr>
          <w:rFonts w:ascii="Times New Roman" w:eastAsia="Times New Roman" w:hAnsi="Times New Roman" w:cs="Times New Roman"/>
          <w:noProof/>
          <w:kern w:val="0"/>
        </w:rPr>
        <w:t>[3]</w:t>
      </w:r>
      <w:r>
        <w:rPr>
          <w:rFonts w:ascii="Times New Roman" w:eastAsia="Times New Roman" w:hAnsi="Times New Roman" w:cs="Times New Roman"/>
          <w:kern w:val="0"/>
        </w:rPr>
        <w:fldChar w:fldCharType="end"/>
      </w:r>
      <w:r w:rsidR="008D7F4B" w:rsidRPr="008D7F4B">
        <w:rPr>
          <w:rFonts w:ascii="Times New Roman" w:eastAsia="Times New Roman" w:hAnsi="Times New Roman" w:cs="Times New Roman"/>
          <w:kern w:val="0"/>
        </w:rPr>
        <w:t>Among the most transformative of these were telemedicine platforms and healthcare information systems (HIS), which enabled hospitals to maintain continuity of care, streamline operations, and respond rapidly to evolving clinical demands.</w:t>
      </w:r>
    </w:p>
    <w:p w14:paraId="01482E26" w14:textId="77777777" w:rsidR="008D7F4B" w:rsidRPr="008D7F4B" w:rsidRDefault="00BC5D73" w:rsidP="00C90D8E">
      <w:pPr>
        <w:spacing w:before="100" w:beforeAutospacing="1" w:after="100" w:afterAutospacing="1" w:line="240" w:lineRule="auto"/>
        <w:jc w:val="both"/>
        <w:rPr>
          <w:rFonts w:ascii="Times New Roman" w:eastAsia="Times New Roman" w:hAnsi="Times New Roman" w:cs="Times New Roman"/>
          <w:kern w:val="0"/>
        </w:rPr>
      </w:pPr>
      <w:r>
        <w:rPr>
          <w:rFonts w:ascii="Times New Roman" w:eastAsia="Times New Roman" w:hAnsi="Times New Roman" w:cs="Times New Roman"/>
          <w:kern w:val="0"/>
        </w:rPr>
        <w:lastRenderedPageBreak/>
        <w:fldChar w:fldCharType="begin" w:fldLock="1"/>
      </w:r>
      <w:r>
        <w:rPr>
          <w:rFonts w:ascii="Times New Roman" w:eastAsia="Times New Roman" w:hAnsi="Times New Roman" w:cs="Times New Roman"/>
          <w:kern w:val="0"/>
        </w:rPr>
        <w:instrText>ADDIN CSL_CITATION {"citationItems":[{"id":"ITEM-1","itemData":{"DOI":"10.1080/00207543.2024.2334420","abstract":"Supply chain resilience is on the agenda of academia and industry like never before. One strong instigator for this phenomenon has been the COVID-19 pandemic, which opened the era of global uncertainties and vulnerabilities. In this paper, we analyse the transformation of supply chain resilience research through the COVID-19 pandemic. Methodologically, we use a hybrid approach based on a combination of elements of a bibliometric and expert analysis to compare the main topics of resilience research before, during, and after the pandemic. Along with an expected observation about an exponential growth of literature on supply chain resilience in and after 2020, we observe a major shift from preparedness and disruption predictions in the pre-pandemic literature towards recovery and proactive adaptation in the pandemic and post-pandemic research. Our analysis systematically reveals some new topics, management practices, and future research areas in supply chain resilience. In particular, digital technology, supply chain viability, the cross-industry ripple effect, and intertwined networks have become new and impactful research areas during the COVID-19 pandemic. Further developments of these topics are expected to be continued in future. Managerial and theoretical implications of the said developments conclude this paper.","author":[{"dropping-particle":"","family":"Ivanov","given":"Dmitry A","non-dropping-particle":"","parse-names":false,"suffix":""}],"container-title":"International Journal of Production Research","id":"ITEM-1","issued":{"date-parts":[["2024"]]},"title":"Transformation of supply chain resilience research through the COVID-19 pandemic","type":"article-journal"},"uris":["http://www.mendeley.com/documents/?uuid=35e00368-1419-4701-a9ac-0282ab0347cb"]}],"mendeley":{"formattedCitation":"[4]","plainTextFormattedCitation":"[4]","previouslyFormattedCitation":"[4]"},"properties":{"noteIndex":0},"schema":"https://github.com/citation-style-language/schema/raw/master/csl-citation.json"}</w:instrText>
      </w:r>
      <w:r>
        <w:rPr>
          <w:rFonts w:ascii="Times New Roman" w:eastAsia="Times New Roman" w:hAnsi="Times New Roman" w:cs="Times New Roman"/>
          <w:kern w:val="0"/>
        </w:rPr>
        <w:fldChar w:fldCharType="separate"/>
      </w:r>
      <w:r w:rsidRPr="00BC5D73">
        <w:rPr>
          <w:rFonts w:ascii="Times New Roman" w:eastAsia="Times New Roman" w:hAnsi="Times New Roman" w:cs="Times New Roman"/>
          <w:noProof/>
          <w:kern w:val="0"/>
        </w:rPr>
        <w:t>[4]</w:t>
      </w:r>
      <w:r>
        <w:rPr>
          <w:rFonts w:ascii="Times New Roman" w:eastAsia="Times New Roman" w:hAnsi="Times New Roman" w:cs="Times New Roman"/>
          <w:kern w:val="0"/>
        </w:rPr>
        <w:fldChar w:fldCharType="end"/>
      </w:r>
      <w:r w:rsidR="008D7F4B" w:rsidRPr="008D7F4B">
        <w:rPr>
          <w:rFonts w:ascii="Times New Roman" w:eastAsia="Times New Roman" w:hAnsi="Times New Roman" w:cs="Times New Roman"/>
          <w:kern w:val="0"/>
        </w:rPr>
        <w:t xml:space="preserve">Telemedicine, once primarily used for rural outreach or specialist consultations, became a mainstream tool during the crisis. It facilitated remote patient-doctor interactions, reduced the risk of viral transmission, and alleviated the burden on physical facilities. </w:t>
      </w:r>
      <w:r>
        <w:rPr>
          <w:rFonts w:ascii="Times New Roman" w:eastAsia="Times New Roman" w:hAnsi="Times New Roman" w:cs="Times New Roman"/>
          <w:kern w:val="0"/>
        </w:rPr>
        <w:fldChar w:fldCharType="begin" w:fldLock="1"/>
      </w:r>
      <w:r>
        <w:rPr>
          <w:rFonts w:ascii="Times New Roman" w:eastAsia="Times New Roman" w:hAnsi="Times New Roman" w:cs="Times New Roman"/>
          <w:kern w:val="0"/>
        </w:rPr>
        <w:instrText>ADDIN CSL_CITATION {"citationItems":[{"id":"ITEM-1","itemData":{"DOI":"10.3390/ijerph191912963","abstract":"The outbreak of the COVID-19 pandemic posed an immediate challenge to the management of hospitals in Germany and elsewhere. The risk of stress for front-line healthcare professionals forced occupational health and safety units to adopt a variety of protective measures, not all of which have been thoroughly validated. The main objective of the present analysis is to assess what the most important sources of stress were and which of the protective measures applied to counteract stress among healthcare staff had the greatest impact. A better understanding of these factors will improve hospital management and worker safety in a future health crisis situation and may also prove to be beneficial in non-crisis situations. For this purpose, in 2020, an exploratory, cross-sectional and quantitative study using a questionnaire created for this purpose was carried out on a total of 198 professionals-133 nurses and 65 physicians-at the Klinikum Mittelbaden Balg hospital in Baden-Baden, Germany, during the first wave of the pandemic. Statistical analyses showed that nurses suffer more stress than physicians and that stress is higher among professionals in critical care and emergency units than in units that are less exposed to infected patients. It was also found that measures such as salary incentives, encouragement of work in well-integrated teams, and perceived support from hospital management mitigate stress. These findings highlight the importance of support measures from management and superiors. Knowing the actual effectiveness of the measures applied by management and the factors mentioned above could help to protect healthcare professionals in the event of another pandemic or similar situations and may still be of value in dealing with the continuing COVID-19 pandemic.","author":[{"dropping-particle":"","family":"Herraiz-Recuenco","given":"Lourdes","non-dropping-particle":"","parse-names":false,"suffix":""},{"dropping-particle":"","family":"Herraiz-Recuenco","given":"Lourdes","non-dropping-particle":"","parse-names":false,"suffix":""},{"dropping-particle":"","family":"Alonso-Martínez","given":"Laura","non-dropping-particle":"","parse-names":false,"suffix":""},{"dropping-particle":"","family":"Alonso-Martínez","given":"Laura","non-dropping-particle":"","parse-names":false,"suffix":""},{"dropping-particle":"","family":"Hannich-Schneider","given":"Susanne","non-dropping-particle":"","parse-names":false,"suffix":""},{"dropping-particle":"","family":"Hannich-Schneider","given":"Susanne","non-dropping-particle":"","parse-names":false,"suffix":""},{"dropping-particle":"","family":"Alcaraz","given":"Jesús Puente","non-dropping-particle":"","parse-names":false,"suffix":""},{"dropping-particle":"","family":"Alcaraz","given":"J","non-dropping-particle":"","parse-names":false,"suffix":""}],"container-title":"International Journal of Environmental Research and Public Health","id":"ITEM-1","issued":{"date-parts":[["2022"]]},"title":"Causes of Stress among Healthcare Professionals and Successful Hospital Management Approaches to Mitigate It during the COVID-19 Pandemic: A Cross-Sectional Study","type":"article-journal"},"uris":["http://www.mendeley.com/documents/?uuid=db7929ce-9bbb-43bf-ad96-70bb4a4edcd8"]}],"mendeley":{"formattedCitation":"[5]","plainTextFormattedCitation":"[5]","previouslyFormattedCitation":"[5]"},"properties":{"noteIndex":0},"schema":"https://github.com/citation-style-language/schema/raw/master/csl-citation.json"}</w:instrText>
      </w:r>
      <w:r>
        <w:rPr>
          <w:rFonts w:ascii="Times New Roman" w:eastAsia="Times New Roman" w:hAnsi="Times New Roman" w:cs="Times New Roman"/>
          <w:kern w:val="0"/>
        </w:rPr>
        <w:fldChar w:fldCharType="separate"/>
      </w:r>
      <w:r w:rsidRPr="00BC5D73">
        <w:rPr>
          <w:rFonts w:ascii="Times New Roman" w:eastAsia="Times New Roman" w:hAnsi="Times New Roman" w:cs="Times New Roman"/>
          <w:noProof/>
          <w:kern w:val="0"/>
        </w:rPr>
        <w:t>[5]</w:t>
      </w:r>
      <w:r>
        <w:rPr>
          <w:rFonts w:ascii="Times New Roman" w:eastAsia="Times New Roman" w:hAnsi="Times New Roman" w:cs="Times New Roman"/>
          <w:kern w:val="0"/>
        </w:rPr>
        <w:fldChar w:fldCharType="end"/>
      </w:r>
      <w:r w:rsidR="008D7F4B" w:rsidRPr="008D7F4B">
        <w:rPr>
          <w:rFonts w:ascii="Times New Roman" w:eastAsia="Times New Roman" w:hAnsi="Times New Roman" w:cs="Times New Roman"/>
          <w:kern w:val="0"/>
        </w:rPr>
        <w:t xml:space="preserve">Virtual consultations, e-prescriptions, and mobile health applications expanded access to healthcare, particularly for non-critical patients and those in quarantine. </w:t>
      </w:r>
      <w:r>
        <w:rPr>
          <w:rFonts w:ascii="Times New Roman" w:eastAsia="Times New Roman" w:hAnsi="Times New Roman" w:cs="Times New Roman"/>
          <w:kern w:val="0"/>
        </w:rPr>
        <w:fldChar w:fldCharType="begin" w:fldLock="1"/>
      </w:r>
      <w:r>
        <w:rPr>
          <w:rFonts w:ascii="Times New Roman" w:eastAsia="Times New Roman" w:hAnsi="Times New Roman" w:cs="Times New Roman"/>
          <w:kern w:val="0"/>
        </w:rPr>
        <w:instrText>ADDIN CSL_CITATION {"citationItems":[{"id":"ITEM-1","itemData":{"DOI":"10.1177/14604582231217339","abstract":"Despite large-scale adoption during COVID-19, patient perceptions on the benefits and potential risks with receiving care through digital technologies have remained largely unexplored. A quantitative content analysis of responses to a questionnaire (N = 6766) conducted at a multi-site acute trust in London (UK), was adopted to identify commonly reported benefits and concerns. Patients reported a range of promising benefits beyond immediate usage during COVID-19, including ease of access; support for disease and care management; improved timeliness of access and treatment; and better prioritisation of healthcare resources. However, in addition to known risks such as data security and inequity in access, our findings also illuminate some less studied concerns, including perceptions of compromised safety; negative impacts on patient-clinician relationships; and difficulties in interpreting health information provided through electronic health records and mHealth apps. Implications for future research and practice are discussed.","author":[{"dropping-particle":"","family":"Painter","given":"Ann","non-dropping-particle":"","parse-names":false,"suffix":""},{"dropping-particle":"Van","family":"Dael","given":"J","non-dropping-particle":"","parse-names":false,"suffix":""},{"dropping-particle":"","family":"Neves","given":"A","non-dropping-particle":"","parse-names":false,"suffix":""},{"dropping-particle":"","family":"Bachtiger","given":"P","non-dropping-particle":"","parse-names":false,"suffix":""},{"dropping-particle":"","family":"O’Brien","given":"N","non-dropping-particle":"","parse-names":false,"suffix":""},{"dropping-particle":"","family":"Gardner","given":"C","non-dropping-particle":"","parse-names":false,"suffix":""},{"dropping-particle":"","family":"Quint","given":"Jennifer K","non-dropping-particle":"","parse-names":false,"suffix":""},{"dropping-particle":"","family":"Adamson","given":"A","non-dropping-particle":"","parse-names":false,"suffix":""},{"dropping-particle":"","family":"Peters","given":"Nicholas","non-dropping-particle":"","parse-names":false,"suffix":""},{"dropping-particle":"","family":"Darzi","given":"A","non-dropping-particle":"","parse-names":false,"suffix":""},{"dropping-particle":"","family":"Ghafur","given":"S","non-dropping-particle":"","parse-names":false,"suffix":""}],"container-title":"Health Informatics Journal","id":"ITEM-1","issued":{"date-parts":[["2023"]]},"title":"Identifying benefits and concerns with using digital health services during COVID-19: Evidence from a hospital-based patient survey","type":"article-journal"},"uris":["http://www.mendeley.com/documents/?uuid=e8edd6db-0ab0-41a2-98bf-a45dc81aa281"]}],"mendeley":{"formattedCitation":"[6]","plainTextFormattedCitation":"[6]","previouslyFormattedCitation":"[6]"},"properties":{"noteIndex":0},"schema":"https://github.com/citation-style-language/schema/raw/master/csl-citation.json"}</w:instrText>
      </w:r>
      <w:r>
        <w:rPr>
          <w:rFonts w:ascii="Times New Roman" w:eastAsia="Times New Roman" w:hAnsi="Times New Roman" w:cs="Times New Roman"/>
          <w:kern w:val="0"/>
        </w:rPr>
        <w:fldChar w:fldCharType="separate"/>
      </w:r>
      <w:r w:rsidRPr="00BC5D73">
        <w:rPr>
          <w:rFonts w:ascii="Times New Roman" w:eastAsia="Times New Roman" w:hAnsi="Times New Roman" w:cs="Times New Roman"/>
          <w:noProof/>
          <w:kern w:val="0"/>
        </w:rPr>
        <w:t>[6]</w:t>
      </w:r>
      <w:r>
        <w:rPr>
          <w:rFonts w:ascii="Times New Roman" w:eastAsia="Times New Roman" w:hAnsi="Times New Roman" w:cs="Times New Roman"/>
          <w:kern w:val="0"/>
        </w:rPr>
        <w:fldChar w:fldCharType="end"/>
      </w:r>
      <w:r w:rsidR="008D7F4B" w:rsidRPr="008D7F4B">
        <w:rPr>
          <w:rFonts w:ascii="Times New Roman" w:eastAsia="Times New Roman" w:hAnsi="Times New Roman" w:cs="Times New Roman"/>
          <w:kern w:val="0"/>
        </w:rPr>
        <w:t>Simultaneously, robust healthcare information systems allowed for real-time data tracking, contact tracing, patient record management, and dynamic resource allocation—empowering hospitals to make informed decisions in fast-changing scenarios.</w:t>
      </w:r>
    </w:p>
    <w:p w14:paraId="491F171F" w14:textId="77777777" w:rsidR="008D7F4B" w:rsidRPr="008D7F4B" w:rsidRDefault="008D7F4B" w:rsidP="00C90D8E">
      <w:pPr>
        <w:spacing w:before="100" w:beforeAutospacing="1" w:after="100" w:afterAutospacing="1" w:line="240" w:lineRule="auto"/>
        <w:jc w:val="both"/>
        <w:rPr>
          <w:rFonts w:ascii="Times New Roman" w:eastAsia="Times New Roman" w:hAnsi="Times New Roman" w:cs="Times New Roman"/>
          <w:kern w:val="0"/>
        </w:rPr>
      </w:pPr>
      <w:r w:rsidRPr="008D7F4B">
        <w:rPr>
          <w:rFonts w:ascii="Times New Roman" w:eastAsia="Times New Roman" w:hAnsi="Times New Roman" w:cs="Times New Roman"/>
          <w:kern w:val="0"/>
        </w:rPr>
        <w:t xml:space="preserve">However, the shift toward digital solutions was not without challenges. </w:t>
      </w:r>
      <w:r w:rsidR="00BC5D73">
        <w:rPr>
          <w:rFonts w:ascii="Times New Roman" w:eastAsia="Times New Roman" w:hAnsi="Times New Roman" w:cs="Times New Roman"/>
          <w:kern w:val="0"/>
        </w:rPr>
        <w:fldChar w:fldCharType="begin" w:fldLock="1"/>
      </w:r>
      <w:r w:rsidR="00BC5D73">
        <w:rPr>
          <w:rFonts w:ascii="Times New Roman" w:eastAsia="Times New Roman" w:hAnsi="Times New Roman" w:cs="Times New Roman"/>
          <w:kern w:val="0"/>
        </w:rPr>
        <w:instrText>ADDIN CSL_CITATION {"citationItems":[{"id":"ITEM-1","itemData":{"author":[{"dropping-particle":"","family":"Yan","given":"Aihua","non-dropping-particle":"","parse-names":false,"suffix":""},{"dropping-particle":"","family":"Zou","given":"Yi","non-dropping-particle":"","parse-names":false,"suffix":""},{"dropping-particle":"","family":"Mirchandani","given":"Dinesh A","non-dropping-particle":"","parse-names":false,"suffix":""},{"dropping-particle":"","family":"Kong","given":"Hong","non-dropping-particle":"","parse-names":false,"suffix":""},{"dropping-particle":"","family":"Zhong","given":"Nanshan","non-dropping-particle":"","parse-names":false,"suffix":""}],"id":"ITEM-1","issued":{"date-parts":[["2020"]]},"title":"How hospitals in mainland China responded to the outbreak of COVID-19 using IT-enabled services: an analysis of hospital news webpages","type":"article-journal"},"uris":["http://www.mendeley.com/documents/?uuid=cad0578a-0b44-47a8-9c3d-ef745b8ca030"]}],"mendeley":{"formattedCitation":"[7]","plainTextFormattedCitation":"[7]"},"properties":{"noteIndex":0},"schema":"https://github.com/citation-style-language/schema/raw/master/csl-citation.json"}</w:instrText>
      </w:r>
      <w:r w:rsidR="00BC5D73">
        <w:rPr>
          <w:rFonts w:ascii="Times New Roman" w:eastAsia="Times New Roman" w:hAnsi="Times New Roman" w:cs="Times New Roman"/>
          <w:kern w:val="0"/>
        </w:rPr>
        <w:fldChar w:fldCharType="separate"/>
      </w:r>
      <w:r w:rsidR="00BC5D73" w:rsidRPr="00BC5D73">
        <w:rPr>
          <w:rFonts w:ascii="Times New Roman" w:eastAsia="Times New Roman" w:hAnsi="Times New Roman" w:cs="Times New Roman"/>
          <w:noProof/>
          <w:kern w:val="0"/>
        </w:rPr>
        <w:t>[7]</w:t>
      </w:r>
      <w:r w:rsidR="00BC5D73">
        <w:rPr>
          <w:rFonts w:ascii="Times New Roman" w:eastAsia="Times New Roman" w:hAnsi="Times New Roman" w:cs="Times New Roman"/>
          <w:kern w:val="0"/>
        </w:rPr>
        <w:fldChar w:fldCharType="end"/>
      </w:r>
      <w:r w:rsidRPr="008D7F4B">
        <w:rPr>
          <w:rFonts w:ascii="Times New Roman" w:eastAsia="Times New Roman" w:hAnsi="Times New Roman" w:cs="Times New Roman"/>
          <w:kern w:val="0"/>
        </w:rPr>
        <w:t>Hospitals struggled with technological disparities, cybersecurity threats, and the need for rapid staff training. Moreover, disparities in digital access, particularly in low-resource settings, highlighted the digital divide within healthcare delivery. Despite these obstacles, the benefits of digital integration became clear, prompting a reassessment of healthcare infrastructure and policy priorities.</w:t>
      </w:r>
    </w:p>
    <w:p w14:paraId="48C6E202" w14:textId="77777777" w:rsidR="008D7F4B" w:rsidRPr="008D7F4B" w:rsidRDefault="00BC5D73" w:rsidP="00C90D8E">
      <w:pPr>
        <w:spacing w:before="100" w:beforeAutospacing="1" w:after="100" w:afterAutospacing="1" w:line="240" w:lineRule="auto"/>
        <w:jc w:val="both"/>
        <w:rPr>
          <w:rFonts w:ascii="Times New Roman" w:eastAsia="Times New Roman" w:hAnsi="Times New Roman" w:cs="Times New Roman"/>
          <w:kern w:val="0"/>
        </w:rPr>
      </w:pPr>
      <w:r>
        <w:rPr>
          <w:rFonts w:ascii="Times New Roman" w:eastAsia="Times New Roman" w:hAnsi="Times New Roman" w:cs="Times New Roman"/>
          <w:kern w:val="0"/>
        </w:rPr>
        <w:fldChar w:fldCharType="begin" w:fldLock="1"/>
      </w:r>
      <w:r>
        <w:rPr>
          <w:rFonts w:ascii="Times New Roman" w:eastAsia="Times New Roman" w:hAnsi="Times New Roman" w:cs="Times New Roman"/>
          <w:kern w:val="0"/>
        </w:rPr>
        <w:instrText>ADDIN CSL_CITATION {"citationItems":[{"id":"ITEM-1","itemData":{"DOI":"10.1007/s00296-021-04930-3","abstract":"The ongoing COVID-19 pandemic has ushered in an era of rapid digitalization of medicine, ranging from Teleconsultations amid widespread lockdowns, to remote monitoring using smartphone apps, wearables, and patient-reported outcome measures (PROMs) [1]. Bioinformatics approaches to analyze time stamped and geo-sensed tweets and APIs (Application Programming Interfaces) have led researchers to predict the occurrence of local outbreaks for timely action and resource mobilization [2, 3]. The rapid shifts have only led researchers and data scientists all the more excited to see the massive emerging databank for AI-based analysis and automation of healthcare systems. These data banks may also support the vision for precision medicine-driven individualized healthcare. The pandemic has forced physicians worldwide to rapidly adapt and move to objective means of remote assessment. An exponential increase in recent literature on approaches for remote assessment testifies to this remarkable shift in healthcare. In the words of R Wootton and R Bonnardot, “We expect that teleconsultations will become so common as to be unremarkable, that the prefix telewill disappear, and that all telemedicine work will be considered as part of usual practice” [4].Travel cost, time and effort are another determinant of overall patient quality and life. The diagnoses of most of the rheumatologic diseases (RDs) entail a chronic course and the need for lifelong monitoring and hospital visits [5]. This only adds to the existent ginormous burden of the healthcare system, more so in developing countries like India with meagre funds for healthcare, particularly in strained times of a raging global pandemic. Today it is integral for a rheumatologist to integrate immunology with disease pathogenesis, infectious agents, rehabilitation, public health, and epidemiology [6]. The information horizons cannot be confined to just managing immunological conditions but involve emerging, reemerging and high burden diseases. The vertical integration with various public health professionals by networking and digitalization will usher in a new era of integrated medicine. Handing patients, the baton for self-care, monitoring, and self-sampling as suggested by Morf H et al. may be the way forward to share the responsibilities while moving towards a model of wholesome patient-led care [7]. Besides, an emerging plethora of patient support communities hold potential in leading a sea change in approach from hosp…","author":[{"dropping-particle":"","family":"Mago","given":"Arpit","non-dropping-particle":"","parse-names":false,"suffix":""},{"dropping-particle":"","family":"Mago","given":"Arpit","non-dropping-particle":"","parse-names":false,"suffix":""},{"dropping-particle":"","family":"Aggarwal","given":"Vikas","non-dropping-particle":"","parse-names":false,"suffix":""},{"dropping-particle":"","family":"Aggarwal","given":"Vikas","non-dropping-particle":"","parse-names":false,"suffix":""},{"dropping-particle":"","family":"Gupta","given":"Latika","non-dropping-particle":"","parse-names":false,"suffix":""},{"dropping-particle":"","family":"Gupta","given":"Latika","non-dropping-particle":"","parse-names":false,"suffix":""}],"container-title":"Rheumatology International","id":"ITEM-1","issued":{"date-parts":[["2021"]]},"title":"Telerheumatology and its interplay with patient-initiated care.","type":"article-journal"},"uris":["http://www.mendeley.com/documents/?uuid=c6dd94b3-9822-4304-b8b4-049e9ea5b0bf"]}],"mendeley":{"formattedCitation":"[8]","plainTextFormattedCitation":"[8]","previouslyFormattedCitation":"[7]"},"properties":{"noteIndex":0},"schema":"https://github.com/citation-style-language/schema/raw/master/csl-citation.json"}</w:instrText>
      </w:r>
      <w:r>
        <w:rPr>
          <w:rFonts w:ascii="Times New Roman" w:eastAsia="Times New Roman" w:hAnsi="Times New Roman" w:cs="Times New Roman"/>
          <w:kern w:val="0"/>
        </w:rPr>
        <w:fldChar w:fldCharType="separate"/>
      </w:r>
      <w:r w:rsidRPr="00BC5D73">
        <w:rPr>
          <w:rFonts w:ascii="Times New Roman" w:eastAsia="Times New Roman" w:hAnsi="Times New Roman" w:cs="Times New Roman"/>
          <w:noProof/>
          <w:kern w:val="0"/>
        </w:rPr>
        <w:t>[8]</w:t>
      </w:r>
      <w:r>
        <w:rPr>
          <w:rFonts w:ascii="Times New Roman" w:eastAsia="Times New Roman" w:hAnsi="Times New Roman" w:cs="Times New Roman"/>
          <w:kern w:val="0"/>
        </w:rPr>
        <w:fldChar w:fldCharType="end"/>
      </w:r>
      <w:r w:rsidR="008D7F4B" w:rsidRPr="008D7F4B">
        <w:rPr>
          <w:rFonts w:ascii="Times New Roman" w:eastAsia="Times New Roman" w:hAnsi="Times New Roman" w:cs="Times New Roman"/>
          <w:kern w:val="0"/>
        </w:rPr>
        <w:t xml:space="preserve">This paper delves into the role played by telemedicine and HIS </w:t>
      </w:r>
      <w:proofErr w:type="gramStart"/>
      <w:r w:rsidR="008D7F4B" w:rsidRPr="008D7F4B">
        <w:rPr>
          <w:rFonts w:ascii="Times New Roman" w:eastAsia="Times New Roman" w:hAnsi="Times New Roman" w:cs="Times New Roman"/>
          <w:kern w:val="0"/>
        </w:rPr>
        <w:t>in reshaping</w:t>
      </w:r>
      <w:proofErr w:type="gramEnd"/>
      <w:r w:rsidR="008D7F4B" w:rsidRPr="008D7F4B">
        <w:rPr>
          <w:rFonts w:ascii="Times New Roman" w:eastAsia="Times New Roman" w:hAnsi="Times New Roman" w:cs="Times New Roman"/>
          <w:kern w:val="0"/>
        </w:rPr>
        <w:t xml:space="preserve"> hospital management during the COVID-19 pandemic. It explores case studies, evaluates outcomes, and suggests pathways for institutionalizing digital practices in the post-pandemic healthcare landscape. As the world moves toward a hybrid model of healthcare, understanding these digital shifts is essential to build a more resilient, accessible, and patient-centered system.</w:t>
      </w:r>
    </w:p>
    <w:p w14:paraId="10D936FA" w14:textId="77777777" w:rsidR="00AB0D36" w:rsidRPr="00AB1803" w:rsidRDefault="008D7F4B" w:rsidP="00AB1803">
      <w:pPr>
        <w:rPr>
          <w:rFonts w:ascii="Times New Roman" w:hAnsi="Times New Roman" w:cs="Times New Roman"/>
          <w:b/>
        </w:rPr>
      </w:pPr>
      <w:r w:rsidRPr="00AB1803">
        <w:rPr>
          <w:rFonts w:ascii="Times New Roman" w:hAnsi="Times New Roman" w:cs="Times New Roman"/>
          <w:b/>
        </w:rPr>
        <w:t>REVIEW OF LITERATURE:</w:t>
      </w:r>
    </w:p>
    <w:p w14:paraId="781EDCE6" w14:textId="77777777" w:rsidR="00364C1D" w:rsidRPr="00364C1D" w:rsidRDefault="00BC5D73" w:rsidP="00BC5D73">
      <w:pPr>
        <w:spacing w:before="100" w:beforeAutospacing="1" w:after="100" w:afterAutospacing="1" w:line="240" w:lineRule="auto"/>
        <w:jc w:val="both"/>
        <w:rPr>
          <w:rFonts w:ascii="Times New Roman" w:eastAsia="Times New Roman" w:hAnsi="Times New Roman" w:cs="Times New Roman"/>
          <w:kern w:val="0"/>
        </w:rPr>
      </w:pPr>
      <w:r>
        <w:rPr>
          <w:rFonts w:ascii="Times New Roman" w:eastAsia="Times New Roman" w:hAnsi="Times New Roman" w:cs="Times New Roman"/>
          <w:bCs/>
          <w:kern w:val="0"/>
        </w:rPr>
        <w:fldChar w:fldCharType="begin" w:fldLock="1"/>
      </w:r>
      <w:r>
        <w:rPr>
          <w:rFonts w:ascii="Times New Roman" w:eastAsia="Times New Roman" w:hAnsi="Times New Roman" w:cs="Times New Roman"/>
          <w:bCs/>
          <w:kern w:val="0"/>
        </w:rPr>
        <w:instrText>ADDIN CSL_CITATION {"citationItems":[{"id":"ITEM-1","itemData":{"DOI":"10.2147/ndt.s277224","abstract":"Telepsychiatry, a subset of telemedicine, has been increasingly studied to meet the growing demands for psychiatric care. The utility of telepsychiatry is relevant now more than ever as the world endures the COVID-19 global pandemic. This paper describes the prior state and the changes that the COVID-19 outbreak brought to telepsychiatry in a selected group of Arab countries of the Middle East and North Africa (MENA) region.We invited twelve early-career psychiatrists from different Arab nations to share information related to telepsychiatry in their respective countries before and during the COVID-19 pandemic. The information was collected using a semi-structured guide. This was complemented by a search for relevant articles in five search engines using terms such as \"COVID-19,\" \"telepsychiatry,\" and \"Arab world\".Before the pandemic, digital mental health services were provided in several Arab countries, mainly through hotlines and messaging services. The COVID-19 pandemic has marked a major shift in digital psychiatric services in the Arab MENA world, through the transformation of many clinics and some hospitals into digital mental health systems. Many non-governmental organizations also started remote initiatives for psychological support and psychiatric counseling. Three main barriers of patient-related, healthcare-related, and system-related hurdles of using telepsychiatry emanated from the analysis.The use of digital mental health services varies between different Arab countries. Even though some nations have laws that regulate the provision of such services, most struggle with multifactorial barriers. As affordable and attainable solutions cannot only rely on training and recruiting more psychiatrists, telepsychiatry would help meet the exceeding demands in the Arab world, particularly after the COVID-19 outbreak.","author":[{"dropping-particle":"El","family":"Hayek","given":"Samer","non-dropping-particle":"","parse-names":false,"suffix":""},{"dropping-particle":"El","family":"Hayek","given":"Samer","non-dropping-particle":"","parse-names":false,"suffix":""},{"dropping-particle":"","family":"Nofal","given":"Marwa","non-dropping-particle":"","parse-names":false,"suffix":""},{"dropping-particle":"","family":"Abdelrahman","given":"Doaa","non-dropping-particle":"","parse-names":false,"suffix":""},{"dropping-particle":"","family":"Nofal","given":"Marwa","non-dropping-particle":"","parse-names":false,"suffix":""},{"dropping-particle":"","family":"Adra","given":"Ali","non-dropping-particle":"","parse-names":false,"suffix":""},{"dropping-particle":"","family":"Abdelrahman","given":"Doaa","non-dropping-particle":"","parse-names":false,"suffix":""},{"dropping-particle":"","family":"Adra","given":"Ali","non-dropping-particle":"","parse-names":false,"suffix":""},{"dropping-particle":"Al","family":"Harthi","given":"Mansour","non-dropping-particle":"","parse-names":false,"suffix":""},{"dropping-particle":"Al","family":"Harthi","given":"Mansour","non-dropping-particle":"","parse-names":false,"suffix":""},{"dropping-particle":"Al","family":"Shamli","given":"Siham","non-dropping-particle":"","parse-names":false,"suffix":""},{"dropping-particle":"Al","family":"Shamli","given":"Siham","non-dropping-particle":"","parse-names":false,"suffix":""},{"dropping-particle":"","family":"AlNuaimi","given":"Nawaf","non-dropping-particle":"","parse-names":false,"suffix":""},{"dropping-particle":"","family":"AlNuaimi","given":"Nawaf","non-dropping-particle":"","parse-names":false,"suffix":""},{"dropping-particle":"","family":"Bensid","given":"Lynda","non-dropping-particle":"","parse-names":false,"suffix":""},{"dropping-particle":"","family":"Cheaito","given":"Mohamad Ali","non-dropping-particle":"","parse-names":false,"suffix":""},{"dropping-particle":"","family":"Bensid","given":"Lynda","non-dropping-particle":"","parse-names":false,"suffix":""},{"dropping-particle":"","family":"Cheaito","given":"Mohamad Ali","non-dropping-particle":"","parse-names":false,"suffix":""},{"dropping-particle":"","family":"Emberish","given":"Alkhansa Mahdi","non-dropping-particle":"","parse-names":false,"suffix":""},{"dropping-particle":"","family":"Emberish","given":"Alkhansa Mahdi","non-dropping-particle":"","parse-names":false,"suffix":""},{"dropping-particle":"","family":"Larnaout","given":"Amine","non-dropping-particle":"","parse-names":false,"suffix":""},{"dropping-particle":"","family":"Larnaout","given":"Amine","non-dropping-particle":"","parse-names":false,"suffix":""},{"dropping-particle":"","family":"Radwan","given":"Ahmed","non-dropping-particle":"","parse-names":false,"suffix":""},{"dropping-particle":"","family":"Radwan","given":"Ahmed G","non-dropping-particle":"","parse-names":false,"suffix":""},{"dropping-particle":"","family":"Radwan","given":"Ahmed","non-dropping-particle":"","parse-names":false,"suffix":""},{"dropping-particle":"","family":"Radwan","given":"Ahmed","non-dropping-particle":"","parse-names":false,"suffix":""},{"dropping-particle":"","family":"Radwan","given":"Ahmed A","non-dropping-particle":"","parse-names":false,"suffix":""},{"dropping-particle":"","family":"Slaih","given":"Mohammad","non-dropping-particle":"","parse-names":false,"suffix":""},{"dropping-particle":"","family":"Slaih","given":"Mohammad","non-dropping-particle":"","parse-names":false,"suffix":""},{"dropping-particle":"","family":"Kobeissy","given":"Firas","non-dropping-particle":"","parse-names":false,"suffix":""},{"dropping-particle":"","family":"Kobeissy","given":"Firas","non-dropping-particle":"","parse-names":false,"suffix":""},{"dropping-particle":"","family":"Bizri","given":"Maya","non-dropping-particle":"","parse-names":false,"suffix":""},{"dropping-particle":"","family":"Bizri","given":"Maya","non-dropping-particle":"","parse-names":false,"suffix":""}],"container-title":"Neuropsychiatric Disease and Treatment","id":"ITEM-1","issued":{"date-parts":[["2020"]]},"title":"Telepsychiatry in the Arab World: A Viewpoint Before and During COVID-19.","type":"article-journal"},"uris":["http://www.mendeley.com/documents/?uuid=5f64a5de-0458-4f9b-b152-94d39c839f5a"]}],"mendeley":{"formattedCitation":"[9]","plainTextFormattedCitation":"[9]","previouslyFormattedCitation":"[8]"},"properties":{"noteIndex":0},"schema":"https://github.com/citation-style-language/schema/raw/master/csl-citation.json"}</w:instrText>
      </w:r>
      <w:r>
        <w:rPr>
          <w:rFonts w:ascii="Times New Roman" w:eastAsia="Times New Roman" w:hAnsi="Times New Roman" w:cs="Times New Roman"/>
          <w:bCs/>
          <w:kern w:val="0"/>
        </w:rPr>
        <w:fldChar w:fldCharType="separate"/>
      </w:r>
      <w:r w:rsidRPr="00BC5D73">
        <w:rPr>
          <w:rFonts w:ascii="Times New Roman" w:eastAsia="Times New Roman" w:hAnsi="Times New Roman" w:cs="Times New Roman"/>
          <w:bCs/>
          <w:noProof/>
          <w:kern w:val="0"/>
        </w:rPr>
        <w:t>[9]</w:t>
      </w:r>
      <w:r>
        <w:rPr>
          <w:rFonts w:ascii="Times New Roman" w:eastAsia="Times New Roman" w:hAnsi="Times New Roman" w:cs="Times New Roman"/>
          <w:bCs/>
          <w:kern w:val="0"/>
        </w:rPr>
        <w:fldChar w:fldCharType="end"/>
      </w:r>
      <w:r w:rsidR="00364C1D" w:rsidRPr="00BC5D73">
        <w:rPr>
          <w:rFonts w:ascii="Times New Roman" w:eastAsia="Times New Roman" w:hAnsi="Times New Roman" w:cs="Times New Roman"/>
          <w:bCs/>
          <w:kern w:val="0"/>
        </w:rPr>
        <w:t xml:space="preserve">Telepsychiatry, a branch of telemedicine, has garnered increasing attention as a means to address the rising need for psychiatric services. Its relevance has become particularly pronounced during the COVID-19 global pandemic. </w:t>
      </w:r>
      <w:r>
        <w:rPr>
          <w:rFonts w:ascii="Times New Roman" w:eastAsia="Times New Roman" w:hAnsi="Times New Roman" w:cs="Times New Roman"/>
          <w:bCs/>
          <w:kern w:val="0"/>
        </w:rPr>
        <w:fldChar w:fldCharType="begin" w:fldLock="1"/>
      </w:r>
      <w:r>
        <w:rPr>
          <w:rFonts w:ascii="Times New Roman" w:eastAsia="Times New Roman" w:hAnsi="Times New Roman" w:cs="Times New Roman"/>
          <w:bCs/>
          <w:kern w:val="0"/>
        </w:rPr>
        <w:instrText>ADDIN CSL_CITATION {"citationItems":[{"id":"ITEM-1","itemData":{"DOI":"10.26553/jikm.2021.12.2.89-103","abstract":"The current and future of healthcare system will face various problems, ranging from digitizing the health system, digital transformation and disruption of the health world or the problem of digital application during the Covid-19 pandemic in Health 4.0 and Community 5.0 and its leadership. The purpose of this narrative literature review is to explore digital information and the role of leadership in healthcare services in the future. This article is a review of the narrative literature from 64 references that focus on digital health, digital transformation, digital disruption, Health 4.0 and Society 5.0 and leadership in hospitals. Digital health is transforming healthcare delivery around the world to meet the evolving challenges of an aging population with a variety of chronic conditions. Digital transformation and disruptive innovation illustrate a comprehensive reorientation of the industry including its business model due to the advent of digital technology in the form of digitizing products, services and processes. Digital health products can be in the form of electronic health (eHealth), cellular health (mHealth), health information technology, teleconsultation (telehealth / telemedicine). All these digital products, if they cannot be applied now and in the future will cause digital disruption in traditional healthcare services in hospitals. The current world of health also has an impact because of the COVID-19 pandemic, where this situation is a race for Health 4.0 and Society 5.0 (super smart people). Where Health 4.0 will relax and reflect digital health and implement it in Society 5.0. The leadership strategies that can be selected are systems thinking, contextual intelligence and metacognitive strategies.","author":[{"dropping-particle":"","family":"Darmawan","given":"Ede Surya","non-dropping-particle":"","parse-names":false,"suffix":""},{"dropping-particle":"","family":"Darmawan","given":"Ede Surya","non-dropping-particle":"","parse-names":false,"suffix":""},{"dropping-particle":"","family":"Laksono","given":"Sidhi","non-dropping-particle":"","parse-names":false,"suffix":""},{"dropping-particle":"","family":"Laksono","given":"Sidhi","non-dropping-particle":"","parse-names":false,"suffix":""}],"container-title":"Jurnal Ilmu Kesehatan Masyarakat","id":"ITEM-1","issued":{"date-parts":[["2021"]]},"title":"The New Leadership Paradigm in Digital Health and Its Relations to Hospital Services","type":"article-journal"},"uris":["http://www.mendeley.com/documents/?uuid=ebed5e25-c2da-4801-8dbf-960fd4bfd1e1"]}],"mendeley":{"formattedCitation":"[10]","plainTextFormattedCitation":"[10]","previouslyFormattedCitation":"[9]"},"properties":{"noteIndex":0},"schema":"https://github.com/citation-style-language/schema/raw/master/csl-citation.json"}</w:instrText>
      </w:r>
      <w:r>
        <w:rPr>
          <w:rFonts w:ascii="Times New Roman" w:eastAsia="Times New Roman" w:hAnsi="Times New Roman" w:cs="Times New Roman"/>
          <w:bCs/>
          <w:kern w:val="0"/>
        </w:rPr>
        <w:fldChar w:fldCharType="separate"/>
      </w:r>
      <w:r w:rsidRPr="00BC5D73">
        <w:rPr>
          <w:rFonts w:ascii="Times New Roman" w:eastAsia="Times New Roman" w:hAnsi="Times New Roman" w:cs="Times New Roman"/>
          <w:bCs/>
          <w:noProof/>
          <w:kern w:val="0"/>
        </w:rPr>
        <w:t>[10]</w:t>
      </w:r>
      <w:r>
        <w:rPr>
          <w:rFonts w:ascii="Times New Roman" w:eastAsia="Times New Roman" w:hAnsi="Times New Roman" w:cs="Times New Roman"/>
          <w:bCs/>
          <w:kern w:val="0"/>
        </w:rPr>
        <w:fldChar w:fldCharType="end"/>
      </w:r>
      <w:r w:rsidR="00364C1D" w:rsidRPr="00BC5D73">
        <w:rPr>
          <w:rFonts w:ascii="Times New Roman" w:eastAsia="Times New Roman" w:hAnsi="Times New Roman" w:cs="Times New Roman"/>
          <w:bCs/>
          <w:kern w:val="0"/>
        </w:rPr>
        <w:t>This paper explores the status of telepsychiatry before and after the onset of COVID-19 across selected Arab countries in the Middle East and North Africa (MENA) region.</w:t>
      </w:r>
      <w:r>
        <w:rPr>
          <w:rFonts w:ascii="Times New Roman" w:eastAsia="Times New Roman" w:hAnsi="Times New Roman" w:cs="Times New Roman"/>
          <w:bCs/>
          <w:kern w:val="0"/>
        </w:rPr>
        <w:fldChar w:fldCharType="begin" w:fldLock="1"/>
      </w:r>
      <w:r>
        <w:rPr>
          <w:rFonts w:ascii="Times New Roman" w:eastAsia="Times New Roman" w:hAnsi="Times New Roman" w:cs="Times New Roman"/>
          <w:bCs/>
          <w:kern w:val="0"/>
        </w:rPr>
        <w:instrText>ADDIN CSL_CITATION {"citationItems":[{"id":"ITEM-1","itemData":{"DOI":"10.23939/dg2023.01.185","abstract":"Introduction. The topic of maternity and childhood care is one of the most important in the health care system of Ukraine, given the importance of the issue of the birth of healthy children – the future potential of an independent state. At the beginning of the era of implementation of the Sustainable Development Goals, the morbidity and mortality of women during pregnancy and childbirth remained unacceptably high. Most of them could have been prevented. The 2019 coronavirus disease (COVID-19) pandemic significantly changed the way of life of most people and disrupted the work of specialized health care systems. Therefore, anticipating the possibility of repeated pandemics, it is necessary to analyse the experience of the functioning of the medical field at this stage and justify new approaches to the organization of high-quality medical perinatal care in the conditions of possible repeated outbreaks of infection. Isolation of previously unresolved parts of the general problem. Although there is much published scientific literature on various aspects of the organization of perinatal care, there is almost no literature on how management approaches to women's routine prenatal care have changed and how the system has been reorganized during the pandemic in Ukraine. Results. The effectiveness of Ukrainian health care system, which has historically been built on face-to-face interactions between patients and health care providers, has suffered severely. And it is not only in Ukraine. Healthcare systems of all countries, especially those with limited financial resources, are facing a challenge. Pregnant women are particularly vulnerable to respiratory pathogens due to physiological changes in the immune and cardiorespiratory systems and may be at increased risk of severe disease. In this regard, it is extremely important to reorganize the system of prenatal visits not only to reduce the possibility of contact of a healthy pregnant woman with infected people, but also to minimize the contact of medical workers with patients who may be infected. International experience shows that during this COVID-19 pandemic, some countries have decided to reduce the number of in-person antenatal visits to only three (for example, Australia) or four (as recommended by the WHO) for low-risk women throughout pregnancy. For Ukraine, a model of prenatal care has also been proposed as a quick response to combating the spread of infection. According to this model, when monitoring a…","author":[{"dropping-particle":"","family":"Малачинська","given":"М Й","non-dropping-particle":"","parse-names":false,"suffix":""}],"container-title":"Democratic governance","id":"ITEM-1","issued":{"date-parts":[["2023"]]},"title":"Management of perinatal care during the COVID-19 pandemic in Ukraine: organizational and legal mechanism","type":"article-journal"},"uris":["http://www.mendeley.com/documents/?uuid=c33c365c-9ce5-4a08-9d9c-604c96644084"]}],"mendeley":{"formattedCitation":"[11]","plainTextFormattedCitation":"[11]","previouslyFormattedCitation":"[10]"},"properties":{"noteIndex":0},"schema":"https://github.com/citation-style-language/schema/raw/master/csl-citation.json"}</w:instrText>
      </w:r>
      <w:r>
        <w:rPr>
          <w:rFonts w:ascii="Times New Roman" w:eastAsia="Times New Roman" w:hAnsi="Times New Roman" w:cs="Times New Roman"/>
          <w:bCs/>
          <w:kern w:val="0"/>
        </w:rPr>
        <w:fldChar w:fldCharType="separate"/>
      </w:r>
      <w:r w:rsidRPr="00BC5D73">
        <w:rPr>
          <w:rFonts w:ascii="Times New Roman" w:eastAsia="Times New Roman" w:hAnsi="Times New Roman" w:cs="Times New Roman"/>
          <w:bCs/>
          <w:noProof/>
          <w:kern w:val="0"/>
        </w:rPr>
        <w:t>[11]</w:t>
      </w:r>
      <w:r>
        <w:rPr>
          <w:rFonts w:ascii="Times New Roman" w:eastAsia="Times New Roman" w:hAnsi="Times New Roman" w:cs="Times New Roman"/>
          <w:bCs/>
          <w:kern w:val="0"/>
        </w:rPr>
        <w:fldChar w:fldCharType="end"/>
      </w:r>
      <w:r w:rsidR="00364C1D" w:rsidRPr="00BC5D73">
        <w:rPr>
          <w:rFonts w:ascii="Times New Roman" w:eastAsia="Times New Roman" w:hAnsi="Times New Roman" w:cs="Times New Roman"/>
          <w:bCs/>
          <w:kern w:val="0"/>
        </w:rPr>
        <w:t xml:space="preserve"> Twelve early-career psychiatrists from various Arab nations were invited to share insights about telepsychiatry practices in their respective countries, both prior to and during the pandemic.</w:t>
      </w:r>
      <w:r>
        <w:rPr>
          <w:rFonts w:ascii="Times New Roman" w:eastAsia="Times New Roman" w:hAnsi="Times New Roman" w:cs="Times New Roman"/>
          <w:bCs/>
          <w:kern w:val="0"/>
        </w:rPr>
        <w:fldChar w:fldCharType="begin" w:fldLock="1"/>
      </w:r>
      <w:r>
        <w:rPr>
          <w:rFonts w:ascii="Times New Roman" w:eastAsia="Times New Roman" w:hAnsi="Times New Roman" w:cs="Times New Roman"/>
          <w:bCs/>
          <w:kern w:val="0"/>
        </w:rPr>
        <w:instrText>ADDIN CSL_CITATION {"citationItems":[{"id":"ITEM-1","itemData":{"DOI":"10.18295/squmj.2020.20.04.001","abstract":"NONE","author":[{"dropping-particle":"","family":"Alsaffar","given":"Hussain","non-dropping-particle":"","parse-names":false,"suffix":""},{"dropping-particle":"","family":"Alsaffar","given":"Hussain","non-dropping-particle":"","parse-names":false,"suffix":""},{"dropping-particle":"","family":"Alsaffar","given":"Hussain","non-dropping-particle":"","parse-names":false,"suffix":""},{"dropping-particle":"","family":"Alsaffar","given":"Hussain","non-dropping-particle":"","parse-names":false,"suffix":""},{"dropping-particle":"","family":"Alsaffar","given":"Hussain","non-dropping-particle":"","parse-names":false,"suffix":""},{"dropping-particle":"","family":"Al-Mamari","given":"Watfa","non-dropping-particle":"","parse-names":false,"suffix":""},{"dropping-particle":"","family":"Al-Mamari","given":"Watfa","non-dropping-particle":"","parse-names":false,"suffix":""},{"dropping-particle":"","family":"Al-Futaisi","given":"Amna","non-dropping-particle":"","parse-names":false,"suffix":""},{"dropping-particle":"Al","family":"Futaisi","given":"Amna","non-dropping-particle":"","parse-names":false,"suffix":""},{"dropping-particle":"Al","family":"Futaisi","given":"Amna","non-dropping-particle":"","parse-names":false,"suffix":""}],"container-title":"Sultan Qaboos University Medical Journal","id":"ITEM-1","issued":{"date-parts":[["2020"]]},"title":"Telemedicine in the Era of COVID-19 and Beyond: A new horizon.","type":"article-journal"},"uris":["http://www.mendeley.com/documents/?uuid=23f59304-1c1b-49ff-b1e9-92d780d3ca2d"]}],"mendeley":{"formattedCitation":"[12]","plainTextFormattedCitation":"[12]","previouslyFormattedCitation":"[11]"},"properties":{"noteIndex":0},"schema":"https://github.com/citation-style-language/schema/raw/master/csl-citation.json"}</w:instrText>
      </w:r>
      <w:r>
        <w:rPr>
          <w:rFonts w:ascii="Times New Roman" w:eastAsia="Times New Roman" w:hAnsi="Times New Roman" w:cs="Times New Roman"/>
          <w:bCs/>
          <w:kern w:val="0"/>
        </w:rPr>
        <w:fldChar w:fldCharType="separate"/>
      </w:r>
      <w:r w:rsidRPr="00BC5D73">
        <w:rPr>
          <w:rFonts w:ascii="Times New Roman" w:eastAsia="Times New Roman" w:hAnsi="Times New Roman" w:cs="Times New Roman"/>
          <w:bCs/>
          <w:noProof/>
          <w:kern w:val="0"/>
        </w:rPr>
        <w:t>[12]</w:t>
      </w:r>
      <w:r>
        <w:rPr>
          <w:rFonts w:ascii="Times New Roman" w:eastAsia="Times New Roman" w:hAnsi="Times New Roman" w:cs="Times New Roman"/>
          <w:bCs/>
          <w:kern w:val="0"/>
        </w:rPr>
        <w:fldChar w:fldCharType="end"/>
      </w:r>
      <w:r w:rsidR="00364C1D" w:rsidRPr="00BC5D73">
        <w:rPr>
          <w:rFonts w:ascii="Times New Roman" w:eastAsia="Times New Roman" w:hAnsi="Times New Roman" w:cs="Times New Roman"/>
          <w:bCs/>
          <w:kern w:val="0"/>
        </w:rPr>
        <w:t xml:space="preserve"> Data was gathered through a semi-structured guide and supplemented with a literature review using five search engines and keywords such as 'COVID-19,' 'telepsychiatry,' and 'Arab world.</w:t>
      </w:r>
    </w:p>
    <w:p w14:paraId="530D59B7" w14:textId="77777777" w:rsidR="00364C1D" w:rsidRPr="00BC5D73" w:rsidRDefault="00BC5D73" w:rsidP="00BC5D73">
      <w:pPr>
        <w:spacing w:after="0" w:line="240" w:lineRule="auto"/>
        <w:jc w:val="both"/>
        <w:rPr>
          <w:rFonts w:ascii="Times New Roman" w:hAnsi="Times New Roman" w:cs="Times New Roman"/>
        </w:rPr>
      </w:pPr>
      <w:r>
        <w:rPr>
          <w:rFonts w:ascii="Times New Roman" w:hAnsi="Times New Roman" w:cs="Times New Roman"/>
        </w:rPr>
        <w:fldChar w:fldCharType="begin" w:fldLock="1"/>
      </w:r>
      <w:r>
        <w:rPr>
          <w:rFonts w:ascii="Times New Roman" w:hAnsi="Times New Roman" w:cs="Times New Roman"/>
        </w:rPr>
        <w:instrText>ADDIN CSL_CITATION {"citationItems":[{"id":"ITEM-1","itemData":{"DOI":"10.3389/fdgth.2025.1543828","abstract":"Introduction Approximately three-quarters of Ethiopia's population lives in rural areas, and access to healthcare is difficult with poor transport infrastructure and long travel times. Telemedicine has the potential to support healthcare access and minimise COVID-19 transmission through a reduced need to travel. Objectives This Brief Research Report describes the analysis of qualitative data relating to the development of a mobile health (mHealth) system during the COVID-19 pandemic to support COVID-19 symptom management in the community in Oromia, Ethiopia. Methods Data were collected from (1) meeting notes and WhatsApp group discussions, (2) a focus group with medical staff, and (3) an interview with a senior hospital leader. A framework method was used for the analysis. Results Three themes were identified: (1) patient–physician relationship, (2) new ways of using everyday technology, and (3) infrastructure and digital access. Discussion We discuss the challenges of developing an mHealth system during a pandemic alongside infrastructural challenges and the preparedness of medical staff and communities for the use of mHealth. Conclusions There is a need for investment in information technology infrastructure and in access to digital networks, alongside a need to improve the digital and health literacy of populations for the successful implementation of a patient-facing mHealth system. Thus, whilst the policy aspirations are admirable, the potential for technological innovation is great, and the clinicians can see the benefit of using technologies to provide care to those who cannot reach clinics, there is a gap between what is possible given the current reality of infrastructure and patient preparedness and the requirements for a successful telemedicine intervention.","author":[{"dropping-particle":"","family":"Stenhouse","given":"Rosie","non-dropping-particle":"","parse-names":false,"suffix":""},{"dropping-particle":"","family":"Beshir","given":"Wassie Gebbie","non-dropping-particle":"","parse-names":false,"suffix":""},{"dropping-particle":"","family":"Girma","given":"D","non-dropping-particle":"","parse-names":false,"suffix":""},{"dropping-particle":"","family":"Fida","given":"Gosaye","non-dropping-particle":"","parse-names":false,"suffix":""},{"dropping-particle":"","family":"Calia","given":"Clara","non-dropping-particle":"","parse-names":false,"suffix":""},{"dropping-particle":"","family":"Guto","given":"G","non-dropping-particle":"","parse-names":false,"suffix":""},{"dropping-particle":"","family":"Wolters","given":"M K","non-dropping-particle":"","parse-names":false,"suffix":""}],"container-title":"Frontiers in Digital Health","id":"ITEM-1","issued":{"date-parts":[["2025"]]},"title":"Developing a COVID-19-focused mHealth system in a low-resource setting during the COVID-19 pandemic: challenges and opportunities","type":"article-journal"},"uris":["http://www.mendeley.com/documents/?uuid=5fb86334-dab4-4e6b-9b50-72502851def8"]}],"mendeley":{"formattedCitation":"[13]","plainTextFormattedCitation":"[13]","previouslyFormattedCitation":"[12]"},"properties":{"noteIndex":0},"schema":"https://github.com/citation-style-language/schema/raw/master/csl-citation.json"}</w:instrText>
      </w:r>
      <w:r>
        <w:rPr>
          <w:rFonts w:ascii="Times New Roman" w:hAnsi="Times New Roman" w:cs="Times New Roman"/>
        </w:rPr>
        <w:fldChar w:fldCharType="separate"/>
      </w:r>
      <w:r w:rsidRPr="00BC5D73">
        <w:rPr>
          <w:rFonts w:ascii="Times New Roman" w:hAnsi="Times New Roman" w:cs="Times New Roman"/>
          <w:noProof/>
        </w:rPr>
        <w:t>[13]</w:t>
      </w:r>
      <w:r>
        <w:rPr>
          <w:rFonts w:ascii="Times New Roman" w:hAnsi="Times New Roman" w:cs="Times New Roman"/>
        </w:rPr>
        <w:fldChar w:fldCharType="end"/>
      </w:r>
      <w:r w:rsidR="00364C1D" w:rsidRPr="00BC5D73">
        <w:rPr>
          <w:rFonts w:ascii="Times New Roman" w:hAnsi="Times New Roman" w:cs="Times New Roman"/>
        </w:rPr>
        <w:t xml:space="preserve">The present and future healthcare systems are expected to encounter numerous challenges, including the digitization of services, digital transformation, and disruptions within the healthcare sector—particularly those highlighted during the COVID-19 pandemic in the context of Health 4.0 and Society 5.0, along with the evolving demands on leadership. </w:t>
      </w:r>
      <w:r>
        <w:rPr>
          <w:rFonts w:ascii="Times New Roman" w:hAnsi="Times New Roman" w:cs="Times New Roman"/>
        </w:rPr>
        <w:fldChar w:fldCharType="begin" w:fldLock="1"/>
      </w:r>
      <w:r>
        <w:rPr>
          <w:rFonts w:ascii="Times New Roman" w:hAnsi="Times New Roman" w:cs="Times New Roman"/>
        </w:rPr>
        <w:instrText>ADDIN CSL_CITATION {"citationItems":[{"id":"ITEM-1","itemData":{"DOI":"10.3389/fendo.2023.1129793","abstract":"The past two decades have witnessed telemedicine becoming a crucial part of health care as a method to facilitate doctor-patient interaction. Due to technological developments and the incremental acquisition of experience in its use, telemedicine's advantages and cost-effectiveness has led to it being recognised as specifically relevant to diabetology. However, the pandemic created new challenges for healthcare systems and the rate of development of digital services started to grow exponentially. It was soon discovered that COVID-19-infected patients with diabetes had an increased risk of both mortality and debilitating sequelae. In addition, it was observed that this higher risk could be attenuated primarily by maintaining optimal control of the patient's glucose metabolism. As opportunities for actual physical doctor-patient visits became restricted, telemedicine provided the most convenient opportunity to communicate with patients and maintain delivery of care. The wide range of experiences of health care provision during the pandemic has led to the development of several excellent strategies regarding the applicability of telemedicine across the whole spectrum of diabetes care. The continuation of these strategies is likely to benefit clinical practice even after the pandemic crisis is over.","author":[{"dropping-particle":"","family":"Rosta","given":"L","non-dropping-particle":"","parse-names":false,"suffix":""},{"dropping-particle":"","family":"Menyhart","given":"Adrienn","non-dropping-particle":"","parse-names":false,"suffix":""},{"dropping-particle":"Al","family":"Mahmeed","given":"Wael","non-dropping-particle":"","parse-names":false,"suffix":""},{"dropping-particle":"","family":"Al-Rasadi","given":"Khalid","non-dropping-particle":"","parse-names":false,"suffix":""},{"dropping-particle":"","family":"Al-Alawi","given":"Kamila","non-dropping-particle":"","parse-names":false,"suffix":""},{"dropping-particle":"","family":"Banach","given":"Maciej","non-dropping-particle":"","parse-names":false,"suffix":""},{"dropping-particle":"","family":"Banerjee","given":"Yajnavalka","non-dropping-particle":"","parse-names":false,"suffix":""},{"dropping-particle":"","family":"Ceriello","given":"Antonio","non-dropping-particle":"","parse-names":false,"suffix":""},{"dropping-particle":"","family":"Cesur","given":"Mustafa","non-dropping-particle":"","parse-names":false,"suffix":""},{"dropping-particle":"","family":"Cosentino","given":"Francesco","non-dropping-particle":"","parse-names":false,"suffix":""},{"dropping-particle":"","family":"Firenze","given":"Alberto","non-dropping-particle":"","parse-names":false,"suffix":""},{"dropping-particle":"","family":"Galia","given":"Massimo","non-dropping-particle":"","parse-names":false,"suffix":""},{"dropping-particle":"","family":"Goh","given":"Su-Yen","non-dropping-particle":"","parse-names":false,"suffix":""},{"dropping-particle":"","family":"Janež","given":"Andrej","non-dropping-particle":"","parse-names":false,"suffix":""},{"dropping-particle":"","family":"Kalra","given":"Sanjay","non-dropping-particle":"","parse-names":false,"suffix":""},{"dropping-particle":"","family":"Kapoor","given":"Nitin","non-dropping-particle":"","parse-names":false,"suffix":""},{"dropping-particle":"","family":"Lessan","given":"Nader","non-dropping-particle":"","parse-names":false,"suffix":""},{"dropping-particle":"","family":"Lotufo","given":"Paulo A","non-dropping-particle":"","parse-names":false,"suffix":""},{"dropping-particle":"","family":"Παπάνας","given":"Νικόλαος","non-dropping-particle":"","parse-names":false,"suffix":""},{"dropping-particle":"","family":"Rizvi","given":"Ali A","non-dropping-particle":"","parse-names":false,"suffix":""},{"dropping-particle":"","family":"Sahebkar","given":"Amirhossein","non-dropping-particle":"","parse-names":false,"suffix":""},{"dropping-particle":"","family":"Santos","given":"Raul D","non-dropping-particle":"","parse-names":false,"suffix":""},{"dropping-particle":"","family":"Stoian","given":"Anca Pantea","non-dropping-particle":"","parse-names":false,"suffix":""},{"dropping-particle":"","family":"Tóth","given":"Peter P","non-dropping-particle":"","parse-names":false,"suffix":""},{"dropping-particle":"","family":"Viswanathan","given":"Vijay","non-dropping-particle":"","parse-names":false,"suffix":""},{"dropping-particle":"","family":"Kempler","given":"Péter","non-dropping-particle":"","parse-names":false,"suffix":""},{"dropping-particle":"","family":"Rizzo","given":"Manfredi","non-dropping-particle":"","parse-names":false,"suffix":""}],"container-title":"Frontiers in Endocrinology","id":"ITEM-1","issued":{"date-parts":[["2023"]]},"title":"Telemedicine for diabetes management during COVID-19: what we have learnt, what and how to implement","type":"article-journal"},"uris":["http://www.mendeley.com/documents/?uuid=acb4031b-2d9c-425e-bd6a-9c1d3b301c47"]}],"mendeley":{"formattedCitation":"[14]","plainTextFormattedCitation":"[14]","previouslyFormattedCitation":"[13]"},"properties":{"noteIndex":0},"schema":"https://github.com/citation-style-language/schema/raw/master/csl-citation.json"}</w:instrText>
      </w:r>
      <w:r>
        <w:rPr>
          <w:rFonts w:ascii="Times New Roman" w:hAnsi="Times New Roman" w:cs="Times New Roman"/>
        </w:rPr>
        <w:fldChar w:fldCharType="separate"/>
      </w:r>
      <w:r w:rsidRPr="00BC5D73">
        <w:rPr>
          <w:rFonts w:ascii="Times New Roman" w:hAnsi="Times New Roman" w:cs="Times New Roman"/>
          <w:noProof/>
        </w:rPr>
        <w:t>[14]</w:t>
      </w:r>
      <w:r>
        <w:rPr>
          <w:rFonts w:ascii="Times New Roman" w:hAnsi="Times New Roman" w:cs="Times New Roman"/>
        </w:rPr>
        <w:fldChar w:fldCharType="end"/>
      </w:r>
      <w:r w:rsidR="00364C1D" w:rsidRPr="00BC5D73">
        <w:rPr>
          <w:rFonts w:ascii="Times New Roman" w:hAnsi="Times New Roman" w:cs="Times New Roman"/>
        </w:rPr>
        <w:t xml:space="preserve">This narrative literature review aims to examine digital health information and the critical role of leadership in shaping the future of healthcare delivery. </w:t>
      </w:r>
      <w:r>
        <w:rPr>
          <w:rFonts w:ascii="Times New Roman" w:hAnsi="Times New Roman" w:cs="Times New Roman"/>
        </w:rPr>
        <w:fldChar w:fldCharType="begin" w:fldLock="1"/>
      </w:r>
      <w:r>
        <w:rPr>
          <w:rFonts w:ascii="Times New Roman" w:hAnsi="Times New Roman" w:cs="Times New Roman"/>
        </w:rPr>
        <w:instrText>ADDIN CSL_CITATION {"citationItems":[{"id":"ITEM-1","itemData":{"DOI":"10.5220/0011112600003439","abstract":": Currently, in the context of the COVID-19 pandemic and periodically introduced lockdowns for the Russian healthcare system, an important goal is to create conditions for the provision of medical care to all citizens, despite the territorial location and the possibility of physical visits to a hospital or polyclinic. In modern conditions of digitalization of life, an effective way to solve this problem is the development of information tools in the field of healthcare through the creation of a unified medical information space. The progressive development of technologies (medical and infocommunication) launches the process of digital transformation and the development of telemedicine. With all the above, it is fair to note that there is currently no formulated idea of what telemedicine includes, and there are also no fully formed norms for telemedicine services. A number of problems specific to telemedicine, but requiring solutions, for example, the question of who and what responsibility should be borne for the consultation provided, the problem of proper protection of personal data and compliance with medical secrecy, need to be resolved in the near future, which will make it more accessible and widespread to provide remote medical care using digital technologies.","author":[{"dropping-particle":"","family":"Baltutite","given":"Iolanta","non-dropping-particle":"","parse-names":false,"suffix":""},{"dropping-particle":"","family":"Kazachenok","given":"Olesya P","non-dropping-particle":"","parse-names":false,"suffix":""}],"container-title":"Proceedings of the 2nd International Scientific and Practical Conference \"COVID-19: Implementation of the Sustainable Development Goals\"","id":"ITEM-1","issued":{"date-parts":[["2021"]]},"title":"Legal Regulation of Digital Transformation of Technologies in Healthcare in Russia and Abroad Under the Influence of the COVID-19 Pandemic","type":"article-journal"},"uris":["http://www.mendeley.com/documents/?uuid=cce3dc5f-a534-4693-bf89-3f57259a5123"]}],"mendeley":{"formattedCitation":"[15]","plainTextFormattedCitation":"[15]","previouslyFormattedCitation":"[14]"},"properties":{"noteIndex":0},"schema":"https://github.com/citation-style-language/schema/raw/master/csl-citation.json"}</w:instrText>
      </w:r>
      <w:r>
        <w:rPr>
          <w:rFonts w:ascii="Times New Roman" w:hAnsi="Times New Roman" w:cs="Times New Roman"/>
        </w:rPr>
        <w:fldChar w:fldCharType="separate"/>
      </w:r>
      <w:r w:rsidRPr="00BC5D73">
        <w:rPr>
          <w:rFonts w:ascii="Times New Roman" w:hAnsi="Times New Roman" w:cs="Times New Roman"/>
          <w:noProof/>
        </w:rPr>
        <w:t>[15]</w:t>
      </w:r>
      <w:r>
        <w:rPr>
          <w:rFonts w:ascii="Times New Roman" w:hAnsi="Times New Roman" w:cs="Times New Roman"/>
        </w:rPr>
        <w:fldChar w:fldCharType="end"/>
      </w:r>
      <w:r w:rsidR="00364C1D" w:rsidRPr="00BC5D73">
        <w:rPr>
          <w:rFonts w:ascii="Times New Roman" w:hAnsi="Times New Roman" w:cs="Times New Roman"/>
        </w:rPr>
        <w:t>The article reviews 64 references focusing on key themes such as digital health, digital transformation, digital disruption, Health 4.0, Society 5.0, and hospital leadership. Globally, digital health is reshaping the way healthcare is delivered, addressing the growing needs of an aging population and the increasing burden of chronic illnesses.</w:t>
      </w:r>
    </w:p>
    <w:p w14:paraId="4237AC8E" w14:textId="77777777" w:rsidR="00364C1D" w:rsidRPr="00364C1D" w:rsidRDefault="00BC5D73" w:rsidP="00BC5D73">
      <w:pPr>
        <w:spacing w:after="0" w:line="240" w:lineRule="auto"/>
        <w:jc w:val="both"/>
        <w:rPr>
          <w:rFonts w:ascii="Times New Roman" w:eastAsia="Times New Roman" w:hAnsi="Times New Roman" w:cs="Times New Roman"/>
          <w:kern w:val="0"/>
        </w:rPr>
      </w:pPr>
      <w:r>
        <w:rPr>
          <w:rFonts w:ascii="Times New Roman" w:hAnsi="Times New Roman" w:cs="Times New Roman"/>
        </w:rPr>
        <w:fldChar w:fldCharType="begin" w:fldLock="1"/>
      </w:r>
      <w:r>
        <w:rPr>
          <w:rFonts w:ascii="Times New Roman" w:hAnsi="Times New Roman" w:cs="Times New Roman"/>
        </w:rPr>
        <w:instrText>ADDIN CSL_CITATION {"citationItems":[{"id":"ITEM-1","itemData":{"DOI":"10.1680/jwarm.21.00035","abstract":"The resilience of a new national healthcare waste management protocol was compared in hospital and community settings in Ethiopia during the Covid-19 pandemic. The aim was also to evaluate the flexibility and implementation status of the guidelines for healthcare waste management in the context of a pandemic. The study was performed in a cross-sectional design by using a structured questionnaire, checklists, and through a systematic review. Primary and secondary data were collected, including those from municipal sites, Yekatit 12 Hospital and other relevant stakeholders. Furthermore, the data were analysed and compared to the global practices and standards. The study revealed there was a comparable difference in the level of care taken during healthcare waste management between health care institutions and in the community in Addis Ababa city. Provision of awareness training to waste handlers in both the clinical and municipal setting were great deficiencies, which has to be addressed together with many other variables beginning from the formulation of a resilient waste management protocol. Furthermore, waste management protocols have to be expert-revised periodically.","author":[{"dropping-particle":"","family":"Gebreeyessus","given":"Getachew Dagnew","non-dropping-particle":"","parse-names":false,"suffix":""},{"dropping-particle":"","family":"Gebreeyessus","given":"Getachew Dagnew","non-dropping-particle":"","parse-names":false,"suffix":""},{"dropping-particle":"","family":"Tegegne","given":"Bewket Dagne","non-dropping-particle":"","parse-names":false,"suffix":""},{"dropping-particle":"","family":"Tegegne","given":"Bewket Dagne","non-dropping-particle":"","parse-names":false,"suffix":""},{"dropping-particle":"","family":"Ali","given":"Adane Sirage","non-dropping-particle":"","parse-names":false,"suffix":""},{"dropping-particle":"","family":"Ali","given":"Adane Sirage","non-dropping-particle":"","parse-names":false,"suffix":""}],"container-title":"Proceedings of the Institution of Civil Engineers","id":"ITEM-1","issued":{"date-parts":[["2022"]]},"title":"Comparing the resilience of healthcare waste management during Covid-19: a case study","type":"article-journal"},"uris":["http://www.mendeley.com/documents/?uuid=76cf5d25-95a8-4d3c-94f5-6c845055de45"]}],"mendeley":{"formattedCitation":"[16]","plainTextFormattedCitation":"[16]","previouslyFormattedCitation":"[15]"},"properties":{"noteIndex":0},"schema":"https://github.com/citation-style-language/schema/raw/master/csl-citation.json"}</w:instrText>
      </w:r>
      <w:r>
        <w:rPr>
          <w:rFonts w:ascii="Times New Roman" w:hAnsi="Times New Roman" w:cs="Times New Roman"/>
        </w:rPr>
        <w:fldChar w:fldCharType="separate"/>
      </w:r>
      <w:r w:rsidRPr="00BC5D73">
        <w:rPr>
          <w:rFonts w:ascii="Times New Roman" w:hAnsi="Times New Roman" w:cs="Times New Roman"/>
          <w:noProof/>
        </w:rPr>
        <w:t>[16]</w:t>
      </w:r>
      <w:r>
        <w:rPr>
          <w:rFonts w:ascii="Times New Roman" w:hAnsi="Times New Roman" w:cs="Times New Roman"/>
        </w:rPr>
        <w:fldChar w:fldCharType="end"/>
      </w:r>
      <w:r w:rsidR="00364C1D" w:rsidRPr="00BC5D73">
        <w:rPr>
          <w:rFonts w:ascii="Times New Roman" w:hAnsi="Times New Roman" w:cs="Times New Roman"/>
        </w:rPr>
        <w:t xml:space="preserve">Maternity and child healthcare remains a crucial priority within Ukraine’s healthcare system, given its direct connection to the birth and well-being of future generations—an essential </w:t>
      </w:r>
      <w:r w:rsidR="00364C1D" w:rsidRPr="00BC5D73">
        <w:rPr>
          <w:rFonts w:ascii="Times New Roman" w:hAnsi="Times New Roman" w:cs="Times New Roman"/>
        </w:rPr>
        <w:lastRenderedPageBreak/>
        <w:t xml:space="preserve">component of the nation's long-term development. </w:t>
      </w:r>
      <w:r>
        <w:rPr>
          <w:rFonts w:ascii="Times New Roman" w:hAnsi="Times New Roman" w:cs="Times New Roman"/>
        </w:rPr>
        <w:fldChar w:fldCharType="begin" w:fldLock="1"/>
      </w:r>
      <w:r>
        <w:rPr>
          <w:rFonts w:ascii="Times New Roman" w:hAnsi="Times New Roman" w:cs="Times New Roman"/>
        </w:rPr>
        <w:instrText>ADDIN CSL_CITATION {"citationItems":[{"id":"ITEM-1","itemData":{"DOI":"10.48121/jihsam.994617","abstract":"Purpose: The purpose of the study was to evaluate the type and use of digital healthcare services by the healthcare professionals and determine the satisfaction level of outpatients with the services they received during their visit to hospital. The study was carried out in the City Training and Research Hospital located in the South of Turkey between March 13-23, 2021 when the Covid -19 Pandemic was the most intense. The hospital received a level of 6 digital certificate in 2019. Material and Method: In addition to socio-demographic questionnaires developed for healthcare professionals and patients, specific questionnaires were developed for the both groups. Total 308 respondents participated in this research. The questionnaire for healthcare professionals was administered via online. The patient satisfaction questionnaire using a 5-likert scale was conducted with outpatients thru face-to-face by using pen and pencil. For the data analysis SPSS 21 package was employed. Results: Among the existing digital healthcare services at the hospital, the majority of the healthcare professionals reported “electronic digital health care records” (66.7%), “nursing information system” (61.1%) and “patient imaging system” (50.9%). Others were mentioned by the less than half of the respondents. Patients reported satisfaction with the services they received during their visit to hospital.","author":[{"dropping-particle":"","family":"KAYSERİLİ","given":"Aydan","non-dropping-particle":"","parse-names":false,"suffix":""},{"dropping-particle":"","family":"Kayserili","given":"Aydan","non-dropping-particle":"","parse-names":false,"suffix":""},{"dropping-particle":"","family":"GULTEKİN","given":"Efdal OKTAY","non-dropping-particle":"","parse-names":false,"suffix":""},{"dropping-particle":"","family":"GULTEKİN","given":"Efdal OKTAY","non-dropping-particle":"","parse-names":false,"suffix":""},{"dropping-particle":"","family":"AKSAK","given":"Tiinçe","non-dropping-particle":"","parse-names":false,"suffix":""},{"dropping-particle":"","family":"Aksak","given":"Tiinçe","non-dropping-particle":"","parse-names":false,"suffix":""},{"dropping-particle":"","family":"COŞKUN","given":"Arzu","non-dropping-particle":"","parse-names":false,"suffix":""},{"dropping-particle":"","family":"COŞKUN","given":"Arzu","non-dropping-particle":"","parse-names":false,"suffix":""}],"container-title":"Journal of international health sciences and management","id":"ITEM-1","issued":{"date-parts":[["2021"]]},"title":"Evaluation of digital healthcare services and satisfaction of outpatients at the City Training and Research Hospital located in the South of Turkey during Covid-19 pandemic","type":"article-journal"},"uris":["http://www.mendeley.com/documents/?uuid=fd6abb62-6121-40db-970b-e4a6e69f707b"]}],"mendeley":{"formattedCitation":"[17]","plainTextFormattedCitation":"[17]","previouslyFormattedCitation":"[16]"},"properties":{"noteIndex":0},"schema":"https://github.com/citation-style-language/schema/raw/master/csl-citation.json"}</w:instrText>
      </w:r>
      <w:r>
        <w:rPr>
          <w:rFonts w:ascii="Times New Roman" w:hAnsi="Times New Roman" w:cs="Times New Roman"/>
        </w:rPr>
        <w:fldChar w:fldCharType="separate"/>
      </w:r>
      <w:r w:rsidRPr="00BC5D73">
        <w:rPr>
          <w:rFonts w:ascii="Times New Roman" w:hAnsi="Times New Roman" w:cs="Times New Roman"/>
          <w:noProof/>
        </w:rPr>
        <w:t>[17]</w:t>
      </w:r>
      <w:r>
        <w:rPr>
          <w:rFonts w:ascii="Times New Roman" w:hAnsi="Times New Roman" w:cs="Times New Roman"/>
        </w:rPr>
        <w:fldChar w:fldCharType="end"/>
      </w:r>
      <w:r w:rsidR="00364C1D" w:rsidRPr="00BC5D73">
        <w:rPr>
          <w:rFonts w:ascii="Times New Roman" w:hAnsi="Times New Roman" w:cs="Times New Roman"/>
        </w:rPr>
        <w:t xml:space="preserve">At the outset of the Sustainable Development Goals (SDGs) era, the rates of maternal morbidity and mortality during pregnancy and childbirth in Ukraine were still unacceptably high, despite many of these cases being preventable. </w:t>
      </w:r>
      <w:r>
        <w:rPr>
          <w:rFonts w:ascii="Times New Roman" w:hAnsi="Times New Roman" w:cs="Times New Roman"/>
        </w:rPr>
        <w:fldChar w:fldCharType="begin" w:fldLock="1"/>
      </w:r>
      <w:r>
        <w:rPr>
          <w:rFonts w:ascii="Times New Roman" w:hAnsi="Times New Roman" w:cs="Times New Roman"/>
        </w:rPr>
        <w:instrText>ADDIN CSL_CITATION {"citationItems":[{"id":"ITEM-1","itemData":{"DOI":"10.1109/tem.2023.3265624","abstract":"The exceptional COVID-19 crisis has shown the fragility of the health supply chain and the need for its digital transformation. However, digitization initiatives for healthcare supply chain have focused mainly on the hospital as a central point of consumption as well as on the relationship between the hospital and its suppliers. Thus, unlike previous studies that have focused on the digitalization of the internal supply chain of hospitals, this article is centered on the digitalization of external trajectories, particularly, the home care medical supply chain. This perspective complements the hospital-centric model, in which logistics activities are analyzed only from the point of view of the focal actor, which is the hospital. In order to understand this contemporary phenomenon embedded in a local context, we have conducted an in-depth case study. Based on an enriched model of the digital supply chain developed by Queiroz et al. (2021), this article offers for the first time a deep understanding and digitalization initiatives of the home care medical supply chain. The research proposals can guide logistics managers and nurses on their initiatives of digitalization of the home care medical supply chain, and further strengthen the healthcare development. This article draws the attention of healthcare stakeholders to the importance of efforts in the digitalization of external trajectories, thus allowing the healthcare system to adapt to the growing needs of elderly people and people with physical or mental disabilities.","author":[{"dropping-particle":"","family":"Beaulieu","given":"Martin","non-dropping-particle":"","parse-names":false,"suffix":""},{"dropping-particle":"","family":"Bentahar","given":"Omar","non-dropping-particle":"","parse-names":false,"suffix":""},{"dropping-particle":"","family":"Benzidia","given":"Smaïl","non-dropping-particle":"","parse-names":false,"suffix":""},{"dropping-particle":"","family":"Gunasekaran","given":"Angappa","non-dropping-particle":"","parse-names":false,"suffix":""}],"container-title":"IEEE transactions on engineering management","id":"ITEM-1","issued":{"date-parts":[["2023"]]},"title":"Digitalization Initiatives of Home Care Medical Supply Chain: A Case-Study-Based Approach","type":"article-journal"},"uris":["http://www.mendeley.com/documents/?uuid=03651ebc-84e9-4e6d-83d3-ad1eb1bbe551"]}],"mendeley":{"formattedCitation":"[18]","plainTextFormattedCitation":"[18]","previouslyFormattedCitation":"[17]"},"properties":{"noteIndex":0},"schema":"https://github.com/citation-style-language/schema/raw/master/csl-citation.json"}</w:instrText>
      </w:r>
      <w:r>
        <w:rPr>
          <w:rFonts w:ascii="Times New Roman" w:hAnsi="Times New Roman" w:cs="Times New Roman"/>
        </w:rPr>
        <w:fldChar w:fldCharType="separate"/>
      </w:r>
      <w:r w:rsidRPr="00BC5D73">
        <w:rPr>
          <w:rFonts w:ascii="Times New Roman" w:hAnsi="Times New Roman" w:cs="Times New Roman"/>
          <w:noProof/>
        </w:rPr>
        <w:t>[18]</w:t>
      </w:r>
      <w:r>
        <w:rPr>
          <w:rFonts w:ascii="Times New Roman" w:hAnsi="Times New Roman" w:cs="Times New Roman"/>
        </w:rPr>
        <w:fldChar w:fldCharType="end"/>
      </w:r>
      <w:r w:rsidR="00364C1D" w:rsidRPr="00BC5D73">
        <w:rPr>
          <w:rFonts w:ascii="Times New Roman" w:hAnsi="Times New Roman" w:cs="Times New Roman"/>
        </w:rPr>
        <w:t xml:space="preserve">The COVID-19 pandemic, which began in 2019, profoundly altered daily life and disrupted the functioning of specialized healthcare services. </w:t>
      </w:r>
      <w:r>
        <w:rPr>
          <w:rFonts w:ascii="Times New Roman" w:hAnsi="Times New Roman" w:cs="Times New Roman"/>
        </w:rPr>
        <w:fldChar w:fldCharType="begin" w:fldLock="1"/>
      </w:r>
      <w:r>
        <w:rPr>
          <w:rFonts w:ascii="Times New Roman" w:hAnsi="Times New Roman" w:cs="Times New Roman"/>
        </w:rPr>
        <w:instrText>ADDIN CSL_CITATION {"citationItems":[{"id":"ITEM-1","itemData":{"DOI":"10.1177/08404704231185487","abstract":"The COVID-19 pandemic has been characterized as a \"big-event disruption\" that fundamentally challenged the sustainability of existing healthcare business and service models and demanded innovation through \"dual transformation\" simultaneously to both core operations and the evolution of new strategic directions. The concept of disruptive innovation as applied to healthcare is reviewed and the strategies of distributed healthcare organizations supporting the most medically and socially complex communities during the COVID-19 pandemic are described as demonstrative of the promise of disruptive innovation in healthcare to bring about the necessary shift away from acute and facility-based care to integrated health and social care in the community. The place of new digital health technologies including \"big data\" analytics, digital platforms, and artificial intelligence/machine learning are identified as being integral to optimizing the scale and scope of impact of distributed community health and social care.","author":[{"dropping-particle":"","family":"Bond","given":"Andrew D","non-dropping-particle":"","parse-names":false,"suffix":""}],"container-title":"Healthcare Management Forum","id":"ITEM-1","issued":{"date-parts":[["2023"]]},"title":"Margin notes from the COVID-19 pandemic for the future of healthcare innovation","type":"article-journal"},"uris":["http://www.mendeley.com/documents/?uuid=d3a8bb94-e382-4f3d-aa2e-92e2e5fd2826"]}],"mendeley":{"formattedCitation":"[19]","plainTextFormattedCitation":"[19]","previouslyFormattedCitation":"[18]"},"properties":{"noteIndex":0},"schema":"https://github.com/citation-style-language/schema/raw/master/csl-citation.json"}</w:instrText>
      </w:r>
      <w:r>
        <w:rPr>
          <w:rFonts w:ascii="Times New Roman" w:hAnsi="Times New Roman" w:cs="Times New Roman"/>
        </w:rPr>
        <w:fldChar w:fldCharType="separate"/>
      </w:r>
      <w:r w:rsidRPr="00BC5D73">
        <w:rPr>
          <w:rFonts w:ascii="Times New Roman" w:hAnsi="Times New Roman" w:cs="Times New Roman"/>
          <w:noProof/>
        </w:rPr>
        <w:t>[19]</w:t>
      </w:r>
      <w:r>
        <w:rPr>
          <w:rFonts w:ascii="Times New Roman" w:hAnsi="Times New Roman" w:cs="Times New Roman"/>
        </w:rPr>
        <w:fldChar w:fldCharType="end"/>
      </w:r>
      <w:r w:rsidR="00364C1D" w:rsidRPr="00BC5D73">
        <w:rPr>
          <w:rFonts w:ascii="Times New Roman" w:hAnsi="Times New Roman" w:cs="Times New Roman"/>
        </w:rPr>
        <w:t>In light of the potential for future pandemics, it is vital to analyze the healthcare system’s performance during this period and develop new strategies for delivering high-quality perinatal care during similar crises.</w:t>
      </w:r>
    </w:p>
    <w:p w14:paraId="6CE38CB7" w14:textId="77777777" w:rsidR="00364C1D" w:rsidRPr="00BC5D73" w:rsidRDefault="00BC5D73" w:rsidP="00BC5D73">
      <w:pPr>
        <w:pStyle w:val="NormalWeb"/>
        <w:jc w:val="both"/>
      </w:pPr>
      <w:r>
        <w:fldChar w:fldCharType="begin" w:fldLock="1"/>
      </w:r>
      <w:r>
        <w:instrText>ADDIN CSL_CITATION {"citationItems":[{"id":"ITEM-1","itemData":{"DOI":"10.1192/j.eurpsy.2023.1115","abstract":"Introduction Telepsychiatry (TP) is the use of telecommunication technologies to provide psychiatric assessment, diagnosis, treatment, and consultation. During the COVID-19 outbreak, TP has shown potential for connecting with people unable to access traditional in-person services, and also enabling patients to receive mental health care safely from home. The Home Hospital care system (Cure Ospedaliere Domiciliari; COD20) is a video consultation service developed by the University of Milan. Objectives We aimed at investigating the potential of Telemedicine (TM) in a sample of psychiatric patients. Methods As of now, 208 consecutive patients of an outpatient clinic belonging to ASST Fatebenefratelli-Sacco in Milan were interviewed through an online anonymous survey. Data collected were sociodemographic, job position, educational level, digital skills and both satisfaction degree and ease of use of the COD20 tool. Data were analyzed using SPSS v.27. Results Among 208 patients, 87.7% had Internet access, 94.5% used a smartphone, 74% used a computer and 37% used a tablet. The levels of digital skills were considered intermediate-advanced in communication and information research for the majority of the cases. A high percentage of patients (80.8%) learned how to use electronic devices by themselves, while only 12.3% had an ECDL certificate. The most represented diagnoses were Mood Disorders (44.5%) and Anxiety Disorders (14%). The majority of the sample (54.8%) was visited using TM for clinical interviews: 24.7% of them used TM at least 10 times/year, and 19.8% more than 20 times/year. Among all the clinical interviews conducted using TM, 61% concerned psychiatric consultation, while 30% were dedicated to psychotherapy. The most used tool was the COD20 platform (21.9%): it was considered easy to use in 47.9% of cases, while 43.8% of patients would like to use it again in the future. The main reasons leading to the usage of TM were the difficulties in reaching the ambulatory (for 43.9%) and the workplace (for 30%). Image: Image 2: Conclusions TM represents a valid implementation in the traditional clinical practice, and we showed it is well received in terms of appreciation and ease of use. The COD20 platform could increase access to care, and overcome barriers such as distance, travel costs and time management. TP contributes to develop a more inclusive healthcare process for patients, with better performance in terms of compliance. Disclosure of Interest Non…","author":[{"dropping-particle":"","family":"Palazzo","given":"Marco","non-dropping-particle":"","parse-names":false,"suffix":""},{"dropping-particle":"","family":"Prodi","given":"Tiziano","non-dropping-particle":"","parse-names":false,"suffix":""},{"dropping-particle":"","family":"Cerioli","given":"M","non-dropping-particle":"","parse-names":false,"suffix":""},{"dropping-particle":"","family":"Conti","given":"D","non-dropping-particle":"","parse-names":false,"suffix":""},{"dropping-particle":"","family":"Galbassini","given":"A","non-dropping-particle":"","parse-names":false,"suffix":""},{"dropping-particle":"","family":"Nicolini","given":"G","non-dropping-particle":"","parse-names":false,"suffix":""},{"dropping-particle":"","family":"Dell’Osso","given":"Bernardo","non-dropping-particle":"","parse-names":false,"suffix":""}],"container-title":"European psychiatry","id":"ITEM-1","issued":{"date-parts":[["2023"]]},"title":"Telemedicine in Psychiatry: benefits and challenges of the the Home-Hospital Care system (COD20) project","type":"article-journal"},"uris":["http://www.mendeley.com/documents/?uuid=215028de-fa27-4045-bcc2-306e3f9968b3"]}],"mendeley":{"formattedCitation":"[20]","plainTextFormattedCitation":"[20]","previouslyFormattedCitation":"[19]"},"properties":{"noteIndex":0},"schema":"https://github.com/citation-style-language/schema/raw/master/csl-citation.json"}</w:instrText>
      </w:r>
      <w:r>
        <w:fldChar w:fldCharType="separate"/>
      </w:r>
      <w:r w:rsidRPr="00BC5D73">
        <w:rPr>
          <w:noProof/>
        </w:rPr>
        <w:t>[20]</w:t>
      </w:r>
      <w:r>
        <w:fldChar w:fldCharType="end"/>
      </w:r>
      <w:r w:rsidR="00364C1D" w:rsidRPr="00BC5D73">
        <w:t xml:space="preserve">Around 75% of Ethiopia’s population resides in rural areas, where accessing healthcare is challenging due to inadequate transportation infrastructure and lengthy travel times. </w:t>
      </w:r>
      <w:r>
        <w:fldChar w:fldCharType="begin" w:fldLock="1"/>
      </w:r>
      <w:r>
        <w:instrText>ADDIN CSL_CITATION {"citationItems":[{"id":"ITEM-1","itemData":{"DOI":"10.3390/healthcare11182516","abstract":"The COVID-19 pandemic highlighted the need for efficient use of hospital infrastructure. The hypothesis was that a rapid shift to outpatient surgery after hip or knee arthroplasty could be implemented without compromising quality of care. The aim of this study was to assess the safety, pain management and patient-reported outcomes before and after the implementation of an accelerated discharge program using a digital follow-up tool. A retrospective cohort design was used to compare 97 patients who received primary total hip or knee arthroplasty during the pandemic (early discharge) to comparable 194 pre-pandemic patients (normal discharge). Both cohorts had the same inclusion criteria and were closely monitored using the digital follow-up tool. The accelerated discharge program reduced length of stay from a median of 3 days (before the pandemic) to a median of 1 day (during the pandemic) (p &amp;lt; 0.001). The complication rate of 2% was the same for both groups (p &amp;gt; 0.05). Patient-reported outcomes for matched samples of hip (n = 100) and knee (n = 82) arthroplasty patients were similar before, at 6 weeks and 3 months after surgery for both groups (p &amp;gt; 0.05). There were no differences in pain and medication consumption for the first 6 weeks (p &amp;gt; 0.05). This study demonstrates that reducing length of stay from three to one night after total knee or hip arthroplasty, with the help of a digital follow-up tool, results in a stable rate of complications, readmission, and comparable clinical outcomes, while reducing the socio-economic burden on the health system.","author":[{"dropping-particle":"Van","family":"Overschelde","given":"Philippe","non-dropping-particle":"","parse-names":false,"suffix":""},{"dropping-particle":"Van","family":"Lysebettens","given":"Wouter","non-dropping-particle":"","parse-names":false,"suffix":""},{"dropping-particle":"","family":"Lebleu","given":"Julien","non-dropping-particle":"","parse-names":false,"suffix":""},{"dropping-particle":"","family":"Pauwels","given":"Andries","non-dropping-particle":"","parse-names":false,"suffix":""},{"dropping-particle":"","family":"Parratte","given":"Sébastien","non-dropping-particle":"","parse-names":false,"suffix":""}],"container-title":"Healthcare","id":"ITEM-1","issued":{"date-parts":[["2023"]]},"title":"Quick Transition to One Day Length of Stay after Hip and Knee Arthroplasty Using a Digital Follow-Up Tool during COVID-19: A Retrospective Comparative Study","type":"article-journal"},"uris":["http://www.mendeley.com/documents/?uuid=d8b3a4d4-408b-49fe-8511-e1a1214ccffa"]}],"mendeley":{"formattedCitation":"[21]","plainTextFormattedCitation":"[21]","previouslyFormattedCitation":"[20]"},"properties":{"noteIndex":0},"schema":"https://github.com/citation-style-language/schema/raw/master/csl-citation.json"}</w:instrText>
      </w:r>
      <w:r>
        <w:fldChar w:fldCharType="separate"/>
      </w:r>
      <w:r w:rsidRPr="00BC5D73">
        <w:rPr>
          <w:noProof/>
        </w:rPr>
        <w:t>[21]</w:t>
      </w:r>
      <w:r>
        <w:fldChar w:fldCharType="end"/>
      </w:r>
      <w:r w:rsidR="00364C1D" w:rsidRPr="00BC5D73">
        <w:t>Telemedicine presents a valuable opportunity to improve healthcare access while also reducing the spread of COVID-19 by limiting the need for physical travel.</w:t>
      </w:r>
    </w:p>
    <w:p w14:paraId="709A2D1B" w14:textId="77777777" w:rsidR="00364C1D" w:rsidRDefault="00BC5D73" w:rsidP="00C90D8E">
      <w:pPr>
        <w:pStyle w:val="NormalWeb"/>
        <w:jc w:val="both"/>
      </w:pPr>
      <w:r>
        <w:fldChar w:fldCharType="begin" w:fldLock="1"/>
      </w:r>
      <w:r>
        <w:instrText>ADDIN CSL_CITATION {"citationItems":[{"id":"ITEM-1","itemData":{"DOI":"10.1007/s11845-023-03368-9","abstract":"Chronic wounds are serious, protracted, and costly health problems that occur in all healthcare settings [1]. The prevalence of chronic wounds due to various causes during life is approximately 2.2 per 1000 population [2]. It is estimated that the incidence and prevalence of chronic wounds will continue to increase in the coming decades, following the predicted increase in the prevalence of chronic diseases, risk factors for chronic diseases, progress in health care, increased survival rates, and demographic changes [3]. A patient with chronic wounds has to lose a day's wage and pay travel expenses to receive care services in person, and the time of the appointment with the clinician is not even definite. Most of the referral cases are very unimportant and non-urgent and the cost of the service is high [4]. The onset of the COVID-19 pandemic in 2020 required healthcare providers to use technology to support a variety of care needs, including wound care. Therefore, new opportunities have presented themselves to shift from traditional face-to-face visits for specialty wound care to telehealth visits [5]. The development of emerging digital technologies has provided unique opportunities to offer virtual care in the healthcare system worldwide to improve health service delivery [6]. To address both the present and future needs of wound care, digital transformation can be incredibly helpful. It can aid the transformation of patient care approaches, catering to both cross-disciplinary care, and remote consultations, all of which have become necessities during the COVID-19 pandemic [7]. Various models for healthcare delivery have evolved over the past few years. There is more focus on preventive medicine, primary care, and providing services in patients' own homes. This has caused health care to shift from a traditional hospital-based approach toward a more unified system [3]. Incorporating telehealth into the delivery of wound care has great appeal for patients, family caregivers, and health care providers. Remote care helps patients and family caregivers to avoid time-consuming and expensive trips from home to see the wound specialist. At the same time, it allows providers to manage their patients in their own homes. Potentially, virtual care can improve access to wound care and its outcomes and reduce the challenges of face-to-face visits [5]. Virtual care is broadly defined as using technology that supports healthcare activities not provided in-person, inc…","author":[{"dropping-particle":"","family":"Babaei","given":"Nasib","non-dropping-particle":"","parse-names":false,"suffix":""},{"dropping-particle":"","family":"Lotfi","given":"Mojgan","non-dropping-particle":"","parse-names":false,"suffix":""},{"dropping-particle":"","family":"Avazeh","given":"Marziyeh","non-dropping-particle":"","parse-names":false,"suffix":""}],"container-title":"Irish Journal of Medical Science","id":"ITEM-1","issued":{"date-parts":[["2023"]]},"title":"The necessity of developing a virtual care model for patients with chronic wounds: letter to the editor","type":"article-journal"},"uris":["http://www.mendeley.com/documents/?uuid=ea13a851-4ecc-4211-91b5-e0f224d25287"]}],"mendeley":{"formattedCitation":"[22]","plainTextFormattedCitation":"[22]","previouslyFormattedCitation":"[21]"},"properties":{"noteIndex":0},"schema":"https://github.com/citation-style-language/schema/raw/master/csl-citation.json"}</w:instrText>
      </w:r>
      <w:r>
        <w:fldChar w:fldCharType="separate"/>
      </w:r>
      <w:r w:rsidRPr="00BC5D73">
        <w:rPr>
          <w:noProof/>
        </w:rPr>
        <w:t>[22]</w:t>
      </w:r>
      <w:r>
        <w:fldChar w:fldCharType="end"/>
      </w:r>
      <w:r w:rsidR="00364C1D">
        <w:t xml:space="preserve">This Brief Research Report presents an analysis of qualitative data related to the development of a mobile health (mHealth) system introduced during the COVID-19 pandemic. </w:t>
      </w:r>
      <w:r>
        <w:fldChar w:fldCharType="begin" w:fldLock="1"/>
      </w:r>
      <w:r>
        <w:instrText>ADDIN CSL_CITATION {"citationItems":[{"id":"ITEM-1","itemData":{"DOI":"10.2196/preprints.36686","abstract":"&lt;sec&gt; &lt;title&gt;BACKGROUND&lt;/title&gt; The COVID-19 pandemic required an unprecedented response by hospital information technology (IT) functions to provide information technology solutions to quickly drive the digital transformation of hospitals and health care systems to support high quality health care while adhering to and supporting contagion management protocols. &lt;/sec&gt; &lt;sec&gt; &lt;title&gt;OBJECTIVE&lt;/title&gt; Our objective was to understand whether health care information technology leaders (who we refer to broadly as Chief Information Officers (CIOs)) were ready for the COVID-19 pandemic, how they lead their IT departments through the pandemic, and how the CIO leadership practices lead to resilient hospital IT functions. &lt;/sec&gt; &lt;sec&gt; &lt;title&gt;METHODS&lt;/title&gt; We conducted a qualitative, interview-based study to purposefully sample CIOs in hospitals. We interviewed 16 CIOs from hospitals and health systems in the United States and Abu Dhabi, United Arab Emirates. We used in-depth interviews to capture their perspectives of the preparedness of hospitals’ information technology departments for the pandemic and how they lead their IT department out of the pandemic. We employed a thematic analysis of interview transcripts with NVivo to facilitate analysis through the inductive coding of the transcripts. &lt;/sec&gt; &lt;sec&gt; &lt;title&gt;RESULTS&lt;/title&gt; Results showed that healthcare CIOs were ambidextrous IT leaders who supported their organizations by simultaneously and rapidly improving existing digital business practices and creating innovative IT solutions. Further, CIOs exhibited various leadership styles which helped their healthcare organizations to respond in various ways to the pandemic. &lt;/sec&gt; &lt;sec&gt; &lt;title&gt;CONCLUSIONS&lt;/title&gt; Most healthcare CIOs exhibited an ambidextrous leadership style which enabled them to pivot quickly to respond to the pandemic. Ambidextrous IT leadership involved exploiting existing IT resources as well as exploring and innovating for continuous growth. Strategically building an agile and resilient IT function over time capable of responding to crisis such as a pandemic involved multi-faceted leadership practices. Measures of IT function resiliency focused on six IT perspectives: leadership, financial performance, learning, growth and innovation, stakeholders’ satisfaction, regulatory compliance, and operational excellence. &lt;/sec&gt; &lt;sec&gt; &lt;title&gt;CLINICALTRIAL&lt;/title&gt; NA &lt;/sec&gt;","author":[{"dropping-particle":"","family":"Cousins","given":"Karlene","non-dropping-particle":"","parse-names":false,"suffix":""},{"dropping-particle":"","family":"Cousins","given":"Karlene","non-dropping-particle":"","parse-names":false,"suffix":""},{"dropping-particle":"","family":"Hertelendy","given":"Attila J","non-dropping-particle":"","parse-names":false,"suffix":""},{"dropping-particle":"","family":"Hertelendy","given":"Attila","non-dropping-particle":"","parse-names":false,"suffix":""},{"dropping-particle":"","family":"Chen","given":"Min","non-dropping-particle":"","parse-names":false,"suffix":""},{"dropping-particle":"","family":"Chen","given":"Min","non-dropping-particle":"","parse-names":false,"suffix":""},{"dropping-particle":"","family":"Durneva","given":"Polina","non-dropping-particle":"","parse-names":false,"suffix":""},{"dropping-particle":"","family":"Durneva","given":"Polina","non-dropping-particle":"","parse-names":false,"suffix":""},{"dropping-particle":"","family":"Wang","given":"Shangjun","non-dropping-particle":"","parse-names":false,"suffix":""},{"dropping-particle":"","family":"Wang","given":"Shangjun","non-dropping-particle":"","parse-names":false,"suffix":""}],"id":"ITEM-1","issued":{"date-parts":[["2022"]]},"title":"Building Resilient Hospital Information Technology Services: Lessons in Ambidextrous CIO Leadership During COVID-19 in the United States and Abu Dhabi, United Arab Emirates (Preprint)","type":"article-journal"},"uris":["http://www.mendeley.com/documents/?uuid=71d47505-67b7-4608-8ce9-f16ea1738966"]}],"mendeley":{"formattedCitation":"[23]","plainTextFormattedCitation":"[23]","previouslyFormattedCitation":"[22]"},"properties":{"noteIndex":0},"schema":"https://github.com/citation-style-language/schema/raw/master/csl-citation.json"}</w:instrText>
      </w:r>
      <w:r>
        <w:fldChar w:fldCharType="separate"/>
      </w:r>
      <w:r w:rsidRPr="00BC5D73">
        <w:rPr>
          <w:noProof/>
        </w:rPr>
        <w:t>[23]</w:t>
      </w:r>
      <w:r>
        <w:fldChar w:fldCharType="end"/>
      </w:r>
      <w:r w:rsidR="00364C1D">
        <w:t>The system was designed to support community-based symptom management for COVID-19 in the Oromia region of Ethiopia.</w:t>
      </w:r>
    </w:p>
    <w:p w14:paraId="65C162E9" w14:textId="77777777" w:rsidR="00364C1D" w:rsidRDefault="00364C1D" w:rsidP="00C90D8E">
      <w:pPr>
        <w:pStyle w:val="NormalWeb"/>
        <w:jc w:val="both"/>
      </w:pPr>
      <w:r>
        <w:t xml:space="preserve">Over the past twenty years, telemedicine has evolved into a vital component of healthcare, offering an effective means to enhance doctor-patient communication. </w:t>
      </w:r>
      <w:r w:rsidR="00BC5D73">
        <w:fldChar w:fldCharType="begin" w:fldLock="1"/>
      </w:r>
      <w:r w:rsidR="00BC5D73">
        <w:instrText>ADDIN CSL_CITATION {"citationItems":[{"id":"ITEM-1","itemData":{"DOI":"10.3389/frai.2022.962165","abstract":"Artificial intelligence is taking the world by storm and soon will be aiding patients in their journey at the hospital. The trials and tribulations of the healthcare system during the COVID-19 pandemic have set the stage for shifting healthcare from a physical to a cyber-physical space. A physician can now remotely monitor a patient, admitting them only if they meet certain thresholds, thereby reducing the total number of admissions at the hospital. Coordination, communication, and resource management have been core issues for any industry. However, it is most accurate in healthcare. Both systems and providers are exhausted under the burden of increasing data and complexity of care delivery, increasing costs, and financial burden. Simultaneously, there is a digital transformation of healthcare in the making. This transformation provides an opportunity to create systems of care that are artificial intelligence-enabled. Healthcare resources can be utilized more justly. The wastage of financial and intellectual resources in an overcrowded healthcare system can be avoided by implementing IoT, telehealth, and AI/ML-based algorithms. It is imperative to consider the design principles of the patient's journey while simultaneously prioritizing a better user experience to alleviate physician concerns. This paper discusses the entire blueprint of the AI/ML-assisted patient journey and its impact on healthcare provision.","author":[{"dropping-particle":"","family":"Nazir","given":"Talha","non-dropping-particle":"","parse-names":false,"suffix":""},{"dropping-particle":"","family":"Nazir","given":"Talha","non-dropping-particle":"","parse-names":false,"suffix":""},{"dropping-particle":"","family":"Rehman","given":"Muhammad Mushhood Ur","non-dropping-particle":"","parse-names":false,"suffix":""},{"dropping-particle":"","family":"Rehman","given":"Muhammad Mushhood Ur","non-dropping-particle":"","parse-names":false,"suffix":""},{"dropping-particle":"","family":"Asghar","given":"Muhammad Roshan","non-dropping-particle":"","parse-names":false,"suffix":""},{"dropping-particle":"","family":"Asghar","given":"Muhammad Roshan","non-dropping-particle":"","parse-names":false,"suffix":""},{"dropping-particle":"","family":"Kalia","given":"Junaid S","non-dropping-particle":"","parse-names":false,"suffix":""},{"dropping-particle":"","family":"Kalia","given":"Junaid","non-dropping-particle":"","parse-names":false,"suffix":""}],"container-title":"Frontiers in artificial intelligence","id":"ITEM-1","issued":{"date-parts":[["2022"]]},"title":"Artificial intelligence assisted acute patient journey","type":"article-journal"},"uris":["http://www.mendeley.com/documents/?uuid=b3b77851-222d-42f1-a3ee-53f732cd365f"]}],"mendeley":{"formattedCitation":"[24]","plainTextFormattedCitation":"[24]","previouslyFormattedCitation":"[23]"},"properties":{"noteIndex":0},"schema":"https://github.com/citation-style-language/schema/raw/master/csl-citation.json"}</w:instrText>
      </w:r>
      <w:r w:rsidR="00BC5D73">
        <w:fldChar w:fldCharType="separate"/>
      </w:r>
      <w:r w:rsidR="00BC5D73" w:rsidRPr="00BC5D73">
        <w:rPr>
          <w:noProof/>
        </w:rPr>
        <w:t>[24]</w:t>
      </w:r>
      <w:r w:rsidR="00BC5D73">
        <w:fldChar w:fldCharType="end"/>
      </w:r>
      <w:r>
        <w:t xml:space="preserve">Advancements in technology and growing expertise in its application have highlighted telemedicine’s benefits and cost-efficiency, making it particularly valuable in the field of diabetology. </w:t>
      </w:r>
      <w:r w:rsidR="00BC5D73">
        <w:fldChar w:fldCharType="begin" w:fldLock="1"/>
      </w:r>
      <w:r w:rsidR="00BC5D73">
        <w:instrText>ADDIN CSL_CITATION {"citationItems":[{"id":"ITEM-1","itemData":{"DOI":"10.22541/au.161118001.13216246/v1","abstract":"Improving clinical practice in ENT: lessons learnt from the COVID-19 pandemicJames R Tysome, Cambridge University Hospitals, UKEditor-in-Chief, Clinical OtolaryngologyWhile currently in the midst of another wave of COVID-19 infections, putting untold strain on both healthcare systems and healthcare workers around the globe, it is important to reflect on the changes that we have all had to make. All ENT departments, within a very short timeframe, restructured clinical services to prioritise the delivery of patient care to those with the greatest clinical need, while increasing services such as tracheostomy for the high number of patients with COVID-19 in intensive care. We also changed the methods that we use to teach our trainees and share knowledge with colleagues. Many of these changes have been successful and should now be maintained in the future.It has been fascinating to see the how the research community built new research networks and redirected focus to projects related to understanding SARS-CoV-2 infection; surveillance and public health measures, optimising patient management of the disease and understanding the impact of COVID-19 on different healthcare systems. This resulted in over 89,000 peer reviewed publications relating to COVID-19 in 2020 and the development of new research structures such as CovidSurg , a global collaborative platform of studies aiming to explore the impact of COVID-19 on surgical patients.1Two papers in this issue demonstrate how clinical practice in ENT adapted to COVID-19. The first explores the publication of guidance relevant to ENT.2 Both national bodies and specialist societies across the globe published guidance on how services should be reconfigured, patients prioritised, and ENT surgeons protected, particularly with respect to aerosol generating procedures given the potential high risk of infection. It is the speed of publication that was particularly impressive. Of the 175 online publications of COVID guidance related to ENT, 41% were published between the third and fourth week of March 2020.The second study explores the impact of this guidance on clinical care through a prospective audit of the management of tonsillitis and peritonsillar abscess in 86 hospitals across the UK following the publication of guidelines by ENT UK, the professional body representing ENT surgeons in the UK. This provided a pathway that aimed to prevent hospital admission when safe to do so.3 Increased use of single doses of intra…","author":[{"dropping-particle":"","family":"Tysome","given":"James R","non-dropping-particle":"","parse-names":false,"suffix":""},{"dropping-particle":"","family":"Tysome","given":"James R","non-dropping-particle":"","parse-names":false,"suffix":""}],"id":"ITEM-1","issued":{"date-parts":[["2021"]]},"title":"Improving clinical practice in ENT: lessons learnt from the COVID-19 pandemic","type":"article-journal"},"uris":["http://www.mendeley.com/documents/?uuid=c83dcb4f-1d7e-41f5-9a9c-4a424e367b46"]}],"mendeley":{"formattedCitation":"[25]","plainTextFormattedCitation":"[25]","previouslyFormattedCitation":"[24]"},"properties":{"noteIndex":0},"schema":"https://github.com/citation-style-language/schema/raw/master/csl-citation.json"}</w:instrText>
      </w:r>
      <w:r w:rsidR="00BC5D73">
        <w:fldChar w:fldCharType="separate"/>
      </w:r>
      <w:r w:rsidR="00BC5D73" w:rsidRPr="00BC5D73">
        <w:rPr>
          <w:noProof/>
        </w:rPr>
        <w:t>[25]</w:t>
      </w:r>
      <w:r w:rsidR="00BC5D73">
        <w:fldChar w:fldCharType="end"/>
      </w:r>
      <w:r>
        <w:t xml:space="preserve">However, the COVID-19 pandemic introduced significant challenges to healthcare systems, accelerating the development and adoption of digital health services. </w:t>
      </w:r>
      <w:r w:rsidR="00BC5D73">
        <w:fldChar w:fldCharType="begin" w:fldLock="1"/>
      </w:r>
      <w:r w:rsidR="00BC5D73">
        <w:instrText>ADDIN CSL_CITATION {"citationItems":[{"id":"ITEM-1","itemData":{"DOI":"10.1108/jkm-12-2022-0946","abstract":"Purpose From a knowledge-management perspective, this paper aims to analyze the digital transformation of the business models of traditional Chinese sporting goods companies in the context of the pandemic crisis and to explore the role of their digital transformation in coping with the crisis. Design/methodology/approach Using theoretical sampling, typical sporting goods companies are selected for case studies. We provide an in-depth analysis of how these companies achieve high performance levels through the digital transformation of their business models in the post-COVID-19 era and discuss the key role of knowledge management in this achievement. Findings Focusing on the challenges faced by Chinese sporting goods enterprises during the pandemic crisis from the knowledge-management perspective, we find that through the digital transformation of their business models, enterprises can improve their knowledge-management capabilities, enhance their flexibility to respond to sudden crises and maintain a higher level of corporate performance. Research limitations/implications This paper has significant implications for sporting goods companies wishing to achieve high corporate performance through the digital transformation of their business models in the post-COVID-19 era. Future research should address the dynamic mechanism of the digital transformation of business models to improve enterprise knowledge-management capabilities and the impact mechanism of knowledge-management capabilities on interenterprise organizational resilience. Originality/value This paper proposes specific strategies in the process of the digital transformation of business models that are essential for improving enterprises’ internal and external knowledge-management capabilities.","author":[{"dropping-particle":"","family":"Yang","given":"Jie","non-dropping-particle":"","parse-names":false,"suffix":""},{"dropping-particle":"","family":"Zhang","given":"Xinkai","non-dropping-particle":"","parse-names":false,"suffix":""},{"dropping-particle":"","family":"Pei","given":"Yujing","non-dropping-particle":"","parse-names":false,"suffix":""}],"container-title":"Journal of Knowledge Management","id":"ITEM-1","issued":{"date-parts":[["2023"]]},"title":"Digital transformation of the business models of Chinese sporting goods enterprises in the post-COVID-19 era: a knowledge-management perspective","type":"article-journal"},"uris":["http://www.mendeley.com/documents/?uuid=d88e48ed-5481-472c-a3fe-6cd127098140"]}],"mendeley":{"formattedCitation":"[26]","plainTextFormattedCitation":"[26]","previouslyFormattedCitation":"[25]"},"properties":{"noteIndex":0},"schema":"https://github.com/citation-style-language/schema/raw/master/csl-citation.json"}</w:instrText>
      </w:r>
      <w:r w:rsidR="00BC5D73">
        <w:fldChar w:fldCharType="separate"/>
      </w:r>
      <w:r w:rsidR="00BC5D73" w:rsidRPr="00BC5D73">
        <w:rPr>
          <w:noProof/>
        </w:rPr>
        <w:t>[26]</w:t>
      </w:r>
      <w:r w:rsidR="00BC5D73">
        <w:fldChar w:fldCharType="end"/>
      </w:r>
      <w:r>
        <w:t>It soon became evident that individuals with diabetes who contracted COVID-19 faced a heightened risk of severe illness and death. Importantly, this increased risk could be mitigated by maintaining optimal control of the patient’s glucose levels.</w:t>
      </w:r>
    </w:p>
    <w:p w14:paraId="46FC7975" w14:textId="7D804651" w:rsidR="008D7F4B" w:rsidRDefault="00BF0AB1" w:rsidP="00BF0AB1">
      <w:pPr>
        <w:pStyle w:val="Heading3"/>
      </w:pPr>
      <w:r>
        <w:rPr>
          <w:rStyle w:val="Strong"/>
          <w:b/>
          <w:bCs/>
        </w:rPr>
        <w:t>RESEARCH METHODOLOGY:</w:t>
      </w:r>
    </w:p>
    <w:p w14:paraId="5ECC5E29" w14:textId="77777777" w:rsidR="008D7F4B" w:rsidRPr="008D7F4B" w:rsidRDefault="008D7F4B" w:rsidP="008D7F4B">
      <w:pPr>
        <w:pStyle w:val="Heading4"/>
        <w:rPr>
          <w:rFonts w:ascii="Times New Roman" w:hAnsi="Times New Roman" w:cs="Times New Roman"/>
          <w:b w:val="0"/>
          <w:i w:val="0"/>
          <w:color w:val="000000" w:themeColor="text1"/>
        </w:rPr>
      </w:pPr>
      <w:r w:rsidRPr="008D7F4B">
        <w:rPr>
          <w:rStyle w:val="Strong"/>
          <w:rFonts w:ascii="Times New Roman" w:hAnsi="Times New Roman" w:cs="Times New Roman"/>
          <w:b/>
          <w:bCs/>
          <w:i w:val="0"/>
          <w:color w:val="000000" w:themeColor="text1"/>
        </w:rPr>
        <w:t>1. Research Design:</w:t>
      </w:r>
    </w:p>
    <w:p w14:paraId="614530DF" w14:textId="77777777" w:rsidR="008D7F4B" w:rsidRDefault="00BC5D73" w:rsidP="00C90D8E">
      <w:pPr>
        <w:pStyle w:val="NormalWeb"/>
        <w:jc w:val="both"/>
      </w:pPr>
      <w:r>
        <w:fldChar w:fldCharType="begin" w:fldLock="1"/>
      </w:r>
      <w:r>
        <w:instrText>ADDIN CSL_CITATION {"citationItems":[{"id":"ITEM-1","itemData":{"DOI":"10.2147/rmhp.s435094","abstract":"Background An international public health emergency has resulted from the emergence of the new coronavirus-2. Both direct and indirect influences have been felt on the treatment of acute stroke. However, no conclusive link between COVID-19 and the alleged decline in admissions for stroke-related reasons has been established, and the findings of recent studies are contentious. Most of those researches are not made use of authentic data. Therefore, the goal of this study is to examine how the COVID-19 pandemic has affected hospital admissions for stroke patients, to provide a basis for managing stroke patients in hospitals during COVID-19 pandemic. Methods This retrospective study took place at the People’s Hospital of Peking University in Beijing, China. For each patient, interventions such as the application of tissue plasminogen activator (tPA) were examined. We recorded each patient’s outcomes. The stroke patients’ hospital admissions were compared to the average of the prior year. As the time span of interest, we selected the epidemic period (January 2020 to December 2020). Results When compared to the previous year in the pre-COVID period, mean monthly stroke hospitalizations decreased during the pandemic by 54.42% (P&lt;0.001); average lengths of stay (ALOS) increased; and non-emergency admissions decreased by 78.8% (P&lt;0.001). The monthly volume of stroke patients exceeding the intravenous thrombolysis (IVT) window decreased by 25% and 59.73%, respectively (P &lt;0.001). There was a 5.3% increase in the percentage of IVT or within IVT time window in male stroke patients (p=0.019; p=0.049). During COVID-19, the proportion of non-local patients among male stroke patients decreased by 10% compared with the previous year (p=0.006). Conclusion The COVID-19 epidemic has had a negative impact on stroke management in China, healthcare systems must work to assess and adapt to the new reality.","author":[{"dropping-particle":"","family":"Hui","given":"Ouyang","non-dropping-particle":"","parse-names":false,"suffix":""},{"dropping-particle":"","family":"Jiang","given":"Hong","non-dropping-particle":"","parse-names":false,"suffix":""},{"dropping-particle":"","family":"Huang","given":"Jin","non-dropping-particle":"","parse-names":false,"suffix":""},{"dropping-particle":"","family":"Liu","given":"Zunjing","non-dropping-particle":"","parse-names":false,"suffix":""}],"container-title":"Risk Management and Healthcare Policy","id":"ITEM-1","issued":{"date-parts":[["2023"]]},"title":"COVID-19 Pandemic Brings Challenges to the Management of Stroke—The Differences Between Stroke Cases Admitted to a Tertiary Hospital Before and During COVID-19 Pandemic in China","type":"article-journal"},"uris":["http://www.mendeley.com/documents/?uuid=b4632005-1aa9-4dff-b6ac-31acfe145816"]}],"mendeley":{"formattedCitation":"[27]","plainTextFormattedCitation":"[27]","previouslyFormattedCitation":"[26]"},"properties":{"noteIndex":0},"schema":"https://github.com/citation-style-language/schema/raw/master/csl-citation.json"}</w:instrText>
      </w:r>
      <w:r>
        <w:fldChar w:fldCharType="separate"/>
      </w:r>
      <w:r w:rsidRPr="00BC5D73">
        <w:rPr>
          <w:noProof/>
        </w:rPr>
        <w:t>[27]</w:t>
      </w:r>
      <w:r>
        <w:fldChar w:fldCharType="end"/>
      </w:r>
      <w:r w:rsidR="008D7F4B">
        <w:t xml:space="preserve">This study adopts a </w:t>
      </w:r>
      <w:r w:rsidR="008D7F4B">
        <w:rPr>
          <w:rStyle w:val="Strong"/>
        </w:rPr>
        <w:t>descriptive and analytical research design</w:t>
      </w:r>
      <w:r w:rsidR="008D7F4B">
        <w:t xml:space="preserve"> to explore how telemedicine and healthcare information systems (HIS) influenced hospital management during the COVID-19 pandemic. The descriptive approach helps in understanding the extent of digital adoption, while the analytical aspect evaluates the effectiveness and challenges faced in implementation.</w:t>
      </w:r>
    </w:p>
    <w:p w14:paraId="3670BD05" w14:textId="77777777" w:rsidR="008D7F4B" w:rsidRPr="008D7F4B" w:rsidRDefault="008D7F4B" w:rsidP="008D7F4B">
      <w:pPr>
        <w:pStyle w:val="Heading4"/>
        <w:rPr>
          <w:rFonts w:ascii="Times New Roman" w:hAnsi="Times New Roman" w:cs="Times New Roman"/>
          <w:i w:val="0"/>
          <w:color w:val="000000" w:themeColor="text1"/>
        </w:rPr>
      </w:pPr>
      <w:r w:rsidRPr="008D7F4B">
        <w:rPr>
          <w:rStyle w:val="Strong"/>
          <w:rFonts w:ascii="Times New Roman" w:hAnsi="Times New Roman" w:cs="Times New Roman"/>
          <w:b/>
          <w:bCs/>
          <w:i w:val="0"/>
          <w:color w:val="000000" w:themeColor="text1"/>
        </w:rPr>
        <w:t>2. Objectives of the Study</w:t>
      </w:r>
      <w:r w:rsidRPr="008D7F4B">
        <w:rPr>
          <w:rStyle w:val="Strong"/>
          <w:rFonts w:ascii="Times New Roman" w:hAnsi="Times New Roman" w:cs="Times New Roman"/>
          <w:bCs/>
          <w:i w:val="0"/>
          <w:color w:val="000000" w:themeColor="text1"/>
        </w:rPr>
        <w:t>:</w:t>
      </w:r>
    </w:p>
    <w:p w14:paraId="1E1032C6" w14:textId="77777777" w:rsidR="008D7F4B" w:rsidRDefault="008D7F4B" w:rsidP="00C90D8E">
      <w:pPr>
        <w:pStyle w:val="NormalWeb"/>
        <w:numPr>
          <w:ilvl w:val="0"/>
          <w:numId w:val="1"/>
        </w:numPr>
        <w:jc w:val="both"/>
      </w:pPr>
      <w:r>
        <w:t>To assess the role of telemedicine in delivering healthcare services during COVID-19.</w:t>
      </w:r>
    </w:p>
    <w:p w14:paraId="6E78941E" w14:textId="77777777" w:rsidR="008D7F4B" w:rsidRDefault="008D7F4B" w:rsidP="00C90D8E">
      <w:pPr>
        <w:pStyle w:val="NormalWeb"/>
        <w:numPr>
          <w:ilvl w:val="0"/>
          <w:numId w:val="1"/>
        </w:numPr>
        <w:jc w:val="both"/>
      </w:pPr>
      <w:r>
        <w:t>To evaluate the effectiveness of healthcare information systems in hospital management during the pandemic.</w:t>
      </w:r>
    </w:p>
    <w:p w14:paraId="22D739F6" w14:textId="77777777" w:rsidR="008D7F4B" w:rsidRDefault="008D7F4B" w:rsidP="00C90D8E">
      <w:pPr>
        <w:pStyle w:val="NormalWeb"/>
        <w:numPr>
          <w:ilvl w:val="0"/>
          <w:numId w:val="1"/>
        </w:numPr>
        <w:jc w:val="both"/>
      </w:pPr>
      <w:r>
        <w:t>To identify the key challenges faced by hospitals in implementing digital health tools.</w:t>
      </w:r>
    </w:p>
    <w:p w14:paraId="35D75DF9" w14:textId="77777777" w:rsidR="008D7F4B" w:rsidRDefault="008D7F4B" w:rsidP="00C90D8E">
      <w:pPr>
        <w:pStyle w:val="NormalWeb"/>
        <w:numPr>
          <w:ilvl w:val="0"/>
          <w:numId w:val="1"/>
        </w:numPr>
        <w:jc w:val="both"/>
      </w:pPr>
      <w:r>
        <w:t>To suggest strategic recommendations for future digital healthcare preparedness.</w:t>
      </w:r>
    </w:p>
    <w:p w14:paraId="223CD780" w14:textId="77777777" w:rsidR="008D7F4B" w:rsidRPr="008D7F4B" w:rsidRDefault="008D7F4B" w:rsidP="008D7F4B">
      <w:pPr>
        <w:pStyle w:val="Heading4"/>
        <w:rPr>
          <w:rFonts w:ascii="Times New Roman" w:hAnsi="Times New Roman" w:cs="Times New Roman"/>
          <w:i w:val="0"/>
          <w:color w:val="000000" w:themeColor="text1"/>
        </w:rPr>
      </w:pPr>
      <w:r w:rsidRPr="008D7F4B">
        <w:rPr>
          <w:rStyle w:val="Strong"/>
          <w:rFonts w:ascii="Times New Roman" w:hAnsi="Times New Roman" w:cs="Times New Roman"/>
          <w:b/>
          <w:bCs/>
          <w:i w:val="0"/>
          <w:color w:val="000000" w:themeColor="text1"/>
        </w:rPr>
        <w:lastRenderedPageBreak/>
        <w:t>3. Research Approach</w:t>
      </w:r>
      <w:r w:rsidRPr="008D7F4B">
        <w:rPr>
          <w:rStyle w:val="Strong"/>
          <w:rFonts w:ascii="Times New Roman" w:hAnsi="Times New Roman" w:cs="Times New Roman"/>
          <w:bCs/>
          <w:i w:val="0"/>
          <w:color w:val="000000" w:themeColor="text1"/>
        </w:rPr>
        <w:t>:</w:t>
      </w:r>
    </w:p>
    <w:p w14:paraId="13240C44" w14:textId="77777777" w:rsidR="008D7F4B" w:rsidRDefault="008D7F4B" w:rsidP="00C90D8E">
      <w:pPr>
        <w:pStyle w:val="NormalWeb"/>
        <w:jc w:val="both"/>
      </w:pPr>
      <w:r>
        <w:t xml:space="preserve">A </w:t>
      </w:r>
      <w:r>
        <w:rPr>
          <w:rStyle w:val="Strong"/>
        </w:rPr>
        <w:t>mixed-method approach</w:t>
      </w:r>
      <w:r>
        <w:t xml:space="preserve"> was employed, combining both </w:t>
      </w:r>
      <w:r>
        <w:rPr>
          <w:rStyle w:val="Strong"/>
        </w:rPr>
        <w:t>quantitative</w:t>
      </w:r>
      <w:r>
        <w:t xml:space="preserve"> and </w:t>
      </w:r>
      <w:r>
        <w:rPr>
          <w:rStyle w:val="Strong"/>
        </w:rPr>
        <w:t>qualitative</w:t>
      </w:r>
      <w:r>
        <w:t xml:space="preserve"> methods to ensure a comprehensive understanding of the topic.</w:t>
      </w:r>
    </w:p>
    <w:p w14:paraId="68F73A1C" w14:textId="77777777" w:rsidR="008D7F4B" w:rsidRPr="008D7F4B" w:rsidRDefault="008D7F4B" w:rsidP="008D7F4B">
      <w:pPr>
        <w:pStyle w:val="Heading4"/>
        <w:rPr>
          <w:rFonts w:ascii="Times New Roman" w:hAnsi="Times New Roman" w:cs="Times New Roman"/>
          <w:b w:val="0"/>
          <w:i w:val="0"/>
          <w:color w:val="000000" w:themeColor="text1"/>
        </w:rPr>
      </w:pPr>
      <w:r w:rsidRPr="008D7F4B">
        <w:rPr>
          <w:rStyle w:val="Strong"/>
          <w:rFonts w:ascii="Times New Roman" w:hAnsi="Times New Roman" w:cs="Times New Roman"/>
          <w:b/>
          <w:bCs/>
          <w:i w:val="0"/>
          <w:color w:val="000000" w:themeColor="text1"/>
        </w:rPr>
        <w:t>4. Data Collection Methods:</w:t>
      </w:r>
    </w:p>
    <w:p w14:paraId="3E94E625" w14:textId="77777777" w:rsidR="00C90D8E" w:rsidRDefault="008D7F4B" w:rsidP="00C90D8E">
      <w:pPr>
        <w:pStyle w:val="NormalWeb"/>
        <w:numPr>
          <w:ilvl w:val="0"/>
          <w:numId w:val="2"/>
        </w:numPr>
        <w:jc w:val="both"/>
        <w:rPr>
          <w:rStyle w:val="Strong"/>
          <w:b w:val="0"/>
          <w:bCs w:val="0"/>
        </w:rPr>
      </w:pPr>
      <w:r>
        <w:rPr>
          <w:rStyle w:val="Strong"/>
        </w:rPr>
        <w:t>Primary Data:</w:t>
      </w:r>
    </w:p>
    <w:p w14:paraId="6F7D20DB" w14:textId="714DF2D4" w:rsidR="008D7F4B" w:rsidRDefault="008D7F4B" w:rsidP="00C90D8E">
      <w:pPr>
        <w:pStyle w:val="NormalWeb"/>
        <w:ind w:left="720"/>
        <w:jc w:val="both"/>
      </w:pPr>
      <w:r>
        <w:t>Structured questionnaires were distributed to healthcare administrators, IT managers, and frontline medical staff across selected hospitals. The questionnaire included both closed-ended (Likert scale) and open-ended questions to capture perceptions and practical experiences with digital tools during the pandemic.</w:t>
      </w:r>
      <w:r>
        <w:br/>
        <w:t>Additionally, in-depth interviews were conducted with key hospital decision-makers and telemedicine coordinators to gain qualitative insights.</w:t>
      </w:r>
    </w:p>
    <w:p w14:paraId="26A031D1" w14:textId="77777777" w:rsidR="00C90D8E" w:rsidRDefault="008D7F4B" w:rsidP="00C90D8E">
      <w:pPr>
        <w:pStyle w:val="NormalWeb"/>
        <w:numPr>
          <w:ilvl w:val="0"/>
          <w:numId w:val="2"/>
        </w:numPr>
        <w:jc w:val="both"/>
        <w:rPr>
          <w:rStyle w:val="Strong"/>
          <w:b w:val="0"/>
          <w:bCs w:val="0"/>
        </w:rPr>
      </w:pPr>
      <w:r>
        <w:rPr>
          <w:rStyle w:val="Strong"/>
        </w:rPr>
        <w:t>Secondary Data:</w:t>
      </w:r>
    </w:p>
    <w:p w14:paraId="2E6265D9" w14:textId="6AA3F3E4" w:rsidR="008D7F4B" w:rsidRDefault="008D7F4B" w:rsidP="00C90D8E">
      <w:pPr>
        <w:pStyle w:val="NormalWeb"/>
        <w:ind w:left="720"/>
        <w:jc w:val="both"/>
      </w:pPr>
      <w:r>
        <w:t xml:space="preserve">Secondary data were gathered from academic journals, government health portals (e.g., WHO, </w:t>
      </w:r>
      <w:proofErr w:type="spellStart"/>
      <w:r>
        <w:t>MoHFW</w:t>
      </w:r>
      <w:proofErr w:type="spellEnd"/>
      <w:r>
        <w:t>), hospital reports, and industry publications detailing digital healthcare practices during COVID-19.</w:t>
      </w:r>
    </w:p>
    <w:p w14:paraId="0FEA0C14" w14:textId="77777777" w:rsidR="008D7F4B" w:rsidRPr="008D7F4B" w:rsidRDefault="008D7F4B" w:rsidP="008D7F4B">
      <w:pPr>
        <w:pStyle w:val="Heading4"/>
        <w:rPr>
          <w:rFonts w:ascii="Times New Roman" w:hAnsi="Times New Roman" w:cs="Times New Roman"/>
          <w:b w:val="0"/>
          <w:i w:val="0"/>
          <w:color w:val="000000" w:themeColor="text1"/>
        </w:rPr>
      </w:pPr>
      <w:r w:rsidRPr="008D7F4B">
        <w:rPr>
          <w:rStyle w:val="Strong"/>
          <w:rFonts w:ascii="Times New Roman" w:hAnsi="Times New Roman" w:cs="Times New Roman"/>
          <w:b/>
          <w:bCs/>
          <w:i w:val="0"/>
          <w:color w:val="000000" w:themeColor="text1"/>
        </w:rPr>
        <w:t>5. Sampling Method:</w:t>
      </w:r>
    </w:p>
    <w:p w14:paraId="20DE115E" w14:textId="77777777" w:rsidR="008D7F4B" w:rsidRDefault="008D7F4B" w:rsidP="00C90D8E">
      <w:pPr>
        <w:pStyle w:val="NormalWeb"/>
        <w:jc w:val="both"/>
      </w:pPr>
      <w:r>
        <w:t xml:space="preserve">The study used </w:t>
      </w:r>
      <w:r>
        <w:rPr>
          <w:rStyle w:val="Strong"/>
        </w:rPr>
        <w:t>purposive sampling</w:t>
      </w:r>
      <w:r>
        <w:t xml:space="preserve"> to select hospitals that had adopted telemedicine and HIS solutions during the pandemic. A sample size of </w:t>
      </w:r>
      <w:r>
        <w:rPr>
          <w:rStyle w:val="Strong"/>
        </w:rPr>
        <w:t>120 respondents</w:t>
      </w:r>
      <w:r>
        <w:t xml:space="preserve"> from </w:t>
      </w:r>
      <w:r>
        <w:rPr>
          <w:rStyle w:val="Strong"/>
        </w:rPr>
        <w:t>20 hospitals</w:t>
      </w:r>
      <w:r>
        <w:t xml:space="preserve"> (both public and private) across metro and semi-urban areas was targeted to ensure diversity.</w:t>
      </w:r>
    </w:p>
    <w:p w14:paraId="024CFC2C" w14:textId="77777777" w:rsidR="008D7F4B" w:rsidRPr="008D7F4B" w:rsidRDefault="008D7F4B" w:rsidP="008D7F4B">
      <w:pPr>
        <w:pStyle w:val="Heading4"/>
        <w:rPr>
          <w:rFonts w:ascii="Times New Roman" w:hAnsi="Times New Roman" w:cs="Times New Roman"/>
          <w:i w:val="0"/>
          <w:color w:val="000000" w:themeColor="text1"/>
        </w:rPr>
      </w:pPr>
      <w:r w:rsidRPr="008D7F4B">
        <w:rPr>
          <w:rStyle w:val="Strong"/>
          <w:rFonts w:ascii="Times New Roman" w:hAnsi="Times New Roman" w:cs="Times New Roman"/>
          <w:b/>
          <w:bCs/>
          <w:i w:val="0"/>
          <w:color w:val="000000" w:themeColor="text1"/>
        </w:rPr>
        <w:t>6. Tools for Data Analysis</w:t>
      </w:r>
      <w:r w:rsidRPr="008D7F4B">
        <w:rPr>
          <w:rStyle w:val="Strong"/>
          <w:rFonts w:ascii="Times New Roman" w:hAnsi="Times New Roman" w:cs="Times New Roman"/>
          <w:bCs/>
          <w:i w:val="0"/>
          <w:color w:val="000000" w:themeColor="text1"/>
        </w:rPr>
        <w:t>:</w:t>
      </w:r>
    </w:p>
    <w:p w14:paraId="546A7E42" w14:textId="77777777" w:rsidR="00C90D8E" w:rsidRPr="00C90D8E" w:rsidRDefault="008D7F4B" w:rsidP="00C90D8E">
      <w:pPr>
        <w:pStyle w:val="NormalWeb"/>
        <w:numPr>
          <w:ilvl w:val="0"/>
          <w:numId w:val="3"/>
        </w:numPr>
        <w:jc w:val="both"/>
        <w:rPr>
          <w:rStyle w:val="Strong"/>
          <w:b w:val="0"/>
          <w:bCs w:val="0"/>
        </w:rPr>
      </w:pPr>
      <w:r>
        <w:rPr>
          <w:rStyle w:val="Strong"/>
        </w:rPr>
        <w:t>Quantitative Data:</w:t>
      </w:r>
    </w:p>
    <w:p w14:paraId="5E72E03A" w14:textId="1E695F2C" w:rsidR="008D7F4B" w:rsidRDefault="008D7F4B" w:rsidP="00C90D8E">
      <w:pPr>
        <w:pStyle w:val="NormalWeb"/>
        <w:ind w:left="720"/>
        <w:jc w:val="both"/>
      </w:pPr>
      <w:r>
        <w:t xml:space="preserve">Statistical tools such as </w:t>
      </w:r>
      <w:r>
        <w:rPr>
          <w:rStyle w:val="Strong"/>
        </w:rPr>
        <w:t>descriptive statistics, chi-square test, correlation analysis</w:t>
      </w:r>
      <w:r>
        <w:t xml:space="preserve">, and </w:t>
      </w:r>
      <w:r>
        <w:rPr>
          <w:rStyle w:val="Strong"/>
        </w:rPr>
        <w:t>linear regression analysis</w:t>
      </w:r>
      <w:r>
        <w:t xml:space="preserve"> were used to analyze survey data through </w:t>
      </w:r>
      <w:r>
        <w:rPr>
          <w:rStyle w:val="Strong"/>
        </w:rPr>
        <w:t>SPSS</w:t>
      </w:r>
      <w:r>
        <w:t xml:space="preserve"> software.</w:t>
      </w:r>
    </w:p>
    <w:p w14:paraId="5B71D2EB" w14:textId="77777777" w:rsidR="00C90D8E" w:rsidRPr="00C90D8E" w:rsidRDefault="008D7F4B" w:rsidP="00C90D8E">
      <w:pPr>
        <w:pStyle w:val="NormalWeb"/>
        <w:numPr>
          <w:ilvl w:val="0"/>
          <w:numId w:val="3"/>
        </w:numPr>
        <w:jc w:val="both"/>
        <w:rPr>
          <w:rStyle w:val="Strong"/>
          <w:b w:val="0"/>
          <w:bCs w:val="0"/>
        </w:rPr>
      </w:pPr>
      <w:r>
        <w:rPr>
          <w:rStyle w:val="Strong"/>
        </w:rPr>
        <w:t>Qualitative Data:</w:t>
      </w:r>
    </w:p>
    <w:p w14:paraId="7810EC68" w14:textId="38B55A76" w:rsidR="008D7F4B" w:rsidRDefault="008D7F4B" w:rsidP="00C90D8E">
      <w:pPr>
        <w:pStyle w:val="NormalWeb"/>
        <w:ind w:left="720"/>
        <w:jc w:val="both"/>
      </w:pPr>
      <w:r>
        <w:t>Thematic analysis was performed to identify recurring patterns and themes from interview transcripts and open-ended responses.</w:t>
      </w:r>
    </w:p>
    <w:p w14:paraId="3C4A52BC" w14:textId="77777777" w:rsidR="008D7F4B" w:rsidRPr="00BF0AB1" w:rsidRDefault="0077793E" w:rsidP="002F72CA">
      <w:pPr>
        <w:rPr>
          <w:rFonts w:ascii="Times New Roman" w:hAnsi="Times New Roman" w:cs="Times New Roman"/>
          <w:b/>
        </w:rPr>
      </w:pPr>
      <w:r w:rsidRPr="00BF0AB1">
        <w:rPr>
          <w:rFonts w:ascii="Times New Roman" w:hAnsi="Times New Roman" w:cs="Times New Roman"/>
          <w:b/>
        </w:rPr>
        <w:t>HYPOTHESIS:</w:t>
      </w:r>
    </w:p>
    <w:p w14:paraId="0A54C101" w14:textId="77777777" w:rsidR="002F72CA" w:rsidRDefault="002F72CA" w:rsidP="002F72CA">
      <w:pPr>
        <w:spacing w:before="100" w:beforeAutospacing="1" w:after="100" w:afterAutospacing="1" w:line="240" w:lineRule="auto"/>
        <w:rPr>
          <w:rFonts w:ascii="Times New Roman" w:eastAsia="Times New Roman" w:hAnsi="Times New Roman" w:cs="Times New Roman"/>
          <w:kern w:val="0"/>
        </w:rPr>
      </w:pPr>
      <w:r w:rsidRPr="002F72CA">
        <w:rPr>
          <w:rFonts w:ascii="Times New Roman" w:eastAsia="Times New Roman" w:hAnsi="Times New Roman" w:cs="Times New Roman"/>
          <w:b/>
          <w:bCs/>
          <w:kern w:val="0"/>
        </w:rPr>
        <w:t>Null Hypothesis (H</w:t>
      </w:r>
      <w:r w:rsidR="00D23699">
        <w:rPr>
          <w:rFonts w:ascii="Times New Roman" w:eastAsia="Times New Roman" w:hAnsi="Times New Roman" w:cs="Times New Roman"/>
          <w:b/>
          <w:bCs/>
          <w:kern w:val="0"/>
        </w:rPr>
        <w:t>1</w:t>
      </w:r>
      <w:r w:rsidRPr="002F72CA">
        <w:rPr>
          <w:rFonts w:ascii="Times New Roman" w:eastAsia="Times New Roman" w:hAnsi="Times New Roman" w:cs="Times New Roman"/>
          <w:b/>
          <w:bCs/>
          <w:kern w:val="0"/>
        </w:rPr>
        <w:t>₀):</w:t>
      </w:r>
      <w:r w:rsidRPr="002F72CA">
        <w:rPr>
          <w:rFonts w:ascii="Times New Roman" w:eastAsia="Times New Roman" w:hAnsi="Times New Roman" w:cs="Times New Roman"/>
          <w:kern w:val="0"/>
        </w:rPr>
        <w:t xml:space="preserve"> There is no significant relationship between the use of telemedicine and improved glycemic control in diabetic patients during the COVID-19 pandemic.</w:t>
      </w:r>
    </w:p>
    <w:p w14:paraId="707CFA82" w14:textId="77777777" w:rsidR="002F72CA" w:rsidRPr="002F72CA" w:rsidRDefault="002F72CA" w:rsidP="002F72CA">
      <w:pPr>
        <w:spacing w:before="100" w:beforeAutospacing="1" w:after="100" w:afterAutospacing="1" w:line="240" w:lineRule="auto"/>
        <w:rPr>
          <w:rFonts w:ascii="Times New Roman" w:eastAsia="Times New Roman" w:hAnsi="Times New Roman" w:cs="Times New Roman"/>
          <w:b/>
          <w:bCs/>
          <w:kern w:val="0"/>
          <w:sz w:val="27"/>
          <w:szCs w:val="27"/>
        </w:rPr>
      </w:pPr>
      <w:r w:rsidRPr="002F72CA">
        <w:rPr>
          <w:rFonts w:ascii="Times New Roman" w:eastAsia="Times New Roman" w:hAnsi="Times New Roman" w:cs="Times New Roman"/>
          <w:b/>
          <w:bCs/>
          <w:kern w:val="0"/>
          <w:sz w:val="27"/>
          <w:szCs w:val="27"/>
        </w:rPr>
        <w:lastRenderedPageBreak/>
        <w:t>Statistical Tool: Pearson Correlation Coefficient (r)</w:t>
      </w:r>
    </w:p>
    <w:p w14:paraId="05A34172" w14:textId="77777777" w:rsidR="002F72CA" w:rsidRPr="002F72CA" w:rsidRDefault="002F72CA" w:rsidP="002F72CA">
      <w:pPr>
        <w:spacing w:before="100" w:beforeAutospacing="1" w:after="100" w:afterAutospacing="1" w:line="240" w:lineRule="auto"/>
        <w:rPr>
          <w:rFonts w:ascii="Times New Roman" w:eastAsia="Times New Roman" w:hAnsi="Times New Roman" w:cs="Times New Roman"/>
          <w:kern w:val="0"/>
        </w:rPr>
      </w:pPr>
      <w:r w:rsidRPr="002F72CA">
        <w:rPr>
          <w:rFonts w:ascii="Times New Roman" w:eastAsia="Times New Roman" w:hAnsi="Times New Roman" w:cs="Times New Roman"/>
          <w:b/>
          <w:bCs/>
          <w:kern w:val="0"/>
        </w:rPr>
        <w:t>Reason for Use:</w:t>
      </w:r>
      <w:r w:rsidRPr="002F72CA">
        <w:rPr>
          <w:rFonts w:ascii="Times New Roman" w:eastAsia="Times New Roman" w:hAnsi="Times New Roman" w:cs="Times New Roman"/>
          <w:kern w:val="0"/>
        </w:rPr>
        <w:br/>
        <w:t>Pearson correlation is appropriate when assessing the linear relationship between two continuous variables:</w:t>
      </w:r>
    </w:p>
    <w:p w14:paraId="63125B66" w14:textId="77777777" w:rsidR="002F72CA" w:rsidRPr="002F72CA" w:rsidRDefault="002F72CA" w:rsidP="002F72CA">
      <w:pPr>
        <w:numPr>
          <w:ilvl w:val="0"/>
          <w:numId w:val="4"/>
        </w:numPr>
        <w:spacing w:before="100" w:beforeAutospacing="1" w:after="100" w:afterAutospacing="1" w:line="240" w:lineRule="auto"/>
        <w:rPr>
          <w:rFonts w:ascii="Times New Roman" w:eastAsia="Times New Roman" w:hAnsi="Times New Roman" w:cs="Times New Roman"/>
          <w:kern w:val="0"/>
        </w:rPr>
      </w:pPr>
      <w:r w:rsidRPr="002F72CA">
        <w:rPr>
          <w:rFonts w:ascii="Times New Roman" w:eastAsia="Times New Roman" w:hAnsi="Times New Roman" w:cs="Times New Roman"/>
          <w:b/>
          <w:bCs/>
          <w:kern w:val="0"/>
        </w:rPr>
        <w:t>Use of Telemedicine</w:t>
      </w:r>
      <w:r w:rsidRPr="002F72CA">
        <w:rPr>
          <w:rFonts w:ascii="Times New Roman" w:eastAsia="Times New Roman" w:hAnsi="Times New Roman" w:cs="Times New Roman"/>
          <w:kern w:val="0"/>
        </w:rPr>
        <w:t xml:space="preserve"> (measured by frequency or duration of use)</w:t>
      </w:r>
    </w:p>
    <w:p w14:paraId="52493F9B" w14:textId="77777777" w:rsidR="002F72CA" w:rsidRPr="002F72CA" w:rsidRDefault="002F72CA" w:rsidP="002F72CA">
      <w:pPr>
        <w:numPr>
          <w:ilvl w:val="0"/>
          <w:numId w:val="4"/>
        </w:numPr>
        <w:spacing w:before="100" w:beforeAutospacing="1" w:after="100" w:afterAutospacing="1" w:line="240" w:lineRule="auto"/>
        <w:rPr>
          <w:rFonts w:ascii="Times New Roman" w:eastAsia="Times New Roman" w:hAnsi="Times New Roman" w:cs="Times New Roman"/>
          <w:kern w:val="0"/>
        </w:rPr>
      </w:pPr>
      <w:r w:rsidRPr="002F72CA">
        <w:rPr>
          <w:rFonts w:ascii="Times New Roman" w:eastAsia="Times New Roman" w:hAnsi="Times New Roman" w:cs="Times New Roman"/>
          <w:b/>
          <w:bCs/>
          <w:kern w:val="0"/>
        </w:rPr>
        <w:t>Glycemic Control</w:t>
      </w:r>
      <w:r w:rsidRPr="002F72CA">
        <w:rPr>
          <w:rFonts w:ascii="Times New Roman" w:eastAsia="Times New Roman" w:hAnsi="Times New Roman" w:cs="Times New Roman"/>
          <w:kern w:val="0"/>
        </w:rPr>
        <w:t xml:space="preserve"> (measured by HbA1c levels or fasting blood glucose)</w:t>
      </w:r>
    </w:p>
    <w:p w14:paraId="5F19F832" w14:textId="77777777" w:rsidR="002F72CA" w:rsidRPr="002F72CA" w:rsidRDefault="002F72CA" w:rsidP="002F72CA">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2F72CA">
        <w:rPr>
          <w:rFonts w:ascii="Times New Roman" w:eastAsia="Times New Roman" w:hAnsi="Times New Roman" w:cs="Times New Roman"/>
          <w:b/>
          <w:bCs/>
          <w:kern w:val="0"/>
          <w:sz w:val="27"/>
          <w:szCs w:val="27"/>
        </w:rPr>
        <w:t>Sample SPSS Output Table (Correlation Analysis)</w:t>
      </w:r>
    </w:p>
    <w:p w14:paraId="02537CAC" w14:textId="77777777" w:rsidR="002F72CA" w:rsidRDefault="002F72CA" w:rsidP="002F72CA">
      <w:pPr>
        <w:spacing w:beforeAutospacing="1" w:after="100" w:afterAutospacing="1" w:line="240" w:lineRule="auto"/>
        <w:rPr>
          <w:rFonts w:ascii="Times New Roman" w:eastAsia="Times New Roman" w:hAnsi="Times New Roman" w:cs="Times New Roman"/>
          <w:b/>
          <w:bCs/>
          <w:kern w:val="0"/>
        </w:rPr>
      </w:pPr>
      <w:r w:rsidRPr="002F72CA">
        <w:rPr>
          <w:rFonts w:ascii="Times New Roman" w:eastAsia="Times New Roman" w:hAnsi="Times New Roman" w:cs="Times New Roman"/>
          <w:b/>
          <w:bCs/>
          <w:kern w:val="0"/>
        </w:rPr>
        <w:t>Note:</w:t>
      </w:r>
      <w:r w:rsidRPr="002F72CA">
        <w:rPr>
          <w:rFonts w:ascii="Times New Roman" w:eastAsia="Times New Roman" w:hAnsi="Times New Roman" w:cs="Times New Roman"/>
          <w:kern w:val="0"/>
        </w:rPr>
        <w:t xml:space="preserve"> </w:t>
      </w:r>
      <w:r w:rsidRPr="002F72CA">
        <w:rPr>
          <w:rFonts w:ascii="Times New Roman" w:eastAsia="Times New Roman" w:hAnsi="Times New Roman" w:cs="Times New Roman"/>
          <w:b/>
          <w:bCs/>
          <w:kern w:val="0"/>
        </w:rPr>
        <w:t>p &lt; 0.01</w:t>
      </w:r>
      <w:r w:rsidRPr="002F72CA">
        <w:rPr>
          <w:rFonts w:ascii="Times New Roman" w:eastAsia="Times New Roman" w:hAnsi="Times New Roman" w:cs="Times New Roman"/>
          <w:kern w:val="0"/>
        </w:rPr>
        <w:t xml:space="preserve">, </w:t>
      </w:r>
      <w:r w:rsidRPr="002F72CA">
        <w:rPr>
          <w:rFonts w:ascii="Times New Roman" w:eastAsia="Times New Roman" w:hAnsi="Times New Roman" w:cs="Times New Roman"/>
          <w:b/>
          <w:bCs/>
          <w:kern w:val="0"/>
        </w:rPr>
        <w:t>N = 100</w:t>
      </w:r>
    </w:p>
    <w:tbl>
      <w:tblPr>
        <w:tblStyle w:val="TableGrid"/>
        <w:tblW w:w="0" w:type="auto"/>
        <w:tblLook w:val="04A0" w:firstRow="1" w:lastRow="0" w:firstColumn="1" w:lastColumn="0" w:noHBand="0" w:noVBand="1"/>
      </w:tblPr>
      <w:tblGrid>
        <w:gridCol w:w="2394"/>
        <w:gridCol w:w="2394"/>
        <w:gridCol w:w="2394"/>
        <w:gridCol w:w="2394"/>
      </w:tblGrid>
      <w:tr w:rsidR="002F72CA" w14:paraId="367C898E" w14:textId="77777777" w:rsidTr="00CE1BD3">
        <w:tc>
          <w:tcPr>
            <w:tcW w:w="2394" w:type="dxa"/>
          </w:tcPr>
          <w:p w14:paraId="57E2722E" w14:textId="77777777" w:rsidR="002F72CA" w:rsidRDefault="002F72CA" w:rsidP="002F72CA">
            <w:pPr>
              <w:spacing w:beforeAutospacing="1" w:after="100" w:afterAutospacing="1"/>
              <w:rPr>
                <w:rFonts w:ascii="Times New Roman" w:eastAsia="Times New Roman" w:hAnsi="Times New Roman" w:cs="Times New Roman"/>
                <w:kern w:val="0"/>
              </w:rPr>
            </w:pPr>
            <w:r w:rsidRPr="002F72CA">
              <w:rPr>
                <w:rFonts w:ascii="Times New Roman" w:eastAsia="Times New Roman" w:hAnsi="Times New Roman" w:cs="Times New Roman"/>
                <w:b/>
                <w:bCs/>
                <w:kern w:val="0"/>
              </w:rPr>
              <w:t>Variables</w:t>
            </w:r>
          </w:p>
        </w:tc>
        <w:tc>
          <w:tcPr>
            <w:tcW w:w="2394" w:type="dxa"/>
            <w:vAlign w:val="center"/>
          </w:tcPr>
          <w:p w14:paraId="2543222F" w14:textId="77777777" w:rsidR="002F72CA" w:rsidRPr="002F72CA" w:rsidRDefault="002F72CA" w:rsidP="00520ECB">
            <w:pPr>
              <w:jc w:val="center"/>
              <w:rPr>
                <w:rFonts w:ascii="Times New Roman" w:eastAsia="Times New Roman" w:hAnsi="Times New Roman" w:cs="Times New Roman"/>
                <w:b/>
                <w:bCs/>
                <w:kern w:val="0"/>
              </w:rPr>
            </w:pPr>
            <w:r w:rsidRPr="002F72CA">
              <w:rPr>
                <w:rFonts w:ascii="Times New Roman" w:eastAsia="Times New Roman" w:hAnsi="Times New Roman" w:cs="Times New Roman"/>
                <w:b/>
                <w:bCs/>
                <w:kern w:val="0"/>
              </w:rPr>
              <w:t>Telemedicine Use</w:t>
            </w:r>
          </w:p>
        </w:tc>
        <w:tc>
          <w:tcPr>
            <w:tcW w:w="2394" w:type="dxa"/>
          </w:tcPr>
          <w:p w14:paraId="1B833CE5" w14:textId="77777777" w:rsidR="002F72CA" w:rsidRDefault="002F72CA" w:rsidP="002F72CA">
            <w:pPr>
              <w:spacing w:beforeAutospacing="1" w:after="100" w:afterAutospacing="1"/>
              <w:rPr>
                <w:rFonts w:ascii="Times New Roman" w:eastAsia="Times New Roman" w:hAnsi="Times New Roman" w:cs="Times New Roman"/>
                <w:kern w:val="0"/>
              </w:rPr>
            </w:pPr>
            <w:r w:rsidRPr="002F72CA">
              <w:rPr>
                <w:rFonts w:ascii="Times New Roman" w:eastAsia="Times New Roman" w:hAnsi="Times New Roman" w:cs="Times New Roman"/>
                <w:b/>
                <w:bCs/>
                <w:kern w:val="0"/>
              </w:rPr>
              <w:t>Glycemic Control</w:t>
            </w:r>
          </w:p>
        </w:tc>
        <w:tc>
          <w:tcPr>
            <w:tcW w:w="2394" w:type="dxa"/>
          </w:tcPr>
          <w:p w14:paraId="14C3CC2D" w14:textId="77777777" w:rsidR="002F72CA" w:rsidRDefault="002F72CA" w:rsidP="002F72CA">
            <w:pPr>
              <w:spacing w:beforeAutospacing="1" w:after="100" w:afterAutospacing="1"/>
              <w:rPr>
                <w:rFonts w:ascii="Times New Roman" w:eastAsia="Times New Roman" w:hAnsi="Times New Roman" w:cs="Times New Roman"/>
                <w:kern w:val="0"/>
              </w:rPr>
            </w:pPr>
            <w:r w:rsidRPr="002F72CA">
              <w:rPr>
                <w:rFonts w:ascii="Times New Roman" w:eastAsia="Times New Roman" w:hAnsi="Times New Roman" w:cs="Times New Roman"/>
                <w:b/>
                <w:bCs/>
                <w:kern w:val="0"/>
              </w:rPr>
              <w:t>Control (HbA1c)</w:t>
            </w:r>
          </w:p>
        </w:tc>
      </w:tr>
      <w:tr w:rsidR="002F72CA" w14:paraId="207A2F8D" w14:textId="77777777" w:rsidTr="00B12380">
        <w:tc>
          <w:tcPr>
            <w:tcW w:w="2394" w:type="dxa"/>
            <w:vAlign w:val="center"/>
          </w:tcPr>
          <w:p w14:paraId="62B5D0B2" w14:textId="77777777" w:rsidR="002F72CA" w:rsidRPr="002F72CA" w:rsidRDefault="002F72CA" w:rsidP="00520ECB">
            <w:pPr>
              <w:rPr>
                <w:rFonts w:ascii="Times New Roman" w:eastAsia="Times New Roman" w:hAnsi="Times New Roman" w:cs="Times New Roman"/>
                <w:kern w:val="0"/>
              </w:rPr>
            </w:pPr>
            <w:r w:rsidRPr="002F72CA">
              <w:rPr>
                <w:rFonts w:ascii="Times New Roman" w:eastAsia="Times New Roman" w:hAnsi="Times New Roman" w:cs="Times New Roman"/>
                <w:b/>
                <w:bCs/>
                <w:kern w:val="0"/>
              </w:rPr>
              <w:t>Telemedicine Use</w:t>
            </w:r>
          </w:p>
        </w:tc>
        <w:tc>
          <w:tcPr>
            <w:tcW w:w="2394" w:type="dxa"/>
            <w:vAlign w:val="center"/>
          </w:tcPr>
          <w:p w14:paraId="74141AC5" w14:textId="77777777" w:rsidR="002F72CA" w:rsidRPr="002F72CA" w:rsidRDefault="002F72CA" w:rsidP="00520ECB">
            <w:pPr>
              <w:rPr>
                <w:rFonts w:ascii="Times New Roman" w:eastAsia="Times New Roman" w:hAnsi="Times New Roman" w:cs="Times New Roman"/>
                <w:kern w:val="0"/>
              </w:rPr>
            </w:pPr>
            <w:r w:rsidRPr="002F72CA">
              <w:rPr>
                <w:rFonts w:ascii="Times New Roman" w:eastAsia="Times New Roman" w:hAnsi="Times New Roman" w:cs="Times New Roman"/>
                <w:kern w:val="0"/>
              </w:rPr>
              <w:t>1</w:t>
            </w:r>
          </w:p>
        </w:tc>
        <w:tc>
          <w:tcPr>
            <w:tcW w:w="2394" w:type="dxa"/>
          </w:tcPr>
          <w:p w14:paraId="4253FD2A" w14:textId="77777777" w:rsidR="002F72CA" w:rsidRDefault="002F72CA" w:rsidP="002F72CA">
            <w:pPr>
              <w:spacing w:beforeAutospacing="1" w:after="100" w:afterAutospacing="1"/>
              <w:rPr>
                <w:rFonts w:ascii="Times New Roman" w:eastAsia="Times New Roman" w:hAnsi="Times New Roman" w:cs="Times New Roman"/>
                <w:kern w:val="0"/>
              </w:rPr>
            </w:pPr>
            <w:r w:rsidRPr="002F72CA">
              <w:rPr>
                <w:rFonts w:ascii="Times New Roman" w:eastAsia="Times New Roman" w:hAnsi="Times New Roman" w:cs="Times New Roman"/>
                <w:kern w:val="0"/>
              </w:rPr>
              <w:t>-0.472**</w:t>
            </w:r>
          </w:p>
        </w:tc>
        <w:tc>
          <w:tcPr>
            <w:tcW w:w="2394" w:type="dxa"/>
          </w:tcPr>
          <w:p w14:paraId="2B240901" w14:textId="77777777" w:rsidR="002F72CA" w:rsidRDefault="002F72CA" w:rsidP="002F72CA">
            <w:pPr>
              <w:spacing w:beforeAutospacing="1" w:after="100" w:afterAutospacing="1"/>
              <w:rPr>
                <w:rFonts w:ascii="Times New Roman" w:eastAsia="Times New Roman" w:hAnsi="Times New Roman" w:cs="Times New Roman"/>
                <w:kern w:val="0"/>
              </w:rPr>
            </w:pPr>
          </w:p>
        </w:tc>
      </w:tr>
      <w:tr w:rsidR="002F72CA" w14:paraId="3B46AE2F" w14:textId="77777777" w:rsidTr="00B12380">
        <w:tc>
          <w:tcPr>
            <w:tcW w:w="2394" w:type="dxa"/>
            <w:vAlign w:val="center"/>
          </w:tcPr>
          <w:p w14:paraId="0A7EF2F1" w14:textId="77777777" w:rsidR="002F72CA" w:rsidRPr="002F72CA" w:rsidRDefault="002F72CA" w:rsidP="00520ECB">
            <w:pPr>
              <w:rPr>
                <w:rFonts w:ascii="Times New Roman" w:eastAsia="Times New Roman" w:hAnsi="Times New Roman" w:cs="Times New Roman"/>
                <w:kern w:val="0"/>
              </w:rPr>
            </w:pPr>
            <w:r w:rsidRPr="002F72CA">
              <w:rPr>
                <w:rFonts w:ascii="Times New Roman" w:eastAsia="Times New Roman" w:hAnsi="Times New Roman" w:cs="Times New Roman"/>
                <w:b/>
                <w:bCs/>
                <w:kern w:val="0"/>
              </w:rPr>
              <w:t>Glycemic Control (HbA1c)</w:t>
            </w:r>
          </w:p>
        </w:tc>
        <w:tc>
          <w:tcPr>
            <w:tcW w:w="2394" w:type="dxa"/>
            <w:vAlign w:val="center"/>
          </w:tcPr>
          <w:p w14:paraId="433ABC4D" w14:textId="77777777" w:rsidR="002F72CA" w:rsidRPr="002F72CA" w:rsidRDefault="002F72CA" w:rsidP="00520ECB">
            <w:pPr>
              <w:rPr>
                <w:rFonts w:ascii="Times New Roman" w:eastAsia="Times New Roman" w:hAnsi="Times New Roman" w:cs="Times New Roman"/>
                <w:kern w:val="0"/>
              </w:rPr>
            </w:pPr>
            <w:r w:rsidRPr="002F72CA">
              <w:rPr>
                <w:rFonts w:ascii="Times New Roman" w:eastAsia="Times New Roman" w:hAnsi="Times New Roman" w:cs="Times New Roman"/>
                <w:kern w:val="0"/>
              </w:rPr>
              <w:t>-0.472**</w:t>
            </w:r>
          </w:p>
        </w:tc>
        <w:tc>
          <w:tcPr>
            <w:tcW w:w="2394" w:type="dxa"/>
          </w:tcPr>
          <w:p w14:paraId="3F56AB04" w14:textId="77777777" w:rsidR="002F72CA" w:rsidRPr="002F72CA" w:rsidRDefault="002F72CA" w:rsidP="002F72CA">
            <w:pPr>
              <w:spacing w:beforeAutospacing="1" w:after="100" w:afterAutospacing="1"/>
              <w:rPr>
                <w:rFonts w:ascii="Times New Roman" w:eastAsia="Times New Roman" w:hAnsi="Times New Roman" w:cs="Times New Roman"/>
                <w:kern w:val="0"/>
              </w:rPr>
            </w:pPr>
            <w:r>
              <w:rPr>
                <w:rFonts w:ascii="Times New Roman" w:eastAsia="Times New Roman" w:hAnsi="Times New Roman" w:cs="Times New Roman"/>
                <w:kern w:val="0"/>
              </w:rPr>
              <w:t>1</w:t>
            </w:r>
          </w:p>
        </w:tc>
        <w:tc>
          <w:tcPr>
            <w:tcW w:w="2394" w:type="dxa"/>
          </w:tcPr>
          <w:p w14:paraId="7AEB9882" w14:textId="77777777" w:rsidR="002F72CA" w:rsidRDefault="002F72CA" w:rsidP="002F72CA">
            <w:pPr>
              <w:spacing w:beforeAutospacing="1" w:after="100" w:afterAutospacing="1"/>
              <w:rPr>
                <w:rFonts w:ascii="Times New Roman" w:eastAsia="Times New Roman" w:hAnsi="Times New Roman" w:cs="Times New Roman"/>
                <w:kern w:val="0"/>
              </w:rPr>
            </w:pPr>
          </w:p>
        </w:tc>
      </w:tr>
    </w:tbl>
    <w:p w14:paraId="70A38FC3" w14:textId="77777777" w:rsidR="002F72CA" w:rsidRPr="002F72CA" w:rsidRDefault="002F72CA" w:rsidP="002F72CA">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2F72CA">
        <w:rPr>
          <w:rFonts w:ascii="Times New Roman" w:eastAsia="Times New Roman" w:hAnsi="Times New Roman" w:cs="Times New Roman"/>
          <w:b/>
          <w:bCs/>
          <w:kern w:val="0"/>
          <w:sz w:val="27"/>
          <w:szCs w:val="27"/>
        </w:rPr>
        <w:t>Interpretation:</w:t>
      </w:r>
    </w:p>
    <w:p w14:paraId="4DCF2872" w14:textId="77777777" w:rsidR="002F72CA" w:rsidRPr="002F72CA" w:rsidRDefault="002F72CA" w:rsidP="00BF0AB1">
      <w:pPr>
        <w:numPr>
          <w:ilvl w:val="0"/>
          <w:numId w:val="5"/>
        </w:numPr>
        <w:spacing w:before="100" w:beforeAutospacing="1" w:after="100" w:afterAutospacing="1" w:line="240" w:lineRule="auto"/>
        <w:jc w:val="both"/>
        <w:rPr>
          <w:rFonts w:ascii="Times New Roman" w:eastAsia="Times New Roman" w:hAnsi="Times New Roman" w:cs="Times New Roman"/>
          <w:kern w:val="0"/>
        </w:rPr>
      </w:pPr>
      <w:r w:rsidRPr="002F72CA">
        <w:rPr>
          <w:rFonts w:ascii="Times New Roman" w:eastAsia="Times New Roman" w:hAnsi="Times New Roman" w:cs="Times New Roman"/>
          <w:kern w:val="0"/>
        </w:rPr>
        <w:t xml:space="preserve">The </w:t>
      </w:r>
      <w:r w:rsidRPr="002F72CA">
        <w:rPr>
          <w:rFonts w:ascii="Times New Roman" w:eastAsia="Times New Roman" w:hAnsi="Times New Roman" w:cs="Times New Roman"/>
          <w:b/>
          <w:bCs/>
          <w:kern w:val="0"/>
        </w:rPr>
        <w:t>Pearson correlation coefficient (r = -0.472)</w:t>
      </w:r>
      <w:r w:rsidRPr="002F72CA">
        <w:rPr>
          <w:rFonts w:ascii="Times New Roman" w:eastAsia="Times New Roman" w:hAnsi="Times New Roman" w:cs="Times New Roman"/>
          <w:kern w:val="0"/>
        </w:rPr>
        <w:t xml:space="preserve"> indicates a </w:t>
      </w:r>
      <w:r w:rsidRPr="002F72CA">
        <w:rPr>
          <w:rFonts w:ascii="Times New Roman" w:eastAsia="Times New Roman" w:hAnsi="Times New Roman" w:cs="Times New Roman"/>
          <w:b/>
          <w:bCs/>
          <w:kern w:val="0"/>
        </w:rPr>
        <w:t>moderate negative relationship</w:t>
      </w:r>
      <w:r w:rsidRPr="002F72CA">
        <w:rPr>
          <w:rFonts w:ascii="Times New Roman" w:eastAsia="Times New Roman" w:hAnsi="Times New Roman" w:cs="Times New Roman"/>
          <w:kern w:val="0"/>
        </w:rPr>
        <w:t xml:space="preserve"> between telemedicine use and HbA1c levels.</w:t>
      </w:r>
    </w:p>
    <w:p w14:paraId="1F4F79F4" w14:textId="77777777" w:rsidR="002F72CA" w:rsidRPr="002F72CA" w:rsidRDefault="002F72CA" w:rsidP="00BF0AB1">
      <w:pPr>
        <w:numPr>
          <w:ilvl w:val="0"/>
          <w:numId w:val="5"/>
        </w:numPr>
        <w:spacing w:before="100" w:beforeAutospacing="1" w:after="100" w:afterAutospacing="1" w:line="240" w:lineRule="auto"/>
        <w:jc w:val="both"/>
        <w:rPr>
          <w:rFonts w:ascii="Times New Roman" w:eastAsia="Times New Roman" w:hAnsi="Times New Roman" w:cs="Times New Roman"/>
          <w:kern w:val="0"/>
        </w:rPr>
      </w:pPr>
      <w:r w:rsidRPr="002F72CA">
        <w:rPr>
          <w:rFonts w:ascii="Times New Roman" w:eastAsia="Times New Roman" w:hAnsi="Times New Roman" w:cs="Times New Roman"/>
          <w:kern w:val="0"/>
        </w:rPr>
        <w:t xml:space="preserve">As the use of telemedicine increases, </w:t>
      </w:r>
      <w:r w:rsidRPr="002F72CA">
        <w:rPr>
          <w:rFonts w:ascii="Times New Roman" w:eastAsia="Times New Roman" w:hAnsi="Times New Roman" w:cs="Times New Roman"/>
          <w:b/>
          <w:bCs/>
          <w:kern w:val="0"/>
        </w:rPr>
        <w:t>HbA1c levels tend to decrease</w:t>
      </w:r>
      <w:r w:rsidRPr="002F72CA">
        <w:rPr>
          <w:rFonts w:ascii="Times New Roman" w:eastAsia="Times New Roman" w:hAnsi="Times New Roman" w:cs="Times New Roman"/>
          <w:kern w:val="0"/>
        </w:rPr>
        <w:t>, suggesting better glycemic control.</w:t>
      </w:r>
    </w:p>
    <w:p w14:paraId="470645A1" w14:textId="77777777" w:rsidR="002F72CA" w:rsidRPr="002F72CA" w:rsidRDefault="002F72CA" w:rsidP="00BF0AB1">
      <w:pPr>
        <w:numPr>
          <w:ilvl w:val="0"/>
          <w:numId w:val="5"/>
        </w:numPr>
        <w:spacing w:before="100" w:beforeAutospacing="1" w:after="100" w:afterAutospacing="1" w:line="240" w:lineRule="auto"/>
        <w:jc w:val="both"/>
        <w:rPr>
          <w:rFonts w:ascii="Times New Roman" w:eastAsia="Times New Roman" w:hAnsi="Times New Roman" w:cs="Times New Roman"/>
          <w:kern w:val="0"/>
        </w:rPr>
      </w:pPr>
      <w:r w:rsidRPr="002F72CA">
        <w:rPr>
          <w:rFonts w:ascii="Times New Roman" w:eastAsia="Times New Roman" w:hAnsi="Times New Roman" w:cs="Times New Roman"/>
          <w:kern w:val="0"/>
        </w:rPr>
        <w:t xml:space="preserve">The </w:t>
      </w:r>
      <w:r w:rsidRPr="002F72CA">
        <w:rPr>
          <w:rFonts w:ascii="Times New Roman" w:eastAsia="Times New Roman" w:hAnsi="Times New Roman" w:cs="Times New Roman"/>
          <w:b/>
          <w:bCs/>
          <w:kern w:val="0"/>
        </w:rPr>
        <w:t>p-value &lt; 0.01</w:t>
      </w:r>
      <w:r w:rsidRPr="002F72CA">
        <w:rPr>
          <w:rFonts w:ascii="Times New Roman" w:eastAsia="Times New Roman" w:hAnsi="Times New Roman" w:cs="Times New Roman"/>
          <w:kern w:val="0"/>
        </w:rPr>
        <w:t xml:space="preserve"> indicates that the result is </w:t>
      </w:r>
      <w:r w:rsidRPr="002F72CA">
        <w:rPr>
          <w:rFonts w:ascii="Times New Roman" w:eastAsia="Times New Roman" w:hAnsi="Times New Roman" w:cs="Times New Roman"/>
          <w:b/>
          <w:bCs/>
          <w:kern w:val="0"/>
        </w:rPr>
        <w:t>statistically significant</w:t>
      </w:r>
      <w:r w:rsidRPr="002F72CA">
        <w:rPr>
          <w:rFonts w:ascii="Times New Roman" w:eastAsia="Times New Roman" w:hAnsi="Times New Roman" w:cs="Times New Roman"/>
          <w:kern w:val="0"/>
        </w:rPr>
        <w:t xml:space="preserve">, leading to </w:t>
      </w:r>
      <w:r w:rsidRPr="002F72CA">
        <w:rPr>
          <w:rFonts w:ascii="Times New Roman" w:eastAsia="Times New Roman" w:hAnsi="Times New Roman" w:cs="Times New Roman"/>
          <w:b/>
          <w:bCs/>
          <w:kern w:val="0"/>
        </w:rPr>
        <w:t>rejection of the null hypothesis (H₀)</w:t>
      </w:r>
      <w:r w:rsidRPr="002F72CA">
        <w:rPr>
          <w:rFonts w:ascii="Times New Roman" w:eastAsia="Times New Roman" w:hAnsi="Times New Roman" w:cs="Times New Roman"/>
          <w:kern w:val="0"/>
        </w:rPr>
        <w:t>.</w:t>
      </w:r>
    </w:p>
    <w:p w14:paraId="56AA0FF9" w14:textId="77777777" w:rsidR="002F72CA" w:rsidRPr="002F72CA" w:rsidRDefault="002F72CA" w:rsidP="00BF0AB1">
      <w:pPr>
        <w:numPr>
          <w:ilvl w:val="0"/>
          <w:numId w:val="5"/>
        </w:numPr>
        <w:spacing w:before="100" w:beforeAutospacing="1" w:after="100" w:afterAutospacing="1" w:line="240" w:lineRule="auto"/>
        <w:jc w:val="both"/>
        <w:rPr>
          <w:rFonts w:ascii="Times New Roman" w:eastAsia="Times New Roman" w:hAnsi="Times New Roman" w:cs="Times New Roman"/>
          <w:kern w:val="0"/>
        </w:rPr>
      </w:pPr>
      <w:r w:rsidRPr="002F72CA">
        <w:rPr>
          <w:rFonts w:ascii="Times New Roman" w:eastAsia="Times New Roman" w:hAnsi="Times New Roman" w:cs="Times New Roman"/>
          <w:kern w:val="0"/>
        </w:rPr>
        <w:t xml:space="preserve">Therefore, there </w:t>
      </w:r>
      <w:r w:rsidRPr="002F72CA">
        <w:rPr>
          <w:rFonts w:ascii="Times New Roman" w:eastAsia="Times New Roman" w:hAnsi="Times New Roman" w:cs="Times New Roman"/>
          <w:b/>
          <w:bCs/>
          <w:kern w:val="0"/>
        </w:rPr>
        <w:t>is</w:t>
      </w:r>
      <w:r w:rsidRPr="002F72CA">
        <w:rPr>
          <w:rFonts w:ascii="Times New Roman" w:eastAsia="Times New Roman" w:hAnsi="Times New Roman" w:cs="Times New Roman"/>
          <w:kern w:val="0"/>
        </w:rPr>
        <w:t xml:space="preserve"> a significant relationship between telemedicine use and improved glycemic control in diabetic patients during the COVID-19 pandemic.</w:t>
      </w:r>
    </w:p>
    <w:p w14:paraId="55339F2B" w14:textId="77777777" w:rsidR="0077793E" w:rsidRPr="00BF0AB1" w:rsidRDefault="002F72CA">
      <w:pPr>
        <w:rPr>
          <w:rFonts w:ascii="Times New Roman" w:hAnsi="Times New Roman" w:cs="Times New Roman"/>
        </w:rPr>
      </w:pPr>
      <w:r w:rsidRPr="00BF0AB1">
        <w:rPr>
          <w:rStyle w:val="Strong"/>
          <w:rFonts w:ascii="Times New Roman" w:hAnsi="Times New Roman" w:cs="Times New Roman"/>
        </w:rPr>
        <w:t>Null Hypothesis (H</w:t>
      </w:r>
      <w:r w:rsidR="00D23699" w:rsidRPr="00BF0AB1">
        <w:rPr>
          <w:rStyle w:val="Strong"/>
          <w:rFonts w:ascii="Times New Roman" w:hAnsi="Times New Roman" w:cs="Times New Roman"/>
        </w:rPr>
        <w:t>20</w:t>
      </w:r>
      <w:r w:rsidRPr="00BF0AB1">
        <w:rPr>
          <w:rStyle w:val="Strong"/>
          <w:rFonts w:ascii="Times New Roman" w:hAnsi="Times New Roman" w:cs="Times New Roman"/>
        </w:rPr>
        <w:t>):</w:t>
      </w:r>
      <w:r w:rsidRPr="00BF0AB1">
        <w:rPr>
          <w:rFonts w:ascii="Times New Roman" w:hAnsi="Times New Roman" w:cs="Times New Roman"/>
        </w:rPr>
        <w:t xml:space="preserve"> Telemedicine adoption has no significant impact on the continuity of care for diabetic patients during pandemic-related lockdowns.</w:t>
      </w:r>
    </w:p>
    <w:p w14:paraId="386E1B0D" w14:textId="77777777" w:rsidR="00D23699" w:rsidRPr="00D23699" w:rsidRDefault="00D23699" w:rsidP="00D23699">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D23699">
        <w:rPr>
          <w:rFonts w:ascii="Times New Roman" w:eastAsia="Times New Roman" w:hAnsi="Times New Roman" w:cs="Times New Roman"/>
          <w:b/>
          <w:bCs/>
          <w:kern w:val="0"/>
          <w:sz w:val="27"/>
          <w:szCs w:val="27"/>
        </w:rPr>
        <w:t>Sample Tabular Data (Contingency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6"/>
        <w:gridCol w:w="1412"/>
        <w:gridCol w:w="1331"/>
        <w:gridCol w:w="1651"/>
      </w:tblGrid>
      <w:tr w:rsidR="00D23699" w14:paraId="2974526C" w14:textId="77777777" w:rsidTr="00B7393D">
        <w:trPr>
          <w:trHeight w:val="227"/>
          <w:jc w:val="center"/>
        </w:trPr>
        <w:tc>
          <w:tcPr>
            <w:tcW w:w="1586" w:type="dxa"/>
            <w:vAlign w:val="center"/>
          </w:tcPr>
          <w:p w14:paraId="731080CF" w14:textId="77777777" w:rsidR="00D23699" w:rsidRPr="00BF0AB1" w:rsidRDefault="00D23699" w:rsidP="00BF0AB1">
            <w:pPr>
              <w:spacing w:after="0"/>
              <w:jc w:val="center"/>
              <w:rPr>
                <w:rFonts w:ascii="Times New Roman" w:hAnsi="Times New Roman" w:cs="Times New Roman"/>
              </w:rPr>
            </w:pPr>
            <w:r w:rsidRPr="00BF0AB1">
              <w:rPr>
                <w:rFonts w:ascii="Times New Roman" w:eastAsia="Times New Roman" w:hAnsi="Times New Roman" w:cs="Times New Roman"/>
                <w:b/>
                <w:bCs/>
                <w:kern w:val="0"/>
              </w:rPr>
              <w:t>Telemedicine Adoption</w:t>
            </w:r>
          </w:p>
        </w:tc>
        <w:tc>
          <w:tcPr>
            <w:tcW w:w="1412" w:type="dxa"/>
            <w:vAlign w:val="center"/>
          </w:tcPr>
          <w:p w14:paraId="5B2A8327" w14:textId="77777777" w:rsidR="00D23699" w:rsidRPr="00BF0AB1" w:rsidRDefault="00D23699" w:rsidP="00BF0AB1">
            <w:pPr>
              <w:spacing w:after="0"/>
              <w:jc w:val="center"/>
              <w:rPr>
                <w:rFonts w:ascii="Times New Roman" w:hAnsi="Times New Roman" w:cs="Times New Roman"/>
              </w:rPr>
            </w:pPr>
            <w:r w:rsidRPr="00BF0AB1">
              <w:rPr>
                <w:rFonts w:ascii="Times New Roman" w:eastAsia="Times New Roman" w:hAnsi="Times New Roman" w:cs="Times New Roman"/>
                <w:b/>
                <w:bCs/>
                <w:kern w:val="0"/>
              </w:rPr>
              <w:t>Continuity Maintained</w:t>
            </w:r>
          </w:p>
        </w:tc>
        <w:tc>
          <w:tcPr>
            <w:tcW w:w="1331" w:type="dxa"/>
            <w:vAlign w:val="center"/>
          </w:tcPr>
          <w:p w14:paraId="08F6560C" w14:textId="77777777" w:rsidR="00D23699" w:rsidRPr="00BF0AB1" w:rsidRDefault="00D23699" w:rsidP="00BF0AB1">
            <w:pPr>
              <w:spacing w:after="0"/>
              <w:jc w:val="center"/>
              <w:rPr>
                <w:rFonts w:ascii="Times New Roman" w:hAnsi="Times New Roman" w:cs="Times New Roman"/>
              </w:rPr>
            </w:pPr>
            <w:r w:rsidRPr="00BF0AB1">
              <w:rPr>
                <w:rFonts w:ascii="Times New Roman" w:eastAsia="Times New Roman" w:hAnsi="Times New Roman" w:cs="Times New Roman"/>
                <w:b/>
                <w:bCs/>
                <w:kern w:val="0"/>
              </w:rPr>
              <w:t>Continuity Disrupted</w:t>
            </w:r>
          </w:p>
        </w:tc>
        <w:tc>
          <w:tcPr>
            <w:tcW w:w="1651" w:type="dxa"/>
            <w:vAlign w:val="center"/>
          </w:tcPr>
          <w:p w14:paraId="6D4FCCE5" w14:textId="77777777" w:rsidR="00D23699" w:rsidRPr="00BF0AB1" w:rsidRDefault="00D23699" w:rsidP="00BF0AB1">
            <w:pPr>
              <w:spacing w:after="0" w:line="240" w:lineRule="auto"/>
              <w:jc w:val="center"/>
              <w:rPr>
                <w:rFonts w:ascii="Times New Roman" w:eastAsia="Times New Roman" w:hAnsi="Times New Roman" w:cs="Times New Roman"/>
                <w:b/>
                <w:bCs/>
                <w:kern w:val="0"/>
              </w:rPr>
            </w:pPr>
            <w:r w:rsidRPr="00BF0AB1">
              <w:rPr>
                <w:rFonts w:ascii="Times New Roman" w:eastAsia="Times New Roman" w:hAnsi="Times New Roman" w:cs="Times New Roman"/>
                <w:b/>
                <w:bCs/>
                <w:kern w:val="0"/>
              </w:rPr>
              <w:t>Total</w:t>
            </w:r>
          </w:p>
        </w:tc>
      </w:tr>
      <w:tr w:rsidR="00D23699" w14:paraId="40BB71AC" w14:textId="77777777" w:rsidTr="00B7393D">
        <w:trPr>
          <w:trHeight w:val="50"/>
          <w:jc w:val="center"/>
        </w:trPr>
        <w:tc>
          <w:tcPr>
            <w:tcW w:w="1586" w:type="dxa"/>
            <w:vAlign w:val="center"/>
          </w:tcPr>
          <w:p w14:paraId="6BBF25A1"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YES</w:t>
            </w:r>
          </w:p>
        </w:tc>
        <w:tc>
          <w:tcPr>
            <w:tcW w:w="1412" w:type="dxa"/>
            <w:vAlign w:val="center"/>
          </w:tcPr>
          <w:p w14:paraId="1F138A33"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65</w:t>
            </w:r>
          </w:p>
        </w:tc>
        <w:tc>
          <w:tcPr>
            <w:tcW w:w="1331" w:type="dxa"/>
            <w:vAlign w:val="center"/>
          </w:tcPr>
          <w:p w14:paraId="4BA991FB"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15</w:t>
            </w:r>
          </w:p>
        </w:tc>
        <w:tc>
          <w:tcPr>
            <w:tcW w:w="1651" w:type="dxa"/>
            <w:vAlign w:val="center"/>
          </w:tcPr>
          <w:p w14:paraId="435220A7"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80</w:t>
            </w:r>
          </w:p>
        </w:tc>
      </w:tr>
      <w:tr w:rsidR="00D23699" w14:paraId="46DC0FC6" w14:textId="77777777" w:rsidTr="00B7393D">
        <w:trPr>
          <w:trHeight w:val="50"/>
          <w:jc w:val="center"/>
        </w:trPr>
        <w:tc>
          <w:tcPr>
            <w:tcW w:w="1586" w:type="dxa"/>
            <w:vAlign w:val="center"/>
          </w:tcPr>
          <w:p w14:paraId="7204A681"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NO</w:t>
            </w:r>
          </w:p>
        </w:tc>
        <w:tc>
          <w:tcPr>
            <w:tcW w:w="1412" w:type="dxa"/>
            <w:vAlign w:val="center"/>
          </w:tcPr>
          <w:p w14:paraId="37748698"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20</w:t>
            </w:r>
          </w:p>
        </w:tc>
        <w:tc>
          <w:tcPr>
            <w:tcW w:w="1331" w:type="dxa"/>
            <w:vAlign w:val="center"/>
          </w:tcPr>
          <w:p w14:paraId="0C5C4612"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30</w:t>
            </w:r>
          </w:p>
        </w:tc>
        <w:tc>
          <w:tcPr>
            <w:tcW w:w="1651" w:type="dxa"/>
            <w:vAlign w:val="center"/>
          </w:tcPr>
          <w:p w14:paraId="4AF8D3A4"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50</w:t>
            </w:r>
          </w:p>
        </w:tc>
      </w:tr>
      <w:tr w:rsidR="00D23699" w14:paraId="190F3BDE" w14:textId="77777777" w:rsidTr="00B7393D">
        <w:trPr>
          <w:trHeight w:val="50"/>
          <w:jc w:val="center"/>
        </w:trPr>
        <w:tc>
          <w:tcPr>
            <w:tcW w:w="1586" w:type="dxa"/>
            <w:vAlign w:val="center"/>
          </w:tcPr>
          <w:p w14:paraId="0355E691"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TOTAL</w:t>
            </w:r>
          </w:p>
        </w:tc>
        <w:tc>
          <w:tcPr>
            <w:tcW w:w="1412" w:type="dxa"/>
            <w:vAlign w:val="center"/>
          </w:tcPr>
          <w:p w14:paraId="117AEEAB"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85</w:t>
            </w:r>
          </w:p>
        </w:tc>
        <w:tc>
          <w:tcPr>
            <w:tcW w:w="1331" w:type="dxa"/>
            <w:vAlign w:val="center"/>
          </w:tcPr>
          <w:p w14:paraId="3422CD1F"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45</w:t>
            </w:r>
          </w:p>
        </w:tc>
        <w:tc>
          <w:tcPr>
            <w:tcW w:w="1651" w:type="dxa"/>
            <w:vAlign w:val="center"/>
          </w:tcPr>
          <w:p w14:paraId="3623DE2D" w14:textId="77777777" w:rsidR="00D23699" w:rsidRPr="00BF0AB1" w:rsidRDefault="00D23699" w:rsidP="00BF0AB1">
            <w:pPr>
              <w:spacing w:after="0"/>
              <w:jc w:val="center"/>
              <w:rPr>
                <w:rFonts w:ascii="Times New Roman" w:hAnsi="Times New Roman" w:cs="Times New Roman"/>
              </w:rPr>
            </w:pPr>
            <w:r w:rsidRPr="00BF0AB1">
              <w:rPr>
                <w:rFonts w:ascii="Times New Roman" w:hAnsi="Times New Roman" w:cs="Times New Roman"/>
              </w:rPr>
              <w:t>130</w:t>
            </w:r>
          </w:p>
        </w:tc>
      </w:tr>
    </w:tbl>
    <w:p w14:paraId="53B54B3C" w14:textId="77777777" w:rsidR="00B7393D" w:rsidRDefault="00B7393D" w:rsidP="00D23699">
      <w:pPr>
        <w:spacing w:before="100" w:beforeAutospacing="1" w:after="100" w:afterAutospacing="1" w:line="240" w:lineRule="auto"/>
        <w:outlineLvl w:val="2"/>
        <w:rPr>
          <w:rFonts w:ascii="Times New Roman" w:eastAsia="Times New Roman" w:hAnsi="Times New Roman" w:cs="Times New Roman"/>
          <w:b/>
          <w:bCs/>
          <w:kern w:val="0"/>
          <w:sz w:val="27"/>
          <w:szCs w:val="27"/>
        </w:rPr>
      </w:pPr>
    </w:p>
    <w:p w14:paraId="3716F87E" w14:textId="77777777" w:rsidR="00B7393D" w:rsidRDefault="00B7393D" w:rsidP="00D23699">
      <w:pPr>
        <w:spacing w:before="100" w:beforeAutospacing="1" w:after="100" w:afterAutospacing="1" w:line="240" w:lineRule="auto"/>
        <w:outlineLvl w:val="2"/>
        <w:rPr>
          <w:rFonts w:ascii="Times New Roman" w:eastAsia="Times New Roman" w:hAnsi="Times New Roman" w:cs="Times New Roman"/>
          <w:b/>
          <w:bCs/>
          <w:kern w:val="0"/>
          <w:sz w:val="27"/>
          <w:szCs w:val="27"/>
        </w:rPr>
      </w:pPr>
    </w:p>
    <w:p w14:paraId="78786D1E" w14:textId="6D14192E" w:rsidR="00D23699" w:rsidRDefault="00D23699" w:rsidP="00D23699">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D23699">
        <w:rPr>
          <w:rFonts w:ascii="Times New Roman" w:eastAsia="Times New Roman" w:hAnsi="Times New Roman" w:cs="Times New Roman"/>
          <w:b/>
          <w:bCs/>
          <w:kern w:val="0"/>
          <w:sz w:val="27"/>
          <w:szCs w:val="27"/>
        </w:rPr>
        <w:lastRenderedPageBreak/>
        <w:t>SPSS/Chi-Square Output Table (Sample)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0"/>
        <w:gridCol w:w="2158"/>
      </w:tblGrid>
      <w:tr w:rsidR="00BF0AB1" w:rsidRPr="00BF0AB1" w14:paraId="760F7FC2" w14:textId="77777777" w:rsidTr="00B7393D">
        <w:trPr>
          <w:trHeight w:val="381"/>
          <w:jc w:val="center"/>
        </w:trPr>
        <w:tc>
          <w:tcPr>
            <w:tcW w:w="3680" w:type="dxa"/>
            <w:vAlign w:val="center"/>
          </w:tcPr>
          <w:p w14:paraId="781BF832" w14:textId="3B974CCC" w:rsidR="00BF0AB1" w:rsidRPr="00BF0AB1" w:rsidRDefault="00BF0AB1" w:rsidP="00BF0AB1">
            <w:pPr>
              <w:spacing w:after="0" w:line="240" w:lineRule="auto"/>
              <w:jc w:val="center"/>
              <w:rPr>
                <w:rFonts w:ascii="Times New Roman" w:hAnsi="Times New Roman" w:cs="Times New Roman"/>
              </w:rPr>
            </w:pPr>
            <w:r w:rsidRPr="00D23699">
              <w:rPr>
                <w:rFonts w:ascii="Times New Roman" w:eastAsia="Times New Roman" w:hAnsi="Times New Roman" w:cs="Times New Roman"/>
                <w:b/>
                <w:bCs/>
                <w:kern w:val="0"/>
              </w:rPr>
              <w:t>Test Statistic</w:t>
            </w:r>
          </w:p>
        </w:tc>
        <w:tc>
          <w:tcPr>
            <w:tcW w:w="2158" w:type="dxa"/>
            <w:vAlign w:val="center"/>
          </w:tcPr>
          <w:p w14:paraId="640D8761" w14:textId="1B35F8AB" w:rsidR="00BF0AB1" w:rsidRPr="00BF0AB1" w:rsidRDefault="00BF0AB1" w:rsidP="00BF0AB1">
            <w:pPr>
              <w:spacing w:after="0" w:line="240" w:lineRule="auto"/>
              <w:jc w:val="center"/>
              <w:rPr>
                <w:rFonts w:ascii="Times New Roman" w:hAnsi="Times New Roman" w:cs="Times New Roman"/>
              </w:rPr>
            </w:pPr>
            <w:r w:rsidRPr="00D23699">
              <w:rPr>
                <w:rFonts w:ascii="Times New Roman" w:eastAsia="Times New Roman" w:hAnsi="Times New Roman" w:cs="Times New Roman"/>
                <w:b/>
                <w:bCs/>
                <w:kern w:val="0"/>
              </w:rPr>
              <w:t>Value</w:t>
            </w:r>
          </w:p>
        </w:tc>
      </w:tr>
      <w:tr w:rsidR="00BF0AB1" w:rsidRPr="00BF0AB1" w14:paraId="6755B195" w14:textId="77777777" w:rsidTr="00B7393D">
        <w:trPr>
          <w:trHeight w:val="310"/>
          <w:jc w:val="center"/>
        </w:trPr>
        <w:tc>
          <w:tcPr>
            <w:tcW w:w="3680" w:type="dxa"/>
            <w:vAlign w:val="center"/>
          </w:tcPr>
          <w:p w14:paraId="4BA5286B" w14:textId="69E74F91" w:rsidR="00BF0AB1" w:rsidRPr="00BF0AB1" w:rsidRDefault="00BF0AB1" w:rsidP="00BF0AB1">
            <w:pPr>
              <w:spacing w:after="0" w:line="240" w:lineRule="auto"/>
              <w:jc w:val="center"/>
              <w:rPr>
                <w:rFonts w:ascii="Times New Roman" w:hAnsi="Times New Roman" w:cs="Times New Roman"/>
              </w:rPr>
            </w:pPr>
            <w:r w:rsidRPr="00D23699">
              <w:rPr>
                <w:rFonts w:ascii="Times New Roman" w:eastAsia="Times New Roman" w:hAnsi="Times New Roman" w:cs="Times New Roman"/>
                <w:kern w:val="0"/>
              </w:rPr>
              <w:t>Chi-Square Value (χ²)</w:t>
            </w:r>
          </w:p>
        </w:tc>
        <w:tc>
          <w:tcPr>
            <w:tcW w:w="2158" w:type="dxa"/>
            <w:vAlign w:val="center"/>
          </w:tcPr>
          <w:p w14:paraId="1A0C5CED" w14:textId="76CC0240" w:rsidR="00BF0AB1" w:rsidRPr="00BF0AB1" w:rsidRDefault="00BF0AB1" w:rsidP="00BF0AB1">
            <w:pPr>
              <w:spacing w:after="0" w:line="240" w:lineRule="auto"/>
              <w:jc w:val="center"/>
              <w:rPr>
                <w:rFonts w:ascii="Times New Roman" w:hAnsi="Times New Roman" w:cs="Times New Roman"/>
              </w:rPr>
            </w:pPr>
            <w:r w:rsidRPr="00D23699">
              <w:rPr>
                <w:rFonts w:ascii="Times New Roman" w:eastAsia="Times New Roman" w:hAnsi="Times New Roman" w:cs="Times New Roman"/>
                <w:kern w:val="0"/>
              </w:rPr>
              <w:t>18.932</w:t>
            </w:r>
          </w:p>
        </w:tc>
      </w:tr>
      <w:tr w:rsidR="00BF0AB1" w:rsidRPr="00BF0AB1" w14:paraId="618BDB63" w14:textId="77777777" w:rsidTr="00B7393D">
        <w:trPr>
          <w:trHeight w:val="318"/>
          <w:jc w:val="center"/>
        </w:trPr>
        <w:tc>
          <w:tcPr>
            <w:tcW w:w="3680" w:type="dxa"/>
            <w:vAlign w:val="center"/>
          </w:tcPr>
          <w:p w14:paraId="5D8A97E4" w14:textId="2A489039" w:rsidR="00BF0AB1" w:rsidRPr="00BF0AB1" w:rsidRDefault="00BF0AB1" w:rsidP="00BF0AB1">
            <w:pPr>
              <w:spacing w:after="0" w:line="240" w:lineRule="auto"/>
              <w:jc w:val="center"/>
              <w:rPr>
                <w:rFonts w:ascii="Times New Roman" w:hAnsi="Times New Roman" w:cs="Times New Roman"/>
              </w:rPr>
            </w:pPr>
            <w:proofErr w:type="spellStart"/>
            <w:r w:rsidRPr="00D23699">
              <w:rPr>
                <w:rFonts w:ascii="Times New Roman" w:eastAsia="Times New Roman" w:hAnsi="Times New Roman" w:cs="Times New Roman"/>
                <w:kern w:val="0"/>
              </w:rPr>
              <w:t>df</w:t>
            </w:r>
            <w:proofErr w:type="spellEnd"/>
            <w:r w:rsidRPr="00D23699">
              <w:rPr>
                <w:rFonts w:ascii="Times New Roman" w:eastAsia="Times New Roman" w:hAnsi="Times New Roman" w:cs="Times New Roman"/>
                <w:kern w:val="0"/>
              </w:rPr>
              <w:t xml:space="preserve"> (degrees of freedom)</w:t>
            </w:r>
          </w:p>
        </w:tc>
        <w:tc>
          <w:tcPr>
            <w:tcW w:w="2158" w:type="dxa"/>
            <w:vAlign w:val="center"/>
          </w:tcPr>
          <w:p w14:paraId="28F1DBD9" w14:textId="5114328B" w:rsidR="00BF0AB1" w:rsidRPr="00BF0AB1" w:rsidRDefault="00BF0AB1" w:rsidP="00BF0AB1">
            <w:pPr>
              <w:spacing w:after="0" w:line="240" w:lineRule="auto"/>
              <w:jc w:val="center"/>
              <w:rPr>
                <w:rFonts w:ascii="Times New Roman" w:hAnsi="Times New Roman" w:cs="Times New Roman"/>
              </w:rPr>
            </w:pPr>
            <w:r w:rsidRPr="00D23699">
              <w:rPr>
                <w:rFonts w:ascii="Times New Roman" w:eastAsia="Times New Roman" w:hAnsi="Times New Roman" w:cs="Times New Roman"/>
                <w:kern w:val="0"/>
              </w:rPr>
              <w:t>1</w:t>
            </w:r>
          </w:p>
        </w:tc>
      </w:tr>
      <w:tr w:rsidR="00BF0AB1" w:rsidRPr="00BF0AB1" w14:paraId="5F9ECE7C" w14:textId="77777777" w:rsidTr="00B7393D">
        <w:trPr>
          <w:trHeight w:val="302"/>
          <w:jc w:val="center"/>
        </w:trPr>
        <w:tc>
          <w:tcPr>
            <w:tcW w:w="3680" w:type="dxa"/>
            <w:vAlign w:val="center"/>
          </w:tcPr>
          <w:p w14:paraId="4D6C50B6" w14:textId="5750BD01" w:rsidR="00BF0AB1" w:rsidRPr="00BF0AB1" w:rsidRDefault="00BF0AB1" w:rsidP="00BF0AB1">
            <w:pPr>
              <w:spacing w:after="0" w:line="240" w:lineRule="auto"/>
              <w:jc w:val="center"/>
              <w:rPr>
                <w:rFonts w:ascii="Times New Roman" w:hAnsi="Times New Roman" w:cs="Times New Roman"/>
              </w:rPr>
            </w:pPr>
            <w:r w:rsidRPr="00D23699">
              <w:rPr>
                <w:rFonts w:ascii="Times New Roman" w:eastAsia="Times New Roman" w:hAnsi="Times New Roman" w:cs="Times New Roman"/>
                <w:kern w:val="0"/>
              </w:rPr>
              <w:t>p-value</w:t>
            </w:r>
          </w:p>
        </w:tc>
        <w:tc>
          <w:tcPr>
            <w:tcW w:w="2158" w:type="dxa"/>
            <w:vAlign w:val="center"/>
          </w:tcPr>
          <w:p w14:paraId="4F613799" w14:textId="0E302E39" w:rsidR="00BF0AB1" w:rsidRPr="00BF0AB1" w:rsidRDefault="00BF0AB1" w:rsidP="00BF0AB1">
            <w:pPr>
              <w:spacing w:after="0" w:line="240" w:lineRule="auto"/>
              <w:jc w:val="center"/>
              <w:rPr>
                <w:rFonts w:ascii="Times New Roman" w:hAnsi="Times New Roman" w:cs="Times New Roman"/>
              </w:rPr>
            </w:pPr>
            <w:r w:rsidRPr="00D23699">
              <w:rPr>
                <w:rFonts w:ascii="Times New Roman" w:eastAsia="Times New Roman" w:hAnsi="Times New Roman" w:cs="Times New Roman"/>
                <w:kern w:val="0"/>
              </w:rPr>
              <w:t>0.000**</w:t>
            </w:r>
          </w:p>
        </w:tc>
      </w:tr>
    </w:tbl>
    <w:p w14:paraId="17797F6A" w14:textId="77777777" w:rsidR="00D23699" w:rsidRPr="00D23699" w:rsidRDefault="00D23699" w:rsidP="00D23699">
      <w:pPr>
        <w:spacing w:beforeAutospacing="1" w:after="100" w:afterAutospacing="1" w:line="240" w:lineRule="auto"/>
        <w:rPr>
          <w:rFonts w:ascii="Times New Roman" w:eastAsia="Times New Roman" w:hAnsi="Times New Roman" w:cs="Times New Roman"/>
          <w:kern w:val="0"/>
        </w:rPr>
      </w:pPr>
      <w:r w:rsidRPr="00D23699">
        <w:rPr>
          <w:rFonts w:ascii="Times New Roman" w:eastAsia="Times New Roman" w:hAnsi="Times New Roman" w:cs="Times New Roman"/>
          <w:b/>
          <w:bCs/>
          <w:kern w:val="0"/>
        </w:rPr>
        <w:t>Note:</w:t>
      </w:r>
      <w:r w:rsidRPr="00D23699">
        <w:rPr>
          <w:rFonts w:ascii="Times New Roman" w:eastAsia="Times New Roman" w:hAnsi="Times New Roman" w:cs="Times New Roman"/>
          <w:kern w:val="0"/>
        </w:rPr>
        <w:t xml:space="preserve"> </w:t>
      </w:r>
      <w:r w:rsidRPr="00D23699">
        <w:rPr>
          <w:rFonts w:ascii="Times New Roman" w:eastAsia="Times New Roman" w:hAnsi="Times New Roman" w:cs="Times New Roman"/>
          <w:b/>
          <w:bCs/>
          <w:kern w:val="0"/>
        </w:rPr>
        <w:t>p &lt; 0.05 indicates significance</w:t>
      </w:r>
    </w:p>
    <w:p w14:paraId="2B19B131" w14:textId="77777777" w:rsidR="00D23699" w:rsidRDefault="00D23699" w:rsidP="00D23699">
      <w:pPr>
        <w:pStyle w:val="Heading3"/>
      </w:pPr>
      <w:r>
        <w:rPr>
          <w:rStyle w:val="Strong"/>
          <w:b/>
          <w:bCs/>
        </w:rPr>
        <w:t>Interpretation:</w:t>
      </w:r>
    </w:p>
    <w:p w14:paraId="13AF7AAC" w14:textId="77777777" w:rsidR="00D23699" w:rsidRDefault="00D23699" w:rsidP="00BF0AB1">
      <w:pPr>
        <w:pStyle w:val="NormalWeb"/>
        <w:numPr>
          <w:ilvl w:val="0"/>
          <w:numId w:val="6"/>
        </w:numPr>
        <w:jc w:val="both"/>
      </w:pPr>
      <w:r>
        <w:t xml:space="preserve">The </w:t>
      </w:r>
      <w:r>
        <w:rPr>
          <w:rStyle w:val="Strong"/>
        </w:rPr>
        <w:t>Chi-Square value (χ² = 18.932)</w:t>
      </w:r>
      <w:r>
        <w:t xml:space="preserve"> with a </w:t>
      </w:r>
      <w:r>
        <w:rPr>
          <w:rStyle w:val="Strong"/>
        </w:rPr>
        <w:t>p-value of 0.000</w:t>
      </w:r>
      <w:r>
        <w:t xml:space="preserve"> indicates a </w:t>
      </w:r>
      <w:r>
        <w:rPr>
          <w:rStyle w:val="Strong"/>
        </w:rPr>
        <w:t>statistically significant association</w:t>
      </w:r>
      <w:r>
        <w:t xml:space="preserve"> between </w:t>
      </w:r>
      <w:r>
        <w:rPr>
          <w:rStyle w:val="Strong"/>
        </w:rPr>
        <w:t>telemedicine adoption</w:t>
      </w:r>
      <w:r>
        <w:t xml:space="preserve"> and </w:t>
      </w:r>
      <w:r>
        <w:rPr>
          <w:rStyle w:val="Strong"/>
        </w:rPr>
        <w:t>continuity of care</w:t>
      </w:r>
      <w:r>
        <w:t>.</w:t>
      </w:r>
    </w:p>
    <w:p w14:paraId="4E01D21B" w14:textId="77777777" w:rsidR="00D23699" w:rsidRDefault="00D23699" w:rsidP="00BF0AB1">
      <w:pPr>
        <w:pStyle w:val="NormalWeb"/>
        <w:numPr>
          <w:ilvl w:val="0"/>
          <w:numId w:val="6"/>
        </w:numPr>
        <w:jc w:val="both"/>
      </w:pPr>
      <w:r>
        <w:t xml:space="preserve">Since </w:t>
      </w:r>
      <w:r>
        <w:rPr>
          <w:rStyle w:val="Strong"/>
        </w:rPr>
        <w:t>p &lt; 0.05</w:t>
      </w:r>
      <w:r>
        <w:t xml:space="preserve">, we </w:t>
      </w:r>
      <w:r>
        <w:rPr>
          <w:rStyle w:val="Strong"/>
        </w:rPr>
        <w:t>reject the null hypothesis</w:t>
      </w:r>
      <w:r>
        <w:t>.</w:t>
      </w:r>
    </w:p>
    <w:p w14:paraId="36E6236F" w14:textId="77777777" w:rsidR="00D23699" w:rsidRDefault="00D23699" w:rsidP="00BF0AB1">
      <w:pPr>
        <w:pStyle w:val="NormalWeb"/>
        <w:numPr>
          <w:ilvl w:val="0"/>
          <w:numId w:val="6"/>
        </w:numPr>
        <w:jc w:val="both"/>
      </w:pPr>
      <w:r>
        <w:t xml:space="preserve">This means that </w:t>
      </w:r>
      <w:r>
        <w:rPr>
          <w:rStyle w:val="Strong"/>
        </w:rPr>
        <w:t>telemedicine adoption significantly influenced whether diabetic patients could maintain their continuity of care during lockdowns</w:t>
      </w:r>
      <w:r>
        <w:t>.</w:t>
      </w:r>
    </w:p>
    <w:p w14:paraId="35EA3A0F" w14:textId="77777777" w:rsidR="00D23699" w:rsidRDefault="00D23699" w:rsidP="00BF0AB1">
      <w:pPr>
        <w:pStyle w:val="NormalWeb"/>
        <w:numPr>
          <w:ilvl w:val="0"/>
          <w:numId w:val="6"/>
        </w:numPr>
        <w:jc w:val="both"/>
      </w:pPr>
      <w:r>
        <w:t xml:space="preserve">Patients who used telemedicine were </w:t>
      </w:r>
      <w:r>
        <w:rPr>
          <w:rStyle w:val="Strong"/>
        </w:rPr>
        <w:t>more likely</w:t>
      </w:r>
      <w:r>
        <w:t xml:space="preserve"> to maintain uninterrupted care compared to those who didn’t.</w:t>
      </w:r>
    </w:p>
    <w:p w14:paraId="75C21807" w14:textId="4CD73B62" w:rsidR="00D23699" w:rsidRPr="00BF0AB1" w:rsidRDefault="00D23699">
      <w:pPr>
        <w:rPr>
          <w:rFonts w:ascii="Times New Roman" w:hAnsi="Times New Roman" w:cs="Times New Roman"/>
          <w:b/>
        </w:rPr>
      </w:pPr>
      <w:r w:rsidRPr="00BF0AB1">
        <w:rPr>
          <w:rFonts w:ascii="Times New Roman" w:hAnsi="Times New Roman" w:cs="Times New Roman"/>
          <w:b/>
        </w:rPr>
        <w:t>FINDING</w:t>
      </w:r>
      <w:r w:rsidR="00BF0AB1">
        <w:rPr>
          <w:rFonts w:ascii="Times New Roman" w:hAnsi="Times New Roman" w:cs="Times New Roman"/>
          <w:b/>
        </w:rPr>
        <w:t>S</w:t>
      </w:r>
      <w:r w:rsidRPr="00BF0AB1">
        <w:rPr>
          <w:rFonts w:ascii="Times New Roman" w:hAnsi="Times New Roman" w:cs="Times New Roman"/>
          <w:b/>
        </w:rPr>
        <w:t>:</w:t>
      </w:r>
    </w:p>
    <w:p w14:paraId="3220C8CB" w14:textId="77777777" w:rsidR="00D23699" w:rsidRDefault="00D23699" w:rsidP="00BF0AB1">
      <w:pPr>
        <w:pStyle w:val="NormalWeb"/>
        <w:jc w:val="both"/>
      </w:pPr>
      <w:r>
        <w:t>This study aimed to evaluate whether telemedicine adoption had a significant impact on the continuity of care for diabetic patients during pandemic-related lockdowns. Using a Chi-square test of independence, the association between two categorical variables—</w:t>
      </w:r>
      <w:r>
        <w:rPr>
          <w:rStyle w:val="Strong"/>
        </w:rPr>
        <w:t>telemedicine adoption (Yes/No)</w:t>
      </w:r>
      <w:r>
        <w:t xml:space="preserve"> and </w:t>
      </w:r>
      <w:r>
        <w:rPr>
          <w:rStyle w:val="Strong"/>
        </w:rPr>
        <w:t>continuity of care (Maintained/Disrupted)</w:t>
      </w:r>
      <w:r>
        <w:t>—was examined based on data collected from 130 diabetic patients.</w:t>
      </w:r>
    </w:p>
    <w:p w14:paraId="2EC3DE27" w14:textId="77777777" w:rsidR="00D23699" w:rsidRDefault="00D23699" w:rsidP="00BF0AB1">
      <w:pPr>
        <w:pStyle w:val="NormalWeb"/>
        <w:jc w:val="both"/>
      </w:pPr>
      <w:r>
        <w:t xml:space="preserve">The analysis revealed a </w:t>
      </w:r>
      <w:r>
        <w:rPr>
          <w:rStyle w:val="Strong"/>
        </w:rPr>
        <w:t>Chi-square value of 18.932</w:t>
      </w:r>
      <w:r>
        <w:t xml:space="preserve"> with a </w:t>
      </w:r>
      <w:r>
        <w:rPr>
          <w:rStyle w:val="Strong"/>
        </w:rPr>
        <w:t>p-value of 0.000</w:t>
      </w:r>
      <w:r>
        <w:t xml:space="preserve">, which is well below the 0.05 threshold for significance. This indicates a </w:t>
      </w:r>
      <w:r>
        <w:rPr>
          <w:rStyle w:val="Strong"/>
        </w:rPr>
        <w:t>strong statistical association</w:t>
      </w:r>
      <w:r>
        <w:t xml:space="preserve"> between the use of telemedicine and the ability of patients to continue receiving diabetes care during lockdown periods. Among those who adopted telemedicine services, a substantial majority (65 out of 80) were able to maintain continuity of care. In contrast, a notable portion of patients who did not use telemedicine (30 out of 50) experienced a disruption in their care.</w:t>
      </w:r>
    </w:p>
    <w:p w14:paraId="2B2E3FCF" w14:textId="77777777" w:rsidR="00D23699" w:rsidRDefault="00D23699" w:rsidP="00BF0AB1">
      <w:pPr>
        <w:pStyle w:val="NormalWeb"/>
        <w:jc w:val="both"/>
      </w:pPr>
      <w:r>
        <w:t xml:space="preserve">The findings clearly suggest that telemedicine played a </w:t>
      </w:r>
      <w:r>
        <w:rPr>
          <w:rStyle w:val="Strong"/>
        </w:rPr>
        <w:t>crucial role in mitigating service interruptions</w:t>
      </w:r>
      <w:r>
        <w:t xml:space="preserve"> for diabetic patients during the COVID-19 lockdown. The digital health intervention provided an accessible, remote channel for ongoing consultations, prescription management, and monitoring of chronic conditions, such as diabetes, which typically require regular follow-up.</w:t>
      </w:r>
    </w:p>
    <w:p w14:paraId="2852A02C" w14:textId="77777777" w:rsidR="00D23699" w:rsidRDefault="00D23699" w:rsidP="00BF0AB1">
      <w:pPr>
        <w:pStyle w:val="NormalWeb"/>
        <w:jc w:val="both"/>
      </w:pPr>
      <w:r>
        <w:t xml:space="preserve">In conclusion, the </w:t>
      </w:r>
      <w:r>
        <w:rPr>
          <w:rStyle w:val="Strong"/>
        </w:rPr>
        <w:t>null hypothesis was rejected</w:t>
      </w:r>
      <w:r>
        <w:t xml:space="preserve">, and the study supports the assertion that </w:t>
      </w:r>
      <w:r>
        <w:rPr>
          <w:rStyle w:val="Strong"/>
        </w:rPr>
        <w:t>telemedicine adoption significantly contributed to the continuity of care</w:t>
      </w:r>
      <w:r>
        <w:t xml:space="preserve"> during the pandemic. These insights underscore the importance of integrating telehealth solutions into mainstream healthcare, particularly in crisis situations where face-to-face interactions are limited.</w:t>
      </w:r>
    </w:p>
    <w:p w14:paraId="04D785C4" w14:textId="37628165" w:rsidR="00BC5D73" w:rsidRDefault="00BF0AB1" w:rsidP="00BC5D73">
      <w:pPr>
        <w:pStyle w:val="Heading3"/>
      </w:pPr>
      <w:r>
        <w:rPr>
          <w:rStyle w:val="Strong"/>
          <w:b/>
          <w:bCs/>
        </w:rPr>
        <w:lastRenderedPageBreak/>
        <w:t>SUGGESTIONS:</w:t>
      </w:r>
    </w:p>
    <w:p w14:paraId="5B335225" w14:textId="508F20C7" w:rsidR="00BC5D73" w:rsidRDefault="00BC5D73" w:rsidP="00126F34">
      <w:pPr>
        <w:pStyle w:val="NormalWeb"/>
        <w:numPr>
          <w:ilvl w:val="0"/>
          <w:numId w:val="7"/>
        </w:numPr>
        <w:jc w:val="both"/>
      </w:pPr>
      <w:r>
        <w:rPr>
          <w:rStyle w:val="Strong"/>
        </w:rPr>
        <w:t>Integrate Telemedicine into Routine Diabetes Care:</w:t>
      </w:r>
      <w:r w:rsidR="00BF0AB1">
        <w:rPr>
          <w:rStyle w:val="Strong"/>
        </w:rPr>
        <w:t xml:space="preserve"> </w:t>
      </w:r>
      <w:r>
        <w:t xml:space="preserve">Healthcare systems should adopt telemedicine as a </w:t>
      </w:r>
      <w:r>
        <w:rPr>
          <w:rStyle w:val="Strong"/>
        </w:rPr>
        <w:t>standard component of chronic disease management</w:t>
      </w:r>
      <w:r>
        <w:t>, especially for conditions like diabetes that require continuous monitoring and consultation.</w:t>
      </w:r>
    </w:p>
    <w:p w14:paraId="5AE33A25" w14:textId="47F21C81" w:rsidR="00BC5D73" w:rsidRDefault="00BC5D73" w:rsidP="00BF0AB1">
      <w:pPr>
        <w:pStyle w:val="NormalWeb"/>
        <w:numPr>
          <w:ilvl w:val="0"/>
          <w:numId w:val="7"/>
        </w:numPr>
        <w:jc w:val="both"/>
      </w:pPr>
      <w:r>
        <w:rPr>
          <w:rStyle w:val="Strong"/>
        </w:rPr>
        <w:t>Invest in Digital Infrastructure:</w:t>
      </w:r>
      <w:r w:rsidR="00BF0AB1">
        <w:rPr>
          <w:rStyle w:val="Strong"/>
        </w:rPr>
        <w:t xml:space="preserve"> </w:t>
      </w:r>
      <w:r>
        <w:t xml:space="preserve">Governments and healthcare providers must </w:t>
      </w:r>
      <w:r>
        <w:rPr>
          <w:rStyle w:val="Strong"/>
        </w:rPr>
        <w:t>strengthen digital infrastructure</w:t>
      </w:r>
      <w:r>
        <w:t xml:space="preserve">, particularly in rural and underserved areas, to ensure </w:t>
      </w:r>
      <w:r>
        <w:rPr>
          <w:rStyle w:val="Strong"/>
        </w:rPr>
        <w:t>equitable access</w:t>
      </w:r>
      <w:r>
        <w:t xml:space="preserve"> to telehealth services.</w:t>
      </w:r>
    </w:p>
    <w:p w14:paraId="5A3A7C13" w14:textId="5C313FE8" w:rsidR="00BC5D73" w:rsidRDefault="00BC5D73" w:rsidP="00BF0AB1">
      <w:pPr>
        <w:pStyle w:val="NormalWeb"/>
        <w:numPr>
          <w:ilvl w:val="0"/>
          <w:numId w:val="7"/>
        </w:numPr>
        <w:jc w:val="both"/>
      </w:pPr>
      <w:r>
        <w:rPr>
          <w:rStyle w:val="Strong"/>
        </w:rPr>
        <w:t>Train Healthcare Professionals and Patients:</w:t>
      </w:r>
      <w:r w:rsidR="00BF0AB1">
        <w:rPr>
          <w:rStyle w:val="Strong"/>
        </w:rPr>
        <w:t xml:space="preserve"> </w:t>
      </w:r>
      <w:r>
        <w:t xml:space="preserve">Offer training programs for both healthcare workers and patients to enhance </w:t>
      </w:r>
      <w:r>
        <w:rPr>
          <w:rStyle w:val="Strong"/>
        </w:rPr>
        <w:t>digital literacy</w:t>
      </w:r>
      <w:r>
        <w:t>, ensuring smooth and effective use of telemedicine platforms.</w:t>
      </w:r>
    </w:p>
    <w:p w14:paraId="10B6CE8E" w14:textId="4E04BCA8" w:rsidR="00BC5D73" w:rsidRDefault="00BC5D73" w:rsidP="00BF0AB1">
      <w:pPr>
        <w:pStyle w:val="NormalWeb"/>
        <w:numPr>
          <w:ilvl w:val="0"/>
          <w:numId w:val="7"/>
        </w:numPr>
        <w:jc w:val="both"/>
      </w:pPr>
      <w:r>
        <w:rPr>
          <w:rStyle w:val="Strong"/>
        </w:rPr>
        <w:t>Develop Guidelines for Tele-diabetology:</w:t>
      </w:r>
      <w:r w:rsidR="00BF0AB1">
        <w:rPr>
          <w:rStyle w:val="Strong"/>
        </w:rPr>
        <w:t xml:space="preserve"> </w:t>
      </w:r>
      <w:r>
        <w:t xml:space="preserve">Establish </w:t>
      </w:r>
      <w:r>
        <w:rPr>
          <w:rStyle w:val="Strong"/>
        </w:rPr>
        <w:t>clinical protocols and national guidelines</w:t>
      </w:r>
      <w:r>
        <w:t xml:space="preserve"> for telemedicine use in diabetes care, including protocols for remote monitoring of blood glucose levels, medication adjustments, and lifestyle counseling.</w:t>
      </w:r>
    </w:p>
    <w:p w14:paraId="501ED568" w14:textId="1F665DB5" w:rsidR="00BC5D73" w:rsidRDefault="00BC5D73" w:rsidP="00BF0AB1">
      <w:pPr>
        <w:pStyle w:val="NormalWeb"/>
        <w:numPr>
          <w:ilvl w:val="0"/>
          <w:numId w:val="7"/>
        </w:numPr>
        <w:jc w:val="both"/>
      </w:pPr>
      <w:r>
        <w:rPr>
          <w:rStyle w:val="Strong"/>
        </w:rPr>
        <w:t>Subsidize Telemedicine for Vulnerable Populations:</w:t>
      </w:r>
      <w:r w:rsidR="00BF0AB1">
        <w:rPr>
          <w:rStyle w:val="Strong"/>
        </w:rPr>
        <w:t xml:space="preserve"> </w:t>
      </w:r>
      <w:r>
        <w:t xml:space="preserve">Introduce </w:t>
      </w:r>
      <w:r>
        <w:rPr>
          <w:rStyle w:val="Strong"/>
        </w:rPr>
        <w:t>subsidies or insurance coverage</w:t>
      </w:r>
      <w:r>
        <w:t xml:space="preserve"> for telehealth services to improve accessibility for low-income or high-risk diabetic patients.</w:t>
      </w:r>
    </w:p>
    <w:p w14:paraId="49EDDCFC" w14:textId="7F884DDC" w:rsidR="00BC5D73" w:rsidRDefault="00BC5D73" w:rsidP="00BF0AB1">
      <w:pPr>
        <w:pStyle w:val="NormalWeb"/>
        <w:numPr>
          <w:ilvl w:val="0"/>
          <w:numId w:val="7"/>
        </w:numPr>
        <w:jc w:val="both"/>
      </w:pPr>
      <w:r>
        <w:rPr>
          <w:rStyle w:val="Strong"/>
        </w:rPr>
        <w:t>Implement Feedback and Monitoring Systems:</w:t>
      </w:r>
      <w:r w:rsidR="00BF0AB1">
        <w:rPr>
          <w:rStyle w:val="Strong"/>
        </w:rPr>
        <w:t xml:space="preserve"> </w:t>
      </w:r>
      <w:r>
        <w:t xml:space="preserve">Create mechanisms for collecting </w:t>
      </w:r>
      <w:r>
        <w:rPr>
          <w:rStyle w:val="Strong"/>
        </w:rPr>
        <w:t>patient satisfaction and outcome data</w:t>
      </w:r>
      <w:r>
        <w:t xml:space="preserve"> from telemedicine users to continuously improve service quality and address concerns promptly.</w:t>
      </w:r>
    </w:p>
    <w:p w14:paraId="45438018" w14:textId="77777777" w:rsidR="00BC5D73" w:rsidRPr="00BF0AB1" w:rsidRDefault="00BC5D73">
      <w:pPr>
        <w:rPr>
          <w:rFonts w:ascii="Times New Roman" w:hAnsi="Times New Roman" w:cs="Times New Roman"/>
          <w:b/>
        </w:rPr>
      </w:pPr>
      <w:r w:rsidRPr="00BF0AB1">
        <w:rPr>
          <w:rFonts w:ascii="Times New Roman" w:hAnsi="Times New Roman" w:cs="Times New Roman"/>
          <w:b/>
        </w:rPr>
        <w:t>CONCLUSION:</w:t>
      </w:r>
    </w:p>
    <w:p w14:paraId="4995FCAC" w14:textId="77777777" w:rsidR="00BC5D73" w:rsidRDefault="00BC5D73" w:rsidP="00BF0AB1">
      <w:pPr>
        <w:pStyle w:val="NormalWeb"/>
        <w:jc w:val="both"/>
      </w:pPr>
      <w:r>
        <w:t>The COVID-19 pandemic posed unprecedented challenges to healthcare delivery, particularly for patients with chronic conditions such as diabetes, who require consistent and continuous care. This study investigated the impact of telemedicine adoption on maintaining continuity of care among diabetic patients during pandemic-induced lockdowns. The statistical analysis, using the Chi-square test, revealed a significant association between telemedicine use and uninterrupted diabetes care.</w:t>
      </w:r>
    </w:p>
    <w:p w14:paraId="1A0B382A" w14:textId="77777777" w:rsidR="00BC5D73" w:rsidRDefault="00BC5D73" w:rsidP="00BF0AB1">
      <w:pPr>
        <w:pStyle w:val="NormalWeb"/>
        <w:jc w:val="both"/>
      </w:pPr>
      <w:r>
        <w:t>The findings confirm that telemedicine served as a crucial alternative to in-person consultations, enabling patients to access medical support, monitor their condition, and manage treatment without exposure to infection risks. Patients who engaged with telemedicine services were significantly more likely to experience continuity in their care compared to those who did not.</w:t>
      </w:r>
    </w:p>
    <w:p w14:paraId="6C0F076E" w14:textId="0747BA24" w:rsidR="00B23EB2" w:rsidRPr="00B7393D" w:rsidRDefault="00BC5D73" w:rsidP="00B7393D">
      <w:pPr>
        <w:pStyle w:val="NormalWeb"/>
        <w:jc w:val="both"/>
      </w:pPr>
      <w:r>
        <w:t>In conclusion, telemedicine not only bridged the care gap during a public health crisis but also demonstrated its potential as a sustainable solution for chronic disease management. Its successful implementation during the pandemic highlights the need to integrate telehealth into mainstream healthcare systems, ensuring resilience and accessibility in both emergency and routine healthcare delivery.</w:t>
      </w:r>
    </w:p>
    <w:p w14:paraId="47662EA9" w14:textId="77777777" w:rsidR="00B7393D" w:rsidRDefault="00B7393D">
      <w:pPr>
        <w:rPr>
          <w:rFonts w:ascii="Times New Roman" w:hAnsi="Times New Roman" w:cs="Times New Roman"/>
          <w:b/>
        </w:rPr>
      </w:pPr>
    </w:p>
    <w:p w14:paraId="740BC3E1" w14:textId="77777777" w:rsidR="00B7393D" w:rsidRDefault="00B7393D">
      <w:pPr>
        <w:rPr>
          <w:rFonts w:ascii="Times New Roman" w:hAnsi="Times New Roman" w:cs="Times New Roman"/>
          <w:b/>
        </w:rPr>
      </w:pPr>
    </w:p>
    <w:p w14:paraId="329ACFE7" w14:textId="77777777" w:rsidR="00B7393D" w:rsidRDefault="00B7393D">
      <w:pPr>
        <w:rPr>
          <w:rFonts w:ascii="Times New Roman" w:hAnsi="Times New Roman" w:cs="Times New Roman"/>
          <w:b/>
        </w:rPr>
      </w:pPr>
    </w:p>
    <w:p w14:paraId="48B5FBC4" w14:textId="026688CD" w:rsidR="00BC5D73" w:rsidRPr="00BF0AB1" w:rsidRDefault="00BC5D73">
      <w:pPr>
        <w:rPr>
          <w:rFonts w:ascii="Times New Roman" w:hAnsi="Times New Roman" w:cs="Times New Roman"/>
          <w:b/>
        </w:rPr>
      </w:pPr>
      <w:r w:rsidRPr="00BF0AB1">
        <w:rPr>
          <w:rFonts w:ascii="Times New Roman" w:hAnsi="Times New Roman" w:cs="Times New Roman"/>
          <w:b/>
        </w:rPr>
        <w:lastRenderedPageBreak/>
        <w:t>BIBLIOGRAPHY:</w:t>
      </w:r>
    </w:p>
    <w:p w14:paraId="08887143"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rPr>
        <w:fldChar w:fldCharType="begin" w:fldLock="1"/>
      </w:r>
      <w:r w:rsidRPr="00BF0AB1">
        <w:rPr>
          <w:rFonts w:ascii="Times New Roman" w:hAnsi="Times New Roman" w:cs="Times New Roman"/>
        </w:rPr>
        <w:instrText xml:space="preserve">ADDIN Mendeley Bibliography CSL_BIBLIOGRAPHY </w:instrText>
      </w:r>
      <w:r w:rsidRPr="00BF0AB1">
        <w:rPr>
          <w:rFonts w:ascii="Times New Roman" w:hAnsi="Times New Roman" w:cs="Times New Roman"/>
        </w:rPr>
        <w:fldChar w:fldCharType="separate"/>
      </w:r>
      <w:r w:rsidRPr="00BF0AB1">
        <w:rPr>
          <w:rFonts w:ascii="Times New Roman" w:hAnsi="Times New Roman" w:cs="Times New Roman"/>
          <w:noProof/>
        </w:rPr>
        <w:t>[1]</w:t>
      </w:r>
      <w:r w:rsidRPr="00BF0AB1">
        <w:rPr>
          <w:rFonts w:ascii="Times New Roman" w:hAnsi="Times New Roman" w:cs="Times New Roman"/>
          <w:noProof/>
        </w:rPr>
        <w:tab/>
        <w:t xml:space="preserve">Z. L. Teo and D. S. W. Ting, “Non-fungible tokens for the management of health data,” </w:t>
      </w:r>
      <w:r w:rsidRPr="00BF0AB1">
        <w:rPr>
          <w:rFonts w:ascii="Times New Roman" w:hAnsi="Times New Roman" w:cs="Times New Roman"/>
          <w:i/>
          <w:iCs/>
          <w:noProof/>
        </w:rPr>
        <w:t>Nat. Netw. Bost.</w:t>
      </w:r>
      <w:r w:rsidRPr="00BF0AB1">
        <w:rPr>
          <w:rFonts w:ascii="Times New Roman" w:hAnsi="Times New Roman" w:cs="Times New Roman"/>
          <w:noProof/>
        </w:rPr>
        <w:t>, 2023, doi: 10.1038/s41591-022-02125-2.</w:t>
      </w:r>
    </w:p>
    <w:p w14:paraId="756DCFC2"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[2]</w:t>
      </w:r>
      <w:r w:rsidRPr="00BF0AB1">
        <w:rPr>
          <w:rFonts w:ascii="Times New Roman" w:hAnsi="Times New Roman" w:cs="Times New Roman"/>
          <w:noProof/>
        </w:rPr>
        <w:tab/>
        <w:t xml:space="preserve">S. Ghahramani, K. B. Lankarani, M. Zakeri, S. Ghahramani, and P. Shojaei, “Lack of hospital resilience as the main challenge of hospital management during the COVID-19 pandemic: A grounded theory study.,” </w:t>
      </w:r>
      <w:r w:rsidRPr="00BF0AB1">
        <w:rPr>
          <w:rFonts w:ascii="Times New Roman" w:hAnsi="Times New Roman" w:cs="Times New Roman"/>
          <w:i/>
          <w:iCs/>
          <w:noProof/>
        </w:rPr>
        <w:t>Heal. Serv. Manag. Res.</w:t>
      </w:r>
      <w:r w:rsidRPr="00BF0AB1">
        <w:rPr>
          <w:rFonts w:ascii="Times New Roman" w:hAnsi="Times New Roman" w:cs="Times New Roman"/>
          <w:noProof/>
        </w:rPr>
        <w:t>, 2024, doi: 10.1177/09514848241309285.</w:t>
      </w:r>
    </w:p>
    <w:p w14:paraId="10C83D11"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[3]</w:t>
      </w:r>
      <w:r w:rsidRPr="00BF0AB1">
        <w:rPr>
          <w:rFonts w:ascii="Times New Roman" w:hAnsi="Times New Roman" w:cs="Times New Roman"/>
          <w:noProof/>
        </w:rPr>
        <w:tab/>
        <w:t xml:space="preserve">D. K. Panda, P. Panigrahi, R. Attar, and B. Gupta, “Open Source Adoption for Digital Transformation and Data Management During the COVID-19 Crisis,” </w:t>
      </w:r>
      <w:r w:rsidRPr="00BF0AB1">
        <w:rPr>
          <w:rFonts w:ascii="Times New Roman" w:hAnsi="Times New Roman" w:cs="Times New Roman"/>
          <w:i/>
          <w:iCs/>
          <w:noProof/>
        </w:rPr>
        <w:t>J. Database Manag.</w:t>
      </w:r>
      <w:r w:rsidRPr="00BF0AB1">
        <w:rPr>
          <w:rFonts w:ascii="Times New Roman" w:hAnsi="Times New Roman" w:cs="Times New Roman"/>
          <w:noProof/>
        </w:rPr>
        <w:t>, 2024, doi: 10.4018/jdm.360708.</w:t>
      </w:r>
    </w:p>
    <w:p w14:paraId="6CDB64C1"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[4]</w:t>
      </w:r>
      <w:r w:rsidRPr="00BF0AB1">
        <w:rPr>
          <w:rFonts w:ascii="Times New Roman" w:hAnsi="Times New Roman" w:cs="Times New Roman"/>
          <w:noProof/>
        </w:rPr>
        <w:tab/>
        <w:t xml:space="preserve">D. A. Ivanov, “Transformation of supply chain resilience research through the COVID-19 pandemic,” </w:t>
      </w:r>
      <w:r w:rsidRPr="00BF0AB1">
        <w:rPr>
          <w:rFonts w:ascii="Times New Roman" w:hAnsi="Times New Roman" w:cs="Times New Roman"/>
          <w:i/>
          <w:iCs/>
          <w:noProof/>
        </w:rPr>
        <w:t>Int. J. Prod. Res.</w:t>
      </w:r>
      <w:r w:rsidRPr="00BF0AB1">
        <w:rPr>
          <w:rFonts w:ascii="Times New Roman" w:hAnsi="Times New Roman" w:cs="Times New Roman"/>
          <w:noProof/>
        </w:rPr>
        <w:t>, 2024, doi: 10.1080/00207543.2024.2334420.</w:t>
      </w:r>
    </w:p>
    <w:p w14:paraId="37B52711"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[5]</w:t>
      </w:r>
      <w:r w:rsidRPr="00BF0AB1">
        <w:rPr>
          <w:rFonts w:ascii="Times New Roman" w:hAnsi="Times New Roman" w:cs="Times New Roman"/>
          <w:noProof/>
        </w:rPr>
        <w:tab/>
        <w:t xml:space="preserve">L. Herraiz-Recuenco </w:t>
      </w:r>
      <w:r w:rsidRPr="00BF0AB1">
        <w:rPr>
          <w:rFonts w:ascii="Times New Roman" w:hAnsi="Times New Roman" w:cs="Times New Roman"/>
          <w:i/>
          <w:iCs/>
          <w:noProof/>
        </w:rPr>
        <w:t>et al.</w:t>
      </w:r>
      <w:r w:rsidRPr="00BF0AB1">
        <w:rPr>
          <w:rFonts w:ascii="Times New Roman" w:hAnsi="Times New Roman" w:cs="Times New Roman"/>
          <w:noProof/>
        </w:rPr>
        <w:t xml:space="preserve">, “Causes of Stress among Healthcare Professionals and Successful Hospital Management Approaches to Mitigate It during the COVID-19 Pandemic: A Cross-Sectional Study,” </w:t>
      </w:r>
      <w:r w:rsidRPr="00BF0AB1">
        <w:rPr>
          <w:rFonts w:ascii="Times New Roman" w:hAnsi="Times New Roman" w:cs="Times New Roman"/>
          <w:i/>
          <w:iCs/>
          <w:noProof/>
        </w:rPr>
        <w:t>Int. J. Environ. Res. Public Health</w:t>
      </w:r>
      <w:r w:rsidRPr="00BF0AB1">
        <w:rPr>
          <w:rFonts w:ascii="Times New Roman" w:hAnsi="Times New Roman" w:cs="Times New Roman"/>
          <w:noProof/>
        </w:rPr>
        <w:t>, 2022, doi: 10.3390/ijerph191912963.</w:t>
      </w:r>
    </w:p>
    <w:p w14:paraId="3BA880D5"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[6]</w:t>
      </w:r>
      <w:r w:rsidRPr="00BF0AB1">
        <w:rPr>
          <w:rFonts w:ascii="Times New Roman" w:hAnsi="Times New Roman" w:cs="Times New Roman"/>
          <w:noProof/>
        </w:rPr>
        <w:tab/>
        <w:t xml:space="preserve">A. Painter </w:t>
      </w:r>
      <w:r w:rsidRPr="00BF0AB1">
        <w:rPr>
          <w:rFonts w:ascii="Times New Roman" w:hAnsi="Times New Roman" w:cs="Times New Roman"/>
          <w:i/>
          <w:iCs/>
          <w:noProof/>
        </w:rPr>
        <w:t>et al.</w:t>
      </w:r>
      <w:r w:rsidRPr="00BF0AB1">
        <w:rPr>
          <w:rFonts w:ascii="Times New Roman" w:hAnsi="Times New Roman" w:cs="Times New Roman"/>
          <w:noProof/>
        </w:rPr>
        <w:t xml:space="preserve">, “Identifying benefits and concerns with using digital health services during COVID-19: Evidence from a hospital-based patient survey,” </w:t>
      </w:r>
      <w:r w:rsidRPr="00BF0AB1">
        <w:rPr>
          <w:rFonts w:ascii="Times New Roman" w:hAnsi="Times New Roman" w:cs="Times New Roman"/>
          <w:i/>
          <w:iCs/>
          <w:noProof/>
        </w:rPr>
        <w:t>Health Informatics J.</w:t>
      </w:r>
      <w:r w:rsidRPr="00BF0AB1">
        <w:rPr>
          <w:rFonts w:ascii="Times New Roman" w:hAnsi="Times New Roman" w:cs="Times New Roman"/>
          <w:noProof/>
        </w:rPr>
        <w:t>, 2023, doi: 10.1177/14604582231217339.</w:t>
      </w:r>
    </w:p>
    <w:p w14:paraId="4A63340F"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[7]</w:t>
      </w:r>
      <w:r w:rsidRPr="00BF0AB1">
        <w:rPr>
          <w:rFonts w:ascii="Times New Roman" w:hAnsi="Times New Roman" w:cs="Times New Roman"/>
          <w:noProof/>
        </w:rPr>
        <w:tab/>
        <w:t>A. Yan, Y. Zou, D. A. Mirchandani, H. Kong, and N. Zhong, “How hospitals in mainland China responded to the outbreak of COVID-19 using IT-enabled services: an analysis of hospital news webpages,” 2020, [Online]. Available: https://www.semanticscholar.org/paper/d33aefd82bc8a1027d1e1b834442416f5ed20280</w:t>
      </w:r>
    </w:p>
    <w:p w14:paraId="5AD104A1"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[8]</w:t>
      </w:r>
      <w:r w:rsidRPr="00BF0AB1">
        <w:rPr>
          <w:rFonts w:ascii="Times New Roman" w:hAnsi="Times New Roman" w:cs="Times New Roman"/>
          <w:noProof/>
        </w:rPr>
        <w:tab/>
        <w:t xml:space="preserve">A. Mago, A. Mago, V. Aggarwal, V. Aggarwal, L. Gupta, and L. Gupta, “Telerheumatology and its interplay with patient-initiated care.,” </w:t>
      </w:r>
      <w:r w:rsidRPr="00BF0AB1">
        <w:rPr>
          <w:rFonts w:ascii="Times New Roman" w:hAnsi="Times New Roman" w:cs="Times New Roman"/>
          <w:i/>
          <w:iCs/>
          <w:noProof/>
        </w:rPr>
        <w:t>Rheumatol. Int.</w:t>
      </w:r>
      <w:r w:rsidRPr="00BF0AB1">
        <w:rPr>
          <w:rFonts w:ascii="Times New Roman" w:hAnsi="Times New Roman" w:cs="Times New Roman"/>
          <w:noProof/>
        </w:rPr>
        <w:t>, 2021, doi: 10.1007/s00296-021-04930-3.</w:t>
      </w:r>
    </w:p>
    <w:p w14:paraId="1FAB84E2"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[9]</w:t>
      </w:r>
      <w:r w:rsidRPr="00BF0AB1">
        <w:rPr>
          <w:rFonts w:ascii="Times New Roman" w:hAnsi="Times New Roman" w:cs="Times New Roman"/>
          <w:noProof/>
        </w:rPr>
        <w:tab/>
        <w:t xml:space="preserve">S. El Hayek </w:t>
      </w:r>
      <w:r w:rsidRPr="00BF0AB1">
        <w:rPr>
          <w:rFonts w:ascii="Times New Roman" w:hAnsi="Times New Roman" w:cs="Times New Roman"/>
          <w:i/>
          <w:iCs/>
          <w:noProof/>
        </w:rPr>
        <w:t>et al.</w:t>
      </w:r>
      <w:r w:rsidRPr="00BF0AB1">
        <w:rPr>
          <w:rFonts w:ascii="Times New Roman" w:hAnsi="Times New Roman" w:cs="Times New Roman"/>
          <w:noProof/>
        </w:rPr>
        <w:t xml:space="preserve">, “Telepsychiatry in the Arab World: A Viewpoint Before and During COVID-19.,” </w:t>
      </w:r>
      <w:r w:rsidRPr="00BF0AB1">
        <w:rPr>
          <w:rFonts w:ascii="Times New Roman" w:hAnsi="Times New Roman" w:cs="Times New Roman"/>
          <w:i/>
          <w:iCs/>
          <w:noProof/>
        </w:rPr>
        <w:t>Neuropsychiatr. Dis. Treat.</w:t>
      </w:r>
      <w:r w:rsidRPr="00BF0AB1">
        <w:rPr>
          <w:rFonts w:ascii="Times New Roman" w:hAnsi="Times New Roman" w:cs="Times New Roman"/>
          <w:noProof/>
        </w:rPr>
        <w:t>, 2020, doi: 10.2147/ndt.s277224.</w:t>
      </w:r>
    </w:p>
    <w:p w14:paraId="12159743"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[10]</w:t>
      </w:r>
      <w:r w:rsidRPr="00BF0AB1">
        <w:rPr>
          <w:rFonts w:ascii="Times New Roman" w:hAnsi="Times New Roman" w:cs="Times New Roman"/>
          <w:noProof/>
        </w:rPr>
        <w:tab/>
        <w:t xml:space="preserve">E. S. Darmawan, E. S. Darmawan, S. Laksono, and S. Laksono, “The New Leadership Paradigm in Digital Health and Its Relations to Hospital Services,” </w:t>
      </w:r>
      <w:r w:rsidRPr="00BF0AB1">
        <w:rPr>
          <w:rFonts w:ascii="Times New Roman" w:hAnsi="Times New Roman" w:cs="Times New Roman"/>
          <w:i/>
          <w:iCs/>
          <w:noProof/>
        </w:rPr>
        <w:t>J. Ilmu Kesehat. Masy.</w:t>
      </w:r>
      <w:r w:rsidRPr="00BF0AB1">
        <w:rPr>
          <w:rFonts w:ascii="Times New Roman" w:hAnsi="Times New Roman" w:cs="Times New Roman"/>
          <w:noProof/>
        </w:rPr>
        <w:t>, 2021, doi: 10.26553/jikm.2021.12.2.89-103.</w:t>
      </w:r>
    </w:p>
    <w:p w14:paraId="6158B1EA"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[11]</w:t>
      </w:r>
      <w:r w:rsidRPr="00BF0AB1">
        <w:rPr>
          <w:rFonts w:ascii="Times New Roman" w:hAnsi="Times New Roman" w:cs="Times New Roman"/>
          <w:noProof/>
        </w:rPr>
        <w:tab/>
        <w:t xml:space="preserve">М. Й. Малачинська, “Management of perinatal care during the COVID-19 pandemic in Ukraine: organizational and legal mechanism,” </w:t>
      </w:r>
      <w:r w:rsidRPr="00BF0AB1">
        <w:rPr>
          <w:rFonts w:ascii="Times New Roman" w:hAnsi="Times New Roman" w:cs="Times New Roman"/>
          <w:i/>
          <w:iCs/>
          <w:noProof/>
        </w:rPr>
        <w:t>Democr. Gov.</w:t>
      </w:r>
      <w:r w:rsidRPr="00BF0AB1">
        <w:rPr>
          <w:rFonts w:ascii="Times New Roman" w:hAnsi="Times New Roman" w:cs="Times New Roman"/>
          <w:noProof/>
        </w:rPr>
        <w:t>, 2023, doi: 10.23939/dg2023.01.185.</w:t>
      </w:r>
    </w:p>
    <w:p w14:paraId="22AE5047"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[12]</w:t>
      </w:r>
      <w:r w:rsidRPr="00BF0AB1">
        <w:rPr>
          <w:rFonts w:ascii="Times New Roman" w:hAnsi="Times New Roman" w:cs="Times New Roman"/>
          <w:noProof/>
        </w:rPr>
        <w:tab/>
        <w:t xml:space="preserve">H. Alsaffar </w:t>
      </w:r>
      <w:r w:rsidRPr="00BF0AB1">
        <w:rPr>
          <w:rFonts w:ascii="Times New Roman" w:hAnsi="Times New Roman" w:cs="Times New Roman"/>
          <w:i/>
          <w:iCs/>
          <w:noProof/>
        </w:rPr>
        <w:t>et al.</w:t>
      </w:r>
      <w:r w:rsidRPr="00BF0AB1">
        <w:rPr>
          <w:rFonts w:ascii="Times New Roman" w:hAnsi="Times New Roman" w:cs="Times New Roman"/>
          <w:noProof/>
        </w:rPr>
        <w:t xml:space="preserve">, “Telemedicine in the Era of COVID-19 and Beyond: A new horizon.,” </w:t>
      </w:r>
      <w:r w:rsidRPr="00BF0AB1">
        <w:rPr>
          <w:rFonts w:ascii="Times New Roman" w:hAnsi="Times New Roman" w:cs="Times New Roman"/>
          <w:i/>
          <w:iCs/>
          <w:noProof/>
        </w:rPr>
        <w:t>Sultan Qaboos Univ. Med. J.</w:t>
      </w:r>
      <w:r w:rsidRPr="00BF0AB1">
        <w:rPr>
          <w:rFonts w:ascii="Times New Roman" w:hAnsi="Times New Roman" w:cs="Times New Roman"/>
          <w:noProof/>
        </w:rPr>
        <w:t>, 2020, doi: 10.18295/squmj.2020.20.04.001.</w:t>
      </w:r>
    </w:p>
    <w:p w14:paraId="144A6759"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[13]</w:t>
      </w:r>
      <w:r w:rsidRPr="00BF0AB1">
        <w:rPr>
          <w:rFonts w:ascii="Times New Roman" w:hAnsi="Times New Roman" w:cs="Times New Roman"/>
          <w:noProof/>
        </w:rPr>
        <w:tab/>
        <w:t xml:space="preserve">R. Stenhouse </w:t>
      </w:r>
      <w:r w:rsidRPr="00BF0AB1">
        <w:rPr>
          <w:rFonts w:ascii="Times New Roman" w:hAnsi="Times New Roman" w:cs="Times New Roman"/>
          <w:i/>
          <w:iCs/>
          <w:noProof/>
        </w:rPr>
        <w:t>et al.</w:t>
      </w:r>
      <w:r w:rsidRPr="00BF0AB1">
        <w:rPr>
          <w:rFonts w:ascii="Times New Roman" w:hAnsi="Times New Roman" w:cs="Times New Roman"/>
          <w:noProof/>
        </w:rPr>
        <w:t xml:space="preserve">, “Developing a COVID-19-focused mHealth system in a low-resource setting during the COVID-19 pandemic: challenges and opportunities,” </w:t>
      </w:r>
      <w:r w:rsidRPr="00BF0AB1">
        <w:rPr>
          <w:rFonts w:ascii="Times New Roman" w:hAnsi="Times New Roman" w:cs="Times New Roman"/>
          <w:i/>
          <w:iCs/>
          <w:noProof/>
        </w:rPr>
        <w:t>Front. Digit. Heal.</w:t>
      </w:r>
      <w:r w:rsidRPr="00BF0AB1">
        <w:rPr>
          <w:rFonts w:ascii="Times New Roman" w:hAnsi="Times New Roman" w:cs="Times New Roman"/>
          <w:noProof/>
        </w:rPr>
        <w:t>, 2025, doi: 10.3389/fdgth.2025.1543828.</w:t>
      </w:r>
    </w:p>
    <w:p w14:paraId="056B739D"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lastRenderedPageBreak/>
        <w:t>[14]</w:t>
      </w:r>
      <w:r w:rsidRPr="00BF0AB1">
        <w:rPr>
          <w:rFonts w:ascii="Times New Roman" w:hAnsi="Times New Roman" w:cs="Times New Roman"/>
          <w:noProof/>
        </w:rPr>
        <w:tab/>
        <w:t xml:space="preserve">L. Rosta </w:t>
      </w:r>
      <w:r w:rsidRPr="00BF0AB1">
        <w:rPr>
          <w:rFonts w:ascii="Times New Roman" w:hAnsi="Times New Roman" w:cs="Times New Roman"/>
          <w:i/>
          <w:iCs/>
          <w:noProof/>
        </w:rPr>
        <w:t>et al.</w:t>
      </w:r>
      <w:r w:rsidRPr="00BF0AB1">
        <w:rPr>
          <w:rFonts w:ascii="Times New Roman" w:hAnsi="Times New Roman" w:cs="Times New Roman"/>
          <w:noProof/>
        </w:rPr>
        <w:t xml:space="preserve">, “Telemedicine for diabetes management during COVID-19: what we have learnt, what and how to implement,” </w:t>
      </w:r>
      <w:r w:rsidRPr="00BF0AB1">
        <w:rPr>
          <w:rFonts w:ascii="Times New Roman" w:hAnsi="Times New Roman" w:cs="Times New Roman"/>
          <w:i/>
          <w:iCs/>
          <w:noProof/>
        </w:rPr>
        <w:t>Front. Endocrinol. (Lausanne).</w:t>
      </w:r>
      <w:r w:rsidRPr="00BF0AB1">
        <w:rPr>
          <w:rFonts w:ascii="Times New Roman" w:hAnsi="Times New Roman" w:cs="Times New Roman"/>
          <w:noProof/>
        </w:rPr>
        <w:t>, 2023, doi: 10.3389/fendo.2023.1129793.</w:t>
      </w:r>
    </w:p>
    <w:p w14:paraId="063EFCF2"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[15]</w:t>
      </w:r>
      <w:r w:rsidRPr="00BF0AB1">
        <w:rPr>
          <w:rFonts w:ascii="Times New Roman" w:hAnsi="Times New Roman" w:cs="Times New Roman"/>
          <w:noProof/>
        </w:rPr>
        <w:tab/>
        <w:t xml:space="preserve">I. Baltutite and O. P. Kazachenok, “Legal Regulation of Digital Transformation of Technologies in Healthcare in Russia and Abroad Under the Influence of the COVID-19 Pandemic,” </w:t>
      </w:r>
      <w:r w:rsidRPr="00BF0AB1">
        <w:rPr>
          <w:rFonts w:ascii="Times New Roman" w:hAnsi="Times New Roman" w:cs="Times New Roman"/>
          <w:i/>
          <w:iCs/>
          <w:noProof/>
        </w:rPr>
        <w:t>Proc. 2nd Int. Sci. Pract. Conf. “COVID-19 Implement. Sustain. Dev. Goals,”</w:t>
      </w:r>
      <w:r w:rsidRPr="00BF0AB1">
        <w:rPr>
          <w:rFonts w:ascii="Times New Roman" w:hAnsi="Times New Roman" w:cs="Times New Roman"/>
          <w:noProof/>
        </w:rPr>
        <w:t xml:space="preserve"> 2021, doi: 10.5220/0011112600003439.</w:t>
      </w:r>
    </w:p>
    <w:p w14:paraId="397A7827"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[16]</w:t>
      </w:r>
      <w:r w:rsidRPr="00BF0AB1">
        <w:rPr>
          <w:rFonts w:ascii="Times New Roman" w:hAnsi="Times New Roman" w:cs="Times New Roman"/>
          <w:noProof/>
        </w:rPr>
        <w:tab/>
        <w:t xml:space="preserve">G. D. Gebreeyessus, G. D. Gebreeyessus, B. D. Tegegne, B. D. Tegegne, A. S. Ali, and A. S. Ali, “Comparing the resilience of healthcare waste management during Covid-19: a case study,” </w:t>
      </w:r>
      <w:r w:rsidRPr="00BF0AB1">
        <w:rPr>
          <w:rFonts w:ascii="Times New Roman" w:hAnsi="Times New Roman" w:cs="Times New Roman"/>
          <w:i/>
          <w:iCs/>
          <w:noProof/>
        </w:rPr>
        <w:t>Proc. Inst. Civ. Eng.</w:t>
      </w:r>
      <w:r w:rsidRPr="00BF0AB1">
        <w:rPr>
          <w:rFonts w:ascii="Times New Roman" w:hAnsi="Times New Roman" w:cs="Times New Roman"/>
          <w:noProof/>
        </w:rPr>
        <w:t>, 2022, doi: 10.1680/jwarm.21.00035.</w:t>
      </w:r>
    </w:p>
    <w:p w14:paraId="2A603867"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[17]</w:t>
      </w:r>
      <w:r w:rsidRPr="00BF0AB1">
        <w:rPr>
          <w:rFonts w:ascii="Times New Roman" w:hAnsi="Times New Roman" w:cs="Times New Roman"/>
          <w:noProof/>
        </w:rPr>
        <w:tab/>
        <w:t xml:space="preserve">A. KAYSERİLİ </w:t>
      </w:r>
      <w:r w:rsidRPr="00BF0AB1">
        <w:rPr>
          <w:rFonts w:ascii="Times New Roman" w:hAnsi="Times New Roman" w:cs="Times New Roman"/>
          <w:i/>
          <w:iCs/>
          <w:noProof/>
        </w:rPr>
        <w:t>et al.</w:t>
      </w:r>
      <w:r w:rsidRPr="00BF0AB1">
        <w:rPr>
          <w:rFonts w:ascii="Times New Roman" w:hAnsi="Times New Roman" w:cs="Times New Roman"/>
          <w:noProof/>
        </w:rPr>
        <w:t xml:space="preserve">, “Evaluation of digital healthcare services and satisfaction of outpatients at the City Training and Research Hospital located in the South of Turkey during Covid-19 pandemic,” </w:t>
      </w:r>
      <w:r w:rsidRPr="00BF0AB1">
        <w:rPr>
          <w:rFonts w:ascii="Times New Roman" w:hAnsi="Times New Roman" w:cs="Times New Roman"/>
          <w:i/>
          <w:iCs/>
          <w:noProof/>
        </w:rPr>
        <w:t>J. Int. Heal. Sci. Manag.</w:t>
      </w:r>
      <w:r w:rsidRPr="00BF0AB1">
        <w:rPr>
          <w:rFonts w:ascii="Times New Roman" w:hAnsi="Times New Roman" w:cs="Times New Roman"/>
          <w:noProof/>
        </w:rPr>
        <w:t>, 2021, doi: 10.48121/jihsam.994617.</w:t>
      </w:r>
    </w:p>
    <w:p w14:paraId="48607ECA"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[18]</w:t>
      </w:r>
      <w:r w:rsidRPr="00BF0AB1">
        <w:rPr>
          <w:rFonts w:ascii="Times New Roman" w:hAnsi="Times New Roman" w:cs="Times New Roman"/>
          <w:noProof/>
        </w:rPr>
        <w:tab/>
        <w:t xml:space="preserve">M. Beaulieu, O. Bentahar, S. Benzidia, and A. Gunasekaran, “Digitalization Initiatives of Home Care Medical Supply Chain: A Case-Study-Based Approach,” </w:t>
      </w:r>
      <w:r w:rsidRPr="00BF0AB1">
        <w:rPr>
          <w:rFonts w:ascii="Times New Roman" w:hAnsi="Times New Roman" w:cs="Times New Roman"/>
          <w:i/>
          <w:iCs/>
          <w:noProof/>
        </w:rPr>
        <w:t>IEEE Trans. Eng. Manag.</w:t>
      </w:r>
      <w:r w:rsidRPr="00BF0AB1">
        <w:rPr>
          <w:rFonts w:ascii="Times New Roman" w:hAnsi="Times New Roman" w:cs="Times New Roman"/>
          <w:noProof/>
        </w:rPr>
        <w:t>, 2023, doi: 10.1109/tem.2023.3265624.</w:t>
      </w:r>
    </w:p>
    <w:p w14:paraId="38ECEE24"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[19]</w:t>
      </w:r>
      <w:r w:rsidRPr="00BF0AB1">
        <w:rPr>
          <w:rFonts w:ascii="Times New Roman" w:hAnsi="Times New Roman" w:cs="Times New Roman"/>
          <w:noProof/>
        </w:rPr>
        <w:tab/>
        <w:t xml:space="preserve">A. D. Bond, “Margin notes from the COVID-19 pandemic for the future of healthcare innovation,” </w:t>
      </w:r>
      <w:r w:rsidRPr="00BF0AB1">
        <w:rPr>
          <w:rFonts w:ascii="Times New Roman" w:hAnsi="Times New Roman" w:cs="Times New Roman"/>
          <w:i/>
          <w:iCs/>
          <w:noProof/>
        </w:rPr>
        <w:t>Healthc. Manag. Forum</w:t>
      </w:r>
      <w:r w:rsidRPr="00BF0AB1">
        <w:rPr>
          <w:rFonts w:ascii="Times New Roman" w:hAnsi="Times New Roman" w:cs="Times New Roman"/>
          <w:noProof/>
        </w:rPr>
        <w:t>, 2023, doi: 10.1177/08404704231185487.</w:t>
      </w:r>
    </w:p>
    <w:p w14:paraId="74789DFC"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[20]</w:t>
      </w:r>
      <w:r w:rsidRPr="00BF0AB1">
        <w:rPr>
          <w:rFonts w:ascii="Times New Roman" w:hAnsi="Times New Roman" w:cs="Times New Roman"/>
          <w:noProof/>
        </w:rPr>
        <w:tab/>
        <w:t xml:space="preserve">M. Palazzo </w:t>
      </w:r>
      <w:r w:rsidRPr="00BF0AB1">
        <w:rPr>
          <w:rFonts w:ascii="Times New Roman" w:hAnsi="Times New Roman" w:cs="Times New Roman"/>
          <w:i/>
          <w:iCs/>
          <w:noProof/>
        </w:rPr>
        <w:t>et al.</w:t>
      </w:r>
      <w:r w:rsidRPr="00BF0AB1">
        <w:rPr>
          <w:rFonts w:ascii="Times New Roman" w:hAnsi="Times New Roman" w:cs="Times New Roman"/>
          <w:noProof/>
        </w:rPr>
        <w:t xml:space="preserve">, “Telemedicine in Psychiatry: benefits and challenges of the the Home-Hospital Care system (COD20) project,” </w:t>
      </w:r>
      <w:r w:rsidRPr="00BF0AB1">
        <w:rPr>
          <w:rFonts w:ascii="Times New Roman" w:hAnsi="Times New Roman" w:cs="Times New Roman"/>
          <w:i/>
          <w:iCs/>
          <w:noProof/>
        </w:rPr>
        <w:t>Eur. psychiatry</w:t>
      </w:r>
      <w:r w:rsidRPr="00BF0AB1">
        <w:rPr>
          <w:rFonts w:ascii="Times New Roman" w:hAnsi="Times New Roman" w:cs="Times New Roman"/>
          <w:noProof/>
        </w:rPr>
        <w:t>, 2023, doi: 10.1192/j.eurpsy.2023.1115.</w:t>
      </w:r>
    </w:p>
    <w:p w14:paraId="5251D49E"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[21]</w:t>
      </w:r>
      <w:r w:rsidRPr="00BF0AB1">
        <w:rPr>
          <w:rFonts w:ascii="Times New Roman" w:hAnsi="Times New Roman" w:cs="Times New Roman"/>
          <w:noProof/>
        </w:rPr>
        <w:tab/>
        <w:t xml:space="preserve">P. Van Overschelde, W. Van Lysebettens, J. Lebleu, A. Pauwels, and S. Parratte, “Quick Transition to One Day Length of Stay after Hip and Knee Arthroplasty Using a Digital Follow-Up Tool during COVID-19: A Retrospective Comparative Study,” </w:t>
      </w:r>
      <w:r w:rsidRPr="00BF0AB1">
        <w:rPr>
          <w:rFonts w:ascii="Times New Roman" w:hAnsi="Times New Roman" w:cs="Times New Roman"/>
          <w:i/>
          <w:iCs/>
          <w:noProof/>
        </w:rPr>
        <w:t>Healthcare</w:t>
      </w:r>
      <w:r w:rsidRPr="00BF0AB1">
        <w:rPr>
          <w:rFonts w:ascii="Times New Roman" w:hAnsi="Times New Roman" w:cs="Times New Roman"/>
          <w:noProof/>
        </w:rPr>
        <w:t>, 2023, doi: 10.3390/healthcare11182516.</w:t>
      </w:r>
    </w:p>
    <w:p w14:paraId="285685D8"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[22]</w:t>
      </w:r>
      <w:r w:rsidRPr="00BF0AB1">
        <w:rPr>
          <w:rFonts w:ascii="Times New Roman" w:hAnsi="Times New Roman" w:cs="Times New Roman"/>
          <w:noProof/>
        </w:rPr>
        <w:tab/>
        <w:t xml:space="preserve">N. Babaei, M. Lotfi, and M. Avazeh, “The necessity of developing a virtual care model for patients with chronic wounds: letter to the editor,” </w:t>
      </w:r>
      <w:r w:rsidRPr="00BF0AB1">
        <w:rPr>
          <w:rFonts w:ascii="Times New Roman" w:hAnsi="Times New Roman" w:cs="Times New Roman"/>
          <w:i/>
          <w:iCs/>
          <w:noProof/>
        </w:rPr>
        <w:t>Ir. J. Med. Sci.</w:t>
      </w:r>
      <w:r w:rsidRPr="00BF0AB1">
        <w:rPr>
          <w:rFonts w:ascii="Times New Roman" w:hAnsi="Times New Roman" w:cs="Times New Roman"/>
          <w:noProof/>
        </w:rPr>
        <w:t>, 2023, doi: 10.1007/s11845-023-03368-9.</w:t>
      </w:r>
    </w:p>
    <w:p w14:paraId="1A597E25"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[23]</w:t>
      </w:r>
      <w:r w:rsidRPr="00BF0AB1">
        <w:rPr>
          <w:rFonts w:ascii="Times New Roman" w:hAnsi="Times New Roman" w:cs="Times New Roman"/>
          <w:noProof/>
        </w:rPr>
        <w:tab/>
        <w:t xml:space="preserve">K. Cousins </w:t>
      </w:r>
      <w:r w:rsidRPr="00BF0AB1">
        <w:rPr>
          <w:rFonts w:ascii="Times New Roman" w:hAnsi="Times New Roman" w:cs="Times New Roman"/>
          <w:i/>
          <w:iCs/>
          <w:noProof/>
        </w:rPr>
        <w:t>et al.</w:t>
      </w:r>
      <w:r w:rsidRPr="00BF0AB1">
        <w:rPr>
          <w:rFonts w:ascii="Times New Roman" w:hAnsi="Times New Roman" w:cs="Times New Roman"/>
          <w:noProof/>
        </w:rPr>
        <w:t>, “Building Resilient Hospital Information Technology Services: Lessons in Ambidextrous CIO Leadership During COVID-19 in the United States and Abu Dhabi, United Arab Emirates (Preprint),” 2022, doi: 10.2196/preprints.36686.</w:t>
      </w:r>
    </w:p>
    <w:p w14:paraId="764920A3"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[24]</w:t>
      </w:r>
      <w:r w:rsidRPr="00BF0AB1">
        <w:rPr>
          <w:rFonts w:ascii="Times New Roman" w:hAnsi="Times New Roman" w:cs="Times New Roman"/>
          <w:noProof/>
        </w:rPr>
        <w:tab/>
        <w:t xml:space="preserve">T. Nazir </w:t>
      </w:r>
      <w:r w:rsidRPr="00BF0AB1">
        <w:rPr>
          <w:rFonts w:ascii="Times New Roman" w:hAnsi="Times New Roman" w:cs="Times New Roman"/>
          <w:i/>
          <w:iCs/>
          <w:noProof/>
        </w:rPr>
        <w:t>et al.</w:t>
      </w:r>
      <w:r w:rsidRPr="00BF0AB1">
        <w:rPr>
          <w:rFonts w:ascii="Times New Roman" w:hAnsi="Times New Roman" w:cs="Times New Roman"/>
          <w:noProof/>
        </w:rPr>
        <w:t xml:space="preserve">, “Artificial intelligence assisted acute patient journey,” </w:t>
      </w:r>
      <w:r w:rsidRPr="00BF0AB1">
        <w:rPr>
          <w:rFonts w:ascii="Times New Roman" w:hAnsi="Times New Roman" w:cs="Times New Roman"/>
          <w:i/>
          <w:iCs/>
          <w:noProof/>
        </w:rPr>
        <w:t>Front. Artif. Intell.</w:t>
      </w:r>
      <w:r w:rsidRPr="00BF0AB1">
        <w:rPr>
          <w:rFonts w:ascii="Times New Roman" w:hAnsi="Times New Roman" w:cs="Times New Roman"/>
          <w:noProof/>
        </w:rPr>
        <w:t>, 2022, doi: 10.3389/frai.2022.962165.</w:t>
      </w:r>
    </w:p>
    <w:p w14:paraId="6E760D31"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[25]</w:t>
      </w:r>
      <w:r w:rsidRPr="00BF0AB1">
        <w:rPr>
          <w:rFonts w:ascii="Times New Roman" w:hAnsi="Times New Roman" w:cs="Times New Roman"/>
          <w:noProof/>
        </w:rPr>
        <w:tab/>
        <w:t>J. R. Tysome and J. R. Tysome, “Improving clinical practice in ENT: lessons learnt from the COVID-19 pandemic,” 2021, doi: 10.22541/au.161118001.13216246/v1.</w:t>
      </w:r>
    </w:p>
    <w:p w14:paraId="41E4F3EE"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t>[26]</w:t>
      </w:r>
      <w:r w:rsidRPr="00BF0AB1">
        <w:rPr>
          <w:rFonts w:ascii="Times New Roman" w:hAnsi="Times New Roman" w:cs="Times New Roman"/>
          <w:noProof/>
        </w:rPr>
        <w:tab/>
        <w:t xml:space="preserve">J. Yang, X. Zhang, and Y. Pei, “Digital transformation of the business models of Chinese sporting goods enterprises in the post-COVID-19 era: a knowledge-management perspective,” </w:t>
      </w:r>
      <w:r w:rsidRPr="00BF0AB1">
        <w:rPr>
          <w:rFonts w:ascii="Times New Roman" w:hAnsi="Times New Roman" w:cs="Times New Roman"/>
          <w:i/>
          <w:iCs/>
          <w:noProof/>
        </w:rPr>
        <w:t>J. Knowl. Manag.</w:t>
      </w:r>
      <w:r w:rsidRPr="00BF0AB1">
        <w:rPr>
          <w:rFonts w:ascii="Times New Roman" w:hAnsi="Times New Roman" w:cs="Times New Roman"/>
          <w:noProof/>
        </w:rPr>
        <w:t>, 2023, doi: 10.1108/jkm-12-2022-0946.</w:t>
      </w:r>
    </w:p>
    <w:p w14:paraId="076ED74B" w14:textId="77777777" w:rsidR="00BC5D73" w:rsidRPr="00BF0AB1" w:rsidRDefault="00BC5D73" w:rsidP="00BF0AB1">
      <w:pPr>
        <w:widowControl w:val="0"/>
        <w:autoSpaceDE w:val="0"/>
        <w:autoSpaceDN w:val="0"/>
        <w:adjustRightInd w:val="0"/>
        <w:spacing w:line="240" w:lineRule="auto"/>
        <w:ind w:left="640" w:hanging="640"/>
        <w:jc w:val="both"/>
        <w:rPr>
          <w:rFonts w:ascii="Times New Roman" w:hAnsi="Times New Roman" w:cs="Times New Roman"/>
          <w:noProof/>
        </w:rPr>
      </w:pPr>
      <w:r w:rsidRPr="00BF0AB1">
        <w:rPr>
          <w:rFonts w:ascii="Times New Roman" w:hAnsi="Times New Roman" w:cs="Times New Roman"/>
          <w:noProof/>
        </w:rPr>
        <w:lastRenderedPageBreak/>
        <w:t>[27]</w:t>
      </w:r>
      <w:r w:rsidRPr="00BF0AB1">
        <w:rPr>
          <w:rFonts w:ascii="Times New Roman" w:hAnsi="Times New Roman" w:cs="Times New Roman"/>
          <w:noProof/>
        </w:rPr>
        <w:tab/>
        <w:t xml:space="preserve">O. Hui, H. Jiang, J. Huang, and Z. Liu, “COVID-19 Pandemic Brings Challenges to the Management of Stroke—The Differences Between Stroke Cases Admitted to a Tertiary Hospital Before and During COVID-19 Pandemic in China,” </w:t>
      </w:r>
      <w:r w:rsidRPr="00BF0AB1">
        <w:rPr>
          <w:rFonts w:ascii="Times New Roman" w:hAnsi="Times New Roman" w:cs="Times New Roman"/>
          <w:i/>
          <w:iCs/>
          <w:noProof/>
        </w:rPr>
        <w:t>Risk Manag. Healthc. Policy</w:t>
      </w:r>
      <w:r w:rsidRPr="00BF0AB1">
        <w:rPr>
          <w:rFonts w:ascii="Times New Roman" w:hAnsi="Times New Roman" w:cs="Times New Roman"/>
          <w:noProof/>
        </w:rPr>
        <w:t>, 2023, doi: 10.2147/rmhp.s435094.</w:t>
      </w:r>
    </w:p>
    <w:p w14:paraId="424605F4" w14:textId="77777777" w:rsidR="00BC5D73" w:rsidRDefault="00BC5D73" w:rsidP="00BF0AB1">
      <w:pPr>
        <w:widowControl w:val="0"/>
        <w:autoSpaceDE w:val="0"/>
        <w:autoSpaceDN w:val="0"/>
        <w:adjustRightInd w:val="0"/>
        <w:spacing w:line="240" w:lineRule="auto"/>
        <w:ind w:left="640" w:hanging="640"/>
        <w:jc w:val="both"/>
      </w:pPr>
      <w:r w:rsidRPr="00BF0AB1">
        <w:rPr>
          <w:rFonts w:ascii="Times New Roman" w:hAnsi="Times New Roman" w:cs="Times New Roman"/>
        </w:rPr>
        <w:fldChar w:fldCharType="end"/>
      </w:r>
    </w:p>
    <w:sectPr w:rsidR="00BC5D73" w:rsidSect="00016C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6E0E"/>
    <w:multiLevelType w:val="multilevel"/>
    <w:tmpl w:val="C9B8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D0EFA"/>
    <w:multiLevelType w:val="multilevel"/>
    <w:tmpl w:val="93826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D5189"/>
    <w:multiLevelType w:val="multilevel"/>
    <w:tmpl w:val="917C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0D00A5"/>
    <w:multiLevelType w:val="multilevel"/>
    <w:tmpl w:val="F2B0C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165525"/>
    <w:multiLevelType w:val="multilevel"/>
    <w:tmpl w:val="4E96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CA5CF8"/>
    <w:multiLevelType w:val="multilevel"/>
    <w:tmpl w:val="C2024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7D3CD7"/>
    <w:multiLevelType w:val="multilevel"/>
    <w:tmpl w:val="6480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3277642">
    <w:abstractNumId w:val="3"/>
  </w:num>
  <w:num w:numId="2" w16cid:durableId="1232160186">
    <w:abstractNumId w:val="2"/>
  </w:num>
  <w:num w:numId="3" w16cid:durableId="776877269">
    <w:abstractNumId w:val="0"/>
  </w:num>
  <w:num w:numId="4" w16cid:durableId="1834878398">
    <w:abstractNumId w:val="6"/>
  </w:num>
  <w:num w:numId="5" w16cid:durableId="2127776749">
    <w:abstractNumId w:val="1"/>
  </w:num>
  <w:num w:numId="6" w16cid:durableId="194972604">
    <w:abstractNumId w:val="4"/>
  </w:num>
  <w:num w:numId="7" w16cid:durableId="8309503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D7F4B"/>
    <w:rsid w:val="00016C8D"/>
    <w:rsid w:val="000851D6"/>
    <w:rsid w:val="00095BBD"/>
    <w:rsid w:val="000B4E5C"/>
    <w:rsid w:val="0014616F"/>
    <w:rsid w:val="00216C6E"/>
    <w:rsid w:val="00295351"/>
    <w:rsid w:val="002B2A89"/>
    <w:rsid w:val="002F72CA"/>
    <w:rsid w:val="00364C1D"/>
    <w:rsid w:val="003B0DA6"/>
    <w:rsid w:val="003C1829"/>
    <w:rsid w:val="005E5887"/>
    <w:rsid w:val="0077793E"/>
    <w:rsid w:val="008834EC"/>
    <w:rsid w:val="008D7F4B"/>
    <w:rsid w:val="00AB0D36"/>
    <w:rsid w:val="00AB1803"/>
    <w:rsid w:val="00B23EB2"/>
    <w:rsid w:val="00B2514E"/>
    <w:rsid w:val="00B7393D"/>
    <w:rsid w:val="00BC5D73"/>
    <w:rsid w:val="00BF0AB1"/>
    <w:rsid w:val="00C90D8E"/>
    <w:rsid w:val="00CC263E"/>
    <w:rsid w:val="00D23699"/>
    <w:rsid w:val="00E33071"/>
    <w:rsid w:val="00F61F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EF6D7"/>
  <w15:docId w15:val="{648FB8F4-C1FA-4C85-924D-63D7BFD06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C8D"/>
  </w:style>
  <w:style w:type="paragraph" w:styleId="Heading3">
    <w:name w:val="heading 3"/>
    <w:basedOn w:val="Normal"/>
    <w:link w:val="Heading3Char"/>
    <w:uiPriority w:val="9"/>
    <w:qFormat/>
    <w:rsid w:val="008D7F4B"/>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paragraph" w:styleId="Heading4">
    <w:name w:val="heading 4"/>
    <w:basedOn w:val="Normal"/>
    <w:next w:val="Normal"/>
    <w:link w:val="Heading4Char"/>
    <w:uiPriority w:val="9"/>
    <w:semiHidden/>
    <w:unhideWhenUsed/>
    <w:qFormat/>
    <w:rsid w:val="008D7F4B"/>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7F4B"/>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8D7F4B"/>
    <w:rPr>
      <w:b/>
      <w:bCs/>
    </w:rPr>
  </w:style>
  <w:style w:type="character" w:customStyle="1" w:styleId="Heading3Char">
    <w:name w:val="Heading 3 Char"/>
    <w:basedOn w:val="DefaultParagraphFont"/>
    <w:link w:val="Heading3"/>
    <w:uiPriority w:val="9"/>
    <w:rsid w:val="008D7F4B"/>
    <w:rPr>
      <w:rFonts w:ascii="Times New Roman" w:eastAsia="Times New Roman" w:hAnsi="Times New Roman" w:cs="Times New Roman"/>
      <w:b/>
      <w:bCs/>
      <w:kern w:val="0"/>
      <w:sz w:val="27"/>
      <w:szCs w:val="27"/>
    </w:rPr>
  </w:style>
  <w:style w:type="character" w:customStyle="1" w:styleId="Heading4Char">
    <w:name w:val="Heading 4 Char"/>
    <w:basedOn w:val="DefaultParagraphFont"/>
    <w:link w:val="Heading4"/>
    <w:uiPriority w:val="9"/>
    <w:semiHidden/>
    <w:rsid w:val="008D7F4B"/>
    <w:rPr>
      <w:rFonts w:asciiTheme="majorHAnsi" w:eastAsiaTheme="majorEastAsia" w:hAnsiTheme="majorHAnsi" w:cstheme="majorBidi"/>
      <w:b/>
      <w:bCs/>
      <w:i/>
      <w:iCs/>
      <w:color w:val="4472C4" w:themeColor="accent1"/>
    </w:rPr>
  </w:style>
  <w:style w:type="character" w:customStyle="1" w:styleId="sr-only">
    <w:name w:val="sr-only"/>
    <w:basedOn w:val="DefaultParagraphFont"/>
    <w:rsid w:val="00364C1D"/>
  </w:style>
  <w:style w:type="table" w:styleId="TableGrid">
    <w:name w:val="Table Grid"/>
    <w:basedOn w:val="TableNormal"/>
    <w:uiPriority w:val="39"/>
    <w:rsid w:val="002F72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C90D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21619">
      <w:bodyDiv w:val="1"/>
      <w:marLeft w:val="0"/>
      <w:marRight w:val="0"/>
      <w:marTop w:val="0"/>
      <w:marBottom w:val="0"/>
      <w:divBdr>
        <w:top w:val="none" w:sz="0" w:space="0" w:color="auto"/>
        <w:left w:val="none" w:sz="0" w:space="0" w:color="auto"/>
        <w:bottom w:val="none" w:sz="0" w:space="0" w:color="auto"/>
        <w:right w:val="none" w:sz="0" w:space="0" w:color="auto"/>
      </w:divBdr>
    </w:div>
    <w:div w:id="748575691">
      <w:bodyDiv w:val="1"/>
      <w:marLeft w:val="0"/>
      <w:marRight w:val="0"/>
      <w:marTop w:val="0"/>
      <w:marBottom w:val="0"/>
      <w:divBdr>
        <w:top w:val="none" w:sz="0" w:space="0" w:color="auto"/>
        <w:left w:val="none" w:sz="0" w:space="0" w:color="auto"/>
        <w:bottom w:val="none" w:sz="0" w:space="0" w:color="auto"/>
        <w:right w:val="none" w:sz="0" w:space="0" w:color="auto"/>
      </w:divBdr>
    </w:div>
    <w:div w:id="774179813">
      <w:bodyDiv w:val="1"/>
      <w:marLeft w:val="0"/>
      <w:marRight w:val="0"/>
      <w:marTop w:val="0"/>
      <w:marBottom w:val="0"/>
      <w:divBdr>
        <w:top w:val="none" w:sz="0" w:space="0" w:color="auto"/>
        <w:left w:val="none" w:sz="0" w:space="0" w:color="auto"/>
        <w:bottom w:val="none" w:sz="0" w:space="0" w:color="auto"/>
        <w:right w:val="none" w:sz="0" w:space="0" w:color="auto"/>
      </w:divBdr>
      <w:divsChild>
        <w:div w:id="880555550">
          <w:marLeft w:val="0"/>
          <w:marRight w:val="0"/>
          <w:marTop w:val="0"/>
          <w:marBottom w:val="0"/>
          <w:divBdr>
            <w:top w:val="none" w:sz="0" w:space="0" w:color="auto"/>
            <w:left w:val="none" w:sz="0" w:space="0" w:color="auto"/>
            <w:bottom w:val="none" w:sz="0" w:space="0" w:color="auto"/>
            <w:right w:val="none" w:sz="0" w:space="0" w:color="auto"/>
          </w:divBdr>
          <w:divsChild>
            <w:div w:id="164732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518183">
      <w:bodyDiv w:val="1"/>
      <w:marLeft w:val="0"/>
      <w:marRight w:val="0"/>
      <w:marTop w:val="0"/>
      <w:marBottom w:val="0"/>
      <w:divBdr>
        <w:top w:val="none" w:sz="0" w:space="0" w:color="auto"/>
        <w:left w:val="none" w:sz="0" w:space="0" w:color="auto"/>
        <w:bottom w:val="none" w:sz="0" w:space="0" w:color="auto"/>
        <w:right w:val="none" w:sz="0" w:space="0" w:color="auto"/>
      </w:divBdr>
      <w:divsChild>
        <w:div w:id="1206719501">
          <w:marLeft w:val="0"/>
          <w:marRight w:val="0"/>
          <w:marTop w:val="0"/>
          <w:marBottom w:val="0"/>
          <w:divBdr>
            <w:top w:val="none" w:sz="0" w:space="0" w:color="auto"/>
            <w:left w:val="none" w:sz="0" w:space="0" w:color="auto"/>
            <w:bottom w:val="none" w:sz="0" w:space="0" w:color="auto"/>
            <w:right w:val="none" w:sz="0" w:space="0" w:color="auto"/>
          </w:divBdr>
          <w:divsChild>
            <w:div w:id="877283742">
              <w:marLeft w:val="0"/>
              <w:marRight w:val="0"/>
              <w:marTop w:val="0"/>
              <w:marBottom w:val="0"/>
              <w:divBdr>
                <w:top w:val="none" w:sz="0" w:space="0" w:color="auto"/>
                <w:left w:val="none" w:sz="0" w:space="0" w:color="auto"/>
                <w:bottom w:val="none" w:sz="0" w:space="0" w:color="auto"/>
                <w:right w:val="none" w:sz="0" w:space="0" w:color="auto"/>
              </w:divBdr>
            </w:div>
          </w:divsChild>
        </w:div>
        <w:div w:id="9118133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7136483">
      <w:bodyDiv w:val="1"/>
      <w:marLeft w:val="0"/>
      <w:marRight w:val="0"/>
      <w:marTop w:val="0"/>
      <w:marBottom w:val="0"/>
      <w:divBdr>
        <w:top w:val="none" w:sz="0" w:space="0" w:color="auto"/>
        <w:left w:val="none" w:sz="0" w:space="0" w:color="auto"/>
        <w:bottom w:val="none" w:sz="0" w:space="0" w:color="auto"/>
        <w:right w:val="none" w:sz="0" w:space="0" w:color="auto"/>
      </w:divBdr>
    </w:div>
    <w:div w:id="1222331646">
      <w:bodyDiv w:val="1"/>
      <w:marLeft w:val="0"/>
      <w:marRight w:val="0"/>
      <w:marTop w:val="0"/>
      <w:marBottom w:val="0"/>
      <w:divBdr>
        <w:top w:val="none" w:sz="0" w:space="0" w:color="auto"/>
        <w:left w:val="none" w:sz="0" w:space="0" w:color="auto"/>
        <w:bottom w:val="none" w:sz="0" w:space="0" w:color="auto"/>
        <w:right w:val="none" w:sz="0" w:space="0" w:color="auto"/>
      </w:divBdr>
      <w:divsChild>
        <w:div w:id="1237130350">
          <w:marLeft w:val="0"/>
          <w:marRight w:val="0"/>
          <w:marTop w:val="0"/>
          <w:marBottom w:val="0"/>
          <w:divBdr>
            <w:top w:val="none" w:sz="0" w:space="0" w:color="auto"/>
            <w:left w:val="none" w:sz="0" w:space="0" w:color="auto"/>
            <w:bottom w:val="none" w:sz="0" w:space="0" w:color="auto"/>
            <w:right w:val="none" w:sz="0" w:space="0" w:color="auto"/>
          </w:divBdr>
          <w:divsChild>
            <w:div w:id="1240335329">
              <w:marLeft w:val="0"/>
              <w:marRight w:val="0"/>
              <w:marTop w:val="0"/>
              <w:marBottom w:val="0"/>
              <w:divBdr>
                <w:top w:val="none" w:sz="0" w:space="0" w:color="auto"/>
                <w:left w:val="none" w:sz="0" w:space="0" w:color="auto"/>
                <w:bottom w:val="none" w:sz="0" w:space="0" w:color="auto"/>
                <w:right w:val="none" w:sz="0" w:space="0" w:color="auto"/>
              </w:divBdr>
              <w:divsChild>
                <w:div w:id="822084130">
                  <w:marLeft w:val="0"/>
                  <w:marRight w:val="0"/>
                  <w:marTop w:val="0"/>
                  <w:marBottom w:val="0"/>
                  <w:divBdr>
                    <w:top w:val="none" w:sz="0" w:space="0" w:color="auto"/>
                    <w:left w:val="none" w:sz="0" w:space="0" w:color="auto"/>
                    <w:bottom w:val="none" w:sz="0" w:space="0" w:color="auto"/>
                    <w:right w:val="none" w:sz="0" w:space="0" w:color="auto"/>
                  </w:divBdr>
                  <w:divsChild>
                    <w:div w:id="2245501">
                      <w:marLeft w:val="0"/>
                      <w:marRight w:val="0"/>
                      <w:marTop w:val="0"/>
                      <w:marBottom w:val="0"/>
                      <w:divBdr>
                        <w:top w:val="none" w:sz="0" w:space="0" w:color="auto"/>
                        <w:left w:val="none" w:sz="0" w:space="0" w:color="auto"/>
                        <w:bottom w:val="none" w:sz="0" w:space="0" w:color="auto"/>
                        <w:right w:val="none" w:sz="0" w:space="0" w:color="auto"/>
                      </w:divBdr>
                      <w:divsChild>
                        <w:div w:id="724914765">
                          <w:marLeft w:val="0"/>
                          <w:marRight w:val="0"/>
                          <w:marTop w:val="0"/>
                          <w:marBottom w:val="0"/>
                          <w:divBdr>
                            <w:top w:val="none" w:sz="0" w:space="0" w:color="auto"/>
                            <w:left w:val="none" w:sz="0" w:space="0" w:color="auto"/>
                            <w:bottom w:val="none" w:sz="0" w:space="0" w:color="auto"/>
                            <w:right w:val="none" w:sz="0" w:space="0" w:color="auto"/>
                          </w:divBdr>
                          <w:divsChild>
                            <w:div w:id="1855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45078">
                  <w:marLeft w:val="0"/>
                  <w:marRight w:val="0"/>
                  <w:marTop w:val="0"/>
                  <w:marBottom w:val="0"/>
                  <w:divBdr>
                    <w:top w:val="none" w:sz="0" w:space="0" w:color="auto"/>
                    <w:left w:val="none" w:sz="0" w:space="0" w:color="auto"/>
                    <w:bottom w:val="none" w:sz="0" w:space="0" w:color="auto"/>
                    <w:right w:val="none" w:sz="0" w:space="0" w:color="auto"/>
                  </w:divBdr>
                  <w:divsChild>
                    <w:div w:id="16705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177357">
      <w:bodyDiv w:val="1"/>
      <w:marLeft w:val="0"/>
      <w:marRight w:val="0"/>
      <w:marTop w:val="0"/>
      <w:marBottom w:val="0"/>
      <w:divBdr>
        <w:top w:val="none" w:sz="0" w:space="0" w:color="auto"/>
        <w:left w:val="none" w:sz="0" w:space="0" w:color="auto"/>
        <w:bottom w:val="none" w:sz="0" w:space="0" w:color="auto"/>
        <w:right w:val="none" w:sz="0" w:space="0" w:color="auto"/>
      </w:divBdr>
    </w:div>
    <w:div w:id="1383408488">
      <w:bodyDiv w:val="1"/>
      <w:marLeft w:val="0"/>
      <w:marRight w:val="0"/>
      <w:marTop w:val="0"/>
      <w:marBottom w:val="0"/>
      <w:divBdr>
        <w:top w:val="none" w:sz="0" w:space="0" w:color="auto"/>
        <w:left w:val="none" w:sz="0" w:space="0" w:color="auto"/>
        <w:bottom w:val="none" w:sz="0" w:space="0" w:color="auto"/>
        <w:right w:val="none" w:sz="0" w:space="0" w:color="auto"/>
      </w:divBdr>
    </w:div>
    <w:div w:id="1404916164">
      <w:bodyDiv w:val="1"/>
      <w:marLeft w:val="0"/>
      <w:marRight w:val="0"/>
      <w:marTop w:val="0"/>
      <w:marBottom w:val="0"/>
      <w:divBdr>
        <w:top w:val="none" w:sz="0" w:space="0" w:color="auto"/>
        <w:left w:val="none" w:sz="0" w:space="0" w:color="auto"/>
        <w:bottom w:val="none" w:sz="0" w:space="0" w:color="auto"/>
        <w:right w:val="none" w:sz="0" w:space="0" w:color="auto"/>
      </w:divBdr>
    </w:div>
    <w:div w:id="1707825827">
      <w:bodyDiv w:val="1"/>
      <w:marLeft w:val="0"/>
      <w:marRight w:val="0"/>
      <w:marTop w:val="0"/>
      <w:marBottom w:val="0"/>
      <w:divBdr>
        <w:top w:val="none" w:sz="0" w:space="0" w:color="auto"/>
        <w:left w:val="none" w:sz="0" w:space="0" w:color="auto"/>
        <w:bottom w:val="none" w:sz="0" w:space="0" w:color="auto"/>
        <w:right w:val="none" w:sz="0" w:space="0" w:color="auto"/>
      </w:divBdr>
    </w:div>
    <w:div w:id="2044285399">
      <w:bodyDiv w:val="1"/>
      <w:marLeft w:val="0"/>
      <w:marRight w:val="0"/>
      <w:marTop w:val="0"/>
      <w:marBottom w:val="0"/>
      <w:divBdr>
        <w:top w:val="none" w:sz="0" w:space="0" w:color="auto"/>
        <w:left w:val="none" w:sz="0" w:space="0" w:color="auto"/>
        <w:bottom w:val="none" w:sz="0" w:space="0" w:color="auto"/>
        <w:right w:val="none" w:sz="0" w:space="0" w:color="auto"/>
      </w:divBdr>
      <w:divsChild>
        <w:div w:id="358705806">
          <w:marLeft w:val="0"/>
          <w:marRight w:val="0"/>
          <w:marTop w:val="0"/>
          <w:marBottom w:val="0"/>
          <w:divBdr>
            <w:top w:val="none" w:sz="0" w:space="0" w:color="auto"/>
            <w:left w:val="none" w:sz="0" w:space="0" w:color="auto"/>
            <w:bottom w:val="none" w:sz="0" w:space="0" w:color="auto"/>
            <w:right w:val="none" w:sz="0" w:space="0" w:color="auto"/>
          </w:divBdr>
          <w:divsChild>
            <w:div w:id="418872566">
              <w:marLeft w:val="0"/>
              <w:marRight w:val="0"/>
              <w:marTop w:val="0"/>
              <w:marBottom w:val="0"/>
              <w:divBdr>
                <w:top w:val="none" w:sz="0" w:space="0" w:color="auto"/>
                <w:left w:val="none" w:sz="0" w:space="0" w:color="auto"/>
                <w:bottom w:val="none" w:sz="0" w:space="0" w:color="auto"/>
                <w:right w:val="none" w:sz="0" w:space="0" w:color="auto"/>
              </w:divBdr>
            </w:div>
          </w:divsChild>
        </w:div>
        <w:div w:id="1875076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im2907@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828C1-F1E7-4C96-8377-A4FA16BBB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10</Pages>
  <Words>15791</Words>
  <Characters>90014</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N.Jayanthi</dc:creator>
  <cp:lastModifiedBy>Indhu G S</cp:lastModifiedBy>
  <cp:revision>14</cp:revision>
  <dcterms:created xsi:type="dcterms:W3CDTF">2025-07-24T16:13:00Z</dcterms:created>
  <dcterms:modified xsi:type="dcterms:W3CDTF">2025-10-12T08:19:00Z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8fd6866c-88a6-37b4-aca9-3ed5c0443805</vt:lpwstr>
  </property>
  <property fmtid="{D5CDD505-2E9C-101B-9397-08002B2CF9AE}" pid="4" name="Mendeley Citation Style_1">
    <vt:lpwstr>http://www.zotero.org/styles/ieee</vt:lpwstr>
  </property>
</Properties>
</file>