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F073" w14:textId="54333D16" w:rsidR="000F0032" w:rsidRPr="0050295F" w:rsidRDefault="00FF1F21" w:rsidP="00836493">
      <w:pPr>
        <w:spacing w:line="240" w:lineRule="auto"/>
        <w:jc w:val="both"/>
        <w:rPr>
          <w:rFonts w:ascii="Times New Roman" w:hAnsi="Times New Roman" w:cs="Times New Roman"/>
          <w:b/>
          <w:sz w:val="24"/>
          <w:szCs w:val="24"/>
        </w:rPr>
      </w:pPr>
      <w:r w:rsidRPr="0050295F">
        <w:rPr>
          <w:rFonts w:ascii="Times New Roman" w:hAnsi="Times New Roman" w:cs="Times New Roman"/>
          <w:b/>
          <w:sz w:val="24"/>
          <w:szCs w:val="24"/>
        </w:rPr>
        <w:t xml:space="preserve">Introduction </w:t>
      </w:r>
    </w:p>
    <w:p w14:paraId="0A3DD1B4" w14:textId="175A870D" w:rsidR="00CA4C4E" w:rsidRPr="0050295F" w:rsidRDefault="008331DB" w:rsidP="00836493">
      <w:pPr>
        <w:pStyle w:val="ds-markdown-paragraph"/>
        <w:shd w:val="clear" w:color="auto" w:fill="FFFFFF"/>
        <w:spacing w:before="240" w:beforeAutospacing="0" w:after="240" w:afterAutospacing="0"/>
        <w:jc w:val="both"/>
        <w:rPr>
          <w:color w:val="0F1115"/>
        </w:rPr>
      </w:pPr>
      <w:r>
        <w:rPr>
          <w:color w:val="0F1115"/>
        </w:rPr>
        <w:t>The Torah's purity laws (Leviticus 12, Numbers 30), the Pauline household codes (Ephesians 5, Colossians 3, 1 Timothy 2), and the prevailing Greco-Roman and Jewish patriarchal norms that made those texts seem not just acceptable but inevitable were the three main sources of Christian ethical teaching on gender for almost two millennia. The dilemma arose when feminist hermeneutics, ranging from Letty Russell's liberation theology to Frances Willard's biblical arguments from the suffrage movement, posed a seemingly straightforward question: if patriarchy is a sin (or at least a social evil), then which of these three causes is more at fault? The responses have been as diverse as they are significant.</w:t>
      </w:r>
    </w:p>
    <w:p w14:paraId="00A28DE2" w14:textId="78576646" w:rsidR="00CA4C4E" w:rsidRPr="0050295F" w:rsidRDefault="008331DB" w:rsidP="00836493">
      <w:pPr>
        <w:pStyle w:val="ds-markdown-paragraph"/>
        <w:shd w:val="clear" w:color="auto" w:fill="FFFFFF"/>
        <w:spacing w:before="240" w:beforeAutospacing="0" w:after="240" w:afterAutospacing="0"/>
        <w:jc w:val="both"/>
        <w:rPr>
          <w:color w:val="0F1115"/>
        </w:rPr>
      </w:pPr>
      <w:r>
        <w:rPr>
          <w:color w:val="0F1115"/>
        </w:rPr>
        <w:t xml:space="preserve">Some place the blame on "the Law," claiming that Paul's more stringent passages are only strategic accommodations to a church bound by the law and that the Old Testament's ceremonial and civic regulations are abolished in Christ (Galatians 3:28). Others place the blame on Paul himself, depicting the Apostle to the Gentiles as a confused person who, when worried about church order, resorted to hierarchy despite preaching mutuality (1 Corinthians 7:4). A third school, which is becoming </w:t>
      </w:r>
      <w:proofErr w:type="gramStart"/>
      <w:r>
        <w:rPr>
          <w:color w:val="0F1115"/>
        </w:rPr>
        <w:t>more and more</w:t>
      </w:r>
      <w:proofErr w:type="gramEnd"/>
      <w:r>
        <w:rPr>
          <w:color w:val="0F1115"/>
        </w:rPr>
        <w:t xml:space="preserve"> prominent in both evangelical and post-evangelical groups, attributes the inability of any first-century author, including Paul, to envision complete equality to the patriarchal habit, the unexamined social structure, rather than the text or the apostle. According to this viewpoint, it is more important to examine "why did the church's interpretive tradition magnify Paul's most restrictive verses while ignoring Philemon's radical implications for hierarchy" rather than "did Paul blame women?"</w:t>
      </w:r>
    </w:p>
    <w:p w14:paraId="28398755" w14:textId="7C98E26E" w:rsidR="000108B6" w:rsidRPr="009908DA" w:rsidRDefault="008331DB" w:rsidP="00836493">
      <w:pPr>
        <w:pStyle w:val="ds-markdown-paragraph"/>
        <w:shd w:val="clear" w:color="auto" w:fill="FFFFFF"/>
        <w:spacing w:before="240" w:beforeAutospacing="0" w:after="0" w:afterAutospacing="0"/>
        <w:jc w:val="both"/>
        <w:rPr>
          <w:color w:val="0F1115"/>
        </w:rPr>
      </w:pPr>
      <w:r>
        <w:rPr>
          <w:color w:val="0F1115"/>
        </w:rPr>
        <w:t>Distinguish between the initial conduct and the chain of custody that either preserves or distorts it according to evidentiary law. Our proof is the Pauline corpus, the chain of custody is patriarchy, and the court reporter who might have altered the transcript is the church's interpretive tradition. We must understand not only who is legally accountable but also where moral agency can be found in the modern world.</w:t>
      </w:r>
      <w:r w:rsidR="00CA4C4E" w:rsidRPr="0050295F">
        <w:rPr>
          <w:color w:val="0F1115"/>
        </w:rPr>
        <w:t xml:space="preserve"> </w:t>
      </w:r>
      <w:r>
        <w:rPr>
          <w:color w:val="0F1115"/>
        </w:rPr>
        <w:t>As scholars, we believe that a distributed model of responsibility</w:t>
      </w:r>
      <w:r w:rsidR="009908DA">
        <w:rPr>
          <w:color w:val="0F1115"/>
        </w:rPr>
        <w:t xml:space="preserve">, </w:t>
      </w:r>
      <w:r>
        <w:rPr>
          <w:color w:val="0F1115"/>
        </w:rPr>
        <w:t>one that upholds the authority of Scripture but admitting that canonization itself was an act of patriarchal power</w:t>
      </w:r>
      <w:r w:rsidR="009908DA">
        <w:rPr>
          <w:color w:val="0F1115"/>
        </w:rPr>
        <w:t xml:space="preserve"> </w:t>
      </w:r>
      <w:r>
        <w:rPr>
          <w:color w:val="0F1115"/>
        </w:rPr>
        <w:t xml:space="preserve">is the solution rather than a single accusation. </w:t>
      </w:r>
    </w:p>
    <w:p w14:paraId="5CF61D54" w14:textId="57CAFF6D" w:rsidR="004975D1" w:rsidRPr="0050295F" w:rsidRDefault="00B46A8B"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t>Women have had limited social roles throughout the history of the majority of nations; it is said that history, religion, culture, legal systems, political institutions, and social attitudes are the main causes of women's enslavement and unequal gender relations.</w:t>
      </w:r>
      <w:r w:rsidR="000F0032" w:rsidRPr="0050295F">
        <w:rPr>
          <w:rStyle w:val="FootnoteReference"/>
          <w:rFonts w:ascii="Times New Roman" w:hAnsi="Times New Roman" w:cs="Times New Roman"/>
          <w:sz w:val="24"/>
          <w:szCs w:val="24"/>
        </w:rPr>
        <w:footnoteReference w:id="1"/>
      </w:r>
      <w:r w:rsidR="008D2637" w:rsidRPr="0050295F">
        <w:rPr>
          <w:rFonts w:ascii="Times New Roman" w:hAnsi="Times New Roman" w:cs="Times New Roman"/>
          <w:sz w:val="24"/>
          <w:szCs w:val="24"/>
        </w:rPr>
        <w:t xml:space="preserve"> </w:t>
      </w:r>
      <w:r>
        <w:rPr>
          <w:rFonts w:ascii="Times New Roman" w:hAnsi="Times New Roman" w:cs="Times New Roman"/>
          <w:sz w:val="24"/>
          <w:szCs w:val="24"/>
        </w:rPr>
        <w:t xml:space="preserve">On the other hand, Christianity and gender are thought to have a complicated and paradoxical relationship in Africa. History, culture, and the tensions between different legal systems all have an impact on it. Although Christianity has had a significant influence on African religious life, cultural values, and legal frameworks, its effects on gender are still up for debate. </w:t>
      </w:r>
    </w:p>
    <w:p w14:paraId="0FE21F4C" w14:textId="77777777" w:rsidR="00836493" w:rsidRDefault="00B46A8B" w:rsidP="00836493">
      <w:pPr>
        <w:pStyle w:val="ds-markdown-paragraph"/>
        <w:shd w:val="clear" w:color="auto" w:fill="FFFFFF"/>
        <w:spacing w:before="240" w:beforeAutospacing="0" w:after="0" w:afterAutospacing="0"/>
        <w:jc w:val="both"/>
        <w:rPr>
          <w:lang w:val="en-US"/>
        </w:rPr>
      </w:pPr>
      <w:r>
        <w:t>Christianity arrived not just as a religion but also as a component of colonial control, bringing with it gender norms that drove women to the periphery, as many African feminists and postcolonial academics point out. Women's roles in the church and society were restricted because missionaries and colonial rulers frequently misinterpreted biblical passages and regional customs in ways that upheld male dominance.</w:t>
      </w:r>
      <w:r w:rsidR="00FB7A65" w:rsidRPr="0050295F">
        <w:rPr>
          <w:rStyle w:val="FootnoteReference"/>
        </w:rPr>
        <w:footnoteReference w:id="2"/>
      </w:r>
      <w:r w:rsidR="004975D1" w:rsidRPr="0050295F">
        <w:t xml:space="preserve"> </w:t>
      </w:r>
      <w:r w:rsidR="00D47F82">
        <w:t>Thus, Christianity is sometimes attacked for being male-</w:t>
      </w:r>
      <w:proofErr w:type="spellStart"/>
      <w:r w:rsidR="00D47F82">
        <w:t>centered</w:t>
      </w:r>
      <w:proofErr w:type="spellEnd"/>
      <w:r w:rsidR="00D47F82">
        <w:t>, supporting women’s subordination through its traditions of male leadership and iconography</w:t>
      </w:r>
      <w:r w:rsidR="00FB7A65" w:rsidRPr="0050295F">
        <w:t xml:space="preserve">. </w:t>
      </w:r>
      <w:r w:rsidR="00FB7A65" w:rsidRPr="0050295F">
        <w:lastRenderedPageBreak/>
        <w:t xml:space="preserve">Mercy </w:t>
      </w:r>
      <w:proofErr w:type="spellStart"/>
      <w:r w:rsidR="00FB7A65" w:rsidRPr="0050295F">
        <w:t>Oduyoye</w:t>
      </w:r>
      <w:proofErr w:type="spellEnd"/>
      <w:r w:rsidR="00FB7A65" w:rsidRPr="0050295F">
        <w:rPr>
          <w:rStyle w:val="FootnoteReference"/>
        </w:rPr>
        <w:footnoteReference w:id="3"/>
      </w:r>
      <w:r w:rsidR="00FB7A65" w:rsidRPr="0050295F">
        <w:t xml:space="preserve"> note</w:t>
      </w:r>
      <w:r w:rsidR="000108B6" w:rsidRPr="0050295F">
        <w:t>d</w:t>
      </w:r>
      <w:r w:rsidR="00FB7A65" w:rsidRPr="0050295F">
        <w:t xml:space="preserve"> that </w:t>
      </w:r>
      <w:r w:rsidR="00765F00">
        <w:t>the Bible is typically viewed through patriarchal perspectives in Nigeria</w:t>
      </w:r>
      <w:r w:rsidR="004975D1" w:rsidRPr="0050295F">
        <w:t>.</w:t>
      </w:r>
      <w:r w:rsidR="00FB7A65" w:rsidRPr="0050295F">
        <w:t xml:space="preserve"> Emeka Nelson </w:t>
      </w:r>
      <w:proofErr w:type="spellStart"/>
      <w:r w:rsidR="00FB7A65" w:rsidRPr="0050295F">
        <w:t>Chegwe</w:t>
      </w:r>
      <w:proofErr w:type="spellEnd"/>
      <w:r w:rsidR="00FB7A65" w:rsidRPr="0050295F">
        <w:rPr>
          <w:rStyle w:val="FootnoteReference"/>
        </w:rPr>
        <w:footnoteReference w:id="4"/>
      </w:r>
      <w:r w:rsidR="00FB7A65" w:rsidRPr="0050295F">
        <w:t xml:space="preserve"> also noted that </w:t>
      </w:r>
      <w:r w:rsidR="00765F00">
        <w:t xml:space="preserve">religion is not simply a question of faith, but it also actively shapes gender identities, social standards, and legal consciousness. With its rising impact, </w:t>
      </w:r>
      <w:r w:rsidR="00617FA2">
        <w:t>o</w:t>
      </w:r>
      <w:proofErr w:type="spellStart"/>
      <w:r w:rsidR="00617FA2" w:rsidRPr="00617FA2">
        <w:rPr>
          <w:lang w:val="en-US"/>
        </w:rPr>
        <w:t>vertly</w:t>
      </w:r>
      <w:proofErr w:type="spellEnd"/>
      <w:r w:rsidR="00617FA2" w:rsidRPr="00617FA2">
        <w:rPr>
          <w:lang w:val="en-US"/>
        </w:rPr>
        <w:t>, patriarchal structures have historically</w:t>
      </w:r>
      <w:r w:rsidR="00617FA2">
        <w:rPr>
          <w:lang w:val="en-US"/>
        </w:rPr>
        <w:t xml:space="preserve"> </w:t>
      </w:r>
      <w:r w:rsidR="00617FA2" w:rsidRPr="00617FA2">
        <w:rPr>
          <w:lang w:val="en-US"/>
        </w:rPr>
        <w:t>and in some regions continue to</w:t>
      </w:r>
      <w:r w:rsidR="00617FA2">
        <w:rPr>
          <w:lang w:val="en-US"/>
        </w:rPr>
        <w:t xml:space="preserve"> </w:t>
      </w:r>
      <w:r w:rsidR="00617FA2" w:rsidRPr="00617FA2">
        <w:rPr>
          <w:lang w:val="en-US"/>
        </w:rPr>
        <w:t xml:space="preserve">directly inscribe male supremacy into law, such as through statutes denying women the right to vote, own property independently, or seek legal recourse against marital rape, as well as through family codes granting men unilateral authority over divorce, child custody, and female family members' mobility. </w:t>
      </w:r>
    </w:p>
    <w:p w14:paraId="0503C751" w14:textId="517BA7D3" w:rsidR="005C5DDD" w:rsidRDefault="00617FA2" w:rsidP="00836493">
      <w:pPr>
        <w:pStyle w:val="ds-markdown-paragraph"/>
        <w:shd w:val="clear" w:color="auto" w:fill="FFFFFF"/>
        <w:spacing w:before="240" w:beforeAutospacing="0" w:after="0" w:afterAutospacing="0"/>
        <w:jc w:val="both"/>
      </w:pPr>
      <w:r w:rsidRPr="00617FA2">
        <w:rPr>
          <w:lang w:val="en-US"/>
        </w:rPr>
        <w:t xml:space="preserve">More subtly, patriarchy persists through ostensibly neutral laws and practices that disproportionately disadvantage women, including evidentiary standards in sexual assault cases that implicitly favor the accused, zoning or labor regulations that ignore unpaid care work predominantly performed by women, or judicial sentencing patterns shaped by unconscious gender biases. Culturally, while overt norms like primogeniture or public dress codes for women have diminished in many societies, subtler manifestations endure workplace cultures that penalize assertiveness in women while rewarding it in men, media representations that normalize male leadership and female domesticity, and everyday conversational patterns where men interrupt women significantly more often. These dual layers of </w:t>
      </w:r>
      <w:r>
        <w:rPr>
          <w:lang w:val="en-US"/>
        </w:rPr>
        <w:t xml:space="preserve">penetration, </w:t>
      </w:r>
      <w:r w:rsidRPr="00617FA2">
        <w:rPr>
          <w:lang w:val="en-US"/>
        </w:rPr>
        <w:t>the blatant and the subtle</w:t>
      </w:r>
      <w:r>
        <w:rPr>
          <w:lang w:val="en-US"/>
        </w:rPr>
        <w:t xml:space="preserve"> </w:t>
      </w:r>
      <w:r w:rsidRPr="00617FA2">
        <w:rPr>
          <w:lang w:val="en-US"/>
        </w:rPr>
        <w:t xml:space="preserve">reinforce each other, as overt legal inequalities provide structural permission for cultural biases, while ingrained cultural assumptions shape how facially equal laws are </w:t>
      </w:r>
      <w:proofErr w:type="gramStart"/>
      <w:r w:rsidRPr="00617FA2">
        <w:rPr>
          <w:lang w:val="en-US"/>
        </w:rPr>
        <w:t>actually enforced</w:t>
      </w:r>
      <w:proofErr w:type="gramEnd"/>
      <w:r w:rsidRPr="00617FA2">
        <w:rPr>
          <w:lang w:val="en-US"/>
        </w:rPr>
        <w:t xml:space="preserve"> and experienced on the ground</w:t>
      </w:r>
      <w:r w:rsidR="00765F00">
        <w:t>. This analysis consequently does not seek to absolve Paul or convict the Law. It tries to define the landscape of blame so that Christian communities especially in Nigeria, can stop fighting about the past and start forging a future where women are not forced to choose between their faith and their flourishing.</w:t>
      </w:r>
    </w:p>
    <w:p w14:paraId="29769FC2" w14:textId="77777777" w:rsidR="00765F00" w:rsidRPr="0050295F" w:rsidRDefault="00765F00" w:rsidP="00836493">
      <w:pPr>
        <w:pStyle w:val="ds-markdown-paragraph"/>
        <w:shd w:val="clear" w:color="auto" w:fill="FFFFFF"/>
        <w:spacing w:before="240" w:beforeAutospacing="0" w:after="0" w:afterAutospacing="0"/>
        <w:jc w:val="both"/>
        <w:rPr>
          <w:color w:val="0F1115"/>
        </w:rPr>
      </w:pPr>
    </w:p>
    <w:p w14:paraId="4E1C2577" w14:textId="5A4279FC" w:rsidR="00FF1F21" w:rsidRPr="0050295F" w:rsidRDefault="00B67E2F" w:rsidP="00836493">
      <w:pPr>
        <w:spacing w:line="240" w:lineRule="auto"/>
        <w:jc w:val="both"/>
        <w:rPr>
          <w:rFonts w:ascii="Times New Roman" w:hAnsi="Times New Roman" w:cs="Times New Roman"/>
          <w:b/>
          <w:sz w:val="24"/>
          <w:szCs w:val="24"/>
        </w:rPr>
      </w:pPr>
      <w:r w:rsidRPr="0050295F">
        <w:rPr>
          <w:rFonts w:ascii="Times New Roman" w:hAnsi="Times New Roman" w:cs="Times New Roman"/>
          <w:b/>
          <w:sz w:val="24"/>
          <w:szCs w:val="24"/>
        </w:rPr>
        <w:t>Women and Law</w:t>
      </w:r>
    </w:p>
    <w:p w14:paraId="3999DED0" w14:textId="74578E4D" w:rsidR="000108B6" w:rsidRPr="00765F00" w:rsidRDefault="0075468D" w:rsidP="00836493">
      <w:pPr>
        <w:shd w:val="clear" w:color="auto" w:fill="FFFFFF"/>
        <w:spacing w:line="240" w:lineRule="auto"/>
        <w:jc w:val="both"/>
        <w:textAlignment w:val="baseline"/>
        <w:rPr>
          <w:rFonts w:ascii="Times New Roman" w:hAnsi="Times New Roman" w:cs="Times New Roman"/>
          <w:color w:val="0A1B27"/>
          <w:sz w:val="24"/>
          <w:szCs w:val="24"/>
        </w:rPr>
      </w:pPr>
      <w:r w:rsidRPr="0050295F">
        <w:rPr>
          <w:rStyle w:val="dttext"/>
          <w:rFonts w:ascii="Times New Roman" w:hAnsi="Times New Roman" w:cs="Times New Roman"/>
          <w:color w:val="0A1B27"/>
          <w:sz w:val="24"/>
          <w:szCs w:val="24"/>
          <w:bdr w:val="none" w:sz="0" w:space="0" w:color="auto" w:frame="1"/>
        </w:rPr>
        <w:t>Law has been defined as a binding custom or practice of a community:</w:t>
      </w:r>
      <w:r w:rsidRPr="0050295F">
        <w:rPr>
          <w:rStyle w:val="Strong"/>
          <w:rFonts w:ascii="Times New Roman" w:hAnsi="Times New Roman" w:cs="Times New Roman"/>
          <w:color w:val="0A1B27"/>
          <w:sz w:val="24"/>
          <w:szCs w:val="24"/>
          <w:bdr w:val="none" w:sz="0" w:space="0" w:color="auto" w:frame="1"/>
        </w:rPr>
        <w:t> </w:t>
      </w:r>
      <w:r w:rsidRPr="0050295F">
        <w:rPr>
          <w:rStyle w:val="dttext"/>
          <w:rFonts w:ascii="Times New Roman" w:hAnsi="Times New Roman" w:cs="Times New Roman"/>
          <w:color w:val="0A1B27"/>
          <w:sz w:val="24"/>
          <w:szCs w:val="24"/>
          <w:bdr w:val="none" w:sz="0" w:space="0" w:color="auto" w:frame="1"/>
        </w:rPr>
        <w:t>a rule of conduct or action prescribed or formally recognized as binding or enforced by a controlling authority, the whole body of such customs, practices, or rules.</w:t>
      </w:r>
      <w:r w:rsidRPr="0050295F">
        <w:rPr>
          <w:rStyle w:val="FootnoteReference"/>
          <w:rFonts w:ascii="Times New Roman" w:hAnsi="Times New Roman" w:cs="Times New Roman"/>
          <w:color w:val="0A1B27"/>
          <w:sz w:val="24"/>
          <w:szCs w:val="24"/>
          <w:bdr w:val="none" w:sz="0" w:space="0" w:color="auto" w:frame="1"/>
        </w:rPr>
        <w:footnoteReference w:id="5"/>
      </w:r>
      <w:r w:rsidRPr="0050295F">
        <w:rPr>
          <w:rStyle w:val="dttext"/>
          <w:rFonts w:ascii="Times New Roman" w:hAnsi="Times New Roman" w:cs="Times New Roman"/>
          <w:color w:val="0A1B27"/>
          <w:sz w:val="24"/>
          <w:szCs w:val="24"/>
          <w:bdr w:val="none" w:sz="0" w:space="0" w:color="auto" w:frame="1"/>
        </w:rPr>
        <w:t xml:space="preserve"> It has further been </w:t>
      </w:r>
      <w:r w:rsidR="005A63A6" w:rsidRPr="0050295F">
        <w:rPr>
          <w:rFonts w:ascii="Times New Roman" w:hAnsi="Times New Roman" w:cs="Times New Roman"/>
          <w:sz w:val="24"/>
          <w:szCs w:val="24"/>
        </w:rPr>
        <w:t xml:space="preserve">defined as </w:t>
      </w:r>
      <w:r w:rsidR="005A63A6" w:rsidRPr="0050295F">
        <w:rPr>
          <w:rFonts w:ascii="Times New Roman" w:hAnsi="Times New Roman" w:cs="Times New Roman"/>
          <w:color w:val="000000"/>
          <w:sz w:val="24"/>
          <w:szCs w:val="24"/>
        </w:rPr>
        <w:t xml:space="preserve">the principles and regulations established in a community by some authority and applicable to its people, whether in the form of legislation or of custom and policies recognized and enforced by judicial decision. </w:t>
      </w:r>
      <w:r w:rsidRPr="0050295F">
        <w:rPr>
          <w:rFonts w:ascii="Times New Roman" w:hAnsi="Times New Roman" w:cs="Times New Roman"/>
          <w:color w:val="000000"/>
          <w:sz w:val="24"/>
          <w:szCs w:val="24"/>
        </w:rPr>
        <w:t xml:space="preserve">It is also said to be </w:t>
      </w:r>
      <w:r w:rsidR="005A63A6" w:rsidRPr="0050295F">
        <w:rPr>
          <w:rFonts w:ascii="Times New Roman" w:hAnsi="Times New Roman" w:cs="Times New Roman"/>
          <w:color w:val="000000"/>
          <w:sz w:val="24"/>
          <w:szCs w:val="24"/>
        </w:rPr>
        <w:t>any written or positive rule or collection of rules prescribed under the authority of the state or nation, as by the people in its constitution.</w:t>
      </w:r>
      <w:r w:rsidRPr="0050295F">
        <w:rPr>
          <w:rStyle w:val="FootnoteReference"/>
          <w:rFonts w:ascii="Times New Roman" w:hAnsi="Times New Roman" w:cs="Times New Roman"/>
          <w:color w:val="000000"/>
          <w:sz w:val="24"/>
          <w:szCs w:val="24"/>
        </w:rPr>
        <w:footnoteReference w:id="6"/>
      </w:r>
    </w:p>
    <w:p w14:paraId="39936478" w14:textId="57FEF0E4" w:rsidR="0091195F" w:rsidRPr="0050295F" w:rsidRDefault="00B05E46" w:rsidP="00836493">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In many cases, formal rules exist on paper but are not practically enforceable for marginalized groups due to cost, corruption, or a lack of institutions. According to the above definition, laws are discriminatory against women as well. The phrase "recognized and enforced by judicial decision" implies that rules are effectively enforced and accessible. </w:t>
      </w:r>
      <w:r w:rsidR="0091195F" w:rsidRPr="0050295F">
        <w:rPr>
          <w:rFonts w:ascii="Times New Roman" w:hAnsi="Times New Roman" w:cs="Times New Roman"/>
          <w:sz w:val="24"/>
          <w:szCs w:val="24"/>
        </w:rPr>
        <w:t xml:space="preserve">This </w:t>
      </w:r>
      <w:r>
        <w:rPr>
          <w:rFonts w:ascii="Times New Roman" w:hAnsi="Times New Roman" w:cs="Times New Roman"/>
          <w:sz w:val="24"/>
          <w:szCs w:val="24"/>
        </w:rPr>
        <w:t xml:space="preserve">is </w:t>
      </w:r>
      <w:r w:rsidR="0091195F" w:rsidRPr="0050295F">
        <w:rPr>
          <w:rFonts w:ascii="Times New Roman" w:hAnsi="Times New Roman" w:cs="Times New Roman"/>
          <w:sz w:val="24"/>
          <w:szCs w:val="24"/>
        </w:rPr>
        <w:t>because the law has been seen as male, made by men to govern and rule over women.</w:t>
      </w:r>
      <w:r w:rsidR="00594926" w:rsidRPr="0050295F">
        <w:rPr>
          <w:rFonts w:ascii="Times New Roman" w:hAnsi="Times New Roman" w:cs="Times New Roman"/>
          <w:sz w:val="24"/>
          <w:szCs w:val="24"/>
        </w:rPr>
        <w:t xml:space="preserve"> </w:t>
      </w:r>
      <w:r w:rsidR="00276DE8" w:rsidRPr="0050295F">
        <w:rPr>
          <w:rFonts w:ascii="Times New Roman" w:hAnsi="Times New Roman" w:cs="Times New Roman"/>
          <w:sz w:val="24"/>
          <w:szCs w:val="24"/>
        </w:rPr>
        <w:t>Sylv</w:t>
      </w:r>
      <w:r w:rsidR="006777D8">
        <w:rPr>
          <w:rFonts w:ascii="Times New Roman" w:hAnsi="Times New Roman" w:cs="Times New Roman"/>
          <w:sz w:val="24"/>
          <w:szCs w:val="24"/>
        </w:rPr>
        <w:t>i</w:t>
      </w:r>
      <w:r w:rsidR="00276DE8" w:rsidRPr="0050295F">
        <w:rPr>
          <w:rFonts w:ascii="Times New Roman" w:hAnsi="Times New Roman" w:cs="Times New Roman"/>
          <w:sz w:val="24"/>
          <w:szCs w:val="24"/>
        </w:rPr>
        <w:t xml:space="preserve">a Walby opined that in as much as State </w:t>
      </w:r>
      <w:r w:rsidR="00276DE8" w:rsidRPr="0050295F">
        <w:rPr>
          <w:rFonts w:ascii="Times New Roman" w:hAnsi="Times New Roman" w:cs="Times New Roman"/>
          <w:sz w:val="24"/>
          <w:szCs w:val="24"/>
        </w:rPr>
        <w:lastRenderedPageBreak/>
        <w:t xml:space="preserve">policies relating to gender have changed considerably in contemporary </w:t>
      </w:r>
      <w:r w:rsidR="008A0D1F" w:rsidRPr="0050295F">
        <w:rPr>
          <w:rFonts w:ascii="Times New Roman" w:hAnsi="Times New Roman" w:cs="Times New Roman"/>
          <w:sz w:val="24"/>
          <w:szCs w:val="24"/>
        </w:rPr>
        <w:t>societies (state</w:t>
      </w:r>
      <w:r w:rsidR="00594926" w:rsidRPr="0050295F">
        <w:rPr>
          <w:rFonts w:ascii="Times New Roman" w:hAnsi="Times New Roman" w:cs="Times New Roman"/>
          <w:sz w:val="24"/>
          <w:szCs w:val="24"/>
        </w:rPr>
        <w:t xml:space="preserve"> policies are no longer directed at confining women to the </w:t>
      </w:r>
      <w:r w:rsidR="009424FF" w:rsidRPr="0050295F">
        <w:rPr>
          <w:rFonts w:ascii="Times New Roman" w:hAnsi="Times New Roman" w:cs="Times New Roman"/>
          <w:sz w:val="24"/>
          <w:szCs w:val="24"/>
        </w:rPr>
        <w:t>private sphere</w:t>
      </w:r>
      <w:r w:rsidR="00594926" w:rsidRPr="0050295F">
        <w:rPr>
          <w:rFonts w:ascii="Times New Roman" w:hAnsi="Times New Roman" w:cs="Times New Roman"/>
          <w:sz w:val="24"/>
          <w:szCs w:val="24"/>
        </w:rPr>
        <w:t xml:space="preserve"> of the home) and brought gains to women,</w:t>
      </w:r>
      <w:r w:rsidR="00276DE8" w:rsidRPr="0050295F">
        <w:rPr>
          <w:rFonts w:ascii="Times New Roman" w:hAnsi="Times New Roman" w:cs="Times New Roman"/>
          <w:sz w:val="24"/>
          <w:szCs w:val="24"/>
        </w:rPr>
        <w:t xml:space="preserve"> </w:t>
      </w:r>
      <w:r w:rsidR="00594926" w:rsidRPr="0050295F">
        <w:rPr>
          <w:rFonts w:ascii="Times New Roman" w:hAnsi="Times New Roman" w:cs="Times New Roman"/>
          <w:sz w:val="24"/>
          <w:szCs w:val="24"/>
        </w:rPr>
        <w:t>‘</w:t>
      </w:r>
      <w:r w:rsidR="00276DE8" w:rsidRPr="0050295F">
        <w:rPr>
          <w:rFonts w:ascii="Times New Roman" w:hAnsi="Times New Roman" w:cs="Times New Roman"/>
          <w:sz w:val="24"/>
          <w:szCs w:val="24"/>
        </w:rPr>
        <w:t>the state is still patriarchal</w:t>
      </w:r>
      <w:r w:rsidR="00594926" w:rsidRPr="0050295F">
        <w:rPr>
          <w:rFonts w:ascii="Times New Roman" w:hAnsi="Times New Roman" w:cs="Times New Roman"/>
          <w:sz w:val="24"/>
          <w:szCs w:val="24"/>
        </w:rPr>
        <w:t xml:space="preserve"> and well as capitalist and </w:t>
      </w:r>
      <w:r w:rsidR="009424FF" w:rsidRPr="0050295F">
        <w:rPr>
          <w:rFonts w:ascii="Times New Roman" w:hAnsi="Times New Roman" w:cs="Times New Roman"/>
          <w:sz w:val="24"/>
          <w:szCs w:val="24"/>
        </w:rPr>
        <w:t>racist’ (as</w:t>
      </w:r>
      <w:r w:rsidR="00594926" w:rsidRPr="0050295F">
        <w:rPr>
          <w:rFonts w:ascii="Times New Roman" w:hAnsi="Times New Roman" w:cs="Times New Roman"/>
          <w:sz w:val="24"/>
          <w:szCs w:val="24"/>
        </w:rPr>
        <w:t xml:space="preserve"> there is little real attempt to improve women’s position in the public sphere and equal </w:t>
      </w:r>
      <w:r w:rsidR="008A0D1F" w:rsidRPr="0050295F">
        <w:rPr>
          <w:rFonts w:ascii="Times New Roman" w:hAnsi="Times New Roman" w:cs="Times New Roman"/>
          <w:sz w:val="24"/>
          <w:szCs w:val="24"/>
        </w:rPr>
        <w:t>opportunities</w:t>
      </w:r>
      <w:r w:rsidR="009424FF" w:rsidRPr="0050295F">
        <w:rPr>
          <w:rFonts w:ascii="Times New Roman" w:hAnsi="Times New Roman" w:cs="Times New Roman"/>
          <w:sz w:val="24"/>
          <w:szCs w:val="24"/>
        </w:rPr>
        <w:t xml:space="preserve"> </w:t>
      </w:r>
      <w:r w:rsidR="00594926" w:rsidRPr="0050295F">
        <w:rPr>
          <w:rFonts w:ascii="Times New Roman" w:hAnsi="Times New Roman" w:cs="Times New Roman"/>
          <w:sz w:val="24"/>
          <w:szCs w:val="24"/>
        </w:rPr>
        <w:t xml:space="preserve">  legislation is rarely enforced)</w:t>
      </w:r>
      <w:r w:rsidR="003147C0">
        <w:rPr>
          <w:rStyle w:val="FootnoteReference"/>
          <w:rFonts w:ascii="Times New Roman" w:hAnsi="Times New Roman" w:cs="Times New Roman"/>
          <w:sz w:val="24"/>
          <w:szCs w:val="24"/>
        </w:rPr>
        <w:footnoteReference w:id="7"/>
      </w:r>
      <w:r w:rsidR="00594926" w:rsidRPr="0050295F">
        <w:rPr>
          <w:rFonts w:ascii="Times New Roman" w:hAnsi="Times New Roman" w:cs="Times New Roman"/>
          <w:sz w:val="24"/>
          <w:szCs w:val="24"/>
        </w:rPr>
        <w:t>.</w:t>
      </w:r>
      <w:r w:rsidR="00276DE8" w:rsidRPr="0050295F">
        <w:rPr>
          <w:rFonts w:ascii="Times New Roman" w:hAnsi="Times New Roman" w:cs="Times New Roman"/>
          <w:sz w:val="24"/>
          <w:szCs w:val="24"/>
        </w:rPr>
        <w:t xml:space="preserve">    </w:t>
      </w:r>
    </w:p>
    <w:p w14:paraId="20E50044" w14:textId="77777777" w:rsidR="001D2764" w:rsidRPr="0050295F" w:rsidRDefault="001D2764" w:rsidP="00836493">
      <w:pPr>
        <w:spacing w:line="240" w:lineRule="auto"/>
        <w:jc w:val="both"/>
        <w:rPr>
          <w:rFonts w:ascii="Times New Roman" w:hAnsi="Times New Roman" w:cs="Times New Roman"/>
          <w:b/>
          <w:sz w:val="24"/>
          <w:szCs w:val="24"/>
        </w:rPr>
      </w:pPr>
      <w:r w:rsidRPr="0050295F">
        <w:rPr>
          <w:rFonts w:ascii="Times New Roman" w:hAnsi="Times New Roman" w:cs="Times New Roman"/>
          <w:b/>
          <w:sz w:val="24"/>
          <w:szCs w:val="24"/>
        </w:rPr>
        <w:t>Feminism and Religion</w:t>
      </w:r>
    </w:p>
    <w:p w14:paraId="3DC8B1C8" w14:textId="0FCF654D" w:rsidR="001D2764" w:rsidRPr="0050295F" w:rsidRDefault="009908DA"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1D2764" w:rsidRPr="0050295F">
        <w:rPr>
          <w:rFonts w:ascii="Times New Roman" w:hAnsi="Times New Roman" w:cs="Times New Roman"/>
          <w:sz w:val="24"/>
          <w:szCs w:val="24"/>
        </w:rPr>
        <w:t>Unto the woman he said, I will greatly multiply thy sorrow and thy conception; in sorrow thou shalt bring forth children; and thy desire shall be to thy husband, and he shall rule over thee</w:t>
      </w:r>
      <w:r>
        <w:rPr>
          <w:rFonts w:ascii="Times New Roman" w:hAnsi="Times New Roman" w:cs="Times New Roman"/>
          <w:sz w:val="24"/>
          <w:szCs w:val="24"/>
        </w:rPr>
        <w:t>’.</w:t>
      </w:r>
      <w:r w:rsidR="001D2764" w:rsidRPr="0050295F">
        <w:rPr>
          <w:rFonts w:ascii="Times New Roman" w:hAnsi="Times New Roman" w:cs="Times New Roman"/>
          <w:sz w:val="24"/>
          <w:szCs w:val="24"/>
        </w:rPr>
        <w:t xml:space="preserve"> Genesis 3:16</w:t>
      </w:r>
      <w:r>
        <w:rPr>
          <w:rFonts w:ascii="Times New Roman" w:hAnsi="Times New Roman" w:cs="Times New Roman"/>
          <w:sz w:val="24"/>
          <w:szCs w:val="24"/>
        </w:rPr>
        <w:t>.</w:t>
      </w:r>
      <w:r w:rsidR="001D2764" w:rsidRPr="0050295F">
        <w:rPr>
          <w:rStyle w:val="FootnoteReference"/>
          <w:rFonts w:ascii="Times New Roman" w:hAnsi="Times New Roman" w:cs="Times New Roman"/>
          <w:sz w:val="24"/>
          <w:szCs w:val="24"/>
        </w:rPr>
        <w:footnoteReference w:id="8"/>
      </w:r>
      <w:r w:rsidR="001D2764" w:rsidRPr="0050295F">
        <w:rPr>
          <w:rFonts w:ascii="Times New Roman" w:hAnsi="Times New Roman" w:cs="Times New Roman"/>
          <w:sz w:val="24"/>
          <w:szCs w:val="24"/>
        </w:rPr>
        <w:t xml:space="preserve"> </w:t>
      </w:r>
      <w:r w:rsidR="00B05E46">
        <w:rPr>
          <w:rFonts w:ascii="Times New Roman" w:hAnsi="Times New Roman" w:cs="Times New Roman"/>
          <w:sz w:val="24"/>
          <w:szCs w:val="24"/>
        </w:rPr>
        <w:t xml:space="preserve">Sociologists view the </w:t>
      </w:r>
      <w:proofErr w:type="gramStart"/>
      <w:r w:rsidR="00B05E46">
        <w:rPr>
          <w:rFonts w:ascii="Times New Roman" w:hAnsi="Times New Roman" w:cs="Times New Roman"/>
          <w:sz w:val="24"/>
          <w:szCs w:val="24"/>
        </w:rPr>
        <w:t>aforementioned Bible</w:t>
      </w:r>
      <w:proofErr w:type="gramEnd"/>
      <w:r w:rsidR="00B05E46">
        <w:rPr>
          <w:rFonts w:ascii="Times New Roman" w:hAnsi="Times New Roman" w:cs="Times New Roman"/>
          <w:sz w:val="24"/>
          <w:szCs w:val="24"/>
        </w:rPr>
        <w:t xml:space="preserve"> passage as a mythological defense of women's station in society; some even contend that there is and has never been a civilization in which women are not viewed as inferior to males</w:t>
      </w:r>
      <w:r w:rsidR="001D2764" w:rsidRPr="0050295F">
        <w:rPr>
          <w:rFonts w:ascii="Times New Roman" w:hAnsi="Times New Roman" w:cs="Times New Roman"/>
          <w:sz w:val="24"/>
          <w:szCs w:val="24"/>
        </w:rPr>
        <w:t>.</w:t>
      </w:r>
      <w:r w:rsidR="001D2764" w:rsidRPr="0050295F">
        <w:rPr>
          <w:rStyle w:val="FootnoteReference"/>
          <w:rFonts w:ascii="Times New Roman" w:hAnsi="Times New Roman" w:cs="Times New Roman"/>
          <w:sz w:val="24"/>
          <w:szCs w:val="24"/>
        </w:rPr>
        <w:footnoteReference w:id="9"/>
      </w:r>
    </w:p>
    <w:p w14:paraId="57592CB8" w14:textId="444DBFDF" w:rsidR="001D2764" w:rsidRPr="0050295F" w:rsidRDefault="005213F7" w:rsidP="00836493">
      <w:pPr>
        <w:spacing w:line="240" w:lineRule="auto"/>
        <w:jc w:val="both"/>
        <w:rPr>
          <w:rFonts w:ascii="Times New Roman" w:hAnsi="Times New Roman" w:cs="Times New Roman"/>
          <w:color w:val="333333"/>
          <w:spacing w:val="-2"/>
          <w:sz w:val="24"/>
          <w:szCs w:val="24"/>
          <w:shd w:val="clear" w:color="auto" w:fill="FFFFFF"/>
        </w:rPr>
      </w:pPr>
      <w:r>
        <w:rPr>
          <w:rFonts w:ascii="Times New Roman" w:hAnsi="Times New Roman" w:cs="Times New Roman"/>
          <w:color w:val="333333"/>
          <w:spacing w:val="-2"/>
          <w:sz w:val="24"/>
          <w:szCs w:val="24"/>
          <w:shd w:val="clear" w:color="auto" w:fill="FFFFFF"/>
        </w:rPr>
        <w:t>The feminist movement has been advocating for women's political, economic, and cultural equality in all societies for thousands of years, dating back to the very beginning of human civilization</w:t>
      </w:r>
      <w:r w:rsidR="001D2764" w:rsidRPr="0050295F">
        <w:rPr>
          <w:rFonts w:ascii="Times New Roman" w:hAnsi="Times New Roman" w:cs="Times New Roman"/>
          <w:color w:val="333333"/>
          <w:spacing w:val="-2"/>
          <w:sz w:val="24"/>
          <w:szCs w:val="24"/>
          <w:shd w:val="clear" w:color="auto" w:fill="FFFFFF"/>
        </w:rPr>
        <w:t>.</w:t>
      </w:r>
      <w:r w:rsidR="001D2764" w:rsidRPr="0050295F">
        <w:rPr>
          <w:rStyle w:val="FootnoteReference"/>
          <w:rFonts w:ascii="Times New Roman" w:hAnsi="Times New Roman" w:cs="Times New Roman"/>
          <w:color w:val="333333"/>
          <w:spacing w:val="-2"/>
          <w:sz w:val="24"/>
          <w:szCs w:val="24"/>
          <w:shd w:val="clear" w:color="auto" w:fill="FFFFFF"/>
        </w:rPr>
        <w:footnoteReference w:id="10"/>
      </w:r>
      <w:r w:rsidR="001D2764" w:rsidRPr="0050295F">
        <w:rPr>
          <w:rFonts w:ascii="Times New Roman" w:hAnsi="Times New Roman" w:cs="Times New Roman"/>
          <w:color w:val="333333"/>
          <w:spacing w:val="-2"/>
          <w:sz w:val="24"/>
          <w:szCs w:val="24"/>
          <w:shd w:val="clear" w:color="auto" w:fill="FFFFFF"/>
        </w:rPr>
        <w:t xml:space="preserve"> </w:t>
      </w:r>
      <w:r w:rsidR="001D2764" w:rsidRPr="0050295F">
        <w:rPr>
          <w:rFonts w:ascii="Times New Roman" w:hAnsi="Times New Roman" w:cs="Times New Roman"/>
          <w:sz w:val="24"/>
          <w:szCs w:val="24"/>
        </w:rPr>
        <w:t>‘Religion’ in Karl Marx words, ‘is the sigh of the oppressed creature, the sentiment of a heartless world and the soul of the soulless condition, it is the opium of the people.’</w:t>
      </w:r>
      <w:r w:rsidR="001D2764" w:rsidRPr="0050295F">
        <w:rPr>
          <w:rStyle w:val="FootnoteReference"/>
          <w:rFonts w:ascii="Times New Roman" w:hAnsi="Times New Roman" w:cs="Times New Roman"/>
          <w:sz w:val="24"/>
          <w:szCs w:val="24"/>
        </w:rPr>
        <w:footnoteReference w:id="11"/>
      </w:r>
      <w:r w:rsidR="009908DA">
        <w:rPr>
          <w:rFonts w:ascii="Times New Roman" w:hAnsi="Times New Roman" w:cs="Times New Roman"/>
          <w:sz w:val="24"/>
          <w:szCs w:val="24"/>
        </w:rPr>
        <w:t xml:space="preserve"> </w:t>
      </w:r>
      <w:r w:rsidR="001D2764" w:rsidRPr="0050295F">
        <w:rPr>
          <w:rFonts w:ascii="Times New Roman" w:hAnsi="Times New Roman" w:cs="Times New Roman"/>
          <w:sz w:val="24"/>
          <w:szCs w:val="24"/>
        </w:rPr>
        <w:t>It is the ideology which provides people with a distorted and false view of reality, and this becomes the ‘opium’ that the bourgeois capitalists exploiters use to sedate the people, keep them calm and prevent them from revolting, and the people accept this exploitative condition, and resign themselves to believe that their ‘reward is in heaven’.</w:t>
      </w:r>
      <w:r w:rsidR="001D2764" w:rsidRPr="0050295F">
        <w:rPr>
          <w:rStyle w:val="FootnoteReference"/>
          <w:rFonts w:ascii="Times New Roman" w:hAnsi="Times New Roman" w:cs="Times New Roman"/>
          <w:sz w:val="24"/>
          <w:szCs w:val="24"/>
        </w:rPr>
        <w:footnoteReference w:id="12"/>
      </w:r>
      <w:r w:rsidR="001D2764" w:rsidRPr="0050295F">
        <w:rPr>
          <w:rFonts w:ascii="Times New Roman" w:hAnsi="Times New Roman" w:cs="Times New Roman"/>
          <w:sz w:val="24"/>
          <w:szCs w:val="24"/>
        </w:rPr>
        <w:t xml:space="preserve"> From Marx’s view point, religion does not simply cushion the effects of oppression, it is also an instrument of that oppression.</w:t>
      </w:r>
      <w:r w:rsidR="001D2764" w:rsidRPr="0050295F">
        <w:rPr>
          <w:rStyle w:val="FootnoteReference"/>
          <w:rFonts w:ascii="Times New Roman" w:hAnsi="Times New Roman" w:cs="Times New Roman"/>
          <w:sz w:val="24"/>
          <w:szCs w:val="24"/>
        </w:rPr>
        <w:footnoteReference w:id="13"/>
      </w:r>
      <w:r w:rsidR="001D2764" w:rsidRPr="0050295F">
        <w:rPr>
          <w:rFonts w:ascii="Times New Roman" w:hAnsi="Times New Roman" w:cs="Times New Roman"/>
          <w:sz w:val="24"/>
          <w:szCs w:val="24"/>
        </w:rPr>
        <w:t xml:space="preserve"> These masses by the Marxist Feminist are the women that the law subjugate, law being the tool or source that the capitalist use to oppress and the capitalist as the main beneficiaries.</w:t>
      </w:r>
      <w:r w:rsidR="001D2764" w:rsidRPr="0050295F">
        <w:rPr>
          <w:rStyle w:val="FootnoteReference"/>
          <w:rFonts w:ascii="Times New Roman" w:hAnsi="Times New Roman" w:cs="Times New Roman"/>
          <w:sz w:val="24"/>
          <w:szCs w:val="24"/>
        </w:rPr>
        <w:footnoteReference w:id="14"/>
      </w:r>
      <w:r w:rsidR="001D2764" w:rsidRPr="0050295F">
        <w:rPr>
          <w:rFonts w:ascii="Times New Roman" w:hAnsi="Times New Roman" w:cs="Times New Roman"/>
          <w:sz w:val="24"/>
          <w:szCs w:val="24"/>
        </w:rPr>
        <w:t xml:space="preserve">  </w:t>
      </w:r>
    </w:p>
    <w:p w14:paraId="131575F3" w14:textId="77777777" w:rsidR="001D2764" w:rsidRPr="0050295F" w:rsidRDefault="001D2764" w:rsidP="00836493">
      <w:pPr>
        <w:spacing w:line="240" w:lineRule="auto"/>
        <w:jc w:val="both"/>
        <w:rPr>
          <w:rFonts w:ascii="Times New Roman" w:hAnsi="Times New Roman" w:cs="Times New Roman"/>
          <w:sz w:val="24"/>
          <w:szCs w:val="24"/>
        </w:rPr>
      </w:pPr>
      <w:r w:rsidRPr="0050295F">
        <w:rPr>
          <w:rFonts w:ascii="Times New Roman" w:hAnsi="Times New Roman" w:cs="Times New Roman"/>
          <w:color w:val="333333"/>
          <w:spacing w:val="-2"/>
          <w:sz w:val="24"/>
          <w:szCs w:val="24"/>
          <w:shd w:val="clear" w:color="auto" w:fill="FFFFFF"/>
        </w:rPr>
        <w:t>Feminist theories of religion often follow Marxist in arguing that religion can be an instrument of domination and oppression, not only that, they further tend to see it as a product of patriarchy rather than capitalism as religion as serving the interest of men.</w:t>
      </w:r>
      <w:r w:rsidRPr="0050295F">
        <w:rPr>
          <w:rStyle w:val="FootnoteReference"/>
          <w:rFonts w:ascii="Times New Roman" w:hAnsi="Times New Roman" w:cs="Times New Roman"/>
          <w:color w:val="333333"/>
          <w:spacing w:val="-2"/>
          <w:sz w:val="24"/>
          <w:szCs w:val="24"/>
          <w:shd w:val="clear" w:color="auto" w:fill="FFFFFF"/>
        </w:rPr>
        <w:footnoteReference w:id="15"/>
      </w:r>
      <w:r w:rsidRPr="0050295F">
        <w:rPr>
          <w:rFonts w:ascii="Times New Roman" w:hAnsi="Times New Roman" w:cs="Times New Roman"/>
          <w:sz w:val="24"/>
          <w:szCs w:val="24"/>
        </w:rPr>
        <w:t xml:space="preserve"> There are several versions of feminism, but most share a number of features in common. Many feminist characterize contemporary societies as patriarchal, that is, men dominate them, and they see religion as serving the interest of men and those of the capitalist class.</w:t>
      </w:r>
      <w:r w:rsidRPr="0050295F">
        <w:rPr>
          <w:rStyle w:val="FootnoteReference"/>
          <w:rFonts w:ascii="Times New Roman" w:hAnsi="Times New Roman" w:cs="Times New Roman"/>
          <w:sz w:val="24"/>
          <w:szCs w:val="24"/>
        </w:rPr>
        <w:footnoteReference w:id="16"/>
      </w:r>
      <w:r w:rsidRPr="0050295F">
        <w:rPr>
          <w:rFonts w:ascii="Times New Roman" w:hAnsi="Times New Roman" w:cs="Times New Roman"/>
          <w:sz w:val="24"/>
          <w:szCs w:val="24"/>
        </w:rPr>
        <w:t xml:space="preserve"> They further argue that, men have most of the power in families, that they tend to be employed in a better paid and higher status jobs than women and that they tend to monopolize positions of political power,</w:t>
      </w:r>
      <w:r w:rsidRPr="0050295F">
        <w:rPr>
          <w:rStyle w:val="FootnoteReference"/>
          <w:rFonts w:ascii="Times New Roman" w:hAnsi="Times New Roman" w:cs="Times New Roman"/>
          <w:sz w:val="24"/>
          <w:szCs w:val="24"/>
        </w:rPr>
        <w:footnoteReference w:id="17"/>
      </w:r>
    </w:p>
    <w:p w14:paraId="395A9C5B" w14:textId="77777777" w:rsidR="001D2764" w:rsidRPr="0050295F" w:rsidRDefault="001D2764"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lastRenderedPageBreak/>
        <w:t>One feminist writer opined that ‘none of the major religions has been particularly good to women, they have usually become male affairs and women have been relegated to a marginal position’.</w:t>
      </w:r>
      <w:r w:rsidRPr="0050295F">
        <w:rPr>
          <w:rStyle w:val="FootnoteReference"/>
          <w:rFonts w:ascii="Times New Roman" w:hAnsi="Times New Roman" w:cs="Times New Roman"/>
          <w:sz w:val="24"/>
          <w:szCs w:val="24"/>
        </w:rPr>
        <w:footnoteReference w:id="18"/>
      </w:r>
      <w:r w:rsidRPr="0050295F">
        <w:rPr>
          <w:rFonts w:ascii="Times New Roman" w:hAnsi="Times New Roman" w:cs="Times New Roman"/>
          <w:sz w:val="24"/>
          <w:szCs w:val="24"/>
        </w:rPr>
        <w:t xml:space="preserve"> Another opined that oppressors (men) can use religion to control the oppressed (women), and that it serves as a way to compensate women, therefore in other to be free from this oppression, there must be a religion for women and for the common people.</w:t>
      </w:r>
      <w:r w:rsidRPr="0050295F">
        <w:rPr>
          <w:rStyle w:val="FootnoteReference"/>
          <w:rFonts w:ascii="Times New Roman" w:hAnsi="Times New Roman" w:cs="Times New Roman"/>
          <w:sz w:val="24"/>
          <w:szCs w:val="24"/>
        </w:rPr>
        <w:footnoteReference w:id="19"/>
      </w:r>
    </w:p>
    <w:p w14:paraId="258689D0" w14:textId="4DB581F9" w:rsidR="00232EDC" w:rsidRPr="0050295F" w:rsidRDefault="001D2764"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t>El Saadawi</w:t>
      </w:r>
      <w:r w:rsidRPr="0050295F">
        <w:rPr>
          <w:rStyle w:val="FootnoteReference"/>
          <w:rFonts w:ascii="Times New Roman" w:hAnsi="Times New Roman" w:cs="Times New Roman"/>
          <w:sz w:val="24"/>
          <w:szCs w:val="24"/>
        </w:rPr>
        <w:footnoteReference w:id="20"/>
      </w:r>
      <w:r w:rsidR="003432FA">
        <w:rPr>
          <w:rFonts w:ascii="Times New Roman" w:hAnsi="Times New Roman" w:cs="Times New Roman"/>
          <w:sz w:val="24"/>
          <w:szCs w:val="24"/>
        </w:rPr>
        <w:t xml:space="preserve"> </w:t>
      </w:r>
      <w:r w:rsidRPr="0050295F">
        <w:rPr>
          <w:rFonts w:ascii="Times New Roman" w:hAnsi="Times New Roman" w:cs="Times New Roman"/>
          <w:sz w:val="24"/>
          <w:szCs w:val="24"/>
        </w:rPr>
        <w:t>opined that religion became patriarchal through misinterpretation of religious beliefs by men. She went on to describe Christ as a revolutionary leader who opposed oppression, and that female oppression is not essentially due to religion, but to patriarchal system that has long been dominant</w:t>
      </w:r>
    </w:p>
    <w:p w14:paraId="39C31281" w14:textId="76E8C530" w:rsidR="00232EDC" w:rsidRPr="0050295F" w:rsidRDefault="001D2764" w:rsidP="00836493">
      <w:pPr>
        <w:shd w:val="clear" w:color="auto" w:fill="FFFFFF"/>
        <w:spacing w:line="240" w:lineRule="auto"/>
        <w:jc w:val="both"/>
        <w:textAlignment w:val="baseline"/>
        <w:rPr>
          <w:rFonts w:ascii="Times New Roman" w:hAnsi="Times New Roman" w:cs="Times New Roman"/>
          <w:b/>
          <w:bCs/>
          <w:sz w:val="24"/>
          <w:szCs w:val="24"/>
        </w:rPr>
      </w:pPr>
      <w:r w:rsidRPr="0050295F">
        <w:rPr>
          <w:rFonts w:ascii="Times New Roman" w:hAnsi="Times New Roman" w:cs="Times New Roman"/>
          <w:b/>
          <w:bCs/>
          <w:sz w:val="24"/>
          <w:szCs w:val="24"/>
        </w:rPr>
        <w:t>Some</w:t>
      </w:r>
      <w:r w:rsidR="000108B6" w:rsidRPr="0050295F">
        <w:rPr>
          <w:rFonts w:ascii="Times New Roman" w:hAnsi="Times New Roman" w:cs="Times New Roman"/>
          <w:b/>
          <w:bCs/>
          <w:sz w:val="24"/>
          <w:szCs w:val="24"/>
        </w:rPr>
        <w:t xml:space="preserve"> </w:t>
      </w:r>
      <w:r w:rsidR="00232EDC" w:rsidRPr="0050295F">
        <w:rPr>
          <w:rFonts w:ascii="Times New Roman" w:hAnsi="Times New Roman" w:cs="Times New Roman"/>
          <w:b/>
          <w:bCs/>
          <w:sz w:val="24"/>
          <w:szCs w:val="24"/>
        </w:rPr>
        <w:t>discriminatory Laws</w:t>
      </w:r>
      <w:r w:rsidR="000108B6" w:rsidRPr="0050295F">
        <w:rPr>
          <w:rFonts w:ascii="Times New Roman" w:hAnsi="Times New Roman" w:cs="Times New Roman"/>
          <w:b/>
          <w:bCs/>
          <w:sz w:val="24"/>
          <w:szCs w:val="24"/>
        </w:rPr>
        <w:t xml:space="preserve"> Against Women in Nigeria</w:t>
      </w:r>
      <w:r w:rsidR="00232EDC" w:rsidRPr="0050295F">
        <w:rPr>
          <w:rFonts w:ascii="Times New Roman" w:hAnsi="Times New Roman" w:cs="Times New Roman"/>
          <w:b/>
          <w:bCs/>
          <w:sz w:val="24"/>
          <w:szCs w:val="24"/>
        </w:rPr>
        <w:t>:</w:t>
      </w:r>
    </w:p>
    <w:p w14:paraId="54771286" w14:textId="1240E61E" w:rsidR="00232EDC" w:rsidRPr="0050295F" w:rsidRDefault="00232EDC"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The Constitution of the Federal republic of Nigeria</w:t>
      </w:r>
      <w:r w:rsidR="0045063F" w:rsidRPr="0050295F">
        <w:rPr>
          <w:rFonts w:ascii="Times New Roman" w:hAnsi="Times New Roman" w:cs="Times New Roman"/>
          <w:sz w:val="24"/>
          <w:szCs w:val="24"/>
        </w:rPr>
        <w:t xml:space="preserve"> provides for citizenship, this can either be by birth, registration or naturalization. On the</w:t>
      </w:r>
      <w:r w:rsidR="009D15B1" w:rsidRPr="0050295F">
        <w:rPr>
          <w:rFonts w:ascii="Times New Roman" w:hAnsi="Times New Roman" w:cs="Times New Roman"/>
          <w:sz w:val="24"/>
          <w:szCs w:val="24"/>
        </w:rPr>
        <w:t xml:space="preserve"> notion of citizenship</w:t>
      </w:r>
      <w:r w:rsidR="0045063F" w:rsidRPr="0050295F">
        <w:rPr>
          <w:rFonts w:ascii="Times New Roman" w:hAnsi="Times New Roman" w:cs="Times New Roman"/>
          <w:sz w:val="24"/>
          <w:szCs w:val="24"/>
        </w:rPr>
        <w:t xml:space="preserve"> by registration in Chapter 111.</w:t>
      </w:r>
      <w:r w:rsidR="0045063F" w:rsidRPr="0050295F">
        <w:rPr>
          <w:rStyle w:val="FootnoteReference"/>
          <w:rFonts w:ascii="Times New Roman" w:hAnsi="Times New Roman" w:cs="Times New Roman"/>
          <w:sz w:val="24"/>
          <w:szCs w:val="24"/>
        </w:rPr>
        <w:footnoteReference w:id="21"/>
      </w:r>
      <w:r w:rsidR="0045063F" w:rsidRPr="0050295F">
        <w:rPr>
          <w:rFonts w:ascii="Times New Roman" w:hAnsi="Times New Roman" w:cs="Times New Roman"/>
          <w:sz w:val="24"/>
          <w:szCs w:val="24"/>
        </w:rPr>
        <w:t xml:space="preserve"> C</w:t>
      </w:r>
      <w:r w:rsidR="00B5591F" w:rsidRPr="0050295F">
        <w:rPr>
          <w:rFonts w:ascii="Times New Roman" w:hAnsi="Times New Roman" w:cs="Times New Roman"/>
          <w:sz w:val="24"/>
          <w:szCs w:val="24"/>
        </w:rPr>
        <w:t>hapter IV</w:t>
      </w:r>
      <w:r w:rsidR="0045063F" w:rsidRPr="0050295F">
        <w:rPr>
          <w:rFonts w:ascii="Times New Roman" w:hAnsi="Times New Roman" w:cs="Times New Roman"/>
          <w:sz w:val="24"/>
          <w:szCs w:val="24"/>
        </w:rPr>
        <w:t>,</w:t>
      </w:r>
      <w:r w:rsidR="00B5591F" w:rsidRPr="0050295F">
        <w:rPr>
          <w:rFonts w:ascii="Times New Roman" w:hAnsi="Times New Roman" w:cs="Times New Roman"/>
          <w:sz w:val="24"/>
          <w:szCs w:val="24"/>
        </w:rPr>
        <w:t xml:space="preserve"> </w:t>
      </w:r>
      <w:r w:rsidR="0045063F" w:rsidRPr="0050295F">
        <w:rPr>
          <w:rFonts w:ascii="Times New Roman" w:hAnsi="Times New Roman" w:cs="Times New Roman"/>
          <w:sz w:val="24"/>
          <w:szCs w:val="24"/>
        </w:rPr>
        <w:t xml:space="preserve">provides for the </w:t>
      </w:r>
      <w:r w:rsidR="00B5591F" w:rsidRPr="0050295F">
        <w:rPr>
          <w:rFonts w:ascii="Times New Roman" w:hAnsi="Times New Roman" w:cs="Times New Roman"/>
          <w:sz w:val="24"/>
          <w:szCs w:val="24"/>
        </w:rPr>
        <w:t xml:space="preserve">constitutional </w:t>
      </w:r>
      <w:r w:rsidR="0045063F" w:rsidRPr="0050295F">
        <w:rPr>
          <w:rFonts w:ascii="Times New Roman" w:hAnsi="Times New Roman" w:cs="Times New Roman"/>
          <w:sz w:val="24"/>
          <w:szCs w:val="24"/>
        </w:rPr>
        <w:t xml:space="preserve">rights of </w:t>
      </w:r>
      <w:r w:rsidR="00B5591F" w:rsidRPr="0050295F">
        <w:rPr>
          <w:rFonts w:ascii="Times New Roman" w:hAnsi="Times New Roman" w:cs="Times New Roman"/>
          <w:sz w:val="24"/>
          <w:szCs w:val="24"/>
        </w:rPr>
        <w:t xml:space="preserve">its </w:t>
      </w:r>
      <w:r w:rsidR="0045063F" w:rsidRPr="0050295F">
        <w:rPr>
          <w:rFonts w:ascii="Times New Roman" w:hAnsi="Times New Roman" w:cs="Times New Roman"/>
          <w:sz w:val="24"/>
          <w:szCs w:val="24"/>
        </w:rPr>
        <w:t>c</w:t>
      </w:r>
      <w:r w:rsidR="00B5591F" w:rsidRPr="0050295F">
        <w:rPr>
          <w:rFonts w:ascii="Times New Roman" w:hAnsi="Times New Roman" w:cs="Times New Roman"/>
          <w:sz w:val="24"/>
          <w:szCs w:val="24"/>
        </w:rPr>
        <w:t>itizens</w:t>
      </w:r>
      <w:r w:rsidR="0045063F" w:rsidRPr="0050295F">
        <w:rPr>
          <w:rFonts w:ascii="Times New Roman" w:hAnsi="Times New Roman" w:cs="Times New Roman"/>
          <w:sz w:val="24"/>
          <w:szCs w:val="24"/>
        </w:rPr>
        <w:t>,</w:t>
      </w:r>
      <w:r w:rsidR="00B5591F" w:rsidRPr="0050295F">
        <w:rPr>
          <w:rFonts w:ascii="Times New Roman" w:hAnsi="Times New Roman" w:cs="Times New Roman"/>
          <w:sz w:val="24"/>
          <w:szCs w:val="24"/>
        </w:rPr>
        <w:t xml:space="preserve"> specifically section 42, which provides for the right to freedom from discrimination,</w:t>
      </w:r>
      <w:r w:rsidR="009D15B1" w:rsidRPr="0050295F">
        <w:rPr>
          <w:rFonts w:ascii="Times New Roman" w:hAnsi="Times New Roman" w:cs="Times New Roman"/>
          <w:sz w:val="24"/>
          <w:szCs w:val="24"/>
        </w:rPr>
        <w:t xml:space="preserve"> that all citizens have equal status</w:t>
      </w:r>
      <w:r w:rsidR="00B5591F" w:rsidRPr="0050295F">
        <w:rPr>
          <w:rFonts w:ascii="Times New Roman" w:hAnsi="Times New Roman" w:cs="Times New Roman"/>
          <w:sz w:val="24"/>
          <w:szCs w:val="24"/>
        </w:rPr>
        <w:t>, this connotes that the Nigerian female citizen is not to be discriminated on account of sex, religion, place of origin, political opinion and ethnic group.</w:t>
      </w:r>
      <w:r w:rsidR="00B5591F" w:rsidRPr="0050295F">
        <w:rPr>
          <w:rStyle w:val="FootnoteReference"/>
          <w:rFonts w:ascii="Times New Roman" w:hAnsi="Times New Roman" w:cs="Times New Roman"/>
          <w:sz w:val="24"/>
          <w:szCs w:val="24"/>
        </w:rPr>
        <w:footnoteReference w:id="22"/>
      </w:r>
      <w:r w:rsidR="00B5591F" w:rsidRPr="0050295F">
        <w:rPr>
          <w:rFonts w:ascii="Times New Roman" w:hAnsi="Times New Roman" w:cs="Times New Roman"/>
          <w:sz w:val="24"/>
          <w:szCs w:val="24"/>
        </w:rPr>
        <w:t xml:space="preserve"> </w:t>
      </w:r>
      <w:r w:rsidR="00606BA5">
        <w:rPr>
          <w:rFonts w:ascii="Times New Roman" w:hAnsi="Times New Roman" w:cs="Times New Roman"/>
          <w:sz w:val="24"/>
          <w:szCs w:val="24"/>
        </w:rPr>
        <w:t>The Nigerian Constitution made provision for f</w:t>
      </w:r>
      <w:r w:rsidR="00606BA5" w:rsidRPr="00606BA5">
        <w:rPr>
          <w:rFonts w:ascii="Times New Roman" w:hAnsi="Times New Roman" w:cs="Times New Roman"/>
          <w:sz w:val="24"/>
          <w:szCs w:val="24"/>
        </w:rPr>
        <w:t>oreign woman who marries a Nigerian man to acquire citizenship by registration, but it provides no parallel right for a foreign man married to a Nigerian woman, thereby denying Nigerian women the ability to transmit their nationality to their spouses</w:t>
      </w:r>
      <w:r w:rsidR="00A13FAE" w:rsidRPr="0050295F">
        <w:rPr>
          <w:rFonts w:ascii="Times New Roman" w:hAnsi="Times New Roman" w:cs="Times New Roman"/>
          <w:sz w:val="24"/>
          <w:szCs w:val="24"/>
        </w:rPr>
        <w:t>,</w:t>
      </w:r>
      <w:r w:rsidR="00A13FAE" w:rsidRPr="0050295F">
        <w:rPr>
          <w:rStyle w:val="FootnoteReference"/>
          <w:rFonts w:ascii="Times New Roman" w:hAnsi="Times New Roman" w:cs="Times New Roman"/>
          <w:sz w:val="24"/>
          <w:szCs w:val="24"/>
        </w:rPr>
        <w:footnoteReference w:id="23"/>
      </w:r>
      <w:r w:rsidR="00A13FAE" w:rsidRPr="0050295F">
        <w:rPr>
          <w:rFonts w:ascii="Times New Roman" w:hAnsi="Times New Roman" w:cs="Times New Roman"/>
          <w:sz w:val="24"/>
          <w:szCs w:val="24"/>
        </w:rPr>
        <w:t xml:space="preserve"> and by means of her citizenship</w:t>
      </w:r>
      <w:r w:rsidR="00B5591F" w:rsidRPr="0050295F">
        <w:rPr>
          <w:rFonts w:ascii="Times New Roman" w:hAnsi="Times New Roman" w:cs="Times New Roman"/>
          <w:sz w:val="24"/>
          <w:szCs w:val="24"/>
        </w:rPr>
        <w:t>,</w:t>
      </w:r>
      <w:r w:rsidR="00A13FAE" w:rsidRPr="0050295F">
        <w:rPr>
          <w:rFonts w:ascii="Times New Roman" w:hAnsi="Times New Roman" w:cs="Times New Roman"/>
          <w:sz w:val="24"/>
          <w:szCs w:val="24"/>
        </w:rPr>
        <w:t xml:space="preserve"> she can confer a Nigerian citizenship on her child. </w:t>
      </w:r>
      <w:r w:rsidR="00B5591F" w:rsidRPr="0050295F">
        <w:rPr>
          <w:rFonts w:ascii="Times New Roman" w:hAnsi="Times New Roman" w:cs="Times New Roman"/>
          <w:sz w:val="24"/>
          <w:szCs w:val="24"/>
        </w:rPr>
        <w:t>The question now is, w</w:t>
      </w:r>
      <w:r w:rsidR="009C43F2" w:rsidRPr="0050295F">
        <w:rPr>
          <w:rFonts w:ascii="Times New Roman" w:hAnsi="Times New Roman" w:cs="Times New Roman"/>
          <w:sz w:val="24"/>
          <w:szCs w:val="24"/>
        </w:rPr>
        <w:t xml:space="preserve">hat then happens to </w:t>
      </w:r>
      <w:r w:rsidR="00A13FAE" w:rsidRPr="0050295F">
        <w:rPr>
          <w:rFonts w:ascii="Times New Roman" w:hAnsi="Times New Roman" w:cs="Times New Roman"/>
          <w:sz w:val="24"/>
          <w:szCs w:val="24"/>
        </w:rPr>
        <w:t>the</w:t>
      </w:r>
      <w:r w:rsidR="009C43F2" w:rsidRPr="0050295F">
        <w:rPr>
          <w:rFonts w:ascii="Times New Roman" w:hAnsi="Times New Roman" w:cs="Times New Roman"/>
          <w:sz w:val="24"/>
          <w:szCs w:val="24"/>
        </w:rPr>
        <w:t xml:space="preserve"> Nigerian </w:t>
      </w:r>
      <w:r w:rsidR="00A13FAE" w:rsidRPr="0050295F">
        <w:rPr>
          <w:rFonts w:ascii="Times New Roman" w:hAnsi="Times New Roman" w:cs="Times New Roman"/>
          <w:sz w:val="24"/>
          <w:szCs w:val="24"/>
        </w:rPr>
        <w:t xml:space="preserve">woman </w:t>
      </w:r>
      <w:r w:rsidR="009C43F2" w:rsidRPr="0050295F">
        <w:rPr>
          <w:rFonts w:ascii="Times New Roman" w:hAnsi="Times New Roman" w:cs="Times New Roman"/>
          <w:sz w:val="24"/>
          <w:szCs w:val="24"/>
        </w:rPr>
        <w:t>whose husband is not a Nigerian</w:t>
      </w:r>
      <w:r w:rsidR="00B5591F" w:rsidRPr="0050295F">
        <w:rPr>
          <w:rFonts w:ascii="Times New Roman" w:hAnsi="Times New Roman" w:cs="Times New Roman"/>
          <w:sz w:val="24"/>
          <w:szCs w:val="24"/>
        </w:rPr>
        <w:t xml:space="preserve"> citizen</w:t>
      </w:r>
      <w:r w:rsidR="00A13FAE" w:rsidRPr="0050295F">
        <w:rPr>
          <w:rFonts w:ascii="Times New Roman" w:hAnsi="Times New Roman" w:cs="Times New Roman"/>
          <w:sz w:val="24"/>
          <w:szCs w:val="24"/>
        </w:rPr>
        <w:t>? The non-inclusion of the male spouses of Nigerian female citizens is discriminatory, and this reflects the influence of patriarchal ideas</w:t>
      </w:r>
    </w:p>
    <w:p w14:paraId="04B50AB3" w14:textId="7950ABC8" w:rsidR="00232EDC" w:rsidRPr="0050295F" w:rsidRDefault="00300D79"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 xml:space="preserve">The </w:t>
      </w:r>
      <w:r w:rsidR="000108B6" w:rsidRPr="0050295F">
        <w:rPr>
          <w:rFonts w:ascii="Times New Roman" w:hAnsi="Times New Roman" w:cs="Times New Roman"/>
          <w:sz w:val="24"/>
          <w:szCs w:val="24"/>
        </w:rPr>
        <w:t>circumstance mentioned</w:t>
      </w:r>
      <w:r w:rsidRPr="0050295F">
        <w:rPr>
          <w:rFonts w:ascii="Times New Roman" w:hAnsi="Times New Roman" w:cs="Times New Roman"/>
          <w:sz w:val="24"/>
          <w:szCs w:val="24"/>
        </w:rPr>
        <w:t xml:space="preserve"> raises serious questions regarding how citizenship laws are applied and how they may affect gender equality. Many jurisdictions, including Nigeria, recognize a citizen mother's right to bestow citizenship on her child, which is frequently based on the principle of </w:t>
      </w:r>
      <w:r w:rsidRPr="0050295F">
        <w:rPr>
          <w:rFonts w:ascii="Times New Roman" w:hAnsi="Times New Roman" w:cs="Times New Roman"/>
          <w:i/>
          <w:iCs/>
          <w:sz w:val="24"/>
          <w:szCs w:val="24"/>
        </w:rPr>
        <w:t>jus sanguinis</w:t>
      </w:r>
      <w:r w:rsidRPr="0050295F">
        <w:rPr>
          <w:rFonts w:ascii="Times New Roman" w:hAnsi="Times New Roman" w:cs="Times New Roman"/>
          <w:sz w:val="24"/>
          <w:szCs w:val="24"/>
        </w:rPr>
        <w:t>, which confers citizenship based on blood connections. However, the absence of such provisions for male spouses of Nigerian female nationals creates an obvious discrepancy.</w:t>
      </w:r>
    </w:p>
    <w:p w14:paraId="544147EA" w14:textId="3CF3C3AE" w:rsidR="00232EDC" w:rsidRPr="0050295F" w:rsidRDefault="00300D79"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This difference is more than just a technicality; it reflects underlying society attitudes and legal frameworks that may be impacted by patriarchal ideology. In the context of citizenship laws, this can manifest as clauses that favor male citizenship acquisition over female citizenship acquisition, maintaining gender disparities.</w:t>
      </w:r>
    </w:p>
    <w:p w14:paraId="4BA1CDB5" w14:textId="1E6FF9D3" w:rsidR="00232EDC" w:rsidRPr="0050295F" w:rsidRDefault="00606BA5" w:rsidP="00836493">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The exclusion of male spouses from the citizenship-granting procedure for Nigerian female citizens is a clear example of such discrimination. It suggests that the legal system prioritizes male citizens' rights and privileges above those of female citizens, which goes against the principles of equality and non-discrimination enshrined in international human rights legislation. </w:t>
      </w:r>
      <w:r w:rsidR="00300D79" w:rsidRPr="0050295F">
        <w:rPr>
          <w:rFonts w:ascii="Times New Roman" w:hAnsi="Times New Roman" w:cs="Times New Roman"/>
          <w:sz w:val="24"/>
          <w:szCs w:val="24"/>
        </w:rPr>
        <w:t xml:space="preserve">This </w:t>
      </w:r>
      <w:r w:rsidR="00300D79" w:rsidRPr="0050295F">
        <w:rPr>
          <w:rFonts w:ascii="Times New Roman" w:hAnsi="Times New Roman" w:cs="Times New Roman"/>
          <w:sz w:val="24"/>
          <w:szCs w:val="24"/>
        </w:rPr>
        <w:lastRenderedPageBreak/>
        <w:t>arrangement not only violates the principle of equality before the law, but it also represents a larger cultural bias that favors male citizenship over female citizenship.</w:t>
      </w:r>
    </w:p>
    <w:p w14:paraId="3EF50703" w14:textId="119819D5" w:rsidR="00232EDC" w:rsidRPr="0050295F" w:rsidRDefault="00606BA5" w:rsidP="00836493">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Furthermore, discriminatory actions can have serious consequences for the affected persons and their families. For a Nigerian woman whose husband is not a Nigerian citizen, a lack of citizenship rights might restrict her access to a variety of rights and benefits, including the right to work, education, healthcare, and social security. It may also have an impact on her children's rights, perhaps depriving them the same opportunities and protections as children with Nigerian dads. This can create a cycle of disadvantage and marginalization, especially for women and their children, who are already vulnerable because of gender-based discrimination.</w:t>
      </w:r>
    </w:p>
    <w:p w14:paraId="058261C5" w14:textId="21F4CE59" w:rsidR="00232EDC" w:rsidRPr="0050295F" w:rsidRDefault="00606BA5" w:rsidP="00836493">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Addressing this issue requires a multifaceted strategy. First, legal reforms must be implemented to ensure that citizenship standards are gender neutral and do not discriminate based on the citizen parent's marital status. This would include changing present legislation to offer equal rights to both male and female spouses of Nigerian citizens, thereby aligning the legal system with international human rights standards.</w:t>
      </w:r>
    </w:p>
    <w:p w14:paraId="6DE06335" w14:textId="54B6D4CA" w:rsidR="00232EDC" w:rsidRPr="0050295F" w:rsidRDefault="001E18ED"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Second, raising awareness about the consequences of such laws is critical. Legal and public awareness initiatives can aid in challenging and changing attitudes that may perpetuate patriarchal practices. Educating the public on the need of gender equality in citizenship laws can result in a shift in societal views and a stronger push for legislative reforms.</w:t>
      </w:r>
    </w:p>
    <w:p w14:paraId="2E414149" w14:textId="1FEA6143" w:rsidR="00232EDC" w:rsidRPr="0050295F" w:rsidRDefault="001E18ED"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Finally, activism and legal challenges can play an important role in effecting change. Civil society organizations, human rights organizations, and legal professionals can collaborate to campaign for reforms, challenge discriminatory practices in court, and promote policies that reflect a commitment to gender equality. Such efforts can help to guarantee that citizenship laws reflect the ideals of fairness, equality, and nondiscrimination, resulting in a more just and equitable society.</w:t>
      </w:r>
    </w:p>
    <w:p w14:paraId="1A450E3E" w14:textId="3C8687DA" w:rsidR="00232EDC" w:rsidRPr="0050295F" w:rsidRDefault="00D24A47" w:rsidP="00836493">
      <w:pPr>
        <w:shd w:val="clear" w:color="auto" w:fill="FFFFFF"/>
        <w:spacing w:line="240" w:lineRule="auto"/>
        <w:jc w:val="both"/>
        <w:textAlignment w:val="baseline"/>
        <w:rPr>
          <w:rFonts w:ascii="Times New Roman" w:hAnsi="Times New Roman" w:cs="Times New Roman"/>
          <w:sz w:val="24"/>
          <w:szCs w:val="24"/>
        </w:rPr>
      </w:pPr>
      <w:r w:rsidRPr="0050295F">
        <w:rPr>
          <w:rFonts w:ascii="Times New Roman" w:hAnsi="Times New Roman" w:cs="Times New Roman"/>
          <w:sz w:val="24"/>
          <w:szCs w:val="24"/>
        </w:rPr>
        <w:t>The situation described highlights the need for a critical examination of citizenship laws to ensure they are free of gender bias. The non-inclusion of male spouses of Nigerian female citizens is a clear example of how patriarchal ideas can influence legal frameworks, leading to discriminatory outcomes. Addressing this issue requires legal reforms, increased awareness and advocacy efforts to promote gender equality and ensure that all citizens</w:t>
      </w:r>
    </w:p>
    <w:p w14:paraId="66823139" w14:textId="28E8AE19" w:rsidR="00A13FAE" w:rsidRPr="0050295F" w:rsidRDefault="00242624" w:rsidP="00836493">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E</w:t>
      </w:r>
      <w:r w:rsidR="00331628" w:rsidRPr="0050295F">
        <w:rPr>
          <w:rFonts w:ascii="Times New Roman" w:hAnsi="Times New Roman" w:cs="Times New Roman"/>
          <w:sz w:val="24"/>
          <w:szCs w:val="24"/>
        </w:rPr>
        <w:t>xclusion of male spouses of Nigerian female citizens from the citizenship conferment procedure demonstrates how patriarchal views can impact legal structures. It is critical to resist such discriminatory practices and work toward establishing a legal system that is fair, equitable, and reflects the values of equality and justice for all citizens</w:t>
      </w:r>
      <w:r w:rsidR="00232EDC" w:rsidRPr="0050295F">
        <w:rPr>
          <w:rFonts w:ascii="Times New Roman" w:hAnsi="Times New Roman" w:cs="Times New Roman"/>
          <w:sz w:val="24"/>
          <w:szCs w:val="24"/>
        </w:rPr>
        <w:t>.</w:t>
      </w:r>
      <w:r w:rsidR="00A13FAE" w:rsidRPr="0050295F">
        <w:rPr>
          <w:rStyle w:val="FootnoteReference"/>
          <w:rFonts w:ascii="Times New Roman" w:hAnsi="Times New Roman" w:cs="Times New Roman"/>
          <w:sz w:val="24"/>
          <w:szCs w:val="24"/>
        </w:rPr>
        <w:footnoteReference w:id="24"/>
      </w:r>
    </w:p>
    <w:p w14:paraId="2BA74B8C" w14:textId="50A646FD" w:rsidR="0032610E" w:rsidRPr="0050295F" w:rsidRDefault="0032610E"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t>Another silent issue for the Nigerian married woman is on the state of origin. A married female whose spouse is from a different state, becomes stateless on account of marriage, while a man does not suffer the same disadvantage,</w:t>
      </w:r>
      <w:r w:rsidR="004C66EB" w:rsidRPr="0050295F">
        <w:rPr>
          <w:rFonts w:ascii="Times New Roman" w:hAnsi="Times New Roman" w:cs="Times New Roman"/>
          <w:sz w:val="24"/>
          <w:szCs w:val="24"/>
        </w:rPr>
        <w:t xml:space="preserve"> th</w:t>
      </w:r>
      <w:r w:rsidRPr="0050295F">
        <w:rPr>
          <w:rFonts w:ascii="Times New Roman" w:hAnsi="Times New Roman" w:cs="Times New Roman"/>
          <w:sz w:val="24"/>
          <w:szCs w:val="24"/>
        </w:rPr>
        <w:t>is is seen as discriminatory</w:t>
      </w:r>
      <w:r w:rsidRPr="0050295F">
        <w:rPr>
          <w:rStyle w:val="FootnoteReference"/>
          <w:rFonts w:ascii="Times New Roman" w:hAnsi="Times New Roman" w:cs="Times New Roman"/>
          <w:sz w:val="24"/>
          <w:szCs w:val="24"/>
        </w:rPr>
        <w:footnoteReference w:id="25"/>
      </w:r>
      <w:r w:rsidRPr="0050295F">
        <w:rPr>
          <w:rFonts w:ascii="Times New Roman" w:hAnsi="Times New Roman" w:cs="Times New Roman"/>
          <w:sz w:val="24"/>
          <w:szCs w:val="24"/>
        </w:rPr>
        <w:t xml:space="preserve">  </w:t>
      </w:r>
    </w:p>
    <w:p w14:paraId="4C0A0CA8" w14:textId="5AE1CCC1" w:rsidR="009D0B15" w:rsidRPr="0050295F" w:rsidRDefault="009D0B15"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t>Another discrimination is section 29,</w:t>
      </w:r>
      <w:r w:rsidRPr="0050295F">
        <w:rPr>
          <w:rStyle w:val="FootnoteReference"/>
          <w:rFonts w:ascii="Times New Roman" w:hAnsi="Times New Roman" w:cs="Times New Roman"/>
          <w:sz w:val="24"/>
          <w:szCs w:val="24"/>
        </w:rPr>
        <w:footnoteReference w:id="26"/>
      </w:r>
      <w:r w:rsidRPr="0050295F">
        <w:rPr>
          <w:rFonts w:ascii="Times New Roman" w:hAnsi="Times New Roman" w:cs="Times New Roman"/>
          <w:sz w:val="24"/>
          <w:szCs w:val="24"/>
        </w:rPr>
        <w:t xml:space="preserve"> on the issue of renunciation, the term ‘full age’ is defined as the ‘age of eighteen years and above’, while </w:t>
      </w:r>
      <w:r w:rsidR="0004098D" w:rsidRPr="0050295F">
        <w:rPr>
          <w:rFonts w:ascii="Times New Roman" w:hAnsi="Times New Roman" w:cs="Times New Roman"/>
          <w:sz w:val="24"/>
          <w:szCs w:val="24"/>
        </w:rPr>
        <w:t>‘</w:t>
      </w:r>
      <w:r w:rsidRPr="0050295F">
        <w:rPr>
          <w:rFonts w:ascii="Times New Roman" w:hAnsi="Times New Roman" w:cs="Times New Roman"/>
          <w:sz w:val="24"/>
          <w:szCs w:val="24"/>
        </w:rPr>
        <w:t xml:space="preserve">any woman who is married shall be deemed to be </w:t>
      </w:r>
      <w:r w:rsidRPr="0050295F">
        <w:rPr>
          <w:rFonts w:ascii="Times New Roman" w:hAnsi="Times New Roman" w:cs="Times New Roman"/>
          <w:sz w:val="24"/>
          <w:szCs w:val="24"/>
        </w:rPr>
        <w:lastRenderedPageBreak/>
        <w:t>full age</w:t>
      </w:r>
      <w:r w:rsidR="0004098D" w:rsidRPr="0050295F">
        <w:rPr>
          <w:rFonts w:ascii="Times New Roman" w:hAnsi="Times New Roman" w:cs="Times New Roman"/>
          <w:sz w:val="24"/>
          <w:szCs w:val="24"/>
        </w:rPr>
        <w:t>’. So</w:t>
      </w:r>
      <w:r w:rsidR="001D2764" w:rsidRPr="0050295F">
        <w:rPr>
          <w:rFonts w:ascii="Times New Roman" w:hAnsi="Times New Roman" w:cs="Times New Roman"/>
          <w:sz w:val="24"/>
          <w:szCs w:val="24"/>
        </w:rPr>
        <w:t>,</w:t>
      </w:r>
      <w:r w:rsidR="0004098D" w:rsidRPr="0050295F">
        <w:rPr>
          <w:rFonts w:ascii="Times New Roman" w:hAnsi="Times New Roman" w:cs="Times New Roman"/>
          <w:sz w:val="24"/>
          <w:szCs w:val="24"/>
        </w:rPr>
        <w:t xml:space="preserve"> a woman who is below the age of eighteen is allowed to renounce her Nigerian citizenship if she is married, there is no similar provision for the man</w:t>
      </w:r>
      <w:r w:rsidR="00177E01" w:rsidRPr="0050295F">
        <w:rPr>
          <w:rFonts w:ascii="Times New Roman" w:hAnsi="Times New Roman" w:cs="Times New Roman"/>
          <w:sz w:val="24"/>
          <w:szCs w:val="24"/>
        </w:rPr>
        <w:t xml:space="preserve"> in the Nigerian Constitution</w:t>
      </w:r>
      <w:r w:rsidR="0004098D" w:rsidRPr="0050295F">
        <w:rPr>
          <w:rFonts w:ascii="Times New Roman" w:hAnsi="Times New Roman" w:cs="Times New Roman"/>
          <w:sz w:val="24"/>
          <w:szCs w:val="24"/>
        </w:rPr>
        <w:t>.</w:t>
      </w:r>
      <w:r w:rsidR="0004098D" w:rsidRPr="0050295F">
        <w:rPr>
          <w:rStyle w:val="FootnoteReference"/>
          <w:rFonts w:ascii="Times New Roman" w:hAnsi="Times New Roman" w:cs="Times New Roman"/>
          <w:sz w:val="24"/>
          <w:szCs w:val="24"/>
        </w:rPr>
        <w:footnoteReference w:id="27"/>
      </w:r>
      <w:r w:rsidR="0004098D" w:rsidRPr="0050295F">
        <w:rPr>
          <w:rFonts w:ascii="Times New Roman" w:hAnsi="Times New Roman" w:cs="Times New Roman"/>
          <w:sz w:val="24"/>
          <w:szCs w:val="24"/>
        </w:rPr>
        <w:t xml:space="preserve"> </w:t>
      </w:r>
    </w:p>
    <w:p w14:paraId="389457DB" w14:textId="0E5AB931" w:rsidR="004C66EB" w:rsidRPr="0050295F" w:rsidRDefault="001D2764"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t xml:space="preserve">No wonder, </w:t>
      </w:r>
      <w:r w:rsidR="006575E7" w:rsidRPr="0050295F">
        <w:rPr>
          <w:rFonts w:ascii="Times New Roman" w:hAnsi="Times New Roman" w:cs="Times New Roman"/>
          <w:sz w:val="24"/>
          <w:szCs w:val="24"/>
        </w:rPr>
        <w:t>Barnett</w:t>
      </w:r>
      <w:r w:rsidR="006575E7" w:rsidRPr="0050295F">
        <w:rPr>
          <w:rStyle w:val="FootnoteReference"/>
          <w:rFonts w:ascii="Times New Roman" w:hAnsi="Times New Roman" w:cs="Times New Roman"/>
          <w:sz w:val="24"/>
          <w:szCs w:val="24"/>
        </w:rPr>
        <w:footnoteReference w:id="28"/>
      </w:r>
      <w:r w:rsidR="006575E7" w:rsidRPr="0050295F">
        <w:rPr>
          <w:rFonts w:ascii="Times New Roman" w:hAnsi="Times New Roman" w:cs="Times New Roman"/>
          <w:sz w:val="24"/>
          <w:szCs w:val="24"/>
        </w:rPr>
        <w:t xml:space="preserve"> a feminist had argued that the language of law is male and the subjects of the law are male, women on the other hand are considered as being the ‘other sex’</w:t>
      </w:r>
      <w:r w:rsidR="006575E7" w:rsidRPr="0050295F">
        <w:rPr>
          <w:rStyle w:val="FootnoteReference"/>
          <w:rFonts w:ascii="Times New Roman" w:hAnsi="Times New Roman" w:cs="Times New Roman"/>
          <w:sz w:val="24"/>
          <w:szCs w:val="24"/>
        </w:rPr>
        <w:footnoteReference w:id="29"/>
      </w:r>
      <w:r w:rsidR="006575E7" w:rsidRPr="0050295F">
        <w:rPr>
          <w:rFonts w:ascii="Times New Roman" w:hAnsi="Times New Roman" w:cs="Times New Roman"/>
          <w:sz w:val="24"/>
          <w:szCs w:val="24"/>
        </w:rPr>
        <w:t xml:space="preserve"> </w:t>
      </w:r>
      <w:r w:rsidR="002F7A52" w:rsidRPr="0050295F">
        <w:rPr>
          <w:rFonts w:ascii="Times New Roman" w:hAnsi="Times New Roman" w:cs="Times New Roman"/>
          <w:sz w:val="24"/>
          <w:szCs w:val="24"/>
        </w:rPr>
        <w:t xml:space="preserve">this is </w:t>
      </w:r>
      <w:r w:rsidR="004C66EB" w:rsidRPr="0050295F">
        <w:rPr>
          <w:rFonts w:ascii="Times New Roman" w:hAnsi="Times New Roman" w:cs="Times New Roman"/>
          <w:sz w:val="24"/>
          <w:szCs w:val="24"/>
        </w:rPr>
        <w:t>seen</w:t>
      </w:r>
      <w:r w:rsidR="002F7A52" w:rsidRPr="0050295F">
        <w:rPr>
          <w:rFonts w:ascii="Times New Roman" w:hAnsi="Times New Roman" w:cs="Times New Roman"/>
          <w:sz w:val="24"/>
          <w:szCs w:val="24"/>
        </w:rPr>
        <w:t xml:space="preserve"> in the Criminal Code provision</w:t>
      </w:r>
      <w:r w:rsidR="002F7A52" w:rsidRPr="0050295F">
        <w:rPr>
          <w:rStyle w:val="FootnoteReference"/>
          <w:rFonts w:ascii="Times New Roman" w:hAnsi="Times New Roman" w:cs="Times New Roman"/>
          <w:sz w:val="24"/>
          <w:szCs w:val="24"/>
        </w:rPr>
        <w:footnoteReference w:id="30"/>
      </w:r>
      <w:r w:rsidR="002F7A52" w:rsidRPr="0050295F">
        <w:rPr>
          <w:rFonts w:ascii="Times New Roman" w:hAnsi="Times New Roman" w:cs="Times New Roman"/>
          <w:sz w:val="24"/>
          <w:szCs w:val="24"/>
        </w:rPr>
        <w:t xml:space="preserve"> where</w:t>
      </w:r>
      <w:r w:rsidR="009C3444" w:rsidRPr="0050295F">
        <w:rPr>
          <w:rFonts w:ascii="Times New Roman" w:hAnsi="Times New Roman" w:cs="Times New Roman"/>
          <w:sz w:val="24"/>
          <w:szCs w:val="24"/>
        </w:rPr>
        <w:t xml:space="preserve"> the offence of</w:t>
      </w:r>
      <w:r w:rsidR="002F7A52" w:rsidRPr="0050295F">
        <w:rPr>
          <w:rFonts w:ascii="Times New Roman" w:hAnsi="Times New Roman" w:cs="Times New Roman"/>
          <w:sz w:val="24"/>
          <w:szCs w:val="24"/>
        </w:rPr>
        <w:t xml:space="preserve"> an indecent assault on females</w:t>
      </w:r>
      <w:r w:rsidR="009C3444" w:rsidRPr="0050295F">
        <w:rPr>
          <w:rFonts w:ascii="Times New Roman" w:hAnsi="Times New Roman" w:cs="Times New Roman"/>
          <w:sz w:val="24"/>
          <w:szCs w:val="24"/>
        </w:rPr>
        <w:t xml:space="preserve"> (both women and girls) is considered misdemeanor and liable to imprisonment of two years, while section 216</w:t>
      </w:r>
      <w:r w:rsidR="009C3444" w:rsidRPr="0050295F">
        <w:rPr>
          <w:rStyle w:val="FootnoteReference"/>
          <w:rFonts w:ascii="Times New Roman" w:hAnsi="Times New Roman" w:cs="Times New Roman"/>
          <w:sz w:val="24"/>
          <w:szCs w:val="24"/>
        </w:rPr>
        <w:footnoteReference w:id="31"/>
      </w:r>
      <w:r w:rsidR="009C3444" w:rsidRPr="0050295F">
        <w:rPr>
          <w:rFonts w:ascii="Times New Roman" w:hAnsi="Times New Roman" w:cs="Times New Roman"/>
          <w:sz w:val="24"/>
          <w:szCs w:val="24"/>
        </w:rPr>
        <w:t xml:space="preserve"> for dealing indecently with a boy, the offence is termed felony and punishable with imprisonment for seven years.   </w:t>
      </w:r>
    </w:p>
    <w:p w14:paraId="55172F31" w14:textId="77777777" w:rsidR="005D73CC" w:rsidRDefault="00177E01" w:rsidP="00836493">
      <w:pPr>
        <w:spacing w:line="240" w:lineRule="auto"/>
        <w:jc w:val="both"/>
        <w:rPr>
          <w:rFonts w:ascii="Times New Roman" w:hAnsi="Times New Roman" w:cs="Times New Roman"/>
          <w:sz w:val="24"/>
          <w:szCs w:val="24"/>
        </w:rPr>
      </w:pPr>
      <w:r w:rsidRPr="0050295F">
        <w:rPr>
          <w:rFonts w:ascii="Times New Roman" w:hAnsi="Times New Roman" w:cs="Times New Roman"/>
          <w:sz w:val="24"/>
          <w:szCs w:val="24"/>
        </w:rPr>
        <w:t xml:space="preserve">Another instance in which the legislation appears to favor men over women is the recruitment of women into the Nigerian police force. As per the Police Act and Regulations, both sections apply to cadet assistants and constables. </w:t>
      </w:r>
      <w:r w:rsidR="00B5591F" w:rsidRPr="0050295F">
        <w:rPr>
          <w:rFonts w:ascii="Times New Roman" w:hAnsi="Times New Roman" w:cs="Times New Roman"/>
          <w:sz w:val="24"/>
          <w:szCs w:val="24"/>
        </w:rPr>
        <w:t>42(3) and 118(g)</w:t>
      </w:r>
      <w:r w:rsidR="00B5591F" w:rsidRPr="0050295F">
        <w:rPr>
          <w:rStyle w:val="FootnoteReference"/>
          <w:rFonts w:ascii="Times New Roman" w:hAnsi="Times New Roman" w:cs="Times New Roman"/>
          <w:sz w:val="24"/>
          <w:szCs w:val="24"/>
        </w:rPr>
        <w:footnoteReference w:id="32"/>
      </w:r>
      <w:r w:rsidR="00B5591F" w:rsidRPr="0050295F">
        <w:rPr>
          <w:rFonts w:ascii="Times New Roman" w:hAnsi="Times New Roman" w:cs="Times New Roman"/>
          <w:sz w:val="24"/>
          <w:szCs w:val="24"/>
        </w:rPr>
        <w:t xml:space="preserve">, </w:t>
      </w:r>
      <w:r w:rsidRPr="0050295F">
        <w:rPr>
          <w:rFonts w:ascii="Times New Roman" w:hAnsi="Times New Roman" w:cs="Times New Roman"/>
          <w:sz w:val="24"/>
          <w:szCs w:val="24"/>
        </w:rPr>
        <w:t xml:space="preserve">states that female candidates must be single; women police must request for permission to marry, and permission will only be given if the potential spouse is of good character and she has worked for at least three years. According to Section 127, an unmarried woman police officer who becomes pregnant must be fired and not re-enlisted without the inspector general's approval. Unfortunately, these provisions only apply to female police officers. What happens if a female police officer is raped and becomes pregnant? On what grounds will the Inspector General allow an exception for re-enlistment? </w:t>
      </w:r>
    </w:p>
    <w:p w14:paraId="049C7C89" w14:textId="519BF7AC" w:rsidR="001D2764" w:rsidRDefault="005D73CC"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t>The judicial system has also historically failed to protect women from sexual violence in the context of marriage. The Criminal Code (applicable in Southern Nigeria) and the Penal Code (applicable in the North) both provide specific spouse exclusions for the offense of rape. Rape is defined as the act of "unlawful carnal knowledge" under Section 357 of the Criminal Code, with "unlawful" implying sexual intercourse occurring outside of marriage; thus, a husband cannot legally rape his wife.</w:t>
      </w:r>
      <w:r>
        <w:rPr>
          <w:rStyle w:val="FootnoteReference"/>
          <w:rFonts w:ascii="Times New Roman" w:hAnsi="Times New Roman" w:cs="Times New Roman"/>
          <w:sz w:val="24"/>
          <w:szCs w:val="24"/>
        </w:rPr>
        <w:footnoteReference w:id="33"/>
      </w:r>
      <w:r w:rsidR="00177E01" w:rsidRPr="0050295F">
        <w:rPr>
          <w:rFonts w:ascii="Times New Roman" w:hAnsi="Times New Roman" w:cs="Times New Roman"/>
          <w:sz w:val="24"/>
          <w:szCs w:val="24"/>
        </w:rPr>
        <w:t xml:space="preserve">  </w:t>
      </w:r>
    </w:p>
    <w:p w14:paraId="02373A83" w14:textId="17D58A47" w:rsidR="005D73CC" w:rsidRDefault="005D73CC"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t>Discrimination against women is especially prevalent in the sphere of property and inheritance, where customary and statutory regulations frequently work together to deprive them. In many ethnic groups, particularly among the Igbo, traditional inheritance rules operate on a patrilineal foundation, prohibiting women and girls from inheriting land or landed property from their deceased fathers or spouses, based on patriarchal traditions of primogeniture</w:t>
      </w:r>
      <w:r w:rsidR="00D97D8D">
        <w:rPr>
          <w:rStyle w:val="FootnoteReference"/>
          <w:rFonts w:ascii="Times New Roman" w:hAnsi="Times New Roman" w:cs="Times New Roman"/>
          <w:sz w:val="24"/>
          <w:szCs w:val="24"/>
        </w:rPr>
        <w:footnoteReference w:id="34"/>
      </w:r>
      <w:r>
        <w:rPr>
          <w:rFonts w:ascii="Times New Roman" w:hAnsi="Times New Roman" w:cs="Times New Roman"/>
          <w:sz w:val="24"/>
          <w:szCs w:val="24"/>
        </w:rPr>
        <w:t>.</w:t>
      </w:r>
      <w:r w:rsidR="00D97D8D">
        <w:rPr>
          <w:rFonts w:ascii="Times New Roman" w:hAnsi="Times New Roman" w:cs="Times New Roman"/>
          <w:sz w:val="24"/>
          <w:szCs w:val="24"/>
        </w:rPr>
        <w:t xml:space="preserve"> </w:t>
      </w:r>
      <w:r w:rsidR="00D97D8D" w:rsidRPr="00D97D8D">
        <w:rPr>
          <w:rFonts w:ascii="Times New Roman" w:hAnsi="Times New Roman" w:cs="Times New Roman"/>
          <w:sz w:val="24"/>
          <w:szCs w:val="24"/>
        </w:rPr>
        <w:t>The Land Use Act of 1978, which vests all land in the state but empowers local traditional rulers as custodians, effectively delegates authority to these discriminatory customary systems</w:t>
      </w:r>
      <w:r w:rsidR="00D97D8D">
        <w:rPr>
          <w:rFonts w:ascii="Times New Roman" w:hAnsi="Times New Roman" w:cs="Times New Roman"/>
          <w:sz w:val="24"/>
          <w:szCs w:val="24"/>
        </w:rPr>
        <w:t>.</w:t>
      </w:r>
      <w:r w:rsidR="00956C80">
        <w:rPr>
          <w:rFonts w:ascii="Times New Roman" w:hAnsi="Times New Roman" w:cs="Times New Roman"/>
          <w:sz w:val="24"/>
          <w:szCs w:val="24"/>
        </w:rPr>
        <w:t xml:space="preserve"> </w:t>
      </w:r>
      <w:r w:rsidR="00956C80" w:rsidRPr="00956C80">
        <w:rPr>
          <w:rFonts w:ascii="Times New Roman" w:hAnsi="Times New Roman" w:cs="Times New Roman"/>
          <w:sz w:val="24"/>
          <w:szCs w:val="24"/>
        </w:rPr>
        <w:t>Widows often face forced eviction from their marital homes and are stripped of their property by their late husband’s extended famil</w:t>
      </w:r>
      <w:r w:rsidR="00956C80">
        <w:rPr>
          <w:rFonts w:ascii="Times New Roman" w:hAnsi="Times New Roman" w:cs="Times New Roman"/>
          <w:sz w:val="24"/>
          <w:szCs w:val="24"/>
        </w:rPr>
        <w:t xml:space="preserve">y. </w:t>
      </w:r>
    </w:p>
    <w:p w14:paraId="62244E99" w14:textId="7FD9FBA9" w:rsidR="00242624" w:rsidRDefault="00242624"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While advocacy and judicial challenges continue to chip away at these disparities, meaningful change necessitates not only the repeal of overtly discriminatory provisions, but also the political will to enforce existing safeguards and align Nigeria's diverse legal systems with international human rights standards. Until then, the law serves as both a mirror and a weapon for the patriarchal order that it professes to control.</w:t>
      </w:r>
    </w:p>
    <w:p w14:paraId="3D1941DD" w14:textId="77777777" w:rsidR="00C555F3" w:rsidRPr="00C555F3" w:rsidRDefault="00C555F3" w:rsidP="00836493">
      <w:pPr>
        <w:spacing w:line="240" w:lineRule="auto"/>
        <w:jc w:val="both"/>
        <w:rPr>
          <w:rFonts w:ascii="Times New Roman" w:hAnsi="Times New Roman" w:cs="Times New Roman"/>
          <w:sz w:val="24"/>
          <w:szCs w:val="24"/>
        </w:rPr>
      </w:pPr>
    </w:p>
    <w:p w14:paraId="3C726D76" w14:textId="1EBD604E" w:rsidR="00D03073" w:rsidRPr="0050295F" w:rsidRDefault="001D2764" w:rsidP="00836493">
      <w:pPr>
        <w:spacing w:line="240" w:lineRule="auto"/>
        <w:jc w:val="both"/>
        <w:rPr>
          <w:rFonts w:ascii="Times New Roman" w:hAnsi="Times New Roman" w:cs="Times New Roman"/>
          <w:sz w:val="24"/>
          <w:szCs w:val="24"/>
        </w:rPr>
      </w:pPr>
      <w:r w:rsidRPr="0050295F">
        <w:rPr>
          <w:rFonts w:ascii="Times New Roman" w:hAnsi="Times New Roman" w:cs="Times New Roman"/>
          <w:b/>
          <w:sz w:val="24"/>
          <w:szCs w:val="24"/>
        </w:rPr>
        <w:t>Women and the Pauline Epistle</w:t>
      </w:r>
    </w:p>
    <w:p w14:paraId="0CDE09CF" w14:textId="5A29EB71" w:rsidR="00B67E2F" w:rsidRPr="0050295F" w:rsidRDefault="0076412A" w:rsidP="00836493">
      <w:pPr>
        <w:spacing w:line="240" w:lineRule="auto"/>
        <w:jc w:val="both"/>
        <w:rPr>
          <w:rFonts w:ascii="Times New Roman" w:hAnsi="Times New Roman" w:cs="Times New Roman"/>
          <w:sz w:val="24"/>
          <w:szCs w:val="24"/>
        </w:rPr>
      </w:pPr>
      <w:proofErr w:type="spellStart"/>
      <w:r w:rsidRPr="0050295F">
        <w:rPr>
          <w:rFonts w:ascii="Times New Roman" w:hAnsi="Times New Roman" w:cs="Times New Roman"/>
          <w:sz w:val="24"/>
          <w:szCs w:val="24"/>
        </w:rPr>
        <w:t>Ademiluka</w:t>
      </w:r>
      <w:proofErr w:type="spellEnd"/>
      <w:r w:rsidRPr="0050295F">
        <w:rPr>
          <w:rStyle w:val="FootnoteReference"/>
          <w:rFonts w:ascii="Times New Roman" w:hAnsi="Times New Roman" w:cs="Times New Roman"/>
          <w:sz w:val="24"/>
          <w:szCs w:val="24"/>
        </w:rPr>
        <w:footnoteReference w:id="35"/>
      </w:r>
      <w:r w:rsidRPr="0050295F">
        <w:rPr>
          <w:rFonts w:ascii="Times New Roman" w:hAnsi="Times New Roman" w:cs="Times New Roman"/>
          <w:sz w:val="24"/>
          <w:szCs w:val="24"/>
        </w:rPr>
        <w:t>,</w:t>
      </w:r>
      <w:r>
        <w:rPr>
          <w:rFonts w:ascii="Times New Roman" w:hAnsi="Times New Roman" w:cs="Times New Roman"/>
          <w:sz w:val="24"/>
          <w:szCs w:val="24"/>
        </w:rPr>
        <w:t xml:space="preserve"> </w:t>
      </w:r>
      <w:r w:rsidRPr="0050295F">
        <w:rPr>
          <w:rFonts w:ascii="Times New Roman" w:hAnsi="Times New Roman" w:cs="Times New Roman"/>
          <w:sz w:val="24"/>
          <w:szCs w:val="24"/>
        </w:rPr>
        <w:t xml:space="preserve"> </w:t>
      </w:r>
      <w:r>
        <w:rPr>
          <w:rFonts w:ascii="Times New Roman" w:hAnsi="Times New Roman" w:cs="Times New Roman"/>
          <w:sz w:val="24"/>
          <w:szCs w:val="24"/>
        </w:rPr>
        <w:t xml:space="preserve">in his </w:t>
      </w:r>
      <w:r w:rsidR="00B81685">
        <w:rPr>
          <w:rFonts w:ascii="Times New Roman" w:hAnsi="Times New Roman" w:cs="Times New Roman"/>
          <w:sz w:val="24"/>
          <w:szCs w:val="24"/>
        </w:rPr>
        <w:t>exposition</w:t>
      </w:r>
      <w:r>
        <w:rPr>
          <w:rFonts w:ascii="Times New Roman" w:hAnsi="Times New Roman" w:cs="Times New Roman"/>
          <w:sz w:val="24"/>
          <w:szCs w:val="24"/>
        </w:rPr>
        <w:t xml:space="preserve"> on Ephesians 5:22 - 33, </w:t>
      </w:r>
      <w:r w:rsidR="0033192E">
        <w:rPr>
          <w:rFonts w:ascii="Times New Roman" w:hAnsi="Times New Roman" w:cs="Times New Roman"/>
          <w:sz w:val="24"/>
          <w:szCs w:val="24"/>
        </w:rPr>
        <w:t>clarifies that</w:t>
      </w:r>
      <w:r w:rsidR="00B81685">
        <w:rPr>
          <w:rFonts w:ascii="Times New Roman" w:hAnsi="Times New Roman" w:cs="Times New Roman"/>
          <w:sz w:val="24"/>
          <w:szCs w:val="24"/>
        </w:rPr>
        <w:t xml:space="preserve"> Paul</w:t>
      </w:r>
      <w:r w:rsidR="00B81685" w:rsidRPr="0050295F">
        <w:rPr>
          <w:rFonts w:ascii="Times New Roman" w:hAnsi="Times New Roman" w:cs="Times New Roman"/>
          <w:sz w:val="24"/>
          <w:szCs w:val="24"/>
        </w:rPr>
        <w:t xml:space="preserve"> enjoined wives to be subject to their husbands as they would to Christ</w:t>
      </w:r>
      <w:r w:rsidR="00B81685">
        <w:rPr>
          <w:rFonts w:ascii="Times New Roman" w:hAnsi="Times New Roman" w:cs="Times New Roman"/>
          <w:sz w:val="24"/>
          <w:szCs w:val="24"/>
        </w:rPr>
        <w:t xml:space="preserve">. This is </w:t>
      </w:r>
      <w:r w:rsidR="00242624">
        <w:rPr>
          <w:rFonts w:ascii="Times New Roman" w:hAnsi="Times New Roman" w:cs="Times New Roman"/>
          <w:sz w:val="24"/>
          <w:szCs w:val="24"/>
        </w:rPr>
        <w:t>because</w:t>
      </w:r>
      <w:r w:rsidR="00B81685">
        <w:rPr>
          <w:rFonts w:ascii="Times New Roman" w:hAnsi="Times New Roman" w:cs="Times New Roman"/>
          <w:sz w:val="24"/>
          <w:szCs w:val="24"/>
        </w:rPr>
        <w:t xml:space="preserve">, just as Christ is the head of the church, the husband is the head of the wife. According to verses 22–25, husbands must love their wives as much as Christ loved the church and sacrifice themselves for them. According to verses 26–32, husbands should love their spouses in the same way that Jesus loved the church. Verse 33 concludes by stating that a woman should appreciate her husband and that every man should love his wife as himself. He </w:t>
      </w:r>
      <w:r w:rsidR="00B81685" w:rsidRPr="0050295F">
        <w:rPr>
          <w:rFonts w:ascii="Times New Roman" w:hAnsi="Times New Roman" w:cs="Times New Roman"/>
          <w:sz w:val="24"/>
          <w:szCs w:val="24"/>
        </w:rPr>
        <w:t>went on to state that the translation from the Greek to English language has disconnected the verses from each other, from a single sentence to two</w:t>
      </w:r>
      <w:r w:rsidR="0033192E">
        <w:rPr>
          <w:rFonts w:ascii="Times New Roman" w:hAnsi="Times New Roman" w:cs="Times New Roman"/>
          <w:sz w:val="24"/>
          <w:szCs w:val="24"/>
        </w:rPr>
        <w:t xml:space="preserve"> the following home codes are conceptually and grammatically inferior to Ephesians </w:t>
      </w:r>
      <w:r w:rsidR="00B67E2F" w:rsidRPr="0050295F">
        <w:rPr>
          <w:rFonts w:ascii="Times New Roman" w:hAnsi="Times New Roman" w:cs="Times New Roman"/>
          <w:sz w:val="24"/>
          <w:szCs w:val="24"/>
        </w:rPr>
        <w:t xml:space="preserve">5:21. </w:t>
      </w:r>
      <w:r w:rsidR="0033192E">
        <w:rPr>
          <w:rFonts w:ascii="Times New Roman" w:hAnsi="Times New Roman" w:cs="Times New Roman"/>
          <w:sz w:val="24"/>
          <w:szCs w:val="24"/>
        </w:rPr>
        <w:t xml:space="preserve">This is highlighted by the fact that, despite being inferred, the verb "submit" is absent from the first sentence of the code (5:22). The fact that many translations and commentators terminate the paragraph at 5:21 and start a new one at 5:22 is noteworthy. Verse 21 is crucial to comprehending what comes next, according to other interpretations, "because all the household codes Paul proposes are based on" it. </w:t>
      </w:r>
    </w:p>
    <w:p w14:paraId="6392A68F" w14:textId="00E64C4F" w:rsidR="00D5068C" w:rsidRDefault="0033192E" w:rsidP="00836493">
      <w:pPr>
        <w:spacing w:line="240" w:lineRule="auto"/>
        <w:jc w:val="both"/>
        <w:rPr>
          <w:rFonts w:ascii="Times New Roman" w:hAnsi="Times New Roman" w:cs="Times New Roman"/>
          <w:sz w:val="24"/>
          <w:szCs w:val="24"/>
        </w:rPr>
      </w:pPr>
      <w:r>
        <w:rPr>
          <w:rFonts w:ascii="Times New Roman" w:hAnsi="Times New Roman" w:cs="Times New Roman"/>
          <w:sz w:val="24"/>
          <w:szCs w:val="24"/>
        </w:rPr>
        <w:t>Paul placed the Christian wife beneath her husband in terms of power in verses 23 and 24. Because of this, some interpreters have charged him with conservatism and patriarchy, citing him as the "source of an infamous Christian injunction" that subjugates women to men</w:t>
      </w:r>
      <w:r w:rsidR="00B67E2F" w:rsidRPr="0050295F">
        <w:rPr>
          <w:rStyle w:val="FootnoteReference"/>
          <w:rFonts w:ascii="Times New Roman" w:hAnsi="Times New Roman" w:cs="Times New Roman"/>
          <w:sz w:val="24"/>
          <w:szCs w:val="24"/>
        </w:rPr>
        <w:footnoteReference w:id="36"/>
      </w:r>
      <w:r w:rsidR="00B67E2F" w:rsidRPr="0050295F">
        <w:rPr>
          <w:rFonts w:ascii="Times New Roman" w:hAnsi="Times New Roman" w:cs="Times New Roman"/>
          <w:sz w:val="24"/>
          <w:szCs w:val="24"/>
        </w:rPr>
        <w:t xml:space="preserve"> . </w:t>
      </w:r>
      <w:r w:rsidR="00D5068C">
        <w:rPr>
          <w:rFonts w:ascii="Times New Roman" w:hAnsi="Times New Roman" w:cs="Times New Roman"/>
          <w:sz w:val="24"/>
          <w:szCs w:val="24"/>
        </w:rPr>
        <w:t>Some see Ephesians 5:22–6:9' as entire household code as "the author's mirroring of the ancient codes to assure secular authorities of the respectability and conformity of Christian family life."</w:t>
      </w:r>
    </w:p>
    <w:p w14:paraId="0FE7F949" w14:textId="6FD46B13" w:rsidR="009027DF" w:rsidRPr="0050295F" w:rsidRDefault="00B81685" w:rsidP="00836493">
      <w:pPr>
        <w:spacing w:line="240" w:lineRule="auto"/>
        <w:jc w:val="both"/>
        <w:rPr>
          <w:rFonts w:ascii="Times New Roman" w:hAnsi="Times New Roman" w:cs="Times New Roman"/>
          <w:sz w:val="24"/>
          <w:szCs w:val="24"/>
        </w:rPr>
      </w:pPr>
      <w:r w:rsidRPr="00BF3809">
        <w:rPr>
          <w:rFonts w:ascii="Times New Roman" w:hAnsi="Times New Roman" w:cs="Times New Roman"/>
          <w:sz w:val="24"/>
          <w:szCs w:val="24"/>
        </w:rPr>
        <w:t>Therefore, according to</w:t>
      </w:r>
      <w:r w:rsidR="00BE479F">
        <w:rPr>
          <w:rFonts w:ascii="Times New Roman" w:hAnsi="Times New Roman" w:cs="Times New Roman"/>
          <w:sz w:val="24"/>
          <w:szCs w:val="24"/>
        </w:rPr>
        <w:t xml:space="preserve"> Ademiluka,</w:t>
      </w:r>
      <w:r w:rsidRPr="00BF3809">
        <w:rPr>
          <w:rFonts w:ascii="Times New Roman" w:hAnsi="Times New Roman" w:cs="Times New Roman"/>
          <w:sz w:val="24"/>
          <w:szCs w:val="24"/>
        </w:rPr>
        <w:t xml:space="preserve"> </w:t>
      </w:r>
      <w:proofErr w:type="spellStart"/>
      <w:r w:rsidR="00BF3809" w:rsidRPr="00BF3809">
        <w:rPr>
          <w:rFonts w:ascii="Times New Roman" w:hAnsi="Times New Roman" w:cs="Times New Roman"/>
          <w:sz w:val="24"/>
          <w:szCs w:val="24"/>
        </w:rPr>
        <w:t>Szesnat</w:t>
      </w:r>
      <w:proofErr w:type="spellEnd"/>
      <w:r w:rsidR="00BF3809" w:rsidRPr="00BF3809">
        <w:rPr>
          <w:rFonts w:ascii="Times New Roman" w:hAnsi="Times New Roman" w:cs="Times New Roman"/>
          <w:sz w:val="24"/>
          <w:szCs w:val="24"/>
        </w:rPr>
        <w:t>, H</w:t>
      </w:r>
      <w:r w:rsidR="00BE479F">
        <w:rPr>
          <w:rFonts w:ascii="Times New Roman" w:hAnsi="Times New Roman" w:cs="Times New Roman"/>
          <w:sz w:val="24"/>
          <w:szCs w:val="24"/>
        </w:rPr>
        <w:t>.,</w:t>
      </w:r>
      <w:r w:rsidR="00D5068C" w:rsidRPr="00BF3809">
        <w:rPr>
          <w:rFonts w:ascii="Times New Roman" w:hAnsi="Times New Roman" w:cs="Times New Roman"/>
          <w:sz w:val="24"/>
          <w:szCs w:val="24"/>
        </w:rPr>
        <w:t xml:space="preserve"> </w:t>
      </w:r>
      <w:r w:rsidR="00BF3809" w:rsidRPr="00BF3809">
        <w:rPr>
          <w:rFonts w:ascii="Times New Roman" w:hAnsi="Times New Roman" w:cs="Times New Roman"/>
          <w:sz w:val="24"/>
          <w:szCs w:val="24"/>
        </w:rPr>
        <w:t>Dunnam</w:t>
      </w:r>
      <w:r w:rsidR="00D5068C" w:rsidRPr="00BF3809">
        <w:rPr>
          <w:rFonts w:ascii="Times New Roman" w:hAnsi="Times New Roman" w:cs="Times New Roman"/>
          <w:sz w:val="24"/>
          <w:szCs w:val="24"/>
        </w:rPr>
        <w:t>,</w:t>
      </w:r>
      <w:r w:rsidR="00B67E2F" w:rsidRPr="00BF3809">
        <w:rPr>
          <w:rFonts w:ascii="Times New Roman" w:hAnsi="Times New Roman" w:cs="Times New Roman"/>
          <w:sz w:val="24"/>
          <w:szCs w:val="24"/>
        </w:rPr>
        <w:t xml:space="preserve"> </w:t>
      </w:r>
      <w:r w:rsidR="00BE479F" w:rsidRPr="00BF3809">
        <w:rPr>
          <w:rFonts w:ascii="Times New Roman" w:hAnsi="Times New Roman" w:cs="Times New Roman"/>
          <w:sz w:val="24"/>
          <w:szCs w:val="24"/>
        </w:rPr>
        <w:t>M.D.</w:t>
      </w:r>
      <w:r w:rsidR="00BE479F">
        <w:rPr>
          <w:rFonts w:ascii="Times New Roman" w:hAnsi="Times New Roman" w:cs="Times New Roman"/>
          <w:sz w:val="24"/>
          <w:szCs w:val="24"/>
        </w:rPr>
        <w:t>,</w:t>
      </w:r>
      <w:r w:rsidR="00BE479F" w:rsidRPr="00BF3809">
        <w:rPr>
          <w:rFonts w:ascii="Times New Roman" w:hAnsi="Times New Roman" w:cs="Times New Roman"/>
          <w:sz w:val="24"/>
          <w:szCs w:val="24"/>
        </w:rPr>
        <w:t xml:space="preserve"> </w:t>
      </w:r>
      <w:r w:rsidR="00BF3809" w:rsidRPr="00BF3809">
        <w:rPr>
          <w:rFonts w:ascii="Times New Roman" w:hAnsi="Times New Roman" w:cs="Times New Roman"/>
          <w:sz w:val="24"/>
          <w:szCs w:val="24"/>
        </w:rPr>
        <w:t>Belz,</w:t>
      </w:r>
      <w:r w:rsidR="002D75C2" w:rsidRPr="00BF3809">
        <w:rPr>
          <w:rFonts w:ascii="Times New Roman" w:hAnsi="Times New Roman" w:cs="Times New Roman"/>
          <w:sz w:val="24"/>
          <w:szCs w:val="24"/>
        </w:rPr>
        <w:t xml:space="preserve"> </w:t>
      </w:r>
      <w:r w:rsidR="00BE479F" w:rsidRPr="00BF3809">
        <w:rPr>
          <w:rFonts w:ascii="Times New Roman" w:hAnsi="Times New Roman" w:cs="Times New Roman"/>
          <w:sz w:val="24"/>
          <w:szCs w:val="24"/>
        </w:rPr>
        <w:t>L.M.</w:t>
      </w:r>
      <w:r w:rsidR="00BE479F">
        <w:rPr>
          <w:rFonts w:ascii="Times New Roman" w:hAnsi="Times New Roman" w:cs="Times New Roman"/>
          <w:sz w:val="24"/>
          <w:szCs w:val="24"/>
        </w:rPr>
        <w:t>,</w:t>
      </w:r>
      <w:r w:rsidR="00BE479F" w:rsidRPr="00BF3809">
        <w:rPr>
          <w:rFonts w:ascii="Times New Roman" w:hAnsi="Times New Roman" w:cs="Times New Roman"/>
          <w:sz w:val="24"/>
          <w:szCs w:val="24"/>
        </w:rPr>
        <w:t xml:space="preserve"> </w:t>
      </w:r>
      <w:r w:rsidR="00BF3809" w:rsidRPr="00BF3809">
        <w:rPr>
          <w:rFonts w:ascii="Times New Roman" w:hAnsi="Times New Roman" w:cs="Times New Roman"/>
          <w:sz w:val="24"/>
          <w:szCs w:val="24"/>
        </w:rPr>
        <w:t>Turner, M</w:t>
      </w:r>
      <w:r w:rsidR="002D75C2" w:rsidRPr="00BF3809">
        <w:rPr>
          <w:rFonts w:ascii="Times New Roman" w:hAnsi="Times New Roman" w:cs="Times New Roman"/>
          <w:sz w:val="24"/>
          <w:szCs w:val="24"/>
        </w:rPr>
        <w:t>,</w:t>
      </w:r>
      <w:r w:rsidR="002D75C2" w:rsidRPr="00BF3809">
        <w:rPr>
          <w:rFonts w:ascii="Times New Roman" w:hAnsi="Times New Roman" w:cs="Times New Roman"/>
          <w:sz w:val="24"/>
          <w:szCs w:val="24"/>
          <w:lang w:val="en-NG"/>
        </w:rPr>
        <w:t xml:space="preserve"> </w:t>
      </w:r>
      <w:r w:rsidR="00BF3809" w:rsidRPr="00BF3809">
        <w:rPr>
          <w:rFonts w:ascii="Times New Roman" w:hAnsi="Times New Roman" w:cs="Times New Roman"/>
          <w:sz w:val="24"/>
          <w:szCs w:val="24"/>
        </w:rPr>
        <w:t xml:space="preserve">Lewis, </w:t>
      </w:r>
      <w:r w:rsidR="00BE479F" w:rsidRPr="00BF3809">
        <w:rPr>
          <w:rFonts w:ascii="Times New Roman" w:hAnsi="Times New Roman" w:cs="Times New Roman"/>
          <w:sz w:val="24"/>
          <w:szCs w:val="24"/>
        </w:rPr>
        <w:t>R.</w:t>
      </w:r>
      <w:r w:rsidR="00BE479F">
        <w:rPr>
          <w:rFonts w:ascii="Times New Roman" w:hAnsi="Times New Roman" w:cs="Times New Roman"/>
          <w:sz w:val="24"/>
          <w:szCs w:val="24"/>
        </w:rPr>
        <w:t xml:space="preserve"> and</w:t>
      </w:r>
      <w:r w:rsidR="00BF3809" w:rsidRPr="00BF3809">
        <w:rPr>
          <w:rFonts w:ascii="Times New Roman" w:hAnsi="Times New Roman" w:cs="Times New Roman"/>
          <w:sz w:val="24"/>
          <w:szCs w:val="24"/>
        </w:rPr>
        <w:t xml:space="preserve"> Hendricks, W.</w:t>
      </w:r>
      <w:r w:rsidR="00BE479F" w:rsidRPr="00BF3809">
        <w:rPr>
          <w:rFonts w:ascii="Times New Roman" w:hAnsi="Times New Roman" w:cs="Times New Roman"/>
          <w:sz w:val="24"/>
          <w:szCs w:val="24"/>
        </w:rPr>
        <w:t>, Paul</w:t>
      </w:r>
      <w:r w:rsidR="001028AA">
        <w:rPr>
          <w:rFonts w:ascii="Times New Roman" w:hAnsi="Times New Roman" w:cs="Times New Roman"/>
          <w:sz w:val="24"/>
          <w:szCs w:val="24"/>
        </w:rPr>
        <w:t xml:space="preserve"> anticipates that Christian husbands would exercise their headship over their wives in this way. </w:t>
      </w:r>
      <w:r w:rsidR="002D75C2">
        <w:rPr>
          <w:rFonts w:ascii="Times New Roman" w:hAnsi="Times New Roman" w:cs="Times New Roman"/>
          <w:sz w:val="24"/>
          <w:szCs w:val="24"/>
        </w:rPr>
        <w:t xml:space="preserve"> </w:t>
      </w:r>
      <w:r w:rsidR="001028AA">
        <w:rPr>
          <w:rFonts w:ascii="Times New Roman" w:hAnsi="Times New Roman" w:cs="Times New Roman"/>
          <w:sz w:val="24"/>
          <w:szCs w:val="24"/>
        </w:rPr>
        <w:t>Husbands are expected to "give themselves up" for their spouses, just like Christ did. This means that "a husband who loves his wife as Christ loves his Church places a greater value on the life and well-being of his wife over even his own life."</w:t>
      </w:r>
      <w:r w:rsidR="002D75C2">
        <w:rPr>
          <w:rFonts w:ascii="Times New Roman" w:hAnsi="Times New Roman" w:cs="Times New Roman"/>
          <w:sz w:val="24"/>
          <w:szCs w:val="24"/>
        </w:rPr>
        <w:t xml:space="preserve"> </w:t>
      </w:r>
      <w:r w:rsidR="001028AA">
        <w:rPr>
          <w:rFonts w:ascii="Times New Roman" w:hAnsi="Times New Roman" w:cs="Times New Roman"/>
          <w:sz w:val="24"/>
          <w:szCs w:val="24"/>
        </w:rPr>
        <w:t>Paul therefore urged husbands to follow in Christ's footsteps by giving their lives for their spouses and treating them with the same decency that they do themselves. Practically speaking, a Christian husband should be ‘responsible, a defender, a provider, a lover, and a developer’ to his wife.</w:t>
      </w:r>
      <w:r w:rsidR="00B67E2F" w:rsidRPr="0050295F">
        <w:rPr>
          <w:rStyle w:val="FootnoteReference"/>
          <w:rFonts w:ascii="Times New Roman" w:hAnsi="Times New Roman" w:cs="Times New Roman"/>
          <w:sz w:val="24"/>
          <w:szCs w:val="24"/>
        </w:rPr>
        <w:footnoteReference w:id="37"/>
      </w:r>
      <w:r w:rsidR="00B67E2F" w:rsidRPr="0050295F">
        <w:rPr>
          <w:rFonts w:ascii="Times New Roman" w:hAnsi="Times New Roman" w:cs="Times New Roman"/>
          <w:sz w:val="24"/>
          <w:szCs w:val="24"/>
        </w:rPr>
        <w:t xml:space="preserve"> . </w:t>
      </w:r>
    </w:p>
    <w:p w14:paraId="6BE40D18" w14:textId="77777777" w:rsidR="00C555F3" w:rsidRDefault="00C555F3" w:rsidP="00836493">
      <w:pPr>
        <w:spacing w:line="240" w:lineRule="auto"/>
        <w:jc w:val="both"/>
        <w:rPr>
          <w:rFonts w:ascii="Times New Roman" w:hAnsi="Times New Roman" w:cs="Times New Roman"/>
          <w:b/>
          <w:color w:val="333333"/>
          <w:spacing w:val="-2"/>
          <w:sz w:val="24"/>
          <w:szCs w:val="24"/>
          <w:shd w:val="clear" w:color="auto" w:fill="FFFFFF"/>
        </w:rPr>
      </w:pPr>
    </w:p>
    <w:p w14:paraId="2BB6D058" w14:textId="77777777" w:rsidR="00C555F3" w:rsidRDefault="00C555F3" w:rsidP="00836493">
      <w:pPr>
        <w:spacing w:line="240" w:lineRule="auto"/>
        <w:jc w:val="both"/>
        <w:rPr>
          <w:rFonts w:ascii="Times New Roman" w:hAnsi="Times New Roman" w:cs="Times New Roman"/>
          <w:b/>
          <w:color w:val="333333"/>
          <w:spacing w:val="-2"/>
          <w:sz w:val="24"/>
          <w:szCs w:val="24"/>
          <w:shd w:val="clear" w:color="auto" w:fill="FFFFFF"/>
        </w:rPr>
      </w:pPr>
    </w:p>
    <w:p w14:paraId="49D719F8" w14:textId="77777777" w:rsidR="00C555F3" w:rsidRDefault="00C555F3" w:rsidP="00836493">
      <w:pPr>
        <w:spacing w:line="240" w:lineRule="auto"/>
        <w:jc w:val="both"/>
        <w:rPr>
          <w:rFonts w:ascii="Times New Roman" w:hAnsi="Times New Roman" w:cs="Times New Roman"/>
          <w:b/>
          <w:color w:val="333333"/>
          <w:spacing w:val="-2"/>
          <w:sz w:val="24"/>
          <w:szCs w:val="24"/>
          <w:shd w:val="clear" w:color="auto" w:fill="FFFFFF"/>
        </w:rPr>
      </w:pPr>
    </w:p>
    <w:p w14:paraId="2B4FA031" w14:textId="1F6391A5" w:rsidR="0050295F" w:rsidRDefault="00313EFB" w:rsidP="00836493">
      <w:pPr>
        <w:spacing w:line="240" w:lineRule="auto"/>
        <w:jc w:val="both"/>
        <w:rPr>
          <w:rFonts w:ascii="Times New Roman" w:hAnsi="Times New Roman" w:cs="Times New Roman"/>
          <w:b/>
          <w:color w:val="333333"/>
          <w:spacing w:val="-2"/>
          <w:sz w:val="24"/>
          <w:szCs w:val="24"/>
          <w:shd w:val="clear" w:color="auto" w:fill="FFFFFF"/>
        </w:rPr>
      </w:pPr>
      <w:r w:rsidRPr="0050295F">
        <w:rPr>
          <w:rFonts w:ascii="Times New Roman" w:hAnsi="Times New Roman" w:cs="Times New Roman"/>
          <w:b/>
          <w:color w:val="333333"/>
          <w:spacing w:val="-2"/>
          <w:sz w:val="24"/>
          <w:szCs w:val="24"/>
          <w:shd w:val="clear" w:color="auto" w:fill="FFFFFF"/>
        </w:rPr>
        <w:lastRenderedPageBreak/>
        <w:t>The Scriptural Foundation of Women Equality</w:t>
      </w:r>
    </w:p>
    <w:p w14:paraId="0C83D18D" w14:textId="28C136AB" w:rsidR="0050295F" w:rsidRPr="0050295F" w:rsidRDefault="0050295F" w:rsidP="00836493">
      <w:pPr>
        <w:spacing w:line="240" w:lineRule="auto"/>
        <w:jc w:val="both"/>
        <w:rPr>
          <w:rFonts w:ascii="Times New Roman" w:hAnsi="Times New Roman" w:cs="Times New Roman"/>
          <w:b/>
          <w:color w:val="001320"/>
          <w:sz w:val="24"/>
          <w:szCs w:val="24"/>
          <w:shd w:val="clear" w:color="auto" w:fill="FFFFFF"/>
        </w:rPr>
      </w:pPr>
      <w:r w:rsidRPr="0050295F">
        <w:rPr>
          <w:rFonts w:ascii="Times New Roman" w:hAnsi="Times New Roman" w:cs="Times New Roman"/>
          <w:b/>
          <w:color w:val="001320"/>
          <w:sz w:val="24"/>
          <w:szCs w:val="24"/>
          <w:shd w:val="clear" w:color="auto" w:fill="FFFFFF"/>
        </w:rPr>
        <w:t xml:space="preserve"> Created in God’s Image</w:t>
      </w:r>
      <w:r>
        <w:rPr>
          <w:rFonts w:ascii="Times New Roman" w:hAnsi="Times New Roman" w:cs="Times New Roman"/>
          <w:b/>
          <w:color w:val="001320"/>
          <w:sz w:val="24"/>
          <w:szCs w:val="24"/>
          <w:shd w:val="clear" w:color="auto" w:fill="FFFFFF"/>
        </w:rPr>
        <w:t>:</w:t>
      </w:r>
    </w:p>
    <w:p w14:paraId="333B7666" w14:textId="77777777" w:rsidR="00F246A8" w:rsidRPr="0050295F" w:rsidRDefault="00F246A8" w:rsidP="00836493">
      <w:pPr>
        <w:spacing w:line="240" w:lineRule="auto"/>
        <w:jc w:val="both"/>
        <w:rPr>
          <w:rFonts w:ascii="Times New Roman" w:hAnsi="Times New Roman" w:cs="Times New Roman"/>
          <w:color w:val="001320"/>
          <w:sz w:val="24"/>
          <w:szCs w:val="24"/>
          <w:shd w:val="clear" w:color="auto" w:fill="FFFFFF"/>
        </w:rPr>
      </w:pPr>
      <w:r w:rsidRPr="0050295F">
        <w:rPr>
          <w:rFonts w:ascii="Times New Roman" w:hAnsi="Times New Roman" w:cs="Times New Roman"/>
          <w:color w:val="001320"/>
          <w:sz w:val="24"/>
          <w:szCs w:val="24"/>
          <w:shd w:val="clear" w:color="auto" w:fill="FFFFFF"/>
        </w:rPr>
        <w:t>According to the Bible, women and men share equal worth and dignity</w:t>
      </w:r>
      <w:r w:rsidR="00ED3A62" w:rsidRPr="0050295F">
        <w:rPr>
          <w:rStyle w:val="FootnoteReference"/>
          <w:rFonts w:ascii="Times New Roman" w:hAnsi="Times New Roman" w:cs="Times New Roman"/>
          <w:color w:val="001320"/>
          <w:sz w:val="24"/>
          <w:szCs w:val="24"/>
          <w:shd w:val="clear" w:color="auto" w:fill="FFFFFF"/>
        </w:rPr>
        <w:footnoteReference w:id="38"/>
      </w:r>
      <w:r w:rsidRPr="0050295F">
        <w:rPr>
          <w:rFonts w:ascii="Times New Roman" w:hAnsi="Times New Roman" w:cs="Times New Roman"/>
          <w:color w:val="001320"/>
          <w:sz w:val="24"/>
          <w:szCs w:val="24"/>
          <w:shd w:val="clear" w:color="auto" w:fill="FFFFFF"/>
        </w:rPr>
        <w:t>. According to</w:t>
      </w:r>
      <w:r w:rsidR="00D7509D" w:rsidRPr="0050295F">
        <w:rPr>
          <w:rFonts w:ascii="Times New Roman" w:hAnsi="Times New Roman" w:cs="Times New Roman"/>
          <w:sz w:val="24"/>
          <w:szCs w:val="24"/>
        </w:rPr>
        <w:t xml:space="preserve">  </w:t>
      </w:r>
    </w:p>
    <w:p w14:paraId="6BEBD8EE" w14:textId="6FAE471F" w:rsidR="00A63547" w:rsidRPr="0050295F" w:rsidRDefault="00520A8A" w:rsidP="00836493">
      <w:pPr>
        <w:spacing w:line="240" w:lineRule="auto"/>
        <w:jc w:val="both"/>
        <w:rPr>
          <w:rFonts w:ascii="Times New Roman" w:hAnsi="Times New Roman" w:cs="Times New Roman"/>
          <w:color w:val="001320"/>
          <w:sz w:val="24"/>
          <w:szCs w:val="24"/>
          <w:shd w:val="clear" w:color="auto" w:fill="FFFFFF"/>
        </w:rPr>
      </w:pPr>
      <w:r w:rsidRPr="0050295F">
        <w:rPr>
          <w:rFonts w:ascii="Times New Roman" w:hAnsi="Times New Roman" w:cs="Times New Roman"/>
          <w:color w:val="333333"/>
          <w:spacing w:val="-2"/>
          <w:sz w:val="24"/>
          <w:szCs w:val="24"/>
          <w:shd w:val="clear" w:color="auto" w:fill="FFFFFF"/>
        </w:rPr>
        <w:t xml:space="preserve">Genesis </w:t>
      </w:r>
      <w:r w:rsidR="00F246A8" w:rsidRPr="0050295F">
        <w:rPr>
          <w:rFonts w:ascii="Times New Roman" w:hAnsi="Times New Roman" w:cs="Times New Roman"/>
          <w:color w:val="333333"/>
          <w:spacing w:val="-2"/>
          <w:sz w:val="24"/>
          <w:szCs w:val="24"/>
          <w:shd w:val="clear" w:color="auto" w:fill="FFFFFF"/>
        </w:rPr>
        <w:t xml:space="preserve">1:27 </w:t>
      </w:r>
      <w:r w:rsidRPr="0050295F">
        <w:rPr>
          <w:rFonts w:ascii="Times New Roman" w:hAnsi="Times New Roman" w:cs="Times New Roman"/>
          <w:color w:val="001320"/>
          <w:sz w:val="24"/>
          <w:szCs w:val="24"/>
          <w:shd w:val="clear" w:color="auto" w:fill="FFFFFF"/>
        </w:rPr>
        <w:t xml:space="preserve">God created man in His own image; in the image of </w:t>
      </w:r>
      <w:r w:rsidR="00061FE7" w:rsidRPr="0050295F">
        <w:rPr>
          <w:rFonts w:ascii="Times New Roman" w:hAnsi="Times New Roman" w:cs="Times New Roman"/>
          <w:color w:val="001320"/>
          <w:sz w:val="24"/>
          <w:szCs w:val="24"/>
          <w:shd w:val="clear" w:color="auto" w:fill="FFFFFF"/>
        </w:rPr>
        <w:t>God,</w:t>
      </w:r>
      <w:r w:rsidRPr="0050295F">
        <w:rPr>
          <w:rFonts w:ascii="Times New Roman" w:hAnsi="Times New Roman" w:cs="Times New Roman"/>
          <w:color w:val="001320"/>
          <w:sz w:val="24"/>
          <w:szCs w:val="24"/>
          <w:shd w:val="clear" w:color="auto" w:fill="FFFFFF"/>
        </w:rPr>
        <w:t xml:space="preserve"> He created him; male and female He created them”</w:t>
      </w:r>
      <w:r w:rsidR="00F246A8" w:rsidRPr="0050295F">
        <w:rPr>
          <w:rFonts w:ascii="Times New Roman" w:hAnsi="Times New Roman" w:cs="Times New Roman"/>
          <w:color w:val="001320"/>
          <w:sz w:val="24"/>
          <w:szCs w:val="24"/>
          <w:shd w:val="clear" w:color="auto" w:fill="FFFFFF"/>
        </w:rPr>
        <w:t>.</w:t>
      </w:r>
      <w:r w:rsidRPr="0050295F">
        <w:rPr>
          <w:rFonts w:ascii="Times New Roman" w:hAnsi="Times New Roman" w:cs="Times New Roman"/>
          <w:color w:val="001320"/>
          <w:sz w:val="24"/>
          <w:szCs w:val="24"/>
          <w:shd w:val="clear" w:color="auto" w:fill="FFFFFF"/>
        </w:rPr>
        <w:t xml:space="preserve">  Both sexes bear the divine imprint, underscoring their equal value before God</w:t>
      </w:r>
      <w:r w:rsidR="00F246A8" w:rsidRPr="0050295F">
        <w:rPr>
          <w:rStyle w:val="FootnoteReference"/>
          <w:rFonts w:ascii="Times New Roman" w:hAnsi="Times New Roman" w:cs="Times New Roman"/>
          <w:color w:val="001320"/>
          <w:sz w:val="24"/>
          <w:szCs w:val="24"/>
          <w:shd w:val="clear" w:color="auto" w:fill="FFFFFF"/>
        </w:rPr>
        <w:footnoteReference w:id="39"/>
      </w:r>
      <w:r w:rsidR="00A63547" w:rsidRPr="0050295F">
        <w:rPr>
          <w:rFonts w:ascii="Times New Roman" w:hAnsi="Times New Roman" w:cs="Times New Roman"/>
          <w:color w:val="001320"/>
          <w:sz w:val="24"/>
          <w:szCs w:val="24"/>
          <w:shd w:val="clear" w:color="auto" w:fill="FFFFFF"/>
        </w:rPr>
        <w:t xml:space="preserve"> </w:t>
      </w:r>
      <w:r w:rsidR="00A63547" w:rsidRPr="0050295F">
        <w:rPr>
          <w:rFonts w:ascii="Times New Roman" w:eastAsia="Times New Roman" w:hAnsi="Times New Roman" w:cs="Times New Roman"/>
          <w:color w:val="0F1115"/>
          <w:sz w:val="24"/>
          <w:szCs w:val="24"/>
          <w:lang w:val="en-NG" w:eastAsia="en-NG"/>
        </w:rPr>
        <w:t>The initial chapter of Genesis offers a foundational theological basis for the equality of women: "So God created mankind in his own image, in the image of God he created them; male and female he created them" (Genesis 1:27). This verse asserts that both men and women equally and simultaneously embody the divine imago Dei. In contrast to ancient Near Eastern creation narratives, which often depicted women as derivative or secondary, the Priestly account situates the creation of male and female within the same creative act, with both receiving the same blessing, the same dominion mandate, and the same inherent dignity. The created order does not inherently contain a hierarchy; thus, difference should not be equated with subordination. From a theological perspective, this implies that any social, legal, or ecclesiastical structure that systematically undermines women's agency or value is not only unjust but also constitutes an affront to the divine image within them.</w:t>
      </w:r>
    </w:p>
    <w:p w14:paraId="1E3A6CA1" w14:textId="0DD4CE64" w:rsidR="00C555F3" w:rsidRPr="00C555F3" w:rsidRDefault="00A63547" w:rsidP="00C555F3">
      <w:pPr>
        <w:shd w:val="clear" w:color="auto" w:fill="FFFFFF"/>
        <w:spacing w:before="240" w:after="240" w:line="240" w:lineRule="auto"/>
        <w:jc w:val="both"/>
        <w:rPr>
          <w:rFonts w:ascii="Times New Roman" w:eastAsia="Times New Roman" w:hAnsi="Times New Roman" w:cs="Times New Roman"/>
          <w:color w:val="0F1115"/>
          <w:sz w:val="24"/>
          <w:szCs w:val="24"/>
          <w:lang w:val="en-NG" w:eastAsia="en-NG"/>
        </w:rPr>
      </w:pPr>
      <w:r w:rsidRPr="0050295F">
        <w:rPr>
          <w:rFonts w:ascii="Times New Roman" w:eastAsia="Times New Roman" w:hAnsi="Times New Roman" w:cs="Times New Roman"/>
          <w:color w:val="0F1115"/>
          <w:sz w:val="24"/>
          <w:szCs w:val="24"/>
          <w:lang w:val="en-NG" w:eastAsia="en-NG"/>
        </w:rPr>
        <w:t xml:space="preserve">This biblical anthropology finds a notable parallel in Nigerian constitutional law. The 1999 Constitution of the Federal Republic of Nigeria (as amended) states in Section 15(2) that "discrimination on the grounds of place of origin, sex, religion, status, ethnic or linguistic association or ties shall be prohibited." Furthermore, Section 42(1) explicitly ensures that no citizen shall face discrimination based on sex, among other criteria. These provisions echo the foundational intuition of Genesis 1:27: that sex-based differentiation does not warrant sex-based hierarchy. Just as the concept of </w:t>
      </w:r>
      <w:r w:rsidRPr="0050295F">
        <w:rPr>
          <w:rFonts w:ascii="Times New Roman" w:eastAsia="Times New Roman" w:hAnsi="Times New Roman" w:cs="Times New Roman"/>
          <w:i/>
          <w:iCs/>
          <w:color w:val="0F1115"/>
          <w:sz w:val="24"/>
          <w:szCs w:val="24"/>
          <w:lang w:val="en-NG" w:eastAsia="en-NG"/>
        </w:rPr>
        <w:t>imago Dei</w:t>
      </w:r>
      <w:r w:rsidRPr="0050295F">
        <w:rPr>
          <w:rFonts w:ascii="Times New Roman" w:eastAsia="Times New Roman" w:hAnsi="Times New Roman" w:cs="Times New Roman"/>
          <w:color w:val="0F1115"/>
          <w:sz w:val="24"/>
          <w:szCs w:val="24"/>
          <w:lang w:val="en-NG" w:eastAsia="en-NG"/>
        </w:rPr>
        <w:t xml:space="preserve"> endows every woman with an intrinsic dignity that no human institution may legitimately infringe upon, the non-discrimination clauses of the Nigerian Constitution affirm that the state lacks the authority to treat women as inferior before the law. Notably, Section 17(3)(e) extends this principle by directing state policy towards substantive equality, mandating "equal pay for equal work without discrimination on account of sex." In instances where customary laws or religious practices have attempted to restrict women's inheritance rights, political participation, or economic agency, the courts have increasingly invoked these constitutional protections. This is exemplified by the Supreme Court's 2020 ruling, which deemed the prohibition against Igbo women inheriting property as discriminatory, a decision firmly rooted in Section 42(1)(a) and (2). Thus, the constitutional framework reflects the Genesis assertion: woman is not a secondary creation but a co-bearer of sovereign dignity.</w:t>
      </w:r>
    </w:p>
    <w:p w14:paraId="22B71AFA" w14:textId="153A2BDD" w:rsidR="00F246A8" w:rsidRPr="0050295F" w:rsidRDefault="00F246A8" w:rsidP="00836493">
      <w:pPr>
        <w:pStyle w:val="NormalWeb"/>
        <w:shd w:val="clear" w:color="auto" w:fill="FFFFFF"/>
        <w:jc w:val="both"/>
        <w:rPr>
          <w:color w:val="001320"/>
        </w:rPr>
      </w:pPr>
      <w:r w:rsidRPr="0050295F">
        <w:rPr>
          <w:b/>
          <w:bCs/>
          <w:color w:val="001320"/>
        </w:rPr>
        <w:t>Equal Access to Salvation and Spiritual Blessings</w:t>
      </w:r>
    </w:p>
    <w:p w14:paraId="02720FD7" w14:textId="7C75C418" w:rsidR="00A63547" w:rsidRPr="0050295F" w:rsidRDefault="00F246A8" w:rsidP="00836493">
      <w:pPr>
        <w:shd w:val="clear" w:color="auto" w:fill="FFFFFF"/>
        <w:spacing w:before="240" w:after="240" w:line="240" w:lineRule="auto"/>
        <w:jc w:val="both"/>
        <w:rPr>
          <w:rFonts w:ascii="Times New Roman" w:eastAsia="Times New Roman" w:hAnsi="Times New Roman" w:cs="Times New Roman"/>
          <w:color w:val="0F1115"/>
          <w:sz w:val="24"/>
          <w:szCs w:val="24"/>
          <w:lang w:val="en-NG" w:eastAsia="en-NG"/>
        </w:rPr>
      </w:pPr>
      <w:r w:rsidRPr="0050295F">
        <w:rPr>
          <w:rFonts w:ascii="Times New Roman" w:hAnsi="Times New Roman" w:cs="Times New Roman"/>
          <w:color w:val="001320"/>
          <w:sz w:val="24"/>
          <w:szCs w:val="24"/>
        </w:rPr>
        <w:t>In the New Testament Galatian3:28,</w:t>
      </w:r>
      <w:r w:rsidR="00313EFB" w:rsidRPr="0050295F">
        <w:rPr>
          <w:rFonts w:ascii="Times New Roman" w:hAnsi="Times New Roman" w:cs="Times New Roman"/>
          <w:color w:val="001320"/>
          <w:sz w:val="24"/>
          <w:szCs w:val="24"/>
        </w:rPr>
        <w:t xml:space="preserve"> </w:t>
      </w:r>
      <w:r w:rsidRPr="0050295F">
        <w:rPr>
          <w:rFonts w:ascii="Times New Roman" w:hAnsi="Times New Roman" w:cs="Times New Roman"/>
          <w:color w:val="001320"/>
          <w:sz w:val="24"/>
          <w:szCs w:val="24"/>
        </w:rPr>
        <w:t>declares, “There is neither Jew nor Greek, slave nor free, male nor female, for you are all one in Christ Jesus.” Believers stand on level ground in salvation and receive equal standing through faith in Christ.</w:t>
      </w:r>
      <w:r w:rsidRPr="0050295F">
        <w:rPr>
          <w:rStyle w:val="FootnoteReference"/>
          <w:rFonts w:ascii="Times New Roman" w:hAnsi="Times New Roman" w:cs="Times New Roman"/>
          <w:color w:val="001320"/>
          <w:sz w:val="24"/>
          <w:szCs w:val="24"/>
        </w:rPr>
        <w:footnoteReference w:id="40"/>
      </w:r>
      <w:r w:rsidR="00A63547" w:rsidRPr="0050295F">
        <w:rPr>
          <w:rFonts w:ascii="Times New Roman" w:hAnsi="Times New Roman" w:cs="Times New Roman"/>
          <w:color w:val="001320"/>
          <w:sz w:val="24"/>
          <w:szCs w:val="24"/>
        </w:rPr>
        <w:t xml:space="preserve"> </w:t>
      </w:r>
      <w:r w:rsidR="00A63547" w:rsidRPr="0050295F">
        <w:rPr>
          <w:rFonts w:ascii="Times New Roman" w:eastAsia="Times New Roman" w:hAnsi="Times New Roman" w:cs="Times New Roman"/>
          <w:color w:val="0F1115"/>
          <w:sz w:val="24"/>
          <w:szCs w:val="24"/>
          <w:lang w:val="en-NG" w:eastAsia="en-NG"/>
        </w:rPr>
        <w:t xml:space="preserve">The Apostle Paul's declaration in Galatians 3:28 constitutes the New Testament's most radical statement on human equality: "There is neither Jew </w:t>
      </w:r>
      <w:r w:rsidR="00A63547" w:rsidRPr="0050295F">
        <w:rPr>
          <w:rFonts w:ascii="Times New Roman" w:eastAsia="Times New Roman" w:hAnsi="Times New Roman" w:cs="Times New Roman"/>
          <w:color w:val="0F1115"/>
          <w:sz w:val="24"/>
          <w:szCs w:val="24"/>
          <w:lang w:val="en-NG" w:eastAsia="en-NG"/>
        </w:rPr>
        <w:lastRenderedPageBreak/>
        <w:t xml:space="preserve">nor Gentile, neither slave nor free, nor is there male and female, for you are all one in Christ Jesus." In its original context, Paul was arguing against those who required Gentile converts to adopt the entire Mosaic law. However, the verse's logic extends far beyond the circumcision controversy. </w:t>
      </w:r>
      <w:r w:rsidR="009908DA">
        <w:rPr>
          <w:rFonts w:ascii="Times New Roman" w:eastAsia="Times New Roman" w:hAnsi="Times New Roman" w:cs="Times New Roman"/>
          <w:color w:val="0F1115"/>
          <w:sz w:val="24"/>
          <w:szCs w:val="24"/>
          <w:lang w:val="en-NG" w:eastAsia="en-NG"/>
        </w:rPr>
        <w:t>Paul claims that the new creation in Christ essentially relativizes, if not eliminates, all human hierarchies that proclaim ultimate control over admission to salvation by enumerating gender, socioeconomic, and ethnic differences. The wording "nor is there male and female" purposefully mirrors Genesis 1:27, meaning that baptism restores what the fall distorted: not the erasing of biological sex, but the disintegration of patriarchy as a salvific category. Women do not require male mediation to approach God; faith alone, equally available to all, governs the sole condition for inclusion in the covenant community.</w:t>
      </w:r>
    </w:p>
    <w:p w14:paraId="54DE2A66" w14:textId="723E55E0" w:rsidR="00A63547" w:rsidRPr="007E0318" w:rsidRDefault="0050295F" w:rsidP="00836493">
      <w:pPr>
        <w:shd w:val="clear" w:color="auto" w:fill="FFFFFF"/>
        <w:spacing w:before="240" w:after="240" w:line="240" w:lineRule="auto"/>
        <w:jc w:val="both"/>
        <w:rPr>
          <w:rFonts w:ascii="Times New Roman" w:eastAsia="Times New Roman" w:hAnsi="Times New Roman" w:cs="Times New Roman"/>
          <w:color w:val="0F1115"/>
          <w:sz w:val="24"/>
          <w:szCs w:val="24"/>
          <w:lang w:val="en-NG" w:eastAsia="en-NG"/>
        </w:rPr>
      </w:pPr>
      <w:r w:rsidRPr="0050295F">
        <w:rPr>
          <w:rFonts w:ascii="Times New Roman" w:eastAsia="Times New Roman" w:hAnsi="Times New Roman" w:cs="Times New Roman"/>
          <w:sz w:val="24"/>
          <w:szCs w:val="24"/>
          <w:lang w:val="en-NG" w:eastAsia="en-NG"/>
        </w:rPr>
        <w:t xml:space="preserve">The pertinence of this passage to Nigerian jurisprudence is not derived from direct citation (as the Constitution is a secular document) but rather from its parallel emphasis on equal access to rights and opportunities. </w:t>
      </w:r>
      <w:r w:rsidR="007E0318">
        <w:rPr>
          <w:rFonts w:ascii="Times New Roman" w:eastAsia="Times New Roman" w:hAnsi="Times New Roman" w:cs="Times New Roman"/>
          <w:sz w:val="24"/>
          <w:szCs w:val="24"/>
          <w:lang w:val="en-NG" w:eastAsia="en-NG"/>
        </w:rPr>
        <w:t xml:space="preserve">The Nigerian Constitution's Section 15(2) forbids sex-based discrimination, and Section 42(1) upholds the idea that no Nigerian should be denied any benefit or right because of their gender. </w:t>
      </w:r>
      <w:proofErr w:type="gramStart"/>
      <w:r w:rsidR="007E0318">
        <w:rPr>
          <w:rFonts w:ascii="Times New Roman" w:eastAsia="Times New Roman" w:hAnsi="Times New Roman" w:cs="Times New Roman"/>
          <w:sz w:val="24"/>
          <w:szCs w:val="24"/>
          <w:lang w:val="en-NG" w:eastAsia="en-NG"/>
        </w:rPr>
        <w:t>Similar to</w:t>
      </w:r>
      <w:proofErr w:type="gramEnd"/>
      <w:r w:rsidR="007E0318">
        <w:rPr>
          <w:rFonts w:ascii="Times New Roman" w:eastAsia="Times New Roman" w:hAnsi="Times New Roman" w:cs="Times New Roman"/>
          <w:sz w:val="24"/>
          <w:szCs w:val="24"/>
          <w:lang w:val="en-NG" w:eastAsia="en-NG"/>
        </w:rPr>
        <w:t xml:space="preserve"> how Paul's gospel prohibited the church from establishing gender-based barriers to grace, the Nigerian government is prohibited by the constitution from denying women access to political participation, work, education, or legal remedies </w:t>
      </w:r>
      <w:proofErr w:type="gramStart"/>
      <w:r w:rsidR="007E0318">
        <w:rPr>
          <w:rFonts w:ascii="Times New Roman" w:eastAsia="Times New Roman" w:hAnsi="Times New Roman" w:cs="Times New Roman"/>
          <w:sz w:val="24"/>
          <w:szCs w:val="24"/>
          <w:lang w:val="en-NG" w:eastAsia="en-NG"/>
        </w:rPr>
        <w:t>on the basis of</w:t>
      </w:r>
      <w:proofErr w:type="gramEnd"/>
      <w:r w:rsidR="007E0318">
        <w:rPr>
          <w:rFonts w:ascii="Times New Roman" w:eastAsia="Times New Roman" w:hAnsi="Times New Roman" w:cs="Times New Roman"/>
          <w:sz w:val="24"/>
          <w:szCs w:val="24"/>
          <w:lang w:val="en-NG" w:eastAsia="en-NG"/>
        </w:rPr>
        <w:t xml:space="preserve"> their gender. Additionally, "every citizen shall have equality of rights, obligations and opportunities before the law" according to Section 17(2)(a). </w:t>
      </w:r>
      <w:r w:rsidR="007E0318">
        <w:rPr>
          <w:rFonts w:ascii="Times New Roman" w:eastAsia="Times New Roman" w:hAnsi="Times New Roman" w:cs="Times New Roman"/>
          <w:color w:val="0F1115"/>
          <w:sz w:val="24"/>
          <w:szCs w:val="24"/>
          <w:lang w:val="en-NG" w:eastAsia="en-NG"/>
        </w:rPr>
        <w:t>The persistent gap between constitutional promise and lived reality reflected in low female political representation, discriminatory customary practices, and the Senate's 2016 rejection of a comprehensive gender equality bill on religious grounds does not diminish the legal norm but rather indicts the institutions charged with enforcing it. Additionally, Nigeria has an international obligation to integrate domestic law with the equality principle due to its ratification of the Convention on the Elimination of All Forms of Discrimination Against Women (CEDAW), which defines discrimination as "any distinction, exclusion or restriction made on the basis of sex which has the effect or purpose of impairing the enjoyment by women" of their human rights. For the Christian lawyer and scholar, Galatians 3:28 gives a theological requirement that confirms the constitutional one: where law and gospel agree on equality, the church has no reason to enforce hierarchy as a divine order.</w:t>
      </w:r>
    </w:p>
    <w:p w14:paraId="5A8855C5" w14:textId="77777777" w:rsidR="0068191E" w:rsidRDefault="00F246A8" w:rsidP="00836493">
      <w:pPr>
        <w:pStyle w:val="NormalWeb"/>
        <w:shd w:val="clear" w:color="auto" w:fill="FFFFFF"/>
        <w:jc w:val="both"/>
        <w:rPr>
          <w:b/>
          <w:bCs/>
          <w:color w:val="001320"/>
        </w:rPr>
      </w:pPr>
      <w:r w:rsidRPr="0050295F">
        <w:rPr>
          <w:b/>
          <w:bCs/>
          <w:color w:val="001320"/>
        </w:rPr>
        <w:t>Co-Heirs of God’s Grace</w:t>
      </w:r>
    </w:p>
    <w:p w14:paraId="3A49E0A9" w14:textId="60BE6545" w:rsidR="00A63547" w:rsidRPr="0068191E" w:rsidRDefault="0068191E" w:rsidP="00836493">
      <w:pPr>
        <w:pStyle w:val="NormalWeb"/>
        <w:shd w:val="clear" w:color="auto" w:fill="FFFFFF"/>
        <w:jc w:val="both"/>
        <w:rPr>
          <w:b/>
          <w:bCs/>
          <w:color w:val="001320"/>
        </w:rPr>
      </w:pPr>
      <w:r>
        <w:rPr>
          <w:color w:val="001320"/>
        </w:rPr>
        <w:t xml:space="preserve">In 1Peter 3:7, Peter instructs husbands to treat their wives with reverence “as fellow heirs of the gracious gift of life.” This emphasizes mutual respect and joint participation in the blessings of redemption. The apostle Peter, writing to churches experiencing social pressure, instructs husbands: "Likewise, </w:t>
      </w:r>
      <w:proofErr w:type="gramStart"/>
      <w:r>
        <w:rPr>
          <w:color w:val="001320"/>
        </w:rPr>
        <w:t>you</w:t>
      </w:r>
      <w:proofErr w:type="gramEnd"/>
      <w:r>
        <w:rPr>
          <w:color w:val="001320"/>
        </w:rPr>
        <w:t xml:space="preserve"> husbands must give honor to your wives. Treat her with understanding as you live together. She may be weaker than you are, but she is your equal partner in God's gift of new life" (1 Peter 3:7, New Living Translation). </w:t>
      </w:r>
      <w:r w:rsidR="00A63547" w:rsidRPr="0050295F">
        <w:rPr>
          <w:color w:val="0F1115"/>
          <w:lang w:val="en-NG" w:eastAsia="en-NG"/>
        </w:rPr>
        <w:t>The Greek phrase </w:t>
      </w:r>
      <w:proofErr w:type="spellStart"/>
      <w:r w:rsidR="00A63547" w:rsidRPr="0050295F">
        <w:rPr>
          <w:i/>
          <w:iCs/>
          <w:color w:val="0F1115"/>
          <w:lang w:val="en-NG" w:eastAsia="en-NG"/>
        </w:rPr>
        <w:t>sugklēronomos</w:t>
      </w:r>
      <w:proofErr w:type="spellEnd"/>
      <w:r w:rsidR="00A63547" w:rsidRPr="0050295F">
        <w:rPr>
          <w:i/>
          <w:iCs/>
          <w:color w:val="0F1115"/>
          <w:lang w:val="en-NG" w:eastAsia="en-NG"/>
        </w:rPr>
        <w:t xml:space="preserve"> </w:t>
      </w:r>
      <w:proofErr w:type="spellStart"/>
      <w:r w:rsidR="00A63547" w:rsidRPr="0050295F">
        <w:rPr>
          <w:i/>
          <w:iCs/>
          <w:color w:val="0F1115"/>
          <w:lang w:val="en-NG" w:eastAsia="en-NG"/>
        </w:rPr>
        <w:t>charitos</w:t>
      </w:r>
      <w:proofErr w:type="spellEnd"/>
      <w:r w:rsidR="00A63547" w:rsidRPr="0050295F">
        <w:rPr>
          <w:i/>
          <w:iCs/>
          <w:color w:val="0F1115"/>
          <w:lang w:val="en-NG" w:eastAsia="en-NG"/>
        </w:rPr>
        <w:t xml:space="preserve"> </w:t>
      </w:r>
      <w:r w:rsidR="00A63547" w:rsidRPr="0050295F">
        <w:rPr>
          <w:color w:val="0F1115"/>
          <w:lang w:val="en-NG" w:eastAsia="en-NG"/>
        </w:rPr>
        <w:t>translated as "co-heir of the grace of life"</w:t>
      </w:r>
      <w:r>
        <w:rPr>
          <w:color w:val="0F1115"/>
          <w:lang w:val="en-NG" w:eastAsia="en-NG"/>
        </w:rPr>
        <w:t xml:space="preserve"> </w:t>
      </w:r>
      <w:r w:rsidR="00A63547" w:rsidRPr="0050295F">
        <w:rPr>
          <w:color w:val="0F1115"/>
          <w:lang w:val="en-NG" w:eastAsia="en-NG"/>
        </w:rPr>
        <w:t>is juridically loaded. An heir (</w:t>
      </w:r>
      <w:proofErr w:type="spellStart"/>
      <w:r w:rsidR="00A63547" w:rsidRPr="0050295F">
        <w:rPr>
          <w:i/>
          <w:iCs/>
          <w:color w:val="0F1115"/>
          <w:lang w:val="en-NG" w:eastAsia="en-NG"/>
        </w:rPr>
        <w:t>klēronomos</w:t>
      </w:r>
      <w:proofErr w:type="spellEnd"/>
      <w:r w:rsidR="00A63547" w:rsidRPr="0050295F">
        <w:rPr>
          <w:color w:val="0F1115"/>
          <w:lang w:val="en-NG" w:eastAsia="en-NG"/>
        </w:rPr>
        <w:t xml:space="preserve">) possesses a legal claim to an inheritance not by favour but by right. </w:t>
      </w:r>
      <w:r>
        <w:rPr>
          <w:color w:val="0F1115"/>
          <w:lang w:val="en-NG" w:eastAsia="en-NG"/>
        </w:rPr>
        <w:t>Peter utilizes this word to argue that women stand before God not as dependents obtaining grace by male consent, but as joint tenants in the estate of salvation.</w:t>
      </w:r>
      <w:r w:rsidR="00A63547" w:rsidRPr="0050295F">
        <w:rPr>
          <w:color w:val="0F1115"/>
          <w:lang w:val="en-NG" w:eastAsia="en-NG"/>
        </w:rPr>
        <w:t xml:space="preserve"> </w:t>
      </w:r>
      <w:r>
        <w:rPr>
          <w:color w:val="0F1115"/>
          <w:lang w:val="en-NG" w:eastAsia="en-NG"/>
        </w:rPr>
        <w:t xml:space="preserve">The qualification "weaker vessel" </w:t>
      </w:r>
      <w:r w:rsidRPr="0068191E">
        <w:rPr>
          <w:color w:val="0F1115"/>
          <w:lang w:val="en-NG" w:eastAsia="en-NG"/>
        </w:rPr>
        <w:t>(</w:t>
      </w:r>
      <w:proofErr w:type="spellStart"/>
      <w:r w:rsidRPr="0068191E">
        <w:rPr>
          <w:i/>
          <w:iCs/>
          <w:color w:val="0F1115"/>
          <w:lang w:val="en-NG" w:eastAsia="en-NG"/>
        </w:rPr>
        <w:t>asthenesterō</w:t>
      </w:r>
      <w:proofErr w:type="spellEnd"/>
      <w:r w:rsidRPr="0068191E">
        <w:rPr>
          <w:i/>
          <w:iCs/>
          <w:color w:val="0F1115"/>
          <w:lang w:val="en-NG" w:eastAsia="en-NG"/>
        </w:rPr>
        <w:t xml:space="preserve"> </w:t>
      </w:r>
      <w:proofErr w:type="spellStart"/>
      <w:r w:rsidRPr="0068191E">
        <w:rPr>
          <w:i/>
          <w:iCs/>
          <w:color w:val="0F1115"/>
          <w:lang w:val="en-NG" w:eastAsia="en-NG"/>
        </w:rPr>
        <w:t>skeuei</w:t>
      </w:r>
      <w:proofErr w:type="spellEnd"/>
      <w:r>
        <w:rPr>
          <w:color w:val="0F1115"/>
          <w:lang w:val="en-NG" w:eastAsia="en-NG"/>
        </w:rPr>
        <w:t xml:space="preserve">) has provoked substantial interpretive dispute, although most contemporary exegetes view it as a reference to physical weakness or social disadvantage, not intellectual or spiritual inadequacy. </w:t>
      </w:r>
      <w:r w:rsidR="00A63547" w:rsidRPr="0050295F">
        <w:rPr>
          <w:color w:val="0F1115"/>
          <w:lang w:val="en-NG" w:eastAsia="en-NG"/>
        </w:rPr>
        <w:t xml:space="preserve">The imperative that follows "giving </w:t>
      </w:r>
      <w:proofErr w:type="spellStart"/>
      <w:r w:rsidR="00A63547" w:rsidRPr="0050295F">
        <w:rPr>
          <w:color w:val="0F1115"/>
          <w:lang w:val="en-NG" w:eastAsia="en-NG"/>
        </w:rPr>
        <w:t>honor</w:t>
      </w:r>
      <w:proofErr w:type="spellEnd"/>
      <w:r w:rsidR="00A63547" w:rsidRPr="0050295F">
        <w:rPr>
          <w:color w:val="0F1115"/>
          <w:lang w:val="en-NG" w:eastAsia="en-NG"/>
        </w:rPr>
        <w:t>" (</w:t>
      </w:r>
      <w:proofErr w:type="spellStart"/>
      <w:r w:rsidR="00A63547" w:rsidRPr="0050295F">
        <w:rPr>
          <w:i/>
          <w:iCs/>
          <w:color w:val="0F1115"/>
          <w:lang w:val="en-NG" w:eastAsia="en-NG"/>
        </w:rPr>
        <w:t>apodidontes</w:t>
      </w:r>
      <w:proofErr w:type="spellEnd"/>
      <w:r w:rsidR="00A63547" w:rsidRPr="0050295F">
        <w:rPr>
          <w:i/>
          <w:iCs/>
          <w:color w:val="0F1115"/>
          <w:lang w:val="en-NG" w:eastAsia="en-NG"/>
        </w:rPr>
        <w:t xml:space="preserve"> </w:t>
      </w:r>
      <w:proofErr w:type="spellStart"/>
      <w:r w:rsidR="00A63547" w:rsidRPr="0050295F">
        <w:rPr>
          <w:i/>
          <w:iCs/>
          <w:color w:val="0F1115"/>
          <w:lang w:val="en-NG" w:eastAsia="en-NG"/>
        </w:rPr>
        <w:t>timēn</w:t>
      </w:r>
      <w:proofErr w:type="spellEnd"/>
      <w:r w:rsidR="00A63547" w:rsidRPr="0050295F">
        <w:rPr>
          <w:color w:val="0F1115"/>
          <w:lang w:val="en-NG" w:eastAsia="en-NG"/>
        </w:rPr>
        <w:t xml:space="preserve">) requires husbands to actively recognize and </w:t>
      </w:r>
      <w:r w:rsidR="00A63547" w:rsidRPr="0050295F">
        <w:rPr>
          <w:color w:val="0F1115"/>
          <w:lang w:val="en-NG" w:eastAsia="en-NG"/>
        </w:rPr>
        <w:lastRenderedPageBreak/>
        <w:t>compensate for any power imbalance, a command that anticipates modern concepts of affirmative obligation.</w:t>
      </w:r>
    </w:p>
    <w:p w14:paraId="448A31FC" w14:textId="5C4C5B49" w:rsidR="00F246A8" w:rsidRPr="0050295F" w:rsidRDefault="00A63547" w:rsidP="00836493">
      <w:pPr>
        <w:pStyle w:val="NormalWeb"/>
        <w:shd w:val="clear" w:color="auto" w:fill="FFFFFF"/>
        <w:jc w:val="both"/>
        <w:rPr>
          <w:color w:val="001320"/>
        </w:rPr>
      </w:pPr>
      <w:r w:rsidRPr="0050295F">
        <w:rPr>
          <w:color w:val="0F1115"/>
          <w:lang w:val="en-NG" w:eastAsia="en-NG"/>
        </w:rPr>
        <w:t xml:space="preserve">This biblical concept of co-heirship finds a striking analogue in Nigerian constitutional jurisprudence, particularly </w:t>
      </w:r>
      <w:proofErr w:type="gramStart"/>
      <w:r w:rsidRPr="0050295F">
        <w:rPr>
          <w:color w:val="0F1115"/>
          <w:lang w:val="en-NG" w:eastAsia="en-NG"/>
        </w:rPr>
        <w:t>in the area of</w:t>
      </w:r>
      <w:proofErr w:type="gramEnd"/>
      <w:r w:rsidRPr="0050295F">
        <w:rPr>
          <w:color w:val="0F1115"/>
          <w:lang w:val="en-NG" w:eastAsia="en-NG"/>
        </w:rPr>
        <w:t xml:space="preserve"> inheritance rights a domain where customary law has historically excluded women. Section 42 of the 1999 Constitution prohibits discrimination on the ground of sex, a provision that the Supreme Court has interpreted to invalidate customary practices that deny female children the right to inherit their father's estate. The Court held that any tradition or custom that excludes a female child from inheritance is discriminatory and therefore unconstitutional, directly applying Section 42(1)(a) and (2). Similarly, Section 17(2)(a) establishes the principle of equality of rights and obligations before the law as a fundamental objective of state policy. The co-heirship of 1 Peter 3:7 thus translates into concrete legal entitlements: a woman cannot be disinherited simply because she is a woman; a wife has equal legal standing with her husband before Nigerian courts; and the state bears an obligation to eliminate all forms of gender-based discrimination. However, Nigeria's ratification of CEDAW has not been fully domesticated, meaning its provisions remain unenforceable in domestic courts, a gap that Christian advocates grounded in the theological conviction that women are co-heirs, not secondary recipients must work to close. For the Christian lawyer, the convergence is unmistakable: the same God who declares women co-heirs of grace has equipped the Constitution with instruments to enforce their co-heirship in the temporal order. The task of the believing legal professional is to ensure that the promise of co-heirship is not denied by custom, tradition, or selective citation of Scripture.</w:t>
      </w:r>
    </w:p>
    <w:p w14:paraId="04AC7541" w14:textId="2213327C" w:rsidR="00CF6C5F" w:rsidRPr="0050295F" w:rsidRDefault="00313EFB" w:rsidP="00836493">
      <w:pPr>
        <w:pStyle w:val="NormalWeb"/>
        <w:shd w:val="clear" w:color="auto" w:fill="FFFFFF"/>
        <w:jc w:val="both"/>
        <w:rPr>
          <w:b/>
          <w:color w:val="001320"/>
        </w:rPr>
      </w:pPr>
      <w:r w:rsidRPr="0050295F">
        <w:rPr>
          <w:b/>
          <w:color w:val="001320"/>
        </w:rPr>
        <w:t>Impact of Christian Faith on The Status of Women</w:t>
      </w:r>
      <w:r w:rsidR="00CF6C5F" w:rsidRPr="0050295F">
        <w:rPr>
          <w:b/>
          <w:color w:val="001320"/>
        </w:rPr>
        <w:t xml:space="preserve"> </w:t>
      </w:r>
    </w:p>
    <w:p w14:paraId="759E8CF6" w14:textId="77777777" w:rsidR="0076284B" w:rsidRDefault="00CF6C5F" w:rsidP="00836493">
      <w:pPr>
        <w:pStyle w:val="NormalWeb"/>
        <w:shd w:val="clear" w:color="auto" w:fill="FFFFFF"/>
        <w:jc w:val="both"/>
        <w:rPr>
          <w:color w:val="001320"/>
        </w:rPr>
      </w:pPr>
      <w:r w:rsidRPr="0050295F">
        <w:rPr>
          <w:color w:val="001320"/>
        </w:rPr>
        <w:t>Christianity has also shaped women</w:t>
      </w:r>
      <w:r w:rsidR="00A63547" w:rsidRPr="0050295F">
        <w:rPr>
          <w:color w:val="001320"/>
        </w:rPr>
        <w:t>’</w:t>
      </w:r>
      <w:r w:rsidRPr="0050295F">
        <w:rPr>
          <w:color w:val="001320"/>
        </w:rPr>
        <w:t>s access to education, healthcare, and leadership, often through church networks. These networks provided platforms for women to step into public life and advocate for justice.</w:t>
      </w:r>
      <w:r w:rsidRPr="0050295F">
        <w:rPr>
          <w:rStyle w:val="FootnoteReference"/>
          <w:color w:val="001320"/>
        </w:rPr>
        <w:footnoteReference w:id="41"/>
      </w:r>
      <w:r w:rsidRPr="0050295F">
        <w:rPr>
          <w:color w:val="001320"/>
        </w:rPr>
        <w:t xml:space="preserve"> While church institutions have often upheld conservative roles for women, theology itself has also given women powerful tools for self-expression and social change even in legal spaces.</w:t>
      </w:r>
      <w:r w:rsidRPr="0050295F">
        <w:rPr>
          <w:rStyle w:val="FootnoteReference"/>
          <w:color w:val="001320"/>
        </w:rPr>
        <w:footnoteReference w:id="42"/>
      </w:r>
      <w:r w:rsidRPr="0050295F">
        <w:rPr>
          <w:color w:val="001320"/>
        </w:rPr>
        <w:t xml:space="preserve"> Scholars like Sylvia Tamale </w:t>
      </w:r>
      <w:r w:rsidR="0076284B" w:rsidRPr="0076284B">
        <w:rPr>
          <w:color w:val="001320"/>
        </w:rPr>
        <w:t>contend that this principle remains applicable even within legal contexts</w:t>
      </w:r>
      <w:r w:rsidRPr="0050295F">
        <w:rPr>
          <w:color w:val="001320"/>
        </w:rPr>
        <w:t>.</w:t>
      </w:r>
      <w:r w:rsidRPr="0050295F">
        <w:rPr>
          <w:rStyle w:val="FootnoteReference"/>
          <w:color w:val="001320"/>
        </w:rPr>
        <w:footnoteReference w:id="43"/>
      </w:r>
      <w:r w:rsidRPr="0050295F">
        <w:rPr>
          <w:color w:val="001320"/>
        </w:rPr>
        <w:t xml:space="preserve"> </w:t>
      </w:r>
    </w:p>
    <w:p w14:paraId="2926C8EF" w14:textId="0C4D6DA4" w:rsidR="00313EFB" w:rsidRPr="0050295F" w:rsidRDefault="0076284B" w:rsidP="00836493">
      <w:pPr>
        <w:pStyle w:val="NormalWeb"/>
        <w:shd w:val="clear" w:color="auto" w:fill="FFFFFF"/>
        <w:jc w:val="both"/>
        <w:rPr>
          <w:color w:val="001320"/>
        </w:rPr>
      </w:pPr>
      <w:r>
        <w:rPr>
          <w:color w:val="001320"/>
        </w:rPr>
        <w:t xml:space="preserve">Christianity has a particularly significant impact on African legal systems, as religion and customary rules frequently influence day-to-day activities. Christian teachings give many women the courage to confront restrictive standards and assert their rights. Pentecostalism contributes to this momentum by endorsing the struggle for gender equality because of its emphasis on divine justice. Section 42 of Nigeria's 1999 Constitution, which guarantees freedom from discrimination, </w:t>
      </w:r>
      <w:r>
        <w:rPr>
          <w:color w:val="001320"/>
        </w:rPr>
        <w:lastRenderedPageBreak/>
        <w:t xml:space="preserve">is a good fit for this objective. </w:t>
      </w:r>
      <w:proofErr w:type="gramStart"/>
      <w:r>
        <w:rPr>
          <w:color w:val="001320"/>
        </w:rPr>
        <w:t>In order to</w:t>
      </w:r>
      <w:proofErr w:type="gramEnd"/>
      <w:r>
        <w:rPr>
          <w:color w:val="001320"/>
        </w:rPr>
        <w:t xml:space="preserve"> show that theology may serve as a solid basis for legal reforms, scholars support integrating religious and legal discussions. </w:t>
      </w:r>
    </w:p>
    <w:p w14:paraId="107E25C1" w14:textId="2627E218" w:rsidR="002E4BF9" w:rsidRDefault="002E4BF9" w:rsidP="00836493">
      <w:pPr>
        <w:pStyle w:val="NormalWeb"/>
        <w:shd w:val="clear" w:color="auto" w:fill="FFFFFF"/>
        <w:jc w:val="both"/>
        <w:rPr>
          <w:color w:val="001320"/>
        </w:rPr>
      </w:pPr>
      <w:r w:rsidRPr="0050295F">
        <w:rPr>
          <w:color w:val="001320"/>
        </w:rPr>
        <w:t>Christians today may champion women’s rights in various spheres</w:t>
      </w:r>
      <w:r w:rsidR="00313EFB" w:rsidRPr="0050295F">
        <w:rPr>
          <w:color w:val="001320"/>
        </w:rPr>
        <w:t xml:space="preserve"> </w:t>
      </w:r>
      <w:r w:rsidRPr="0050295F">
        <w:rPr>
          <w:color w:val="001320"/>
        </w:rPr>
        <w:t>education, career opportunities, health care, and Christian service</w:t>
      </w:r>
      <w:r w:rsidR="00313EFB" w:rsidRPr="0050295F">
        <w:rPr>
          <w:color w:val="001320"/>
        </w:rPr>
        <w:t xml:space="preserve"> </w:t>
      </w:r>
      <w:r w:rsidRPr="0050295F">
        <w:rPr>
          <w:color w:val="001320"/>
        </w:rPr>
        <w:t>while maintaining that God has established an order, rooted not in oppression but in loving cooperation. Upholding the biblical vision for equality allows engagement with certain feminist goals (e.g., combatting domestic violence, promoting dignity, and ensuring fair treatment) without endorsing elements that conflict with scriptural teachings on family and church life.</w:t>
      </w:r>
    </w:p>
    <w:p w14:paraId="64FE8975" w14:textId="203340BF" w:rsidR="0076284B" w:rsidRPr="0076284B" w:rsidRDefault="0076284B" w:rsidP="00836493">
      <w:pPr>
        <w:pStyle w:val="NormalWeb"/>
        <w:shd w:val="clear" w:color="auto" w:fill="FFFFFF"/>
        <w:jc w:val="both"/>
        <w:rPr>
          <w:b/>
          <w:bCs/>
          <w:color w:val="001320"/>
        </w:rPr>
      </w:pPr>
      <w:r w:rsidRPr="0076284B">
        <w:rPr>
          <w:b/>
          <w:bCs/>
          <w:color w:val="001320"/>
        </w:rPr>
        <w:t>Conclusion</w:t>
      </w:r>
    </w:p>
    <w:p w14:paraId="527B14EF" w14:textId="31418947" w:rsidR="00F246A8" w:rsidRPr="0050295F" w:rsidRDefault="006B0D00" w:rsidP="00836493">
      <w:pPr>
        <w:pStyle w:val="NormalWeb"/>
        <w:shd w:val="clear" w:color="auto" w:fill="FFFFFF"/>
        <w:jc w:val="both"/>
        <w:rPr>
          <w:color w:val="001320"/>
        </w:rPr>
      </w:pPr>
      <w:r>
        <w:rPr>
          <w:color w:val="001320"/>
        </w:rPr>
        <w:t>Christian teachings on rebirth, personal transformation, and equality before God contain robust egalitarian elements that align with both constitutional and human rights principles. Many Nigerian Pentecostal women have subverted prescribed gender roles by redefining spiritual giftings, prophetic calling, and divine anointing as sources of legitimate leadership. The same biblical tradition that has suppressed women also supplies the hermeneutical resources for their emancipation, as African female theologians participate in redefinition and renaming interpreting Scripture through their own voices.</w:t>
      </w:r>
    </w:p>
    <w:p w14:paraId="56DEFB06" w14:textId="77777777" w:rsidR="00F246A8" w:rsidRPr="0050295F" w:rsidRDefault="00ED3A62" w:rsidP="0050295F">
      <w:pPr>
        <w:spacing w:line="480" w:lineRule="auto"/>
        <w:jc w:val="both"/>
        <w:rPr>
          <w:rFonts w:ascii="Times New Roman" w:hAnsi="Times New Roman" w:cs="Times New Roman"/>
          <w:color w:val="333333"/>
          <w:spacing w:val="-2"/>
          <w:sz w:val="24"/>
          <w:szCs w:val="24"/>
          <w:shd w:val="clear" w:color="auto" w:fill="FFFFFF"/>
        </w:rPr>
      </w:pPr>
      <w:r w:rsidRPr="0050295F">
        <w:rPr>
          <w:rFonts w:ascii="Times New Roman" w:hAnsi="Times New Roman" w:cs="Times New Roman"/>
          <w:color w:val="333333"/>
          <w:spacing w:val="-2"/>
          <w:sz w:val="24"/>
          <w:szCs w:val="24"/>
          <w:shd w:val="clear" w:color="auto" w:fill="FFFFFF"/>
        </w:rPr>
        <w:t xml:space="preserve"> </w:t>
      </w:r>
    </w:p>
    <w:sectPr w:rsidR="00F246A8" w:rsidRPr="0050295F">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C8A4A" w14:textId="77777777" w:rsidR="00C5198D" w:rsidRDefault="00C5198D" w:rsidP="006E5240">
      <w:pPr>
        <w:spacing w:after="0" w:line="240" w:lineRule="auto"/>
      </w:pPr>
      <w:r>
        <w:separator/>
      </w:r>
    </w:p>
  </w:endnote>
  <w:endnote w:type="continuationSeparator" w:id="0">
    <w:p w14:paraId="096647E1" w14:textId="77777777" w:rsidR="00C5198D" w:rsidRDefault="00C5198D" w:rsidP="006E5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959864"/>
      <w:docPartObj>
        <w:docPartGallery w:val="Page Numbers (Bottom of Page)"/>
        <w:docPartUnique/>
      </w:docPartObj>
    </w:sdtPr>
    <w:sdtEndPr>
      <w:rPr>
        <w:noProof/>
      </w:rPr>
    </w:sdtEndPr>
    <w:sdtContent>
      <w:p w14:paraId="44FF360E" w14:textId="37771972" w:rsidR="000108B6" w:rsidRDefault="000108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DB9479" w14:textId="77777777" w:rsidR="000108B6" w:rsidRDefault="00010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BAEE" w14:textId="77777777" w:rsidR="00C5198D" w:rsidRDefault="00C5198D" w:rsidP="006E5240">
      <w:pPr>
        <w:spacing w:after="0" w:line="240" w:lineRule="auto"/>
      </w:pPr>
      <w:r>
        <w:separator/>
      </w:r>
    </w:p>
  </w:footnote>
  <w:footnote w:type="continuationSeparator" w:id="0">
    <w:p w14:paraId="689D6208" w14:textId="77777777" w:rsidR="00C5198D" w:rsidRDefault="00C5198D" w:rsidP="006E5240">
      <w:pPr>
        <w:spacing w:after="0" w:line="240" w:lineRule="auto"/>
      </w:pPr>
      <w:r>
        <w:continuationSeparator/>
      </w:r>
    </w:p>
  </w:footnote>
  <w:footnote w:id="1">
    <w:p w14:paraId="65AFE276" w14:textId="403B55A7" w:rsidR="000F0032" w:rsidRPr="00956C80" w:rsidRDefault="000F0032">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002C51A3" w:rsidRPr="00956C80">
        <w:rPr>
          <w:rFonts w:ascii="Times New Roman" w:hAnsi="Times New Roman" w:cs="Times New Roman"/>
        </w:rPr>
        <w:t xml:space="preserve">O </w:t>
      </w:r>
      <w:proofErr w:type="spellStart"/>
      <w:r w:rsidR="002C51A3" w:rsidRPr="00956C80">
        <w:rPr>
          <w:rFonts w:ascii="Times New Roman" w:hAnsi="Times New Roman" w:cs="Times New Roman"/>
        </w:rPr>
        <w:t>Oliyide</w:t>
      </w:r>
      <w:proofErr w:type="spellEnd"/>
      <w:r w:rsidR="002C51A3" w:rsidRPr="00956C80">
        <w:rPr>
          <w:rFonts w:ascii="Times New Roman" w:hAnsi="Times New Roman" w:cs="Times New Roman"/>
        </w:rPr>
        <w:t xml:space="preserve">, O Awolowo, </w:t>
      </w:r>
      <w:r w:rsidR="002C51A3" w:rsidRPr="00956C80">
        <w:rPr>
          <w:rFonts w:ascii="Times New Roman" w:hAnsi="Times New Roman" w:cs="Times New Roman"/>
          <w:i/>
        </w:rPr>
        <w:t>Rights,</w:t>
      </w:r>
      <w:r w:rsidR="009A654B" w:rsidRPr="00956C80">
        <w:rPr>
          <w:rFonts w:ascii="Times New Roman" w:hAnsi="Times New Roman" w:cs="Times New Roman"/>
          <w:i/>
        </w:rPr>
        <w:t xml:space="preserve"> </w:t>
      </w:r>
      <w:r w:rsidR="002C51A3" w:rsidRPr="00956C80">
        <w:rPr>
          <w:rFonts w:ascii="Times New Roman" w:hAnsi="Times New Roman" w:cs="Times New Roman"/>
        </w:rPr>
        <w:t>(Throne of Grace Ltd Publishers,</w:t>
      </w:r>
      <w:r w:rsidR="003F3282" w:rsidRPr="00956C80">
        <w:rPr>
          <w:rFonts w:ascii="Times New Roman" w:hAnsi="Times New Roman" w:cs="Times New Roman"/>
        </w:rPr>
        <w:t xml:space="preserve"> Lagos </w:t>
      </w:r>
      <w:r w:rsidR="002C51A3" w:rsidRPr="00956C80">
        <w:rPr>
          <w:rFonts w:ascii="Times New Roman" w:hAnsi="Times New Roman" w:cs="Times New Roman"/>
        </w:rPr>
        <w:t xml:space="preserve">2006) 132 </w:t>
      </w:r>
    </w:p>
  </w:footnote>
  <w:footnote w:id="2">
    <w:p w14:paraId="278FBCC8" w14:textId="787F31ED" w:rsidR="00FB7A65" w:rsidRPr="00956C80" w:rsidRDefault="00FB7A65">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O. Nnaemeka, Nego-Feminism: Theorizing, Practicing, and Pruning Africa</w:t>
      </w:r>
      <w:r w:rsidR="009A654B" w:rsidRPr="00956C80">
        <w:rPr>
          <w:rFonts w:ascii="Times New Roman" w:hAnsi="Times New Roman" w:cs="Times New Roman"/>
        </w:rPr>
        <w:t>’</w:t>
      </w:r>
      <w:r w:rsidRPr="00956C80">
        <w:rPr>
          <w:rFonts w:ascii="Times New Roman" w:hAnsi="Times New Roman" w:cs="Times New Roman"/>
        </w:rPr>
        <w:t>s Way, 29(2) 2004 Signs: Journal of Women in Culture and Society, 357–385, https://doi.org/10.1086/378553</w:t>
      </w:r>
    </w:p>
  </w:footnote>
  <w:footnote w:id="3">
    <w:p w14:paraId="504A1E6B" w14:textId="77777777" w:rsidR="00FB7A65" w:rsidRPr="00956C80" w:rsidRDefault="00FB7A65">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M.A. </w:t>
      </w:r>
      <w:proofErr w:type="spellStart"/>
      <w:r w:rsidRPr="00956C80">
        <w:rPr>
          <w:rFonts w:ascii="Times New Roman" w:hAnsi="Times New Roman" w:cs="Times New Roman"/>
        </w:rPr>
        <w:t>Oduyoye</w:t>
      </w:r>
      <w:proofErr w:type="spellEnd"/>
      <w:r w:rsidRPr="00956C80">
        <w:rPr>
          <w:rFonts w:ascii="Times New Roman" w:hAnsi="Times New Roman" w:cs="Times New Roman"/>
        </w:rPr>
        <w:t>, Beads and Strands: Reflections of an African Woman on Christianity in Africa, Oxford, Regnum Books, 2004.</w:t>
      </w:r>
    </w:p>
  </w:footnote>
  <w:footnote w:id="4">
    <w:p w14:paraId="467DDFF0" w14:textId="77777777" w:rsidR="00FB7A65" w:rsidRPr="00956C80" w:rsidRDefault="00FB7A65">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E.N </w:t>
      </w:r>
      <w:proofErr w:type="spellStart"/>
      <w:r w:rsidRPr="00956C80">
        <w:rPr>
          <w:rFonts w:ascii="Times New Roman" w:hAnsi="Times New Roman" w:cs="Times New Roman"/>
        </w:rPr>
        <w:t>Chegwe</w:t>
      </w:r>
      <w:proofErr w:type="spellEnd"/>
      <w:r w:rsidRPr="00956C80">
        <w:rPr>
          <w:rFonts w:ascii="Times New Roman" w:hAnsi="Times New Roman" w:cs="Times New Roman"/>
        </w:rPr>
        <w:t xml:space="preserve">, Born Again, Equal Again: Pentecostal Theology, Legal Pluralism, And </w:t>
      </w:r>
      <w:proofErr w:type="spellStart"/>
      <w:r w:rsidRPr="00956C80">
        <w:rPr>
          <w:rFonts w:ascii="Times New Roman" w:hAnsi="Times New Roman" w:cs="Times New Roman"/>
        </w:rPr>
        <w:t>Reconceptualising</w:t>
      </w:r>
      <w:proofErr w:type="spellEnd"/>
      <w:r w:rsidRPr="00956C80">
        <w:rPr>
          <w:rFonts w:ascii="Times New Roman" w:hAnsi="Times New Roman" w:cs="Times New Roman"/>
        </w:rPr>
        <w:t xml:space="preserve"> Women’s Rights </w:t>
      </w:r>
      <w:proofErr w:type="gramStart"/>
      <w:r w:rsidRPr="00956C80">
        <w:rPr>
          <w:rFonts w:ascii="Times New Roman" w:hAnsi="Times New Roman" w:cs="Times New Roman"/>
        </w:rPr>
        <w:t>In</w:t>
      </w:r>
      <w:proofErr w:type="gramEnd"/>
      <w:r w:rsidRPr="00956C80">
        <w:rPr>
          <w:rFonts w:ascii="Times New Roman" w:hAnsi="Times New Roman" w:cs="Times New Roman"/>
        </w:rPr>
        <w:t xml:space="preserve"> Africa, KWASULI, 2025 Vol. 4 No1</w:t>
      </w:r>
    </w:p>
  </w:footnote>
  <w:footnote w:id="5">
    <w:p w14:paraId="6604D7B2" w14:textId="77777777" w:rsidR="0075468D" w:rsidRPr="00956C80" w:rsidRDefault="0075468D">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hyperlink r:id="rId1" w:history="1">
        <w:r w:rsidRPr="00956C80">
          <w:rPr>
            <w:rStyle w:val="Hyperlink"/>
            <w:rFonts w:ascii="Times New Roman" w:hAnsi="Times New Roman" w:cs="Times New Roman"/>
          </w:rPr>
          <w:t>LAW Definition &amp; Meaning - Merriam-Webster</w:t>
        </w:r>
      </w:hyperlink>
      <w:r w:rsidRPr="00956C80">
        <w:rPr>
          <w:rFonts w:ascii="Times New Roman" w:hAnsi="Times New Roman" w:cs="Times New Roman"/>
        </w:rPr>
        <w:t xml:space="preserve"> accessed 12</w:t>
      </w:r>
      <w:r w:rsidRPr="00956C80">
        <w:rPr>
          <w:rFonts w:ascii="Times New Roman" w:hAnsi="Times New Roman" w:cs="Times New Roman"/>
          <w:vertAlign w:val="superscript"/>
        </w:rPr>
        <w:t>th</w:t>
      </w:r>
      <w:r w:rsidRPr="00956C80">
        <w:rPr>
          <w:rFonts w:ascii="Times New Roman" w:hAnsi="Times New Roman" w:cs="Times New Roman"/>
        </w:rPr>
        <w:t xml:space="preserve"> </w:t>
      </w:r>
      <w:proofErr w:type="gramStart"/>
      <w:r w:rsidRPr="00956C80">
        <w:rPr>
          <w:rFonts w:ascii="Times New Roman" w:hAnsi="Times New Roman" w:cs="Times New Roman"/>
        </w:rPr>
        <w:t>May,</w:t>
      </w:r>
      <w:proofErr w:type="gramEnd"/>
      <w:r w:rsidRPr="00956C80">
        <w:rPr>
          <w:rFonts w:ascii="Times New Roman" w:hAnsi="Times New Roman" w:cs="Times New Roman"/>
        </w:rPr>
        <w:t xml:space="preserve"> 2026</w:t>
      </w:r>
    </w:p>
  </w:footnote>
  <w:footnote w:id="6">
    <w:p w14:paraId="6FDB7603" w14:textId="6B732BAE" w:rsidR="0075468D" w:rsidRPr="00956C80" w:rsidRDefault="0075468D" w:rsidP="00232EDC">
      <w:pPr>
        <w:rPr>
          <w:rFonts w:ascii="Times New Roman" w:hAnsi="Times New Roman" w:cs="Times New Roman"/>
          <w:b/>
          <w:sz w:val="20"/>
          <w:szCs w:val="20"/>
        </w:rPr>
      </w:pPr>
      <w:r w:rsidRPr="00956C80">
        <w:rPr>
          <w:rStyle w:val="FootnoteReference"/>
          <w:rFonts w:ascii="Times New Roman" w:hAnsi="Times New Roman" w:cs="Times New Roman"/>
          <w:sz w:val="20"/>
          <w:szCs w:val="20"/>
        </w:rPr>
        <w:footnoteRef/>
      </w:r>
      <w:r w:rsidRPr="00956C80">
        <w:rPr>
          <w:rFonts w:ascii="Times New Roman" w:hAnsi="Times New Roman" w:cs="Times New Roman"/>
          <w:sz w:val="20"/>
          <w:szCs w:val="20"/>
        </w:rPr>
        <w:t xml:space="preserve"> </w:t>
      </w:r>
      <w:hyperlink r:id="rId2" w:history="1">
        <w:r w:rsidRPr="00956C80">
          <w:rPr>
            <w:rStyle w:val="Hyperlink"/>
            <w:rFonts w:ascii="Times New Roman" w:hAnsi="Times New Roman" w:cs="Times New Roman"/>
            <w:sz w:val="20"/>
            <w:szCs w:val="20"/>
          </w:rPr>
          <w:t>LAW Definition &amp; Meaning | Dictionary.com</w:t>
        </w:r>
      </w:hyperlink>
    </w:p>
  </w:footnote>
  <w:footnote w:id="7">
    <w:p w14:paraId="6A6C4DC4" w14:textId="0FA0A38F" w:rsidR="003147C0" w:rsidRPr="0027261A" w:rsidRDefault="003147C0">
      <w:pPr>
        <w:pStyle w:val="FootnoteText"/>
        <w:rPr>
          <w:rFonts w:ascii="Times New Roman" w:hAnsi="Times New Roman" w:cs="Times New Roman"/>
        </w:rPr>
      </w:pPr>
      <w:r w:rsidRPr="0027261A">
        <w:rPr>
          <w:rStyle w:val="FootnoteReference"/>
          <w:rFonts w:ascii="Times New Roman" w:hAnsi="Times New Roman" w:cs="Times New Roman"/>
        </w:rPr>
        <w:footnoteRef/>
      </w:r>
      <w:r w:rsidRPr="0027261A">
        <w:rPr>
          <w:rFonts w:ascii="Times New Roman" w:hAnsi="Times New Roman" w:cs="Times New Roman"/>
        </w:rPr>
        <w:t xml:space="preserve"> </w:t>
      </w:r>
      <w:r w:rsidR="0027261A" w:rsidRPr="0027261A">
        <w:rPr>
          <w:rFonts w:ascii="Times New Roman" w:hAnsi="Times New Roman" w:cs="Times New Roman"/>
          <w:b/>
          <w:bCs/>
        </w:rPr>
        <w:t>Walby, S. (1989). ‘</w:t>
      </w:r>
      <w:proofErr w:type="spellStart"/>
      <w:r w:rsidR="0027261A" w:rsidRPr="0027261A">
        <w:rPr>
          <w:rFonts w:ascii="Times New Roman" w:hAnsi="Times New Roman" w:cs="Times New Roman"/>
          <w:b/>
          <w:bCs/>
        </w:rPr>
        <w:t>Theorising</w:t>
      </w:r>
      <w:proofErr w:type="spellEnd"/>
      <w:r w:rsidR="0027261A" w:rsidRPr="0027261A">
        <w:rPr>
          <w:rFonts w:ascii="Times New Roman" w:hAnsi="Times New Roman" w:cs="Times New Roman"/>
          <w:b/>
          <w:bCs/>
        </w:rPr>
        <w:t xml:space="preserve"> Patriarchy’, </w:t>
      </w:r>
      <w:r w:rsidR="0027261A" w:rsidRPr="0027261A">
        <w:rPr>
          <w:rFonts w:ascii="Times New Roman" w:hAnsi="Times New Roman" w:cs="Times New Roman"/>
          <w:b/>
          <w:bCs/>
          <w:i/>
          <w:iCs/>
        </w:rPr>
        <w:t>Sociology</w:t>
      </w:r>
      <w:r w:rsidR="0027261A" w:rsidRPr="0027261A">
        <w:rPr>
          <w:rFonts w:ascii="Times New Roman" w:hAnsi="Times New Roman" w:cs="Times New Roman"/>
          <w:b/>
          <w:bCs/>
        </w:rPr>
        <w:t>, 23(2), pp. 213–234.</w:t>
      </w:r>
    </w:p>
  </w:footnote>
  <w:footnote w:id="8">
    <w:p w14:paraId="336172E9"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King James Version </w:t>
      </w:r>
    </w:p>
  </w:footnote>
  <w:footnote w:id="9">
    <w:p w14:paraId="3C8216E2" w14:textId="226E0082"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 Haralambos and others, </w:t>
      </w:r>
      <w:r w:rsidRPr="00956C80">
        <w:rPr>
          <w:rFonts w:ascii="Times New Roman" w:hAnsi="Times New Roman" w:cs="Times New Roman"/>
          <w:i/>
        </w:rPr>
        <w:t>Sociology Themes and Perspectives</w:t>
      </w:r>
      <w:r w:rsidRPr="00956C80">
        <w:rPr>
          <w:rFonts w:ascii="Times New Roman" w:hAnsi="Times New Roman" w:cs="Times New Roman"/>
        </w:rPr>
        <w:t>,</w:t>
      </w:r>
      <w:r w:rsidR="00B05E46" w:rsidRPr="00956C80">
        <w:rPr>
          <w:rFonts w:ascii="Times New Roman" w:hAnsi="Times New Roman" w:cs="Times New Roman"/>
        </w:rPr>
        <w:t xml:space="preserve"> </w:t>
      </w:r>
      <w:r w:rsidRPr="00956C80">
        <w:rPr>
          <w:rFonts w:ascii="Times New Roman" w:hAnsi="Times New Roman" w:cs="Times New Roman"/>
        </w:rPr>
        <w:t>(8</w:t>
      </w:r>
      <w:r w:rsidRPr="00956C80">
        <w:rPr>
          <w:rFonts w:ascii="Times New Roman" w:hAnsi="Times New Roman" w:cs="Times New Roman"/>
          <w:vertAlign w:val="superscript"/>
        </w:rPr>
        <w:t>th</w:t>
      </w:r>
      <w:r w:rsidRPr="00956C80">
        <w:rPr>
          <w:rFonts w:ascii="Times New Roman" w:hAnsi="Times New Roman" w:cs="Times New Roman"/>
        </w:rPr>
        <w:t xml:space="preserve"> Edition, HarperCollins Publishers Limited 2013), 95</w:t>
      </w:r>
    </w:p>
  </w:footnote>
  <w:footnote w:id="10">
    <w:p w14:paraId="65B4A574"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hyperlink r:id="rId3" w:history="1">
        <w:r w:rsidRPr="00956C80">
          <w:rPr>
            <w:rStyle w:val="Hyperlink"/>
            <w:rFonts w:ascii="Times New Roman" w:hAnsi="Times New Roman" w:cs="Times New Roman"/>
          </w:rPr>
          <w:t>what- Is- Feminism- and- why- is- it- important? (globalcitizen.org)</w:t>
        </w:r>
      </w:hyperlink>
      <w:r w:rsidRPr="00956C80">
        <w:rPr>
          <w:rFonts w:ascii="Times New Roman" w:hAnsi="Times New Roman" w:cs="Times New Roman"/>
        </w:rPr>
        <w:t xml:space="preserve"> accessed 4</w:t>
      </w:r>
      <w:r w:rsidRPr="00956C80">
        <w:rPr>
          <w:rFonts w:ascii="Times New Roman" w:hAnsi="Times New Roman" w:cs="Times New Roman"/>
          <w:vertAlign w:val="superscript"/>
        </w:rPr>
        <w:t>th</w:t>
      </w:r>
      <w:r w:rsidRPr="00956C80">
        <w:rPr>
          <w:rFonts w:ascii="Times New Roman" w:hAnsi="Times New Roman" w:cs="Times New Roman"/>
        </w:rPr>
        <w:t xml:space="preserve"> </w:t>
      </w:r>
      <w:proofErr w:type="gramStart"/>
      <w:r w:rsidRPr="00956C80">
        <w:rPr>
          <w:rFonts w:ascii="Times New Roman" w:hAnsi="Times New Roman" w:cs="Times New Roman"/>
        </w:rPr>
        <w:t>May,</w:t>
      </w:r>
      <w:proofErr w:type="gramEnd"/>
      <w:r w:rsidRPr="00956C80">
        <w:rPr>
          <w:rFonts w:ascii="Times New Roman" w:hAnsi="Times New Roman" w:cs="Times New Roman"/>
        </w:rPr>
        <w:t xml:space="preserve"> 2026. </w:t>
      </w:r>
    </w:p>
  </w:footnote>
  <w:footnote w:id="11">
    <w:p w14:paraId="5E3C4CAC"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 Haralambos and others, </w:t>
      </w:r>
      <w:r w:rsidRPr="00956C80">
        <w:rPr>
          <w:rFonts w:ascii="Times New Roman" w:hAnsi="Times New Roman" w:cs="Times New Roman"/>
          <w:i/>
        </w:rPr>
        <w:t xml:space="preserve">Sociology Themes and </w:t>
      </w:r>
      <w:proofErr w:type="gramStart"/>
      <w:r w:rsidRPr="00956C80">
        <w:rPr>
          <w:rFonts w:ascii="Times New Roman" w:hAnsi="Times New Roman" w:cs="Times New Roman"/>
          <w:i/>
        </w:rPr>
        <w:t>Perspectives</w:t>
      </w:r>
      <w:r w:rsidRPr="00956C80">
        <w:rPr>
          <w:rFonts w:ascii="Times New Roman" w:hAnsi="Times New Roman" w:cs="Times New Roman"/>
        </w:rPr>
        <w:t>,(</w:t>
      </w:r>
      <w:proofErr w:type="gramEnd"/>
      <w:r w:rsidRPr="00956C80">
        <w:rPr>
          <w:rFonts w:ascii="Times New Roman" w:hAnsi="Times New Roman" w:cs="Times New Roman"/>
        </w:rPr>
        <w:t>8</w:t>
      </w:r>
      <w:r w:rsidRPr="00956C80">
        <w:rPr>
          <w:rFonts w:ascii="Times New Roman" w:hAnsi="Times New Roman" w:cs="Times New Roman"/>
          <w:vertAlign w:val="superscript"/>
        </w:rPr>
        <w:t>th</w:t>
      </w:r>
      <w:r w:rsidRPr="00956C80">
        <w:rPr>
          <w:rFonts w:ascii="Times New Roman" w:hAnsi="Times New Roman" w:cs="Times New Roman"/>
        </w:rPr>
        <w:t xml:space="preserve"> Edition, HarperCollins Publishers Limited 2013), 435 </w:t>
      </w:r>
    </w:p>
  </w:footnote>
  <w:footnote w:id="12">
    <w:p w14:paraId="4A565426" w14:textId="1B8069F2"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J I </w:t>
      </w:r>
      <w:proofErr w:type="spellStart"/>
      <w:r w:rsidRPr="00956C80">
        <w:rPr>
          <w:rFonts w:ascii="Times New Roman" w:hAnsi="Times New Roman" w:cs="Times New Roman"/>
        </w:rPr>
        <w:t>Omoregbe</w:t>
      </w:r>
      <w:proofErr w:type="spellEnd"/>
      <w:r w:rsidRPr="00956C80">
        <w:rPr>
          <w:rFonts w:ascii="Times New Roman" w:hAnsi="Times New Roman" w:cs="Times New Roman"/>
        </w:rPr>
        <w:t xml:space="preserve">, </w:t>
      </w:r>
      <w:r w:rsidRPr="00956C80">
        <w:rPr>
          <w:rFonts w:ascii="Times New Roman" w:hAnsi="Times New Roman" w:cs="Times New Roman"/>
          <w:i/>
        </w:rPr>
        <w:t>An Introduction to Philosophical Jurisprudence</w:t>
      </w:r>
      <w:r w:rsidR="0006640A" w:rsidRPr="00956C80">
        <w:rPr>
          <w:rFonts w:ascii="Times New Roman" w:hAnsi="Times New Roman" w:cs="Times New Roman"/>
          <w:i/>
        </w:rPr>
        <w:t xml:space="preserve"> </w:t>
      </w:r>
      <w:r w:rsidRPr="00956C80">
        <w:rPr>
          <w:rFonts w:ascii="Times New Roman" w:hAnsi="Times New Roman" w:cs="Times New Roman"/>
        </w:rPr>
        <w:t>(</w:t>
      </w:r>
      <w:proofErr w:type="spellStart"/>
      <w:r w:rsidRPr="00956C80">
        <w:rPr>
          <w:rFonts w:ascii="Times New Roman" w:hAnsi="Times New Roman" w:cs="Times New Roman"/>
        </w:rPr>
        <w:t>Joja</w:t>
      </w:r>
      <w:proofErr w:type="spellEnd"/>
      <w:r w:rsidRPr="00956C80">
        <w:rPr>
          <w:rFonts w:ascii="Times New Roman" w:hAnsi="Times New Roman" w:cs="Times New Roman"/>
        </w:rPr>
        <w:t xml:space="preserve"> Educational Research and Publishers Limited.2011) 151 </w:t>
      </w:r>
    </w:p>
  </w:footnote>
  <w:footnote w:id="13">
    <w:p w14:paraId="6CE724B2"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 Haralambos and others,435</w:t>
      </w:r>
    </w:p>
  </w:footnote>
  <w:footnote w:id="14">
    <w:p w14:paraId="7A77BA45"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Pr="00956C80">
        <w:rPr>
          <w:rFonts w:ascii="Times New Roman" w:hAnsi="Times New Roman" w:cs="Times New Roman"/>
          <w:i/>
        </w:rPr>
        <w:t xml:space="preserve">Ibid, </w:t>
      </w:r>
      <w:r w:rsidRPr="00956C80">
        <w:rPr>
          <w:rFonts w:ascii="Times New Roman" w:hAnsi="Times New Roman" w:cs="Times New Roman"/>
        </w:rPr>
        <w:t>105</w:t>
      </w:r>
    </w:p>
  </w:footnote>
  <w:footnote w:id="15">
    <w:p w14:paraId="5E31E1C6" w14:textId="4747FB28"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 Haralambos and others, </w:t>
      </w:r>
      <w:r w:rsidRPr="00956C80">
        <w:rPr>
          <w:rFonts w:ascii="Times New Roman" w:hAnsi="Times New Roman" w:cs="Times New Roman"/>
          <w:i/>
        </w:rPr>
        <w:t>Sociology Themes and Perspectives</w:t>
      </w:r>
      <w:r w:rsidRPr="00956C80">
        <w:rPr>
          <w:rFonts w:ascii="Times New Roman" w:hAnsi="Times New Roman" w:cs="Times New Roman"/>
        </w:rPr>
        <w:t>,</w:t>
      </w:r>
      <w:r w:rsidR="003432FA" w:rsidRPr="00956C80">
        <w:rPr>
          <w:rFonts w:ascii="Times New Roman" w:hAnsi="Times New Roman" w:cs="Times New Roman"/>
        </w:rPr>
        <w:t xml:space="preserve"> </w:t>
      </w:r>
      <w:r w:rsidRPr="00956C80">
        <w:rPr>
          <w:rFonts w:ascii="Times New Roman" w:hAnsi="Times New Roman" w:cs="Times New Roman"/>
        </w:rPr>
        <w:t>(8</w:t>
      </w:r>
      <w:r w:rsidRPr="00956C80">
        <w:rPr>
          <w:rFonts w:ascii="Times New Roman" w:hAnsi="Times New Roman" w:cs="Times New Roman"/>
          <w:vertAlign w:val="superscript"/>
        </w:rPr>
        <w:t>th</w:t>
      </w:r>
      <w:r w:rsidRPr="00956C80">
        <w:rPr>
          <w:rFonts w:ascii="Times New Roman" w:hAnsi="Times New Roman" w:cs="Times New Roman"/>
        </w:rPr>
        <w:t xml:space="preserve"> Edition, HarperCollins Publishers Limited 2013), 437 </w:t>
      </w:r>
    </w:p>
  </w:footnote>
  <w:footnote w:id="16">
    <w:p w14:paraId="3AAF5ABF"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437</w:t>
      </w:r>
    </w:p>
  </w:footnote>
  <w:footnote w:id="17">
    <w:p w14:paraId="743927DA"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Pr="00956C80">
        <w:rPr>
          <w:rFonts w:ascii="Times New Roman" w:hAnsi="Times New Roman" w:cs="Times New Roman"/>
          <w:i/>
        </w:rPr>
        <w:t xml:space="preserve">Ibid </w:t>
      </w:r>
      <w:r w:rsidRPr="00956C80">
        <w:rPr>
          <w:rFonts w:ascii="Times New Roman" w:hAnsi="Times New Roman" w:cs="Times New Roman"/>
        </w:rPr>
        <w:t>13</w:t>
      </w:r>
    </w:p>
  </w:footnote>
  <w:footnote w:id="18">
    <w:p w14:paraId="4FBAC790" w14:textId="2F7B153C"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K. Armstrong, in </w:t>
      </w:r>
      <w:r w:rsidRPr="00956C80">
        <w:rPr>
          <w:rFonts w:ascii="Times New Roman" w:hAnsi="Times New Roman" w:cs="Times New Roman"/>
          <w:i/>
        </w:rPr>
        <w:t>Sociology Themes and Perspectives</w:t>
      </w:r>
      <w:r w:rsidRPr="00956C80">
        <w:rPr>
          <w:rFonts w:ascii="Times New Roman" w:hAnsi="Times New Roman" w:cs="Times New Roman"/>
        </w:rPr>
        <w:t>,</w:t>
      </w:r>
      <w:r w:rsidR="003432FA" w:rsidRPr="00956C80">
        <w:rPr>
          <w:rFonts w:ascii="Times New Roman" w:hAnsi="Times New Roman" w:cs="Times New Roman"/>
        </w:rPr>
        <w:t xml:space="preserve"> </w:t>
      </w:r>
      <w:proofErr w:type="gramStart"/>
      <w:r w:rsidRPr="00956C80">
        <w:rPr>
          <w:rFonts w:ascii="Times New Roman" w:hAnsi="Times New Roman" w:cs="Times New Roman"/>
        </w:rPr>
        <w:t>( 8</w:t>
      </w:r>
      <w:proofErr w:type="gramEnd"/>
      <w:r w:rsidRPr="00956C80">
        <w:rPr>
          <w:rFonts w:ascii="Times New Roman" w:hAnsi="Times New Roman" w:cs="Times New Roman"/>
          <w:vertAlign w:val="superscript"/>
        </w:rPr>
        <w:t>th</w:t>
      </w:r>
      <w:r w:rsidRPr="00956C80">
        <w:rPr>
          <w:rFonts w:ascii="Times New Roman" w:hAnsi="Times New Roman" w:cs="Times New Roman"/>
        </w:rPr>
        <w:t xml:space="preserve"> Edition, HarperCollins Publishers Limited 2013),437</w:t>
      </w:r>
    </w:p>
  </w:footnote>
  <w:footnote w:id="19">
    <w:p w14:paraId="4B86B268"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proofErr w:type="gramStart"/>
      <w:r w:rsidRPr="00956C80">
        <w:rPr>
          <w:rFonts w:ascii="Times New Roman" w:hAnsi="Times New Roman" w:cs="Times New Roman"/>
        </w:rPr>
        <w:t>S  de</w:t>
      </w:r>
      <w:proofErr w:type="gramEnd"/>
      <w:r w:rsidRPr="00956C80">
        <w:rPr>
          <w:rFonts w:ascii="Times New Roman" w:hAnsi="Times New Roman" w:cs="Times New Roman"/>
        </w:rPr>
        <w:t xml:space="preserve"> </w:t>
      </w:r>
      <w:proofErr w:type="spellStart"/>
      <w:r w:rsidRPr="00956C80">
        <w:rPr>
          <w:rFonts w:ascii="Times New Roman" w:hAnsi="Times New Roman" w:cs="Times New Roman"/>
        </w:rPr>
        <w:t>Beavoir</w:t>
      </w:r>
      <w:proofErr w:type="spellEnd"/>
      <w:r w:rsidRPr="00956C80">
        <w:rPr>
          <w:rFonts w:ascii="Times New Roman" w:hAnsi="Times New Roman" w:cs="Times New Roman"/>
        </w:rPr>
        <w:t xml:space="preserve">, </w:t>
      </w:r>
      <w:r w:rsidRPr="00956C80">
        <w:rPr>
          <w:rFonts w:ascii="Times New Roman" w:hAnsi="Times New Roman" w:cs="Times New Roman"/>
          <w:i/>
        </w:rPr>
        <w:t>ibid,</w:t>
      </w:r>
      <w:r w:rsidRPr="00956C80">
        <w:rPr>
          <w:rFonts w:ascii="Times New Roman" w:hAnsi="Times New Roman" w:cs="Times New Roman"/>
        </w:rPr>
        <w:t>437</w:t>
      </w:r>
    </w:p>
  </w:footnote>
  <w:footnote w:id="20">
    <w:p w14:paraId="09772A7C" w14:textId="77777777" w:rsidR="001D2764" w:rsidRPr="00956C80" w:rsidRDefault="001D2764" w:rsidP="001D276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N El Saadawi in </w:t>
      </w:r>
      <w:proofErr w:type="gramStart"/>
      <w:r w:rsidRPr="00956C80">
        <w:rPr>
          <w:rFonts w:ascii="Times New Roman" w:hAnsi="Times New Roman" w:cs="Times New Roman"/>
        </w:rPr>
        <w:t>Haralambos ,</w:t>
      </w:r>
      <w:proofErr w:type="gramEnd"/>
      <w:r w:rsidRPr="00956C80">
        <w:rPr>
          <w:rFonts w:ascii="Times New Roman" w:hAnsi="Times New Roman" w:cs="Times New Roman"/>
        </w:rPr>
        <w:t xml:space="preserve"> 441</w:t>
      </w:r>
    </w:p>
  </w:footnote>
  <w:footnote w:id="21">
    <w:p w14:paraId="514B31AC" w14:textId="77777777" w:rsidR="0045063F" w:rsidRPr="00956C80" w:rsidRDefault="0045063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Sections 25,26and 27</w:t>
      </w:r>
    </w:p>
  </w:footnote>
  <w:footnote w:id="22">
    <w:p w14:paraId="4CBD7291" w14:textId="77777777" w:rsidR="00B5591F" w:rsidRPr="00956C80" w:rsidRDefault="00B5591F" w:rsidP="00B5591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Section 42 of the 1999 Constitution of the Federal Republic of Nigeria</w:t>
      </w:r>
      <w:r w:rsidR="009D0B15" w:rsidRPr="00956C80">
        <w:rPr>
          <w:rFonts w:ascii="Times New Roman" w:hAnsi="Times New Roman" w:cs="Times New Roman"/>
        </w:rPr>
        <w:t xml:space="preserve"> (FRN)</w:t>
      </w:r>
    </w:p>
  </w:footnote>
  <w:footnote w:id="23">
    <w:p w14:paraId="1AE111C6" w14:textId="77777777" w:rsidR="00A13FAE" w:rsidRPr="00956C80" w:rsidRDefault="00A13FAE">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proofErr w:type="gramStart"/>
      <w:r w:rsidRPr="00956C80">
        <w:rPr>
          <w:rFonts w:ascii="Times New Roman" w:hAnsi="Times New Roman" w:cs="Times New Roman"/>
        </w:rPr>
        <w:t>Section  26</w:t>
      </w:r>
      <w:proofErr w:type="gramEnd"/>
      <w:r w:rsidRPr="00956C80">
        <w:rPr>
          <w:rFonts w:ascii="Times New Roman" w:hAnsi="Times New Roman" w:cs="Times New Roman"/>
        </w:rPr>
        <w:t>(a)</w:t>
      </w:r>
    </w:p>
  </w:footnote>
  <w:footnote w:id="24">
    <w:p w14:paraId="47739E63" w14:textId="77777777" w:rsidR="00A13FAE" w:rsidRPr="00956C80" w:rsidRDefault="00A13FAE">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0095544C" w:rsidRPr="00956C80">
        <w:rPr>
          <w:rFonts w:ascii="Times New Roman" w:hAnsi="Times New Roman" w:cs="Times New Roman"/>
        </w:rPr>
        <w:t xml:space="preserve">A </w:t>
      </w:r>
      <w:proofErr w:type="spellStart"/>
      <w:r w:rsidR="0095544C" w:rsidRPr="00956C80">
        <w:rPr>
          <w:rFonts w:ascii="Times New Roman" w:hAnsi="Times New Roman" w:cs="Times New Roman"/>
        </w:rPr>
        <w:t>Atsenuwa</w:t>
      </w:r>
      <w:proofErr w:type="spellEnd"/>
      <w:r w:rsidR="007851E5" w:rsidRPr="00956C80">
        <w:rPr>
          <w:rFonts w:ascii="Times New Roman" w:hAnsi="Times New Roman" w:cs="Times New Roman"/>
        </w:rPr>
        <w:t>, Constitutionalism</w:t>
      </w:r>
      <w:r w:rsidR="0095544C" w:rsidRPr="00956C80">
        <w:rPr>
          <w:rFonts w:ascii="Times New Roman" w:hAnsi="Times New Roman" w:cs="Times New Roman"/>
        </w:rPr>
        <w:t xml:space="preserve"> and Legal Feminism:</w:t>
      </w:r>
      <w:r w:rsidR="007851E5" w:rsidRPr="00956C80">
        <w:rPr>
          <w:rFonts w:ascii="Times New Roman" w:hAnsi="Times New Roman" w:cs="Times New Roman"/>
        </w:rPr>
        <w:t xml:space="preserve"> </w:t>
      </w:r>
      <w:proofErr w:type="gramStart"/>
      <w:r w:rsidR="0095544C" w:rsidRPr="00956C80">
        <w:rPr>
          <w:rFonts w:ascii="Times New Roman" w:hAnsi="Times New Roman" w:cs="Times New Roman"/>
        </w:rPr>
        <w:t>Stepping Stones</w:t>
      </w:r>
      <w:proofErr w:type="gramEnd"/>
      <w:r w:rsidR="0095544C" w:rsidRPr="00956C80">
        <w:rPr>
          <w:rFonts w:ascii="Times New Roman" w:hAnsi="Times New Roman" w:cs="Times New Roman"/>
        </w:rPr>
        <w:t xml:space="preserve"> or</w:t>
      </w:r>
      <w:r w:rsidR="007851E5" w:rsidRPr="00956C80">
        <w:rPr>
          <w:rFonts w:ascii="Times New Roman" w:hAnsi="Times New Roman" w:cs="Times New Roman"/>
        </w:rPr>
        <w:t xml:space="preserve"> Impediments on the Road to Free</w:t>
      </w:r>
      <w:r w:rsidR="0095544C" w:rsidRPr="00956C80">
        <w:rPr>
          <w:rFonts w:ascii="Times New Roman" w:hAnsi="Times New Roman" w:cs="Times New Roman"/>
        </w:rPr>
        <w:t>dom for N</w:t>
      </w:r>
      <w:r w:rsidR="007851E5" w:rsidRPr="00956C80">
        <w:rPr>
          <w:rFonts w:ascii="Times New Roman" w:hAnsi="Times New Roman" w:cs="Times New Roman"/>
        </w:rPr>
        <w:t>i</w:t>
      </w:r>
      <w:r w:rsidR="0095544C" w:rsidRPr="00956C80">
        <w:rPr>
          <w:rFonts w:ascii="Times New Roman" w:hAnsi="Times New Roman" w:cs="Times New Roman"/>
        </w:rPr>
        <w:t>gerian Women? Niger</w:t>
      </w:r>
      <w:r w:rsidR="007851E5" w:rsidRPr="00956C80">
        <w:rPr>
          <w:rFonts w:ascii="Times New Roman" w:hAnsi="Times New Roman" w:cs="Times New Roman"/>
        </w:rPr>
        <w:t>i</w:t>
      </w:r>
      <w:r w:rsidR="0095544C" w:rsidRPr="00956C80">
        <w:rPr>
          <w:rFonts w:ascii="Times New Roman" w:hAnsi="Times New Roman" w:cs="Times New Roman"/>
        </w:rPr>
        <w:t>a Institute of Advanced Legal Studies</w:t>
      </w:r>
      <w:r w:rsidR="007851E5" w:rsidRPr="00956C80">
        <w:rPr>
          <w:rFonts w:ascii="Times New Roman" w:hAnsi="Times New Roman" w:cs="Times New Roman"/>
        </w:rPr>
        <w:t>, 29</w:t>
      </w:r>
    </w:p>
  </w:footnote>
  <w:footnote w:id="25">
    <w:p w14:paraId="3990246A" w14:textId="0E827AFC" w:rsidR="0032610E" w:rsidRPr="00956C80" w:rsidRDefault="0032610E">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J N Ezeilo, Women, Law and Human rights: Global and National Perspectives</w:t>
      </w:r>
      <w:r w:rsidR="00617FA2" w:rsidRPr="00956C80">
        <w:rPr>
          <w:rFonts w:ascii="Times New Roman" w:hAnsi="Times New Roman" w:cs="Times New Roman"/>
        </w:rPr>
        <w:t xml:space="preserve"> </w:t>
      </w:r>
      <w:r w:rsidRPr="00956C80">
        <w:rPr>
          <w:rFonts w:ascii="Times New Roman" w:hAnsi="Times New Roman" w:cs="Times New Roman"/>
        </w:rPr>
        <w:t>(</w:t>
      </w:r>
      <w:proofErr w:type="spellStart"/>
      <w:r w:rsidRPr="00956C80">
        <w:rPr>
          <w:rFonts w:ascii="Times New Roman" w:hAnsi="Times New Roman" w:cs="Times New Roman"/>
        </w:rPr>
        <w:t>Acena</w:t>
      </w:r>
      <w:proofErr w:type="spellEnd"/>
      <w:r w:rsidRPr="00956C80">
        <w:rPr>
          <w:rFonts w:ascii="Times New Roman" w:hAnsi="Times New Roman" w:cs="Times New Roman"/>
        </w:rPr>
        <w:t xml:space="preserve"> Publishers, Enugu 2011) 119</w:t>
      </w:r>
    </w:p>
  </w:footnote>
  <w:footnote w:id="26">
    <w:p w14:paraId="69D1D849" w14:textId="77777777" w:rsidR="009D0B15" w:rsidRPr="00956C80" w:rsidRDefault="009D0B15">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1999 FRN Constitution</w:t>
      </w:r>
    </w:p>
  </w:footnote>
  <w:footnote w:id="27">
    <w:p w14:paraId="2AF1B02A" w14:textId="77777777" w:rsidR="0004098D" w:rsidRPr="00956C80" w:rsidRDefault="0004098D">
      <w:pPr>
        <w:pStyle w:val="FootnoteText"/>
        <w:rPr>
          <w:rFonts w:ascii="Times New Roman" w:hAnsi="Times New Roman" w:cs="Times New Roman"/>
        </w:rPr>
      </w:pPr>
      <w:r w:rsidRPr="00956C80">
        <w:rPr>
          <w:rStyle w:val="FootnoteReference"/>
          <w:rFonts w:ascii="Times New Roman" w:hAnsi="Times New Roman" w:cs="Times New Roman"/>
        </w:rPr>
        <w:footnoteRef/>
      </w:r>
      <w:r w:rsidR="0032610E" w:rsidRPr="00956C80">
        <w:rPr>
          <w:rFonts w:ascii="Times New Roman" w:hAnsi="Times New Roman" w:cs="Times New Roman"/>
        </w:rPr>
        <w:t xml:space="preserve"> </w:t>
      </w:r>
      <w:r w:rsidR="004C66EB" w:rsidRPr="00956C80">
        <w:rPr>
          <w:rFonts w:ascii="Times New Roman" w:hAnsi="Times New Roman" w:cs="Times New Roman"/>
        </w:rPr>
        <w:t xml:space="preserve"> </w:t>
      </w:r>
      <w:r w:rsidRPr="00956C80">
        <w:rPr>
          <w:rFonts w:ascii="Times New Roman" w:hAnsi="Times New Roman" w:cs="Times New Roman"/>
        </w:rPr>
        <w:t>Ezeil</w:t>
      </w:r>
      <w:r w:rsidR="0032610E" w:rsidRPr="00956C80">
        <w:rPr>
          <w:rFonts w:ascii="Times New Roman" w:hAnsi="Times New Roman" w:cs="Times New Roman"/>
        </w:rPr>
        <w:t>o,</w:t>
      </w:r>
      <w:r w:rsidR="003F3282" w:rsidRPr="00956C80">
        <w:rPr>
          <w:rFonts w:ascii="Times New Roman" w:hAnsi="Times New Roman" w:cs="Times New Roman"/>
        </w:rPr>
        <w:t>114</w:t>
      </w:r>
    </w:p>
  </w:footnote>
  <w:footnote w:id="28">
    <w:p w14:paraId="15000AD6" w14:textId="6EA6C28D" w:rsidR="006575E7" w:rsidRPr="00956C80" w:rsidRDefault="006575E7">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H A Barnett Introduction to Feminist Jurisprudence.</w:t>
      </w:r>
      <w:r w:rsidR="00617FA2" w:rsidRPr="00956C80">
        <w:rPr>
          <w:rFonts w:ascii="Times New Roman" w:hAnsi="Times New Roman" w:cs="Times New Roman"/>
        </w:rPr>
        <w:t xml:space="preserve"> </w:t>
      </w:r>
      <w:r w:rsidRPr="00956C80">
        <w:rPr>
          <w:rFonts w:ascii="Times New Roman" w:hAnsi="Times New Roman" w:cs="Times New Roman"/>
        </w:rPr>
        <w:t>(Great Britain: Cavendish Publishing Limited,1998) 4</w:t>
      </w:r>
    </w:p>
  </w:footnote>
  <w:footnote w:id="29">
    <w:p w14:paraId="3DAC6379" w14:textId="77777777" w:rsidR="006575E7" w:rsidRPr="00956C80" w:rsidRDefault="006575E7">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009424FF" w:rsidRPr="00956C80">
        <w:rPr>
          <w:rFonts w:ascii="Times New Roman" w:hAnsi="Times New Roman" w:cs="Times New Roman"/>
        </w:rPr>
        <w:t>Beauvoir</w:t>
      </w:r>
    </w:p>
  </w:footnote>
  <w:footnote w:id="30">
    <w:p w14:paraId="1970E77C" w14:textId="77777777" w:rsidR="002F7A52" w:rsidRPr="00956C80" w:rsidRDefault="002F7A52">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CAP C38 </w:t>
      </w:r>
      <w:proofErr w:type="spellStart"/>
      <w:r w:rsidRPr="00956C80">
        <w:rPr>
          <w:rFonts w:ascii="Times New Roman" w:hAnsi="Times New Roman" w:cs="Times New Roman"/>
        </w:rPr>
        <w:t>Ciminal</w:t>
      </w:r>
      <w:proofErr w:type="spellEnd"/>
      <w:r w:rsidRPr="00956C80">
        <w:rPr>
          <w:rFonts w:ascii="Times New Roman" w:hAnsi="Times New Roman" w:cs="Times New Roman"/>
        </w:rPr>
        <w:t xml:space="preserve"> Code Act Section 360</w:t>
      </w:r>
    </w:p>
  </w:footnote>
  <w:footnote w:id="31">
    <w:p w14:paraId="1B6D4150" w14:textId="77777777" w:rsidR="009C3444" w:rsidRPr="00956C80" w:rsidRDefault="009C3444">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Criminal Code</w:t>
      </w:r>
    </w:p>
  </w:footnote>
  <w:footnote w:id="32">
    <w:p w14:paraId="496F558E" w14:textId="77777777" w:rsidR="00B5591F" w:rsidRPr="00956C80" w:rsidRDefault="00B5591F" w:rsidP="00B5591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Police Act, CAP P19 </w:t>
      </w:r>
      <w:proofErr w:type="gramStart"/>
      <w:r w:rsidRPr="00956C80">
        <w:rPr>
          <w:rFonts w:ascii="Times New Roman" w:hAnsi="Times New Roman" w:cs="Times New Roman"/>
        </w:rPr>
        <w:t>LFN(</w:t>
      </w:r>
      <w:proofErr w:type="gramEnd"/>
      <w:r w:rsidRPr="00956C80">
        <w:rPr>
          <w:rFonts w:ascii="Times New Roman" w:hAnsi="Times New Roman" w:cs="Times New Roman"/>
        </w:rPr>
        <w:t>2004)</w:t>
      </w:r>
    </w:p>
  </w:footnote>
  <w:footnote w:id="33">
    <w:p w14:paraId="37B60057" w14:textId="41F0842F" w:rsidR="005D73CC" w:rsidRPr="00956C80" w:rsidRDefault="005D73CC" w:rsidP="005D73CC">
      <w:pPr>
        <w:pStyle w:val="FootnoteText"/>
        <w:rPr>
          <w:rFonts w:ascii="Times New Roman" w:hAnsi="Times New Roman" w:cs="Times New Roman"/>
          <w:b/>
          <w:bCs/>
          <w:lang w:val="en-NG"/>
        </w:rPr>
      </w:pPr>
      <w:r w:rsidRPr="00956C80">
        <w:rPr>
          <w:rStyle w:val="FootnoteReference"/>
          <w:rFonts w:ascii="Times New Roman" w:hAnsi="Times New Roman" w:cs="Times New Roman"/>
        </w:rPr>
        <w:footnoteRef/>
      </w:r>
      <w:r w:rsidRPr="00956C80">
        <w:rPr>
          <w:rFonts w:ascii="Times New Roman" w:hAnsi="Times New Roman" w:cs="Times New Roman"/>
        </w:rPr>
        <w:t xml:space="preserve"> E. Olalekan, ‘</w:t>
      </w:r>
      <w:r w:rsidRPr="00956C80">
        <w:rPr>
          <w:rFonts w:ascii="Times New Roman" w:hAnsi="Times New Roman" w:cs="Times New Roman"/>
          <w:lang w:val="en-NG"/>
        </w:rPr>
        <w:t xml:space="preserve">Spousal Rape </w:t>
      </w:r>
      <w:proofErr w:type="gramStart"/>
      <w:r w:rsidRPr="00956C80">
        <w:rPr>
          <w:rFonts w:ascii="Times New Roman" w:hAnsi="Times New Roman" w:cs="Times New Roman"/>
          <w:lang w:val="en-NG"/>
        </w:rPr>
        <w:t>In</w:t>
      </w:r>
      <w:proofErr w:type="gramEnd"/>
      <w:r w:rsidRPr="00956C80">
        <w:rPr>
          <w:rFonts w:ascii="Times New Roman" w:hAnsi="Times New Roman" w:cs="Times New Roman"/>
          <w:lang w:val="en-NG"/>
        </w:rPr>
        <w:t xml:space="preserve"> Nigeria: Legal Perspectives, Challenges &amp; Human Rights Issues’</w:t>
      </w:r>
    </w:p>
    <w:p w14:paraId="1CC316D2" w14:textId="6029D004" w:rsidR="005D73CC" w:rsidRPr="00956C80" w:rsidRDefault="005D73CC">
      <w:pPr>
        <w:pStyle w:val="FootnoteText"/>
        <w:rPr>
          <w:rFonts w:ascii="Times New Roman" w:hAnsi="Times New Roman" w:cs="Times New Roman"/>
          <w:lang w:val="en-NG"/>
        </w:rPr>
      </w:pPr>
      <w:hyperlink r:id="rId4" w:history="1">
        <w:r w:rsidRPr="00956C80">
          <w:rPr>
            <w:rStyle w:val="Hyperlink"/>
            <w:rFonts w:ascii="Times New Roman" w:hAnsi="Times New Roman" w:cs="Times New Roman"/>
            <w:lang w:val="en-NG"/>
          </w:rPr>
          <w:t>https://webiis08.mondaq.com/nigeria/crime/1650642/spousal-rape-in-nigeria-legal-perspectives-challenges-human-rights-issues</w:t>
        </w:r>
      </w:hyperlink>
      <w:r w:rsidRPr="00956C80">
        <w:rPr>
          <w:rFonts w:ascii="Times New Roman" w:hAnsi="Times New Roman" w:cs="Times New Roman"/>
          <w:lang w:val="en-NG"/>
        </w:rPr>
        <w:t xml:space="preserve"> accessed 22-05-2026</w:t>
      </w:r>
    </w:p>
  </w:footnote>
  <w:footnote w:id="34">
    <w:p w14:paraId="6FC1F072" w14:textId="67E2A965" w:rsidR="00D97D8D" w:rsidRPr="00956C80" w:rsidRDefault="00D97D8D" w:rsidP="00D97D8D">
      <w:pPr>
        <w:rPr>
          <w:rFonts w:ascii="Times New Roman" w:hAnsi="Times New Roman" w:cs="Times New Roman"/>
          <w:sz w:val="20"/>
          <w:szCs w:val="20"/>
        </w:rPr>
      </w:pPr>
      <w:r w:rsidRPr="00956C80">
        <w:rPr>
          <w:rStyle w:val="FootnoteReference"/>
          <w:rFonts w:ascii="Times New Roman" w:hAnsi="Times New Roman" w:cs="Times New Roman"/>
          <w:sz w:val="20"/>
          <w:szCs w:val="20"/>
        </w:rPr>
        <w:footnoteRef/>
      </w:r>
      <w:r w:rsidRPr="00956C80">
        <w:rPr>
          <w:rFonts w:ascii="Times New Roman" w:hAnsi="Times New Roman" w:cs="Times New Roman"/>
          <w:sz w:val="20"/>
          <w:szCs w:val="20"/>
        </w:rPr>
        <w:t xml:space="preserve"> T. C. EZEH; Chinwe Patricia ILOKA &amp; Ezinne Vivian EDU, </w:t>
      </w:r>
      <w:r w:rsidRPr="00956C80">
        <w:rPr>
          <w:rFonts w:ascii="Times New Roman" w:hAnsi="Times New Roman" w:cs="Times New Roman"/>
          <w:i/>
          <w:iCs/>
          <w:sz w:val="20"/>
          <w:szCs w:val="20"/>
          <w:lang w:val="en-NG"/>
        </w:rPr>
        <w:t xml:space="preserve">An Appraisal of Some Nigerian Laws and Cultural Practices Discriminatory </w:t>
      </w:r>
      <w:proofErr w:type="gramStart"/>
      <w:r w:rsidRPr="00956C80">
        <w:rPr>
          <w:rFonts w:ascii="Times New Roman" w:hAnsi="Times New Roman" w:cs="Times New Roman"/>
          <w:i/>
          <w:iCs/>
          <w:sz w:val="20"/>
          <w:szCs w:val="20"/>
          <w:lang w:val="en-NG"/>
        </w:rPr>
        <w:t>To</w:t>
      </w:r>
      <w:proofErr w:type="gramEnd"/>
      <w:r w:rsidRPr="00956C80">
        <w:rPr>
          <w:rFonts w:ascii="Times New Roman" w:hAnsi="Times New Roman" w:cs="Times New Roman"/>
          <w:i/>
          <w:iCs/>
          <w:sz w:val="20"/>
          <w:szCs w:val="20"/>
          <w:lang w:val="en-NG"/>
        </w:rPr>
        <w:t xml:space="preserve"> Women’s Rights</w:t>
      </w:r>
      <w:r w:rsidRPr="00956C80">
        <w:rPr>
          <w:rFonts w:ascii="Times New Roman" w:hAnsi="Times New Roman" w:cs="Times New Roman"/>
          <w:sz w:val="20"/>
          <w:szCs w:val="20"/>
          <w:lang w:val="en-NG"/>
        </w:rPr>
        <w:t xml:space="preserve"> </w:t>
      </w:r>
      <w:r w:rsidRPr="00956C80">
        <w:rPr>
          <w:rFonts w:ascii="Times New Roman" w:hAnsi="Times New Roman" w:cs="Times New Roman"/>
          <w:sz w:val="20"/>
          <w:szCs w:val="20"/>
        </w:rPr>
        <w:t xml:space="preserve">Issue </w:t>
      </w:r>
      <w:r w:rsidRPr="00956C80">
        <w:rPr>
          <w:rFonts w:ascii="Times New Roman" w:hAnsi="Times New Roman" w:cs="Times New Roman"/>
          <w:sz w:val="20"/>
          <w:szCs w:val="20"/>
          <w:lang w:val="en-NG"/>
        </w:rPr>
        <w:t xml:space="preserve">Vol. 6 No. 3 (2024): INTERNATIONAL REVIEW OF LAW AND JURISPRUDENCE (IRLJ) </w:t>
      </w:r>
    </w:p>
  </w:footnote>
  <w:footnote w:id="35">
    <w:p w14:paraId="1F273164" w14:textId="77777777" w:rsidR="0076412A" w:rsidRPr="00956C80" w:rsidRDefault="0076412A" w:rsidP="0076412A">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proofErr w:type="spellStart"/>
      <w:r w:rsidRPr="00956C80">
        <w:rPr>
          <w:rFonts w:ascii="Times New Roman" w:hAnsi="Times New Roman" w:cs="Times New Roman"/>
        </w:rPr>
        <w:t>S.</w:t>
      </w:r>
      <w:proofErr w:type="gramStart"/>
      <w:r w:rsidRPr="00956C80">
        <w:rPr>
          <w:rFonts w:ascii="Times New Roman" w:hAnsi="Times New Roman" w:cs="Times New Roman"/>
        </w:rPr>
        <w:t>O.Ademiluka</w:t>
      </w:r>
      <w:proofErr w:type="spellEnd"/>
      <w:proofErr w:type="gramEnd"/>
      <w:r w:rsidRPr="00956C80">
        <w:rPr>
          <w:rFonts w:ascii="Times New Roman" w:hAnsi="Times New Roman" w:cs="Times New Roman"/>
        </w:rPr>
        <w:t>, 2021, “‘For the husband is the head of the wife’: A contextual re-reading of Ephesians 5:22–33 among Nigerian Yoruba Christians”, In die </w:t>
      </w:r>
      <w:proofErr w:type="spellStart"/>
      <w:r w:rsidRPr="00956C80">
        <w:rPr>
          <w:rFonts w:ascii="Times New Roman" w:hAnsi="Times New Roman" w:cs="Times New Roman"/>
        </w:rPr>
        <w:t>Skriflig</w:t>
      </w:r>
      <w:proofErr w:type="spellEnd"/>
      <w:r w:rsidRPr="00956C80">
        <w:rPr>
          <w:rFonts w:ascii="Times New Roman" w:hAnsi="Times New Roman" w:cs="Times New Roman"/>
        </w:rPr>
        <w:t xml:space="preserve"> 55(1), a2613. https://doi.org/10.4102/ids. v55i1.2613</w:t>
      </w:r>
    </w:p>
  </w:footnote>
  <w:footnote w:id="36">
    <w:p w14:paraId="4CFE28CD" w14:textId="77777777" w:rsidR="00B67E2F" w:rsidRPr="00956C80" w:rsidRDefault="00B67E2F" w:rsidP="00B67E2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Miles, C.A., 2006, ‘Patriarchy or gender equality? The letter to the Ephesians on submission, headship, and slavery’, Dialogue: A Journal of Mormon Thought 39(2),76 2006</w:t>
      </w:r>
    </w:p>
  </w:footnote>
  <w:footnote w:id="37">
    <w:p w14:paraId="15613FEB" w14:textId="1CBBB206" w:rsidR="00B67E2F" w:rsidRPr="00956C80" w:rsidRDefault="00B67E2F" w:rsidP="00B67E2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R. Lewis, &amp; W. Hendricks, W., 1991, Rocking the roles,</w:t>
      </w:r>
      <w:r w:rsidR="002D75C2" w:rsidRPr="00956C80">
        <w:rPr>
          <w:rFonts w:ascii="Times New Roman" w:hAnsi="Times New Roman" w:cs="Times New Roman"/>
        </w:rPr>
        <w:t xml:space="preserve"> </w:t>
      </w:r>
      <w:r w:rsidRPr="00956C80">
        <w:rPr>
          <w:rFonts w:ascii="Times New Roman" w:hAnsi="Times New Roman" w:cs="Times New Roman"/>
        </w:rPr>
        <w:t>(1991 NavPress, Colorado Springs, COL) 63</w:t>
      </w:r>
    </w:p>
  </w:footnote>
  <w:footnote w:id="38">
    <w:p w14:paraId="03C4C60F" w14:textId="77777777" w:rsidR="00ED3A62" w:rsidRPr="00956C80" w:rsidRDefault="00ED3A62">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hyperlink r:id="rId5" w:history="1">
        <w:r w:rsidRPr="00956C80">
          <w:rPr>
            <w:rStyle w:val="Hyperlink"/>
            <w:rFonts w:ascii="Times New Roman" w:hAnsi="Times New Roman" w:cs="Times New Roman"/>
          </w:rPr>
          <w:t>http://biblehub.com/</w:t>
        </w:r>
      </w:hyperlink>
      <w:r w:rsidRPr="00956C80">
        <w:rPr>
          <w:rFonts w:ascii="Times New Roman" w:hAnsi="Times New Roman" w:cs="Times New Roman"/>
        </w:rPr>
        <w:t xml:space="preserve"> accessed 4</w:t>
      </w:r>
      <w:r w:rsidRPr="00956C80">
        <w:rPr>
          <w:rFonts w:ascii="Times New Roman" w:hAnsi="Times New Roman" w:cs="Times New Roman"/>
          <w:vertAlign w:val="superscript"/>
        </w:rPr>
        <w:t>th</w:t>
      </w:r>
      <w:r w:rsidRPr="00956C80">
        <w:rPr>
          <w:rFonts w:ascii="Times New Roman" w:hAnsi="Times New Roman" w:cs="Times New Roman"/>
        </w:rPr>
        <w:t xml:space="preserve"> May,2026</w:t>
      </w:r>
    </w:p>
  </w:footnote>
  <w:footnote w:id="39">
    <w:p w14:paraId="2EEED071" w14:textId="77777777" w:rsidR="002E4BF9" w:rsidRPr="00956C80" w:rsidRDefault="002E4BF9">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w:t>
      </w:r>
      <w:r w:rsidR="00ED3A62" w:rsidRPr="00956C80">
        <w:rPr>
          <w:rFonts w:ascii="Times New Roman" w:hAnsi="Times New Roman" w:cs="Times New Roman"/>
        </w:rPr>
        <w:t xml:space="preserve"> </w:t>
      </w:r>
      <w:r w:rsidR="00ED3A62" w:rsidRPr="00956C80">
        <w:rPr>
          <w:rFonts w:ascii="Times New Roman" w:hAnsi="Times New Roman" w:cs="Times New Roman"/>
          <w:i/>
        </w:rPr>
        <w:t xml:space="preserve">Ibid </w:t>
      </w:r>
    </w:p>
  </w:footnote>
  <w:footnote w:id="40">
    <w:p w14:paraId="1ABF5239" w14:textId="77777777" w:rsidR="002E4BF9" w:rsidRPr="00956C80" w:rsidRDefault="002E4BF9">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i/>
        </w:rPr>
        <w:t xml:space="preserve"> Ibid</w:t>
      </w:r>
      <w:r w:rsidRPr="00956C80">
        <w:rPr>
          <w:rFonts w:ascii="Times New Roman" w:hAnsi="Times New Roman" w:cs="Times New Roman"/>
        </w:rPr>
        <w:t>.</w:t>
      </w:r>
    </w:p>
  </w:footnote>
  <w:footnote w:id="41">
    <w:p w14:paraId="0A52DBA0" w14:textId="77777777" w:rsidR="00CF6C5F" w:rsidRPr="00956C80" w:rsidRDefault="00CF6C5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S.</w:t>
      </w:r>
      <w:r w:rsidR="00BE4F60" w:rsidRPr="00956C80">
        <w:rPr>
          <w:rFonts w:ascii="Times New Roman" w:hAnsi="Times New Roman" w:cs="Times New Roman"/>
        </w:rPr>
        <w:t xml:space="preserve"> </w:t>
      </w:r>
      <w:r w:rsidRPr="00956C80">
        <w:rPr>
          <w:rFonts w:ascii="Times New Roman" w:hAnsi="Times New Roman" w:cs="Times New Roman"/>
        </w:rPr>
        <w:t xml:space="preserve">Tamale, African Sexualities: A Reader, </w:t>
      </w:r>
      <w:proofErr w:type="spellStart"/>
      <w:r w:rsidRPr="00956C80">
        <w:rPr>
          <w:rFonts w:ascii="Times New Roman" w:hAnsi="Times New Roman" w:cs="Times New Roman"/>
        </w:rPr>
        <w:t>Pambazuka</w:t>
      </w:r>
      <w:proofErr w:type="spellEnd"/>
      <w:r w:rsidRPr="00956C80">
        <w:rPr>
          <w:rFonts w:ascii="Times New Roman" w:hAnsi="Times New Roman" w:cs="Times New Roman"/>
        </w:rPr>
        <w:t xml:space="preserve"> Press, 2011</w:t>
      </w:r>
      <w:r w:rsidR="00BE4F60" w:rsidRPr="00956C80">
        <w:rPr>
          <w:rFonts w:ascii="Times New Roman" w:hAnsi="Times New Roman" w:cs="Times New Roman"/>
        </w:rPr>
        <w:t xml:space="preserve"> as cited in E.N </w:t>
      </w:r>
      <w:proofErr w:type="spellStart"/>
      <w:r w:rsidR="00BE4F60" w:rsidRPr="00956C80">
        <w:rPr>
          <w:rFonts w:ascii="Times New Roman" w:hAnsi="Times New Roman" w:cs="Times New Roman"/>
        </w:rPr>
        <w:t>Chegwe</w:t>
      </w:r>
      <w:proofErr w:type="spellEnd"/>
      <w:r w:rsidR="00BE4F60" w:rsidRPr="00956C80">
        <w:rPr>
          <w:rFonts w:ascii="Times New Roman" w:hAnsi="Times New Roman" w:cs="Times New Roman"/>
        </w:rPr>
        <w:t xml:space="preserve">, Born Again, Equal Again: Pentecostal Theology, Legal Pluralism, And </w:t>
      </w:r>
      <w:proofErr w:type="spellStart"/>
      <w:r w:rsidR="00BE4F60" w:rsidRPr="00956C80">
        <w:rPr>
          <w:rFonts w:ascii="Times New Roman" w:hAnsi="Times New Roman" w:cs="Times New Roman"/>
        </w:rPr>
        <w:t>Reconceptualising</w:t>
      </w:r>
      <w:proofErr w:type="spellEnd"/>
      <w:r w:rsidR="00BE4F60" w:rsidRPr="00956C80">
        <w:rPr>
          <w:rFonts w:ascii="Times New Roman" w:hAnsi="Times New Roman" w:cs="Times New Roman"/>
        </w:rPr>
        <w:t xml:space="preserve"> Women’s Rights </w:t>
      </w:r>
      <w:proofErr w:type="gramStart"/>
      <w:r w:rsidR="00BE4F60" w:rsidRPr="00956C80">
        <w:rPr>
          <w:rFonts w:ascii="Times New Roman" w:hAnsi="Times New Roman" w:cs="Times New Roman"/>
        </w:rPr>
        <w:t>In</w:t>
      </w:r>
      <w:proofErr w:type="gramEnd"/>
      <w:r w:rsidR="00BE4F60" w:rsidRPr="00956C80">
        <w:rPr>
          <w:rFonts w:ascii="Times New Roman" w:hAnsi="Times New Roman" w:cs="Times New Roman"/>
        </w:rPr>
        <w:t xml:space="preserve"> Africa, KWASULI, 2025 Vol. 4 No1</w:t>
      </w:r>
    </w:p>
  </w:footnote>
  <w:footnote w:id="42">
    <w:p w14:paraId="27C03602" w14:textId="77777777" w:rsidR="00CF6C5F" w:rsidRPr="00956C80" w:rsidRDefault="00CF6C5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 Zurlo, Gina A., and Dave Coles, Women, Leadership, and Movements: A Critical Look at the Past, Present, and Future, Journal for the Scientific Study of Religion, </w:t>
      </w:r>
      <w:proofErr w:type="gramStart"/>
      <w:r w:rsidRPr="00956C80">
        <w:rPr>
          <w:rFonts w:ascii="Times New Roman" w:hAnsi="Times New Roman" w:cs="Times New Roman"/>
        </w:rPr>
        <w:t>2024,-</w:t>
      </w:r>
      <w:proofErr w:type="gramEnd"/>
      <w:r w:rsidRPr="00956C80">
        <w:rPr>
          <w:rFonts w:ascii="Times New Roman" w:hAnsi="Times New Roman" w:cs="Times New Roman"/>
        </w:rPr>
        <w:t xml:space="preserve">This study examines how Christian movements, including Pentecostal networks, have created public platforms for women's leadership and advocacy. </w:t>
      </w:r>
    </w:p>
  </w:footnote>
  <w:footnote w:id="43">
    <w:p w14:paraId="13E4BD00" w14:textId="77777777" w:rsidR="00CF6C5F" w:rsidRPr="00956C80" w:rsidRDefault="00CF6C5F" w:rsidP="00CF6C5F">
      <w:pPr>
        <w:pStyle w:val="FootnoteText"/>
        <w:rPr>
          <w:rFonts w:ascii="Times New Roman" w:hAnsi="Times New Roman" w:cs="Times New Roman"/>
        </w:rPr>
      </w:pPr>
      <w:r w:rsidRPr="00956C80">
        <w:rPr>
          <w:rStyle w:val="FootnoteReference"/>
          <w:rFonts w:ascii="Times New Roman" w:hAnsi="Times New Roman" w:cs="Times New Roman"/>
        </w:rPr>
        <w:footnoteRef/>
      </w:r>
      <w:r w:rsidRPr="00956C80">
        <w:rPr>
          <w:rFonts w:ascii="Times New Roman" w:hAnsi="Times New Roman" w:cs="Times New Roman"/>
        </w:rPr>
        <w:t xml:space="preserve">S. </w:t>
      </w:r>
      <w:proofErr w:type="gramStart"/>
      <w:r w:rsidRPr="00956C80">
        <w:rPr>
          <w:rFonts w:ascii="Times New Roman" w:hAnsi="Times New Roman" w:cs="Times New Roman"/>
        </w:rPr>
        <w:t>Tamale,  Exploring</w:t>
      </w:r>
      <w:proofErr w:type="gramEnd"/>
      <w:r w:rsidRPr="00956C80">
        <w:rPr>
          <w:rFonts w:ascii="Times New Roman" w:hAnsi="Times New Roman" w:cs="Times New Roman"/>
        </w:rPr>
        <w:t xml:space="preserve"> the Contours of African Sexualities: Religion, Law and Power, 14(1) 2014 African Human Rights Law Journal 150–177.</w:t>
      </w:r>
    </w:p>
    <w:p w14:paraId="49336D69" w14:textId="77777777" w:rsidR="00CF6C5F" w:rsidRPr="00956C80" w:rsidRDefault="00CF6C5F">
      <w:pPr>
        <w:pStyle w:val="FootnoteText"/>
        <w:rPr>
          <w:rFonts w:ascii="Times New Roman" w:hAnsi="Times New Roman" w:cs="Times New Roman"/>
        </w:rPr>
      </w:pPr>
      <w:r w:rsidRPr="00956C80">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1918"/>
    <w:multiLevelType w:val="hybridMultilevel"/>
    <w:tmpl w:val="C41CE8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325062"/>
    <w:multiLevelType w:val="multilevel"/>
    <w:tmpl w:val="FDE8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3A68D9"/>
    <w:multiLevelType w:val="multilevel"/>
    <w:tmpl w:val="0F348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53727E"/>
    <w:multiLevelType w:val="multilevel"/>
    <w:tmpl w:val="5E3A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944936">
    <w:abstractNumId w:val="2"/>
  </w:num>
  <w:num w:numId="2" w16cid:durableId="1180316305">
    <w:abstractNumId w:val="0"/>
  </w:num>
  <w:num w:numId="3" w16cid:durableId="1558083553">
    <w:abstractNumId w:val="1"/>
  </w:num>
  <w:num w:numId="4" w16cid:durableId="1702394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240"/>
    <w:rsid w:val="00007ADB"/>
    <w:rsid w:val="000108B6"/>
    <w:rsid w:val="0004098D"/>
    <w:rsid w:val="00061FE7"/>
    <w:rsid w:val="0006640A"/>
    <w:rsid w:val="00091487"/>
    <w:rsid w:val="00093E4B"/>
    <w:rsid w:val="000A0B71"/>
    <w:rsid w:val="000D5294"/>
    <w:rsid w:val="000E16DE"/>
    <w:rsid w:val="000E3CE9"/>
    <w:rsid w:val="000F0032"/>
    <w:rsid w:val="000F147D"/>
    <w:rsid w:val="001028AA"/>
    <w:rsid w:val="00177E01"/>
    <w:rsid w:val="001A3C9E"/>
    <w:rsid w:val="001D2764"/>
    <w:rsid w:val="001E18ED"/>
    <w:rsid w:val="001F0F65"/>
    <w:rsid w:val="00232EDC"/>
    <w:rsid w:val="0023550B"/>
    <w:rsid w:val="00242624"/>
    <w:rsid w:val="00251DB9"/>
    <w:rsid w:val="00260BD0"/>
    <w:rsid w:val="0027261A"/>
    <w:rsid w:val="00274A33"/>
    <w:rsid w:val="00276DE8"/>
    <w:rsid w:val="00286D3B"/>
    <w:rsid w:val="00291D09"/>
    <w:rsid w:val="002C51A3"/>
    <w:rsid w:val="002D75C2"/>
    <w:rsid w:val="002E4BF9"/>
    <w:rsid w:val="002F7A52"/>
    <w:rsid w:val="00300D79"/>
    <w:rsid w:val="00313EFB"/>
    <w:rsid w:val="003147C0"/>
    <w:rsid w:val="0032610E"/>
    <w:rsid w:val="00331628"/>
    <w:rsid w:val="0033192E"/>
    <w:rsid w:val="00341669"/>
    <w:rsid w:val="003432FA"/>
    <w:rsid w:val="0036712E"/>
    <w:rsid w:val="003C5B1E"/>
    <w:rsid w:val="003C6DF2"/>
    <w:rsid w:val="003F3282"/>
    <w:rsid w:val="0042210B"/>
    <w:rsid w:val="0045063F"/>
    <w:rsid w:val="0048217A"/>
    <w:rsid w:val="004975D1"/>
    <w:rsid w:val="004C66EB"/>
    <w:rsid w:val="0050295F"/>
    <w:rsid w:val="00520A8A"/>
    <w:rsid w:val="0052136C"/>
    <w:rsid w:val="005213F7"/>
    <w:rsid w:val="00543BEC"/>
    <w:rsid w:val="00562B73"/>
    <w:rsid w:val="00582B1C"/>
    <w:rsid w:val="00594926"/>
    <w:rsid w:val="005A63A6"/>
    <w:rsid w:val="005C5DDD"/>
    <w:rsid w:val="005D0757"/>
    <w:rsid w:val="005D570A"/>
    <w:rsid w:val="005D73CC"/>
    <w:rsid w:val="00606BA5"/>
    <w:rsid w:val="00617FA2"/>
    <w:rsid w:val="0062113E"/>
    <w:rsid w:val="00656570"/>
    <w:rsid w:val="006575E7"/>
    <w:rsid w:val="006612E3"/>
    <w:rsid w:val="006777D8"/>
    <w:rsid w:val="0068191E"/>
    <w:rsid w:val="006A676B"/>
    <w:rsid w:val="006B0D00"/>
    <w:rsid w:val="006B6F4C"/>
    <w:rsid w:val="006D7B84"/>
    <w:rsid w:val="006E5240"/>
    <w:rsid w:val="00701AF4"/>
    <w:rsid w:val="0075468D"/>
    <w:rsid w:val="00761D84"/>
    <w:rsid w:val="0076284B"/>
    <w:rsid w:val="0076412A"/>
    <w:rsid w:val="00765F00"/>
    <w:rsid w:val="007851E5"/>
    <w:rsid w:val="007B41BA"/>
    <w:rsid w:val="007B5599"/>
    <w:rsid w:val="007C321A"/>
    <w:rsid w:val="007E0318"/>
    <w:rsid w:val="008331DB"/>
    <w:rsid w:val="00836493"/>
    <w:rsid w:val="008A0D1F"/>
    <w:rsid w:val="008D2637"/>
    <w:rsid w:val="009027DF"/>
    <w:rsid w:val="0091195F"/>
    <w:rsid w:val="00917773"/>
    <w:rsid w:val="00923EB1"/>
    <w:rsid w:val="009424FF"/>
    <w:rsid w:val="00947332"/>
    <w:rsid w:val="0095544C"/>
    <w:rsid w:val="00956C80"/>
    <w:rsid w:val="009908DA"/>
    <w:rsid w:val="009A1192"/>
    <w:rsid w:val="009A654B"/>
    <w:rsid w:val="009C1519"/>
    <w:rsid w:val="009C3444"/>
    <w:rsid w:val="009C43F2"/>
    <w:rsid w:val="009C4D8B"/>
    <w:rsid w:val="009D0B15"/>
    <w:rsid w:val="009D15B1"/>
    <w:rsid w:val="00A07273"/>
    <w:rsid w:val="00A13FAE"/>
    <w:rsid w:val="00A63547"/>
    <w:rsid w:val="00A7343D"/>
    <w:rsid w:val="00A82F75"/>
    <w:rsid w:val="00A9338D"/>
    <w:rsid w:val="00AB0DE0"/>
    <w:rsid w:val="00AB2E84"/>
    <w:rsid w:val="00B02BD6"/>
    <w:rsid w:val="00B05E46"/>
    <w:rsid w:val="00B4396B"/>
    <w:rsid w:val="00B46A8B"/>
    <w:rsid w:val="00B5591F"/>
    <w:rsid w:val="00B67E2F"/>
    <w:rsid w:val="00B81685"/>
    <w:rsid w:val="00BB6BFC"/>
    <w:rsid w:val="00BC7F79"/>
    <w:rsid w:val="00BE479F"/>
    <w:rsid w:val="00BE4F60"/>
    <w:rsid w:val="00BF3809"/>
    <w:rsid w:val="00C5198D"/>
    <w:rsid w:val="00C555F3"/>
    <w:rsid w:val="00C628D8"/>
    <w:rsid w:val="00C71D55"/>
    <w:rsid w:val="00C77C5B"/>
    <w:rsid w:val="00C864F7"/>
    <w:rsid w:val="00CA06CE"/>
    <w:rsid w:val="00CA4C4E"/>
    <w:rsid w:val="00CD63DB"/>
    <w:rsid w:val="00CF6C5F"/>
    <w:rsid w:val="00D03073"/>
    <w:rsid w:val="00D14FE6"/>
    <w:rsid w:val="00D24A47"/>
    <w:rsid w:val="00D2506E"/>
    <w:rsid w:val="00D34CE6"/>
    <w:rsid w:val="00D47F82"/>
    <w:rsid w:val="00D5068C"/>
    <w:rsid w:val="00D7509D"/>
    <w:rsid w:val="00D915A1"/>
    <w:rsid w:val="00D97D8D"/>
    <w:rsid w:val="00DB60CE"/>
    <w:rsid w:val="00E127F7"/>
    <w:rsid w:val="00E91C0A"/>
    <w:rsid w:val="00EA7EDC"/>
    <w:rsid w:val="00ED3A62"/>
    <w:rsid w:val="00ED4669"/>
    <w:rsid w:val="00EF1D6D"/>
    <w:rsid w:val="00F0147E"/>
    <w:rsid w:val="00F07A96"/>
    <w:rsid w:val="00F246A8"/>
    <w:rsid w:val="00F56959"/>
    <w:rsid w:val="00F64EB8"/>
    <w:rsid w:val="00F74E80"/>
    <w:rsid w:val="00FB7A65"/>
    <w:rsid w:val="00FC3471"/>
    <w:rsid w:val="00FF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27CF"/>
  <w15:chartTrackingRefBased/>
  <w15:docId w15:val="{C8A2F740-4088-4259-92FC-10B6659C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51DB9"/>
    <w:pPr>
      <w:spacing w:before="100" w:beforeAutospacing="1" w:after="100" w:afterAutospacing="1" w:line="240" w:lineRule="auto"/>
      <w:outlineLvl w:val="0"/>
    </w:pPr>
    <w:rPr>
      <w:rFonts w:ascii="Times New Roman" w:eastAsiaTheme="minorEastAsia" w:hAnsi="Times New Roman" w:cs="Times New Roman"/>
      <w:b/>
      <w:bCs/>
      <w:kern w:val="36"/>
      <w:sz w:val="48"/>
      <w:szCs w:val="48"/>
      <w:lang w:val="en-NG" w:eastAsia="en-NG"/>
    </w:rPr>
  </w:style>
  <w:style w:type="paragraph" w:styleId="Heading2">
    <w:name w:val="heading 2"/>
    <w:basedOn w:val="Normal"/>
    <w:link w:val="Heading2Char"/>
    <w:uiPriority w:val="9"/>
    <w:qFormat/>
    <w:rsid w:val="00251DB9"/>
    <w:pPr>
      <w:spacing w:before="100" w:beforeAutospacing="1" w:after="100" w:afterAutospacing="1" w:line="240" w:lineRule="auto"/>
      <w:outlineLvl w:val="1"/>
    </w:pPr>
    <w:rPr>
      <w:rFonts w:ascii="Times New Roman" w:eastAsiaTheme="minorEastAsia" w:hAnsi="Times New Roman" w:cs="Times New Roman"/>
      <w:b/>
      <w:bCs/>
      <w:sz w:val="36"/>
      <w:szCs w:val="36"/>
      <w:lang w:val="en-NG" w:eastAsia="en-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52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5240"/>
    <w:rPr>
      <w:sz w:val="20"/>
      <w:szCs w:val="20"/>
    </w:rPr>
  </w:style>
  <w:style w:type="character" w:styleId="FootnoteReference">
    <w:name w:val="footnote reference"/>
    <w:basedOn w:val="DefaultParagraphFont"/>
    <w:uiPriority w:val="99"/>
    <w:semiHidden/>
    <w:unhideWhenUsed/>
    <w:rsid w:val="006E5240"/>
    <w:rPr>
      <w:vertAlign w:val="superscript"/>
    </w:rPr>
  </w:style>
  <w:style w:type="character" w:styleId="Hyperlink">
    <w:name w:val="Hyperlink"/>
    <w:basedOn w:val="DefaultParagraphFont"/>
    <w:uiPriority w:val="99"/>
    <w:unhideWhenUsed/>
    <w:rsid w:val="0052136C"/>
    <w:rPr>
      <w:color w:val="0000FF"/>
      <w:u w:val="single"/>
    </w:rPr>
  </w:style>
  <w:style w:type="paragraph" w:styleId="NormalWeb">
    <w:name w:val="Normal (Web)"/>
    <w:basedOn w:val="Normal"/>
    <w:uiPriority w:val="99"/>
    <w:unhideWhenUsed/>
    <w:rsid w:val="00F246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variant-label-short">
    <w:name w:val="txt-variant-label-short"/>
    <w:basedOn w:val="Normal"/>
    <w:rsid w:val="005A6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text">
    <w:name w:val="dttext"/>
    <w:basedOn w:val="DefaultParagraphFont"/>
    <w:rsid w:val="0075468D"/>
  </w:style>
  <w:style w:type="character" w:styleId="Strong">
    <w:name w:val="Strong"/>
    <w:basedOn w:val="DefaultParagraphFont"/>
    <w:uiPriority w:val="22"/>
    <w:qFormat/>
    <w:rsid w:val="0075468D"/>
    <w:rPr>
      <w:b/>
      <w:bCs/>
    </w:rPr>
  </w:style>
  <w:style w:type="character" w:customStyle="1" w:styleId="text-uppercase">
    <w:name w:val="text-uppercase"/>
    <w:basedOn w:val="DefaultParagraphFont"/>
    <w:rsid w:val="0075468D"/>
  </w:style>
  <w:style w:type="character" w:customStyle="1" w:styleId="text-lowercase">
    <w:name w:val="text-lowercase"/>
    <w:basedOn w:val="DefaultParagraphFont"/>
    <w:rsid w:val="0075468D"/>
  </w:style>
  <w:style w:type="character" w:customStyle="1" w:styleId="sub-num">
    <w:name w:val="sub-num"/>
    <w:basedOn w:val="DefaultParagraphFont"/>
    <w:rsid w:val="0075468D"/>
  </w:style>
  <w:style w:type="paragraph" w:styleId="ListParagraph">
    <w:name w:val="List Paragraph"/>
    <w:basedOn w:val="Normal"/>
    <w:uiPriority w:val="34"/>
    <w:qFormat/>
    <w:rsid w:val="0075468D"/>
    <w:pPr>
      <w:ind w:left="720"/>
      <w:contextualSpacing/>
    </w:pPr>
  </w:style>
  <w:style w:type="character" w:styleId="UnresolvedMention">
    <w:name w:val="Unresolved Mention"/>
    <w:basedOn w:val="DefaultParagraphFont"/>
    <w:uiPriority w:val="99"/>
    <w:semiHidden/>
    <w:unhideWhenUsed/>
    <w:rsid w:val="004975D1"/>
    <w:rPr>
      <w:color w:val="605E5C"/>
      <w:shd w:val="clear" w:color="auto" w:fill="E1DFDD"/>
    </w:rPr>
  </w:style>
  <w:style w:type="character" w:styleId="CommentReference">
    <w:name w:val="annotation reference"/>
    <w:basedOn w:val="DefaultParagraphFont"/>
    <w:uiPriority w:val="99"/>
    <w:semiHidden/>
    <w:unhideWhenUsed/>
    <w:rsid w:val="00232EDC"/>
    <w:rPr>
      <w:sz w:val="16"/>
      <w:szCs w:val="16"/>
    </w:rPr>
  </w:style>
  <w:style w:type="paragraph" w:styleId="CommentText">
    <w:name w:val="annotation text"/>
    <w:basedOn w:val="Normal"/>
    <w:link w:val="CommentTextChar"/>
    <w:uiPriority w:val="99"/>
    <w:unhideWhenUsed/>
    <w:rsid w:val="00232EDC"/>
    <w:pPr>
      <w:spacing w:line="240" w:lineRule="auto"/>
    </w:pPr>
    <w:rPr>
      <w:sz w:val="20"/>
      <w:szCs w:val="20"/>
    </w:rPr>
  </w:style>
  <w:style w:type="character" w:customStyle="1" w:styleId="CommentTextChar">
    <w:name w:val="Comment Text Char"/>
    <w:basedOn w:val="DefaultParagraphFont"/>
    <w:link w:val="CommentText"/>
    <w:uiPriority w:val="99"/>
    <w:rsid w:val="00232EDC"/>
    <w:rPr>
      <w:sz w:val="20"/>
      <w:szCs w:val="20"/>
    </w:rPr>
  </w:style>
  <w:style w:type="paragraph" w:styleId="CommentSubject">
    <w:name w:val="annotation subject"/>
    <w:basedOn w:val="CommentText"/>
    <w:next w:val="CommentText"/>
    <w:link w:val="CommentSubjectChar"/>
    <w:uiPriority w:val="99"/>
    <w:semiHidden/>
    <w:unhideWhenUsed/>
    <w:rsid w:val="00232EDC"/>
    <w:rPr>
      <w:b/>
      <w:bCs/>
    </w:rPr>
  </w:style>
  <w:style w:type="character" w:customStyle="1" w:styleId="CommentSubjectChar">
    <w:name w:val="Comment Subject Char"/>
    <w:basedOn w:val="CommentTextChar"/>
    <w:link w:val="CommentSubject"/>
    <w:uiPriority w:val="99"/>
    <w:semiHidden/>
    <w:rsid w:val="00232EDC"/>
    <w:rPr>
      <w:b/>
      <w:bCs/>
      <w:sz w:val="20"/>
      <w:szCs w:val="20"/>
    </w:rPr>
  </w:style>
  <w:style w:type="paragraph" w:customStyle="1" w:styleId="ds-markdown-paragraph">
    <w:name w:val="ds-markdown-paragraph"/>
    <w:basedOn w:val="Normal"/>
    <w:rsid w:val="00CA4C4E"/>
    <w:pPr>
      <w:spacing w:before="100" w:beforeAutospacing="1" w:after="100" w:afterAutospacing="1" w:line="240" w:lineRule="auto"/>
    </w:pPr>
    <w:rPr>
      <w:rFonts w:ascii="Times New Roman" w:eastAsia="Times New Roman" w:hAnsi="Times New Roman" w:cs="Times New Roman"/>
      <w:sz w:val="24"/>
      <w:szCs w:val="24"/>
      <w:lang w:val="en-NG" w:eastAsia="en-NG"/>
    </w:rPr>
  </w:style>
  <w:style w:type="character" w:styleId="Emphasis">
    <w:name w:val="Emphasis"/>
    <w:basedOn w:val="DefaultParagraphFont"/>
    <w:uiPriority w:val="20"/>
    <w:qFormat/>
    <w:rsid w:val="00CA4C4E"/>
    <w:rPr>
      <w:i/>
      <w:iCs/>
    </w:rPr>
  </w:style>
  <w:style w:type="paragraph" w:styleId="Header">
    <w:name w:val="header"/>
    <w:basedOn w:val="Normal"/>
    <w:link w:val="HeaderChar"/>
    <w:uiPriority w:val="99"/>
    <w:unhideWhenUsed/>
    <w:rsid w:val="00010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8B6"/>
  </w:style>
  <w:style w:type="paragraph" w:styleId="Footer">
    <w:name w:val="footer"/>
    <w:basedOn w:val="Normal"/>
    <w:link w:val="FooterChar"/>
    <w:uiPriority w:val="99"/>
    <w:unhideWhenUsed/>
    <w:rsid w:val="00010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8B6"/>
  </w:style>
  <w:style w:type="paragraph" w:styleId="Revision">
    <w:name w:val="Revision"/>
    <w:hidden/>
    <w:uiPriority w:val="99"/>
    <w:semiHidden/>
    <w:rsid w:val="0023550B"/>
    <w:pPr>
      <w:spacing w:after="0" w:line="240" w:lineRule="auto"/>
    </w:pPr>
  </w:style>
  <w:style w:type="character" w:customStyle="1" w:styleId="Heading1Char">
    <w:name w:val="Heading 1 Char"/>
    <w:basedOn w:val="DefaultParagraphFont"/>
    <w:link w:val="Heading1"/>
    <w:uiPriority w:val="9"/>
    <w:rsid w:val="00251DB9"/>
    <w:rPr>
      <w:rFonts w:ascii="Times New Roman" w:eastAsiaTheme="minorEastAsia" w:hAnsi="Times New Roman" w:cs="Times New Roman"/>
      <w:b/>
      <w:bCs/>
      <w:kern w:val="36"/>
      <w:sz w:val="48"/>
      <w:szCs w:val="48"/>
      <w:lang w:val="en-NG" w:eastAsia="en-NG"/>
    </w:rPr>
  </w:style>
  <w:style w:type="character" w:customStyle="1" w:styleId="Heading2Char">
    <w:name w:val="Heading 2 Char"/>
    <w:basedOn w:val="DefaultParagraphFont"/>
    <w:link w:val="Heading2"/>
    <w:uiPriority w:val="9"/>
    <w:rsid w:val="00251DB9"/>
    <w:rPr>
      <w:rFonts w:ascii="Times New Roman" w:eastAsiaTheme="minorEastAsia" w:hAnsi="Times New Roman" w:cs="Times New Roman"/>
      <w:b/>
      <w:bCs/>
      <w:sz w:val="36"/>
      <w:szCs w:val="36"/>
      <w:lang w:val="en-NG" w:eastAsia="en-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699">
      <w:bodyDiv w:val="1"/>
      <w:marLeft w:val="0"/>
      <w:marRight w:val="0"/>
      <w:marTop w:val="0"/>
      <w:marBottom w:val="0"/>
      <w:divBdr>
        <w:top w:val="none" w:sz="0" w:space="0" w:color="auto"/>
        <w:left w:val="none" w:sz="0" w:space="0" w:color="auto"/>
        <w:bottom w:val="none" w:sz="0" w:space="0" w:color="auto"/>
        <w:right w:val="none" w:sz="0" w:space="0" w:color="auto"/>
      </w:divBdr>
    </w:div>
    <w:div w:id="989939278">
      <w:bodyDiv w:val="1"/>
      <w:marLeft w:val="0"/>
      <w:marRight w:val="0"/>
      <w:marTop w:val="0"/>
      <w:marBottom w:val="0"/>
      <w:divBdr>
        <w:top w:val="none" w:sz="0" w:space="0" w:color="auto"/>
        <w:left w:val="none" w:sz="0" w:space="0" w:color="auto"/>
        <w:bottom w:val="none" w:sz="0" w:space="0" w:color="auto"/>
        <w:right w:val="none" w:sz="0" w:space="0" w:color="auto"/>
      </w:divBdr>
      <w:divsChild>
        <w:div w:id="690183894">
          <w:marLeft w:val="0"/>
          <w:marRight w:val="0"/>
          <w:marTop w:val="0"/>
          <w:marBottom w:val="0"/>
          <w:divBdr>
            <w:top w:val="none" w:sz="0" w:space="0" w:color="auto"/>
            <w:left w:val="none" w:sz="0" w:space="0" w:color="auto"/>
            <w:bottom w:val="none" w:sz="0" w:space="0" w:color="auto"/>
            <w:right w:val="none" w:sz="0" w:space="0" w:color="auto"/>
          </w:divBdr>
          <w:divsChild>
            <w:div w:id="636449080">
              <w:marLeft w:val="0"/>
              <w:marRight w:val="0"/>
              <w:marTop w:val="0"/>
              <w:marBottom w:val="0"/>
              <w:divBdr>
                <w:top w:val="none" w:sz="0" w:space="0" w:color="auto"/>
                <w:left w:val="none" w:sz="0" w:space="0" w:color="auto"/>
                <w:bottom w:val="none" w:sz="0" w:space="0" w:color="auto"/>
                <w:right w:val="none" w:sz="0" w:space="0" w:color="auto"/>
              </w:divBdr>
            </w:div>
          </w:divsChild>
        </w:div>
        <w:div w:id="1164205691">
          <w:marLeft w:val="0"/>
          <w:marRight w:val="0"/>
          <w:marTop w:val="0"/>
          <w:marBottom w:val="0"/>
          <w:divBdr>
            <w:top w:val="none" w:sz="0" w:space="0" w:color="auto"/>
            <w:left w:val="none" w:sz="0" w:space="0" w:color="auto"/>
            <w:bottom w:val="none" w:sz="0" w:space="0" w:color="auto"/>
            <w:right w:val="none" w:sz="0" w:space="0" w:color="auto"/>
          </w:divBdr>
          <w:divsChild>
            <w:div w:id="166057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49842">
      <w:bodyDiv w:val="1"/>
      <w:marLeft w:val="0"/>
      <w:marRight w:val="0"/>
      <w:marTop w:val="0"/>
      <w:marBottom w:val="0"/>
      <w:divBdr>
        <w:top w:val="none" w:sz="0" w:space="0" w:color="auto"/>
        <w:left w:val="none" w:sz="0" w:space="0" w:color="auto"/>
        <w:bottom w:val="none" w:sz="0" w:space="0" w:color="auto"/>
        <w:right w:val="none" w:sz="0" w:space="0" w:color="auto"/>
      </w:divBdr>
    </w:div>
    <w:div w:id="1865365847">
      <w:bodyDiv w:val="1"/>
      <w:marLeft w:val="0"/>
      <w:marRight w:val="0"/>
      <w:marTop w:val="0"/>
      <w:marBottom w:val="0"/>
      <w:divBdr>
        <w:top w:val="none" w:sz="0" w:space="0" w:color="auto"/>
        <w:left w:val="none" w:sz="0" w:space="0" w:color="auto"/>
        <w:bottom w:val="none" w:sz="0" w:space="0" w:color="auto"/>
        <w:right w:val="none" w:sz="0" w:space="0" w:color="auto"/>
      </w:divBdr>
    </w:div>
    <w:div w:id="193436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lobalcitizen.org/en/content/what-is-feminism-and-why-is-it-important/" TargetMode="External"/><Relationship Id="rId2" Type="http://schemas.openxmlformats.org/officeDocument/2006/relationships/hyperlink" Target="https://www.dictionary.com/browse/law" TargetMode="External"/><Relationship Id="rId1" Type="http://schemas.openxmlformats.org/officeDocument/2006/relationships/hyperlink" Target="https://www.merriam-webster.com/dictionary/law" TargetMode="External"/><Relationship Id="rId5" Type="http://schemas.openxmlformats.org/officeDocument/2006/relationships/hyperlink" Target="http://biblehub.com/" TargetMode="External"/><Relationship Id="rId4" Type="http://schemas.openxmlformats.org/officeDocument/2006/relationships/hyperlink" Target="https://webiis08.mondaq.com/nigeria/crime/1650642/spousal-rape-in-nigeria-legal-perspectives-challenges-human-rights-iss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 dockstate="right" visibility="0" width="350" row="8">
    <wetp:webextensionref xmlns:r="http://schemas.openxmlformats.org/officeDocument/2006/relationships" r:id="rId2"/>
  </wetp:taskpane>
  <wetp:taskpane dockstate="right" visibility="0" width="350" row="5">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5A871B84-EA81-4704-A493-1088DD956AEB}">
  <we:reference id="wa200005107" version="1.1.0.0" store="en-US" storeType="OMEX"/>
  <we:alternateReferences>
    <we:reference id="WA200005107" version="1.1.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3204D06-B5D3-44F1-A49F-CBE9330D83BA}">
  <we:reference id="wa200000368" version="1.0.0.0" store="en-US" storeType="OMEX"/>
  <we:alternateReferences>
    <we:reference id="WA200000368" version="1.0.0.0" store="" storeType="OMEX"/>
  </we:alternateReferences>
  <we:properties>
    <we:property name="documentId" value="&quot;7314ff7f0cc4d7b4&quot;"/>
  </we:properties>
  <we:bindings/>
  <we:snapshot xmlns:r="http://schemas.openxmlformats.org/officeDocument/2006/relationships"/>
</we:webextension>
</file>

<file path=word/webextensions/webextension3.xml><?xml version="1.0" encoding="utf-8"?>
<we:webextension xmlns:we="http://schemas.microsoft.com/office/webextensions/webextension/2010/11" id="{39EAB432-A6FB-495A-91B9-4DB6FEA265BF}">
  <we:reference id="wa200005669" version="2.0.0.0" store="en-US"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49579-6F17-4EB7-9406-91E3DF0FF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4973</Words>
  <Characters>28349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Kayode Samuel</cp:lastModifiedBy>
  <cp:revision>3</cp:revision>
  <dcterms:created xsi:type="dcterms:W3CDTF">2026-05-28T22:14:00Z</dcterms:created>
  <dcterms:modified xsi:type="dcterms:W3CDTF">2026-05-28T22:15:00Z</dcterms:modified>
</cp:coreProperties>
</file>