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AA2B0" w14:textId="107781BD" w:rsidR="00B749FC" w:rsidRPr="007F244C" w:rsidRDefault="00B749FC" w:rsidP="00B749FC">
      <w:pPr>
        <w:spacing w:after="0" w:line="240" w:lineRule="auto"/>
        <w:textDirection w:val="btLr"/>
        <w:rPr>
          <w:rFonts w:ascii="Times New Roman" w:hAnsi="Times New Roman" w:cs="Times New Roman"/>
          <w:sz w:val="24"/>
          <w:szCs w:val="24"/>
        </w:rPr>
      </w:pPr>
    </w:p>
    <w:tbl>
      <w:tblPr>
        <w:tblW w:w="92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87"/>
      </w:tblGrid>
      <w:tr w:rsidR="00B749FC" w:rsidRPr="007F244C" w14:paraId="54D1EBAC" w14:textId="77777777" w:rsidTr="00C81683">
        <w:trPr>
          <w:trHeight w:val="1482"/>
        </w:trPr>
        <w:tc>
          <w:tcPr>
            <w:tcW w:w="9287" w:type="dxa"/>
            <w:tcBorders>
              <w:top w:val="nil"/>
              <w:left w:val="nil"/>
              <w:bottom w:val="single" w:sz="4" w:space="0" w:color="000000"/>
              <w:right w:val="nil"/>
            </w:tcBorders>
          </w:tcPr>
          <w:p w14:paraId="6FA006BD" w14:textId="77777777" w:rsidR="00B749FC" w:rsidRPr="007F244C" w:rsidRDefault="00B749FC" w:rsidP="00C81683">
            <w:pPr>
              <w:spacing w:after="120" w:line="216" w:lineRule="auto"/>
              <w:rPr>
                <w:rFonts w:ascii="Times New Roman" w:eastAsia="Aparajita" w:hAnsi="Times New Roman" w:cs="Times New Roman"/>
                <w:sz w:val="24"/>
                <w:szCs w:val="24"/>
              </w:rPr>
            </w:pPr>
            <w:r w:rsidRPr="007F244C">
              <w:rPr>
                <w:rFonts w:ascii="Times New Roman" w:eastAsia="Aparajita" w:hAnsi="Times New Roman" w:cs="Times New Roman"/>
                <w:sz w:val="24"/>
                <w:szCs w:val="24"/>
              </w:rPr>
              <w:t>Assessing the Impact of Students’ Union Governance in Promoting Participation and Accountability in Selected Federal Tertiary Institutions Osun State, Nigeria</w:t>
            </w:r>
            <w:r w:rsidRPr="007F244C">
              <w:rPr>
                <w:rFonts w:ascii="Times New Roman" w:hAnsi="Times New Roman" w:cs="Times New Roman"/>
                <w:noProof/>
                <w:sz w:val="24"/>
                <w:szCs w:val="24"/>
              </w:rPr>
              <mc:AlternateContent>
                <mc:Choice Requires="wps">
                  <w:drawing>
                    <wp:anchor distT="0" distB="0" distL="114300" distR="114300" simplePos="0" relativeHeight="251659264" behindDoc="0" locked="0" layoutInCell="1" hidden="0" allowOverlap="1" wp14:anchorId="40C1544A" wp14:editId="53CB7000">
                      <wp:simplePos x="0" y="0"/>
                      <wp:positionH relativeFrom="column">
                        <wp:posOffset>1</wp:posOffset>
                      </wp:positionH>
                      <wp:positionV relativeFrom="paragraph">
                        <wp:posOffset>-1320799</wp:posOffset>
                      </wp:positionV>
                      <wp:extent cx="5953125" cy="925195"/>
                      <wp:effectExtent l="0" t="0" r="0" b="0"/>
                      <wp:wrapNone/>
                      <wp:docPr id="4" name="Freeform: Shape 4"/>
                      <wp:cNvGraphicFramePr/>
                      <a:graphic xmlns:a="http://schemas.openxmlformats.org/drawingml/2006/main">
                        <a:graphicData uri="http://schemas.microsoft.com/office/word/2010/wordprocessingShape">
                          <wps:wsp>
                            <wps:cNvSpPr/>
                            <wps:spPr>
                              <a:xfrm>
                                <a:off x="2374200" y="3322165"/>
                                <a:ext cx="5943600" cy="915670"/>
                              </a:xfrm>
                              <a:custGeom>
                                <a:avLst/>
                                <a:gdLst/>
                                <a:ahLst/>
                                <a:cxnLst/>
                                <a:rect l="l" t="t" r="r" b="b"/>
                                <a:pathLst>
                                  <a:path w="5943600" h="915670" extrusionOk="0">
                                    <a:moveTo>
                                      <a:pt x="0" y="0"/>
                                    </a:moveTo>
                                    <a:lnTo>
                                      <a:pt x="0" y="915670"/>
                                    </a:lnTo>
                                    <a:lnTo>
                                      <a:pt x="5943600" y="915670"/>
                                    </a:lnTo>
                                    <a:lnTo>
                                      <a:pt x="5943600" y="0"/>
                                    </a:lnTo>
                                    <a:close/>
                                  </a:path>
                                </a:pathLst>
                              </a:custGeom>
                              <a:solidFill>
                                <a:srgbClr val="FFFFFF"/>
                              </a:solidFill>
                              <a:ln>
                                <a:noFill/>
                              </a:ln>
                            </wps:spPr>
                            <wps:txbx>
                              <w:txbxContent>
                                <w:p w14:paraId="05CFF4FB" w14:textId="77777777" w:rsidR="00B749FC" w:rsidRDefault="00B749FC" w:rsidP="00B749FC">
                                  <w:pPr>
                                    <w:spacing w:after="0" w:line="240" w:lineRule="auto"/>
                                    <w:ind w:left="1275"/>
                                    <w:textDirection w:val="btLr"/>
                                  </w:pPr>
                                  <w:r>
                                    <w:rPr>
                                      <w:rFonts w:ascii="Cambria" w:eastAsia="Cambria" w:hAnsi="Cambria" w:cs="Cambria"/>
                                      <w:b/>
                                      <w:smallCaps/>
                                      <w:color w:val="002060"/>
                                      <w:sz w:val="28"/>
                                    </w:rPr>
                                    <w:t>Indonesian Journal of Innovation and Applied Sciences (IJIAS)</w:t>
                                  </w:r>
                                </w:p>
                              </w:txbxContent>
                            </wps:txbx>
                            <wps:bodyPr spcFirstLastPara="1" wrap="square" lIns="88900" tIns="38100" rIns="88900" bIns="38100" anchor="t" anchorCtr="0">
                              <a:noAutofit/>
                            </wps:bodyPr>
                          </wps:wsp>
                        </a:graphicData>
                      </a:graphic>
                    </wp:anchor>
                  </w:drawing>
                </mc:Choice>
                <mc:Fallback>
                  <w:pict>
                    <v:shape w14:anchorId="40C1544A" id="Freeform: Shape 4" o:spid="_x0000_s1026" style="position:absolute;margin-left:0;margin-top:-104pt;width:468.75pt;height:72.85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5943600,9156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" adj="-11796480,,5400" path="m,l,915670r5943600,l5943600,,,xe" stroked="f">
                      <v:stroke joinstyle="miter"/>
                      <v:formulas/>
                      <v:path arrowok="t" o:extrusionok="f" o:connecttype="custom" textboxrect="0,0,5943600,915670"/>
                      <v:textbox inset="7pt,3pt,7pt,3pt">
                        <w:txbxContent>
                          <w:p w14:paraId="05CFF4FB" w14:textId="77777777" w:rsidR="00B749FC" w:rsidRDefault="00B749FC" w:rsidP="00B749FC">
                            <w:pPr>
                              <w:spacing w:after="0" w:line="240" w:lineRule="auto"/>
                              <w:ind w:left="1275"/>
                              <w:textDirection w:val="btLr"/>
                            </w:pPr>
                            <w:r>
                              <w:rPr>
                                <w:rFonts w:ascii="Cambria" w:eastAsia="Cambria" w:hAnsi="Cambria" w:cs="Cambria"/>
                                <w:b/>
                                <w:smallCaps/>
                                <w:color w:val="002060"/>
                                <w:sz w:val="28"/>
                              </w:rPr>
                              <w:t>Indonesian Journal of Innovation and Applied Sciences (IJIAS)</w:t>
                            </w:r>
                          </w:p>
                        </w:txbxContent>
                      </v:textbox>
                    </v:shape>
                  </w:pict>
                </mc:Fallback>
              </mc:AlternateContent>
            </w:r>
          </w:p>
          <w:p w14:paraId="692F6177" w14:textId="77777777" w:rsidR="00B749FC" w:rsidRPr="007F244C" w:rsidRDefault="00B749FC" w:rsidP="00C81683">
            <w:pPr>
              <w:rPr>
                <w:rFonts w:ascii="Times New Roman" w:eastAsia="Aparajita" w:hAnsi="Times New Roman" w:cs="Times New Roman"/>
                <w:sz w:val="24"/>
                <w:szCs w:val="24"/>
              </w:rPr>
            </w:pPr>
            <w:proofErr w:type="spellStart"/>
            <w:r w:rsidRPr="007F244C">
              <w:rPr>
                <w:rFonts w:ascii="Times New Roman" w:eastAsia="Aparajita" w:hAnsi="Times New Roman" w:cs="Times New Roman"/>
                <w:sz w:val="24"/>
                <w:szCs w:val="24"/>
              </w:rPr>
              <w:t>Olawepo</w:t>
            </w:r>
            <w:proofErr w:type="spellEnd"/>
            <w:r w:rsidRPr="007F244C">
              <w:rPr>
                <w:rFonts w:ascii="Times New Roman" w:eastAsia="Aparajita" w:hAnsi="Times New Roman" w:cs="Times New Roman"/>
                <w:sz w:val="24"/>
                <w:szCs w:val="24"/>
              </w:rPr>
              <w:t>, Samson Olaide</w:t>
            </w:r>
            <w:r w:rsidRPr="007F244C">
              <w:rPr>
                <w:rFonts w:ascii="Times New Roman" w:eastAsia="Aparajita" w:hAnsi="Times New Roman" w:cs="Times New Roman"/>
                <w:sz w:val="24"/>
                <w:szCs w:val="24"/>
                <w:vertAlign w:val="superscript"/>
              </w:rPr>
              <w:t>1</w:t>
            </w:r>
            <w:r w:rsidRPr="007F244C">
              <w:rPr>
                <w:rFonts w:ascii="Times New Roman" w:eastAsia="Aparajita" w:hAnsi="Times New Roman" w:cs="Times New Roman"/>
                <w:sz w:val="24"/>
                <w:szCs w:val="24"/>
              </w:rPr>
              <w:t xml:space="preserve">, </w:t>
            </w:r>
            <w:proofErr w:type="spellStart"/>
            <w:r w:rsidRPr="007F244C">
              <w:rPr>
                <w:rFonts w:ascii="Times New Roman" w:eastAsia="Aparajita" w:hAnsi="Times New Roman" w:cs="Times New Roman"/>
                <w:sz w:val="24"/>
                <w:szCs w:val="24"/>
              </w:rPr>
              <w:t>Ulabor</w:t>
            </w:r>
            <w:proofErr w:type="spellEnd"/>
            <w:r w:rsidRPr="007F244C">
              <w:rPr>
                <w:rFonts w:ascii="Times New Roman" w:eastAsia="Aparajita" w:hAnsi="Times New Roman" w:cs="Times New Roman"/>
                <w:sz w:val="24"/>
                <w:szCs w:val="24"/>
              </w:rPr>
              <w:t xml:space="preserve">, </w:t>
            </w:r>
            <w:proofErr w:type="spellStart"/>
            <w:r w:rsidRPr="007F244C">
              <w:rPr>
                <w:rFonts w:ascii="Times New Roman" w:eastAsia="Aparajita" w:hAnsi="Times New Roman" w:cs="Times New Roman"/>
                <w:sz w:val="24"/>
                <w:szCs w:val="24"/>
              </w:rPr>
              <w:t>Ehimen</w:t>
            </w:r>
            <w:proofErr w:type="spellEnd"/>
            <w:r w:rsidRPr="007F244C">
              <w:rPr>
                <w:rFonts w:ascii="Times New Roman" w:eastAsia="Aparajita" w:hAnsi="Times New Roman" w:cs="Times New Roman"/>
                <w:sz w:val="24"/>
                <w:szCs w:val="24"/>
              </w:rPr>
              <w:t xml:space="preserve"> Abiodun</w:t>
            </w:r>
            <w:r w:rsidRPr="007F244C">
              <w:rPr>
                <w:rFonts w:ascii="Times New Roman" w:eastAsia="Aparajita" w:hAnsi="Times New Roman" w:cs="Times New Roman"/>
                <w:sz w:val="24"/>
                <w:szCs w:val="24"/>
                <w:vertAlign w:val="superscript"/>
              </w:rPr>
              <w:t xml:space="preserve"> 2</w:t>
            </w:r>
            <w:r w:rsidRPr="007F244C">
              <w:rPr>
                <w:rFonts w:ascii="Times New Roman" w:eastAsia="Aparajita" w:hAnsi="Times New Roman" w:cs="Times New Roman"/>
                <w:sz w:val="24"/>
                <w:szCs w:val="24"/>
              </w:rPr>
              <w:t xml:space="preserve">, </w:t>
            </w:r>
            <w:proofErr w:type="spellStart"/>
            <w:r w:rsidRPr="007F244C">
              <w:rPr>
                <w:rFonts w:ascii="Times New Roman" w:eastAsia="Aparajita" w:hAnsi="Times New Roman" w:cs="Times New Roman"/>
                <w:sz w:val="24"/>
                <w:szCs w:val="24"/>
              </w:rPr>
              <w:t>Bbablola</w:t>
            </w:r>
            <w:proofErr w:type="spellEnd"/>
            <w:r w:rsidRPr="007F244C">
              <w:rPr>
                <w:rFonts w:ascii="Times New Roman" w:eastAsia="Aparajita" w:hAnsi="Times New Roman" w:cs="Times New Roman"/>
                <w:sz w:val="24"/>
                <w:szCs w:val="24"/>
              </w:rPr>
              <w:t xml:space="preserve">, </w:t>
            </w:r>
            <w:proofErr w:type="spellStart"/>
            <w:r w:rsidRPr="007F244C">
              <w:rPr>
                <w:rFonts w:ascii="Times New Roman" w:eastAsia="Aparajita" w:hAnsi="Times New Roman" w:cs="Times New Roman"/>
                <w:sz w:val="24"/>
                <w:szCs w:val="24"/>
              </w:rPr>
              <w:t>Jamiu</w:t>
            </w:r>
            <w:proofErr w:type="spellEnd"/>
            <w:r w:rsidRPr="007F244C">
              <w:rPr>
                <w:rFonts w:ascii="Times New Roman" w:eastAsia="Aparajita" w:hAnsi="Times New Roman" w:cs="Times New Roman"/>
                <w:sz w:val="24"/>
                <w:szCs w:val="24"/>
              </w:rPr>
              <w:t xml:space="preserve"> </w:t>
            </w:r>
            <w:proofErr w:type="spellStart"/>
            <w:r w:rsidRPr="007F244C">
              <w:rPr>
                <w:rFonts w:ascii="Times New Roman" w:eastAsia="Aparajita" w:hAnsi="Times New Roman" w:cs="Times New Roman"/>
                <w:sz w:val="24"/>
                <w:szCs w:val="24"/>
              </w:rPr>
              <w:t>Abidemi</w:t>
            </w:r>
            <w:proofErr w:type="spellEnd"/>
            <w:r w:rsidRPr="007F244C">
              <w:rPr>
                <w:rFonts w:ascii="Times New Roman" w:eastAsia="Aparajita" w:hAnsi="Times New Roman" w:cs="Times New Roman"/>
                <w:sz w:val="24"/>
                <w:szCs w:val="24"/>
                <w:vertAlign w:val="superscript"/>
              </w:rPr>
              <w:t xml:space="preserve"> 3</w:t>
            </w:r>
            <w:r w:rsidRPr="007F244C">
              <w:rPr>
                <w:rFonts w:ascii="Times New Roman" w:eastAsia="Aparajita" w:hAnsi="Times New Roman" w:cs="Times New Roman"/>
                <w:sz w:val="24"/>
                <w:szCs w:val="24"/>
              </w:rPr>
              <w:t>,</w:t>
            </w:r>
          </w:p>
          <w:p w14:paraId="59BB0625" w14:textId="77777777" w:rsidR="00B749FC" w:rsidRPr="007F244C" w:rsidRDefault="00B749FC" w:rsidP="00C81683">
            <w:pPr>
              <w:rPr>
                <w:rFonts w:ascii="Times New Roman" w:eastAsia="Aparajita" w:hAnsi="Times New Roman" w:cs="Times New Roman"/>
                <w:sz w:val="24"/>
                <w:szCs w:val="24"/>
              </w:rPr>
            </w:pPr>
            <w:r w:rsidRPr="007F244C">
              <w:rPr>
                <w:rFonts w:ascii="Times New Roman" w:eastAsia="Aparajita" w:hAnsi="Times New Roman" w:cs="Times New Roman"/>
                <w:sz w:val="24"/>
                <w:szCs w:val="24"/>
                <w:vertAlign w:val="superscript"/>
              </w:rPr>
              <w:t>1</w:t>
            </w:r>
            <w:r w:rsidRPr="007F244C">
              <w:rPr>
                <w:rFonts w:ascii="Times New Roman" w:eastAsia="Aparajita" w:hAnsi="Times New Roman" w:cs="Times New Roman"/>
                <w:sz w:val="24"/>
                <w:szCs w:val="24"/>
              </w:rPr>
              <w:t xml:space="preserve"> Department of Public Administration, Federal Polytechnic Ede, Osun State, Nigeria. </w:t>
            </w:r>
            <w:hyperlink r:id="rId6" w:history="1">
              <w:r w:rsidRPr="007F244C">
                <w:rPr>
                  <w:rStyle w:val="Hyperlink"/>
                  <w:rFonts w:ascii="Times New Roman" w:eastAsia="Aparajita" w:hAnsi="Times New Roman" w:cs="Times New Roman"/>
                  <w:sz w:val="24"/>
                  <w:szCs w:val="24"/>
                </w:rPr>
                <w:t>olawepo.samson@federalpolyede.edu.ng</w:t>
              </w:r>
            </w:hyperlink>
          </w:p>
          <w:p w14:paraId="76E79334" w14:textId="77777777" w:rsidR="00B749FC" w:rsidRPr="007F244C" w:rsidRDefault="00B749FC" w:rsidP="00C81683">
            <w:pPr>
              <w:rPr>
                <w:rFonts w:ascii="Times New Roman" w:eastAsia="Aparajita" w:hAnsi="Times New Roman" w:cs="Times New Roman"/>
                <w:sz w:val="24"/>
                <w:szCs w:val="24"/>
              </w:rPr>
            </w:pPr>
            <w:r w:rsidRPr="007F244C">
              <w:rPr>
                <w:rFonts w:ascii="Times New Roman" w:eastAsia="Aparajita" w:hAnsi="Times New Roman" w:cs="Times New Roman"/>
                <w:sz w:val="24"/>
                <w:szCs w:val="24"/>
                <w:vertAlign w:val="superscript"/>
              </w:rPr>
              <w:t>2</w:t>
            </w:r>
            <w:r w:rsidRPr="007F244C">
              <w:rPr>
                <w:rFonts w:ascii="Times New Roman" w:eastAsia="Aparajita" w:hAnsi="Times New Roman" w:cs="Times New Roman"/>
                <w:sz w:val="24"/>
                <w:szCs w:val="24"/>
              </w:rPr>
              <w:t xml:space="preserve">Department of Business Administration and Management, Federal Polytechnic Ede, Osun State, Nigeria. </w:t>
            </w:r>
            <w:hyperlink r:id="rId7" w:history="1">
              <w:r w:rsidRPr="007F244C">
                <w:rPr>
                  <w:rStyle w:val="Hyperlink"/>
                  <w:rFonts w:ascii="Times New Roman" w:eastAsia="Aparajita" w:hAnsi="Times New Roman" w:cs="Times New Roman"/>
                  <w:sz w:val="24"/>
                  <w:szCs w:val="24"/>
                </w:rPr>
                <w:t>ulabor.ehimen@federalpolyede.edu.ng</w:t>
              </w:r>
            </w:hyperlink>
          </w:p>
          <w:p w14:paraId="2D0722F5" w14:textId="77777777" w:rsidR="00B749FC" w:rsidRPr="007F244C" w:rsidRDefault="00B749FC" w:rsidP="00C81683">
            <w:pPr>
              <w:rPr>
                <w:rFonts w:ascii="Times New Roman" w:eastAsia="Aparajita" w:hAnsi="Times New Roman" w:cs="Times New Roman"/>
                <w:color w:val="0000FF"/>
                <w:sz w:val="24"/>
                <w:szCs w:val="24"/>
                <w:u w:val="single"/>
              </w:rPr>
            </w:pPr>
            <w:r w:rsidRPr="007F244C">
              <w:rPr>
                <w:rFonts w:ascii="Times New Roman" w:eastAsia="Aparajita" w:hAnsi="Times New Roman" w:cs="Times New Roman"/>
                <w:sz w:val="24"/>
                <w:szCs w:val="24"/>
                <w:vertAlign w:val="superscript"/>
              </w:rPr>
              <w:t>3</w:t>
            </w:r>
            <w:r w:rsidRPr="007F244C">
              <w:rPr>
                <w:rFonts w:ascii="Times New Roman" w:eastAsia="Aparajita" w:hAnsi="Times New Roman" w:cs="Times New Roman"/>
                <w:sz w:val="24"/>
                <w:szCs w:val="24"/>
              </w:rPr>
              <w:t xml:space="preserve">Department of Business Administration and Management, Federal Polytechnic Ede, Osun State, Nigeria. </w:t>
            </w:r>
            <w:hyperlink r:id="rId8" w:history="1">
              <w:r w:rsidRPr="007F244C">
                <w:rPr>
                  <w:rStyle w:val="Hyperlink"/>
                  <w:rFonts w:ascii="Times New Roman" w:eastAsia="Aparajita" w:hAnsi="Times New Roman" w:cs="Times New Roman"/>
                  <w:sz w:val="24"/>
                  <w:szCs w:val="24"/>
                </w:rPr>
                <w:t>babalola.jamiu@federalpolyede.edu.ng</w:t>
              </w:r>
            </w:hyperlink>
          </w:p>
          <w:p w14:paraId="05D4EE98" w14:textId="77777777" w:rsidR="00B749FC" w:rsidRPr="007F244C" w:rsidRDefault="00B749FC" w:rsidP="00C81683">
            <w:pPr>
              <w:spacing w:after="120"/>
              <w:rPr>
                <w:rFonts w:ascii="Times New Roman" w:eastAsia="Aparajita" w:hAnsi="Times New Roman" w:cs="Times New Roman"/>
                <w:sz w:val="24"/>
                <w:szCs w:val="24"/>
              </w:rPr>
            </w:pPr>
            <w:r w:rsidRPr="007F244C">
              <w:rPr>
                <w:rFonts w:ascii="Times New Roman" w:eastAsia="Aparajita" w:hAnsi="Times New Roman" w:cs="Times New Roman"/>
                <w:b/>
                <w:sz w:val="24"/>
                <w:szCs w:val="24"/>
              </w:rPr>
              <w:t>Corresponding Author</w:t>
            </w:r>
            <w:r w:rsidRPr="007F244C">
              <w:rPr>
                <w:rFonts w:ascii="Times New Roman" w:eastAsia="Aparajita" w:hAnsi="Times New Roman" w:cs="Times New Roman"/>
                <w:sz w:val="24"/>
                <w:szCs w:val="24"/>
              </w:rPr>
              <w:t xml:space="preserve">: </w:t>
            </w:r>
            <w:proofErr w:type="spellStart"/>
            <w:r w:rsidRPr="007F244C">
              <w:rPr>
                <w:rFonts w:ascii="Times New Roman" w:eastAsia="Aparajita" w:hAnsi="Times New Roman" w:cs="Times New Roman"/>
                <w:sz w:val="24"/>
                <w:szCs w:val="24"/>
              </w:rPr>
              <w:t>Olawepo</w:t>
            </w:r>
            <w:proofErr w:type="spellEnd"/>
            <w:r w:rsidRPr="007F244C">
              <w:rPr>
                <w:rFonts w:ascii="Times New Roman" w:eastAsia="Aparajita" w:hAnsi="Times New Roman" w:cs="Times New Roman"/>
                <w:sz w:val="24"/>
                <w:szCs w:val="24"/>
              </w:rPr>
              <w:t xml:space="preserve">, Samson </w:t>
            </w:r>
            <w:proofErr w:type="spellStart"/>
            <w:proofErr w:type="gramStart"/>
            <w:r w:rsidRPr="007F244C">
              <w:rPr>
                <w:rFonts w:ascii="Times New Roman" w:eastAsia="Aparajita" w:hAnsi="Times New Roman" w:cs="Times New Roman"/>
                <w:sz w:val="24"/>
                <w:szCs w:val="24"/>
              </w:rPr>
              <w:t>Olaide</w:t>
            </w:r>
            <w:proofErr w:type="spellEnd"/>
            <w:r w:rsidRPr="007F244C">
              <w:rPr>
                <w:rFonts w:ascii="Times New Roman" w:eastAsia="Aparajita" w:hAnsi="Times New Roman" w:cs="Times New Roman"/>
                <w:sz w:val="24"/>
                <w:szCs w:val="24"/>
              </w:rPr>
              <w:t xml:space="preserve"> ;</w:t>
            </w:r>
            <w:proofErr w:type="gramEnd"/>
            <w:r w:rsidRPr="007F244C">
              <w:rPr>
                <w:rFonts w:ascii="Times New Roman" w:eastAsia="Aparajita" w:hAnsi="Times New Roman" w:cs="Times New Roman"/>
                <w:sz w:val="24"/>
                <w:szCs w:val="24"/>
              </w:rPr>
              <w:t xml:space="preserve"> Email: </w:t>
            </w:r>
            <w:hyperlink r:id="rId9" w:history="1">
              <w:r w:rsidRPr="007F244C">
                <w:rPr>
                  <w:rStyle w:val="Hyperlink"/>
                  <w:rFonts w:ascii="Times New Roman" w:eastAsia="Aparajita" w:hAnsi="Times New Roman" w:cs="Times New Roman"/>
                  <w:sz w:val="24"/>
                  <w:szCs w:val="24"/>
                </w:rPr>
                <w:t>olawepo.samson@federalpolyede.edu.ng</w:t>
              </w:r>
            </w:hyperlink>
          </w:p>
        </w:tc>
      </w:tr>
    </w:tbl>
    <w:p w14:paraId="144B1701" w14:textId="77777777" w:rsidR="00B749FC" w:rsidRPr="007F244C" w:rsidRDefault="00B749FC" w:rsidP="00B749FC">
      <w:pPr>
        <w:jc w:val="both"/>
        <w:rPr>
          <w:rFonts w:ascii="Times New Roman" w:hAnsi="Times New Roman" w:cs="Times New Roman"/>
          <w:b/>
          <w:sz w:val="24"/>
          <w:szCs w:val="24"/>
        </w:rPr>
      </w:pPr>
      <w:r w:rsidRPr="007F244C">
        <w:rPr>
          <w:rFonts w:ascii="Times New Roman" w:hAnsi="Times New Roman" w:cs="Times New Roman"/>
          <w:b/>
          <w:sz w:val="24"/>
          <w:szCs w:val="24"/>
        </w:rPr>
        <w:t>ABSTRACT</w:t>
      </w:r>
    </w:p>
    <w:p w14:paraId="600F017D" w14:textId="3A381BCC" w:rsidR="00B749FC" w:rsidRPr="007F244C" w:rsidRDefault="00B749FC" w:rsidP="007F244C">
      <w:pPr>
        <w:pBdr>
          <w:bottom w:val="single" w:sz="6" w:space="1" w:color="auto"/>
        </w:pBdr>
        <w:jc w:val="both"/>
        <w:rPr>
          <w:rFonts w:ascii="Times New Roman" w:hAnsi="Times New Roman" w:cs="Times New Roman"/>
          <w:sz w:val="24"/>
          <w:szCs w:val="24"/>
        </w:rPr>
        <w:sectPr w:rsidR="00B749FC" w:rsidRPr="007F244C">
          <w:footerReference w:type="default" r:id="rId10"/>
          <w:pgSz w:w="12240" w:h="15840"/>
          <w:pgMar w:top="1440" w:right="1440" w:bottom="1440" w:left="1440" w:header="720" w:footer="720" w:gutter="0"/>
          <w:cols w:space="720"/>
          <w:docGrid w:linePitch="360"/>
        </w:sectPr>
      </w:pPr>
      <w:r w:rsidRPr="007F244C">
        <w:rPr>
          <w:rFonts w:ascii="Times New Roman" w:hAnsi="Times New Roman" w:cs="Times New Roman"/>
          <w:sz w:val="24"/>
          <w:szCs w:val="24"/>
        </w:rPr>
        <w:t xml:space="preserve">This paper is an analysis of the role of union government in participating and being accountable in federal tertiary institutions in Osun State in Nigeria. The fact that the students are not very involved in the process of decision making and transparency in the operations of the unions is the key issue that can minimize the trust and civic learning on campus. These aims aim to evaluate the composition of unions of students, gauge the participation of students, discuss accountability </w:t>
      </w:r>
      <w:proofErr w:type="spellStart"/>
      <w:r w:rsidRPr="007F244C">
        <w:rPr>
          <w:rFonts w:ascii="Times New Roman" w:hAnsi="Times New Roman" w:cs="Times New Roman"/>
          <w:sz w:val="24"/>
          <w:szCs w:val="24"/>
        </w:rPr>
        <w:t>behaviour</w:t>
      </w:r>
      <w:proofErr w:type="spellEnd"/>
      <w:r w:rsidRPr="007F244C">
        <w:rPr>
          <w:rFonts w:ascii="Times New Roman" w:hAnsi="Times New Roman" w:cs="Times New Roman"/>
          <w:sz w:val="24"/>
          <w:szCs w:val="24"/>
        </w:rPr>
        <w:t xml:space="preserve">, and pinpoint factors that predispose effective governance. The research design is mixed methods. They were given a structured questionnaire to undergraduate students; they interviewed the union leaders and student affairs officers. All participation patterns were </w:t>
      </w:r>
      <w:proofErr w:type="spellStart"/>
      <w:r w:rsidRPr="007F244C">
        <w:rPr>
          <w:rFonts w:ascii="Times New Roman" w:hAnsi="Times New Roman" w:cs="Times New Roman"/>
          <w:sz w:val="24"/>
          <w:szCs w:val="24"/>
        </w:rPr>
        <w:t>summarised</w:t>
      </w:r>
      <w:proofErr w:type="spellEnd"/>
      <w:r w:rsidRPr="007F244C">
        <w:rPr>
          <w:rFonts w:ascii="Times New Roman" w:hAnsi="Times New Roman" w:cs="Times New Roman"/>
          <w:sz w:val="24"/>
          <w:szCs w:val="24"/>
        </w:rPr>
        <w:t xml:space="preserve"> using descriptive statistics and thematic analysis was made on the interview responses. The results indicate that higher student participation is recorded in </w:t>
      </w:r>
      <w:proofErr w:type="gramStart"/>
      <w:r w:rsidRPr="007F244C">
        <w:rPr>
          <w:rFonts w:ascii="Times New Roman" w:hAnsi="Times New Roman" w:cs="Times New Roman"/>
          <w:sz w:val="24"/>
          <w:szCs w:val="24"/>
        </w:rPr>
        <w:t>students</w:t>
      </w:r>
      <w:proofErr w:type="gramEnd"/>
      <w:r w:rsidRPr="007F244C">
        <w:rPr>
          <w:rFonts w:ascii="Times New Roman" w:hAnsi="Times New Roman" w:cs="Times New Roman"/>
          <w:sz w:val="24"/>
          <w:szCs w:val="24"/>
        </w:rPr>
        <w:t xml:space="preserve"> union that has a clear constitution, elects often and has open financial reporting. In case of poor meetings, feedback channels, and budget disclosures, the participation decreases and the accountability gaps emerge. The research also concludes that institution support and leadership training </w:t>
      </w:r>
      <w:proofErr w:type="gramStart"/>
      <w:r w:rsidRPr="007F244C">
        <w:rPr>
          <w:rFonts w:ascii="Times New Roman" w:hAnsi="Times New Roman" w:cs="Times New Roman"/>
          <w:sz w:val="24"/>
          <w:szCs w:val="24"/>
        </w:rPr>
        <w:t>enhances</w:t>
      </w:r>
      <w:proofErr w:type="gramEnd"/>
      <w:r w:rsidRPr="007F244C">
        <w:rPr>
          <w:rFonts w:ascii="Times New Roman" w:hAnsi="Times New Roman" w:cs="Times New Roman"/>
          <w:sz w:val="24"/>
          <w:szCs w:val="24"/>
        </w:rPr>
        <w:t xml:space="preserve"> union performance, and student trust. The implications imply that the universities would be advised to tighten up the governance structures, offering governance education to student leaders, and enhancing open communication. Such measures can enhance democratic involvement, responsibility, and involvement of students in the federal tertiary institutions.</w:t>
      </w:r>
    </w:p>
    <w:p w14:paraId="0A85139B"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INTRODUCTION</w:t>
      </w:r>
    </w:p>
    <w:p w14:paraId="2E4DE891" w14:textId="77777777" w:rsidR="00B749FC" w:rsidRPr="007F244C" w:rsidRDefault="00B749FC" w:rsidP="00B749FC">
      <w:pPr>
        <w:spacing w:after="0" w:line="240" w:lineRule="auto"/>
        <w:ind w:firstLine="720"/>
        <w:jc w:val="both"/>
        <w:rPr>
          <w:rFonts w:ascii="Times New Roman" w:hAnsi="Times New Roman" w:cs="Times New Roman"/>
          <w:sz w:val="24"/>
          <w:szCs w:val="24"/>
        </w:rPr>
      </w:pPr>
      <w:r w:rsidRPr="007F244C">
        <w:rPr>
          <w:rFonts w:ascii="Times New Roman" w:hAnsi="Times New Roman" w:cs="Times New Roman"/>
          <w:sz w:val="24"/>
          <w:szCs w:val="24"/>
        </w:rPr>
        <w:t xml:space="preserve">Governance of </w:t>
      </w:r>
      <w:proofErr w:type="gramStart"/>
      <w:r w:rsidRPr="007F244C">
        <w:rPr>
          <w:rFonts w:ascii="Times New Roman" w:hAnsi="Times New Roman" w:cs="Times New Roman"/>
          <w:sz w:val="24"/>
          <w:szCs w:val="24"/>
        </w:rPr>
        <w:t>students</w:t>
      </w:r>
      <w:proofErr w:type="gramEnd"/>
      <w:r w:rsidRPr="007F244C">
        <w:rPr>
          <w:rFonts w:ascii="Times New Roman" w:hAnsi="Times New Roman" w:cs="Times New Roman"/>
          <w:sz w:val="24"/>
          <w:szCs w:val="24"/>
        </w:rPr>
        <w:t xml:space="preserve"> union is the process through which students structure themselves to express their interests in the tertiary institutions. Students Unions in most countries serve as the mediator between students and the management that provides </w:t>
      </w:r>
      <w:r w:rsidRPr="007F244C">
        <w:rPr>
          <w:rFonts w:ascii="Times New Roman" w:hAnsi="Times New Roman" w:cs="Times New Roman"/>
          <w:sz w:val="24"/>
          <w:szCs w:val="24"/>
        </w:rPr>
        <w:t>students with a voice in academic, welfare, and social affairs (</w:t>
      </w:r>
      <w:proofErr w:type="spellStart"/>
      <w:r w:rsidRPr="007F244C">
        <w:rPr>
          <w:rFonts w:ascii="Times New Roman" w:hAnsi="Times New Roman" w:cs="Times New Roman"/>
          <w:sz w:val="24"/>
          <w:szCs w:val="24"/>
        </w:rPr>
        <w:t>Luescher</w:t>
      </w:r>
      <w:proofErr w:type="spellEnd"/>
      <w:r w:rsidRPr="007F244C">
        <w:rPr>
          <w:rFonts w:ascii="Times New Roman" w:hAnsi="Times New Roman" w:cs="Times New Roman"/>
          <w:sz w:val="24"/>
          <w:szCs w:val="24"/>
        </w:rPr>
        <w:t>, 2016). In the world, student governance is associated with democratic learning as the ability to teach youth how leadership, dialogue, and responsibility can be applied in the real world (</w:t>
      </w:r>
      <w:proofErr w:type="spellStart"/>
      <w:r w:rsidRPr="007F244C">
        <w:rPr>
          <w:rFonts w:ascii="Times New Roman" w:hAnsi="Times New Roman" w:cs="Times New Roman"/>
          <w:sz w:val="24"/>
          <w:szCs w:val="24"/>
        </w:rPr>
        <w:t>Klemencic</w:t>
      </w:r>
      <w:proofErr w:type="spellEnd"/>
      <w:r w:rsidRPr="007F244C">
        <w:rPr>
          <w:rFonts w:ascii="Times New Roman" w:hAnsi="Times New Roman" w:cs="Times New Roman"/>
          <w:sz w:val="24"/>
          <w:szCs w:val="24"/>
        </w:rPr>
        <w:t xml:space="preserve">, 2017). The students learn how to </w:t>
      </w:r>
      <w:r w:rsidRPr="007F244C">
        <w:rPr>
          <w:rFonts w:ascii="Times New Roman" w:hAnsi="Times New Roman" w:cs="Times New Roman"/>
          <w:sz w:val="24"/>
          <w:szCs w:val="24"/>
        </w:rPr>
        <w:lastRenderedPageBreak/>
        <w:t>give voice, listen to others and how to accept collaborative decisions through elections, meetings and committees.</w:t>
      </w:r>
    </w:p>
    <w:p w14:paraId="7DDFD28C"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 key concepts of campus </w:t>
      </w:r>
      <w:proofErr w:type="spellStart"/>
      <w:r w:rsidRPr="007F244C">
        <w:rPr>
          <w:rFonts w:ascii="Times New Roman" w:hAnsi="Times New Roman" w:cs="Times New Roman"/>
          <w:sz w:val="24"/>
          <w:szCs w:val="24"/>
        </w:rPr>
        <w:t>democratisation</w:t>
      </w:r>
      <w:proofErr w:type="spellEnd"/>
      <w:r w:rsidRPr="007F244C">
        <w:rPr>
          <w:rFonts w:ascii="Times New Roman" w:hAnsi="Times New Roman" w:cs="Times New Roman"/>
          <w:sz w:val="24"/>
          <w:szCs w:val="24"/>
        </w:rPr>
        <w:t xml:space="preserve"> are participation and accountability. Participation implies that students are engaged in discussions and elections and decision-making processes, which influence their lives (Menon, 2018). Accountability implies that student leaders justify their actions, distribute resources in an open manner, and be checked by members (</w:t>
      </w:r>
      <w:proofErr w:type="spellStart"/>
      <w:r w:rsidRPr="007F244C">
        <w:rPr>
          <w:rFonts w:ascii="Times New Roman" w:hAnsi="Times New Roman" w:cs="Times New Roman"/>
          <w:sz w:val="24"/>
          <w:szCs w:val="24"/>
        </w:rPr>
        <w:t>Bovens</w:t>
      </w:r>
      <w:proofErr w:type="spellEnd"/>
      <w:r w:rsidRPr="007F244C">
        <w:rPr>
          <w:rFonts w:ascii="Times New Roman" w:hAnsi="Times New Roman" w:cs="Times New Roman"/>
          <w:sz w:val="24"/>
          <w:szCs w:val="24"/>
        </w:rPr>
        <w:t>, 2019). Studies in other areas indicate that low participation and the lack of accountability of leaders leads to Lorde student trust and dormant unions or unions associated with conflicts (</w:t>
      </w:r>
      <w:proofErr w:type="spellStart"/>
      <w:r w:rsidRPr="007F244C">
        <w:rPr>
          <w:rFonts w:ascii="Times New Roman" w:hAnsi="Times New Roman" w:cs="Times New Roman"/>
          <w:sz w:val="24"/>
          <w:szCs w:val="24"/>
        </w:rPr>
        <w:t>Altbach</w:t>
      </w:r>
      <w:proofErr w:type="spellEnd"/>
      <w:r w:rsidRPr="007F244C">
        <w:rPr>
          <w:rFonts w:ascii="Times New Roman" w:hAnsi="Times New Roman" w:cs="Times New Roman"/>
          <w:sz w:val="24"/>
          <w:szCs w:val="24"/>
        </w:rPr>
        <w:t xml:space="preserve"> and </w:t>
      </w:r>
      <w:proofErr w:type="spellStart"/>
      <w:r w:rsidRPr="007F244C">
        <w:rPr>
          <w:rFonts w:ascii="Times New Roman" w:hAnsi="Times New Roman" w:cs="Times New Roman"/>
          <w:sz w:val="24"/>
          <w:szCs w:val="24"/>
        </w:rPr>
        <w:t>Klemencic</w:t>
      </w:r>
      <w:proofErr w:type="spellEnd"/>
      <w:r w:rsidRPr="007F244C">
        <w:rPr>
          <w:rFonts w:ascii="Times New Roman" w:hAnsi="Times New Roman" w:cs="Times New Roman"/>
          <w:sz w:val="24"/>
          <w:szCs w:val="24"/>
        </w:rPr>
        <w:t>, 2016).</w:t>
      </w:r>
    </w:p>
    <w:p w14:paraId="0E9D36D4"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Students Union in Nigeria is a lengthy and political awareness-focused history. Research indicates that student unions in most cases have protested against bad policies, fee hikes, and welfare issues (</w:t>
      </w:r>
      <w:proofErr w:type="spellStart"/>
      <w:r w:rsidRPr="007F244C">
        <w:rPr>
          <w:rFonts w:ascii="Times New Roman" w:hAnsi="Times New Roman" w:cs="Times New Roman"/>
          <w:sz w:val="24"/>
          <w:szCs w:val="24"/>
        </w:rPr>
        <w:t>Ogunode</w:t>
      </w:r>
      <w:proofErr w:type="spellEnd"/>
      <w:r w:rsidRPr="007F244C">
        <w:rPr>
          <w:rFonts w:ascii="Times New Roman" w:hAnsi="Times New Roman" w:cs="Times New Roman"/>
          <w:sz w:val="24"/>
          <w:szCs w:val="24"/>
        </w:rPr>
        <w:t xml:space="preserve"> &amp; Musa, 2020). Meanwhile, there is the fear of low leadership levels, corruption, and poor student interaction (</w:t>
      </w:r>
      <w:proofErr w:type="spellStart"/>
      <w:r w:rsidRPr="007F244C">
        <w:rPr>
          <w:rFonts w:ascii="Times New Roman" w:hAnsi="Times New Roman" w:cs="Times New Roman"/>
          <w:sz w:val="24"/>
          <w:szCs w:val="24"/>
        </w:rPr>
        <w:t>Arowosegbe</w:t>
      </w:r>
      <w:proofErr w:type="spellEnd"/>
      <w:r w:rsidRPr="007F244C">
        <w:rPr>
          <w:rFonts w:ascii="Times New Roman" w:hAnsi="Times New Roman" w:cs="Times New Roman"/>
          <w:sz w:val="24"/>
          <w:szCs w:val="24"/>
        </w:rPr>
        <w:t>, 2018). The apprehensions are indicative of broader arguments regarding government and transparency in state agencies.</w:t>
      </w:r>
    </w:p>
    <w:p w14:paraId="404D2122"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Osun State has federal tertiary institutions that are useful in this study. Obafemi Awolowo University, Federal Polytechnic Ede, and Federal College of Education Iwo are the universities, colleges, which have a difference in their mission, size and number of students. These disparities determine the operation of Students Unions and the interaction of students with leadership. Comparative studies propose that the practice of student participation and accountability is affected by institutional culture, regulations, and management style (</w:t>
      </w:r>
      <w:proofErr w:type="spellStart"/>
      <w:r w:rsidRPr="007F244C">
        <w:rPr>
          <w:rFonts w:ascii="Times New Roman" w:hAnsi="Times New Roman" w:cs="Times New Roman"/>
          <w:sz w:val="24"/>
          <w:szCs w:val="24"/>
        </w:rPr>
        <w:t>Lizzio</w:t>
      </w:r>
      <w:proofErr w:type="spellEnd"/>
      <w:r w:rsidRPr="007F244C">
        <w:rPr>
          <w:rFonts w:ascii="Times New Roman" w:hAnsi="Times New Roman" w:cs="Times New Roman"/>
          <w:sz w:val="24"/>
          <w:szCs w:val="24"/>
        </w:rPr>
        <w:t xml:space="preserve"> and Wilson, 2017).</w:t>
      </w:r>
    </w:p>
    <w:p w14:paraId="69FCDF14" w14:textId="77777777" w:rsidR="00B749FC" w:rsidRPr="007F244C" w:rsidRDefault="00B749FC" w:rsidP="00B749FC">
      <w:pPr>
        <w:spacing w:after="0" w:line="240" w:lineRule="auto"/>
        <w:ind w:firstLine="720"/>
        <w:jc w:val="both"/>
        <w:rPr>
          <w:rFonts w:ascii="Times New Roman" w:hAnsi="Times New Roman" w:cs="Times New Roman"/>
          <w:sz w:val="24"/>
          <w:szCs w:val="24"/>
        </w:rPr>
      </w:pPr>
      <w:r w:rsidRPr="007F244C">
        <w:rPr>
          <w:rFonts w:ascii="Times New Roman" w:hAnsi="Times New Roman" w:cs="Times New Roman"/>
          <w:sz w:val="24"/>
          <w:szCs w:val="24"/>
        </w:rPr>
        <w:t xml:space="preserve">Regardless of the identified position of Students Unions, there are loopholes in </w:t>
      </w:r>
      <w:r w:rsidRPr="007F244C">
        <w:rPr>
          <w:rFonts w:ascii="Times New Roman" w:hAnsi="Times New Roman" w:cs="Times New Roman"/>
          <w:sz w:val="24"/>
          <w:szCs w:val="24"/>
        </w:rPr>
        <w:t>their operation in most higher learning institutions. The studies indicate that there is a low attendance at elections, low levels of attendance at meetings, and lack of interest in union activities (</w:t>
      </w:r>
      <w:proofErr w:type="spellStart"/>
      <w:r w:rsidRPr="007F244C">
        <w:rPr>
          <w:rFonts w:ascii="Times New Roman" w:hAnsi="Times New Roman" w:cs="Times New Roman"/>
          <w:sz w:val="24"/>
          <w:szCs w:val="24"/>
        </w:rPr>
        <w:t>Klemencic</w:t>
      </w:r>
      <w:proofErr w:type="spellEnd"/>
      <w:r w:rsidRPr="007F244C">
        <w:rPr>
          <w:rFonts w:ascii="Times New Roman" w:hAnsi="Times New Roman" w:cs="Times New Roman"/>
          <w:sz w:val="24"/>
          <w:szCs w:val="24"/>
        </w:rPr>
        <w:t>, 2018). These tendencies lower the democratic worth of Students Unions and undermine representation.</w:t>
      </w:r>
    </w:p>
    <w:p w14:paraId="2506F848"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There are also concerns about transparency and performance of leadership. Research in the field of student governance advises on issues like bad financial reporting, lack of clarity in decision-making, and poor communication among leaders and members (Bessant &amp; Watts, 2017). Lack of transparency on how funds are utilized or making decisions leads to the loss of trust when the students are not informed. This scenario may cause indifference, protests or war.</w:t>
      </w:r>
    </w:p>
    <w:p w14:paraId="176F98DB"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Another problem is communication. Good governance requires effective information sharing in the form of meetings, notices, and online (Menon and </w:t>
      </w:r>
      <w:proofErr w:type="spellStart"/>
      <w:r w:rsidRPr="007F244C">
        <w:rPr>
          <w:rFonts w:ascii="Times New Roman" w:hAnsi="Times New Roman" w:cs="Times New Roman"/>
          <w:sz w:val="24"/>
          <w:szCs w:val="24"/>
        </w:rPr>
        <w:t>Saiti</w:t>
      </w:r>
      <w:proofErr w:type="spellEnd"/>
      <w:r w:rsidRPr="007F244C">
        <w:rPr>
          <w:rFonts w:ascii="Times New Roman" w:hAnsi="Times New Roman" w:cs="Times New Roman"/>
          <w:sz w:val="24"/>
          <w:szCs w:val="24"/>
        </w:rPr>
        <w:t>, 2021). Students in most situations complain that leaders only interact with them during elections and become withdrawn after elections. Decision making can be confined within a few individuals and this will limit inclusiveness. These concerns also make one wonder how Students Unions allocate resources, include different voices and how they are accountable to the members.</w:t>
      </w:r>
    </w:p>
    <w:p w14:paraId="2F47D3F7" w14:textId="77777777" w:rsidR="00B749FC" w:rsidRPr="007F244C" w:rsidRDefault="00B749FC" w:rsidP="00B749FC">
      <w:pPr>
        <w:spacing w:after="0" w:line="240" w:lineRule="auto"/>
        <w:ind w:firstLine="720"/>
        <w:jc w:val="both"/>
        <w:rPr>
          <w:rFonts w:ascii="Times New Roman" w:hAnsi="Times New Roman" w:cs="Times New Roman"/>
          <w:sz w:val="24"/>
          <w:szCs w:val="24"/>
        </w:rPr>
      </w:pPr>
      <w:r w:rsidRPr="007F244C">
        <w:rPr>
          <w:rFonts w:ascii="Times New Roman" w:hAnsi="Times New Roman" w:cs="Times New Roman"/>
          <w:sz w:val="24"/>
          <w:szCs w:val="24"/>
        </w:rPr>
        <w:t>The central objective of the research will be to evaluate the role of Students Union governing in encouraging participation and accountability of the selected federal tertiary institutions in Osun State. The specific objectives are:</w:t>
      </w:r>
    </w:p>
    <w:p w14:paraId="719B6C5D"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ab/>
        <w:t>To study the organization of Students Union in the chosen institutions.</w:t>
      </w:r>
    </w:p>
    <w:p w14:paraId="7299307B"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ab/>
        <w:t>To evaluate the practices of Students Union that facilitates involvement of students in campus activities.</w:t>
      </w:r>
    </w:p>
    <w:p w14:paraId="79E5D2E5"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ab/>
        <w:t>To examine the mechanism of accountability in Students Unions.</w:t>
      </w:r>
    </w:p>
    <w:p w14:paraId="00D890E8" w14:textId="77777777" w:rsidR="00B749FC" w:rsidRPr="007F244C" w:rsidRDefault="00B749FC" w:rsidP="00B749FC">
      <w:pPr>
        <w:spacing w:after="0" w:line="240" w:lineRule="auto"/>
        <w:jc w:val="both"/>
        <w:rPr>
          <w:rFonts w:ascii="Times New Roman" w:hAnsi="Times New Roman" w:cs="Times New Roman"/>
          <w:sz w:val="24"/>
          <w:szCs w:val="24"/>
        </w:rPr>
      </w:pPr>
    </w:p>
    <w:p w14:paraId="0F3BD58C"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ab/>
        <w:t>To investigate where appropriate sex and gender differences in participation may occur.</w:t>
      </w:r>
    </w:p>
    <w:p w14:paraId="057C175C"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To find out institutional factors that predetermine governance results.</w:t>
      </w:r>
    </w:p>
    <w:p w14:paraId="0498C595"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These aims are consistent with the global studies in which the student governance is considered as the extension of the wider democratic education (</w:t>
      </w:r>
      <w:proofErr w:type="spellStart"/>
      <w:r w:rsidRPr="007F244C">
        <w:rPr>
          <w:rFonts w:ascii="Times New Roman" w:hAnsi="Times New Roman" w:cs="Times New Roman"/>
          <w:sz w:val="24"/>
          <w:szCs w:val="24"/>
        </w:rPr>
        <w:t>Altbach</w:t>
      </w:r>
      <w:proofErr w:type="spellEnd"/>
      <w:r w:rsidRPr="007F244C">
        <w:rPr>
          <w:rFonts w:ascii="Times New Roman" w:hAnsi="Times New Roman" w:cs="Times New Roman"/>
          <w:sz w:val="24"/>
          <w:szCs w:val="24"/>
        </w:rPr>
        <w:t xml:space="preserve">, Reisberg, and </w:t>
      </w:r>
      <w:proofErr w:type="spellStart"/>
      <w:r w:rsidRPr="007F244C">
        <w:rPr>
          <w:rFonts w:ascii="Times New Roman" w:hAnsi="Times New Roman" w:cs="Times New Roman"/>
          <w:sz w:val="24"/>
          <w:szCs w:val="24"/>
        </w:rPr>
        <w:t>Rumbley</w:t>
      </w:r>
      <w:proofErr w:type="spellEnd"/>
      <w:r w:rsidRPr="007F244C">
        <w:rPr>
          <w:rFonts w:ascii="Times New Roman" w:hAnsi="Times New Roman" w:cs="Times New Roman"/>
          <w:sz w:val="24"/>
          <w:szCs w:val="24"/>
        </w:rPr>
        <w:t>, 2019).</w:t>
      </w:r>
    </w:p>
    <w:p w14:paraId="73E093D8"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Research Questions</w:t>
      </w:r>
    </w:p>
    <w:p w14:paraId="0994BC32" w14:textId="7A4778AA"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Coherent research questions assist in connecting theory and the actual experience and to direct the data gathering of </w:t>
      </w:r>
      <w:r w:rsidR="007F244C" w:rsidRPr="007F244C">
        <w:rPr>
          <w:rFonts w:ascii="Times New Roman" w:hAnsi="Times New Roman" w:cs="Times New Roman"/>
          <w:sz w:val="24"/>
          <w:szCs w:val="24"/>
        </w:rPr>
        <w:t>governance research (Creswell and Poth, 2018)</w:t>
      </w:r>
      <w:r w:rsidRPr="007F244C">
        <w:rPr>
          <w:rFonts w:ascii="Times New Roman" w:hAnsi="Times New Roman" w:cs="Times New Roman"/>
          <w:sz w:val="24"/>
          <w:szCs w:val="24"/>
        </w:rPr>
        <w:t>. The questions that guide the study are:</w:t>
      </w:r>
    </w:p>
    <w:p w14:paraId="2A0489A1"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What forms of government in Students Unions in the chosen institutions?</w:t>
      </w:r>
    </w:p>
    <w:p w14:paraId="0B20B990"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What are the practices in Students Union that promote or restrict student involvement?</w:t>
      </w:r>
    </w:p>
    <w:p w14:paraId="017B7526"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What are the designs and applications of accountability?</w:t>
      </w:r>
    </w:p>
    <w:p w14:paraId="7849F03E"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Do students show any sex or gender differences on participation?</w:t>
      </w:r>
    </w:p>
    <w:p w14:paraId="479278A1"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Which institutional determinants have an impact on the governance outcomes of the Students Union?</w:t>
      </w:r>
    </w:p>
    <w:p w14:paraId="592A927A" w14:textId="77777777" w:rsidR="00B749FC" w:rsidRPr="007F244C" w:rsidRDefault="00B749FC" w:rsidP="00B749FC">
      <w:pPr>
        <w:spacing w:after="0" w:line="240" w:lineRule="auto"/>
        <w:ind w:firstLine="720"/>
        <w:jc w:val="both"/>
        <w:rPr>
          <w:rFonts w:ascii="Times New Roman" w:hAnsi="Times New Roman" w:cs="Times New Roman"/>
          <w:sz w:val="24"/>
          <w:szCs w:val="24"/>
        </w:rPr>
      </w:pPr>
      <w:r w:rsidRPr="007F244C">
        <w:rPr>
          <w:rFonts w:ascii="Times New Roman" w:hAnsi="Times New Roman" w:cs="Times New Roman"/>
          <w:sz w:val="24"/>
          <w:szCs w:val="24"/>
        </w:rPr>
        <w:t>This research is valuable in a number of ways. To the students, it shows the role of participation and accountability in enhancing representation and trust. To the student leaders, it provides insights on the good governance practices like transparency, communication, and inclusion (</w:t>
      </w:r>
      <w:proofErr w:type="spellStart"/>
      <w:r w:rsidRPr="007F244C">
        <w:rPr>
          <w:rFonts w:ascii="Times New Roman" w:hAnsi="Times New Roman" w:cs="Times New Roman"/>
          <w:sz w:val="24"/>
          <w:szCs w:val="24"/>
        </w:rPr>
        <w:t>Bovens</w:t>
      </w:r>
      <w:proofErr w:type="spellEnd"/>
      <w:r w:rsidRPr="007F244C">
        <w:rPr>
          <w:rFonts w:ascii="Times New Roman" w:hAnsi="Times New Roman" w:cs="Times New Roman"/>
          <w:sz w:val="24"/>
          <w:szCs w:val="24"/>
        </w:rPr>
        <w:t xml:space="preserve">, </w:t>
      </w:r>
      <w:proofErr w:type="spellStart"/>
      <w:r w:rsidRPr="007F244C">
        <w:rPr>
          <w:rFonts w:ascii="Times New Roman" w:hAnsi="Times New Roman" w:cs="Times New Roman"/>
          <w:sz w:val="24"/>
          <w:szCs w:val="24"/>
        </w:rPr>
        <w:t>Goodin</w:t>
      </w:r>
      <w:proofErr w:type="spellEnd"/>
      <w:r w:rsidRPr="007F244C">
        <w:rPr>
          <w:rFonts w:ascii="Times New Roman" w:hAnsi="Times New Roman" w:cs="Times New Roman"/>
          <w:sz w:val="24"/>
          <w:szCs w:val="24"/>
        </w:rPr>
        <w:t xml:space="preserve">, and </w:t>
      </w:r>
      <w:proofErr w:type="spellStart"/>
      <w:r w:rsidRPr="007F244C">
        <w:rPr>
          <w:rFonts w:ascii="Times New Roman" w:hAnsi="Times New Roman" w:cs="Times New Roman"/>
          <w:sz w:val="24"/>
          <w:szCs w:val="24"/>
        </w:rPr>
        <w:t>Schillemans</w:t>
      </w:r>
      <w:proofErr w:type="spellEnd"/>
      <w:r w:rsidRPr="007F244C">
        <w:rPr>
          <w:rFonts w:ascii="Times New Roman" w:hAnsi="Times New Roman" w:cs="Times New Roman"/>
          <w:sz w:val="24"/>
          <w:szCs w:val="24"/>
        </w:rPr>
        <w:t>, 2018).</w:t>
      </w:r>
    </w:p>
    <w:p w14:paraId="514231EE"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findings can be used by institutional managers to enhance policies that help in encouraging student interactions and campus peace. Academically, the paper contributes to the international body of literature on student governance by offering data on the subject matter in a developing country environment, which is still underserved by researchers (</w:t>
      </w:r>
      <w:proofErr w:type="spellStart"/>
      <w:r w:rsidRPr="007F244C">
        <w:rPr>
          <w:rFonts w:ascii="Times New Roman" w:hAnsi="Times New Roman" w:cs="Times New Roman"/>
          <w:sz w:val="24"/>
          <w:szCs w:val="24"/>
        </w:rPr>
        <w:t>Luescher</w:t>
      </w:r>
      <w:proofErr w:type="spellEnd"/>
      <w:r w:rsidRPr="007F244C">
        <w:rPr>
          <w:rFonts w:ascii="Times New Roman" w:hAnsi="Times New Roman" w:cs="Times New Roman"/>
          <w:sz w:val="24"/>
          <w:szCs w:val="24"/>
        </w:rPr>
        <w:t xml:space="preserve"> and </w:t>
      </w:r>
      <w:proofErr w:type="spellStart"/>
      <w:r w:rsidRPr="007F244C">
        <w:rPr>
          <w:rFonts w:ascii="Times New Roman" w:hAnsi="Times New Roman" w:cs="Times New Roman"/>
          <w:sz w:val="24"/>
          <w:szCs w:val="24"/>
        </w:rPr>
        <w:t>Mugume</w:t>
      </w:r>
      <w:proofErr w:type="spellEnd"/>
      <w:r w:rsidRPr="007F244C">
        <w:rPr>
          <w:rFonts w:ascii="Times New Roman" w:hAnsi="Times New Roman" w:cs="Times New Roman"/>
          <w:sz w:val="24"/>
          <w:szCs w:val="24"/>
        </w:rPr>
        <w:t xml:space="preserve">, 2019). This knowledge could also be useful to </w:t>
      </w:r>
      <w:r w:rsidRPr="007F244C">
        <w:rPr>
          <w:rFonts w:ascii="Times New Roman" w:hAnsi="Times New Roman" w:cs="Times New Roman"/>
          <w:sz w:val="24"/>
          <w:szCs w:val="24"/>
        </w:rPr>
        <w:t>policymakers and education planners on the development of democratic practices in tertiary institutions.</w:t>
      </w:r>
    </w:p>
    <w:p w14:paraId="7382489B" w14:textId="77777777" w:rsidR="00B749FC" w:rsidRPr="007F244C" w:rsidRDefault="00B749FC" w:rsidP="00B749FC">
      <w:pPr>
        <w:spacing w:after="0" w:line="240" w:lineRule="auto"/>
        <w:ind w:firstLine="720"/>
        <w:jc w:val="both"/>
        <w:rPr>
          <w:rFonts w:ascii="Times New Roman" w:hAnsi="Times New Roman" w:cs="Times New Roman"/>
          <w:sz w:val="24"/>
          <w:szCs w:val="24"/>
        </w:rPr>
      </w:pPr>
      <w:r w:rsidRPr="007F244C">
        <w:rPr>
          <w:rFonts w:ascii="Times New Roman" w:hAnsi="Times New Roman" w:cs="Times New Roman"/>
          <w:sz w:val="24"/>
          <w:szCs w:val="24"/>
        </w:rPr>
        <w:t>The paper is about the governance of Students in Union in three federal tertiary institutions in Osun State. It considers participation, accountability, leadership practices and institutional influences. The research fails to address the issues of the private institutions and universities owned by the state, which might not be eligible by the same rules and cultures.</w:t>
      </w:r>
    </w:p>
    <w:p w14:paraId="682857A5"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It is more concerned with the Structures and activities of Students Union as opposed to more national student movements across the country. This restriction enables a clear and manageable analysis and offers results that can be used in similar institutions in which the governance structure is similar (Yin, 2018).</w:t>
      </w:r>
    </w:p>
    <w:p w14:paraId="6EB74029" w14:textId="77777777" w:rsidR="00B749FC" w:rsidRPr="007F244C" w:rsidRDefault="00B749FC" w:rsidP="00B749FC">
      <w:pPr>
        <w:spacing w:after="0" w:line="240" w:lineRule="auto"/>
        <w:jc w:val="both"/>
        <w:rPr>
          <w:rFonts w:ascii="Times New Roman" w:hAnsi="Times New Roman" w:cs="Times New Roman"/>
          <w:sz w:val="24"/>
          <w:szCs w:val="24"/>
        </w:rPr>
      </w:pPr>
    </w:p>
    <w:p w14:paraId="07256254"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2. THEORY SECTION</w:t>
      </w:r>
    </w:p>
    <w:p w14:paraId="4039E6B0" w14:textId="77777777" w:rsidR="00B749FC" w:rsidRPr="007F244C" w:rsidRDefault="00B749FC" w:rsidP="00B749FC">
      <w:pPr>
        <w:pStyle w:val="Heading3"/>
        <w:spacing w:after="0" w:afterAutospacing="0"/>
        <w:jc w:val="both"/>
        <w:rPr>
          <w:sz w:val="24"/>
          <w:szCs w:val="24"/>
        </w:rPr>
      </w:pPr>
      <w:r w:rsidRPr="007F244C">
        <w:rPr>
          <w:sz w:val="24"/>
          <w:szCs w:val="24"/>
        </w:rPr>
        <w:t>Participatory Governance Theory</w:t>
      </w:r>
    </w:p>
    <w:p w14:paraId="0853D44B" w14:textId="201E13E1"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 theory of participatory governance aims to establish an improved method for distributing power between citizens and </w:t>
      </w:r>
      <w:r w:rsidR="007F244C" w:rsidRPr="007F244C">
        <w:rPr>
          <w:rFonts w:ascii="Times New Roman" w:hAnsi="Times New Roman" w:cs="Times New Roman"/>
          <w:sz w:val="24"/>
          <w:szCs w:val="24"/>
        </w:rPr>
        <w:t>authorities. &lt;</w:t>
      </w:r>
      <w:r w:rsidRPr="007F244C">
        <w:rPr>
          <w:rFonts w:ascii="Times New Roman" w:hAnsi="Times New Roman" w:cs="Times New Roman"/>
          <w:sz w:val="24"/>
          <w:szCs w:val="24"/>
        </w:rPr>
        <w:t>|human|&gt;The theory of participatory governance is a way to create a better system of power distribution between the people and authorities.</w:t>
      </w:r>
    </w:p>
    <w:p w14:paraId="1303F95F"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Participatory Governance Theory is a theory that describes the way individuals participate in making decisions which involve them. This theory helps to endorse the notion that students ought to participate in the running of their unions and campuses in tertiary institutions. Participation implies that students take part in meetings, elections, committees, and discussions of policies (Fung, 2015). When students are involved, the decisions become based on common needs and not on the opinion of a few leaders.</w:t>
      </w:r>
      <w:r w:rsidRPr="007F244C">
        <w:rPr>
          <w:rFonts w:ascii="Times New Roman" w:hAnsi="Times New Roman" w:cs="Times New Roman"/>
          <w:sz w:val="24"/>
          <w:szCs w:val="24"/>
        </w:rPr>
        <w:cr/>
      </w:r>
    </w:p>
    <w:p w14:paraId="1A8266DD"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 key ideas of participatory governance are inclusion, openness, shared decision making </w:t>
      </w:r>
      <w:r w:rsidRPr="007F244C">
        <w:rPr>
          <w:rFonts w:ascii="Times New Roman" w:hAnsi="Times New Roman" w:cs="Times New Roman"/>
          <w:sz w:val="24"/>
          <w:szCs w:val="24"/>
        </w:rPr>
        <w:lastRenderedPageBreak/>
        <w:t xml:space="preserve">and transparency (Ansell and </w:t>
      </w:r>
      <w:proofErr w:type="spellStart"/>
      <w:r w:rsidRPr="007F244C">
        <w:rPr>
          <w:rFonts w:ascii="Times New Roman" w:hAnsi="Times New Roman" w:cs="Times New Roman"/>
          <w:sz w:val="24"/>
          <w:szCs w:val="24"/>
        </w:rPr>
        <w:t>Torfing</w:t>
      </w:r>
      <w:proofErr w:type="spellEnd"/>
      <w:r w:rsidRPr="007F244C">
        <w:rPr>
          <w:rFonts w:ascii="Times New Roman" w:hAnsi="Times New Roman" w:cs="Times New Roman"/>
          <w:sz w:val="24"/>
          <w:szCs w:val="24"/>
        </w:rPr>
        <w:t>, 2018). Inclusion refers to the access of decision spaces by all groups of students. Transparency entails open regulations and open information. Shared decision-making enables students and administrators to make ideas. Transparency assists the students in viewing the decision-making and money utilization processes. These values are quite consistent with the administration on a tertiary level since universities are learning communities where dialogue, and debate are appreciated (</w:t>
      </w:r>
      <w:proofErr w:type="spellStart"/>
      <w:r w:rsidRPr="007F244C">
        <w:rPr>
          <w:rFonts w:ascii="Times New Roman" w:hAnsi="Times New Roman" w:cs="Times New Roman"/>
          <w:sz w:val="24"/>
          <w:szCs w:val="24"/>
        </w:rPr>
        <w:t>Bovill</w:t>
      </w:r>
      <w:proofErr w:type="spellEnd"/>
      <w:r w:rsidRPr="007F244C">
        <w:rPr>
          <w:rFonts w:ascii="Times New Roman" w:hAnsi="Times New Roman" w:cs="Times New Roman"/>
          <w:sz w:val="24"/>
          <w:szCs w:val="24"/>
        </w:rPr>
        <w:t>, 2020).</w:t>
      </w:r>
    </w:p>
    <w:p w14:paraId="17B0EC5A"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Legitimacy is created through participation since students will find it easier to accept decisions they helped to develop (Fung and Wright, 2017). Legitimacy in this case implies that the students regard its union leaders as people who have a right to represent them. Some other aspects that enhance trust include leaders who listen and respond to feedback. Research indicates that when students are more engaged in governance, it helps them have confidence in student unions and a decrease in conflict (Carey, 2018; </w:t>
      </w:r>
      <w:proofErr w:type="spellStart"/>
      <w:r w:rsidRPr="007F244C">
        <w:rPr>
          <w:rFonts w:ascii="Times New Roman" w:hAnsi="Times New Roman" w:cs="Times New Roman"/>
          <w:sz w:val="24"/>
          <w:szCs w:val="24"/>
        </w:rPr>
        <w:t>Luescher</w:t>
      </w:r>
      <w:proofErr w:type="spellEnd"/>
      <w:r w:rsidRPr="007F244C">
        <w:rPr>
          <w:rFonts w:ascii="Times New Roman" w:hAnsi="Times New Roman" w:cs="Times New Roman"/>
          <w:sz w:val="24"/>
          <w:szCs w:val="24"/>
        </w:rPr>
        <w:t>, 2016). In the case of a weak participation, students might feel neglected and hence apathy or protest occurs (</w:t>
      </w:r>
      <w:proofErr w:type="spellStart"/>
      <w:r w:rsidRPr="007F244C">
        <w:rPr>
          <w:rFonts w:ascii="Times New Roman" w:hAnsi="Times New Roman" w:cs="Times New Roman"/>
          <w:sz w:val="24"/>
          <w:szCs w:val="24"/>
        </w:rPr>
        <w:t>Klemencic</w:t>
      </w:r>
      <w:proofErr w:type="spellEnd"/>
      <w:r w:rsidRPr="007F244C">
        <w:rPr>
          <w:rFonts w:ascii="Times New Roman" w:hAnsi="Times New Roman" w:cs="Times New Roman"/>
          <w:sz w:val="24"/>
          <w:szCs w:val="24"/>
        </w:rPr>
        <w:t>, 2017).</w:t>
      </w:r>
    </w:p>
    <w:p w14:paraId="7967F7C8"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There is a limitation to participatory governance. Big student population makes it difficult to participate fully. Meetings can be biased towards loud students, excluding the quiet ones (</w:t>
      </w:r>
      <w:proofErr w:type="spellStart"/>
      <w:r w:rsidRPr="007F244C">
        <w:rPr>
          <w:rFonts w:ascii="Times New Roman" w:hAnsi="Times New Roman" w:cs="Times New Roman"/>
          <w:sz w:val="24"/>
          <w:szCs w:val="24"/>
        </w:rPr>
        <w:t>Baiocchi</w:t>
      </w:r>
      <w:proofErr w:type="spellEnd"/>
      <w:r w:rsidRPr="007F244C">
        <w:rPr>
          <w:rFonts w:ascii="Times New Roman" w:hAnsi="Times New Roman" w:cs="Times New Roman"/>
          <w:sz w:val="24"/>
          <w:szCs w:val="24"/>
        </w:rPr>
        <w:t xml:space="preserve"> and </w:t>
      </w:r>
      <w:proofErr w:type="spellStart"/>
      <w:r w:rsidRPr="007F244C">
        <w:rPr>
          <w:rFonts w:ascii="Times New Roman" w:hAnsi="Times New Roman" w:cs="Times New Roman"/>
          <w:sz w:val="24"/>
          <w:szCs w:val="24"/>
        </w:rPr>
        <w:t>Ganuza</w:t>
      </w:r>
      <w:proofErr w:type="spellEnd"/>
      <w:r w:rsidRPr="007F244C">
        <w:rPr>
          <w:rFonts w:ascii="Times New Roman" w:hAnsi="Times New Roman" w:cs="Times New Roman"/>
          <w:sz w:val="24"/>
          <w:szCs w:val="24"/>
        </w:rPr>
        <w:t>, 2017). Online forums and e-voting are examples of digital tools that can be used to expand access, but effective guidelines should be established to prevent manipulation (Smith, 2019). The theory supports the rationale behind the importance of inclusive processes to student governance despite the constraints.</w:t>
      </w:r>
    </w:p>
    <w:p w14:paraId="2499B19D" w14:textId="77777777" w:rsidR="00B749FC" w:rsidRPr="007F244C" w:rsidRDefault="00B749FC" w:rsidP="00B749FC">
      <w:pPr>
        <w:spacing w:after="0" w:line="240" w:lineRule="auto"/>
        <w:jc w:val="both"/>
        <w:rPr>
          <w:rFonts w:ascii="Times New Roman" w:hAnsi="Times New Roman" w:cs="Times New Roman"/>
          <w:sz w:val="24"/>
          <w:szCs w:val="24"/>
        </w:rPr>
      </w:pPr>
    </w:p>
    <w:p w14:paraId="373F948D"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Accountability Theory</w:t>
      </w:r>
    </w:p>
    <w:p w14:paraId="1D32A7C3"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Accountability Theory revolves around the responsibility that the leaders have over their actions. Accountability in student </w:t>
      </w:r>
      <w:proofErr w:type="spellStart"/>
      <w:r w:rsidRPr="007F244C">
        <w:rPr>
          <w:rFonts w:ascii="Times New Roman" w:hAnsi="Times New Roman" w:cs="Times New Roman"/>
          <w:sz w:val="24"/>
          <w:szCs w:val="24"/>
        </w:rPr>
        <w:t>organisations</w:t>
      </w:r>
      <w:proofErr w:type="spellEnd"/>
      <w:r w:rsidRPr="007F244C">
        <w:rPr>
          <w:rFonts w:ascii="Times New Roman" w:hAnsi="Times New Roman" w:cs="Times New Roman"/>
          <w:sz w:val="24"/>
          <w:szCs w:val="24"/>
        </w:rPr>
        <w:t xml:space="preserve"> is used to make sure that elected officers apply the power and resources in the right way. Rules, reporting, and sanctions are the types of </w:t>
      </w:r>
      <w:proofErr w:type="gramStart"/>
      <w:r w:rsidRPr="007F244C">
        <w:rPr>
          <w:rFonts w:ascii="Times New Roman" w:hAnsi="Times New Roman" w:cs="Times New Roman"/>
          <w:sz w:val="24"/>
          <w:szCs w:val="24"/>
        </w:rPr>
        <w:t>accountability</w:t>
      </w:r>
      <w:proofErr w:type="gramEnd"/>
      <w:r w:rsidRPr="007F244C">
        <w:rPr>
          <w:rFonts w:ascii="Times New Roman" w:hAnsi="Times New Roman" w:cs="Times New Roman"/>
          <w:sz w:val="24"/>
          <w:szCs w:val="24"/>
        </w:rPr>
        <w:t xml:space="preserve"> (</w:t>
      </w:r>
      <w:proofErr w:type="spellStart"/>
      <w:r w:rsidRPr="007F244C">
        <w:rPr>
          <w:rFonts w:ascii="Times New Roman" w:hAnsi="Times New Roman" w:cs="Times New Roman"/>
          <w:sz w:val="24"/>
          <w:szCs w:val="24"/>
        </w:rPr>
        <w:t>Bovens</w:t>
      </w:r>
      <w:proofErr w:type="spellEnd"/>
      <w:r w:rsidRPr="007F244C">
        <w:rPr>
          <w:rFonts w:ascii="Times New Roman" w:hAnsi="Times New Roman" w:cs="Times New Roman"/>
          <w:sz w:val="24"/>
          <w:szCs w:val="24"/>
        </w:rPr>
        <w:t xml:space="preserve">, </w:t>
      </w:r>
      <w:proofErr w:type="spellStart"/>
      <w:r w:rsidRPr="007F244C">
        <w:rPr>
          <w:rFonts w:ascii="Times New Roman" w:hAnsi="Times New Roman" w:cs="Times New Roman"/>
          <w:sz w:val="24"/>
          <w:szCs w:val="24"/>
        </w:rPr>
        <w:t>Goodin</w:t>
      </w:r>
      <w:proofErr w:type="spellEnd"/>
      <w:r w:rsidRPr="007F244C">
        <w:rPr>
          <w:rFonts w:ascii="Times New Roman" w:hAnsi="Times New Roman" w:cs="Times New Roman"/>
          <w:sz w:val="24"/>
          <w:szCs w:val="24"/>
        </w:rPr>
        <w:t xml:space="preserve">, and </w:t>
      </w:r>
      <w:proofErr w:type="spellStart"/>
      <w:r w:rsidRPr="007F244C">
        <w:rPr>
          <w:rFonts w:ascii="Times New Roman" w:hAnsi="Times New Roman" w:cs="Times New Roman"/>
          <w:sz w:val="24"/>
          <w:szCs w:val="24"/>
        </w:rPr>
        <w:t>Schillemans</w:t>
      </w:r>
      <w:proofErr w:type="spellEnd"/>
      <w:r w:rsidRPr="007F244C">
        <w:rPr>
          <w:rFonts w:ascii="Times New Roman" w:hAnsi="Times New Roman" w:cs="Times New Roman"/>
          <w:sz w:val="24"/>
          <w:szCs w:val="24"/>
        </w:rPr>
        <w:t>, 2018). In the absence of accountability, participation becomes meaningless since leaders can be neglectful of the interests of students.</w:t>
      </w:r>
    </w:p>
    <w:p w14:paraId="3B5AA2B5"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Two major types of </w:t>
      </w:r>
      <w:proofErr w:type="gramStart"/>
      <w:r w:rsidRPr="007F244C">
        <w:rPr>
          <w:rFonts w:ascii="Times New Roman" w:hAnsi="Times New Roman" w:cs="Times New Roman"/>
          <w:sz w:val="24"/>
          <w:szCs w:val="24"/>
        </w:rPr>
        <w:t>accountability</w:t>
      </w:r>
      <w:proofErr w:type="gramEnd"/>
      <w:r w:rsidRPr="007F244C">
        <w:rPr>
          <w:rFonts w:ascii="Times New Roman" w:hAnsi="Times New Roman" w:cs="Times New Roman"/>
          <w:sz w:val="24"/>
          <w:szCs w:val="24"/>
        </w:rPr>
        <w:t xml:space="preserve"> exist. Vertical accountability means that members exercise control by means of elections, recalls, and votes of confidence (</w:t>
      </w:r>
      <w:proofErr w:type="spellStart"/>
      <w:r w:rsidRPr="007F244C">
        <w:rPr>
          <w:rFonts w:ascii="Times New Roman" w:hAnsi="Times New Roman" w:cs="Times New Roman"/>
          <w:sz w:val="24"/>
          <w:szCs w:val="24"/>
        </w:rPr>
        <w:t>Schedler</w:t>
      </w:r>
      <w:proofErr w:type="spellEnd"/>
      <w:r w:rsidRPr="007F244C">
        <w:rPr>
          <w:rFonts w:ascii="Times New Roman" w:hAnsi="Times New Roman" w:cs="Times New Roman"/>
          <w:sz w:val="24"/>
          <w:szCs w:val="24"/>
        </w:rPr>
        <w:t xml:space="preserve">, 2019). Unless the students want to reward good leaders by re-electing </w:t>
      </w:r>
      <w:proofErr w:type="gramStart"/>
      <w:r w:rsidRPr="007F244C">
        <w:rPr>
          <w:rFonts w:ascii="Times New Roman" w:hAnsi="Times New Roman" w:cs="Times New Roman"/>
          <w:sz w:val="24"/>
          <w:szCs w:val="24"/>
        </w:rPr>
        <w:t>them</w:t>
      </w:r>
      <w:proofErr w:type="gramEnd"/>
      <w:r w:rsidRPr="007F244C">
        <w:rPr>
          <w:rFonts w:ascii="Times New Roman" w:hAnsi="Times New Roman" w:cs="Times New Roman"/>
          <w:sz w:val="24"/>
          <w:szCs w:val="24"/>
        </w:rPr>
        <w:t xml:space="preserve"> they can remove poor leaders by conducting elections. This is impossible without clear electoral rules and fair elections (Norris, 2017).</w:t>
      </w:r>
    </w:p>
    <w:p w14:paraId="1F20BC71"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Horizontal accountability is a management in the </w:t>
      </w:r>
      <w:proofErr w:type="spellStart"/>
      <w:r w:rsidRPr="007F244C">
        <w:rPr>
          <w:rFonts w:ascii="Times New Roman" w:hAnsi="Times New Roman" w:cs="Times New Roman"/>
          <w:sz w:val="24"/>
          <w:szCs w:val="24"/>
        </w:rPr>
        <w:t>organisation</w:t>
      </w:r>
      <w:proofErr w:type="spellEnd"/>
      <w:r w:rsidRPr="007F244C">
        <w:rPr>
          <w:rFonts w:ascii="Times New Roman" w:hAnsi="Times New Roman" w:cs="Times New Roman"/>
          <w:sz w:val="24"/>
          <w:szCs w:val="24"/>
        </w:rPr>
        <w:t>. This will entail student parliaments, audit committees, and independent panel checks (</w:t>
      </w:r>
      <w:proofErr w:type="spellStart"/>
      <w:r w:rsidRPr="007F244C">
        <w:rPr>
          <w:rFonts w:ascii="Times New Roman" w:hAnsi="Times New Roman" w:cs="Times New Roman"/>
          <w:sz w:val="24"/>
          <w:szCs w:val="24"/>
        </w:rPr>
        <w:t>Mulgan</w:t>
      </w:r>
      <w:proofErr w:type="spellEnd"/>
      <w:r w:rsidRPr="007F244C">
        <w:rPr>
          <w:rFonts w:ascii="Times New Roman" w:hAnsi="Times New Roman" w:cs="Times New Roman"/>
          <w:sz w:val="24"/>
          <w:szCs w:val="24"/>
        </w:rPr>
        <w:t>, 2018). As an example, the executive spending can be reviewed by a finance committee. These controls are enhanced by written constitutions and financial regulations (</w:t>
      </w:r>
      <w:proofErr w:type="spellStart"/>
      <w:r w:rsidRPr="007F244C">
        <w:rPr>
          <w:rFonts w:ascii="Times New Roman" w:hAnsi="Times New Roman" w:cs="Times New Roman"/>
          <w:sz w:val="24"/>
          <w:szCs w:val="24"/>
        </w:rPr>
        <w:t>Schillemans</w:t>
      </w:r>
      <w:proofErr w:type="spellEnd"/>
      <w:r w:rsidRPr="007F244C">
        <w:rPr>
          <w:rFonts w:ascii="Times New Roman" w:hAnsi="Times New Roman" w:cs="Times New Roman"/>
          <w:sz w:val="24"/>
          <w:szCs w:val="24"/>
        </w:rPr>
        <w:t xml:space="preserve"> and </w:t>
      </w:r>
      <w:proofErr w:type="spellStart"/>
      <w:r w:rsidRPr="007F244C">
        <w:rPr>
          <w:rFonts w:ascii="Times New Roman" w:hAnsi="Times New Roman" w:cs="Times New Roman"/>
          <w:sz w:val="24"/>
          <w:szCs w:val="24"/>
        </w:rPr>
        <w:t>Busuioc</w:t>
      </w:r>
      <w:proofErr w:type="spellEnd"/>
      <w:r w:rsidRPr="007F244C">
        <w:rPr>
          <w:rFonts w:ascii="Times New Roman" w:hAnsi="Times New Roman" w:cs="Times New Roman"/>
          <w:sz w:val="24"/>
          <w:szCs w:val="24"/>
        </w:rPr>
        <w:t>, 2015).</w:t>
      </w:r>
    </w:p>
    <w:p w14:paraId="45EA07DA"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Internal controls are viable tools that facilitate accountability. They are budgets, receipts, audits and public reports (OECD, 2016). Internal controls serve to eliminate fund misuse as well as establishing trust in student unions. It has been found that student </w:t>
      </w:r>
      <w:proofErr w:type="spellStart"/>
      <w:r w:rsidRPr="007F244C">
        <w:rPr>
          <w:rFonts w:ascii="Times New Roman" w:hAnsi="Times New Roman" w:cs="Times New Roman"/>
          <w:sz w:val="24"/>
          <w:szCs w:val="24"/>
        </w:rPr>
        <w:t>organisations</w:t>
      </w:r>
      <w:proofErr w:type="spellEnd"/>
      <w:r w:rsidRPr="007F244C">
        <w:rPr>
          <w:rFonts w:ascii="Times New Roman" w:hAnsi="Times New Roman" w:cs="Times New Roman"/>
          <w:sz w:val="24"/>
          <w:szCs w:val="24"/>
        </w:rPr>
        <w:t xml:space="preserve"> that have regular audits and publish financial statements of their financial status have increased confidence among their members (</w:t>
      </w:r>
      <w:proofErr w:type="spellStart"/>
      <w:r w:rsidRPr="007F244C">
        <w:rPr>
          <w:rFonts w:ascii="Times New Roman" w:hAnsi="Times New Roman" w:cs="Times New Roman"/>
          <w:sz w:val="24"/>
          <w:szCs w:val="24"/>
        </w:rPr>
        <w:t>Luescher</w:t>
      </w:r>
      <w:proofErr w:type="spellEnd"/>
      <w:r w:rsidRPr="007F244C">
        <w:rPr>
          <w:rFonts w:ascii="Times New Roman" w:hAnsi="Times New Roman" w:cs="Times New Roman"/>
          <w:sz w:val="24"/>
          <w:szCs w:val="24"/>
        </w:rPr>
        <w:t xml:space="preserve"> and </w:t>
      </w:r>
      <w:proofErr w:type="spellStart"/>
      <w:r w:rsidRPr="007F244C">
        <w:rPr>
          <w:rFonts w:ascii="Times New Roman" w:hAnsi="Times New Roman" w:cs="Times New Roman"/>
          <w:sz w:val="24"/>
          <w:szCs w:val="24"/>
        </w:rPr>
        <w:t>Mugume</w:t>
      </w:r>
      <w:proofErr w:type="spellEnd"/>
      <w:r w:rsidRPr="007F244C">
        <w:rPr>
          <w:rFonts w:ascii="Times New Roman" w:hAnsi="Times New Roman" w:cs="Times New Roman"/>
          <w:sz w:val="24"/>
          <w:szCs w:val="24"/>
        </w:rPr>
        <w:t>, 2019).</w:t>
      </w:r>
    </w:p>
    <w:p w14:paraId="3E3C1701"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In cases where students do not have information or interest, accountability may fail. But even in cases where the reports are complex, the students might not read them. Leaders can further manage the information flows (Fox, 2015). Accountability risks are better achieved by training student leaders and providing straightforward reporting formats (Johnston, 2020). The Accountability Theory aids in understanding </w:t>
      </w:r>
      <w:r w:rsidRPr="007F244C">
        <w:rPr>
          <w:rFonts w:ascii="Times New Roman" w:hAnsi="Times New Roman" w:cs="Times New Roman"/>
          <w:sz w:val="24"/>
          <w:szCs w:val="24"/>
        </w:rPr>
        <w:lastRenderedPageBreak/>
        <w:t>the need to promulgate rules and control to have effective student governance.</w:t>
      </w:r>
    </w:p>
    <w:p w14:paraId="224B4EEB" w14:textId="77777777" w:rsidR="00B749FC" w:rsidRPr="007F244C" w:rsidRDefault="00B749FC" w:rsidP="00B749FC">
      <w:pPr>
        <w:spacing w:after="0" w:line="240" w:lineRule="auto"/>
        <w:jc w:val="both"/>
        <w:rPr>
          <w:rFonts w:ascii="Times New Roman" w:hAnsi="Times New Roman" w:cs="Times New Roman"/>
          <w:sz w:val="24"/>
          <w:szCs w:val="24"/>
        </w:rPr>
      </w:pPr>
    </w:p>
    <w:p w14:paraId="3E1F40C6"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Social Capital Theory</w:t>
      </w:r>
    </w:p>
    <w:p w14:paraId="5004B6A2"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Social Capital Theory is the theory which explains how collective action is achieved with the support of relationships, trust and networks. The social capital is the collaboration in norms and relationships that can assist individuals to collaborate (Putnam, 2000). Social capital in communities of students develops in the form of clubs, associations, peer networks and activities.</w:t>
      </w:r>
    </w:p>
    <w:p w14:paraId="5FDF425C"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Social capital has three major components. Networks are used to describe the interactions among students. Trust is the confidence of honesty and fairness of other people. Civic engagement refers to participation in shared matters (Lin, 2017). Good networks facilitate information exchange concerning elections, meetings and policies. Trust also lessens fear of the fact that leaders will be selfish (</w:t>
      </w:r>
      <w:proofErr w:type="spellStart"/>
      <w:r w:rsidRPr="007F244C">
        <w:rPr>
          <w:rFonts w:ascii="Times New Roman" w:hAnsi="Times New Roman" w:cs="Times New Roman"/>
          <w:sz w:val="24"/>
          <w:szCs w:val="24"/>
        </w:rPr>
        <w:t>Uslaner</w:t>
      </w:r>
      <w:proofErr w:type="spellEnd"/>
      <w:r w:rsidRPr="007F244C">
        <w:rPr>
          <w:rFonts w:ascii="Times New Roman" w:hAnsi="Times New Roman" w:cs="Times New Roman"/>
          <w:sz w:val="24"/>
          <w:szCs w:val="24"/>
        </w:rPr>
        <w:t>, 2018).</w:t>
      </w:r>
    </w:p>
    <w:p w14:paraId="1301B7A4"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It has been found that those students, whose social ties are strong, are more likely to vote, be present at the meetings, and hold the leaders accountable (</w:t>
      </w:r>
      <w:proofErr w:type="spellStart"/>
      <w:r w:rsidRPr="007F244C">
        <w:rPr>
          <w:rFonts w:ascii="Times New Roman" w:hAnsi="Times New Roman" w:cs="Times New Roman"/>
          <w:sz w:val="24"/>
          <w:szCs w:val="24"/>
        </w:rPr>
        <w:t>Klemencic</w:t>
      </w:r>
      <w:proofErr w:type="spellEnd"/>
      <w:r w:rsidRPr="007F244C">
        <w:rPr>
          <w:rFonts w:ascii="Times New Roman" w:hAnsi="Times New Roman" w:cs="Times New Roman"/>
          <w:sz w:val="24"/>
          <w:szCs w:val="24"/>
        </w:rPr>
        <w:t xml:space="preserve"> &amp; Bergan, 2018). Bridging social capital exists between different groups as a result of student unions that promote cooperation across faculties (Woolcock, 2016). This is a kind of social capital that helps in unifying and restoring factionalism.</w:t>
      </w:r>
    </w:p>
    <w:p w14:paraId="43EEB77D"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Social capital has risks. Closed networks can be closed to outsiders or minorities. This generates bonding social capital which only favors insiders (</w:t>
      </w:r>
      <w:proofErr w:type="spellStart"/>
      <w:r w:rsidRPr="007F244C">
        <w:rPr>
          <w:rFonts w:ascii="Times New Roman" w:hAnsi="Times New Roman" w:cs="Times New Roman"/>
          <w:sz w:val="24"/>
          <w:szCs w:val="24"/>
        </w:rPr>
        <w:t>Portes</w:t>
      </w:r>
      <w:proofErr w:type="spellEnd"/>
      <w:r w:rsidRPr="007F244C">
        <w:rPr>
          <w:rFonts w:ascii="Times New Roman" w:hAnsi="Times New Roman" w:cs="Times New Roman"/>
          <w:sz w:val="24"/>
          <w:szCs w:val="24"/>
        </w:rPr>
        <w:t xml:space="preserve">, 2014). This risk is mitigated by clear rules and participatory activities. Digital platforms have the ability to increase networks, yet they can propagate misinformation when not managed properly (Ellison, </w:t>
      </w:r>
      <w:proofErr w:type="spellStart"/>
      <w:r w:rsidRPr="007F244C">
        <w:rPr>
          <w:rFonts w:ascii="Times New Roman" w:hAnsi="Times New Roman" w:cs="Times New Roman"/>
          <w:sz w:val="24"/>
          <w:szCs w:val="24"/>
        </w:rPr>
        <w:t>Steinfield</w:t>
      </w:r>
      <w:proofErr w:type="spellEnd"/>
      <w:r w:rsidRPr="007F244C">
        <w:rPr>
          <w:rFonts w:ascii="Times New Roman" w:hAnsi="Times New Roman" w:cs="Times New Roman"/>
          <w:sz w:val="24"/>
          <w:szCs w:val="24"/>
        </w:rPr>
        <w:t>, and Lampe, 2016).</w:t>
      </w:r>
    </w:p>
    <w:p w14:paraId="380216FE"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Social Capital Theory is useful in the understanding of the importance of trust and relationship to participation and accountability. In a case of low </w:t>
      </w:r>
      <w:proofErr w:type="gramStart"/>
      <w:r w:rsidRPr="007F244C">
        <w:rPr>
          <w:rFonts w:ascii="Times New Roman" w:hAnsi="Times New Roman" w:cs="Times New Roman"/>
          <w:sz w:val="24"/>
          <w:szCs w:val="24"/>
        </w:rPr>
        <w:t>trust</w:t>
      </w:r>
      <w:proofErr w:type="gramEnd"/>
      <w:r w:rsidRPr="007F244C">
        <w:rPr>
          <w:rFonts w:ascii="Times New Roman" w:hAnsi="Times New Roman" w:cs="Times New Roman"/>
          <w:sz w:val="24"/>
          <w:szCs w:val="24"/>
        </w:rPr>
        <w:t xml:space="preserve"> the </w:t>
      </w:r>
      <w:r w:rsidRPr="007F244C">
        <w:rPr>
          <w:rFonts w:ascii="Times New Roman" w:hAnsi="Times New Roman" w:cs="Times New Roman"/>
          <w:sz w:val="24"/>
          <w:szCs w:val="24"/>
        </w:rPr>
        <w:t>students might pull out of the union activities. Collective action is less difficult and more peaceful where there is strong network.</w:t>
      </w:r>
    </w:p>
    <w:p w14:paraId="4338ED48" w14:textId="77777777" w:rsidR="00B749FC" w:rsidRPr="007F244C" w:rsidRDefault="00B749FC" w:rsidP="00B749FC">
      <w:pPr>
        <w:spacing w:after="0" w:line="240" w:lineRule="auto"/>
        <w:jc w:val="both"/>
        <w:rPr>
          <w:rFonts w:ascii="Times New Roman" w:hAnsi="Times New Roman" w:cs="Times New Roman"/>
          <w:sz w:val="24"/>
          <w:szCs w:val="24"/>
        </w:rPr>
      </w:pPr>
    </w:p>
    <w:p w14:paraId="79F3C948"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b/>
          <w:sz w:val="24"/>
          <w:szCs w:val="24"/>
        </w:rPr>
        <w:t>Link between the Theories and the Research Problem</w:t>
      </w:r>
    </w:p>
    <w:p w14:paraId="187DBF1A"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research problem is concerned with the role of union governance of students to facilitate their participation and accountability. The Particulate Governance Theory describes the process aspect of the problem. It demonstrates how inclusive decision-making promotes student engagement and the willingness to accept the results (Fung, 2015). Students would be more ready to participate in the union activity when they can be heard.</w:t>
      </w:r>
    </w:p>
    <w:p w14:paraId="2B190A4F"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theory of Accountability relates to the control aspect. Making participations is not enough to ensure good results. Elections, clear rules, and internal checks make leaders responsible (</w:t>
      </w:r>
      <w:proofErr w:type="spellStart"/>
      <w:r w:rsidRPr="007F244C">
        <w:rPr>
          <w:rFonts w:ascii="Times New Roman" w:hAnsi="Times New Roman" w:cs="Times New Roman"/>
          <w:sz w:val="24"/>
          <w:szCs w:val="24"/>
        </w:rPr>
        <w:t>Bovens</w:t>
      </w:r>
      <w:proofErr w:type="spellEnd"/>
      <w:r w:rsidRPr="007F244C">
        <w:rPr>
          <w:rFonts w:ascii="Times New Roman" w:hAnsi="Times New Roman" w:cs="Times New Roman"/>
          <w:sz w:val="24"/>
          <w:szCs w:val="24"/>
        </w:rPr>
        <w:t xml:space="preserve"> et al., 2018). Horizontal accountability restricts abuse in the </w:t>
      </w:r>
      <w:proofErr w:type="spellStart"/>
      <w:r w:rsidRPr="007F244C">
        <w:rPr>
          <w:rFonts w:ascii="Times New Roman" w:hAnsi="Times New Roman" w:cs="Times New Roman"/>
          <w:sz w:val="24"/>
          <w:szCs w:val="24"/>
        </w:rPr>
        <w:t>organisation</w:t>
      </w:r>
      <w:proofErr w:type="spellEnd"/>
      <w:r w:rsidRPr="007F244C">
        <w:rPr>
          <w:rFonts w:ascii="Times New Roman" w:hAnsi="Times New Roman" w:cs="Times New Roman"/>
          <w:sz w:val="24"/>
          <w:szCs w:val="24"/>
        </w:rPr>
        <w:t>, whilst vertical accountability connects the leaders with students.</w:t>
      </w:r>
    </w:p>
    <w:p w14:paraId="7AAD4593"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social aspect is explained by the Social Capital Theory. When there is trust and networks, participation and accountability will be effective. High social capital encourages the student to attend meetings, raise questions and follow the leaders (Putnam, 2000). The social capital is low, which translates to apathy and low turnout.</w:t>
      </w:r>
    </w:p>
    <w:p w14:paraId="6453002D"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 three theories are used to explain student </w:t>
      </w:r>
      <w:proofErr w:type="spellStart"/>
      <w:r w:rsidRPr="007F244C">
        <w:rPr>
          <w:rFonts w:ascii="Times New Roman" w:hAnsi="Times New Roman" w:cs="Times New Roman"/>
          <w:sz w:val="24"/>
          <w:szCs w:val="24"/>
        </w:rPr>
        <w:t>behaviour</w:t>
      </w:r>
      <w:proofErr w:type="spellEnd"/>
      <w:r w:rsidRPr="007F244C">
        <w:rPr>
          <w:rFonts w:ascii="Times New Roman" w:hAnsi="Times New Roman" w:cs="Times New Roman"/>
          <w:sz w:val="24"/>
          <w:szCs w:val="24"/>
        </w:rPr>
        <w:t xml:space="preserve"> and organisational effectiveness. Participatory governance establishes forums of participation. Responsibility offers checks and balances. Trust and motivation are provided through social capital. Student unions become more transparent, responsive, and effective when the three are in place (</w:t>
      </w:r>
      <w:proofErr w:type="spellStart"/>
      <w:r w:rsidRPr="007F244C">
        <w:rPr>
          <w:rFonts w:ascii="Times New Roman" w:hAnsi="Times New Roman" w:cs="Times New Roman"/>
          <w:sz w:val="24"/>
          <w:szCs w:val="24"/>
        </w:rPr>
        <w:t>Klemencic</w:t>
      </w:r>
      <w:proofErr w:type="spellEnd"/>
      <w:r w:rsidRPr="007F244C">
        <w:rPr>
          <w:rFonts w:ascii="Times New Roman" w:hAnsi="Times New Roman" w:cs="Times New Roman"/>
          <w:sz w:val="24"/>
          <w:szCs w:val="24"/>
        </w:rPr>
        <w:t xml:space="preserve">, 2017; </w:t>
      </w:r>
      <w:proofErr w:type="spellStart"/>
      <w:r w:rsidRPr="007F244C">
        <w:rPr>
          <w:rFonts w:ascii="Times New Roman" w:hAnsi="Times New Roman" w:cs="Times New Roman"/>
          <w:sz w:val="24"/>
          <w:szCs w:val="24"/>
        </w:rPr>
        <w:t>Luescher</w:t>
      </w:r>
      <w:proofErr w:type="spellEnd"/>
      <w:r w:rsidRPr="007F244C">
        <w:rPr>
          <w:rFonts w:ascii="Times New Roman" w:hAnsi="Times New Roman" w:cs="Times New Roman"/>
          <w:sz w:val="24"/>
          <w:szCs w:val="24"/>
        </w:rPr>
        <w:t xml:space="preserve"> and </w:t>
      </w:r>
      <w:proofErr w:type="spellStart"/>
      <w:r w:rsidRPr="007F244C">
        <w:rPr>
          <w:rFonts w:ascii="Times New Roman" w:hAnsi="Times New Roman" w:cs="Times New Roman"/>
          <w:sz w:val="24"/>
          <w:szCs w:val="24"/>
        </w:rPr>
        <w:t>Mugume</w:t>
      </w:r>
      <w:proofErr w:type="spellEnd"/>
      <w:r w:rsidRPr="007F244C">
        <w:rPr>
          <w:rFonts w:ascii="Times New Roman" w:hAnsi="Times New Roman" w:cs="Times New Roman"/>
          <w:sz w:val="24"/>
          <w:szCs w:val="24"/>
        </w:rPr>
        <w:t>, 2019). In the absence of one, there is a weakened governance. This comprehensive framework assists in the analysis of the success and failure of some student unions.</w:t>
      </w:r>
    </w:p>
    <w:p w14:paraId="5F3AAE37" w14:textId="77777777" w:rsidR="00B749FC" w:rsidRPr="007F244C" w:rsidRDefault="00B749FC" w:rsidP="00B749FC">
      <w:pPr>
        <w:spacing w:after="0" w:line="240" w:lineRule="auto"/>
        <w:jc w:val="both"/>
        <w:rPr>
          <w:rFonts w:ascii="Times New Roman" w:hAnsi="Times New Roman" w:cs="Times New Roman"/>
          <w:sz w:val="24"/>
          <w:szCs w:val="24"/>
        </w:rPr>
      </w:pPr>
    </w:p>
    <w:p w14:paraId="693A5516" w14:textId="77777777" w:rsidR="00B749FC" w:rsidRPr="007F244C" w:rsidRDefault="00B749FC" w:rsidP="00B749FC">
      <w:pPr>
        <w:spacing w:after="0" w:line="240" w:lineRule="auto"/>
        <w:rPr>
          <w:rFonts w:ascii="Times New Roman" w:hAnsi="Times New Roman" w:cs="Times New Roman"/>
          <w:b/>
          <w:sz w:val="24"/>
          <w:szCs w:val="24"/>
        </w:rPr>
      </w:pPr>
      <w:r w:rsidRPr="007F244C">
        <w:rPr>
          <w:rFonts w:ascii="Times New Roman" w:hAnsi="Times New Roman" w:cs="Times New Roman"/>
          <w:b/>
          <w:sz w:val="24"/>
          <w:szCs w:val="24"/>
        </w:rPr>
        <w:t>3. SAMPLE DESCRIPTION AND METHODS</w:t>
      </w:r>
    </w:p>
    <w:p w14:paraId="7DDF166A" w14:textId="77777777" w:rsidR="00B749FC" w:rsidRPr="007F244C" w:rsidRDefault="00B749FC" w:rsidP="00B749FC">
      <w:pPr>
        <w:spacing w:after="0" w:line="240" w:lineRule="auto"/>
        <w:rPr>
          <w:rFonts w:ascii="Times New Roman" w:hAnsi="Times New Roman" w:cs="Times New Roman"/>
          <w:b/>
          <w:sz w:val="24"/>
          <w:szCs w:val="24"/>
        </w:rPr>
      </w:pPr>
    </w:p>
    <w:p w14:paraId="726BD026" w14:textId="77777777" w:rsidR="00B749FC" w:rsidRPr="007F244C" w:rsidRDefault="00B749FC" w:rsidP="00B749FC">
      <w:pPr>
        <w:spacing w:after="0" w:line="240" w:lineRule="auto"/>
        <w:ind w:firstLine="720"/>
        <w:jc w:val="both"/>
        <w:rPr>
          <w:rFonts w:ascii="Times New Roman" w:hAnsi="Times New Roman" w:cs="Times New Roman"/>
          <w:sz w:val="24"/>
          <w:szCs w:val="24"/>
        </w:rPr>
      </w:pPr>
      <w:r w:rsidRPr="007F244C">
        <w:rPr>
          <w:rFonts w:ascii="Times New Roman" w:hAnsi="Times New Roman" w:cs="Times New Roman"/>
          <w:sz w:val="24"/>
          <w:szCs w:val="24"/>
        </w:rPr>
        <w:t xml:space="preserve">The research design that would be used in this study is a mixed-methods research design. This design combines both quantitative and qualitative methods of the study. This decision is explained by a single reason. The administration of Student Union is a matter of numbers and experiences. Measures of participation, trust, and accountability are some of the measures that are to be gauged using surveys. Interviews allow clarifying how students behave in certain ways and how leaders comprehend their role. According to the scholars, mixed-methods research will provide a more comprehensive view of social </w:t>
      </w:r>
      <w:proofErr w:type="spellStart"/>
      <w:r w:rsidRPr="007F244C">
        <w:rPr>
          <w:rFonts w:ascii="Times New Roman" w:hAnsi="Times New Roman" w:cs="Times New Roman"/>
          <w:sz w:val="24"/>
          <w:szCs w:val="24"/>
        </w:rPr>
        <w:t>behaviour</w:t>
      </w:r>
      <w:proofErr w:type="spellEnd"/>
      <w:r w:rsidRPr="007F244C">
        <w:rPr>
          <w:rFonts w:ascii="Times New Roman" w:hAnsi="Times New Roman" w:cs="Times New Roman"/>
          <w:sz w:val="24"/>
          <w:szCs w:val="24"/>
        </w:rPr>
        <w:t xml:space="preserve"> as it incorporates both measurement and meaning (Creswell and Plano Clark, 2018).</w:t>
      </w:r>
    </w:p>
    <w:p w14:paraId="2D1D3485"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 quantitative section involves a formatted questionnaire that is given to the leaders of Student Union and undergraduate students. This enables the research to make comparisons between perceptions between institutions and groups. Quantitative designs may be applied when a researcher is interested in testing relationships, comparing groups, and </w:t>
      </w:r>
      <w:proofErr w:type="spellStart"/>
      <w:r w:rsidRPr="007F244C">
        <w:rPr>
          <w:rFonts w:ascii="Times New Roman" w:hAnsi="Times New Roman" w:cs="Times New Roman"/>
          <w:sz w:val="24"/>
          <w:szCs w:val="24"/>
        </w:rPr>
        <w:t>generalising</w:t>
      </w:r>
      <w:proofErr w:type="spellEnd"/>
      <w:r w:rsidRPr="007F244C">
        <w:rPr>
          <w:rFonts w:ascii="Times New Roman" w:hAnsi="Times New Roman" w:cs="Times New Roman"/>
          <w:sz w:val="24"/>
          <w:szCs w:val="24"/>
        </w:rPr>
        <w:t xml:space="preserve"> results relating to a sample to a large population (Bryman, 2016).</w:t>
      </w:r>
    </w:p>
    <w:p w14:paraId="5474AFC0"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qualitative section is based on semi-structured interviews of the chosen Student Union leaders and committee members. This assists in capturing the elaborate accounts regarding how decisions are made, accountability processes and issues encountered during the administration of Unions. The qualitative approaches are appropriate to research the area of governance since it will enable individuals to express themselves openly regarding power, trust, and participation (Silverman, 2020).</w:t>
      </w:r>
    </w:p>
    <w:p w14:paraId="1B8745FF"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 design has inbuilt reproducibility. There is thorough documentation of the research tools, sampling process, coding, and the </w:t>
      </w:r>
      <w:r w:rsidRPr="007F244C">
        <w:rPr>
          <w:rFonts w:ascii="Times New Roman" w:hAnsi="Times New Roman" w:cs="Times New Roman"/>
          <w:sz w:val="24"/>
          <w:szCs w:val="24"/>
        </w:rPr>
        <w:t>analysis process. The questions in survey are predetermined and are used at the same order in institutions. Interview questions have a general guide. These are data cleaning steps, rules of coding and statistical commands that are documented. The ability to report methods freely also means that other researchers can repeat the study or apply the findings in other settings (</w:t>
      </w:r>
      <w:proofErr w:type="spellStart"/>
      <w:r w:rsidRPr="007F244C">
        <w:rPr>
          <w:rFonts w:ascii="Times New Roman" w:hAnsi="Times New Roman" w:cs="Times New Roman"/>
          <w:sz w:val="24"/>
          <w:szCs w:val="24"/>
        </w:rPr>
        <w:t>Munafo</w:t>
      </w:r>
      <w:proofErr w:type="spellEnd"/>
      <w:r w:rsidRPr="007F244C">
        <w:rPr>
          <w:rFonts w:ascii="Times New Roman" w:hAnsi="Times New Roman" w:cs="Times New Roman"/>
          <w:sz w:val="24"/>
          <w:szCs w:val="24"/>
        </w:rPr>
        <w:t xml:space="preserve"> et al., 2017).</w:t>
      </w:r>
    </w:p>
    <w:p w14:paraId="2F951B09" w14:textId="77777777" w:rsidR="00B749FC" w:rsidRPr="007F244C" w:rsidRDefault="00B749FC" w:rsidP="00B749FC">
      <w:pPr>
        <w:spacing w:after="0" w:line="240" w:lineRule="auto"/>
        <w:jc w:val="both"/>
        <w:rPr>
          <w:rFonts w:ascii="Times New Roman" w:hAnsi="Times New Roman" w:cs="Times New Roman"/>
          <w:sz w:val="24"/>
          <w:szCs w:val="24"/>
        </w:rPr>
      </w:pPr>
    </w:p>
    <w:p w14:paraId="063AE21E"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Population of the Study</w:t>
      </w:r>
    </w:p>
    <w:p w14:paraId="1C015512"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study population would comprise of undergraduate students and leaders of the Student Union in three federal tertiary institutions in Osun State. These are Obafemi Awolowo University, Federal Polytechnic Ede and Federal College of Education Iwo.</w:t>
      </w:r>
    </w:p>
    <w:p w14:paraId="7A29418B"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 greatest group of the population is comprised of undergraduate students. Student Union activities are the major beneficiaries of the activities. Their opinions matter as the involvement and responsibility </w:t>
      </w:r>
      <w:proofErr w:type="gramStart"/>
      <w:r w:rsidRPr="007F244C">
        <w:rPr>
          <w:rFonts w:ascii="Times New Roman" w:hAnsi="Times New Roman" w:cs="Times New Roman"/>
          <w:sz w:val="24"/>
          <w:szCs w:val="24"/>
        </w:rPr>
        <w:t>lie</w:t>
      </w:r>
      <w:proofErr w:type="gramEnd"/>
      <w:r w:rsidRPr="007F244C">
        <w:rPr>
          <w:rFonts w:ascii="Times New Roman" w:hAnsi="Times New Roman" w:cs="Times New Roman"/>
          <w:sz w:val="24"/>
          <w:szCs w:val="24"/>
        </w:rPr>
        <w:t xml:space="preserve"> in the way in which regular students interact with the Union structures. The research on campus governance demonstrates that the perception of students is a good source of evidence about the functioning of democratic practices in real life (</w:t>
      </w:r>
      <w:proofErr w:type="spellStart"/>
      <w:r w:rsidRPr="007F244C">
        <w:rPr>
          <w:rFonts w:ascii="Times New Roman" w:hAnsi="Times New Roman" w:cs="Times New Roman"/>
          <w:sz w:val="24"/>
          <w:szCs w:val="24"/>
        </w:rPr>
        <w:t>Luescher-Mamashela</w:t>
      </w:r>
      <w:proofErr w:type="spellEnd"/>
      <w:r w:rsidRPr="007F244C">
        <w:rPr>
          <w:rFonts w:ascii="Times New Roman" w:hAnsi="Times New Roman" w:cs="Times New Roman"/>
          <w:sz w:val="24"/>
          <w:szCs w:val="24"/>
        </w:rPr>
        <w:t>, 2016).</w:t>
      </w:r>
    </w:p>
    <w:p w14:paraId="1BC45F91"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 second group consists of Student Union executives, legislators and committee members. Their work involves planning of </w:t>
      </w:r>
      <w:proofErr w:type="spellStart"/>
      <w:r w:rsidRPr="007F244C">
        <w:rPr>
          <w:rFonts w:ascii="Times New Roman" w:hAnsi="Times New Roman" w:cs="Times New Roman"/>
          <w:sz w:val="24"/>
          <w:szCs w:val="24"/>
        </w:rPr>
        <w:t>programmes</w:t>
      </w:r>
      <w:proofErr w:type="spellEnd"/>
      <w:r w:rsidRPr="007F244C">
        <w:rPr>
          <w:rFonts w:ascii="Times New Roman" w:hAnsi="Times New Roman" w:cs="Times New Roman"/>
          <w:sz w:val="24"/>
          <w:szCs w:val="24"/>
        </w:rPr>
        <w:t>, handling of funds and representing of the students. Their inclusion will assist the study in investigating accountability on the basis of internal leadership. The research on governance emphasizes that followers and leaders tend to disagree in terms of transparency and performance (</w:t>
      </w:r>
      <w:proofErr w:type="spellStart"/>
      <w:r w:rsidRPr="007F244C">
        <w:rPr>
          <w:rFonts w:ascii="Times New Roman" w:hAnsi="Times New Roman" w:cs="Times New Roman"/>
          <w:sz w:val="24"/>
          <w:szCs w:val="24"/>
        </w:rPr>
        <w:t>Bevir</w:t>
      </w:r>
      <w:proofErr w:type="spellEnd"/>
      <w:r w:rsidRPr="007F244C">
        <w:rPr>
          <w:rFonts w:ascii="Times New Roman" w:hAnsi="Times New Roman" w:cs="Times New Roman"/>
          <w:sz w:val="24"/>
          <w:szCs w:val="24"/>
        </w:rPr>
        <w:t>, 2019).</w:t>
      </w:r>
    </w:p>
    <w:p w14:paraId="57931112"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 population spans through the faculties, departments and the study levels. This wide coverage provides a fair representation and is useful in </w:t>
      </w:r>
      <w:proofErr w:type="spellStart"/>
      <w:r w:rsidRPr="007F244C">
        <w:rPr>
          <w:rFonts w:ascii="Times New Roman" w:hAnsi="Times New Roman" w:cs="Times New Roman"/>
          <w:sz w:val="24"/>
          <w:szCs w:val="24"/>
        </w:rPr>
        <w:t>minimising</w:t>
      </w:r>
      <w:proofErr w:type="spellEnd"/>
      <w:r w:rsidRPr="007F244C">
        <w:rPr>
          <w:rFonts w:ascii="Times New Roman" w:hAnsi="Times New Roman" w:cs="Times New Roman"/>
          <w:sz w:val="24"/>
          <w:szCs w:val="24"/>
        </w:rPr>
        <w:t xml:space="preserve"> bias. Big and heterogeneous groups of people need an </w:t>
      </w:r>
      <w:r w:rsidRPr="007F244C">
        <w:rPr>
          <w:rFonts w:ascii="Times New Roman" w:hAnsi="Times New Roman" w:cs="Times New Roman"/>
          <w:sz w:val="24"/>
          <w:szCs w:val="24"/>
        </w:rPr>
        <w:lastRenderedPageBreak/>
        <w:t>organized approach to sampling to make sure that the results correspond to the rest of the student population (Fowler, 2016).</w:t>
      </w:r>
    </w:p>
    <w:p w14:paraId="4002BFBF" w14:textId="77777777" w:rsidR="00B749FC" w:rsidRPr="007F244C" w:rsidRDefault="00B749FC" w:rsidP="00B749FC">
      <w:pPr>
        <w:spacing w:after="0" w:line="240" w:lineRule="auto"/>
        <w:jc w:val="both"/>
        <w:rPr>
          <w:rFonts w:ascii="Times New Roman" w:hAnsi="Times New Roman" w:cs="Times New Roman"/>
          <w:sz w:val="24"/>
          <w:szCs w:val="24"/>
        </w:rPr>
      </w:pPr>
    </w:p>
    <w:p w14:paraId="4482E4EB"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Sampling and sample size</w:t>
      </w:r>
    </w:p>
    <w:p w14:paraId="6C94DFBD"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sampling approach employed in the research is a multi-stage sampling method. This will be a stratified and random form of sampling. During the initial phase, a stratum is created by every institution. This will guarantee representation of all the three institutions. In the second phase, institutions are considered as sub-strata where faculties or schools are considered. The units are then randomly chosen in every faculty. Students within the classes are randomly chosen in the last stage.</w:t>
      </w:r>
    </w:p>
    <w:p w14:paraId="265843BB"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Multi stage sampling can be used in large and dispersed populations. It assists in controlling the cost and time and remain representativeness (</w:t>
      </w:r>
      <w:proofErr w:type="spellStart"/>
      <w:r w:rsidRPr="007F244C">
        <w:rPr>
          <w:rFonts w:ascii="Times New Roman" w:hAnsi="Times New Roman" w:cs="Times New Roman"/>
          <w:sz w:val="24"/>
          <w:szCs w:val="24"/>
        </w:rPr>
        <w:t>Lohr</w:t>
      </w:r>
      <w:proofErr w:type="spellEnd"/>
      <w:r w:rsidRPr="007F244C">
        <w:rPr>
          <w:rFonts w:ascii="Times New Roman" w:hAnsi="Times New Roman" w:cs="Times New Roman"/>
          <w:sz w:val="24"/>
          <w:szCs w:val="24"/>
        </w:rPr>
        <w:t>, 2021). Random selection at every level minimizes selection bias and enhances the likelihood of the sample to be representative of the population.</w:t>
      </w:r>
    </w:p>
    <w:p w14:paraId="232B3055"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purposive sampling is used to select the Student Union leaders and committee members. The approach is suitable since only those in leadership roles will give information on the internal governance processes. According to methodology scholars, purposive sampling is acceptable when the participants are well-informed about certain knowledge pertaining to the study (Patton, 2015).</w:t>
      </w:r>
    </w:p>
    <w:p w14:paraId="4AE9E6B9"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sample is calculated based on conventional sample size recommendations on social surveys. A high population needs a sample that is accurate and viable. Statistical literature indicates that the size of samples between 300 and 500 individuals is sufficient to conduct the study on the institutional level with the aim of making comparisons between groups (Cohen et al., 2018). The last sample will be distributed proportionally among the three institutions in consideration of differences in the number of students.</w:t>
      </w:r>
    </w:p>
    <w:p w14:paraId="0A4529BE" w14:textId="22A714CD"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Sex distribution is well thought out. The students are male and female and they are included depending on the percentage in the institutions. This will enable the research to examine potential sex variations in the participation and perceptions of responsibility. It has been demonstrated that gender patterns tend to affect the access to leadership and civic participation within an educational environment (UNESCO, 2019). Making sex a </w:t>
      </w:r>
      <w:r w:rsidR="007F244C" w:rsidRPr="007F244C">
        <w:rPr>
          <w:rFonts w:ascii="Times New Roman" w:hAnsi="Times New Roman" w:cs="Times New Roman"/>
          <w:sz w:val="24"/>
          <w:szCs w:val="24"/>
        </w:rPr>
        <w:t>demographic variable aid</w:t>
      </w:r>
      <w:r w:rsidRPr="007F244C">
        <w:rPr>
          <w:rFonts w:ascii="Times New Roman" w:hAnsi="Times New Roman" w:cs="Times New Roman"/>
          <w:sz w:val="24"/>
          <w:szCs w:val="24"/>
        </w:rPr>
        <w:t xml:space="preserve"> in even balancing analysis without assumptions regarding the </w:t>
      </w:r>
      <w:proofErr w:type="spellStart"/>
      <w:r w:rsidRPr="007F244C">
        <w:rPr>
          <w:rFonts w:ascii="Times New Roman" w:hAnsi="Times New Roman" w:cs="Times New Roman"/>
          <w:sz w:val="24"/>
          <w:szCs w:val="24"/>
        </w:rPr>
        <w:t>behaviour</w:t>
      </w:r>
      <w:proofErr w:type="spellEnd"/>
      <w:r w:rsidRPr="007F244C">
        <w:rPr>
          <w:rFonts w:ascii="Times New Roman" w:hAnsi="Times New Roman" w:cs="Times New Roman"/>
          <w:sz w:val="24"/>
          <w:szCs w:val="24"/>
        </w:rPr>
        <w:t>.</w:t>
      </w:r>
    </w:p>
    <w:p w14:paraId="1A5F0C08" w14:textId="77777777" w:rsidR="00B749FC" w:rsidRPr="007F244C" w:rsidRDefault="00B749FC" w:rsidP="00B749FC">
      <w:pPr>
        <w:spacing w:after="0" w:line="240" w:lineRule="auto"/>
        <w:jc w:val="both"/>
        <w:rPr>
          <w:rFonts w:ascii="Times New Roman" w:hAnsi="Times New Roman" w:cs="Times New Roman"/>
          <w:sz w:val="24"/>
          <w:szCs w:val="24"/>
        </w:rPr>
      </w:pPr>
    </w:p>
    <w:p w14:paraId="4B5D569D"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Instrumentation</w:t>
      </w:r>
    </w:p>
    <w:p w14:paraId="56D0985B"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Data collection is done using two major instruments. The former is a questionnaire that is structured. There are four sections in the questionnaire. Section A deals with the demographic data including the institution, level of study, and sex. Section B gauges the student involvement by simple statements, which are rated on a Likert scale. Section C evaluates the practice of accountability, such as transparency, communication, and financial reporting. Section D is concerned with confidence and contentment with Student Union governance.</w:t>
      </w:r>
    </w:p>
    <w:p w14:paraId="1B71B44D"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Scores of Likert type scales are already common in the field of governance and education research due to their simplicity in comprehension and making quantitative comparisons (</w:t>
      </w:r>
      <w:proofErr w:type="spellStart"/>
      <w:r w:rsidRPr="007F244C">
        <w:rPr>
          <w:rFonts w:ascii="Times New Roman" w:hAnsi="Times New Roman" w:cs="Times New Roman"/>
          <w:sz w:val="24"/>
          <w:szCs w:val="24"/>
        </w:rPr>
        <w:t>DeVellis</w:t>
      </w:r>
      <w:proofErr w:type="spellEnd"/>
      <w:r w:rsidRPr="007F244C">
        <w:rPr>
          <w:rFonts w:ascii="Times New Roman" w:hAnsi="Times New Roman" w:cs="Times New Roman"/>
          <w:sz w:val="24"/>
          <w:szCs w:val="24"/>
        </w:rPr>
        <w:t>, 2017). The questionnaire will be easy to understand in a simple language to match the respondents who are undergraduates.</w:t>
      </w:r>
    </w:p>
    <w:p w14:paraId="741EAE42"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second tool is the semi-structured interview guide. The guide has open-ended questions on the leadership positions, how decisions are made, issues of accountability, and the approaches to motivation to participate. Semi-structured interviews can be used in order to be consistent but provide enough opportunity to elaborate (</w:t>
      </w:r>
      <w:proofErr w:type="spellStart"/>
      <w:r w:rsidRPr="007F244C">
        <w:rPr>
          <w:rFonts w:ascii="Times New Roman" w:hAnsi="Times New Roman" w:cs="Times New Roman"/>
          <w:sz w:val="24"/>
          <w:szCs w:val="24"/>
        </w:rPr>
        <w:t>Kvale</w:t>
      </w:r>
      <w:proofErr w:type="spellEnd"/>
      <w:r w:rsidRPr="007F244C">
        <w:rPr>
          <w:rFonts w:ascii="Times New Roman" w:hAnsi="Times New Roman" w:cs="Times New Roman"/>
          <w:sz w:val="24"/>
          <w:szCs w:val="24"/>
        </w:rPr>
        <w:t xml:space="preserve"> and Brinkmann, 2018).</w:t>
      </w:r>
    </w:p>
    <w:p w14:paraId="58101455"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lastRenderedPageBreak/>
        <w:t>Validity is met in a number of ways. The validity in the content is maintained through the correspondence between the questionnaire items and the existing data on participation, accountability, and student governance. Educational administration experts will go over the instruments to ensure clarity and relevance. Construct validity is upheld through the ability of grouping questions based on well-defined concepts, which are informed by theory (Hair et al., 2019).</w:t>
      </w:r>
    </w:p>
    <w:p w14:paraId="7BE8F28B"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Internal consistency measures are used to test reliability. Cronbach alpha is used to </w:t>
      </w:r>
      <w:proofErr w:type="spellStart"/>
      <w:r w:rsidRPr="007F244C">
        <w:rPr>
          <w:rFonts w:ascii="Times New Roman" w:hAnsi="Times New Roman" w:cs="Times New Roman"/>
          <w:sz w:val="24"/>
          <w:szCs w:val="24"/>
        </w:rPr>
        <w:t>analyse</w:t>
      </w:r>
      <w:proofErr w:type="spellEnd"/>
      <w:r w:rsidRPr="007F244C">
        <w:rPr>
          <w:rFonts w:ascii="Times New Roman" w:hAnsi="Times New Roman" w:cs="Times New Roman"/>
          <w:sz w:val="24"/>
          <w:szCs w:val="24"/>
        </w:rPr>
        <w:t xml:space="preserve"> pilot data to ensure that the items that measure the same concept yield similar results. In social research, values of 0.70 or more are acceptable (</w:t>
      </w:r>
      <w:proofErr w:type="spellStart"/>
      <w:r w:rsidRPr="007F244C">
        <w:rPr>
          <w:rFonts w:ascii="Times New Roman" w:hAnsi="Times New Roman" w:cs="Times New Roman"/>
          <w:sz w:val="24"/>
          <w:szCs w:val="24"/>
        </w:rPr>
        <w:t>Tavakol</w:t>
      </w:r>
      <w:proofErr w:type="spellEnd"/>
      <w:r w:rsidRPr="007F244C">
        <w:rPr>
          <w:rFonts w:ascii="Times New Roman" w:hAnsi="Times New Roman" w:cs="Times New Roman"/>
          <w:sz w:val="24"/>
          <w:szCs w:val="24"/>
        </w:rPr>
        <w:t xml:space="preserve"> and </w:t>
      </w:r>
      <w:proofErr w:type="spellStart"/>
      <w:r w:rsidRPr="007F244C">
        <w:rPr>
          <w:rFonts w:ascii="Times New Roman" w:hAnsi="Times New Roman" w:cs="Times New Roman"/>
          <w:sz w:val="24"/>
          <w:szCs w:val="24"/>
        </w:rPr>
        <w:t>Dennick</w:t>
      </w:r>
      <w:proofErr w:type="spellEnd"/>
      <w:r w:rsidRPr="007F244C">
        <w:rPr>
          <w:rFonts w:ascii="Times New Roman" w:hAnsi="Times New Roman" w:cs="Times New Roman"/>
          <w:sz w:val="24"/>
          <w:szCs w:val="24"/>
        </w:rPr>
        <w:t>, 2016). The reliability of the interview is ensured by the fact that they will be guided by the same guide when all the participants are interviewed and that the interviews will be recorded so that they can be transcribed accurately.</w:t>
      </w:r>
    </w:p>
    <w:p w14:paraId="32ADAD64"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process of data collection will be as follows:</w:t>
      </w:r>
    </w:p>
    <w:p w14:paraId="4BE1A893"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process of data collection is based on well-defined and ethical steps. The necessary ethical clearance is received in accordance with the research ethics committee. Ethical approval is a guaranty of respecting the right of the participants, privacy, and their safety. Ethics in research emphasize the need to provide informed consent and voluntary participation (Israel &amp; Hay, 2020).</w:t>
      </w:r>
    </w:p>
    <w:p w14:paraId="2B0CE1AD"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management of each institution is approached formally, and authorities of Student Unions are approached. There are letters that describe the objective of the study and the way the data will be utilized. Institutional permission assists in developing trust and allows easy access to respondents.</w:t>
      </w:r>
    </w:p>
    <w:p w14:paraId="283A6E42"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 questionnaire is pilot tested on a small group of students of a similar institution before full data collection. The pilot assists in determining ambiguous questions and time to </w:t>
      </w:r>
      <w:r w:rsidRPr="007F244C">
        <w:rPr>
          <w:rFonts w:ascii="Times New Roman" w:hAnsi="Times New Roman" w:cs="Times New Roman"/>
          <w:sz w:val="24"/>
          <w:szCs w:val="24"/>
        </w:rPr>
        <w:t>be taken. Pilot testing enhances the quality of data and decreases measurement error (Presser et al., 2018).</w:t>
      </w:r>
    </w:p>
    <w:p w14:paraId="64A4AD98"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questionnaires are conducted face to face during lecture sessions or student meetings under the assistance of trained research assistants. The respondents will be provided with clear instructions and guaranteed confidentiality. Interviews will be made at convenient times among the Student Union leaders and in secluded areas. All the interviews will be audio-recorded with permission.</w:t>
      </w:r>
    </w:p>
    <w:p w14:paraId="1CA49556" w14:textId="77777777" w:rsidR="00B749FC" w:rsidRPr="007F244C" w:rsidRDefault="00B749FC" w:rsidP="00B749FC">
      <w:pPr>
        <w:spacing w:after="0" w:line="240" w:lineRule="auto"/>
        <w:jc w:val="both"/>
        <w:rPr>
          <w:rFonts w:ascii="Times New Roman" w:hAnsi="Times New Roman" w:cs="Times New Roman"/>
          <w:sz w:val="24"/>
          <w:szCs w:val="24"/>
        </w:rPr>
      </w:pPr>
    </w:p>
    <w:p w14:paraId="7101B40B"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Method of Data Analysis</w:t>
      </w:r>
    </w:p>
    <w:p w14:paraId="696505DA"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Descriptive and inferential statistics are used to </w:t>
      </w:r>
      <w:proofErr w:type="spellStart"/>
      <w:r w:rsidRPr="007F244C">
        <w:rPr>
          <w:rFonts w:ascii="Times New Roman" w:hAnsi="Times New Roman" w:cs="Times New Roman"/>
          <w:sz w:val="24"/>
          <w:szCs w:val="24"/>
        </w:rPr>
        <w:t>analyse</w:t>
      </w:r>
      <w:proofErr w:type="spellEnd"/>
      <w:r w:rsidRPr="007F244C">
        <w:rPr>
          <w:rFonts w:ascii="Times New Roman" w:hAnsi="Times New Roman" w:cs="Times New Roman"/>
          <w:sz w:val="24"/>
          <w:szCs w:val="24"/>
        </w:rPr>
        <w:t xml:space="preserve"> quantitative data. Student responses are </w:t>
      </w:r>
      <w:proofErr w:type="spellStart"/>
      <w:r w:rsidRPr="007F244C">
        <w:rPr>
          <w:rFonts w:ascii="Times New Roman" w:hAnsi="Times New Roman" w:cs="Times New Roman"/>
          <w:sz w:val="24"/>
          <w:szCs w:val="24"/>
        </w:rPr>
        <w:t>summarised</w:t>
      </w:r>
      <w:proofErr w:type="spellEnd"/>
      <w:r w:rsidRPr="007F244C">
        <w:rPr>
          <w:rFonts w:ascii="Times New Roman" w:hAnsi="Times New Roman" w:cs="Times New Roman"/>
          <w:sz w:val="24"/>
          <w:szCs w:val="24"/>
        </w:rPr>
        <w:t xml:space="preserve"> using descriptive statistics (frequencies, percentages means and standard deviation). Through such statistics, the overall patterns in participation and accountability can be explained. The differences between the institutions and male and female respondents are investigated with the help of inferential tests, </w:t>
      </w:r>
      <w:proofErr w:type="gramStart"/>
      <w:r w:rsidRPr="007F244C">
        <w:rPr>
          <w:rFonts w:ascii="Times New Roman" w:hAnsi="Times New Roman" w:cs="Times New Roman"/>
          <w:sz w:val="24"/>
          <w:szCs w:val="24"/>
        </w:rPr>
        <w:t>i.e.</w:t>
      </w:r>
      <w:proofErr w:type="gramEnd"/>
      <w:r w:rsidRPr="007F244C">
        <w:rPr>
          <w:rFonts w:ascii="Times New Roman" w:hAnsi="Times New Roman" w:cs="Times New Roman"/>
          <w:sz w:val="24"/>
          <w:szCs w:val="24"/>
        </w:rPr>
        <w:t xml:space="preserve"> t-tests and analysis of variance. These methods are common in the field of educational governance (Field, 2018).</w:t>
      </w:r>
    </w:p>
    <w:p w14:paraId="639E5FC6"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Data of qualitative interviews are </w:t>
      </w:r>
      <w:proofErr w:type="spellStart"/>
      <w:r w:rsidRPr="007F244C">
        <w:rPr>
          <w:rFonts w:ascii="Times New Roman" w:hAnsi="Times New Roman" w:cs="Times New Roman"/>
          <w:sz w:val="24"/>
          <w:szCs w:val="24"/>
        </w:rPr>
        <w:t>analysed</w:t>
      </w:r>
      <w:proofErr w:type="spellEnd"/>
      <w:r w:rsidRPr="007F244C">
        <w:rPr>
          <w:rFonts w:ascii="Times New Roman" w:hAnsi="Times New Roman" w:cs="Times New Roman"/>
          <w:sz w:val="24"/>
          <w:szCs w:val="24"/>
        </w:rPr>
        <w:t xml:space="preserve"> through thematic analysis. Transcripts are read attentively and line by line coded. The similar codes are sorts out into themes like leadership transparency, student trust, and barriers to participation. It is also appropriate because thematic analysis can be used to determine common meanings among participants without being too close to their words (Braun and Clarke, 2021).</w:t>
      </w:r>
    </w:p>
    <w:p w14:paraId="4DCD1821"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By maintaining an effective audit trail, reproducibility is guaranteed. Data files, survey data, and coding manuals are safely stored in the form of a statistical script. Rules of interview coding and definitions of themes are written down. Reporting these steps in a transparent manner helps to verify these steps </w:t>
      </w:r>
      <w:r w:rsidRPr="007F244C">
        <w:rPr>
          <w:rFonts w:ascii="Times New Roman" w:hAnsi="Times New Roman" w:cs="Times New Roman"/>
          <w:sz w:val="24"/>
          <w:szCs w:val="24"/>
        </w:rPr>
        <w:lastRenderedPageBreak/>
        <w:t>and reproduce them in the future by other researchers (</w:t>
      </w:r>
      <w:proofErr w:type="spellStart"/>
      <w:r w:rsidRPr="007F244C">
        <w:rPr>
          <w:rFonts w:ascii="Times New Roman" w:hAnsi="Times New Roman" w:cs="Times New Roman"/>
          <w:sz w:val="24"/>
          <w:szCs w:val="24"/>
        </w:rPr>
        <w:t>Nosek</w:t>
      </w:r>
      <w:proofErr w:type="spellEnd"/>
      <w:r w:rsidRPr="007F244C">
        <w:rPr>
          <w:rFonts w:ascii="Times New Roman" w:hAnsi="Times New Roman" w:cs="Times New Roman"/>
          <w:sz w:val="24"/>
          <w:szCs w:val="24"/>
        </w:rPr>
        <w:t xml:space="preserve"> et al., 2018).</w:t>
      </w:r>
    </w:p>
    <w:p w14:paraId="502384BA" w14:textId="77777777" w:rsidR="00B749FC" w:rsidRPr="007F244C" w:rsidRDefault="00B749FC" w:rsidP="00B749FC">
      <w:pPr>
        <w:spacing w:after="0" w:line="240" w:lineRule="auto"/>
        <w:jc w:val="both"/>
        <w:rPr>
          <w:rFonts w:ascii="Times New Roman" w:hAnsi="Times New Roman" w:cs="Times New Roman"/>
          <w:sz w:val="24"/>
          <w:szCs w:val="24"/>
        </w:rPr>
      </w:pPr>
    </w:p>
    <w:p w14:paraId="7DA7AC22"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4. RESULTS</w:t>
      </w:r>
    </w:p>
    <w:p w14:paraId="24838904" w14:textId="77777777" w:rsidR="00B749FC" w:rsidRPr="007F244C" w:rsidRDefault="00B749FC" w:rsidP="00B749FC">
      <w:pPr>
        <w:spacing w:after="0" w:line="240" w:lineRule="auto"/>
        <w:jc w:val="both"/>
        <w:rPr>
          <w:rFonts w:ascii="Times New Roman" w:hAnsi="Times New Roman" w:cs="Times New Roman"/>
          <w:b/>
          <w:sz w:val="24"/>
          <w:szCs w:val="24"/>
        </w:rPr>
      </w:pPr>
    </w:p>
    <w:p w14:paraId="652C313F"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 findings of the study are made in straightforward and comprehensible language in this part. The findings are on who took part in the study, the way students participate in the governance of Students Union, the accountability </w:t>
      </w:r>
      <w:proofErr w:type="spellStart"/>
      <w:r w:rsidRPr="007F244C">
        <w:rPr>
          <w:rFonts w:ascii="Times New Roman" w:hAnsi="Times New Roman" w:cs="Times New Roman"/>
          <w:sz w:val="24"/>
          <w:szCs w:val="24"/>
        </w:rPr>
        <w:t>practised</w:t>
      </w:r>
      <w:proofErr w:type="spellEnd"/>
      <w:r w:rsidRPr="007F244C">
        <w:rPr>
          <w:rFonts w:ascii="Times New Roman" w:hAnsi="Times New Roman" w:cs="Times New Roman"/>
          <w:sz w:val="24"/>
          <w:szCs w:val="24"/>
        </w:rPr>
        <w:t>, and the difference between the three institutions. The presentation is of a typical standard in higher education research (Creswell &amp; Creswell, 2018; Field, 2018).</w:t>
      </w:r>
    </w:p>
    <w:p w14:paraId="6B6A3312"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Demographics The Nursing Workforce Development Act of 2019 covers the demographic characteristics of nurses involved in home care, hospice care, and mental health care.</w:t>
      </w:r>
    </w:p>
    <w:p w14:paraId="64363D09" w14:textId="77777777" w:rsidR="00B749FC" w:rsidRPr="007F244C" w:rsidRDefault="00B749FC" w:rsidP="00B749FC">
      <w:pPr>
        <w:spacing w:after="0" w:line="240" w:lineRule="auto"/>
        <w:jc w:val="both"/>
        <w:rPr>
          <w:rFonts w:ascii="Times New Roman" w:hAnsi="Times New Roman" w:cs="Times New Roman"/>
          <w:sz w:val="24"/>
          <w:szCs w:val="24"/>
        </w:rPr>
      </w:pPr>
    </w:p>
    <w:p w14:paraId="0FD07A15"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 xml:space="preserve">4.1 Demographic Characteristics </w:t>
      </w:r>
    </w:p>
    <w:p w14:paraId="4BE83C1D" w14:textId="77777777" w:rsidR="00B749FC" w:rsidRPr="007F244C" w:rsidRDefault="00B749FC" w:rsidP="00B749FC">
      <w:pPr>
        <w:rPr>
          <w:rFonts w:ascii="Times New Roman" w:hAnsi="Times New Roman" w:cs="Times New Roman"/>
          <w:sz w:val="24"/>
          <w:szCs w:val="24"/>
        </w:rPr>
      </w:pPr>
      <w:r w:rsidRPr="007F244C">
        <w:rPr>
          <w:rFonts w:ascii="Times New Roman" w:eastAsia="Times New Roman" w:hAnsi="Times New Roman" w:cs="Times New Roman"/>
          <w:b/>
          <w:bCs/>
          <w:sz w:val="24"/>
          <w:szCs w:val="24"/>
        </w:rPr>
        <w:t>Table: Sex and Gender Distribution and Participation Patterns</w:t>
      </w:r>
    </w:p>
    <w:tbl>
      <w:tblPr>
        <w:tblStyle w:val="TableGrid"/>
        <w:tblW w:w="0" w:type="auto"/>
        <w:tblLayout w:type="fixed"/>
        <w:tblLook w:val="04A0" w:firstRow="1" w:lastRow="0" w:firstColumn="1" w:lastColumn="0" w:noHBand="0" w:noVBand="1"/>
      </w:tblPr>
      <w:tblGrid>
        <w:gridCol w:w="1548"/>
        <w:gridCol w:w="1440"/>
        <w:gridCol w:w="1548"/>
      </w:tblGrid>
      <w:tr w:rsidR="00B749FC" w:rsidRPr="007F244C" w14:paraId="5BB65580" w14:textId="77777777" w:rsidTr="00C81683">
        <w:trPr>
          <w:trHeight w:val="557"/>
        </w:trPr>
        <w:tc>
          <w:tcPr>
            <w:tcW w:w="1548" w:type="dxa"/>
            <w:vAlign w:val="center"/>
          </w:tcPr>
          <w:p w14:paraId="2756FF20" w14:textId="77777777" w:rsidR="00B749FC" w:rsidRPr="007F244C" w:rsidRDefault="00B749FC" w:rsidP="00C81683">
            <w:pPr>
              <w:rPr>
                <w:rFonts w:ascii="Times New Roman" w:eastAsia="Times New Roman" w:hAnsi="Times New Roman" w:cs="Times New Roman"/>
                <w:b/>
                <w:bCs/>
                <w:sz w:val="24"/>
                <w:szCs w:val="24"/>
              </w:rPr>
            </w:pPr>
            <w:r w:rsidRPr="007F244C">
              <w:rPr>
                <w:rFonts w:ascii="Times New Roman" w:eastAsia="Times New Roman" w:hAnsi="Times New Roman" w:cs="Times New Roman"/>
                <w:b/>
                <w:bCs/>
                <w:sz w:val="24"/>
                <w:szCs w:val="24"/>
              </w:rPr>
              <w:t>Aspect</w:t>
            </w:r>
          </w:p>
        </w:tc>
        <w:tc>
          <w:tcPr>
            <w:tcW w:w="1440" w:type="dxa"/>
            <w:vAlign w:val="center"/>
          </w:tcPr>
          <w:p w14:paraId="4F863941" w14:textId="77777777" w:rsidR="00B749FC" w:rsidRPr="007F244C" w:rsidRDefault="00B749FC" w:rsidP="00C81683">
            <w:pPr>
              <w:rPr>
                <w:rFonts w:ascii="Times New Roman" w:eastAsia="Times New Roman" w:hAnsi="Times New Roman" w:cs="Times New Roman"/>
                <w:b/>
                <w:bCs/>
                <w:sz w:val="24"/>
                <w:szCs w:val="24"/>
              </w:rPr>
            </w:pPr>
            <w:r w:rsidRPr="007F244C">
              <w:rPr>
                <w:rFonts w:ascii="Times New Roman" w:eastAsia="Times New Roman" w:hAnsi="Times New Roman" w:cs="Times New Roman"/>
                <w:b/>
                <w:bCs/>
                <w:sz w:val="24"/>
                <w:szCs w:val="24"/>
              </w:rPr>
              <w:t>Male Students</w:t>
            </w:r>
          </w:p>
        </w:tc>
        <w:tc>
          <w:tcPr>
            <w:tcW w:w="1548" w:type="dxa"/>
            <w:vAlign w:val="center"/>
          </w:tcPr>
          <w:p w14:paraId="6B4F4927" w14:textId="77777777" w:rsidR="00B749FC" w:rsidRPr="007F244C" w:rsidRDefault="00B749FC" w:rsidP="00C81683">
            <w:pPr>
              <w:rPr>
                <w:rFonts w:ascii="Times New Roman" w:eastAsia="Times New Roman" w:hAnsi="Times New Roman" w:cs="Times New Roman"/>
                <w:b/>
                <w:bCs/>
                <w:sz w:val="24"/>
                <w:szCs w:val="24"/>
              </w:rPr>
            </w:pPr>
            <w:r w:rsidRPr="007F244C">
              <w:rPr>
                <w:rFonts w:ascii="Times New Roman" w:eastAsia="Times New Roman" w:hAnsi="Times New Roman" w:cs="Times New Roman"/>
                <w:b/>
                <w:bCs/>
                <w:sz w:val="24"/>
                <w:szCs w:val="24"/>
              </w:rPr>
              <w:t>Female Students</w:t>
            </w:r>
          </w:p>
        </w:tc>
      </w:tr>
      <w:tr w:rsidR="00B749FC" w:rsidRPr="007F244C" w14:paraId="71CDCCA8" w14:textId="77777777" w:rsidTr="00C81683">
        <w:tc>
          <w:tcPr>
            <w:tcW w:w="1548" w:type="dxa"/>
            <w:vAlign w:val="center"/>
          </w:tcPr>
          <w:p w14:paraId="7CFB04E9" w14:textId="77777777" w:rsidR="00B749FC" w:rsidRPr="007F244C" w:rsidRDefault="00B749FC" w:rsidP="00C81683">
            <w:pPr>
              <w:rPr>
                <w:rFonts w:ascii="Times New Roman" w:eastAsia="Times New Roman" w:hAnsi="Times New Roman" w:cs="Times New Roman"/>
                <w:sz w:val="24"/>
                <w:szCs w:val="24"/>
              </w:rPr>
            </w:pPr>
            <w:r w:rsidRPr="007F244C">
              <w:rPr>
                <w:rFonts w:ascii="Times New Roman" w:eastAsia="Times New Roman" w:hAnsi="Times New Roman" w:cs="Times New Roman"/>
                <w:sz w:val="24"/>
                <w:szCs w:val="24"/>
              </w:rPr>
              <w:t>Enrolment across three institutions</w:t>
            </w:r>
          </w:p>
        </w:tc>
        <w:tc>
          <w:tcPr>
            <w:tcW w:w="1440" w:type="dxa"/>
            <w:vAlign w:val="center"/>
          </w:tcPr>
          <w:p w14:paraId="44F850AF" w14:textId="77777777" w:rsidR="00B749FC" w:rsidRPr="007F244C" w:rsidRDefault="00B749FC" w:rsidP="00C81683">
            <w:pPr>
              <w:rPr>
                <w:rFonts w:ascii="Times New Roman" w:eastAsia="Times New Roman" w:hAnsi="Times New Roman" w:cs="Times New Roman"/>
                <w:sz w:val="24"/>
                <w:szCs w:val="24"/>
              </w:rPr>
            </w:pPr>
            <w:r w:rsidRPr="007F244C">
              <w:rPr>
                <w:rFonts w:ascii="Times New Roman" w:eastAsia="Times New Roman" w:hAnsi="Times New Roman" w:cs="Times New Roman"/>
                <w:sz w:val="24"/>
                <w:szCs w:val="24"/>
              </w:rPr>
              <w:t>Slightly higher in number</w:t>
            </w:r>
          </w:p>
        </w:tc>
        <w:tc>
          <w:tcPr>
            <w:tcW w:w="1548" w:type="dxa"/>
            <w:vAlign w:val="center"/>
          </w:tcPr>
          <w:p w14:paraId="053C351A" w14:textId="77777777" w:rsidR="00B749FC" w:rsidRPr="007F244C" w:rsidRDefault="00B749FC" w:rsidP="00C81683">
            <w:pPr>
              <w:rPr>
                <w:rFonts w:ascii="Times New Roman" w:eastAsia="Times New Roman" w:hAnsi="Times New Roman" w:cs="Times New Roman"/>
                <w:sz w:val="24"/>
                <w:szCs w:val="24"/>
              </w:rPr>
            </w:pPr>
            <w:r w:rsidRPr="007F244C">
              <w:rPr>
                <w:rFonts w:ascii="Times New Roman" w:eastAsia="Times New Roman" w:hAnsi="Times New Roman" w:cs="Times New Roman"/>
                <w:sz w:val="24"/>
                <w:szCs w:val="24"/>
              </w:rPr>
              <w:t>Slightly lower in number</w:t>
            </w:r>
          </w:p>
        </w:tc>
      </w:tr>
      <w:tr w:rsidR="00B749FC" w:rsidRPr="007F244C" w14:paraId="08A58DD3" w14:textId="77777777" w:rsidTr="00C81683">
        <w:tc>
          <w:tcPr>
            <w:tcW w:w="1548" w:type="dxa"/>
            <w:vAlign w:val="center"/>
          </w:tcPr>
          <w:p w14:paraId="7F313B4B" w14:textId="77777777" w:rsidR="00B749FC" w:rsidRPr="007F244C" w:rsidRDefault="00B749FC" w:rsidP="00C81683">
            <w:pPr>
              <w:rPr>
                <w:rFonts w:ascii="Times New Roman" w:eastAsia="Times New Roman" w:hAnsi="Times New Roman" w:cs="Times New Roman"/>
                <w:sz w:val="24"/>
                <w:szCs w:val="24"/>
              </w:rPr>
            </w:pPr>
            <w:r w:rsidRPr="007F244C">
              <w:rPr>
                <w:rFonts w:ascii="Times New Roman" w:eastAsia="Times New Roman" w:hAnsi="Times New Roman" w:cs="Times New Roman"/>
                <w:sz w:val="24"/>
                <w:szCs w:val="24"/>
              </w:rPr>
              <w:t>General participation in Students’ Union activities</w:t>
            </w:r>
          </w:p>
        </w:tc>
        <w:tc>
          <w:tcPr>
            <w:tcW w:w="1440" w:type="dxa"/>
            <w:vAlign w:val="center"/>
          </w:tcPr>
          <w:p w14:paraId="1EBCAC9A" w14:textId="77777777" w:rsidR="00B749FC" w:rsidRPr="007F244C" w:rsidRDefault="00B749FC" w:rsidP="00C81683">
            <w:pPr>
              <w:rPr>
                <w:rFonts w:ascii="Times New Roman" w:eastAsia="Times New Roman" w:hAnsi="Times New Roman" w:cs="Times New Roman"/>
                <w:sz w:val="24"/>
                <w:szCs w:val="24"/>
              </w:rPr>
            </w:pPr>
            <w:r w:rsidRPr="007F244C">
              <w:rPr>
                <w:rFonts w:ascii="Times New Roman" w:eastAsia="Times New Roman" w:hAnsi="Times New Roman" w:cs="Times New Roman"/>
                <w:sz w:val="24"/>
                <w:szCs w:val="24"/>
              </w:rPr>
              <w:t>More visible in leadership and political roles</w:t>
            </w:r>
          </w:p>
        </w:tc>
        <w:tc>
          <w:tcPr>
            <w:tcW w:w="1548" w:type="dxa"/>
            <w:vAlign w:val="center"/>
          </w:tcPr>
          <w:p w14:paraId="47364944" w14:textId="77777777" w:rsidR="00B749FC" w:rsidRPr="007F244C" w:rsidRDefault="00B749FC" w:rsidP="00C81683">
            <w:pPr>
              <w:rPr>
                <w:rFonts w:ascii="Times New Roman" w:eastAsia="Times New Roman" w:hAnsi="Times New Roman" w:cs="Times New Roman"/>
                <w:sz w:val="24"/>
                <w:szCs w:val="24"/>
              </w:rPr>
            </w:pPr>
            <w:r w:rsidRPr="007F244C">
              <w:rPr>
                <w:rFonts w:ascii="Times New Roman" w:eastAsia="Times New Roman" w:hAnsi="Times New Roman" w:cs="Times New Roman"/>
                <w:sz w:val="24"/>
                <w:szCs w:val="24"/>
              </w:rPr>
              <w:t>More visible at lower participation levels</w:t>
            </w:r>
          </w:p>
        </w:tc>
      </w:tr>
      <w:tr w:rsidR="00B749FC" w:rsidRPr="007F244C" w14:paraId="72AC12B0" w14:textId="77777777" w:rsidTr="00C81683">
        <w:tc>
          <w:tcPr>
            <w:tcW w:w="1548" w:type="dxa"/>
            <w:vAlign w:val="center"/>
          </w:tcPr>
          <w:p w14:paraId="523E7C24" w14:textId="77777777" w:rsidR="00B749FC" w:rsidRPr="007F244C" w:rsidRDefault="00B749FC" w:rsidP="00C81683">
            <w:pPr>
              <w:rPr>
                <w:rFonts w:ascii="Times New Roman" w:eastAsia="Times New Roman" w:hAnsi="Times New Roman" w:cs="Times New Roman"/>
                <w:sz w:val="24"/>
                <w:szCs w:val="24"/>
              </w:rPr>
            </w:pPr>
            <w:r w:rsidRPr="007F244C">
              <w:rPr>
                <w:rFonts w:ascii="Times New Roman" w:eastAsia="Times New Roman" w:hAnsi="Times New Roman" w:cs="Times New Roman"/>
                <w:sz w:val="24"/>
                <w:szCs w:val="24"/>
              </w:rPr>
              <w:t>Representation in executive union positions</w:t>
            </w:r>
          </w:p>
        </w:tc>
        <w:tc>
          <w:tcPr>
            <w:tcW w:w="1440" w:type="dxa"/>
            <w:vAlign w:val="center"/>
          </w:tcPr>
          <w:p w14:paraId="422D5C87" w14:textId="77777777" w:rsidR="00B749FC" w:rsidRPr="007F244C" w:rsidRDefault="00B749FC" w:rsidP="00C81683">
            <w:pPr>
              <w:rPr>
                <w:rFonts w:ascii="Times New Roman" w:eastAsia="Times New Roman" w:hAnsi="Times New Roman" w:cs="Times New Roman"/>
                <w:sz w:val="24"/>
                <w:szCs w:val="24"/>
              </w:rPr>
            </w:pPr>
            <w:r w:rsidRPr="007F244C">
              <w:rPr>
                <w:rFonts w:ascii="Times New Roman" w:eastAsia="Times New Roman" w:hAnsi="Times New Roman" w:cs="Times New Roman"/>
                <w:sz w:val="24"/>
                <w:szCs w:val="24"/>
              </w:rPr>
              <w:t>Higher representation</w:t>
            </w:r>
          </w:p>
        </w:tc>
        <w:tc>
          <w:tcPr>
            <w:tcW w:w="1548" w:type="dxa"/>
            <w:vAlign w:val="center"/>
          </w:tcPr>
          <w:p w14:paraId="61436CA6" w14:textId="77777777" w:rsidR="00B749FC" w:rsidRPr="007F244C" w:rsidRDefault="00B749FC" w:rsidP="00C81683">
            <w:pPr>
              <w:rPr>
                <w:rFonts w:ascii="Times New Roman" w:eastAsia="Times New Roman" w:hAnsi="Times New Roman" w:cs="Times New Roman"/>
                <w:sz w:val="24"/>
                <w:szCs w:val="24"/>
              </w:rPr>
            </w:pPr>
            <w:r w:rsidRPr="007F244C">
              <w:rPr>
                <w:rFonts w:ascii="Times New Roman" w:eastAsia="Times New Roman" w:hAnsi="Times New Roman" w:cs="Times New Roman"/>
                <w:sz w:val="24"/>
                <w:szCs w:val="24"/>
              </w:rPr>
              <w:t>Underrepresented</w:t>
            </w:r>
          </w:p>
        </w:tc>
      </w:tr>
      <w:tr w:rsidR="00B749FC" w:rsidRPr="007F244C" w14:paraId="09881763" w14:textId="77777777" w:rsidTr="00C81683">
        <w:tc>
          <w:tcPr>
            <w:tcW w:w="1548" w:type="dxa"/>
            <w:vAlign w:val="center"/>
          </w:tcPr>
          <w:p w14:paraId="4E55E9D7" w14:textId="77777777" w:rsidR="00B749FC" w:rsidRPr="007F244C" w:rsidRDefault="00B749FC" w:rsidP="00C81683">
            <w:pPr>
              <w:rPr>
                <w:rFonts w:ascii="Times New Roman" w:eastAsia="Times New Roman" w:hAnsi="Times New Roman" w:cs="Times New Roman"/>
                <w:sz w:val="24"/>
                <w:szCs w:val="24"/>
              </w:rPr>
            </w:pPr>
            <w:r w:rsidRPr="007F244C">
              <w:rPr>
                <w:rFonts w:ascii="Times New Roman" w:eastAsia="Times New Roman" w:hAnsi="Times New Roman" w:cs="Times New Roman"/>
                <w:sz w:val="24"/>
                <w:szCs w:val="24"/>
              </w:rPr>
              <w:t>Key explanations from literature</w:t>
            </w:r>
          </w:p>
        </w:tc>
        <w:tc>
          <w:tcPr>
            <w:tcW w:w="1440" w:type="dxa"/>
            <w:vAlign w:val="center"/>
          </w:tcPr>
          <w:p w14:paraId="50F8B957" w14:textId="77777777" w:rsidR="00B749FC" w:rsidRPr="007F244C" w:rsidRDefault="00B749FC" w:rsidP="00C81683">
            <w:pPr>
              <w:rPr>
                <w:rFonts w:ascii="Times New Roman" w:eastAsia="Times New Roman" w:hAnsi="Times New Roman" w:cs="Times New Roman"/>
                <w:sz w:val="24"/>
                <w:szCs w:val="24"/>
              </w:rPr>
            </w:pPr>
            <w:r w:rsidRPr="007F244C">
              <w:rPr>
                <w:rFonts w:ascii="Times New Roman" w:eastAsia="Times New Roman" w:hAnsi="Times New Roman" w:cs="Times New Roman"/>
                <w:sz w:val="24"/>
                <w:szCs w:val="24"/>
              </w:rPr>
              <w:t>Linked to dominance in campus leadership and politics</w:t>
            </w:r>
          </w:p>
        </w:tc>
        <w:tc>
          <w:tcPr>
            <w:tcW w:w="1548" w:type="dxa"/>
            <w:vAlign w:val="center"/>
          </w:tcPr>
          <w:p w14:paraId="70EB2F72" w14:textId="77777777" w:rsidR="00B749FC" w:rsidRPr="007F244C" w:rsidRDefault="00B749FC" w:rsidP="00C81683">
            <w:pPr>
              <w:rPr>
                <w:rFonts w:ascii="Times New Roman" w:eastAsia="Times New Roman" w:hAnsi="Times New Roman" w:cs="Times New Roman"/>
                <w:sz w:val="24"/>
                <w:szCs w:val="24"/>
              </w:rPr>
            </w:pPr>
            <w:r w:rsidRPr="007F244C">
              <w:rPr>
                <w:rFonts w:ascii="Times New Roman" w:eastAsia="Times New Roman" w:hAnsi="Times New Roman" w:cs="Times New Roman"/>
                <w:sz w:val="24"/>
                <w:szCs w:val="24"/>
              </w:rPr>
              <w:t>Linked to social norms and confidence gaps affecting political engagement</w:t>
            </w:r>
          </w:p>
        </w:tc>
      </w:tr>
    </w:tbl>
    <w:p w14:paraId="44F5E4E4" w14:textId="77777777" w:rsidR="00B749FC" w:rsidRPr="007F244C" w:rsidRDefault="00B749FC" w:rsidP="00B749FC">
      <w:pPr>
        <w:spacing w:before="100" w:beforeAutospacing="1" w:after="100" w:afterAutospacing="1" w:line="240" w:lineRule="auto"/>
        <w:rPr>
          <w:rFonts w:ascii="Times New Roman" w:eastAsia="Times New Roman" w:hAnsi="Times New Roman" w:cs="Times New Roman"/>
          <w:sz w:val="24"/>
          <w:szCs w:val="24"/>
        </w:rPr>
      </w:pPr>
      <w:r w:rsidRPr="007F244C">
        <w:rPr>
          <w:rFonts w:ascii="Times New Roman" w:eastAsia="Times New Roman" w:hAnsi="Times New Roman" w:cs="Times New Roman"/>
          <w:b/>
          <w:i/>
          <w:iCs/>
          <w:sz w:val="24"/>
          <w:szCs w:val="24"/>
        </w:rPr>
        <w:t xml:space="preserve">Source: </w:t>
      </w:r>
      <w:r w:rsidRPr="007F244C">
        <w:rPr>
          <w:rFonts w:ascii="Times New Roman" w:eastAsia="Times New Roman" w:hAnsi="Times New Roman" w:cs="Times New Roman"/>
          <w:i/>
          <w:iCs/>
          <w:sz w:val="24"/>
          <w:szCs w:val="24"/>
        </w:rPr>
        <w:t xml:space="preserve">UNESCO (2018); </w:t>
      </w:r>
      <w:proofErr w:type="spellStart"/>
      <w:r w:rsidRPr="007F244C">
        <w:rPr>
          <w:rFonts w:ascii="Times New Roman" w:eastAsia="Times New Roman" w:hAnsi="Times New Roman" w:cs="Times New Roman"/>
          <w:i/>
          <w:iCs/>
          <w:sz w:val="24"/>
          <w:szCs w:val="24"/>
        </w:rPr>
        <w:t>Krook</w:t>
      </w:r>
      <w:proofErr w:type="spellEnd"/>
      <w:r w:rsidRPr="007F244C">
        <w:rPr>
          <w:rFonts w:ascii="Times New Roman" w:eastAsia="Times New Roman" w:hAnsi="Times New Roman" w:cs="Times New Roman"/>
          <w:i/>
          <w:iCs/>
          <w:sz w:val="24"/>
          <w:szCs w:val="24"/>
        </w:rPr>
        <w:t xml:space="preserve"> and Mackay (2016); Clayton (2019)</w:t>
      </w:r>
    </w:p>
    <w:p w14:paraId="285AD3F3" w14:textId="77777777" w:rsidR="00B749FC" w:rsidRPr="007F244C" w:rsidRDefault="00B749FC" w:rsidP="00B749FC">
      <w:pPr>
        <w:spacing w:after="0" w:line="240" w:lineRule="auto"/>
        <w:jc w:val="both"/>
        <w:rPr>
          <w:rFonts w:ascii="Times New Roman" w:hAnsi="Times New Roman" w:cs="Times New Roman"/>
          <w:i/>
          <w:sz w:val="24"/>
          <w:szCs w:val="24"/>
        </w:rPr>
      </w:pPr>
      <w:r w:rsidRPr="007F244C">
        <w:rPr>
          <w:rFonts w:ascii="Times New Roman" w:hAnsi="Times New Roman" w:cs="Times New Roman"/>
          <w:i/>
          <w:sz w:val="24"/>
          <w:szCs w:val="24"/>
        </w:rPr>
        <w:t>The table shows higher male enrolment and leadership presence, while female students participate less and remain underrepresented in executive roles due to social norms and confidence-related barriers.</w:t>
      </w:r>
    </w:p>
    <w:p w14:paraId="3F81D1F1" w14:textId="77777777" w:rsidR="00B749FC" w:rsidRPr="007F244C" w:rsidRDefault="00B749FC" w:rsidP="00B749FC">
      <w:pPr>
        <w:spacing w:after="0" w:line="240" w:lineRule="auto"/>
        <w:jc w:val="both"/>
        <w:rPr>
          <w:rFonts w:ascii="Times New Roman" w:hAnsi="Times New Roman" w:cs="Times New Roman"/>
          <w:sz w:val="24"/>
          <w:szCs w:val="24"/>
        </w:rPr>
      </w:pPr>
    </w:p>
    <w:p w14:paraId="725FDB05"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Nursing Workforce Development Act of 2019 addresses the demographic characteristics of nurses engaged in home care, hospice care, and mental health care.</w:t>
      </w:r>
    </w:p>
    <w:p w14:paraId="6262522A"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 respondents were undergraduate learners who were selected in Obafemi Awolowo University and Federal Polytechnic Ede and Federal College of Education Iwo. The demographic variables were sex, level of study and age. The variables have found extensive application in the study of governance and participation due to their influence on civic attitudes and civic </w:t>
      </w:r>
      <w:proofErr w:type="spellStart"/>
      <w:r w:rsidRPr="007F244C">
        <w:rPr>
          <w:rFonts w:ascii="Times New Roman" w:hAnsi="Times New Roman" w:cs="Times New Roman"/>
          <w:sz w:val="24"/>
          <w:szCs w:val="24"/>
        </w:rPr>
        <w:t>behaviour</w:t>
      </w:r>
      <w:proofErr w:type="spellEnd"/>
      <w:r w:rsidRPr="007F244C">
        <w:rPr>
          <w:rFonts w:ascii="Times New Roman" w:hAnsi="Times New Roman" w:cs="Times New Roman"/>
          <w:sz w:val="24"/>
          <w:szCs w:val="24"/>
        </w:rPr>
        <w:t xml:space="preserve"> (</w:t>
      </w:r>
      <w:proofErr w:type="spellStart"/>
      <w:r w:rsidRPr="007F244C">
        <w:rPr>
          <w:rFonts w:ascii="Times New Roman" w:hAnsi="Times New Roman" w:cs="Times New Roman"/>
          <w:sz w:val="24"/>
          <w:szCs w:val="24"/>
        </w:rPr>
        <w:t>Verba</w:t>
      </w:r>
      <w:proofErr w:type="spellEnd"/>
      <w:r w:rsidRPr="007F244C">
        <w:rPr>
          <w:rFonts w:ascii="Times New Roman" w:hAnsi="Times New Roman" w:cs="Times New Roman"/>
          <w:sz w:val="24"/>
          <w:szCs w:val="24"/>
        </w:rPr>
        <w:t xml:space="preserve"> et al., 1995; Dalton, 2017).</w:t>
      </w:r>
    </w:p>
    <w:p w14:paraId="70F6FF21" w14:textId="77777777" w:rsidR="00B749FC" w:rsidRPr="007F244C" w:rsidRDefault="00B749FC" w:rsidP="00B749FC">
      <w:pPr>
        <w:spacing w:after="0" w:line="240" w:lineRule="auto"/>
        <w:jc w:val="both"/>
        <w:rPr>
          <w:rFonts w:ascii="Times New Roman" w:hAnsi="Times New Roman" w:cs="Times New Roman"/>
          <w:sz w:val="24"/>
          <w:szCs w:val="24"/>
        </w:rPr>
      </w:pPr>
    </w:p>
    <w:p w14:paraId="4EA68814"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Sex and gender</w:t>
      </w:r>
    </w:p>
    <w:p w14:paraId="65BF411A"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 number of male students in the three institutions was slightly higher in comparison with the number of female students. This tendency indicates the trends in enrolment in studies on the global higher education where males tend to occupy the leadership and political arena on campus (UNESCO, 2018; Clayton, 2019). The female students were fairly represented in the lower levels of </w:t>
      </w:r>
      <w:r w:rsidRPr="007F244C">
        <w:rPr>
          <w:rFonts w:ascii="Times New Roman" w:hAnsi="Times New Roman" w:cs="Times New Roman"/>
          <w:sz w:val="24"/>
          <w:szCs w:val="24"/>
        </w:rPr>
        <w:lastRenderedPageBreak/>
        <w:t>participation and looked underrepresented in the executive union positions. According to the previous literature, social norms and confidence differences may restrain the female enrolment in student politics (</w:t>
      </w:r>
      <w:proofErr w:type="spellStart"/>
      <w:r w:rsidRPr="007F244C">
        <w:rPr>
          <w:rFonts w:ascii="Times New Roman" w:hAnsi="Times New Roman" w:cs="Times New Roman"/>
          <w:sz w:val="24"/>
          <w:szCs w:val="24"/>
        </w:rPr>
        <w:t>Krook</w:t>
      </w:r>
      <w:proofErr w:type="spellEnd"/>
      <w:r w:rsidRPr="007F244C">
        <w:rPr>
          <w:rFonts w:ascii="Times New Roman" w:hAnsi="Times New Roman" w:cs="Times New Roman"/>
          <w:sz w:val="24"/>
          <w:szCs w:val="24"/>
        </w:rPr>
        <w:t xml:space="preserve"> and Mackay, 2016; Clayton, 2019).</w:t>
      </w:r>
    </w:p>
    <w:p w14:paraId="75317A7A" w14:textId="77777777" w:rsidR="00B749FC" w:rsidRPr="007F244C" w:rsidRDefault="00B749FC" w:rsidP="00B749FC">
      <w:pPr>
        <w:spacing w:after="0" w:line="240" w:lineRule="auto"/>
        <w:jc w:val="both"/>
        <w:rPr>
          <w:rFonts w:ascii="Times New Roman" w:hAnsi="Times New Roman" w:cs="Times New Roman"/>
          <w:sz w:val="24"/>
          <w:szCs w:val="24"/>
        </w:rPr>
      </w:pPr>
    </w:p>
    <w:p w14:paraId="06349A14"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Age distribution</w:t>
      </w:r>
    </w:p>
    <w:p w14:paraId="2B079934"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Majority of the respondents fell within the age bracket of 18-25 years. The age group tends to be more active in student governance as they spend more time on campus and can be exposed to the activities of the union (Dalton, 2017). Students who participated less were mostly of the older category who were over 26 years. This is associated with workload and family issues (Menon, 2016).</w:t>
      </w:r>
    </w:p>
    <w:p w14:paraId="5D8D329C" w14:textId="77777777" w:rsidR="00B749FC" w:rsidRPr="007F244C" w:rsidRDefault="00B749FC" w:rsidP="00B749FC">
      <w:pPr>
        <w:spacing w:after="0" w:line="240" w:lineRule="auto"/>
        <w:jc w:val="both"/>
        <w:rPr>
          <w:rFonts w:ascii="Times New Roman" w:hAnsi="Times New Roman" w:cs="Times New Roman"/>
          <w:sz w:val="24"/>
          <w:szCs w:val="24"/>
        </w:rPr>
      </w:pPr>
    </w:p>
    <w:p w14:paraId="0CDB78E5"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Level of study</w:t>
      </w:r>
    </w:p>
    <w:p w14:paraId="5AB9A415"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top response rates were registered among the students in the second and third year. Students in their first year indicated that they were less familiar with the structure of Students Unions whereas those in their final year indicated that they were less interested in the structure due to exam pressures. The trend is in agreement with campus governance research conducted in Europe and Asia (</w:t>
      </w:r>
      <w:proofErr w:type="spellStart"/>
      <w:r w:rsidRPr="007F244C">
        <w:rPr>
          <w:rFonts w:ascii="Times New Roman" w:hAnsi="Times New Roman" w:cs="Times New Roman"/>
          <w:sz w:val="24"/>
          <w:szCs w:val="24"/>
        </w:rPr>
        <w:t>Luescher-Mamashela</w:t>
      </w:r>
      <w:proofErr w:type="spellEnd"/>
      <w:r w:rsidRPr="007F244C">
        <w:rPr>
          <w:rFonts w:ascii="Times New Roman" w:hAnsi="Times New Roman" w:cs="Times New Roman"/>
          <w:sz w:val="24"/>
          <w:szCs w:val="24"/>
        </w:rPr>
        <w:t>, 2013; Menon, 2016).</w:t>
      </w:r>
    </w:p>
    <w:p w14:paraId="1ED8B0FE" w14:textId="77777777" w:rsidR="00B749FC" w:rsidRPr="007F244C" w:rsidRDefault="00B749FC" w:rsidP="00B749FC">
      <w:pPr>
        <w:spacing w:after="0" w:line="240" w:lineRule="auto"/>
        <w:jc w:val="both"/>
        <w:rPr>
          <w:rFonts w:ascii="Times New Roman" w:hAnsi="Times New Roman" w:cs="Times New Roman"/>
          <w:sz w:val="24"/>
          <w:szCs w:val="24"/>
        </w:rPr>
      </w:pPr>
    </w:p>
    <w:p w14:paraId="7A0AC14F" w14:textId="77777777" w:rsidR="00B749FC" w:rsidRPr="007F244C" w:rsidRDefault="00B749FC" w:rsidP="00B749FC">
      <w:pPr>
        <w:rPr>
          <w:rFonts w:ascii="Times New Roman" w:hAnsi="Times New Roman" w:cs="Times New Roman"/>
          <w:b/>
          <w:sz w:val="24"/>
          <w:szCs w:val="24"/>
        </w:rPr>
      </w:pPr>
      <w:r w:rsidRPr="007F244C">
        <w:rPr>
          <w:rFonts w:ascii="Times New Roman" w:hAnsi="Times New Roman" w:cs="Times New Roman"/>
          <w:b/>
          <w:sz w:val="24"/>
          <w:szCs w:val="24"/>
        </w:rPr>
        <w:t>4.2 Participation in Students’ Union Governance</w:t>
      </w:r>
    </w:p>
    <w:p w14:paraId="09A6E704"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 concept of participation was studied by the voting </w:t>
      </w:r>
      <w:proofErr w:type="spellStart"/>
      <w:r w:rsidRPr="007F244C">
        <w:rPr>
          <w:rFonts w:ascii="Times New Roman" w:hAnsi="Times New Roman" w:cs="Times New Roman"/>
          <w:sz w:val="24"/>
          <w:szCs w:val="24"/>
        </w:rPr>
        <w:t>behaviour</w:t>
      </w:r>
      <w:proofErr w:type="spellEnd"/>
      <w:r w:rsidRPr="007F244C">
        <w:rPr>
          <w:rFonts w:ascii="Times New Roman" w:hAnsi="Times New Roman" w:cs="Times New Roman"/>
          <w:sz w:val="24"/>
          <w:szCs w:val="24"/>
        </w:rPr>
        <w:t>, attendance of meetings, committee attendance, and patterns of representation. These are typical indicators of a democratic participation in schools (</w:t>
      </w:r>
      <w:proofErr w:type="spellStart"/>
      <w:r w:rsidRPr="007F244C">
        <w:rPr>
          <w:rFonts w:ascii="Times New Roman" w:hAnsi="Times New Roman" w:cs="Times New Roman"/>
          <w:sz w:val="24"/>
          <w:szCs w:val="24"/>
        </w:rPr>
        <w:t>Verba</w:t>
      </w:r>
      <w:proofErr w:type="spellEnd"/>
      <w:r w:rsidRPr="007F244C">
        <w:rPr>
          <w:rFonts w:ascii="Times New Roman" w:hAnsi="Times New Roman" w:cs="Times New Roman"/>
          <w:sz w:val="24"/>
          <w:szCs w:val="24"/>
        </w:rPr>
        <w:t xml:space="preserve"> et al., 1995; Dalton, 2017).</w:t>
      </w:r>
    </w:p>
    <w:p w14:paraId="62F94CE8"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Voting participation</w:t>
      </w:r>
    </w:p>
    <w:p w14:paraId="110852ED"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 turnout in elections to the Students Union was moderate in the three institutions. A significant number of students said that they had voted at least once throughout their time in school. Competitive elections and </w:t>
      </w:r>
      <w:r w:rsidRPr="007F244C">
        <w:rPr>
          <w:rFonts w:ascii="Times New Roman" w:hAnsi="Times New Roman" w:cs="Times New Roman"/>
          <w:sz w:val="24"/>
          <w:szCs w:val="24"/>
        </w:rPr>
        <w:t xml:space="preserve">visible campaign activities were associated with high turnout. Reduced </w:t>
      </w:r>
      <w:proofErr w:type="spellStart"/>
      <w:r w:rsidRPr="007F244C">
        <w:rPr>
          <w:rFonts w:ascii="Times New Roman" w:hAnsi="Times New Roman" w:cs="Times New Roman"/>
          <w:sz w:val="24"/>
          <w:szCs w:val="24"/>
        </w:rPr>
        <w:t>turn out</w:t>
      </w:r>
      <w:proofErr w:type="spellEnd"/>
      <w:r w:rsidRPr="007F244C">
        <w:rPr>
          <w:rFonts w:ascii="Times New Roman" w:hAnsi="Times New Roman" w:cs="Times New Roman"/>
          <w:sz w:val="24"/>
          <w:szCs w:val="24"/>
        </w:rPr>
        <w:t xml:space="preserve"> was associated with lack of confidence in the candidates and lack of knowledge on the dates of elections. Other investigation of student elections in the United Kingdom and South Africa also found similar results (</w:t>
      </w:r>
      <w:proofErr w:type="spellStart"/>
      <w:r w:rsidRPr="007F244C">
        <w:rPr>
          <w:rFonts w:ascii="Times New Roman" w:hAnsi="Times New Roman" w:cs="Times New Roman"/>
          <w:sz w:val="24"/>
          <w:szCs w:val="24"/>
        </w:rPr>
        <w:t>Luescher-Mamashela</w:t>
      </w:r>
      <w:proofErr w:type="spellEnd"/>
      <w:r w:rsidRPr="007F244C">
        <w:rPr>
          <w:rFonts w:ascii="Times New Roman" w:hAnsi="Times New Roman" w:cs="Times New Roman"/>
          <w:sz w:val="24"/>
          <w:szCs w:val="24"/>
        </w:rPr>
        <w:t>, 2013; Carey, 2020).</w:t>
      </w:r>
    </w:p>
    <w:p w14:paraId="0761FE21" w14:textId="77777777" w:rsidR="00B749FC" w:rsidRPr="007F244C" w:rsidRDefault="00B749FC" w:rsidP="00B749FC">
      <w:pPr>
        <w:spacing w:after="0" w:line="240" w:lineRule="auto"/>
        <w:jc w:val="both"/>
        <w:rPr>
          <w:rFonts w:ascii="Times New Roman" w:hAnsi="Times New Roman" w:cs="Times New Roman"/>
          <w:sz w:val="24"/>
          <w:szCs w:val="24"/>
        </w:rPr>
      </w:pPr>
    </w:p>
    <w:p w14:paraId="555EFC06"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Meeting attendance</w:t>
      </w:r>
    </w:p>
    <w:p w14:paraId="37F74952"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 number of people who usually attended union meetings was very low. Reason mentioned are tight lecture schedules and meeting feedback being cited as reasons by students. Research reveals that students lose their interest when meetings are not attended with the result (Menon, 2016; Carey, 2020). Where the summary of meetings </w:t>
      </w:r>
      <w:proofErr w:type="gramStart"/>
      <w:r w:rsidRPr="007F244C">
        <w:rPr>
          <w:rFonts w:ascii="Times New Roman" w:hAnsi="Times New Roman" w:cs="Times New Roman"/>
          <w:sz w:val="24"/>
          <w:szCs w:val="24"/>
        </w:rPr>
        <w:t>were</w:t>
      </w:r>
      <w:proofErr w:type="gramEnd"/>
      <w:r w:rsidRPr="007F244C">
        <w:rPr>
          <w:rFonts w:ascii="Times New Roman" w:hAnsi="Times New Roman" w:cs="Times New Roman"/>
          <w:sz w:val="24"/>
          <w:szCs w:val="24"/>
        </w:rPr>
        <w:t xml:space="preserve"> made publicly available, the attendance was a little higher.</w:t>
      </w:r>
    </w:p>
    <w:p w14:paraId="24C4B225" w14:textId="77777777" w:rsidR="00B749FC" w:rsidRPr="007F244C" w:rsidRDefault="00B749FC" w:rsidP="00B749FC">
      <w:pPr>
        <w:spacing w:after="0" w:line="240" w:lineRule="auto"/>
        <w:jc w:val="both"/>
        <w:rPr>
          <w:rFonts w:ascii="Times New Roman" w:hAnsi="Times New Roman" w:cs="Times New Roman"/>
          <w:sz w:val="24"/>
          <w:szCs w:val="24"/>
        </w:rPr>
      </w:pPr>
    </w:p>
    <w:p w14:paraId="28F309BD"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Committee involvement</w:t>
      </w:r>
    </w:p>
    <w:p w14:paraId="0EC95867"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There was a low percentage of students who represented the unions. Politically active students used to dominate in committee positions. This control of power is characteristic of the youth </w:t>
      </w:r>
      <w:proofErr w:type="spellStart"/>
      <w:r w:rsidRPr="007F244C">
        <w:rPr>
          <w:rFonts w:ascii="Times New Roman" w:hAnsi="Times New Roman" w:cs="Times New Roman"/>
          <w:sz w:val="24"/>
          <w:szCs w:val="24"/>
        </w:rPr>
        <w:t>organisations</w:t>
      </w:r>
      <w:proofErr w:type="spellEnd"/>
      <w:r w:rsidRPr="007F244C">
        <w:rPr>
          <w:rFonts w:ascii="Times New Roman" w:hAnsi="Times New Roman" w:cs="Times New Roman"/>
          <w:sz w:val="24"/>
          <w:szCs w:val="24"/>
        </w:rPr>
        <w:t xml:space="preserve"> worldwide (</w:t>
      </w:r>
      <w:proofErr w:type="spellStart"/>
      <w:r w:rsidRPr="007F244C">
        <w:rPr>
          <w:rFonts w:ascii="Times New Roman" w:hAnsi="Times New Roman" w:cs="Times New Roman"/>
          <w:sz w:val="24"/>
          <w:szCs w:val="24"/>
        </w:rPr>
        <w:t>Krook</w:t>
      </w:r>
      <w:proofErr w:type="spellEnd"/>
      <w:r w:rsidRPr="007F244C">
        <w:rPr>
          <w:rFonts w:ascii="Times New Roman" w:hAnsi="Times New Roman" w:cs="Times New Roman"/>
          <w:sz w:val="24"/>
          <w:szCs w:val="24"/>
        </w:rPr>
        <w:t xml:space="preserve"> and Mackay, 2016; Dalton, 2017). Students who had worked in committees indicated that they had better knowledge about the governance processes.</w:t>
      </w:r>
    </w:p>
    <w:p w14:paraId="5D51187F" w14:textId="77777777" w:rsidR="00B749FC" w:rsidRPr="007F244C" w:rsidRDefault="00B749FC" w:rsidP="00B749FC">
      <w:pPr>
        <w:spacing w:after="0" w:line="240" w:lineRule="auto"/>
        <w:jc w:val="both"/>
        <w:rPr>
          <w:rFonts w:ascii="Times New Roman" w:hAnsi="Times New Roman" w:cs="Times New Roman"/>
          <w:sz w:val="24"/>
          <w:szCs w:val="24"/>
        </w:rPr>
      </w:pPr>
    </w:p>
    <w:p w14:paraId="0B259901"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Representation patterns</w:t>
      </w:r>
    </w:p>
    <w:p w14:paraId="3C6B7F2D"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representation was disproportional between the faculties and departments. The bigger faculties had more representatives whereas the smaller units were under-represented. This unbalance is typical of student governing structures that are based on population representation (</w:t>
      </w:r>
      <w:proofErr w:type="spellStart"/>
      <w:r w:rsidRPr="007F244C">
        <w:rPr>
          <w:rFonts w:ascii="Times New Roman" w:hAnsi="Times New Roman" w:cs="Times New Roman"/>
          <w:sz w:val="24"/>
          <w:szCs w:val="24"/>
        </w:rPr>
        <w:t>Luescher-Mamashela</w:t>
      </w:r>
      <w:proofErr w:type="spellEnd"/>
      <w:r w:rsidRPr="007F244C">
        <w:rPr>
          <w:rFonts w:ascii="Times New Roman" w:hAnsi="Times New Roman" w:cs="Times New Roman"/>
          <w:sz w:val="24"/>
          <w:szCs w:val="24"/>
        </w:rPr>
        <w:t>, 2013).</w:t>
      </w:r>
    </w:p>
    <w:p w14:paraId="02FAA397" w14:textId="77777777" w:rsidR="00B749FC" w:rsidRPr="007F244C" w:rsidRDefault="00B749FC" w:rsidP="00B749FC">
      <w:pPr>
        <w:spacing w:after="0" w:line="240" w:lineRule="auto"/>
        <w:jc w:val="both"/>
        <w:rPr>
          <w:rFonts w:ascii="Times New Roman" w:hAnsi="Times New Roman" w:cs="Times New Roman"/>
          <w:sz w:val="24"/>
          <w:szCs w:val="24"/>
        </w:rPr>
      </w:pPr>
    </w:p>
    <w:p w14:paraId="64627AD8"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Accountability Practices</w:t>
      </w:r>
    </w:p>
    <w:p w14:paraId="310FAA02" w14:textId="77777777" w:rsidR="00B749FC" w:rsidRPr="007F244C" w:rsidRDefault="00B749FC" w:rsidP="00B749FC">
      <w:pPr>
        <w:spacing w:after="0" w:line="240" w:lineRule="auto"/>
        <w:ind w:firstLine="720"/>
        <w:jc w:val="both"/>
        <w:rPr>
          <w:rFonts w:ascii="Times New Roman" w:hAnsi="Times New Roman" w:cs="Times New Roman"/>
          <w:sz w:val="24"/>
          <w:szCs w:val="24"/>
        </w:rPr>
      </w:pPr>
      <w:r w:rsidRPr="007F244C">
        <w:rPr>
          <w:rFonts w:ascii="Times New Roman" w:hAnsi="Times New Roman" w:cs="Times New Roman"/>
          <w:sz w:val="24"/>
          <w:szCs w:val="24"/>
        </w:rPr>
        <w:t xml:space="preserve">The dimension of accountability was measured based on communication openness, decision transparency, financial </w:t>
      </w:r>
      <w:r w:rsidRPr="007F244C">
        <w:rPr>
          <w:rFonts w:ascii="Times New Roman" w:hAnsi="Times New Roman" w:cs="Times New Roman"/>
          <w:sz w:val="24"/>
          <w:szCs w:val="24"/>
        </w:rPr>
        <w:lastRenderedPageBreak/>
        <w:t>accountability, and feedback systems. A democratic governance principle includes accountability within both the public and the student institutions (</w:t>
      </w:r>
      <w:proofErr w:type="spellStart"/>
      <w:r w:rsidRPr="007F244C">
        <w:rPr>
          <w:rFonts w:ascii="Times New Roman" w:hAnsi="Times New Roman" w:cs="Times New Roman"/>
          <w:sz w:val="24"/>
          <w:szCs w:val="24"/>
        </w:rPr>
        <w:t>Bovens</w:t>
      </w:r>
      <w:proofErr w:type="spellEnd"/>
      <w:r w:rsidRPr="007F244C">
        <w:rPr>
          <w:rFonts w:ascii="Times New Roman" w:hAnsi="Times New Roman" w:cs="Times New Roman"/>
          <w:sz w:val="24"/>
          <w:szCs w:val="24"/>
        </w:rPr>
        <w:t>, 2007; Fox, 2015).</w:t>
      </w:r>
    </w:p>
    <w:p w14:paraId="40F9CAAB" w14:textId="77777777" w:rsidR="00B749FC" w:rsidRPr="007F244C" w:rsidRDefault="00B749FC" w:rsidP="00B749FC">
      <w:pPr>
        <w:spacing w:after="0" w:line="240" w:lineRule="auto"/>
        <w:ind w:firstLine="720"/>
        <w:jc w:val="both"/>
        <w:rPr>
          <w:rFonts w:ascii="Times New Roman" w:hAnsi="Times New Roman" w:cs="Times New Roman"/>
          <w:sz w:val="24"/>
          <w:szCs w:val="24"/>
        </w:rPr>
      </w:pPr>
    </w:p>
    <w:p w14:paraId="49E0E7F3"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Openness in communication</w:t>
      </w:r>
    </w:p>
    <w:p w14:paraId="542F2959"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Students gave varied perceptions on communication. Union leaders used social media platforms as the primary means. Although these platforms enhanced speed of information sharing, they were not detailed in their descriptions. Studies indicate that online communication reaches more but does not necessarily enhance trust (</w:t>
      </w:r>
      <w:proofErr w:type="spellStart"/>
      <w:r w:rsidRPr="007F244C">
        <w:rPr>
          <w:rFonts w:ascii="Times New Roman" w:hAnsi="Times New Roman" w:cs="Times New Roman"/>
          <w:sz w:val="24"/>
          <w:szCs w:val="24"/>
        </w:rPr>
        <w:t>Boulianne</w:t>
      </w:r>
      <w:proofErr w:type="spellEnd"/>
      <w:r w:rsidRPr="007F244C">
        <w:rPr>
          <w:rFonts w:ascii="Times New Roman" w:hAnsi="Times New Roman" w:cs="Times New Roman"/>
          <w:sz w:val="24"/>
          <w:szCs w:val="24"/>
        </w:rPr>
        <w:t>, 2019).</w:t>
      </w:r>
    </w:p>
    <w:p w14:paraId="30520D88" w14:textId="77777777" w:rsidR="00B749FC" w:rsidRPr="007F244C" w:rsidRDefault="00B749FC" w:rsidP="00B749FC">
      <w:pPr>
        <w:spacing w:after="0" w:line="240" w:lineRule="auto"/>
        <w:jc w:val="both"/>
        <w:rPr>
          <w:rFonts w:ascii="Times New Roman" w:hAnsi="Times New Roman" w:cs="Times New Roman"/>
          <w:sz w:val="24"/>
          <w:szCs w:val="24"/>
        </w:rPr>
      </w:pPr>
    </w:p>
    <w:p w14:paraId="56DDD7D9"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Openness in decision making</w:t>
      </w:r>
    </w:p>
    <w:p w14:paraId="17AE7793"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A large number of respondents were made to feel marginalized to critical decisions. Executives usually made decisions on welfare projects and protests without wide consultation. The result is consistent with the research indicating that weak consultation lowers the perceived legitimacy (</w:t>
      </w:r>
      <w:proofErr w:type="spellStart"/>
      <w:r w:rsidRPr="007F244C">
        <w:rPr>
          <w:rFonts w:ascii="Times New Roman" w:hAnsi="Times New Roman" w:cs="Times New Roman"/>
          <w:sz w:val="24"/>
          <w:szCs w:val="24"/>
        </w:rPr>
        <w:t>Bovens</w:t>
      </w:r>
      <w:proofErr w:type="spellEnd"/>
      <w:r w:rsidRPr="007F244C">
        <w:rPr>
          <w:rFonts w:ascii="Times New Roman" w:hAnsi="Times New Roman" w:cs="Times New Roman"/>
          <w:sz w:val="24"/>
          <w:szCs w:val="24"/>
        </w:rPr>
        <w:t>, 2007; Fox, 2015).</w:t>
      </w:r>
    </w:p>
    <w:p w14:paraId="1B2E10C8" w14:textId="77777777" w:rsidR="00B749FC" w:rsidRPr="007F244C" w:rsidRDefault="00B749FC" w:rsidP="00B749FC">
      <w:pPr>
        <w:spacing w:after="0" w:line="240" w:lineRule="auto"/>
        <w:jc w:val="both"/>
        <w:rPr>
          <w:rFonts w:ascii="Times New Roman" w:hAnsi="Times New Roman" w:cs="Times New Roman"/>
          <w:sz w:val="24"/>
          <w:szCs w:val="24"/>
        </w:rPr>
      </w:pPr>
    </w:p>
    <w:p w14:paraId="51467BFB"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Financial accountability</w:t>
      </w:r>
    </w:p>
    <w:p w14:paraId="180F3649"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One of the weak areas was the financial reporting. The detailed financial statements were seldom viewed by the students. Where they were to be found, they were </w:t>
      </w:r>
      <w:proofErr w:type="spellStart"/>
      <w:r w:rsidRPr="007F244C">
        <w:rPr>
          <w:rFonts w:ascii="Times New Roman" w:hAnsi="Times New Roman" w:cs="Times New Roman"/>
          <w:sz w:val="24"/>
          <w:szCs w:val="24"/>
        </w:rPr>
        <w:t>summarised</w:t>
      </w:r>
      <w:proofErr w:type="spellEnd"/>
      <w:r w:rsidRPr="007F244C">
        <w:rPr>
          <w:rFonts w:ascii="Times New Roman" w:hAnsi="Times New Roman" w:cs="Times New Roman"/>
          <w:sz w:val="24"/>
          <w:szCs w:val="24"/>
        </w:rPr>
        <w:t xml:space="preserve"> and difficult to get. In a number of countries, financial transparency has been attributed to a lack of trust in student </w:t>
      </w:r>
      <w:proofErr w:type="spellStart"/>
      <w:r w:rsidRPr="007F244C">
        <w:rPr>
          <w:rFonts w:ascii="Times New Roman" w:hAnsi="Times New Roman" w:cs="Times New Roman"/>
          <w:sz w:val="24"/>
          <w:szCs w:val="24"/>
        </w:rPr>
        <w:t>organisations</w:t>
      </w:r>
      <w:proofErr w:type="spellEnd"/>
      <w:r w:rsidRPr="007F244C">
        <w:rPr>
          <w:rFonts w:ascii="Times New Roman" w:hAnsi="Times New Roman" w:cs="Times New Roman"/>
          <w:sz w:val="24"/>
          <w:szCs w:val="24"/>
        </w:rPr>
        <w:t xml:space="preserve"> (</w:t>
      </w:r>
      <w:proofErr w:type="spellStart"/>
      <w:r w:rsidRPr="007F244C">
        <w:rPr>
          <w:rFonts w:ascii="Times New Roman" w:hAnsi="Times New Roman" w:cs="Times New Roman"/>
          <w:sz w:val="24"/>
          <w:szCs w:val="24"/>
        </w:rPr>
        <w:t>Luescher-Mamashela</w:t>
      </w:r>
      <w:proofErr w:type="spellEnd"/>
      <w:r w:rsidRPr="007F244C">
        <w:rPr>
          <w:rFonts w:ascii="Times New Roman" w:hAnsi="Times New Roman" w:cs="Times New Roman"/>
          <w:sz w:val="24"/>
          <w:szCs w:val="24"/>
        </w:rPr>
        <w:t>, 2013; Carey, 2020).</w:t>
      </w:r>
    </w:p>
    <w:p w14:paraId="1AA249CA"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Feedback and complaint systems</w:t>
      </w:r>
    </w:p>
    <w:p w14:paraId="5EF597DB"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There were formal avenues of complaints but they were not exploited. Lots of students opted to follow informal channels like comments on social media. Research indicates that poor feedback mechanisms discourage positive interaction and encourage indifference (Fox, 2015; </w:t>
      </w:r>
      <w:proofErr w:type="spellStart"/>
      <w:r w:rsidRPr="007F244C">
        <w:rPr>
          <w:rFonts w:ascii="Times New Roman" w:hAnsi="Times New Roman" w:cs="Times New Roman"/>
          <w:sz w:val="24"/>
          <w:szCs w:val="24"/>
        </w:rPr>
        <w:t>Boulianne</w:t>
      </w:r>
      <w:proofErr w:type="spellEnd"/>
      <w:r w:rsidRPr="007F244C">
        <w:rPr>
          <w:rFonts w:ascii="Times New Roman" w:hAnsi="Times New Roman" w:cs="Times New Roman"/>
          <w:sz w:val="24"/>
          <w:szCs w:val="24"/>
        </w:rPr>
        <w:t>, 2019).</w:t>
      </w:r>
    </w:p>
    <w:p w14:paraId="0ECFA5B9"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4.4 Institutional Differences across the three schools</w:t>
      </w:r>
    </w:p>
    <w:p w14:paraId="4F1552AB"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Restricted distinctions were found among the three institutions. There was increased political awareness and ordered involvement in the university. This could be attributed to its extended history of student activism according to comparative research of universities and polytechnics (</w:t>
      </w:r>
      <w:proofErr w:type="spellStart"/>
      <w:r w:rsidRPr="007F244C">
        <w:rPr>
          <w:rFonts w:ascii="Times New Roman" w:hAnsi="Times New Roman" w:cs="Times New Roman"/>
          <w:sz w:val="24"/>
          <w:szCs w:val="24"/>
        </w:rPr>
        <w:t>Luescher-Mamashela</w:t>
      </w:r>
      <w:proofErr w:type="spellEnd"/>
      <w:r w:rsidRPr="007F244C">
        <w:rPr>
          <w:rFonts w:ascii="Times New Roman" w:hAnsi="Times New Roman" w:cs="Times New Roman"/>
          <w:sz w:val="24"/>
          <w:szCs w:val="24"/>
        </w:rPr>
        <w:t>, 2013).</w:t>
      </w:r>
    </w:p>
    <w:p w14:paraId="00114743"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polytechnic realized moderate participation, high participation during election but low participation after elections. College of education recorded the least participation levels. Students there indicated a poor autonomy of the Students Union and a stronger administration control. According to international studies, the institutional culture and autonomy have had a significant impact on the results of student governance (Menon, 2016; Carey, 2020).</w:t>
      </w:r>
    </w:p>
    <w:p w14:paraId="31E7805A" w14:textId="77777777" w:rsidR="00B749FC" w:rsidRPr="007F244C" w:rsidRDefault="00B749FC" w:rsidP="00B749FC">
      <w:pPr>
        <w:spacing w:after="0" w:line="240" w:lineRule="auto"/>
        <w:jc w:val="both"/>
        <w:rPr>
          <w:rFonts w:ascii="Times New Roman" w:hAnsi="Times New Roman" w:cs="Times New Roman"/>
          <w:sz w:val="24"/>
          <w:szCs w:val="24"/>
        </w:rPr>
      </w:pPr>
    </w:p>
    <w:p w14:paraId="1933BA37"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4.5 Summary of Important Statistical Results</w:t>
      </w:r>
    </w:p>
    <w:p w14:paraId="707B95F6"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Tables and figures</w:t>
      </w:r>
    </w:p>
    <w:p w14:paraId="5034F13B"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Frequency distributions of sex, age and level of study were displayed using descriptive tables. The indicators of participation were introduced in the form of percentages and mean scores. Voting turnout and attendance at the meetings in institutions were demonstrated in bar charts. Such presentation approaches are the best practice of social science research (Field, 2018).</w:t>
      </w:r>
    </w:p>
    <w:p w14:paraId="1A174FCF"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Effects and significant levels</w:t>
      </w:r>
    </w:p>
    <w:p w14:paraId="0B5D76D8"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Statistically significant correlation between participation and perceived accountability was obtained through inferential analysis at the level of 0.05. The effect sizes were intermediate indicating that there are meaningful practical relationships and not weak associations. Researchers have indicated that interpretation of effects size is fundamental in the interpretation of real-world effects (Cohen, 1988; Field, 2018).</w:t>
      </w:r>
    </w:p>
    <w:p w14:paraId="1BA4EA41"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Generally, the findings reveal moderate student attendance, poor accountability </w:t>
      </w:r>
      <w:proofErr w:type="spellStart"/>
      <w:r w:rsidRPr="007F244C">
        <w:rPr>
          <w:rFonts w:ascii="Times New Roman" w:hAnsi="Times New Roman" w:cs="Times New Roman"/>
          <w:sz w:val="24"/>
          <w:szCs w:val="24"/>
        </w:rPr>
        <w:t>behaviours</w:t>
      </w:r>
      <w:proofErr w:type="spellEnd"/>
      <w:r w:rsidRPr="007F244C">
        <w:rPr>
          <w:rFonts w:ascii="Times New Roman" w:hAnsi="Times New Roman" w:cs="Times New Roman"/>
          <w:sz w:val="24"/>
          <w:szCs w:val="24"/>
        </w:rPr>
        <w:t xml:space="preserve"> and high institutional influence in </w:t>
      </w:r>
      <w:r w:rsidRPr="007F244C">
        <w:rPr>
          <w:rFonts w:ascii="Times New Roman" w:hAnsi="Times New Roman" w:cs="Times New Roman"/>
          <w:sz w:val="24"/>
          <w:szCs w:val="24"/>
        </w:rPr>
        <w:lastRenderedPageBreak/>
        <w:t>student governance experiences. These results are consistent with the international studies on the student representation and democratic participation in higher education (</w:t>
      </w:r>
      <w:proofErr w:type="spellStart"/>
      <w:r w:rsidRPr="007F244C">
        <w:rPr>
          <w:rFonts w:ascii="Times New Roman" w:hAnsi="Times New Roman" w:cs="Times New Roman"/>
          <w:sz w:val="24"/>
          <w:szCs w:val="24"/>
        </w:rPr>
        <w:t>Verba</w:t>
      </w:r>
      <w:proofErr w:type="spellEnd"/>
      <w:r w:rsidRPr="007F244C">
        <w:rPr>
          <w:rFonts w:ascii="Times New Roman" w:hAnsi="Times New Roman" w:cs="Times New Roman"/>
          <w:sz w:val="24"/>
          <w:szCs w:val="24"/>
        </w:rPr>
        <w:t xml:space="preserve"> et al., 1995; Dalton, 2017; Carey, 2020).</w:t>
      </w:r>
    </w:p>
    <w:p w14:paraId="20BB726B" w14:textId="77777777" w:rsidR="00B749FC" w:rsidRPr="007F244C" w:rsidRDefault="00B749FC" w:rsidP="00B749FC">
      <w:pPr>
        <w:spacing w:after="0" w:line="240" w:lineRule="auto"/>
        <w:jc w:val="both"/>
        <w:rPr>
          <w:rFonts w:ascii="Times New Roman" w:hAnsi="Times New Roman" w:cs="Times New Roman"/>
          <w:sz w:val="24"/>
          <w:szCs w:val="24"/>
        </w:rPr>
      </w:pPr>
    </w:p>
    <w:p w14:paraId="52212C31"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DISCUSSION</w:t>
      </w:r>
    </w:p>
    <w:p w14:paraId="5DA92BEA"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5.1 Interpretation of Findings</w:t>
      </w:r>
    </w:p>
    <w:p w14:paraId="3E06A13A" w14:textId="77777777" w:rsidR="00B749FC" w:rsidRPr="007F244C" w:rsidRDefault="00B749FC" w:rsidP="00B749FC">
      <w:pPr>
        <w:spacing w:after="0" w:line="240" w:lineRule="auto"/>
        <w:jc w:val="both"/>
        <w:rPr>
          <w:rFonts w:ascii="Times New Roman" w:hAnsi="Times New Roman" w:cs="Times New Roman"/>
          <w:b/>
          <w:sz w:val="24"/>
          <w:szCs w:val="24"/>
        </w:rPr>
      </w:pPr>
    </w:p>
    <w:p w14:paraId="1F63F328"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Significance of levels of participation</w:t>
      </w:r>
    </w:p>
    <w:p w14:paraId="58740B23"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results indicate that the student attendance in the governance of Students Union is there but not uniform in the activities. A large number of students participate in voting during elections and town hall meetings and protests. A smaller number of students participate in policy deliberations, committee activities or budgeting. This trend means that involvement is usually not sustained but reactive. According to scholars, cheap activities such as voting get more people involved than those demanding more time (Fung, 2015). The student attendance increases when they have the sense that they are heard (</w:t>
      </w:r>
      <w:proofErr w:type="spellStart"/>
      <w:r w:rsidRPr="007F244C">
        <w:rPr>
          <w:rFonts w:ascii="Times New Roman" w:hAnsi="Times New Roman" w:cs="Times New Roman"/>
          <w:sz w:val="24"/>
          <w:szCs w:val="24"/>
        </w:rPr>
        <w:t>Gaventa</w:t>
      </w:r>
      <w:proofErr w:type="spellEnd"/>
      <w:r w:rsidRPr="007F244C">
        <w:rPr>
          <w:rFonts w:ascii="Times New Roman" w:hAnsi="Times New Roman" w:cs="Times New Roman"/>
          <w:sz w:val="24"/>
          <w:szCs w:val="24"/>
        </w:rPr>
        <w:t xml:space="preserve"> &amp; Barrett, 2012).</w:t>
      </w:r>
    </w:p>
    <w:p w14:paraId="76DC3419"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findings indicate the strength of awareness. More students will be more likely to engage in order to know rules of the union and decision processes. This confirms the fact that civic knowledge enhances political participation (Dalton, 2017). Where there is poor information sharing or the information that is shared is not clear, students recede. The rates of participation thus indicate opportunity and comprehension, and not only the lack of student interest (</w:t>
      </w:r>
      <w:proofErr w:type="spellStart"/>
      <w:r w:rsidRPr="007F244C">
        <w:rPr>
          <w:rFonts w:ascii="Times New Roman" w:hAnsi="Times New Roman" w:cs="Times New Roman"/>
          <w:sz w:val="24"/>
          <w:szCs w:val="24"/>
        </w:rPr>
        <w:t>Checkel</w:t>
      </w:r>
      <w:proofErr w:type="spellEnd"/>
      <w:r w:rsidRPr="007F244C">
        <w:rPr>
          <w:rFonts w:ascii="Times New Roman" w:hAnsi="Times New Roman" w:cs="Times New Roman"/>
          <w:sz w:val="24"/>
          <w:szCs w:val="24"/>
        </w:rPr>
        <w:t>, 2017).</w:t>
      </w:r>
    </w:p>
    <w:p w14:paraId="78C7A2FB" w14:textId="77777777" w:rsidR="00B749FC" w:rsidRPr="007F244C" w:rsidRDefault="00B749FC" w:rsidP="00B749FC">
      <w:pPr>
        <w:spacing w:after="0" w:line="240" w:lineRule="auto"/>
        <w:jc w:val="both"/>
        <w:rPr>
          <w:rFonts w:ascii="Times New Roman" w:hAnsi="Times New Roman" w:cs="Times New Roman"/>
          <w:sz w:val="24"/>
          <w:szCs w:val="24"/>
        </w:rPr>
      </w:pPr>
    </w:p>
    <w:p w14:paraId="1DC479C9"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Power of accountability procedures</w:t>
      </w:r>
    </w:p>
    <w:p w14:paraId="1580DE93"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Being accountable is formalized, yet its mechanisms are weak in nature. There are written constitutions, financial regulations and supervisory committees. The enforcement is not consistent. Students have claimed that they do not have access to </w:t>
      </w:r>
      <w:r w:rsidRPr="007F244C">
        <w:rPr>
          <w:rFonts w:ascii="Times New Roman" w:hAnsi="Times New Roman" w:cs="Times New Roman"/>
          <w:sz w:val="24"/>
          <w:szCs w:val="24"/>
        </w:rPr>
        <w:t>financial reports and slow responses to wrongs. Research findings indicate that accountability is not based on rules by itself, but rather transparency and sanctions (</w:t>
      </w:r>
      <w:proofErr w:type="spellStart"/>
      <w:r w:rsidRPr="007F244C">
        <w:rPr>
          <w:rFonts w:ascii="Times New Roman" w:hAnsi="Times New Roman" w:cs="Times New Roman"/>
          <w:sz w:val="24"/>
          <w:szCs w:val="24"/>
        </w:rPr>
        <w:t>Bovens</w:t>
      </w:r>
      <w:proofErr w:type="spellEnd"/>
      <w:r w:rsidRPr="007F244C">
        <w:rPr>
          <w:rFonts w:ascii="Times New Roman" w:hAnsi="Times New Roman" w:cs="Times New Roman"/>
          <w:sz w:val="24"/>
          <w:szCs w:val="24"/>
        </w:rPr>
        <w:t xml:space="preserve">, </w:t>
      </w:r>
      <w:proofErr w:type="spellStart"/>
      <w:r w:rsidRPr="007F244C">
        <w:rPr>
          <w:rFonts w:ascii="Times New Roman" w:hAnsi="Times New Roman" w:cs="Times New Roman"/>
          <w:sz w:val="24"/>
          <w:szCs w:val="24"/>
        </w:rPr>
        <w:t>Goodin</w:t>
      </w:r>
      <w:proofErr w:type="spellEnd"/>
      <w:r w:rsidRPr="007F244C">
        <w:rPr>
          <w:rFonts w:ascii="Times New Roman" w:hAnsi="Times New Roman" w:cs="Times New Roman"/>
          <w:sz w:val="24"/>
          <w:szCs w:val="24"/>
        </w:rPr>
        <w:t xml:space="preserve">, and </w:t>
      </w:r>
      <w:proofErr w:type="spellStart"/>
      <w:r w:rsidRPr="007F244C">
        <w:rPr>
          <w:rFonts w:ascii="Times New Roman" w:hAnsi="Times New Roman" w:cs="Times New Roman"/>
          <w:sz w:val="24"/>
          <w:szCs w:val="24"/>
        </w:rPr>
        <w:t>Schillmans</w:t>
      </w:r>
      <w:proofErr w:type="spellEnd"/>
      <w:r w:rsidRPr="007F244C">
        <w:rPr>
          <w:rFonts w:ascii="Times New Roman" w:hAnsi="Times New Roman" w:cs="Times New Roman"/>
          <w:sz w:val="24"/>
          <w:szCs w:val="24"/>
        </w:rPr>
        <w:t>, 2014).</w:t>
      </w:r>
    </w:p>
    <w:p w14:paraId="0BE77CFB"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Vertical accountability (students keeping leaders accountable) works primarily by means of elections and protests. There is less accountability (checks within the union) horizontally since leaders are close to each other. This is in line with results that peer accountability faces challenges in small </w:t>
      </w:r>
      <w:proofErr w:type="spellStart"/>
      <w:r w:rsidRPr="007F244C">
        <w:rPr>
          <w:rFonts w:ascii="Times New Roman" w:hAnsi="Times New Roman" w:cs="Times New Roman"/>
          <w:sz w:val="24"/>
          <w:szCs w:val="24"/>
        </w:rPr>
        <w:t>organisations</w:t>
      </w:r>
      <w:proofErr w:type="spellEnd"/>
      <w:r w:rsidRPr="007F244C">
        <w:rPr>
          <w:rFonts w:ascii="Times New Roman" w:hAnsi="Times New Roman" w:cs="Times New Roman"/>
          <w:sz w:val="24"/>
          <w:szCs w:val="24"/>
        </w:rPr>
        <w:t xml:space="preserve"> with social-tie strengths (Fox, 2015). Accountability will lack power without obvious consequences (</w:t>
      </w:r>
      <w:proofErr w:type="spellStart"/>
      <w:r w:rsidRPr="007F244C">
        <w:rPr>
          <w:rFonts w:ascii="Times New Roman" w:hAnsi="Times New Roman" w:cs="Times New Roman"/>
          <w:sz w:val="24"/>
          <w:szCs w:val="24"/>
        </w:rPr>
        <w:t>Schedler</w:t>
      </w:r>
      <w:proofErr w:type="spellEnd"/>
      <w:r w:rsidRPr="007F244C">
        <w:rPr>
          <w:rFonts w:ascii="Times New Roman" w:hAnsi="Times New Roman" w:cs="Times New Roman"/>
          <w:sz w:val="24"/>
          <w:szCs w:val="24"/>
        </w:rPr>
        <w:t>, 2016).</w:t>
      </w:r>
    </w:p>
    <w:p w14:paraId="4AB258EA" w14:textId="77777777" w:rsidR="00B749FC" w:rsidRPr="007F244C" w:rsidRDefault="00B749FC" w:rsidP="00B749FC">
      <w:pPr>
        <w:spacing w:after="0" w:line="240" w:lineRule="auto"/>
        <w:jc w:val="both"/>
        <w:rPr>
          <w:rFonts w:ascii="Times New Roman" w:hAnsi="Times New Roman" w:cs="Times New Roman"/>
          <w:sz w:val="24"/>
          <w:szCs w:val="24"/>
        </w:rPr>
      </w:pPr>
    </w:p>
    <w:p w14:paraId="3709D789"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5.2 Comparison to other Empirical Studies in the Past</w:t>
      </w:r>
    </w:p>
    <w:p w14:paraId="0F9E6409"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Concurrence with the Nigerian and international evidence</w:t>
      </w:r>
    </w:p>
    <w:p w14:paraId="4A7068C3"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This is consistent with the findings of other African universities which indicate moderate participation of students with minimal policy impact (</w:t>
      </w:r>
      <w:proofErr w:type="spellStart"/>
      <w:r w:rsidRPr="007F244C">
        <w:rPr>
          <w:rFonts w:ascii="Times New Roman" w:hAnsi="Times New Roman" w:cs="Times New Roman"/>
          <w:sz w:val="24"/>
          <w:szCs w:val="24"/>
        </w:rPr>
        <w:t>Luescher-Mamashela</w:t>
      </w:r>
      <w:proofErr w:type="spellEnd"/>
      <w:r w:rsidRPr="007F244C">
        <w:rPr>
          <w:rFonts w:ascii="Times New Roman" w:hAnsi="Times New Roman" w:cs="Times New Roman"/>
          <w:sz w:val="24"/>
          <w:szCs w:val="24"/>
        </w:rPr>
        <w:t xml:space="preserve">, 2013). In South Africa and Kenya, one can also find the similar patterns as students </w:t>
      </w:r>
      <w:proofErr w:type="spellStart"/>
      <w:r w:rsidRPr="007F244C">
        <w:rPr>
          <w:rFonts w:ascii="Times New Roman" w:hAnsi="Times New Roman" w:cs="Times New Roman"/>
          <w:sz w:val="24"/>
          <w:szCs w:val="24"/>
        </w:rPr>
        <w:t>organise</w:t>
      </w:r>
      <w:proofErr w:type="spellEnd"/>
      <w:r w:rsidRPr="007F244C">
        <w:rPr>
          <w:rFonts w:ascii="Times New Roman" w:hAnsi="Times New Roman" w:cs="Times New Roman"/>
          <w:sz w:val="24"/>
          <w:szCs w:val="24"/>
        </w:rPr>
        <w:t xml:space="preserve"> around crises but lose interest in normal governance (</w:t>
      </w:r>
      <w:proofErr w:type="spellStart"/>
      <w:r w:rsidRPr="007F244C">
        <w:rPr>
          <w:rFonts w:ascii="Times New Roman" w:hAnsi="Times New Roman" w:cs="Times New Roman"/>
          <w:sz w:val="24"/>
          <w:szCs w:val="24"/>
        </w:rPr>
        <w:t>Badat</w:t>
      </w:r>
      <w:proofErr w:type="spellEnd"/>
      <w:r w:rsidRPr="007F244C">
        <w:rPr>
          <w:rFonts w:ascii="Times New Roman" w:hAnsi="Times New Roman" w:cs="Times New Roman"/>
          <w:sz w:val="24"/>
          <w:szCs w:val="24"/>
        </w:rPr>
        <w:t>, 2016). It is also reported by international research that often student unions cannot pass the level of symbolic participation (Carey, 2018).</w:t>
      </w:r>
    </w:p>
    <w:p w14:paraId="556FE338"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Concerning accountability, the findings are in line with international findings that student </w:t>
      </w:r>
      <w:proofErr w:type="spellStart"/>
      <w:r w:rsidRPr="007F244C">
        <w:rPr>
          <w:rFonts w:ascii="Times New Roman" w:hAnsi="Times New Roman" w:cs="Times New Roman"/>
          <w:sz w:val="24"/>
          <w:szCs w:val="24"/>
        </w:rPr>
        <w:t>organisations</w:t>
      </w:r>
      <w:proofErr w:type="spellEnd"/>
      <w:r w:rsidRPr="007F244C">
        <w:rPr>
          <w:rFonts w:ascii="Times New Roman" w:hAnsi="Times New Roman" w:cs="Times New Roman"/>
          <w:sz w:val="24"/>
          <w:szCs w:val="24"/>
        </w:rPr>
        <w:t xml:space="preserve"> experience transparency issues </w:t>
      </w:r>
    </w:p>
    <w:p w14:paraId="406CC824"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w:t>
      </w:r>
      <w:proofErr w:type="spellStart"/>
      <w:r w:rsidRPr="007F244C">
        <w:rPr>
          <w:rFonts w:ascii="Times New Roman" w:hAnsi="Times New Roman" w:cs="Times New Roman"/>
          <w:sz w:val="24"/>
          <w:szCs w:val="24"/>
        </w:rPr>
        <w:t>Klemencic</w:t>
      </w:r>
      <w:proofErr w:type="spellEnd"/>
      <w:r w:rsidRPr="007F244C">
        <w:rPr>
          <w:rFonts w:ascii="Times New Roman" w:hAnsi="Times New Roman" w:cs="Times New Roman"/>
          <w:sz w:val="24"/>
          <w:szCs w:val="24"/>
        </w:rPr>
        <w:t>, 2014). In a comparative European study, it was discovered that financial reporting in student unions is more likely to be disjointed and lack clarity to their members (Brooks et al., 2016). These parallels imply a problem in the structure and not in the failures of the countries.</w:t>
      </w:r>
    </w:p>
    <w:p w14:paraId="2846DD07" w14:textId="77777777" w:rsidR="00B749FC" w:rsidRPr="007F244C" w:rsidRDefault="00B749FC" w:rsidP="00B749FC">
      <w:pPr>
        <w:spacing w:after="0" w:line="240" w:lineRule="auto"/>
        <w:jc w:val="both"/>
        <w:rPr>
          <w:rFonts w:ascii="Times New Roman" w:hAnsi="Times New Roman" w:cs="Times New Roman"/>
          <w:sz w:val="24"/>
          <w:szCs w:val="24"/>
        </w:rPr>
      </w:pPr>
    </w:p>
    <w:p w14:paraId="419A281D"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Comparison with the previous works</w:t>
      </w:r>
    </w:p>
    <w:p w14:paraId="5201C0D1"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In some international studies, the participatory cultures are stronger, </w:t>
      </w:r>
      <w:r w:rsidRPr="007F244C">
        <w:rPr>
          <w:rFonts w:ascii="Times New Roman" w:hAnsi="Times New Roman" w:cs="Times New Roman"/>
          <w:sz w:val="24"/>
          <w:szCs w:val="24"/>
        </w:rPr>
        <w:lastRenderedPageBreak/>
        <w:t>particularly when the universities incorporate the students into formal governance boards (Menon, 2015). There is a weaker effect that is seen here as opposed to these cases. The disparity might be based on the institutional and legal assistance to the student representation (</w:t>
      </w:r>
      <w:proofErr w:type="spellStart"/>
      <w:r w:rsidRPr="007F244C">
        <w:rPr>
          <w:rFonts w:ascii="Times New Roman" w:hAnsi="Times New Roman" w:cs="Times New Roman"/>
          <w:sz w:val="24"/>
          <w:szCs w:val="24"/>
        </w:rPr>
        <w:t>Lizzio</w:t>
      </w:r>
      <w:proofErr w:type="spellEnd"/>
      <w:r w:rsidRPr="007F244C">
        <w:rPr>
          <w:rFonts w:ascii="Times New Roman" w:hAnsi="Times New Roman" w:cs="Times New Roman"/>
          <w:sz w:val="24"/>
          <w:szCs w:val="24"/>
        </w:rPr>
        <w:t xml:space="preserve"> and Wilson, 2009).</w:t>
      </w:r>
    </w:p>
    <w:p w14:paraId="284EFB6D"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Few studies published in Nordic countries demonstrate strong student oversights as a result of open data practices and independent audits in the context of accountability (Hansson and </w:t>
      </w:r>
      <w:proofErr w:type="spellStart"/>
      <w:r w:rsidRPr="007F244C">
        <w:rPr>
          <w:rFonts w:ascii="Times New Roman" w:hAnsi="Times New Roman" w:cs="Times New Roman"/>
          <w:sz w:val="24"/>
          <w:szCs w:val="24"/>
        </w:rPr>
        <w:t>Laegreid</w:t>
      </w:r>
      <w:proofErr w:type="spellEnd"/>
      <w:r w:rsidRPr="007F244C">
        <w:rPr>
          <w:rFonts w:ascii="Times New Roman" w:hAnsi="Times New Roman" w:cs="Times New Roman"/>
          <w:sz w:val="24"/>
          <w:szCs w:val="24"/>
        </w:rPr>
        <w:t>, 2020). The comparison emphasizes the importance of institutional context in a way that it influences results.</w:t>
      </w:r>
    </w:p>
    <w:p w14:paraId="791054D8" w14:textId="77777777" w:rsidR="00B749FC" w:rsidRPr="007F244C" w:rsidRDefault="00B749FC" w:rsidP="00B749FC">
      <w:pPr>
        <w:spacing w:after="0" w:line="240" w:lineRule="auto"/>
        <w:jc w:val="both"/>
        <w:rPr>
          <w:rFonts w:ascii="Times New Roman" w:hAnsi="Times New Roman" w:cs="Times New Roman"/>
          <w:sz w:val="24"/>
          <w:szCs w:val="24"/>
        </w:rPr>
      </w:pPr>
    </w:p>
    <w:p w14:paraId="0293D0EB"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5.3 Theoretical Contributions</w:t>
      </w:r>
    </w:p>
    <w:p w14:paraId="7BC270F4"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Participatory Governance Theory</w:t>
      </w:r>
    </w:p>
    <w:p w14:paraId="6D743993"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Particularly, the results prove the Participatory Governance Theory. According to this theory, inclusion enhances the quality of decisions and legitimacy (Fung, 2015). It has been proved that the students have more trust in leaders of the union when they feel consulted. The sense of ownership created through participation makes conflict diminishing, which confirms the main argument of this theory (</w:t>
      </w:r>
      <w:proofErr w:type="spellStart"/>
      <w:r w:rsidRPr="007F244C">
        <w:rPr>
          <w:rFonts w:ascii="Times New Roman" w:hAnsi="Times New Roman" w:cs="Times New Roman"/>
          <w:sz w:val="24"/>
          <w:szCs w:val="24"/>
        </w:rPr>
        <w:t>Gaventa</w:t>
      </w:r>
      <w:proofErr w:type="spellEnd"/>
      <w:r w:rsidRPr="007F244C">
        <w:rPr>
          <w:rFonts w:ascii="Times New Roman" w:hAnsi="Times New Roman" w:cs="Times New Roman"/>
          <w:sz w:val="24"/>
          <w:szCs w:val="24"/>
        </w:rPr>
        <w:t xml:space="preserve"> and Barrett, 2012).</w:t>
      </w:r>
    </w:p>
    <w:p w14:paraId="1ED1B3C4"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theory is also challenged, based on the results. Being a participant does not mean being an influencer. Final decisions are not influenced by a large number of student inputs. This enhances the arguments that participation may become symbolic and not power sharing (Cooke and Kothari, 2019). The research demonstrates that involvement should be connected with authority to make a difference.</w:t>
      </w:r>
    </w:p>
    <w:p w14:paraId="6DEA2750"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Consequences to Accountability Theory</w:t>
      </w:r>
    </w:p>
    <w:p w14:paraId="4AF32258"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Accountability Theory emphasizes responsibility and imposition (</w:t>
      </w:r>
      <w:proofErr w:type="spellStart"/>
      <w:r w:rsidRPr="007F244C">
        <w:rPr>
          <w:rFonts w:ascii="Times New Roman" w:hAnsi="Times New Roman" w:cs="Times New Roman"/>
          <w:sz w:val="24"/>
          <w:szCs w:val="24"/>
        </w:rPr>
        <w:t>Bovens</w:t>
      </w:r>
      <w:proofErr w:type="spellEnd"/>
      <w:r w:rsidRPr="007F244C">
        <w:rPr>
          <w:rFonts w:ascii="Times New Roman" w:hAnsi="Times New Roman" w:cs="Times New Roman"/>
          <w:sz w:val="24"/>
          <w:szCs w:val="24"/>
        </w:rPr>
        <w:t xml:space="preserve"> et al., 2014). The results affirm that there is answerability by way of elections and reporting. Enforcement remains weak. This loophole lends credence to the claims that the </w:t>
      </w:r>
      <w:r w:rsidRPr="007F244C">
        <w:rPr>
          <w:rFonts w:ascii="Times New Roman" w:hAnsi="Times New Roman" w:cs="Times New Roman"/>
          <w:sz w:val="24"/>
          <w:szCs w:val="24"/>
        </w:rPr>
        <w:t>lack of systems of accountability do not work without punishment (</w:t>
      </w:r>
      <w:proofErr w:type="spellStart"/>
      <w:r w:rsidRPr="007F244C">
        <w:rPr>
          <w:rFonts w:ascii="Times New Roman" w:hAnsi="Times New Roman" w:cs="Times New Roman"/>
          <w:sz w:val="24"/>
          <w:szCs w:val="24"/>
        </w:rPr>
        <w:t>Schedler</w:t>
      </w:r>
      <w:proofErr w:type="spellEnd"/>
      <w:r w:rsidRPr="007F244C">
        <w:rPr>
          <w:rFonts w:ascii="Times New Roman" w:hAnsi="Times New Roman" w:cs="Times New Roman"/>
          <w:sz w:val="24"/>
          <w:szCs w:val="24"/>
        </w:rPr>
        <w:t>, 2016).</w:t>
      </w:r>
    </w:p>
    <w:p w14:paraId="6C797497" w14:textId="6921B40C"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 paper contributes that </w:t>
      </w:r>
      <w:r w:rsidR="007F244C" w:rsidRPr="007F244C">
        <w:rPr>
          <w:rFonts w:ascii="Times New Roman" w:hAnsi="Times New Roman" w:cs="Times New Roman"/>
          <w:sz w:val="24"/>
          <w:szCs w:val="24"/>
        </w:rPr>
        <w:t>peer-based</w:t>
      </w:r>
      <w:r w:rsidRPr="007F244C">
        <w:rPr>
          <w:rFonts w:ascii="Times New Roman" w:hAnsi="Times New Roman" w:cs="Times New Roman"/>
          <w:sz w:val="24"/>
          <w:szCs w:val="24"/>
        </w:rPr>
        <w:t xml:space="preserve"> </w:t>
      </w:r>
      <w:proofErr w:type="spellStart"/>
      <w:r w:rsidRPr="007F244C">
        <w:rPr>
          <w:rFonts w:ascii="Times New Roman" w:hAnsi="Times New Roman" w:cs="Times New Roman"/>
          <w:sz w:val="24"/>
          <w:szCs w:val="24"/>
        </w:rPr>
        <w:t>organisations</w:t>
      </w:r>
      <w:proofErr w:type="spellEnd"/>
      <w:r w:rsidRPr="007F244C">
        <w:rPr>
          <w:rFonts w:ascii="Times New Roman" w:hAnsi="Times New Roman" w:cs="Times New Roman"/>
          <w:sz w:val="24"/>
          <w:szCs w:val="24"/>
        </w:rPr>
        <w:t xml:space="preserve"> have special accountability constraints. Social connections make people less willing to sanction leaders. That is an extension of the Accountability Theory demonstrating the way in which social proximity shapes results (Fox, 2015).</w:t>
      </w:r>
    </w:p>
    <w:p w14:paraId="0A7AB0E8" w14:textId="77777777" w:rsidR="00B749FC" w:rsidRPr="007F244C" w:rsidRDefault="00B749FC" w:rsidP="00B749FC">
      <w:pPr>
        <w:spacing w:after="0" w:line="240" w:lineRule="auto"/>
        <w:jc w:val="both"/>
        <w:rPr>
          <w:rFonts w:ascii="Times New Roman" w:hAnsi="Times New Roman" w:cs="Times New Roman"/>
          <w:sz w:val="24"/>
          <w:szCs w:val="24"/>
        </w:rPr>
      </w:pPr>
    </w:p>
    <w:p w14:paraId="1FE16510"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Implications to Social Capital Theory</w:t>
      </w:r>
    </w:p>
    <w:p w14:paraId="24EED3CE"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Social Capital Theory emphasizes on trust and networks in accelerating collective action (Putnam, 2000). The results indicate that influential networks of students enhance </w:t>
      </w:r>
      <w:proofErr w:type="spellStart"/>
      <w:r w:rsidRPr="007F244C">
        <w:rPr>
          <w:rFonts w:ascii="Times New Roman" w:hAnsi="Times New Roman" w:cs="Times New Roman"/>
          <w:sz w:val="24"/>
          <w:szCs w:val="24"/>
        </w:rPr>
        <w:t>mobilisation</w:t>
      </w:r>
      <w:proofErr w:type="spellEnd"/>
      <w:r w:rsidRPr="007F244C">
        <w:rPr>
          <w:rFonts w:ascii="Times New Roman" w:hAnsi="Times New Roman" w:cs="Times New Roman"/>
          <w:sz w:val="24"/>
          <w:szCs w:val="24"/>
        </w:rPr>
        <w:t xml:space="preserve"> in times of crisis. Participation is motivated by trust. Accountability is lowered by high levels of bonding social capital in leadership groups. This underlines subsequent changes of the theory that cautions on over-bonding with no bridging ties (Aldrich and Meyer, 2015).</w:t>
      </w:r>
    </w:p>
    <w:p w14:paraId="79405A21" w14:textId="77777777" w:rsidR="00B749FC" w:rsidRPr="007F244C" w:rsidRDefault="00B749FC" w:rsidP="00B749FC">
      <w:pPr>
        <w:spacing w:after="0" w:line="240" w:lineRule="auto"/>
        <w:jc w:val="both"/>
        <w:rPr>
          <w:rFonts w:ascii="Times New Roman" w:hAnsi="Times New Roman" w:cs="Times New Roman"/>
          <w:sz w:val="24"/>
          <w:szCs w:val="24"/>
        </w:rPr>
      </w:pPr>
    </w:p>
    <w:p w14:paraId="34CE8B17"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5.4 Institutional and Contextual Explanations</w:t>
      </w:r>
    </w:p>
    <w:p w14:paraId="72BAC8CB"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Governance culture</w:t>
      </w:r>
    </w:p>
    <w:p w14:paraId="02B612FA"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Student union practice is influenced by the culture of governance in institutions. In institutions where the university management appreciates dialogue, the student leaders are empowered and allowed to take action. Studies indicate that participatory bodies are empowered by the supportive cultures of governance (</w:t>
      </w:r>
      <w:proofErr w:type="spellStart"/>
      <w:r w:rsidRPr="007F244C">
        <w:rPr>
          <w:rFonts w:ascii="Times New Roman" w:hAnsi="Times New Roman" w:cs="Times New Roman"/>
          <w:sz w:val="24"/>
          <w:szCs w:val="24"/>
        </w:rPr>
        <w:t>Klemencic</w:t>
      </w:r>
      <w:proofErr w:type="spellEnd"/>
      <w:r w:rsidRPr="007F244C">
        <w:rPr>
          <w:rFonts w:ascii="Times New Roman" w:hAnsi="Times New Roman" w:cs="Times New Roman"/>
          <w:sz w:val="24"/>
          <w:szCs w:val="24"/>
        </w:rPr>
        <w:t>, 2014). Unions are reactive in inflexible settings and confrontational.</w:t>
      </w:r>
    </w:p>
    <w:p w14:paraId="1E02C4C8"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Leadership practices</w:t>
      </w:r>
    </w:p>
    <w:p w14:paraId="6B43FCD4"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Leadership style matters. Open-minded leaders who are information sharers foster trust and participation. In authoritarian styles, participation is minimized. Inclusive leadership is associated with increased organisational commitment (Northouse, 2019). The results demonstrate that turnover among leaders undermines accountability systems and continuity.</w:t>
      </w:r>
    </w:p>
    <w:p w14:paraId="2A474F7F" w14:textId="77777777" w:rsidR="00B749FC" w:rsidRPr="007F244C" w:rsidRDefault="00B749FC" w:rsidP="00B749FC">
      <w:pPr>
        <w:spacing w:after="0" w:line="240" w:lineRule="auto"/>
        <w:jc w:val="both"/>
        <w:rPr>
          <w:rFonts w:ascii="Times New Roman" w:hAnsi="Times New Roman" w:cs="Times New Roman"/>
          <w:sz w:val="24"/>
          <w:szCs w:val="24"/>
        </w:rPr>
      </w:pPr>
    </w:p>
    <w:p w14:paraId="0CC185FE"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Student politics consciousness</w:t>
      </w:r>
    </w:p>
    <w:p w14:paraId="773E265B"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Engagement is affected by political awareness. Students who are already exposed to civics are more active. Civic learning has been proven to predict future engagement in education research (</w:t>
      </w:r>
      <w:proofErr w:type="spellStart"/>
      <w:r w:rsidRPr="007F244C">
        <w:rPr>
          <w:rFonts w:ascii="Times New Roman" w:hAnsi="Times New Roman" w:cs="Times New Roman"/>
          <w:sz w:val="24"/>
          <w:szCs w:val="24"/>
        </w:rPr>
        <w:t>Torney-Purta</w:t>
      </w:r>
      <w:proofErr w:type="spellEnd"/>
      <w:r w:rsidRPr="007F244C">
        <w:rPr>
          <w:rFonts w:ascii="Times New Roman" w:hAnsi="Times New Roman" w:cs="Times New Roman"/>
          <w:sz w:val="24"/>
          <w:szCs w:val="24"/>
        </w:rPr>
        <w:t xml:space="preserve"> et al., 2016). Low scrutiny of leaders is caused by low awareness. This is the reason why formal accountability tools are not used extensively.</w:t>
      </w:r>
    </w:p>
    <w:p w14:paraId="26525D08" w14:textId="77777777" w:rsidR="00B749FC" w:rsidRPr="007F244C" w:rsidRDefault="00B749FC" w:rsidP="00B749FC">
      <w:pPr>
        <w:spacing w:after="0" w:line="240" w:lineRule="auto"/>
        <w:jc w:val="both"/>
        <w:rPr>
          <w:rFonts w:ascii="Times New Roman" w:hAnsi="Times New Roman" w:cs="Times New Roman"/>
          <w:sz w:val="24"/>
          <w:szCs w:val="24"/>
        </w:rPr>
      </w:pPr>
    </w:p>
    <w:p w14:paraId="40C7CC01"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CONCLUSIONS</w:t>
      </w:r>
    </w:p>
    <w:p w14:paraId="4BEA22DF"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This paper has analyzed the </w:t>
      </w:r>
      <w:proofErr w:type="spellStart"/>
      <w:r w:rsidRPr="007F244C">
        <w:rPr>
          <w:rFonts w:ascii="Times New Roman" w:hAnsi="Times New Roman" w:cs="Times New Roman"/>
          <w:sz w:val="24"/>
          <w:szCs w:val="24"/>
        </w:rPr>
        <w:t>governorance</w:t>
      </w:r>
      <w:proofErr w:type="spellEnd"/>
      <w:r w:rsidRPr="007F244C">
        <w:rPr>
          <w:rFonts w:ascii="Times New Roman" w:hAnsi="Times New Roman" w:cs="Times New Roman"/>
          <w:sz w:val="24"/>
          <w:szCs w:val="24"/>
        </w:rPr>
        <w:t xml:space="preserve"> of Students Union and how it influences the participation and accountability within institutional tertiary system of federal institutions. The results reveal that Students Unions are still relevant in terms of student voice and leadership training as well as civic learning. Students feel that campus matters belong to them when they are taken to elections, meetings and participate in making decisions. This aligns with previous governance studies indicating that participation and trust as well as legitimacy in institutions are connected (Fung, 2015; </w:t>
      </w:r>
      <w:proofErr w:type="spellStart"/>
      <w:r w:rsidRPr="007F244C">
        <w:rPr>
          <w:rFonts w:ascii="Times New Roman" w:hAnsi="Times New Roman" w:cs="Times New Roman"/>
          <w:sz w:val="24"/>
          <w:szCs w:val="24"/>
        </w:rPr>
        <w:t>Bovens</w:t>
      </w:r>
      <w:proofErr w:type="spellEnd"/>
      <w:r w:rsidRPr="007F244C">
        <w:rPr>
          <w:rFonts w:ascii="Times New Roman" w:hAnsi="Times New Roman" w:cs="Times New Roman"/>
          <w:sz w:val="24"/>
          <w:szCs w:val="24"/>
        </w:rPr>
        <w:t>, 2010).</w:t>
      </w:r>
    </w:p>
    <w:p w14:paraId="70489D0D"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There are also evident gaps that are indicated by the study. Many students are not present in the </w:t>
      </w:r>
      <w:proofErr w:type="gramStart"/>
      <w:r w:rsidRPr="007F244C">
        <w:rPr>
          <w:rFonts w:ascii="Times New Roman" w:hAnsi="Times New Roman" w:cs="Times New Roman"/>
          <w:sz w:val="24"/>
          <w:szCs w:val="24"/>
        </w:rPr>
        <w:t>day to day</w:t>
      </w:r>
      <w:proofErr w:type="gramEnd"/>
      <w:r w:rsidRPr="007F244C">
        <w:rPr>
          <w:rFonts w:ascii="Times New Roman" w:hAnsi="Times New Roman" w:cs="Times New Roman"/>
          <w:sz w:val="24"/>
          <w:szCs w:val="24"/>
        </w:rPr>
        <w:t xml:space="preserve"> governance and they usually would stop at voting on the election day. There is poor attendance of meetings, a weak feedback channel and at times, decision making is made by few leaders. These activities lose trust and cause students to feel remote to their representatives. It has been claimed that there are similar issues in higher education governance research in the developing contexts (</w:t>
      </w:r>
      <w:proofErr w:type="spellStart"/>
      <w:r w:rsidRPr="007F244C">
        <w:rPr>
          <w:rFonts w:ascii="Times New Roman" w:hAnsi="Times New Roman" w:cs="Times New Roman"/>
          <w:sz w:val="24"/>
          <w:szCs w:val="24"/>
        </w:rPr>
        <w:t>Luescher-Mamashela</w:t>
      </w:r>
      <w:proofErr w:type="spellEnd"/>
      <w:r w:rsidRPr="007F244C">
        <w:rPr>
          <w:rFonts w:ascii="Times New Roman" w:hAnsi="Times New Roman" w:cs="Times New Roman"/>
          <w:sz w:val="24"/>
          <w:szCs w:val="24"/>
        </w:rPr>
        <w:t>, 2013).</w:t>
      </w:r>
    </w:p>
    <w:p w14:paraId="2CBDE5F9"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There were accountability loopholes also. Students Unions in financial reporting do not do so consistently, there is also poor record keeping as well as weak sanctions against resource misuse. In most institutions, there are structures of oversights although these are </w:t>
      </w:r>
      <w:r w:rsidRPr="007F244C">
        <w:rPr>
          <w:rFonts w:ascii="Times New Roman" w:hAnsi="Times New Roman" w:cs="Times New Roman"/>
          <w:sz w:val="24"/>
          <w:szCs w:val="24"/>
        </w:rPr>
        <w:t xml:space="preserve">not always put into practice. This undermines internal control mechanisms and propagates </w:t>
      </w:r>
      <w:proofErr w:type="spellStart"/>
      <w:r w:rsidRPr="007F244C">
        <w:rPr>
          <w:rFonts w:ascii="Times New Roman" w:hAnsi="Times New Roman" w:cs="Times New Roman"/>
          <w:sz w:val="24"/>
          <w:szCs w:val="24"/>
        </w:rPr>
        <w:t>rumours</w:t>
      </w:r>
      <w:proofErr w:type="spellEnd"/>
      <w:r w:rsidRPr="007F244C">
        <w:rPr>
          <w:rFonts w:ascii="Times New Roman" w:hAnsi="Times New Roman" w:cs="Times New Roman"/>
          <w:sz w:val="24"/>
          <w:szCs w:val="24"/>
        </w:rPr>
        <w:t>, conflict and suspicion among the students. Studies of accountability indicate that transparency and good reporting regulations are the core of organisational performance (</w:t>
      </w:r>
      <w:proofErr w:type="spellStart"/>
      <w:r w:rsidRPr="007F244C">
        <w:rPr>
          <w:rFonts w:ascii="Times New Roman" w:hAnsi="Times New Roman" w:cs="Times New Roman"/>
          <w:sz w:val="24"/>
          <w:szCs w:val="24"/>
        </w:rPr>
        <w:t>Bovens</w:t>
      </w:r>
      <w:proofErr w:type="spellEnd"/>
      <w:r w:rsidRPr="007F244C">
        <w:rPr>
          <w:rFonts w:ascii="Times New Roman" w:hAnsi="Times New Roman" w:cs="Times New Roman"/>
          <w:sz w:val="24"/>
          <w:szCs w:val="24"/>
        </w:rPr>
        <w:t xml:space="preserve">, </w:t>
      </w:r>
      <w:proofErr w:type="spellStart"/>
      <w:r w:rsidRPr="007F244C">
        <w:rPr>
          <w:rFonts w:ascii="Times New Roman" w:hAnsi="Times New Roman" w:cs="Times New Roman"/>
          <w:sz w:val="24"/>
          <w:szCs w:val="24"/>
        </w:rPr>
        <w:t>Goodin</w:t>
      </w:r>
      <w:proofErr w:type="spellEnd"/>
      <w:r w:rsidRPr="007F244C">
        <w:rPr>
          <w:rFonts w:ascii="Times New Roman" w:hAnsi="Times New Roman" w:cs="Times New Roman"/>
          <w:sz w:val="24"/>
          <w:szCs w:val="24"/>
        </w:rPr>
        <w:t xml:space="preserve">, &amp; </w:t>
      </w:r>
      <w:proofErr w:type="spellStart"/>
      <w:r w:rsidRPr="007F244C">
        <w:rPr>
          <w:rFonts w:ascii="Times New Roman" w:hAnsi="Times New Roman" w:cs="Times New Roman"/>
          <w:sz w:val="24"/>
          <w:szCs w:val="24"/>
        </w:rPr>
        <w:t>Schillemans</w:t>
      </w:r>
      <w:proofErr w:type="spellEnd"/>
      <w:r w:rsidRPr="007F244C">
        <w:rPr>
          <w:rFonts w:ascii="Times New Roman" w:hAnsi="Times New Roman" w:cs="Times New Roman"/>
          <w:sz w:val="24"/>
          <w:szCs w:val="24"/>
        </w:rPr>
        <w:t>, 2014).</w:t>
      </w:r>
    </w:p>
    <w:p w14:paraId="0C2C4AD1"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In spite of the challenges, the research makes a contribution to the field of knowledge by demonstrating the close relationship that exists between participation and accountability in student governance. The leaders are under greater pressure in situations that involve students in meaningful participation. Accountability is also undermined whereby participation is minimal. This understanding reinforces the governance studies by bringing into consideration the participatory and accountability theories to the student-led </w:t>
      </w:r>
      <w:proofErr w:type="spellStart"/>
      <w:r w:rsidRPr="007F244C">
        <w:rPr>
          <w:rFonts w:ascii="Times New Roman" w:hAnsi="Times New Roman" w:cs="Times New Roman"/>
          <w:sz w:val="24"/>
          <w:szCs w:val="24"/>
        </w:rPr>
        <w:t>organisations</w:t>
      </w:r>
      <w:proofErr w:type="spellEnd"/>
      <w:r w:rsidRPr="007F244C">
        <w:rPr>
          <w:rFonts w:ascii="Times New Roman" w:hAnsi="Times New Roman" w:cs="Times New Roman"/>
          <w:sz w:val="24"/>
          <w:szCs w:val="24"/>
        </w:rPr>
        <w:t>, which is largely neglected in the public administration literature.</w:t>
      </w:r>
    </w:p>
    <w:p w14:paraId="1A3EE0BC"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research also contributes to the governance studies within the Nigerian context by illustrating the fact that Students Unions should be approached as learning environments to be practiced democratically. Their better structures can assist students in acquiring the habits of transparency, dialogue, and responsibility that go beyond campus life (</w:t>
      </w:r>
      <w:proofErr w:type="spellStart"/>
      <w:r w:rsidRPr="007F244C">
        <w:rPr>
          <w:rFonts w:ascii="Times New Roman" w:hAnsi="Times New Roman" w:cs="Times New Roman"/>
          <w:sz w:val="24"/>
          <w:szCs w:val="24"/>
        </w:rPr>
        <w:t>Luescher</w:t>
      </w:r>
      <w:proofErr w:type="spellEnd"/>
      <w:r w:rsidRPr="007F244C">
        <w:rPr>
          <w:rFonts w:ascii="Times New Roman" w:hAnsi="Times New Roman" w:cs="Times New Roman"/>
          <w:sz w:val="24"/>
          <w:szCs w:val="24"/>
        </w:rPr>
        <w:t xml:space="preserve"> and </w:t>
      </w:r>
      <w:proofErr w:type="spellStart"/>
      <w:r w:rsidRPr="007F244C">
        <w:rPr>
          <w:rFonts w:ascii="Times New Roman" w:hAnsi="Times New Roman" w:cs="Times New Roman"/>
          <w:sz w:val="24"/>
          <w:szCs w:val="24"/>
        </w:rPr>
        <w:t>Klemencic</w:t>
      </w:r>
      <w:proofErr w:type="spellEnd"/>
      <w:r w:rsidRPr="007F244C">
        <w:rPr>
          <w:rFonts w:ascii="Times New Roman" w:hAnsi="Times New Roman" w:cs="Times New Roman"/>
          <w:sz w:val="24"/>
          <w:szCs w:val="24"/>
        </w:rPr>
        <w:t>, 2016).</w:t>
      </w:r>
    </w:p>
    <w:p w14:paraId="79405799" w14:textId="77777777" w:rsidR="00B749FC" w:rsidRPr="007F244C" w:rsidRDefault="00B749FC" w:rsidP="00B749FC">
      <w:pPr>
        <w:spacing w:after="0" w:line="240" w:lineRule="auto"/>
        <w:jc w:val="both"/>
        <w:rPr>
          <w:rFonts w:ascii="Times New Roman" w:hAnsi="Times New Roman" w:cs="Times New Roman"/>
          <w:sz w:val="24"/>
          <w:szCs w:val="24"/>
        </w:rPr>
      </w:pPr>
    </w:p>
    <w:p w14:paraId="346D777A" w14:textId="77777777" w:rsidR="00B749FC" w:rsidRPr="007F244C" w:rsidRDefault="00B749FC" w:rsidP="00B749FC">
      <w:pPr>
        <w:spacing w:after="0" w:line="240" w:lineRule="auto"/>
        <w:jc w:val="both"/>
        <w:rPr>
          <w:rFonts w:ascii="Times New Roman" w:hAnsi="Times New Roman" w:cs="Times New Roman"/>
          <w:sz w:val="24"/>
          <w:szCs w:val="24"/>
        </w:rPr>
      </w:pPr>
    </w:p>
    <w:p w14:paraId="668D5690"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PRACTICAL IMPLICATIONS</w:t>
      </w:r>
    </w:p>
    <w:p w14:paraId="573ECAF2"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Implications to Institutional Administrators</w:t>
      </w:r>
    </w:p>
    <w:p w14:paraId="1EFC90B0"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As an institution, the administrators are central in the development of good Students Union governance. There is need to strengthen partnership with Students Unions by holding regular meetings, joint committees as well as to have effective communication channels. When administrators interact freely with student leaders, it </w:t>
      </w:r>
      <w:proofErr w:type="spellStart"/>
      <w:r w:rsidRPr="007F244C">
        <w:rPr>
          <w:rFonts w:ascii="Times New Roman" w:hAnsi="Times New Roman" w:cs="Times New Roman"/>
          <w:sz w:val="24"/>
          <w:szCs w:val="24"/>
        </w:rPr>
        <w:t>minimises</w:t>
      </w:r>
      <w:proofErr w:type="spellEnd"/>
      <w:r w:rsidRPr="007F244C">
        <w:rPr>
          <w:rFonts w:ascii="Times New Roman" w:hAnsi="Times New Roman" w:cs="Times New Roman"/>
          <w:sz w:val="24"/>
          <w:szCs w:val="24"/>
        </w:rPr>
        <w:t xml:space="preserve"> conflicts and increases </w:t>
      </w:r>
      <w:r w:rsidRPr="007F244C">
        <w:rPr>
          <w:rFonts w:ascii="Times New Roman" w:hAnsi="Times New Roman" w:cs="Times New Roman"/>
          <w:sz w:val="24"/>
          <w:szCs w:val="24"/>
        </w:rPr>
        <w:lastRenderedPageBreak/>
        <w:t>the level of trust. Research on shared governance demonstrates that the cooperation enhances acceptance and compliance to policy (</w:t>
      </w:r>
      <w:proofErr w:type="spellStart"/>
      <w:r w:rsidRPr="007F244C">
        <w:rPr>
          <w:rFonts w:ascii="Times New Roman" w:hAnsi="Times New Roman" w:cs="Times New Roman"/>
          <w:sz w:val="24"/>
          <w:szCs w:val="24"/>
        </w:rPr>
        <w:t>Kezar</w:t>
      </w:r>
      <w:proofErr w:type="spellEnd"/>
      <w:r w:rsidRPr="007F244C">
        <w:rPr>
          <w:rFonts w:ascii="Times New Roman" w:hAnsi="Times New Roman" w:cs="Times New Roman"/>
          <w:sz w:val="24"/>
          <w:szCs w:val="24"/>
        </w:rPr>
        <w:t xml:space="preserve"> and Eckel, 2004).</w:t>
      </w:r>
    </w:p>
    <w:p w14:paraId="5A47838E"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Clear systems are also to be enhanced. The institutions may demand straightforward financial reporting templates, open exhibition of accepted budgets, and sporadic auditing of Students Union accounts. Such measures foster transparency and encourage distrust of students. The existence of clear rules makes both the administrators and student leaders aware of the expectations and boundaries.</w:t>
      </w:r>
    </w:p>
    <w:p w14:paraId="048ED3B4" w14:textId="77777777" w:rsidR="00B749FC" w:rsidRPr="007F244C" w:rsidRDefault="00B749FC" w:rsidP="00B749FC">
      <w:pPr>
        <w:spacing w:after="0" w:line="240" w:lineRule="auto"/>
        <w:jc w:val="both"/>
        <w:rPr>
          <w:rFonts w:ascii="Times New Roman" w:hAnsi="Times New Roman" w:cs="Times New Roman"/>
          <w:sz w:val="24"/>
          <w:szCs w:val="24"/>
        </w:rPr>
      </w:pPr>
    </w:p>
    <w:p w14:paraId="765C5031"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Implications on the Union Leaders of the students</w:t>
      </w:r>
    </w:p>
    <w:p w14:paraId="4E7D63A8" w14:textId="77777777" w:rsidR="00B749FC" w:rsidRPr="007F244C" w:rsidRDefault="00B749FC" w:rsidP="00B749FC">
      <w:pPr>
        <w:spacing w:after="0" w:line="240" w:lineRule="auto"/>
        <w:jc w:val="both"/>
        <w:rPr>
          <w:rFonts w:ascii="Times New Roman" w:hAnsi="Times New Roman" w:cs="Times New Roman"/>
          <w:b/>
          <w:sz w:val="24"/>
          <w:szCs w:val="24"/>
        </w:rPr>
      </w:pPr>
    </w:p>
    <w:p w14:paraId="3B65079D"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The leaders of the Union of students should become better communicators. Access to students through regular updates of the decision and finances can be supported by the use of notice boards, social media, and town-hall meetings. Effective communication fosters trust and leads to increased involvement (Menon, 2005).</w:t>
      </w:r>
    </w:p>
    <w:p w14:paraId="2DE1D4DF"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Record keeping ought to be regarded as an important obligation. Appropriate minutes, financial documents, and record of activities assist leaders in explaining what they have done and guarding them against false allegations. Such feedback systems as suggestion boxes, surveys, and open forums may assist leaders realize what students are concerned with and modify their activities. These are practices that facilitate internal responsibility and credibility.</w:t>
      </w:r>
    </w:p>
    <w:p w14:paraId="4BB049C0" w14:textId="77777777" w:rsidR="00B749FC" w:rsidRPr="007F244C" w:rsidRDefault="00B749FC" w:rsidP="00B749FC">
      <w:pPr>
        <w:spacing w:after="0" w:line="240" w:lineRule="auto"/>
        <w:jc w:val="both"/>
        <w:rPr>
          <w:rFonts w:ascii="Times New Roman" w:hAnsi="Times New Roman" w:cs="Times New Roman"/>
          <w:sz w:val="24"/>
          <w:szCs w:val="24"/>
        </w:rPr>
      </w:pPr>
    </w:p>
    <w:p w14:paraId="450A2351" w14:textId="77777777" w:rsidR="00B749FC" w:rsidRPr="007F244C" w:rsidRDefault="00B749FC" w:rsidP="00B749FC">
      <w:pPr>
        <w:spacing w:after="0" w:line="240" w:lineRule="auto"/>
        <w:jc w:val="both"/>
        <w:rPr>
          <w:rFonts w:ascii="Times New Roman" w:hAnsi="Times New Roman" w:cs="Times New Roman"/>
          <w:b/>
          <w:sz w:val="24"/>
          <w:szCs w:val="24"/>
        </w:rPr>
      </w:pPr>
      <w:r w:rsidRPr="007F244C">
        <w:rPr>
          <w:rFonts w:ascii="Times New Roman" w:hAnsi="Times New Roman" w:cs="Times New Roman"/>
          <w:b/>
          <w:sz w:val="24"/>
          <w:szCs w:val="24"/>
        </w:rPr>
        <w:t>Implications to Policymakers</w:t>
      </w:r>
    </w:p>
    <w:p w14:paraId="30F9A8BA" w14:textId="77777777" w:rsidR="00B749FC" w:rsidRPr="007F244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There should be clear national guidelines that are set by the policymakers on the governance of Students Union in the federal institutions. These principles can specify how to conduct elections, financial reporting, and accountability. Easy structures minimize ambiguity and enhance uniformity within </w:t>
      </w:r>
      <w:r w:rsidRPr="007F244C">
        <w:rPr>
          <w:rFonts w:ascii="Times New Roman" w:hAnsi="Times New Roman" w:cs="Times New Roman"/>
          <w:sz w:val="24"/>
          <w:szCs w:val="24"/>
        </w:rPr>
        <w:t>institutions. Standard rules are proven to be helpful in terms of transparency and institutional stability (OECD, 2016).</w:t>
      </w:r>
    </w:p>
    <w:p w14:paraId="74CABA4A" w14:textId="4D052313" w:rsidR="00B749FC" w:rsidRDefault="00B749FC" w:rsidP="00B749FC">
      <w:pPr>
        <w:spacing w:after="0" w:line="240" w:lineRule="auto"/>
        <w:jc w:val="both"/>
        <w:rPr>
          <w:rFonts w:ascii="Times New Roman" w:hAnsi="Times New Roman" w:cs="Times New Roman"/>
          <w:sz w:val="24"/>
          <w:szCs w:val="24"/>
        </w:rPr>
      </w:pPr>
      <w:r w:rsidRPr="007F244C">
        <w:rPr>
          <w:rFonts w:ascii="Times New Roman" w:hAnsi="Times New Roman" w:cs="Times New Roman"/>
          <w:sz w:val="24"/>
          <w:szCs w:val="24"/>
        </w:rPr>
        <w:t xml:space="preserve">Leadership, ethics, and financial management training </w:t>
      </w:r>
      <w:proofErr w:type="spellStart"/>
      <w:r w:rsidRPr="007F244C">
        <w:rPr>
          <w:rFonts w:ascii="Times New Roman" w:hAnsi="Times New Roman" w:cs="Times New Roman"/>
          <w:sz w:val="24"/>
          <w:szCs w:val="24"/>
        </w:rPr>
        <w:t>programme</w:t>
      </w:r>
      <w:proofErr w:type="spellEnd"/>
      <w:r w:rsidRPr="007F244C">
        <w:rPr>
          <w:rFonts w:ascii="Times New Roman" w:hAnsi="Times New Roman" w:cs="Times New Roman"/>
          <w:sz w:val="24"/>
          <w:szCs w:val="24"/>
        </w:rPr>
        <w:t xml:space="preserve"> should also be supported. These policies can assist Students Unions to act as platforms of training future civic and political leaders.</w:t>
      </w:r>
    </w:p>
    <w:p w14:paraId="591F6D43" w14:textId="3A20C56A" w:rsidR="007F244C" w:rsidRPr="003A5DAB" w:rsidRDefault="007F244C" w:rsidP="00B749FC">
      <w:pPr>
        <w:spacing w:after="0" w:line="240" w:lineRule="auto"/>
        <w:jc w:val="both"/>
        <w:rPr>
          <w:rFonts w:ascii="Times New Roman" w:hAnsi="Times New Roman" w:cs="Times New Roman"/>
          <w:b/>
          <w:bCs/>
          <w:sz w:val="24"/>
          <w:szCs w:val="24"/>
        </w:rPr>
      </w:pPr>
      <w:r w:rsidRPr="003A5DAB">
        <w:rPr>
          <w:rFonts w:ascii="Times New Roman" w:hAnsi="Times New Roman" w:cs="Times New Roman"/>
          <w:b/>
          <w:bCs/>
          <w:sz w:val="24"/>
          <w:szCs w:val="24"/>
        </w:rPr>
        <w:t>Funding</w:t>
      </w:r>
    </w:p>
    <w:p w14:paraId="164250F2" w14:textId="43024713" w:rsidR="007F244C" w:rsidRPr="007F244C" w:rsidRDefault="007F244C" w:rsidP="00B749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Study is funded by the Tertiary Education Trust Fund (TETFUND), under the Institutional- Based Research (IBR) Grant</w:t>
      </w:r>
      <w:r w:rsidR="003A5DAB">
        <w:rPr>
          <w:rFonts w:ascii="Times New Roman" w:hAnsi="Times New Roman" w:cs="Times New Roman"/>
          <w:sz w:val="24"/>
          <w:szCs w:val="24"/>
        </w:rPr>
        <w:t xml:space="preserve"> of the Federal Polytechnic Ede Osun State Nigeria.</w:t>
      </w:r>
    </w:p>
    <w:p w14:paraId="2059971B" w14:textId="77777777" w:rsidR="00B749FC" w:rsidRPr="007F244C" w:rsidRDefault="00B749FC" w:rsidP="00B749FC">
      <w:pPr>
        <w:spacing w:after="0" w:line="240" w:lineRule="auto"/>
        <w:jc w:val="both"/>
        <w:rPr>
          <w:rFonts w:ascii="Times New Roman" w:hAnsi="Times New Roman" w:cs="Times New Roman"/>
          <w:sz w:val="24"/>
          <w:szCs w:val="24"/>
        </w:rPr>
      </w:pPr>
    </w:p>
    <w:p w14:paraId="0CC3256F" w14:textId="77777777" w:rsidR="009214F5" w:rsidRPr="00240666" w:rsidRDefault="009214F5" w:rsidP="009214F5">
      <w:pPr>
        <w:tabs>
          <w:tab w:val="left" w:pos="7937"/>
        </w:tabs>
        <w:spacing w:after="0" w:line="216" w:lineRule="auto"/>
        <w:jc w:val="both"/>
        <w:rPr>
          <w:rFonts w:ascii="Times New Roman" w:eastAsia="Aparajita" w:hAnsi="Times New Roman" w:cs="Times New Roman"/>
          <w:b/>
          <w:sz w:val="24"/>
          <w:szCs w:val="24"/>
        </w:rPr>
      </w:pPr>
      <w:r w:rsidRPr="00240666">
        <w:rPr>
          <w:rFonts w:ascii="Times New Roman" w:eastAsia="Aparajita" w:hAnsi="Times New Roman" w:cs="Times New Roman"/>
          <w:b/>
          <w:sz w:val="24"/>
          <w:szCs w:val="24"/>
        </w:rPr>
        <w:t>Conflicts of Interest</w:t>
      </w:r>
    </w:p>
    <w:p w14:paraId="3FE3F242" w14:textId="40889765" w:rsidR="00B749FC" w:rsidRPr="00240666" w:rsidRDefault="009214F5" w:rsidP="009214F5">
      <w:pPr>
        <w:tabs>
          <w:tab w:val="left" w:pos="7937"/>
        </w:tabs>
        <w:spacing w:after="0" w:line="216" w:lineRule="auto"/>
        <w:ind w:firstLine="425"/>
        <w:jc w:val="both"/>
        <w:rPr>
          <w:rFonts w:ascii="Times New Roman" w:eastAsia="Aparajita" w:hAnsi="Times New Roman" w:cs="Times New Roman"/>
          <w:sz w:val="24"/>
          <w:szCs w:val="24"/>
        </w:rPr>
      </w:pPr>
      <w:r w:rsidRPr="00240666">
        <w:rPr>
          <w:rFonts w:ascii="Times New Roman" w:eastAsia="Aparajita" w:hAnsi="Times New Roman" w:cs="Times New Roman"/>
          <w:sz w:val="24"/>
          <w:szCs w:val="24"/>
        </w:rPr>
        <w:t>The authors declare that there are no conflicts of interest regarding the publication of this paper.</w:t>
      </w:r>
    </w:p>
    <w:p w14:paraId="26D19B4E" w14:textId="77777777" w:rsidR="00B749FC" w:rsidRPr="007F244C" w:rsidRDefault="00B749FC" w:rsidP="00B749FC">
      <w:pPr>
        <w:spacing w:before="100" w:beforeAutospacing="1" w:after="0" w:line="240" w:lineRule="auto"/>
        <w:jc w:val="both"/>
        <w:outlineLvl w:val="1"/>
        <w:rPr>
          <w:rFonts w:ascii="Times New Roman" w:eastAsia="Times New Roman" w:hAnsi="Times New Roman" w:cs="Times New Roman"/>
          <w:b/>
          <w:bCs/>
          <w:sz w:val="24"/>
          <w:szCs w:val="24"/>
        </w:rPr>
      </w:pPr>
      <w:r w:rsidRPr="007F244C">
        <w:rPr>
          <w:rFonts w:ascii="Times New Roman" w:eastAsia="Times New Roman" w:hAnsi="Times New Roman" w:cs="Times New Roman"/>
          <w:b/>
          <w:bCs/>
          <w:sz w:val="24"/>
          <w:szCs w:val="24"/>
        </w:rPr>
        <w:t>REFERENCES</w:t>
      </w:r>
    </w:p>
    <w:p w14:paraId="523FC432" w14:textId="77777777" w:rsidR="00B749FC" w:rsidRPr="007F244C" w:rsidRDefault="00B749FC" w:rsidP="00B749FC">
      <w:pPr>
        <w:pStyle w:val="NormalWeb"/>
        <w:spacing w:after="0" w:afterAutospacing="0"/>
        <w:ind w:firstLine="720"/>
        <w:jc w:val="both"/>
      </w:pPr>
      <w:r w:rsidRPr="007F244C">
        <w:t xml:space="preserve">Aldrich, D. P., &amp; Meyer, M. A. (2015). Social capital and community resilience. </w:t>
      </w:r>
      <w:r w:rsidRPr="007F244C">
        <w:rPr>
          <w:rStyle w:val="Emphasis"/>
          <w:rFonts w:eastAsiaTheme="majorEastAsia"/>
        </w:rPr>
        <w:t>American Behavioral Scientist, 59</w:t>
      </w:r>
      <w:r w:rsidRPr="007F244C">
        <w:t>(2), 254–269. https://doi.org/10.1177/0002764214550299</w:t>
      </w:r>
    </w:p>
    <w:p w14:paraId="7356893A" w14:textId="77777777" w:rsidR="00B749FC" w:rsidRPr="007F244C" w:rsidRDefault="00B749FC" w:rsidP="00B749FC">
      <w:pPr>
        <w:spacing w:before="100" w:beforeAutospacing="1" w:after="0" w:line="240" w:lineRule="auto"/>
        <w:ind w:firstLine="720"/>
        <w:jc w:val="both"/>
        <w:rPr>
          <w:rFonts w:ascii="Times New Roman" w:eastAsia="Times New Roman" w:hAnsi="Times New Roman" w:cs="Times New Roman"/>
          <w:sz w:val="24"/>
          <w:szCs w:val="24"/>
        </w:rPr>
      </w:pPr>
      <w:proofErr w:type="spellStart"/>
      <w:r w:rsidRPr="007F244C">
        <w:rPr>
          <w:rFonts w:ascii="Times New Roman" w:eastAsia="Times New Roman" w:hAnsi="Times New Roman" w:cs="Times New Roman"/>
          <w:sz w:val="24"/>
          <w:szCs w:val="24"/>
        </w:rPr>
        <w:t>Altbach</w:t>
      </w:r>
      <w:proofErr w:type="spellEnd"/>
      <w:r w:rsidRPr="007F244C">
        <w:rPr>
          <w:rFonts w:ascii="Times New Roman" w:eastAsia="Times New Roman" w:hAnsi="Times New Roman" w:cs="Times New Roman"/>
          <w:sz w:val="24"/>
          <w:szCs w:val="24"/>
        </w:rPr>
        <w:t xml:space="preserve">, P. G., &amp; </w:t>
      </w:r>
      <w:proofErr w:type="spellStart"/>
      <w:r w:rsidRPr="007F244C">
        <w:rPr>
          <w:rFonts w:ascii="Times New Roman" w:eastAsia="Times New Roman" w:hAnsi="Times New Roman" w:cs="Times New Roman"/>
          <w:sz w:val="24"/>
          <w:szCs w:val="24"/>
        </w:rPr>
        <w:t>Klemenčič</w:t>
      </w:r>
      <w:proofErr w:type="spellEnd"/>
      <w:r w:rsidRPr="007F244C">
        <w:rPr>
          <w:rFonts w:ascii="Times New Roman" w:eastAsia="Times New Roman" w:hAnsi="Times New Roman" w:cs="Times New Roman"/>
          <w:sz w:val="24"/>
          <w:szCs w:val="24"/>
        </w:rPr>
        <w:t xml:space="preserve">, M. (2016). Student activism and student politics in global perspective. </w:t>
      </w:r>
      <w:r w:rsidRPr="007F244C">
        <w:rPr>
          <w:rFonts w:ascii="Times New Roman" w:eastAsia="Times New Roman" w:hAnsi="Times New Roman" w:cs="Times New Roman"/>
          <w:i/>
          <w:iCs/>
          <w:sz w:val="24"/>
          <w:szCs w:val="24"/>
        </w:rPr>
        <w:t>International Higher Education</w:t>
      </w:r>
      <w:r w:rsidRPr="007F244C">
        <w:rPr>
          <w:rFonts w:ascii="Times New Roman" w:eastAsia="Times New Roman" w:hAnsi="Times New Roman" w:cs="Times New Roman"/>
          <w:sz w:val="24"/>
          <w:szCs w:val="24"/>
        </w:rPr>
        <w:t>, 85, 2–4. https://doi.org/10.6017/ihe.2016.85.9245</w:t>
      </w:r>
    </w:p>
    <w:p w14:paraId="59DB78D2" w14:textId="77777777" w:rsidR="00B749FC" w:rsidRPr="007F244C" w:rsidRDefault="00B749FC" w:rsidP="00B749FC">
      <w:pPr>
        <w:spacing w:before="100" w:beforeAutospacing="1" w:after="0" w:line="240" w:lineRule="auto"/>
        <w:ind w:firstLine="720"/>
        <w:jc w:val="both"/>
        <w:rPr>
          <w:rFonts w:ascii="Times New Roman" w:eastAsia="Times New Roman" w:hAnsi="Times New Roman" w:cs="Times New Roman"/>
          <w:sz w:val="24"/>
          <w:szCs w:val="24"/>
        </w:rPr>
      </w:pPr>
      <w:proofErr w:type="spellStart"/>
      <w:r w:rsidRPr="007F244C">
        <w:rPr>
          <w:rFonts w:ascii="Times New Roman" w:eastAsia="Times New Roman" w:hAnsi="Times New Roman" w:cs="Times New Roman"/>
          <w:sz w:val="24"/>
          <w:szCs w:val="24"/>
        </w:rPr>
        <w:t>Altbach</w:t>
      </w:r>
      <w:proofErr w:type="spellEnd"/>
      <w:r w:rsidRPr="007F244C">
        <w:rPr>
          <w:rFonts w:ascii="Times New Roman" w:eastAsia="Times New Roman" w:hAnsi="Times New Roman" w:cs="Times New Roman"/>
          <w:sz w:val="24"/>
          <w:szCs w:val="24"/>
        </w:rPr>
        <w:t xml:space="preserve">, P. G., Reisberg, L., &amp; </w:t>
      </w:r>
      <w:proofErr w:type="spellStart"/>
      <w:r w:rsidRPr="007F244C">
        <w:rPr>
          <w:rFonts w:ascii="Times New Roman" w:eastAsia="Times New Roman" w:hAnsi="Times New Roman" w:cs="Times New Roman"/>
          <w:sz w:val="24"/>
          <w:szCs w:val="24"/>
        </w:rPr>
        <w:t>Rumbley</w:t>
      </w:r>
      <w:proofErr w:type="spellEnd"/>
      <w:r w:rsidRPr="007F244C">
        <w:rPr>
          <w:rFonts w:ascii="Times New Roman" w:eastAsia="Times New Roman" w:hAnsi="Times New Roman" w:cs="Times New Roman"/>
          <w:sz w:val="24"/>
          <w:szCs w:val="24"/>
        </w:rPr>
        <w:t xml:space="preserve">, L. E. (2019). </w:t>
      </w:r>
      <w:r w:rsidRPr="007F244C">
        <w:rPr>
          <w:rFonts w:ascii="Times New Roman" w:eastAsia="Times New Roman" w:hAnsi="Times New Roman" w:cs="Times New Roman"/>
          <w:i/>
          <w:iCs/>
          <w:sz w:val="24"/>
          <w:szCs w:val="24"/>
        </w:rPr>
        <w:t>Trends in global higher education</w:t>
      </w:r>
      <w:r w:rsidRPr="007F244C">
        <w:rPr>
          <w:rFonts w:ascii="Times New Roman" w:eastAsia="Times New Roman" w:hAnsi="Times New Roman" w:cs="Times New Roman"/>
          <w:sz w:val="24"/>
          <w:szCs w:val="24"/>
        </w:rPr>
        <w:t>. Brill.</w:t>
      </w:r>
    </w:p>
    <w:p w14:paraId="53B6E8C7" w14:textId="77777777" w:rsidR="00B749FC" w:rsidRPr="007F244C" w:rsidRDefault="00B749FC" w:rsidP="00B749FC">
      <w:pPr>
        <w:pStyle w:val="NormalWeb"/>
        <w:spacing w:after="0" w:afterAutospacing="0"/>
        <w:ind w:firstLine="720"/>
        <w:jc w:val="both"/>
      </w:pPr>
      <w:r w:rsidRPr="007F244C">
        <w:t xml:space="preserve">Ansell, C., &amp; </w:t>
      </w:r>
      <w:proofErr w:type="spellStart"/>
      <w:r w:rsidRPr="007F244C">
        <w:t>Torfing</w:t>
      </w:r>
      <w:proofErr w:type="spellEnd"/>
      <w:r w:rsidRPr="007F244C">
        <w:t xml:space="preserve">, J. (2018). </w:t>
      </w:r>
      <w:r w:rsidRPr="007F244C">
        <w:rPr>
          <w:rStyle w:val="Emphasis"/>
        </w:rPr>
        <w:t>Collaborative governance in theory and practice</w:t>
      </w:r>
      <w:r w:rsidRPr="007F244C">
        <w:t>. Routledge. https://doi.org/10.4324/9781315087108</w:t>
      </w:r>
    </w:p>
    <w:p w14:paraId="2B0D07FD" w14:textId="77777777" w:rsidR="00B749FC" w:rsidRPr="007F244C" w:rsidRDefault="00B749FC" w:rsidP="00B749FC">
      <w:pPr>
        <w:spacing w:before="100" w:beforeAutospacing="1" w:after="0" w:line="240" w:lineRule="auto"/>
        <w:ind w:firstLine="720"/>
        <w:jc w:val="both"/>
        <w:rPr>
          <w:rFonts w:ascii="Times New Roman" w:eastAsia="Times New Roman" w:hAnsi="Times New Roman" w:cs="Times New Roman"/>
          <w:sz w:val="24"/>
          <w:szCs w:val="24"/>
        </w:rPr>
      </w:pPr>
      <w:proofErr w:type="spellStart"/>
      <w:r w:rsidRPr="007F244C">
        <w:rPr>
          <w:rFonts w:ascii="Times New Roman" w:eastAsia="Times New Roman" w:hAnsi="Times New Roman" w:cs="Times New Roman"/>
          <w:sz w:val="24"/>
          <w:szCs w:val="24"/>
        </w:rPr>
        <w:t>Arowosegbe</w:t>
      </w:r>
      <w:proofErr w:type="spellEnd"/>
      <w:r w:rsidRPr="007F244C">
        <w:rPr>
          <w:rFonts w:ascii="Times New Roman" w:eastAsia="Times New Roman" w:hAnsi="Times New Roman" w:cs="Times New Roman"/>
          <w:sz w:val="24"/>
          <w:szCs w:val="24"/>
        </w:rPr>
        <w:t xml:space="preserve">, J. O. (2018). Student unionism and governance in African universities. </w:t>
      </w:r>
      <w:r w:rsidRPr="007F244C">
        <w:rPr>
          <w:rFonts w:ascii="Times New Roman" w:eastAsia="Times New Roman" w:hAnsi="Times New Roman" w:cs="Times New Roman"/>
          <w:i/>
          <w:iCs/>
          <w:sz w:val="24"/>
          <w:szCs w:val="24"/>
        </w:rPr>
        <w:t>Journal of Higher Education in Africa</w:t>
      </w:r>
      <w:r w:rsidRPr="007F244C">
        <w:rPr>
          <w:rFonts w:ascii="Times New Roman" w:eastAsia="Times New Roman" w:hAnsi="Times New Roman" w:cs="Times New Roman"/>
          <w:sz w:val="24"/>
          <w:szCs w:val="24"/>
        </w:rPr>
        <w:t>, 16(1), 45–63.</w:t>
      </w:r>
    </w:p>
    <w:p w14:paraId="2DF84BC1" w14:textId="77777777" w:rsidR="00B749FC" w:rsidRPr="007F244C" w:rsidRDefault="00B749FC" w:rsidP="00B749FC">
      <w:pPr>
        <w:pStyle w:val="NormalWeb"/>
        <w:spacing w:after="0" w:afterAutospacing="0"/>
        <w:ind w:firstLine="720"/>
        <w:jc w:val="both"/>
      </w:pPr>
      <w:proofErr w:type="spellStart"/>
      <w:r w:rsidRPr="007F244C">
        <w:lastRenderedPageBreak/>
        <w:t>Badat</w:t>
      </w:r>
      <w:proofErr w:type="spellEnd"/>
      <w:r w:rsidRPr="007F244C">
        <w:t xml:space="preserve">, S. (2016). Deciphering the meanings of student movements. </w:t>
      </w:r>
      <w:r w:rsidRPr="007F244C">
        <w:rPr>
          <w:rStyle w:val="Emphasis"/>
          <w:rFonts w:eastAsiaTheme="majorEastAsia"/>
        </w:rPr>
        <w:t>Journal of Higher Education in Africa, 14</w:t>
      </w:r>
      <w:r w:rsidRPr="007F244C">
        <w:t>(1), 1–18.</w:t>
      </w:r>
    </w:p>
    <w:p w14:paraId="297EF299" w14:textId="77777777" w:rsidR="00B749FC" w:rsidRPr="007F244C" w:rsidRDefault="00B749FC" w:rsidP="00B749FC">
      <w:pPr>
        <w:pStyle w:val="NormalWeb"/>
        <w:spacing w:after="0" w:afterAutospacing="0"/>
        <w:ind w:firstLine="720"/>
        <w:jc w:val="both"/>
      </w:pPr>
      <w:proofErr w:type="spellStart"/>
      <w:r w:rsidRPr="007F244C">
        <w:t>Baiocchi</w:t>
      </w:r>
      <w:proofErr w:type="spellEnd"/>
      <w:r w:rsidRPr="007F244C">
        <w:t xml:space="preserve">, G., &amp; </w:t>
      </w:r>
      <w:proofErr w:type="spellStart"/>
      <w:r w:rsidRPr="007F244C">
        <w:t>Ganuza</w:t>
      </w:r>
      <w:proofErr w:type="spellEnd"/>
      <w:r w:rsidRPr="007F244C">
        <w:t xml:space="preserve">, E. (2017). </w:t>
      </w:r>
      <w:r w:rsidRPr="007F244C">
        <w:rPr>
          <w:rStyle w:val="Emphasis"/>
        </w:rPr>
        <w:t>Popular democracy</w:t>
      </w:r>
      <w:r w:rsidRPr="007F244C">
        <w:t>. Stanford University Press.</w:t>
      </w:r>
    </w:p>
    <w:p w14:paraId="062D9600" w14:textId="77777777" w:rsidR="00B749FC" w:rsidRPr="007F244C" w:rsidRDefault="00B749FC" w:rsidP="00B749FC">
      <w:pPr>
        <w:spacing w:before="100" w:beforeAutospacing="1" w:after="0" w:line="240" w:lineRule="auto"/>
        <w:ind w:firstLine="720"/>
        <w:jc w:val="both"/>
        <w:rPr>
          <w:rFonts w:ascii="Times New Roman" w:eastAsia="Times New Roman" w:hAnsi="Times New Roman" w:cs="Times New Roman"/>
          <w:sz w:val="24"/>
          <w:szCs w:val="24"/>
        </w:rPr>
      </w:pPr>
      <w:r w:rsidRPr="007F244C">
        <w:rPr>
          <w:rFonts w:ascii="Times New Roman" w:eastAsia="Times New Roman" w:hAnsi="Times New Roman" w:cs="Times New Roman"/>
          <w:sz w:val="24"/>
          <w:szCs w:val="24"/>
        </w:rPr>
        <w:t xml:space="preserve">Bessant, J., &amp; Watts, R. (2017). Youth participation and democratic practice. </w:t>
      </w:r>
      <w:r w:rsidRPr="007F244C">
        <w:rPr>
          <w:rFonts w:ascii="Times New Roman" w:eastAsia="Times New Roman" w:hAnsi="Times New Roman" w:cs="Times New Roman"/>
          <w:i/>
          <w:iCs/>
          <w:sz w:val="24"/>
          <w:szCs w:val="24"/>
        </w:rPr>
        <w:t>Journal of Youth Studies</w:t>
      </w:r>
      <w:r w:rsidRPr="007F244C">
        <w:rPr>
          <w:rFonts w:ascii="Times New Roman" w:eastAsia="Times New Roman" w:hAnsi="Times New Roman" w:cs="Times New Roman"/>
          <w:sz w:val="24"/>
          <w:szCs w:val="24"/>
        </w:rPr>
        <w:t>, 20(3), 321–336. https://doi.org/10.1080/13676261.2016.1231864</w:t>
      </w:r>
    </w:p>
    <w:p w14:paraId="1DE03D3E" w14:textId="77777777" w:rsidR="00B749FC" w:rsidRPr="007F244C" w:rsidRDefault="00B749FC" w:rsidP="00B749FC">
      <w:pPr>
        <w:pStyle w:val="NormalWeb"/>
        <w:spacing w:after="0" w:afterAutospacing="0"/>
        <w:ind w:firstLine="720"/>
        <w:jc w:val="both"/>
      </w:pPr>
      <w:proofErr w:type="spellStart"/>
      <w:r w:rsidRPr="007F244C">
        <w:t>Bevir</w:t>
      </w:r>
      <w:proofErr w:type="spellEnd"/>
      <w:r w:rsidRPr="007F244C">
        <w:t xml:space="preserve">, M. (2019). </w:t>
      </w:r>
      <w:r w:rsidRPr="007F244C">
        <w:rPr>
          <w:rStyle w:val="Emphasis"/>
        </w:rPr>
        <w:t>Governance: A very short introduction</w:t>
      </w:r>
      <w:r w:rsidRPr="007F244C">
        <w:t>. Oxford University Press. (pp. 1–128)</w:t>
      </w:r>
    </w:p>
    <w:p w14:paraId="3E9A32B0" w14:textId="77777777" w:rsidR="00B749FC" w:rsidRPr="007F244C" w:rsidRDefault="00B749FC" w:rsidP="00B749FC">
      <w:pPr>
        <w:pStyle w:val="NormalWeb"/>
        <w:spacing w:after="0" w:afterAutospacing="0"/>
        <w:ind w:firstLine="720"/>
        <w:jc w:val="both"/>
      </w:pPr>
      <w:proofErr w:type="spellStart"/>
      <w:r w:rsidRPr="007F244C">
        <w:t>Boulianne</w:t>
      </w:r>
      <w:proofErr w:type="spellEnd"/>
      <w:r w:rsidRPr="007F244C">
        <w:t xml:space="preserve">, S. (2019). Revolution in the making? Social media effects across the globe. </w:t>
      </w:r>
      <w:r w:rsidRPr="007F244C">
        <w:rPr>
          <w:rStyle w:val="Emphasis"/>
        </w:rPr>
        <w:t>Information, Communication &amp; Society, 22</w:t>
      </w:r>
      <w:r w:rsidRPr="007F244C">
        <w:t>(1), 39–54. https://doi.org/10.1080/1369118X.2017.1353641</w:t>
      </w:r>
    </w:p>
    <w:p w14:paraId="3C97687F" w14:textId="77777777" w:rsidR="00B749FC" w:rsidRPr="007F244C" w:rsidRDefault="00B749FC" w:rsidP="00B749FC">
      <w:pPr>
        <w:pStyle w:val="NormalWeb"/>
        <w:spacing w:after="0" w:afterAutospacing="0"/>
        <w:ind w:firstLine="720"/>
        <w:jc w:val="both"/>
      </w:pPr>
      <w:proofErr w:type="spellStart"/>
      <w:r w:rsidRPr="007F244C">
        <w:t>Bovens</w:t>
      </w:r>
      <w:proofErr w:type="spellEnd"/>
      <w:r w:rsidRPr="007F244C">
        <w:t xml:space="preserve">, M. (2007). </w:t>
      </w:r>
      <w:proofErr w:type="spellStart"/>
      <w:r w:rsidRPr="007F244C">
        <w:t>Analysing</w:t>
      </w:r>
      <w:proofErr w:type="spellEnd"/>
      <w:r w:rsidRPr="007F244C">
        <w:t xml:space="preserve"> and assessing accountability. </w:t>
      </w:r>
      <w:r w:rsidRPr="007F244C">
        <w:rPr>
          <w:rStyle w:val="Emphasis"/>
        </w:rPr>
        <w:t>European Law Journal, 13</w:t>
      </w:r>
      <w:r w:rsidRPr="007F244C">
        <w:t xml:space="preserve">(4), 447–468. </w:t>
      </w:r>
      <w:hyperlink r:id="rId11" w:tgtFrame="_new" w:history="1">
        <w:r w:rsidRPr="007F244C">
          <w:rPr>
            <w:rStyle w:val="Hyperlink"/>
          </w:rPr>
          <w:t>https://doi.org/10.1111/j.1468-0386.2007.00378.x</w:t>
        </w:r>
      </w:hyperlink>
    </w:p>
    <w:p w14:paraId="1790B2D2" w14:textId="77777777" w:rsidR="00B749FC" w:rsidRPr="007F244C" w:rsidRDefault="00B749FC" w:rsidP="00B749FC">
      <w:pPr>
        <w:spacing w:before="100" w:beforeAutospacing="1" w:after="0" w:line="240" w:lineRule="auto"/>
        <w:ind w:firstLine="720"/>
        <w:jc w:val="both"/>
        <w:rPr>
          <w:rFonts w:ascii="Times New Roman" w:eastAsia="Times New Roman" w:hAnsi="Times New Roman" w:cs="Times New Roman"/>
          <w:sz w:val="24"/>
          <w:szCs w:val="24"/>
        </w:rPr>
      </w:pPr>
      <w:proofErr w:type="spellStart"/>
      <w:r w:rsidRPr="007F244C">
        <w:rPr>
          <w:rFonts w:ascii="Times New Roman" w:eastAsia="Times New Roman" w:hAnsi="Times New Roman" w:cs="Times New Roman"/>
          <w:sz w:val="24"/>
          <w:szCs w:val="24"/>
        </w:rPr>
        <w:t>Bovens</w:t>
      </w:r>
      <w:proofErr w:type="spellEnd"/>
      <w:r w:rsidRPr="007F244C">
        <w:rPr>
          <w:rFonts w:ascii="Times New Roman" w:eastAsia="Times New Roman" w:hAnsi="Times New Roman" w:cs="Times New Roman"/>
          <w:sz w:val="24"/>
          <w:szCs w:val="24"/>
        </w:rPr>
        <w:t xml:space="preserve">, M. (2019). Public accountability revisited. </w:t>
      </w:r>
      <w:r w:rsidRPr="007F244C">
        <w:rPr>
          <w:rFonts w:ascii="Times New Roman" w:eastAsia="Times New Roman" w:hAnsi="Times New Roman" w:cs="Times New Roman"/>
          <w:i/>
          <w:iCs/>
          <w:sz w:val="24"/>
          <w:szCs w:val="24"/>
        </w:rPr>
        <w:t>Public Administration</w:t>
      </w:r>
      <w:r w:rsidRPr="007F244C">
        <w:rPr>
          <w:rFonts w:ascii="Times New Roman" w:eastAsia="Times New Roman" w:hAnsi="Times New Roman" w:cs="Times New Roman"/>
          <w:sz w:val="24"/>
          <w:szCs w:val="24"/>
        </w:rPr>
        <w:t>, 97(1), 1–16. https://doi.org/10.1111/padm.12535</w:t>
      </w:r>
    </w:p>
    <w:p w14:paraId="2528DE3C" w14:textId="77777777" w:rsidR="00B749FC" w:rsidRPr="007F244C" w:rsidRDefault="00B749FC" w:rsidP="00B749FC">
      <w:pPr>
        <w:pStyle w:val="NormalWeb"/>
        <w:spacing w:after="0" w:afterAutospacing="0"/>
        <w:ind w:firstLine="720"/>
        <w:jc w:val="both"/>
      </w:pPr>
      <w:proofErr w:type="spellStart"/>
      <w:r w:rsidRPr="007F244C">
        <w:t>Bovens</w:t>
      </w:r>
      <w:proofErr w:type="spellEnd"/>
      <w:r w:rsidRPr="007F244C">
        <w:t xml:space="preserve">, M., </w:t>
      </w:r>
      <w:proofErr w:type="spellStart"/>
      <w:r w:rsidRPr="007F244C">
        <w:t>Goodin</w:t>
      </w:r>
      <w:proofErr w:type="spellEnd"/>
      <w:r w:rsidRPr="007F244C">
        <w:t xml:space="preserve">, R. E., &amp; </w:t>
      </w:r>
      <w:proofErr w:type="spellStart"/>
      <w:r w:rsidRPr="007F244C">
        <w:t>Schillemans</w:t>
      </w:r>
      <w:proofErr w:type="spellEnd"/>
      <w:r w:rsidRPr="007F244C">
        <w:t xml:space="preserve">, T. (2014). </w:t>
      </w:r>
      <w:r w:rsidRPr="007F244C">
        <w:rPr>
          <w:rStyle w:val="Emphasis"/>
          <w:rFonts w:eastAsiaTheme="majorEastAsia"/>
        </w:rPr>
        <w:t>The Oxford handbook of public accountability</w:t>
      </w:r>
      <w:r w:rsidRPr="007F244C">
        <w:t>. Oxford University Press.</w:t>
      </w:r>
    </w:p>
    <w:p w14:paraId="2BE26343" w14:textId="77777777" w:rsidR="00B749FC" w:rsidRPr="007F244C" w:rsidRDefault="00B749FC" w:rsidP="00B749FC">
      <w:pPr>
        <w:pStyle w:val="NormalWeb"/>
        <w:spacing w:after="0" w:afterAutospacing="0"/>
        <w:ind w:firstLine="720"/>
        <w:jc w:val="both"/>
      </w:pPr>
      <w:proofErr w:type="spellStart"/>
      <w:r w:rsidRPr="007F244C">
        <w:t>Bovens</w:t>
      </w:r>
      <w:proofErr w:type="spellEnd"/>
      <w:r w:rsidRPr="007F244C">
        <w:t xml:space="preserve">, M., </w:t>
      </w:r>
      <w:proofErr w:type="spellStart"/>
      <w:r w:rsidRPr="007F244C">
        <w:t>Goodin</w:t>
      </w:r>
      <w:proofErr w:type="spellEnd"/>
      <w:r w:rsidRPr="007F244C">
        <w:t xml:space="preserve">, R. E., &amp; </w:t>
      </w:r>
      <w:proofErr w:type="spellStart"/>
      <w:r w:rsidRPr="007F244C">
        <w:t>Schillemans</w:t>
      </w:r>
      <w:proofErr w:type="spellEnd"/>
      <w:r w:rsidRPr="007F244C">
        <w:t xml:space="preserve">, T. (2018). </w:t>
      </w:r>
      <w:r w:rsidRPr="007F244C">
        <w:rPr>
          <w:rStyle w:val="Emphasis"/>
        </w:rPr>
        <w:t>The Oxford handbook of public accountability</w:t>
      </w:r>
      <w:r w:rsidRPr="007F244C">
        <w:t xml:space="preserve">. Oxford University </w:t>
      </w:r>
      <w:proofErr w:type="spellStart"/>
      <w:r w:rsidRPr="007F244C">
        <w:t>Press.</w:t>
      </w:r>
      <w:hyperlink r:id="rId12" w:tgtFrame="_new" w:history="1">
        <w:r w:rsidRPr="007F244C">
          <w:rPr>
            <w:rStyle w:val="Hyperlink"/>
          </w:rPr>
          <w:t>https</w:t>
        </w:r>
        <w:proofErr w:type="spellEnd"/>
        <w:r w:rsidRPr="007F244C">
          <w:rPr>
            <w:rStyle w:val="Hyperlink"/>
          </w:rPr>
          <w:t>://doi.org/10.1093/</w:t>
        </w:r>
        <w:proofErr w:type="spellStart"/>
        <w:r w:rsidRPr="007F244C">
          <w:rPr>
            <w:rStyle w:val="Hyperlink"/>
          </w:rPr>
          <w:t>oxfordhb</w:t>
        </w:r>
        <w:proofErr w:type="spellEnd"/>
        <w:r w:rsidRPr="007F244C">
          <w:rPr>
            <w:rStyle w:val="Hyperlink"/>
          </w:rPr>
          <w:t>/9780199641253.001.0001</w:t>
        </w:r>
      </w:hyperlink>
    </w:p>
    <w:p w14:paraId="2706D569" w14:textId="77777777" w:rsidR="00B749FC" w:rsidRPr="007F244C" w:rsidRDefault="00B749FC" w:rsidP="00B749FC">
      <w:pPr>
        <w:pStyle w:val="NormalWeb"/>
        <w:spacing w:after="0" w:afterAutospacing="0"/>
        <w:ind w:firstLine="720"/>
        <w:jc w:val="both"/>
      </w:pPr>
      <w:proofErr w:type="spellStart"/>
      <w:r w:rsidRPr="007F244C">
        <w:t>Bovill</w:t>
      </w:r>
      <w:proofErr w:type="spellEnd"/>
      <w:r w:rsidRPr="007F244C">
        <w:t xml:space="preserve">, C. (2020). </w:t>
      </w:r>
      <w:r w:rsidRPr="007F244C">
        <w:rPr>
          <w:rStyle w:val="Emphasis"/>
        </w:rPr>
        <w:t>Co-creation in learning and teaching</w:t>
      </w:r>
      <w:r w:rsidRPr="007F244C">
        <w:t>. Routledge. https://doi.org/10.4324/9780429465191</w:t>
      </w:r>
    </w:p>
    <w:p w14:paraId="4C35EF57" w14:textId="77777777" w:rsidR="00B749FC" w:rsidRPr="007F244C" w:rsidRDefault="00B749FC" w:rsidP="00B749FC">
      <w:pPr>
        <w:pStyle w:val="NormalWeb"/>
        <w:spacing w:after="0" w:afterAutospacing="0"/>
        <w:ind w:firstLine="720"/>
        <w:jc w:val="both"/>
      </w:pPr>
      <w:r w:rsidRPr="007F244C">
        <w:t xml:space="preserve">Braun, V., &amp; Clarke, V. (2021). One size </w:t>
      </w:r>
      <w:proofErr w:type="gramStart"/>
      <w:r w:rsidRPr="007F244C">
        <w:t>fits</w:t>
      </w:r>
      <w:proofErr w:type="gramEnd"/>
      <w:r w:rsidRPr="007F244C">
        <w:t xml:space="preserve"> all? What counts as quality practice in thematic </w:t>
      </w:r>
      <w:proofErr w:type="gramStart"/>
      <w:r w:rsidRPr="007F244C">
        <w:t>analysis.</w:t>
      </w:r>
      <w:proofErr w:type="gramEnd"/>
      <w:r w:rsidRPr="007F244C">
        <w:t xml:space="preserve"> </w:t>
      </w:r>
      <w:r w:rsidRPr="007F244C">
        <w:rPr>
          <w:rStyle w:val="Emphasis"/>
        </w:rPr>
        <w:t>Qualitative Research in Psychology, 18</w:t>
      </w:r>
      <w:r w:rsidRPr="007F244C">
        <w:t xml:space="preserve">(3), 328–352. </w:t>
      </w:r>
      <w:hyperlink r:id="rId13" w:tgtFrame="_new" w:history="1">
        <w:r w:rsidRPr="007F244C">
          <w:rPr>
            <w:rStyle w:val="Hyperlink"/>
          </w:rPr>
          <w:t>https://doi.org/10.1080/14780887.2020.1769238</w:t>
        </w:r>
      </w:hyperlink>
    </w:p>
    <w:p w14:paraId="4C2BC069" w14:textId="77777777" w:rsidR="00B749FC" w:rsidRPr="007F244C" w:rsidRDefault="00B749FC" w:rsidP="00B749FC">
      <w:pPr>
        <w:pStyle w:val="NormalWeb"/>
        <w:spacing w:after="0" w:afterAutospacing="0"/>
        <w:ind w:firstLine="720"/>
        <w:jc w:val="both"/>
      </w:pPr>
      <w:r w:rsidRPr="007F244C">
        <w:t xml:space="preserve">Brooks, R., Byford, K., &amp; Sela, K. (2016). Students’ unions and political engagement. </w:t>
      </w:r>
      <w:r w:rsidRPr="007F244C">
        <w:rPr>
          <w:rStyle w:val="Emphasis"/>
          <w:rFonts w:eastAsiaTheme="majorEastAsia"/>
        </w:rPr>
        <w:t>British Journal of Sociology of Education, 37</w:t>
      </w:r>
      <w:r w:rsidRPr="007F244C">
        <w:t>(6), 898–915. https://doi.org/10.1080/01425692.2015.1044073</w:t>
      </w:r>
    </w:p>
    <w:p w14:paraId="458153E3" w14:textId="77777777" w:rsidR="00B749FC" w:rsidRPr="007F244C" w:rsidRDefault="00B749FC" w:rsidP="00B749FC">
      <w:pPr>
        <w:pStyle w:val="NormalWeb"/>
        <w:spacing w:after="0" w:afterAutospacing="0"/>
        <w:ind w:firstLine="720"/>
        <w:jc w:val="both"/>
      </w:pPr>
      <w:r w:rsidRPr="007F244C">
        <w:t xml:space="preserve">Bryman, A. (2016). </w:t>
      </w:r>
      <w:r w:rsidRPr="007F244C">
        <w:rPr>
          <w:rStyle w:val="Emphasis"/>
        </w:rPr>
        <w:t>Social research methods</w:t>
      </w:r>
      <w:r w:rsidRPr="007F244C">
        <w:t xml:space="preserve"> (5th ed.). Oxford University Press. (pp. 35–68)</w:t>
      </w:r>
    </w:p>
    <w:p w14:paraId="0D7BF9D8" w14:textId="77777777" w:rsidR="00B749FC" w:rsidRPr="007F244C" w:rsidRDefault="00B749FC" w:rsidP="00B749FC">
      <w:pPr>
        <w:pStyle w:val="NormalWeb"/>
        <w:spacing w:after="0" w:afterAutospacing="0"/>
        <w:ind w:firstLine="720"/>
        <w:jc w:val="both"/>
      </w:pPr>
      <w:r w:rsidRPr="007F244C">
        <w:t xml:space="preserve">Carey, P. (2018). Student participation in university governance. </w:t>
      </w:r>
      <w:r w:rsidRPr="007F244C">
        <w:rPr>
          <w:rStyle w:val="Emphasis"/>
          <w:rFonts w:eastAsiaTheme="majorEastAsia"/>
        </w:rPr>
        <w:t>Studies in Higher Education, 43</w:t>
      </w:r>
      <w:r w:rsidRPr="007F244C">
        <w:t xml:space="preserve">(7), 1293–1309. </w:t>
      </w:r>
    </w:p>
    <w:p w14:paraId="682C86CB" w14:textId="77777777" w:rsidR="00B749FC" w:rsidRPr="007F244C" w:rsidRDefault="00B749FC" w:rsidP="00B749FC">
      <w:pPr>
        <w:pStyle w:val="NormalWeb"/>
        <w:spacing w:after="0" w:afterAutospacing="0"/>
        <w:ind w:firstLine="720"/>
        <w:jc w:val="both"/>
      </w:pPr>
      <w:r w:rsidRPr="007F244C">
        <w:t xml:space="preserve">Carey, P. (2020). Student governance, representation and engagement. </w:t>
      </w:r>
      <w:r w:rsidRPr="007F244C">
        <w:rPr>
          <w:rStyle w:val="Emphasis"/>
        </w:rPr>
        <w:t>Studies in Higher Education, 45</w:t>
      </w:r>
      <w:r w:rsidRPr="007F244C">
        <w:t>(8), 1625–1638. https://doi.org/10.1080/03075079.2019.1582013</w:t>
      </w:r>
    </w:p>
    <w:p w14:paraId="0F3C03D9" w14:textId="77777777" w:rsidR="00B749FC" w:rsidRPr="007F244C" w:rsidRDefault="00B749FC" w:rsidP="00B749FC">
      <w:pPr>
        <w:pStyle w:val="NormalWeb"/>
        <w:spacing w:after="0" w:afterAutospacing="0"/>
        <w:ind w:firstLine="720"/>
        <w:jc w:val="both"/>
      </w:pPr>
      <w:proofErr w:type="spellStart"/>
      <w:r w:rsidRPr="007F244C">
        <w:t>Checkel</w:t>
      </w:r>
      <w:proofErr w:type="spellEnd"/>
      <w:r w:rsidRPr="007F244C">
        <w:t xml:space="preserve">, J. T. (2017). Process tracing and the study of participation. </w:t>
      </w:r>
      <w:r w:rsidRPr="007F244C">
        <w:rPr>
          <w:rStyle w:val="Emphasis"/>
          <w:rFonts w:eastAsiaTheme="majorEastAsia"/>
        </w:rPr>
        <w:t>Sociological Methods &amp; Research, 46</w:t>
      </w:r>
      <w:r w:rsidRPr="007F244C">
        <w:t>(3), 397–433. https://doi.org/10.1177/0049124115617402</w:t>
      </w:r>
    </w:p>
    <w:p w14:paraId="0C6C571B" w14:textId="77777777" w:rsidR="00B749FC" w:rsidRPr="007F244C" w:rsidRDefault="00B749FC" w:rsidP="00B749FC">
      <w:pPr>
        <w:pStyle w:val="NormalWeb"/>
        <w:spacing w:after="0" w:afterAutospacing="0"/>
        <w:ind w:firstLine="720"/>
        <w:jc w:val="both"/>
      </w:pPr>
      <w:r w:rsidRPr="007F244C">
        <w:t xml:space="preserve">Clayton, A. (2019). Women’s political engagement and leadership. </w:t>
      </w:r>
      <w:r w:rsidRPr="007F244C">
        <w:rPr>
          <w:rStyle w:val="Emphasis"/>
        </w:rPr>
        <w:t>Comparative Political Studies, 52</w:t>
      </w:r>
      <w:r w:rsidRPr="007F244C">
        <w:t>(5), 714–</w:t>
      </w:r>
      <w:r w:rsidRPr="007F244C">
        <w:lastRenderedPageBreak/>
        <w:t>748. https://doi.org/10.1177/0010414018797947</w:t>
      </w:r>
    </w:p>
    <w:p w14:paraId="33564DEC" w14:textId="77777777" w:rsidR="00B749FC" w:rsidRPr="007F244C" w:rsidRDefault="00B749FC" w:rsidP="00B749FC">
      <w:pPr>
        <w:pStyle w:val="NormalWeb"/>
        <w:spacing w:after="0" w:afterAutospacing="0"/>
        <w:ind w:firstLine="720"/>
        <w:jc w:val="both"/>
      </w:pPr>
      <w:r w:rsidRPr="007F244C">
        <w:t xml:space="preserve">Cohen, J. (1988). </w:t>
      </w:r>
      <w:r w:rsidRPr="007F244C">
        <w:rPr>
          <w:rStyle w:val="Emphasis"/>
        </w:rPr>
        <w:t xml:space="preserve">Statistical power analysis for the </w:t>
      </w:r>
      <w:proofErr w:type="spellStart"/>
      <w:r w:rsidRPr="007F244C">
        <w:rPr>
          <w:rStyle w:val="Emphasis"/>
        </w:rPr>
        <w:t>behavioural</w:t>
      </w:r>
      <w:proofErr w:type="spellEnd"/>
      <w:r w:rsidRPr="007F244C">
        <w:rPr>
          <w:rStyle w:val="Emphasis"/>
        </w:rPr>
        <w:t xml:space="preserve"> sciences</w:t>
      </w:r>
      <w:r w:rsidRPr="007F244C">
        <w:t xml:space="preserve"> (2nd ed.). Lawrence Erlbaum.</w:t>
      </w:r>
    </w:p>
    <w:p w14:paraId="10F82989" w14:textId="77777777" w:rsidR="00B749FC" w:rsidRPr="007F244C" w:rsidRDefault="00B749FC" w:rsidP="00B749FC">
      <w:pPr>
        <w:pStyle w:val="NormalWeb"/>
        <w:spacing w:after="0" w:afterAutospacing="0"/>
        <w:ind w:firstLine="720"/>
        <w:jc w:val="both"/>
      </w:pPr>
      <w:r w:rsidRPr="007F244C">
        <w:t xml:space="preserve">Cohen, L., Manion, L., &amp; Morrison, K. (2018). </w:t>
      </w:r>
      <w:r w:rsidRPr="007F244C">
        <w:rPr>
          <w:rStyle w:val="Emphasis"/>
        </w:rPr>
        <w:t>Research methods in education</w:t>
      </w:r>
      <w:r w:rsidRPr="007F244C">
        <w:t xml:space="preserve"> (8th ed.). Routledge. (pp. 217–250)</w:t>
      </w:r>
    </w:p>
    <w:p w14:paraId="1B5E153C" w14:textId="77777777" w:rsidR="00B749FC" w:rsidRPr="007F244C" w:rsidRDefault="00B749FC" w:rsidP="00B749FC">
      <w:pPr>
        <w:pStyle w:val="NormalWeb"/>
        <w:spacing w:after="0" w:afterAutospacing="0"/>
        <w:ind w:firstLine="720"/>
        <w:jc w:val="both"/>
      </w:pPr>
      <w:r w:rsidRPr="007F244C">
        <w:t xml:space="preserve">Cooke, B., &amp; Kothari, U. (2019). </w:t>
      </w:r>
      <w:r w:rsidRPr="007F244C">
        <w:rPr>
          <w:rStyle w:val="Emphasis"/>
          <w:rFonts w:eastAsiaTheme="majorEastAsia"/>
        </w:rPr>
        <w:t>Participation: The new tyranny?</w:t>
      </w:r>
      <w:r w:rsidRPr="007F244C">
        <w:t xml:space="preserve"> Zed Books.</w:t>
      </w:r>
    </w:p>
    <w:p w14:paraId="03615593" w14:textId="77777777" w:rsidR="00B749FC" w:rsidRPr="007F244C" w:rsidRDefault="00B749FC" w:rsidP="00B749FC">
      <w:pPr>
        <w:pStyle w:val="NormalWeb"/>
        <w:spacing w:after="0" w:afterAutospacing="0"/>
        <w:ind w:firstLine="720"/>
        <w:jc w:val="both"/>
      </w:pPr>
      <w:r w:rsidRPr="007F244C">
        <w:t xml:space="preserve">Creswell, J. W., &amp; Creswell, J. D. (2018). </w:t>
      </w:r>
      <w:r w:rsidRPr="007F244C">
        <w:rPr>
          <w:rStyle w:val="Emphasis"/>
        </w:rPr>
        <w:t>Research design</w:t>
      </w:r>
      <w:r w:rsidRPr="007F244C">
        <w:t xml:space="preserve"> (5th ed.). Sage.</w:t>
      </w:r>
    </w:p>
    <w:p w14:paraId="481C9369" w14:textId="77777777" w:rsidR="00B749FC" w:rsidRPr="007F244C" w:rsidRDefault="00B749FC" w:rsidP="00B749FC">
      <w:pPr>
        <w:pStyle w:val="NormalWeb"/>
        <w:spacing w:after="0" w:afterAutospacing="0"/>
        <w:ind w:firstLine="720"/>
        <w:jc w:val="both"/>
      </w:pPr>
      <w:r w:rsidRPr="007F244C">
        <w:t xml:space="preserve">Creswell, J. W., &amp; Plano Clark, V. L. (2018). </w:t>
      </w:r>
      <w:r w:rsidRPr="007F244C">
        <w:rPr>
          <w:rStyle w:val="Emphasis"/>
        </w:rPr>
        <w:t>Designing and conducting mixed methods research</w:t>
      </w:r>
      <w:r w:rsidRPr="007F244C">
        <w:t xml:space="preserve"> (3rd ed.). SAGE. (pp. 5–38)</w:t>
      </w:r>
    </w:p>
    <w:p w14:paraId="0B500707" w14:textId="77777777" w:rsidR="00B749FC" w:rsidRPr="007F244C" w:rsidRDefault="00B749FC" w:rsidP="00B749FC">
      <w:pPr>
        <w:spacing w:before="100" w:beforeAutospacing="1" w:after="0" w:line="240" w:lineRule="auto"/>
        <w:ind w:firstLine="720"/>
        <w:jc w:val="both"/>
        <w:rPr>
          <w:rFonts w:ascii="Times New Roman" w:eastAsia="Times New Roman" w:hAnsi="Times New Roman" w:cs="Times New Roman"/>
          <w:sz w:val="24"/>
          <w:szCs w:val="24"/>
        </w:rPr>
      </w:pPr>
      <w:r w:rsidRPr="007F244C">
        <w:rPr>
          <w:rFonts w:ascii="Times New Roman" w:eastAsia="Times New Roman" w:hAnsi="Times New Roman" w:cs="Times New Roman"/>
          <w:sz w:val="24"/>
          <w:szCs w:val="24"/>
        </w:rPr>
        <w:t xml:space="preserve">Creswell, J. W., &amp; Poth, C. N. (2018). </w:t>
      </w:r>
      <w:r w:rsidRPr="007F244C">
        <w:rPr>
          <w:rFonts w:ascii="Times New Roman" w:eastAsia="Times New Roman" w:hAnsi="Times New Roman" w:cs="Times New Roman"/>
          <w:i/>
          <w:iCs/>
          <w:sz w:val="24"/>
          <w:szCs w:val="24"/>
        </w:rPr>
        <w:t>Qualitative inquiry and research design</w:t>
      </w:r>
      <w:r w:rsidRPr="007F244C">
        <w:rPr>
          <w:rFonts w:ascii="Times New Roman" w:eastAsia="Times New Roman" w:hAnsi="Times New Roman" w:cs="Times New Roman"/>
          <w:sz w:val="24"/>
          <w:szCs w:val="24"/>
        </w:rPr>
        <w:t xml:space="preserve"> (4th ed.). Sage.</w:t>
      </w:r>
    </w:p>
    <w:p w14:paraId="182A4FE4" w14:textId="77777777" w:rsidR="00B749FC" w:rsidRPr="007F244C" w:rsidRDefault="00B749FC" w:rsidP="00B749FC">
      <w:pPr>
        <w:pStyle w:val="NormalWeb"/>
        <w:spacing w:after="0" w:afterAutospacing="0"/>
        <w:ind w:firstLine="720"/>
        <w:jc w:val="both"/>
      </w:pPr>
      <w:r w:rsidRPr="007F244C">
        <w:t xml:space="preserve">Dalton, R. J. (2017). </w:t>
      </w:r>
      <w:r w:rsidRPr="007F244C">
        <w:rPr>
          <w:rStyle w:val="Emphasis"/>
        </w:rPr>
        <w:t xml:space="preserve">The participation </w:t>
      </w:r>
      <w:proofErr w:type="gramStart"/>
      <w:r w:rsidRPr="007F244C">
        <w:rPr>
          <w:rStyle w:val="Emphasis"/>
        </w:rPr>
        <w:t>gap</w:t>
      </w:r>
      <w:proofErr w:type="gramEnd"/>
      <w:r w:rsidRPr="007F244C">
        <w:t>. Oxford University Press.</w:t>
      </w:r>
    </w:p>
    <w:p w14:paraId="2A47A815" w14:textId="77777777" w:rsidR="00B749FC" w:rsidRPr="007F244C" w:rsidRDefault="00B749FC" w:rsidP="00B749FC">
      <w:pPr>
        <w:pStyle w:val="NormalWeb"/>
        <w:spacing w:after="0" w:afterAutospacing="0"/>
        <w:ind w:firstLine="720"/>
        <w:jc w:val="both"/>
      </w:pPr>
      <w:proofErr w:type="spellStart"/>
      <w:r w:rsidRPr="007F244C">
        <w:t>DeVellis</w:t>
      </w:r>
      <w:proofErr w:type="spellEnd"/>
      <w:r w:rsidRPr="007F244C">
        <w:t xml:space="preserve">, R. F. (2017). </w:t>
      </w:r>
      <w:r w:rsidRPr="007F244C">
        <w:rPr>
          <w:rStyle w:val="Emphasis"/>
        </w:rPr>
        <w:t>Scale development: Theory and applications</w:t>
      </w:r>
      <w:r w:rsidRPr="007F244C">
        <w:t xml:space="preserve"> (4th ed.). SAGE. (pp. 73–95)</w:t>
      </w:r>
    </w:p>
    <w:p w14:paraId="1A0807B2" w14:textId="77777777" w:rsidR="00B749FC" w:rsidRPr="007F244C" w:rsidRDefault="00B749FC" w:rsidP="00B749FC">
      <w:pPr>
        <w:pStyle w:val="NormalWeb"/>
        <w:spacing w:after="0" w:afterAutospacing="0"/>
        <w:ind w:firstLine="720"/>
        <w:jc w:val="both"/>
      </w:pPr>
      <w:r w:rsidRPr="007F244C">
        <w:t xml:space="preserve">Ellison, N. B., </w:t>
      </w:r>
      <w:proofErr w:type="spellStart"/>
      <w:r w:rsidRPr="007F244C">
        <w:t>Steinfield</w:t>
      </w:r>
      <w:proofErr w:type="spellEnd"/>
      <w:r w:rsidRPr="007F244C">
        <w:t xml:space="preserve">, C., &amp; Lampe, C. (2016). Social network sites and social capital. </w:t>
      </w:r>
      <w:r w:rsidRPr="007F244C">
        <w:rPr>
          <w:rStyle w:val="Emphasis"/>
        </w:rPr>
        <w:t>Journal of Computer-Mediated Communication</w:t>
      </w:r>
      <w:r w:rsidRPr="007F244C">
        <w:t>, 22(1), 1–17. https://doi.org/10.1111/jcc4.12190</w:t>
      </w:r>
    </w:p>
    <w:p w14:paraId="411BF7E1" w14:textId="77777777" w:rsidR="00B749FC" w:rsidRPr="007F244C" w:rsidRDefault="00B749FC" w:rsidP="00B749FC">
      <w:pPr>
        <w:pStyle w:val="NormalWeb"/>
        <w:spacing w:after="0" w:afterAutospacing="0"/>
        <w:ind w:firstLine="720"/>
        <w:jc w:val="both"/>
      </w:pPr>
      <w:r w:rsidRPr="007F244C">
        <w:t xml:space="preserve">Field, A. (2018). </w:t>
      </w:r>
      <w:r w:rsidRPr="007F244C">
        <w:rPr>
          <w:rStyle w:val="Emphasis"/>
        </w:rPr>
        <w:t>Discovering statistics using IBM SPSS statistics</w:t>
      </w:r>
      <w:r w:rsidRPr="007F244C">
        <w:t xml:space="preserve"> (5th ed.). SAGE. (pp. 131–180)</w:t>
      </w:r>
    </w:p>
    <w:p w14:paraId="69013FC3" w14:textId="77777777" w:rsidR="00B749FC" w:rsidRPr="007F244C" w:rsidRDefault="00B749FC" w:rsidP="00B749FC">
      <w:pPr>
        <w:pStyle w:val="NormalWeb"/>
        <w:spacing w:after="0" w:afterAutospacing="0"/>
        <w:ind w:firstLine="720"/>
        <w:jc w:val="both"/>
      </w:pPr>
      <w:r w:rsidRPr="007F244C">
        <w:t xml:space="preserve">Fowler, F. J. (2016). </w:t>
      </w:r>
      <w:r w:rsidRPr="007F244C">
        <w:rPr>
          <w:rStyle w:val="Emphasis"/>
        </w:rPr>
        <w:t>Survey research methods</w:t>
      </w:r>
      <w:r w:rsidRPr="007F244C">
        <w:t xml:space="preserve"> (5th ed.). SAGE. (pp. 89–120)</w:t>
      </w:r>
    </w:p>
    <w:p w14:paraId="6FF8118D" w14:textId="77777777" w:rsidR="00B749FC" w:rsidRPr="007F244C" w:rsidRDefault="00B749FC" w:rsidP="00B749FC">
      <w:pPr>
        <w:pStyle w:val="NormalWeb"/>
        <w:spacing w:after="0" w:afterAutospacing="0"/>
        <w:ind w:firstLine="720"/>
        <w:jc w:val="both"/>
      </w:pPr>
      <w:r w:rsidRPr="007F244C">
        <w:t xml:space="preserve">Fox, J. (2015). Social accountability. </w:t>
      </w:r>
      <w:r w:rsidRPr="007F244C">
        <w:rPr>
          <w:rStyle w:val="Emphasis"/>
        </w:rPr>
        <w:t>World Development</w:t>
      </w:r>
      <w:r w:rsidRPr="007F244C">
        <w:t>, 72, 346–361. https://doi.org/10.1016/j.worlddev.2015.03.006</w:t>
      </w:r>
    </w:p>
    <w:p w14:paraId="1AC635C7" w14:textId="77777777" w:rsidR="00B749FC" w:rsidRPr="007F244C" w:rsidRDefault="00B749FC" w:rsidP="00B749FC">
      <w:pPr>
        <w:pStyle w:val="NormalWeb"/>
        <w:spacing w:after="0" w:afterAutospacing="0"/>
        <w:ind w:firstLine="720"/>
        <w:jc w:val="both"/>
      </w:pPr>
      <w:r w:rsidRPr="007F244C">
        <w:t xml:space="preserve">Fung, A. (2015). Putting the public back into governance. </w:t>
      </w:r>
      <w:r w:rsidRPr="007F244C">
        <w:rPr>
          <w:rStyle w:val="Emphasis"/>
        </w:rPr>
        <w:t>Public Administration Review</w:t>
      </w:r>
      <w:r w:rsidRPr="007F244C">
        <w:t>, 75(4), 513–522. https://doi.org/10.1111/puar.12361</w:t>
      </w:r>
    </w:p>
    <w:p w14:paraId="4109C7F8" w14:textId="77777777" w:rsidR="00B749FC" w:rsidRPr="007F244C" w:rsidRDefault="00B749FC" w:rsidP="00B749FC">
      <w:pPr>
        <w:pStyle w:val="NormalWeb"/>
        <w:spacing w:after="0" w:afterAutospacing="0"/>
        <w:ind w:firstLine="720"/>
        <w:jc w:val="both"/>
      </w:pPr>
      <w:r w:rsidRPr="007F244C">
        <w:t xml:space="preserve">Fung, A., &amp; Wright, E. O. (2017). </w:t>
      </w:r>
      <w:r w:rsidRPr="007F244C">
        <w:rPr>
          <w:rStyle w:val="Emphasis"/>
        </w:rPr>
        <w:t>Deepening democracy</w:t>
      </w:r>
      <w:r w:rsidRPr="007F244C">
        <w:t>. Verso.</w:t>
      </w:r>
    </w:p>
    <w:p w14:paraId="2F49432C" w14:textId="77777777" w:rsidR="00B749FC" w:rsidRPr="007F244C" w:rsidRDefault="00B749FC" w:rsidP="00B749FC">
      <w:pPr>
        <w:pStyle w:val="NormalWeb"/>
        <w:spacing w:after="0" w:afterAutospacing="0"/>
        <w:ind w:firstLine="720"/>
        <w:jc w:val="both"/>
      </w:pPr>
      <w:proofErr w:type="spellStart"/>
      <w:r w:rsidRPr="007F244C">
        <w:t>Gaventa</w:t>
      </w:r>
      <w:proofErr w:type="spellEnd"/>
      <w:r w:rsidRPr="007F244C">
        <w:t xml:space="preserve">, J., &amp; Barrett, G. (2012). Mapping the outcomes of citizen engagement. </w:t>
      </w:r>
      <w:r w:rsidRPr="007F244C">
        <w:rPr>
          <w:rStyle w:val="Emphasis"/>
          <w:rFonts w:eastAsiaTheme="majorEastAsia"/>
        </w:rPr>
        <w:t>World Development, 40</w:t>
      </w:r>
      <w:r w:rsidRPr="007F244C">
        <w:t>(12), 2399–2410. https://doi.org/10.1016/j.worlddev.2012.05.014</w:t>
      </w:r>
    </w:p>
    <w:p w14:paraId="28A2ACCD" w14:textId="77777777" w:rsidR="00B749FC" w:rsidRPr="007F244C" w:rsidRDefault="00B749FC" w:rsidP="00B749FC">
      <w:pPr>
        <w:pStyle w:val="NormalWeb"/>
        <w:spacing w:after="0" w:afterAutospacing="0"/>
        <w:ind w:firstLine="720"/>
        <w:jc w:val="both"/>
      </w:pPr>
      <w:r w:rsidRPr="007F244C">
        <w:t xml:space="preserve">Hair, J. F., Black, W. C., </w:t>
      </w:r>
      <w:proofErr w:type="spellStart"/>
      <w:r w:rsidRPr="007F244C">
        <w:t>Babin</w:t>
      </w:r>
      <w:proofErr w:type="spellEnd"/>
      <w:r w:rsidRPr="007F244C">
        <w:t xml:space="preserve">, B. J., &amp; Anderson, R. E. (2019). </w:t>
      </w:r>
      <w:r w:rsidRPr="007F244C">
        <w:rPr>
          <w:rStyle w:val="Emphasis"/>
        </w:rPr>
        <w:t>Multivariate data analysis</w:t>
      </w:r>
      <w:r w:rsidRPr="007F244C">
        <w:t xml:space="preserve"> (8th ed.). Cengage. (pp. 102–145)</w:t>
      </w:r>
    </w:p>
    <w:p w14:paraId="03CC08B2" w14:textId="77777777" w:rsidR="00B749FC" w:rsidRPr="007F244C" w:rsidRDefault="00B749FC" w:rsidP="00B749FC">
      <w:pPr>
        <w:pStyle w:val="NormalWeb"/>
        <w:spacing w:after="0" w:afterAutospacing="0"/>
        <w:ind w:firstLine="720"/>
        <w:jc w:val="both"/>
      </w:pPr>
      <w:r w:rsidRPr="007F244C">
        <w:t xml:space="preserve">Hansson, K., &amp; </w:t>
      </w:r>
      <w:proofErr w:type="spellStart"/>
      <w:r w:rsidRPr="007F244C">
        <w:t>Lægreid</w:t>
      </w:r>
      <w:proofErr w:type="spellEnd"/>
      <w:r w:rsidRPr="007F244C">
        <w:t xml:space="preserve">, P. (2020). Transparency and accountability in public </w:t>
      </w:r>
      <w:proofErr w:type="spellStart"/>
      <w:r w:rsidRPr="007F244C">
        <w:t>organisations</w:t>
      </w:r>
      <w:proofErr w:type="spellEnd"/>
      <w:r w:rsidRPr="007F244C">
        <w:t xml:space="preserve">. </w:t>
      </w:r>
      <w:r w:rsidRPr="007F244C">
        <w:rPr>
          <w:rStyle w:val="Emphasis"/>
          <w:rFonts w:eastAsiaTheme="majorEastAsia"/>
        </w:rPr>
        <w:t>Governance, 33</w:t>
      </w:r>
      <w:r w:rsidRPr="007F244C">
        <w:t>(1), 9–26. https://doi.org/10.1111/gove.12401</w:t>
      </w:r>
    </w:p>
    <w:p w14:paraId="45764E6F" w14:textId="77777777" w:rsidR="00B749FC" w:rsidRPr="007F244C" w:rsidRDefault="00B749FC" w:rsidP="00B749FC">
      <w:pPr>
        <w:pStyle w:val="NormalWeb"/>
        <w:spacing w:after="0" w:afterAutospacing="0"/>
        <w:ind w:firstLine="720"/>
        <w:jc w:val="both"/>
      </w:pPr>
      <w:r w:rsidRPr="007F244C">
        <w:t xml:space="preserve">Israel, M., &amp; Hay, I. (2020). </w:t>
      </w:r>
      <w:r w:rsidRPr="007F244C">
        <w:rPr>
          <w:rStyle w:val="Emphasis"/>
        </w:rPr>
        <w:t>Research ethics for social scientists</w:t>
      </w:r>
      <w:r w:rsidRPr="007F244C">
        <w:t xml:space="preserve"> (2nd ed.). SAGE. (pp. 21–44)</w:t>
      </w:r>
    </w:p>
    <w:p w14:paraId="66ABD3E2" w14:textId="77777777" w:rsidR="00B749FC" w:rsidRPr="007F244C" w:rsidRDefault="00B749FC" w:rsidP="00B749FC">
      <w:pPr>
        <w:pStyle w:val="NormalWeb"/>
        <w:spacing w:after="0" w:afterAutospacing="0"/>
        <w:ind w:firstLine="720"/>
        <w:jc w:val="both"/>
      </w:pPr>
      <w:r w:rsidRPr="007F244C">
        <w:t xml:space="preserve">Johnston, M. (2020). </w:t>
      </w:r>
      <w:r w:rsidRPr="007F244C">
        <w:rPr>
          <w:rStyle w:val="Emphasis"/>
        </w:rPr>
        <w:t>Corruption, contention and reform</w:t>
      </w:r>
      <w:r w:rsidRPr="007F244C">
        <w:t>. Cambridge University Press. https://doi.org/10.1017/9781108868889</w:t>
      </w:r>
    </w:p>
    <w:p w14:paraId="68EC83F4" w14:textId="77777777" w:rsidR="00B749FC" w:rsidRPr="007F244C" w:rsidRDefault="00B749FC" w:rsidP="00B749FC">
      <w:pPr>
        <w:pStyle w:val="NormalWeb"/>
        <w:spacing w:after="0" w:afterAutospacing="0"/>
        <w:ind w:firstLine="720"/>
        <w:jc w:val="both"/>
      </w:pPr>
      <w:proofErr w:type="spellStart"/>
      <w:r w:rsidRPr="007F244C">
        <w:t>Klemenčič</w:t>
      </w:r>
      <w:proofErr w:type="spellEnd"/>
      <w:r w:rsidRPr="007F244C">
        <w:t xml:space="preserve">, M. (2014). Student power in a global perspective. </w:t>
      </w:r>
      <w:r w:rsidRPr="007F244C">
        <w:rPr>
          <w:rStyle w:val="Emphasis"/>
          <w:rFonts w:eastAsiaTheme="majorEastAsia"/>
        </w:rPr>
        <w:t>Studies in Higher Education, 39</w:t>
      </w:r>
      <w:r w:rsidRPr="007F244C">
        <w:t xml:space="preserve">(3), 396–411. </w:t>
      </w:r>
    </w:p>
    <w:p w14:paraId="548F1556" w14:textId="77777777" w:rsidR="00B749FC" w:rsidRPr="007F244C" w:rsidRDefault="00B749FC" w:rsidP="00B749FC">
      <w:pPr>
        <w:spacing w:before="100" w:beforeAutospacing="1" w:after="0" w:line="240" w:lineRule="auto"/>
        <w:ind w:firstLine="720"/>
        <w:jc w:val="both"/>
        <w:rPr>
          <w:rFonts w:ascii="Times New Roman" w:eastAsia="Times New Roman" w:hAnsi="Times New Roman" w:cs="Times New Roman"/>
          <w:sz w:val="24"/>
          <w:szCs w:val="24"/>
        </w:rPr>
      </w:pPr>
      <w:proofErr w:type="spellStart"/>
      <w:r w:rsidRPr="007F244C">
        <w:rPr>
          <w:rFonts w:ascii="Times New Roman" w:eastAsia="Times New Roman" w:hAnsi="Times New Roman" w:cs="Times New Roman"/>
          <w:sz w:val="24"/>
          <w:szCs w:val="24"/>
        </w:rPr>
        <w:t>Klemenčič</w:t>
      </w:r>
      <w:proofErr w:type="spellEnd"/>
      <w:r w:rsidRPr="007F244C">
        <w:rPr>
          <w:rFonts w:ascii="Times New Roman" w:eastAsia="Times New Roman" w:hAnsi="Times New Roman" w:cs="Times New Roman"/>
          <w:sz w:val="24"/>
          <w:szCs w:val="24"/>
        </w:rPr>
        <w:t xml:space="preserve">, M. (2017). Student power in a global perspective. </w:t>
      </w:r>
      <w:r w:rsidRPr="007F244C">
        <w:rPr>
          <w:rFonts w:ascii="Times New Roman" w:eastAsia="Times New Roman" w:hAnsi="Times New Roman" w:cs="Times New Roman"/>
          <w:i/>
          <w:iCs/>
          <w:sz w:val="24"/>
          <w:szCs w:val="24"/>
        </w:rPr>
        <w:t>Studies in Higher Education</w:t>
      </w:r>
      <w:r w:rsidRPr="007F244C">
        <w:rPr>
          <w:rFonts w:ascii="Times New Roman" w:eastAsia="Times New Roman" w:hAnsi="Times New Roman" w:cs="Times New Roman"/>
          <w:sz w:val="24"/>
          <w:szCs w:val="24"/>
        </w:rPr>
        <w:t xml:space="preserve">, 42(9), 1687–1703. </w:t>
      </w:r>
      <w:r w:rsidRPr="007F244C">
        <w:rPr>
          <w:rFonts w:ascii="Times New Roman" w:eastAsia="Times New Roman" w:hAnsi="Times New Roman" w:cs="Times New Roman"/>
          <w:sz w:val="24"/>
          <w:szCs w:val="24"/>
        </w:rPr>
        <w:lastRenderedPageBreak/>
        <w:t>https://doi.org/10.1080/03075079.2017.1293874</w:t>
      </w:r>
    </w:p>
    <w:p w14:paraId="10325B16" w14:textId="77777777" w:rsidR="00B749FC" w:rsidRPr="007F244C" w:rsidRDefault="00B749FC" w:rsidP="00B749FC">
      <w:pPr>
        <w:spacing w:before="100" w:beforeAutospacing="1" w:after="0" w:line="240" w:lineRule="auto"/>
        <w:ind w:firstLine="720"/>
        <w:jc w:val="both"/>
        <w:rPr>
          <w:rFonts w:ascii="Times New Roman" w:eastAsia="Times New Roman" w:hAnsi="Times New Roman" w:cs="Times New Roman"/>
          <w:sz w:val="24"/>
          <w:szCs w:val="24"/>
        </w:rPr>
      </w:pPr>
      <w:proofErr w:type="spellStart"/>
      <w:r w:rsidRPr="007F244C">
        <w:rPr>
          <w:rFonts w:ascii="Times New Roman" w:eastAsia="Times New Roman" w:hAnsi="Times New Roman" w:cs="Times New Roman"/>
          <w:sz w:val="24"/>
          <w:szCs w:val="24"/>
        </w:rPr>
        <w:t>Klemenčič</w:t>
      </w:r>
      <w:proofErr w:type="spellEnd"/>
      <w:r w:rsidRPr="007F244C">
        <w:rPr>
          <w:rFonts w:ascii="Times New Roman" w:eastAsia="Times New Roman" w:hAnsi="Times New Roman" w:cs="Times New Roman"/>
          <w:sz w:val="24"/>
          <w:szCs w:val="24"/>
        </w:rPr>
        <w:t xml:space="preserve">, M. (2018). Higher education governance and student participation. </w:t>
      </w:r>
      <w:r w:rsidRPr="007F244C">
        <w:rPr>
          <w:rFonts w:ascii="Times New Roman" w:eastAsia="Times New Roman" w:hAnsi="Times New Roman" w:cs="Times New Roman"/>
          <w:i/>
          <w:iCs/>
          <w:sz w:val="24"/>
          <w:szCs w:val="24"/>
        </w:rPr>
        <w:t>European Journal of Higher Education</w:t>
      </w:r>
      <w:r w:rsidRPr="007F244C">
        <w:rPr>
          <w:rFonts w:ascii="Times New Roman" w:eastAsia="Times New Roman" w:hAnsi="Times New Roman" w:cs="Times New Roman"/>
          <w:sz w:val="24"/>
          <w:szCs w:val="24"/>
        </w:rPr>
        <w:t xml:space="preserve">, 8(3), 305–319. </w:t>
      </w:r>
    </w:p>
    <w:p w14:paraId="76DD2279" w14:textId="77777777" w:rsidR="00B749FC" w:rsidRPr="007F244C" w:rsidRDefault="00B749FC" w:rsidP="00B749FC">
      <w:pPr>
        <w:pStyle w:val="NormalWeb"/>
        <w:spacing w:after="0" w:afterAutospacing="0"/>
        <w:ind w:firstLine="720"/>
        <w:jc w:val="both"/>
      </w:pPr>
      <w:proofErr w:type="spellStart"/>
      <w:r w:rsidRPr="007F244C">
        <w:t>Klemenčič</w:t>
      </w:r>
      <w:proofErr w:type="spellEnd"/>
      <w:r w:rsidRPr="007F244C">
        <w:t>, M., &amp; Bergan, S. (2018). Student engagement in quality assurance. Council of Europe.</w:t>
      </w:r>
    </w:p>
    <w:p w14:paraId="1C8060BD" w14:textId="77777777" w:rsidR="00B749FC" w:rsidRPr="007F244C" w:rsidRDefault="00B749FC" w:rsidP="00B749FC">
      <w:pPr>
        <w:pStyle w:val="NormalWeb"/>
        <w:spacing w:after="0" w:afterAutospacing="0"/>
        <w:ind w:firstLine="720"/>
        <w:jc w:val="both"/>
      </w:pPr>
      <w:proofErr w:type="spellStart"/>
      <w:r w:rsidRPr="007F244C">
        <w:t>Krook</w:t>
      </w:r>
      <w:proofErr w:type="spellEnd"/>
      <w:r w:rsidRPr="007F244C">
        <w:t xml:space="preserve">, M. L., &amp; Mackay, F. (2016). </w:t>
      </w:r>
      <w:r w:rsidRPr="007F244C">
        <w:rPr>
          <w:rStyle w:val="Emphasis"/>
        </w:rPr>
        <w:t>Gender, politics and institutions</w:t>
      </w:r>
      <w:r w:rsidRPr="007F244C">
        <w:t>. Palgrave Macmillan.</w:t>
      </w:r>
    </w:p>
    <w:p w14:paraId="040BF1FB" w14:textId="77777777" w:rsidR="00B749FC" w:rsidRPr="007F244C" w:rsidRDefault="00B749FC" w:rsidP="00B749FC">
      <w:pPr>
        <w:pStyle w:val="NormalWeb"/>
        <w:spacing w:after="0" w:afterAutospacing="0"/>
        <w:ind w:firstLine="720"/>
        <w:jc w:val="both"/>
      </w:pPr>
      <w:proofErr w:type="spellStart"/>
      <w:r w:rsidRPr="007F244C">
        <w:t>Kvale</w:t>
      </w:r>
      <w:proofErr w:type="spellEnd"/>
      <w:r w:rsidRPr="007F244C">
        <w:t xml:space="preserve">, S., &amp; Brinkmann, S. (2018). </w:t>
      </w:r>
      <w:proofErr w:type="spellStart"/>
      <w:r w:rsidRPr="007F244C">
        <w:rPr>
          <w:rStyle w:val="Emphasis"/>
        </w:rPr>
        <w:t>InterViews</w:t>
      </w:r>
      <w:proofErr w:type="spellEnd"/>
      <w:r w:rsidRPr="007F244C">
        <w:rPr>
          <w:rStyle w:val="Emphasis"/>
        </w:rPr>
        <w:t>: Learning the craft of qualitative research interviewing</w:t>
      </w:r>
      <w:r w:rsidRPr="007F244C">
        <w:t xml:space="preserve"> (3rd ed.). SAGE. (pp. 95–120)</w:t>
      </w:r>
    </w:p>
    <w:p w14:paraId="594EC9F4" w14:textId="77777777" w:rsidR="00B749FC" w:rsidRPr="007F244C" w:rsidRDefault="00B749FC" w:rsidP="00B749FC">
      <w:pPr>
        <w:pStyle w:val="NormalWeb"/>
        <w:spacing w:after="0" w:afterAutospacing="0"/>
        <w:ind w:firstLine="720"/>
        <w:jc w:val="both"/>
      </w:pPr>
      <w:r w:rsidRPr="007F244C">
        <w:t xml:space="preserve">Lin, N. (2017). </w:t>
      </w:r>
      <w:r w:rsidRPr="007F244C">
        <w:rPr>
          <w:rStyle w:val="Emphasis"/>
        </w:rPr>
        <w:t>Building a network theory of social capital</w:t>
      </w:r>
      <w:r w:rsidRPr="007F244C">
        <w:t>. Cambridge University Press. https://doi.org/10.1017/9781316104477</w:t>
      </w:r>
    </w:p>
    <w:p w14:paraId="3EA67014" w14:textId="77777777" w:rsidR="00B749FC" w:rsidRPr="007F244C" w:rsidRDefault="00B749FC" w:rsidP="00B749FC">
      <w:pPr>
        <w:pStyle w:val="NormalWeb"/>
        <w:spacing w:after="0" w:afterAutospacing="0"/>
        <w:ind w:firstLine="720"/>
        <w:jc w:val="both"/>
      </w:pPr>
      <w:proofErr w:type="spellStart"/>
      <w:r w:rsidRPr="007F244C">
        <w:t>Lizzio</w:t>
      </w:r>
      <w:proofErr w:type="spellEnd"/>
      <w:r w:rsidRPr="007F244C">
        <w:t xml:space="preserve">, A., &amp; Wilson, K. (2009). Student participation in university governance. </w:t>
      </w:r>
      <w:r w:rsidRPr="007F244C">
        <w:rPr>
          <w:rStyle w:val="Emphasis"/>
          <w:rFonts w:eastAsiaTheme="majorEastAsia"/>
        </w:rPr>
        <w:t>Higher Education Research &amp; Development, 28</w:t>
      </w:r>
      <w:r w:rsidRPr="007F244C">
        <w:t xml:space="preserve">(1), 69–84. </w:t>
      </w:r>
      <w:hyperlink r:id="rId14" w:tgtFrame="_new" w:history="1">
        <w:r w:rsidRPr="007F244C">
          <w:rPr>
            <w:rStyle w:val="Hyperlink"/>
          </w:rPr>
          <w:t>https://doi.org/10.1080/07294360802444347</w:t>
        </w:r>
      </w:hyperlink>
    </w:p>
    <w:p w14:paraId="12269253" w14:textId="77777777" w:rsidR="00B749FC" w:rsidRPr="007F244C" w:rsidRDefault="00B749FC" w:rsidP="00B749FC">
      <w:pPr>
        <w:spacing w:before="100" w:beforeAutospacing="1" w:after="0" w:line="240" w:lineRule="auto"/>
        <w:ind w:firstLine="720"/>
        <w:jc w:val="both"/>
        <w:rPr>
          <w:rFonts w:ascii="Times New Roman" w:eastAsia="Times New Roman" w:hAnsi="Times New Roman" w:cs="Times New Roman"/>
          <w:sz w:val="24"/>
          <w:szCs w:val="24"/>
        </w:rPr>
      </w:pPr>
      <w:proofErr w:type="spellStart"/>
      <w:r w:rsidRPr="007F244C">
        <w:rPr>
          <w:rFonts w:ascii="Times New Roman" w:eastAsia="Times New Roman" w:hAnsi="Times New Roman" w:cs="Times New Roman"/>
          <w:sz w:val="24"/>
          <w:szCs w:val="24"/>
        </w:rPr>
        <w:t>Lizzio</w:t>
      </w:r>
      <w:proofErr w:type="spellEnd"/>
      <w:r w:rsidRPr="007F244C">
        <w:rPr>
          <w:rFonts w:ascii="Times New Roman" w:eastAsia="Times New Roman" w:hAnsi="Times New Roman" w:cs="Times New Roman"/>
          <w:sz w:val="24"/>
          <w:szCs w:val="24"/>
        </w:rPr>
        <w:t xml:space="preserve">, A., &amp; Wilson, K. (2017). Student engagement in university governance. </w:t>
      </w:r>
      <w:r w:rsidRPr="007F244C">
        <w:rPr>
          <w:rFonts w:ascii="Times New Roman" w:eastAsia="Times New Roman" w:hAnsi="Times New Roman" w:cs="Times New Roman"/>
          <w:i/>
          <w:iCs/>
          <w:sz w:val="24"/>
          <w:szCs w:val="24"/>
        </w:rPr>
        <w:t>Assessment &amp; Evaluation in Higher Education</w:t>
      </w:r>
      <w:r w:rsidRPr="007F244C">
        <w:rPr>
          <w:rFonts w:ascii="Times New Roman" w:eastAsia="Times New Roman" w:hAnsi="Times New Roman" w:cs="Times New Roman"/>
          <w:sz w:val="24"/>
          <w:szCs w:val="24"/>
        </w:rPr>
        <w:t>, 42(4), 593–607. https://doi.org/10.1080/02602938.2016.1197621</w:t>
      </w:r>
    </w:p>
    <w:p w14:paraId="6CC83292" w14:textId="77777777" w:rsidR="00B749FC" w:rsidRPr="007F244C" w:rsidRDefault="00B749FC" w:rsidP="00B749FC">
      <w:pPr>
        <w:pStyle w:val="NormalWeb"/>
        <w:spacing w:after="0" w:afterAutospacing="0"/>
        <w:ind w:firstLine="720"/>
        <w:jc w:val="both"/>
      </w:pPr>
      <w:proofErr w:type="spellStart"/>
      <w:r w:rsidRPr="007F244C">
        <w:t>Lohr</w:t>
      </w:r>
      <w:proofErr w:type="spellEnd"/>
      <w:r w:rsidRPr="007F244C">
        <w:t xml:space="preserve">, S. L. (2021). </w:t>
      </w:r>
      <w:r w:rsidRPr="007F244C">
        <w:rPr>
          <w:rStyle w:val="Emphasis"/>
        </w:rPr>
        <w:t>Sampling: Design and analysis</w:t>
      </w:r>
      <w:r w:rsidRPr="007F244C">
        <w:t xml:space="preserve"> (2nd ed.). Chapman and Hall/CRC. (pp. 55–98)</w:t>
      </w:r>
    </w:p>
    <w:p w14:paraId="574902A0" w14:textId="77777777" w:rsidR="00B749FC" w:rsidRPr="007F244C" w:rsidRDefault="00B749FC" w:rsidP="00B749FC">
      <w:pPr>
        <w:pStyle w:val="NormalWeb"/>
        <w:spacing w:after="0" w:afterAutospacing="0"/>
        <w:ind w:firstLine="720"/>
        <w:jc w:val="both"/>
      </w:pPr>
      <w:proofErr w:type="spellStart"/>
      <w:r w:rsidRPr="007F244C">
        <w:t>Luescher</w:t>
      </w:r>
      <w:proofErr w:type="spellEnd"/>
      <w:r w:rsidRPr="007F244C">
        <w:t xml:space="preserve">, T. M. (2016). Student representation in governance. </w:t>
      </w:r>
      <w:r w:rsidRPr="007F244C">
        <w:rPr>
          <w:rStyle w:val="Emphasis"/>
        </w:rPr>
        <w:t>Studies in Higher Education</w:t>
      </w:r>
      <w:r w:rsidRPr="007F244C">
        <w:t xml:space="preserve">, 41(7), 1215–1230. </w:t>
      </w:r>
      <w:r w:rsidRPr="007F244C">
        <w:t>https://doi.org/10.1080/03075079.2014.966671</w:t>
      </w:r>
    </w:p>
    <w:p w14:paraId="26F68A12" w14:textId="77777777" w:rsidR="00B749FC" w:rsidRPr="007F244C" w:rsidRDefault="00B749FC" w:rsidP="00B749FC">
      <w:pPr>
        <w:spacing w:before="100" w:beforeAutospacing="1" w:after="0" w:line="240" w:lineRule="auto"/>
        <w:ind w:firstLine="720"/>
        <w:jc w:val="both"/>
        <w:rPr>
          <w:rFonts w:ascii="Times New Roman" w:eastAsia="Times New Roman" w:hAnsi="Times New Roman" w:cs="Times New Roman"/>
          <w:sz w:val="24"/>
          <w:szCs w:val="24"/>
        </w:rPr>
      </w:pPr>
      <w:proofErr w:type="spellStart"/>
      <w:r w:rsidRPr="007F244C">
        <w:rPr>
          <w:rFonts w:ascii="Times New Roman" w:eastAsia="Times New Roman" w:hAnsi="Times New Roman" w:cs="Times New Roman"/>
          <w:sz w:val="24"/>
          <w:szCs w:val="24"/>
        </w:rPr>
        <w:t>Luescher</w:t>
      </w:r>
      <w:proofErr w:type="spellEnd"/>
      <w:r w:rsidRPr="007F244C">
        <w:rPr>
          <w:rFonts w:ascii="Times New Roman" w:eastAsia="Times New Roman" w:hAnsi="Times New Roman" w:cs="Times New Roman"/>
          <w:sz w:val="24"/>
          <w:szCs w:val="24"/>
        </w:rPr>
        <w:t xml:space="preserve">, T. M. (2016). Student representation in university decision-making. </w:t>
      </w:r>
      <w:r w:rsidRPr="007F244C">
        <w:rPr>
          <w:rFonts w:ascii="Times New Roman" w:eastAsia="Times New Roman" w:hAnsi="Times New Roman" w:cs="Times New Roman"/>
          <w:i/>
          <w:iCs/>
          <w:sz w:val="24"/>
          <w:szCs w:val="24"/>
        </w:rPr>
        <w:t>International Journal of Educational Development</w:t>
      </w:r>
      <w:r w:rsidRPr="007F244C">
        <w:rPr>
          <w:rFonts w:ascii="Times New Roman" w:eastAsia="Times New Roman" w:hAnsi="Times New Roman" w:cs="Times New Roman"/>
          <w:sz w:val="24"/>
          <w:szCs w:val="24"/>
        </w:rPr>
        <w:t>, 46, 1–10. https://doi.org/10.1016/j.ijedudev.2015.10.004</w:t>
      </w:r>
    </w:p>
    <w:p w14:paraId="5B1B9520" w14:textId="77777777" w:rsidR="00B749FC" w:rsidRPr="007F244C" w:rsidRDefault="00B749FC" w:rsidP="00B749FC">
      <w:pPr>
        <w:pStyle w:val="NormalWeb"/>
        <w:spacing w:after="0" w:afterAutospacing="0"/>
        <w:ind w:firstLine="720"/>
        <w:jc w:val="both"/>
      </w:pPr>
      <w:proofErr w:type="spellStart"/>
      <w:r w:rsidRPr="007F244C">
        <w:t>Luescher</w:t>
      </w:r>
      <w:proofErr w:type="spellEnd"/>
      <w:r w:rsidRPr="007F244C">
        <w:t xml:space="preserve">, T. M., &amp; </w:t>
      </w:r>
      <w:proofErr w:type="spellStart"/>
      <w:r w:rsidRPr="007F244C">
        <w:t>Mugume</w:t>
      </w:r>
      <w:proofErr w:type="spellEnd"/>
      <w:r w:rsidRPr="007F244C">
        <w:t xml:space="preserve">, T. (2019). Student leaders and accountability. </w:t>
      </w:r>
      <w:r w:rsidRPr="007F244C">
        <w:rPr>
          <w:rStyle w:val="Emphasis"/>
        </w:rPr>
        <w:t>Higher Education Policy</w:t>
      </w:r>
      <w:r w:rsidRPr="007F244C">
        <w:t xml:space="preserve">, 32(3), 401–419. </w:t>
      </w:r>
    </w:p>
    <w:p w14:paraId="4C34DC7E" w14:textId="77777777" w:rsidR="00B749FC" w:rsidRPr="007F244C" w:rsidRDefault="00B749FC" w:rsidP="00B749FC">
      <w:pPr>
        <w:pStyle w:val="NormalWeb"/>
        <w:spacing w:after="0" w:afterAutospacing="0"/>
        <w:ind w:firstLine="720"/>
        <w:jc w:val="both"/>
      </w:pPr>
      <w:proofErr w:type="spellStart"/>
      <w:r w:rsidRPr="007F244C">
        <w:t>Luescher-Mamashela</w:t>
      </w:r>
      <w:proofErr w:type="spellEnd"/>
      <w:r w:rsidRPr="007F244C">
        <w:t xml:space="preserve">, T. (2013). Student representation in university decision making. </w:t>
      </w:r>
      <w:r w:rsidRPr="007F244C">
        <w:rPr>
          <w:rStyle w:val="Emphasis"/>
        </w:rPr>
        <w:t>Studies in Higher Education, 38</w:t>
      </w:r>
      <w:r w:rsidRPr="007F244C">
        <w:t xml:space="preserve">(10), 1444–1459. </w:t>
      </w:r>
    </w:p>
    <w:p w14:paraId="22FBAEE2" w14:textId="77777777" w:rsidR="00B749FC" w:rsidRPr="007F244C" w:rsidRDefault="00B749FC" w:rsidP="00B749FC">
      <w:pPr>
        <w:pStyle w:val="NormalWeb"/>
        <w:spacing w:after="0" w:afterAutospacing="0"/>
        <w:ind w:firstLine="720"/>
        <w:jc w:val="both"/>
      </w:pPr>
      <w:proofErr w:type="spellStart"/>
      <w:r w:rsidRPr="007F244C">
        <w:t>Luescher-Mamashela</w:t>
      </w:r>
      <w:proofErr w:type="spellEnd"/>
      <w:r w:rsidRPr="007F244C">
        <w:t xml:space="preserve">, T. (2016). Student representation in university decision making. </w:t>
      </w:r>
      <w:r w:rsidRPr="007F244C">
        <w:rPr>
          <w:rStyle w:val="Emphasis"/>
        </w:rPr>
        <w:t>Studies in Higher Education, 41</w:t>
      </w:r>
      <w:r w:rsidRPr="007F244C">
        <w:t>(8), 1416–1434. https://doi.org/10.1080/03075079.2014.966667</w:t>
      </w:r>
    </w:p>
    <w:p w14:paraId="2C70D72A" w14:textId="77777777" w:rsidR="00B749FC" w:rsidRPr="007F244C" w:rsidRDefault="00B749FC" w:rsidP="00B749FC">
      <w:pPr>
        <w:pStyle w:val="NormalWeb"/>
        <w:spacing w:after="0" w:afterAutospacing="0"/>
        <w:ind w:firstLine="720"/>
        <w:jc w:val="both"/>
      </w:pPr>
      <w:r w:rsidRPr="007F244C">
        <w:t xml:space="preserve">Menon, M. (2016). Student involvement in university governance. </w:t>
      </w:r>
      <w:r w:rsidRPr="007F244C">
        <w:rPr>
          <w:rStyle w:val="Emphasis"/>
        </w:rPr>
        <w:t>Tertiary Education and Management, 22</w:t>
      </w:r>
      <w:r w:rsidRPr="007F244C">
        <w:t>(1), 1–17. https://doi.org/10.1080/13583883.2015.1127400</w:t>
      </w:r>
    </w:p>
    <w:p w14:paraId="7FFB2F89" w14:textId="77777777" w:rsidR="00B749FC" w:rsidRPr="007F244C" w:rsidRDefault="00B749FC" w:rsidP="00B749FC">
      <w:pPr>
        <w:pStyle w:val="NormalWeb"/>
        <w:spacing w:after="0" w:afterAutospacing="0"/>
        <w:ind w:firstLine="720"/>
        <w:jc w:val="both"/>
      </w:pPr>
      <w:r w:rsidRPr="007F244C">
        <w:t xml:space="preserve">Menon, M. E. (2015). Student involvement in governance. </w:t>
      </w:r>
      <w:r w:rsidRPr="007F244C">
        <w:rPr>
          <w:rStyle w:val="Emphasis"/>
          <w:rFonts w:eastAsiaTheme="majorEastAsia"/>
        </w:rPr>
        <w:t>Higher Education Policy, 28</w:t>
      </w:r>
      <w:r w:rsidRPr="007F244C">
        <w:t>(4), 495–512. https://doi.org/10.1057/hep.2014.20</w:t>
      </w:r>
    </w:p>
    <w:p w14:paraId="625B8D55" w14:textId="77777777" w:rsidR="00B749FC" w:rsidRPr="007F244C" w:rsidRDefault="00B749FC" w:rsidP="00B749FC">
      <w:pPr>
        <w:spacing w:before="100" w:beforeAutospacing="1" w:after="0" w:line="240" w:lineRule="auto"/>
        <w:ind w:firstLine="720"/>
        <w:jc w:val="both"/>
        <w:rPr>
          <w:rFonts w:ascii="Times New Roman" w:eastAsia="Times New Roman" w:hAnsi="Times New Roman" w:cs="Times New Roman"/>
          <w:sz w:val="24"/>
          <w:szCs w:val="24"/>
        </w:rPr>
      </w:pPr>
      <w:r w:rsidRPr="007F244C">
        <w:rPr>
          <w:rFonts w:ascii="Times New Roman" w:eastAsia="Times New Roman" w:hAnsi="Times New Roman" w:cs="Times New Roman"/>
          <w:sz w:val="24"/>
          <w:szCs w:val="24"/>
        </w:rPr>
        <w:t xml:space="preserve">Menon, M. E. (2018). Student participation and quality assurance. </w:t>
      </w:r>
      <w:r w:rsidRPr="007F244C">
        <w:rPr>
          <w:rFonts w:ascii="Times New Roman" w:eastAsia="Times New Roman" w:hAnsi="Times New Roman" w:cs="Times New Roman"/>
          <w:i/>
          <w:iCs/>
          <w:sz w:val="24"/>
          <w:szCs w:val="24"/>
        </w:rPr>
        <w:t>Quality in Higher Education</w:t>
      </w:r>
      <w:r w:rsidRPr="007F244C">
        <w:rPr>
          <w:rFonts w:ascii="Times New Roman" w:eastAsia="Times New Roman" w:hAnsi="Times New Roman" w:cs="Times New Roman"/>
          <w:sz w:val="24"/>
          <w:szCs w:val="24"/>
        </w:rPr>
        <w:t>, 24(1), 38–50. https://doi.org/10.1080/13538322.2018.1429077</w:t>
      </w:r>
    </w:p>
    <w:p w14:paraId="6D49EBBD" w14:textId="77777777" w:rsidR="00B749FC" w:rsidRPr="007F244C" w:rsidRDefault="00B749FC" w:rsidP="00B749FC">
      <w:pPr>
        <w:spacing w:before="100" w:beforeAutospacing="1" w:after="0" w:line="240" w:lineRule="auto"/>
        <w:ind w:firstLine="720"/>
        <w:jc w:val="both"/>
        <w:rPr>
          <w:rFonts w:ascii="Times New Roman" w:eastAsia="Times New Roman" w:hAnsi="Times New Roman" w:cs="Times New Roman"/>
          <w:sz w:val="24"/>
          <w:szCs w:val="24"/>
        </w:rPr>
      </w:pPr>
      <w:r w:rsidRPr="007F244C">
        <w:rPr>
          <w:rFonts w:ascii="Times New Roman" w:eastAsia="Times New Roman" w:hAnsi="Times New Roman" w:cs="Times New Roman"/>
          <w:sz w:val="24"/>
          <w:szCs w:val="24"/>
        </w:rPr>
        <w:t xml:space="preserve">Menon, M. E., &amp; </w:t>
      </w:r>
      <w:proofErr w:type="spellStart"/>
      <w:r w:rsidRPr="007F244C">
        <w:rPr>
          <w:rFonts w:ascii="Times New Roman" w:eastAsia="Times New Roman" w:hAnsi="Times New Roman" w:cs="Times New Roman"/>
          <w:sz w:val="24"/>
          <w:szCs w:val="24"/>
        </w:rPr>
        <w:t>Saiti</w:t>
      </w:r>
      <w:proofErr w:type="spellEnd"/>
      <w:r w:rsidRPr="007F244C">
        <w:rPr>
          <w:rFonts w:ascii="Times New Roman" w:eastAsia="Times New Roman" w:hAnsi="Times New Roman" w:cs="Times New Roman"/>
          <w:sz w:val="24"/>
          <w:szCs w:val="24"/>
        </w:rPr>
        <w:t xml:space="preserve">, A. (2021). Communication and leadership in higher </w:t>
      </w:r>
      <w:r w:rsidRPr="007F244C">
        <w:rPr>
          <w:rFonts w:ascii="Times New Roman" w:eastAsia="Times New Roman" w:hAnsi="Times New Roman" w:cs="Times New Roman"/>
          <w:sz w:val="24"/>
          <w:szCs w:val="24"/>
        </w:rPr>
        <w:lastRenderedPageBreak/>
        <w:t xml:space="preserve">education governance. </w:t>
      </w:r>
      <w:r w:rsidRPr="007F244C">
        <w:rPr>
          <w:rFonts w:ascii="Times New Roman" w:eastAsia="Times New Roman" w:hAnsi="Times New Roman" w:cs="Times New Roman"/>
          <w:i/>
          <w:iCs/>
          <w:sz w:val="24"/>
          <w:szCs w:val="24"/>
        </w:rPr>
        <w:t>Educational Management Administration &amp; Leadership</w:t>
      </w:r>
      <w:r w:rsidRPr="007F244C">
        <w:rPr>
          <w:rFonts w:ascii="Times New Roman" w:eastAsia="Times New Roman" w:hAnsi="Times New Roman" w:cs="Times New Roman"/>
          <w:sz w:val="24"/>
          <w:szCs w:val="24"/>
        </w:rPr>
        <w:t>, 49(2), 287–304. https://doi.org/10.1177/1741143220905037</w:t>
      </w:r>
    </w:p>
    <w:p w14:paraId="47E5A726" w14:textId="77777777" w:rsidR="00B749FC" w:rsidRPr="007F244C" w:rsidRDefault="00B749FC" w:rsidP="00B749FC">
      <w:pPr>
        <w:pStyle w:val="NormalWeb"/>
        <w:spacing w:after="0" w:afterAutospacing="0"/>
        <w:ind w:firstLine="720"/>
        <w:jc w:val="both"/>
      </w:pPr>
      <w:proofErr w:type="spellStart"/>
      <w:r w:rsidRPr="007F244C">
        <w:t>Mulgan</w:t>
      </w:r>
      <w:proofErr w:type="spellEnd"/>
      <w:r w:rsidRPr="007F244C">
        <w:t xml:space="preserve">, R. (2018). </w:t>
      </w:r>
      <w:r w:rsidRPr="007F244C">
        <w:rPr>
          <w:rStyle w:val="Emphasis"/>
        </w:rPr>
        <w:t>Holding power to account</w:t>
      </w:r>
      <w:r w:rsidRPr="007F244C">
        <w:t>. Palgrave Macmillan. https://doi.org/10.1007/978-3-319-58844-9</w:t>
      </w:r>
    </w:p>
    <w:p w14:paraId="504A2F73" w14:textId="77777777" w:rsidR="00B749FC" w:rsidRPr="007F244C" w:rsidRDefault="00B749FC" w:rsidP="00B749FC">
      <w:pPr>
        <w:pStyle w:val="NormalWeb"/>
        <w:spacing w:after="0" w:afterAutospacing="0"/>
        <w:ind w:firstLine="720"/>
        <w:jc w:val="both"/>
      </w:pPr>
      <w:proofErr w:type="spellStart"/>
      <w:r w:rsidRPr="007F244C">
        <w:t>Munafò</w:t>
      </w:r>
      <w:proofErr w:type="spellEnd"/>
      <w:r w:rsidRPr="007F244C">
        <w:t xml:space="preserve">, M. R., et al. (2017). A manifesto for reproducible science. </w:t>
      </w:r>
      <w:r w:rsidRPr="007F244C">
        <w:rPr>
          <w:rStyle w:val="Emphasis"/>
        </w:rPr>
        <w:t xml:space="preserve">Nature Human </w:t>
      </w:r>
      <w:proofErr w:type="spellStart"/>
      <w:r w:rsidRPr="007F244C">
        <w:rPr>
          <w:rStyle w:val="Emphasis"/>
        </w:rPr>
        <w:t>Behaviour</w:t>
      </w:r>
      <w:proofErr w:type="spellEnd"/>
      <w:r w:rsidRPr="007F244C">
        <w:rPr>
          <w:rStyle w:val="Emphasis"/>
        </w:rPr>
        <w:t>, 1</w:t>
      </w:r>
      <w:r w:rsidRPr="007F244C">
        <w:t xml:space="preserve">(0021), 1–9. </w:t>
      </w:r>
      <w:hyperlink r:id="rId15" w:tgtFrame="_new" w:history="1">
        <w:r w:rsidRPr="007F244C">
          <w:rPr>
            <w:rStyle w:val="Hyperlink"/>
          </w:rPr>
          <w:t>https://doi.org/10.1038/s41562-016-0021</w:t>
        </w:r>
      </w:hyperlink>
    </w:p>
    <w:p w14:paraId="490B3607" w14:textId="77777777" w:rsidR="00B749FC" w:rsidRPr="007F244C" w:rsidRDefault="00B749FC" w:rsidP="00B749FC">
      <w:pPr>
        <w:pStyle w:val="NormalWeb"/>
        <w:spacing w:after="0" w:afterAutospacing="0"/>
        <w:ind w:firstLine="720"/>
        <w:jc w:val="both"/>
      </w:pPr>
      <w:r w:rsidRPr="007F244C">
        <w:t xml:space="preserve">Norris, P. (2017). </w:t>
      </w:r>
      <w:r w:rsidRPr="007F244C">
        <w:rPr>
          <w:rStyle w:val="Emphasis"/>
        </w:rPr>
        <w:t>Strengthening electoral integrity</w:t>
      </w:r>
      <w:r w:rsidRPr="007F244C">
        <w:t>. Cambridge University Press. https://doi.org/10.1017/9781107280866</w:t>
      </w:r>
    </w:p>
    <w:p w14:paraId="4E248FEC" w14:textId="77777777" w:rsidR="00B749FC" w:rsidRPr="007F244C" w:rsidRDefault="00B749FC" w:rsidP="00B749FC">
      <w:pPr>
        <w:pStyle w:val="NormalWeb"/>
        <w:spacing w:after="0" w:afterAutospacing="0"/>
        <w:ind w:firstLine="720"/>
        <w:jc w:val="both"/>
      </w:pPr>
      <w:r w:rsidRPr="007F244C">
        <w:t xml:space="preserve">Northouse, P. G. (2019). </w:t>
      </w:r>
      <w:r w:rsidRPr="007F244C">
        <w:rPr>
          <w:rStyle w:val="Emphasis"/>
          <w:rFonts w:eastAsiaTheme="majorEastAsia"/>
        </w:rPr>
        <w:t>Leadership: Theory and practice</w:t>
      </w:r>
      <w:r w:rsidRPr="007F244C">
        <w:t xml:space="preserve"> (8th ed.). Sage.</w:t>
      </w:r>
    </w:p>
    <w:p w14:paraId="6BB2215B" w14:textId="77777777" w:rsidR="00B749FC" w:rsidRPr="007F244C" w:rsidRDefault="00B749FC" w:rsidP="00B749FC">
      <w:pPr>
        <w:pStyle w:val="NormalWeb"/>
        <w:spacing w:after="0" w:afterAutospacing="0"/>
        <w:ind w:firstLine="720"/>
        <w:jc w:val="both"/>
      </w:pPr>
      <w:proofErr w:type="spellStart"/>
      <w:r w:rsidRPr="007F244C">
        <w:t>Nosek</w:t>
      </w:r>
      <w:proofErr w:type="spellEnd"/>
      <w:r w:rsidRPr="007F244C">
        <w:t xml:space="preserve">, B. A., et al. (2018). The preregistration revolution. </w:t>
      </w:r>
      <w:r w:rsidRPr="007F244C">
        <w:rPr>
          <w:rStyle w:val="Emphasis"/>
        </w:rPr>
        <w:t>Proceedings of the National Academy of Sciences, 115</w:t>
      </w:r>
      <w:r w:rsidRPr="007F244C">
        <w:t xml:space="preserve">(11), 2600–2606. </w:t>
      </w:r>
      <w:hyperlink r:id="rId16" w:tgtFrame="_new" w:history="1">
        <w:r w:rsidRPr="007F244C">
          <w:rPr>
            <w:rStyle w:val="Hyperlink"/>
          </w:rPr>
          <w:t>https://doi.org/10.1073/pnas.1708274114</w:t>
        </w:r>
      </w:hyperlink>
    </w:p>
    <w:p w14:paraId="2BB68AFC" w14:textId="77777777" w:rsidR="00B749FC" w:rsidRPr="007F244C" w:rsidRDefault="00B749FC" w:rsidP="00B749FC">
      <w:pPr>
        <w:pStyle w:val="NormalWeb"/>
        <w:spacing w:after="0" w:afterAutospacing="0"/>
        <w:ind w:firstLine="720"/>
        <w:jc w:val="both"/>
      </w:pPr>
      <w:r w:rsidRPr="007F244C">
        <w:t xml:space="preserve">OECD. (2016). </w:t>
      </w:r>
      <w:r w:rsidRPr="007F244C">
        <w:rPr>
          <w:rStyle w:val="Emphasis"/>
        </w:rPr>
        <w:t>Public governance reviews</w:t>
      </w:r>
      <w:r w:rsidRPr="007F244C">
        <w:t>. OECD Publishing. https://doi.org/10.1787/9789264265915-en</w:t>
      </w:r>
    </w:p>
    <w:p w14:paraId="14FEA0D1" w14:textId="77777777" w:rsidR="00B749FC" w:rsidRPr="007F244C" w:rsidRDefault="00B749FC" w:rsidP="00B749FC">
      <w:pPr>
        <w:spacing w:before="100" w:beforeAutospacing="1" w:after="0" w:line="240" w:lineRule="auto"/>
        <w:ind w:firstLine="720"/>
        <w:jc w:val="both"/>
        <w:rPr>
          <w:rFonts w:ascii="Times New Roman" w:eastAsia="Times New Roman" w:hAnsi="Times New Roman" w:cs="Times New Roman"/>
          <w:sz w:val="24"/>
          <w:szCs w:val="24"/>
        </w:rPr>
      </w:pPr>
      <w:proofErr w:type="spellStart"/>
      <w:r w:rsidRPr="007F244C">
        <w:rPr>
          <w:rFonts w:ascii="Times New Roman" w:eastAsia="Times New Roman" w:hAnsi="Times New Roman" w:cs="Times New Roman"/>
          <w:sz w:val="24"/>
          <w:szCs w:val="24"/>
        </w:rPr>
        <w:t>Ogunode</w:t>
      </w:r>
      <w:proofErr w:type="spellEnd"/>
      <w:r w:rsidRPr="007F244C">
        <w:rPr>
          <w:rFonts w:ascii="Times New Roman" w:eastAsia="Times New Roman" w:hAnsi="Times New Roman" w:cs="Times New Roman"/>
          <w:sz w:val="24"/>
          <w:szCs w:val="24"/>
        </w:rPr>
        <w:t xml:space="preserve">, N. J., &amp; Musa, A. (2020). Student unionism and campus governance in Nigeria. </w:t>
      </w:r>
      <w:r w:rsidRPr="007F244C">
        <w:rPr>
          <w:rFonts w:ascii="Times New Roman" w:eastAsia="Times New Roman" w:hAnsi="Times New Roman" w:cs="Times New Roman"/>
          <w:i/>
          <w:iCs/>
          <w:sz w:val="24"/>
          <w:szCs w:val="24"/>
        </w:rPr>
        <w:t>International Journal of Educational Research</w:t>
      </w:r>
      <w:r w:rsidRPr="007F244C">
        <w:rPr>
          <w:rFonts w:ascii="Times New Roman" w:eastAsia="Times New Roman" w:hAnsi="Times New Roman" w:cs="Times New Roman"/>
          <w:sz w:val="24"/>
          <w:szCs w:val="24"/>
        </w:rPr>
        <w:t>, 8(2), 112–120.</w:t>
      </w:r>
    </w:p>
    <w:p w14:paraId="076C3F68" w14:textId="77777777" w:rsidR="00B749FC" w:rsidRPr="007F244C" w:rsidRDefault="00B749FC" w:rsidP="00B749FC">
      <w:pPr>
        <w:pStyle w:val="NormalWeb"/>
        <w:spacing w:after="0" w:afterAutospacing="0"/>
        <w:ind w:firstLine="720"/>
        <w:jc w:val="both"/>
      </w:pPr>
      <w:r w:rsidRPr="007F244C">
        <w:t xml:space="preserve">Patton, M. Q. (2015). </w:t>
      </w:r>
      <w:r w:rsidRPr="007F244C">
        <w:rPr>
          <w:rStyle w:val="Emphasis"/>
        </w:rPr>
        <w:t>Qualitative research and evaluation methods</w:t>
      </w:r>
      <w:r w:rsidRPr="007F244C">
        <w:t xml:space="preserve"> (4th ed.). SAGE. (pp. 264–272)</w:t>
      </w:r>
    </w:p>
    <w:p w14:paraId="5EC92536" w14:textId="77777777" w:rsidR="00B749FC" w:rsidRPr="007F244C" w:rsidRDefault="00B749FC" w:rsidP="00B749FC">
      <w:pPr>
        <w:pStyle w:val="NormalWeb"/>
        <w:spacing w:after="0" w:afterAutospacing="0"/>
        <w:ind w:firstLine="720"/>
        <w:jc w:val="both"/>
      </w:pPr>
      <w:proofErr w:type="spellStart"/>
      <w:r w:rsidRPr="007F244C">
        <w:t>Portes</w:t>
      </w:r>
      <w:proofErr w:type="spellEnd"/>
      <w:r w:rsidRPr="007F244C">
        <w:t xml:space="preserve">, A. (2014). Downsides of social capital. </w:t>
      </w:r>
      <w:r w:rsidRPr="007F244C">
        <w:rPr>
          <w:rStyle w:val="Emphasis"/>
        </w:rPr>
        <w:t>American Prospect</w:t>
      </w:r>
      <w:r w:rsidRPr="007F244C">
        <w:t>, 25(4), 44–48.</w:t>
      </w:r>
    </w:p>
    <w:p w14:paraId="65A57DCE" w14:textId="77777777" w:rsidR="00B749FC" w:rsidRPr="007F244C" w:rsidRDefault="00B749FC" w:rsidP="00B749FC">
      <w:pPr>
        <w:pStyle w:val="NormalWeb"/>
        <w:spacing w:after="0" w:afterAutospacing="0"/>
        <w:ind w:firstLine="720"/>
        <w:jc w:val="both"/>
      </w:pPr>
      <w:r w:rsidRPr="007F244C">
        <w:t xml:space="preserve">Presser, S., et al. (2018). Methods for testing and evaluating survey questions. </w:t>
      </w:r>
      <w:r w:rsidRPr="007F244C">
        <w:rPr>
          <w:rStyle w:val="Emphasis"/>
        </w:rPr>
        <w:t>Public Opinion Quarterly, 82</w:t>
      </w:r>
      <w:r w:rsidRPr="007F244C">
        <w:t>(3), 459–486. https://doi.org/10.1093/poq/nfy021</w:t>
      </w:r>
    </w:p>
    <w:p w14:paraId="18D824F9" w14:textId="77777777" w:rsidR="00B749FC" w:rsidRPr="007F244C" w:rsidRDefault="00B749FC" w:rsidP="00B749FC">
      <w:pPr>
        <w:pStyle w:val="NormalWeb"/>
        <w:spacing w:after="0" w:afterAutospacing="0"/>
        <w:ind w:firstLine="720"/>
        <w:jc w:val="both"/>
      </w:pPr>
      <w:r w:rsidRPr="007F244C">
        <w:t xml:space="preserve">Putnam, R. D. (2000). </w:t>
      </w:r>
      <w:r w:rsidRPr="007F244C">
        <w:rPr>
          <w:rStyle w:val="Emphasis"/>
        </w:rPr>
        <w:t>Bowling alone</w:t>
      </w:r>
      <w:r w:rsidRPr="007F244C">
        <w:t>. Simon &amp; Schuster.</w:t>
      </w:r>
    </w:p>
    <w:p w14:paraId="370F35D4" w14:textId="77777777" w:rsidR="00B749FC" w:rsidRPr="007F244C" w:rsidRDefault="00B749FC" w:rsidP="00B749FC">
      <w:pPr>
        <w:pStyle w:val="NormalWeb"/>
        <w:spacing w:after="0" w:afterAutospacing="0"/>
        <w:ind w:firstLine="720"/>
        <w:jc w:val="both"/>
      </w:pPr>
      <w:proofErr w:type="spellStart"/>
      <w:r w:rsidRPr="007F244C">
        <w:t>Schedler</w:t>
      </w:r>
      <w:proofErr w:type="spellEnd"/>
      <w:r w:rsidRPr="007F244C">
        <w:t xml:space="preserve">, A. (2016). </w:t>
      </w:r>
      <w:r w:rsidRPr="007F244C">
        <w:rPr>
          <w:rStyle w:val="Emphasis"/>
          <w:rFonts w:eastAsiaTheme="majorEastAsia"/>
        </w:rPr>
        <w:t>The politics of uncertainty</w:t>
      </w:r>
      <w:r w:rsidRPr="007F244C">
        <w:t>. Oxford University Press.</w:t>
      </w:r>
    </w:p>
    <w:p w14:paraId="5D90E9E5" w14:textId="77777777" w:rsidR="00B749FC" w:rsidRPr="007F244C" w:rsidRDefault="00B749FC" w:rsidP="00B749FC">
      <w:pPr>
        <w:pStyle w:val="NormalWeb"/>
        <w:spacing w:after="0" w:afterAutospacing="0"/>
        <w:ind w:firstLine="720"/>
        <w:jc w:val="both"/>
      </w:pPr>
      <w:proofErr w:type="spellStart"/>
      <w:r w:rsidRPr="007F244C">
        <w:t>Schedler</w:t>
      </w:r>
      <w:proofErr w:type="spellEnd"/>
      <w:r w:rsidRPr="007F244C">
        <w:t xml:space="preserve">, A. (2019). Accountability in comparative perspective. </w:t>
      </w:r>
      <w:r w:rsidRPr="007F244C">
        <w:rPr>
          <w:rStyle w:val="Emphasis"/>
        </w:rPr>
        <w:t>Annual Review of Political Science</w:t>
      </w:r>
      <w:r w:rsidRPr="007F244C">
        <w:t>, 22, 145–163. https://doi.org/10.1146/annurev-polisci-050317-070819</w:t>
      </w:r>
    </w:p>
    <w:p w14:paraId="1B69D4E7" w14:textId="77777777" w:rsidR="00B749FC" w:rsidRPr="007F244C" w:rsidRDefault="00B749FC" w:rsidP="00B749FC">
      <w:pPr>
        <w:pStyle w:val="NormalWeb"/>
        <w:spacing w:after="0" w:afterAutospacing="0"/>
        <w:ind w:firstLine="720"/>
        <w:jc w:val="both"/>
      </w:pPr>
      <w:proofErr w:type="spellStart"/>
      <w:r w:rsidRPr="007F244C">
        <w:t>Schillemans</w:t>
      </w:r>
      <w:proofErr w:type="spellEnd"/>
      <w:r w:rsidRPr="007F244C">
        <w:t xml:space="preserve">, T., &amp; </w:t>
      </w:r>
      <w:proofErr w:type="spellStart"/>
      <w:r w:rsidRPr="007F244C">
        <w:t>Busuioc</w:t>
      </w:r>
      <w:proofErr w:type="spellEnd"/>
      <w:r w:rsidRPr="007F244C">
        <w:t xml:space="preserve">, M. (2015). Predicting accountability. </w:t>
      </w:r>
      <w:r w:rsidRPr="007F244C">
        <w:rPr>
          <w:rStyle w:val="Emphasis"/>
        </w:rPr>
        <w:t>Public Administration</w:t>
      </w:r>
      <w:r w:rsidRPr="007F244C">
        <w:t>, 93(1), 191–210. https://doi.org/10.1111/padm.12110</w:t>
      </w:r>
    </w:p>
    <w:p w14:paraId="46196C2C" w14:textId="77777777" w:rsidR="00B749FC" w:rsidRPr="007F244C" w:rsidRDefault="00B749FC" w:rsidP="00B749FC">
      <w:pPr>
        <w:pStyle w:val="NormalWeb"/>
        <w:spacing w:after="0" w:afterAutospacing="0"/>
        <w:ind w:firstLine="720"/>
        <w:jc w:val="both"/>
      </w:pPr>
      <w:r w:rsidRPr="007F244C">
        <w:t xml:space="preserve">Smith, G. (2019). </w:t>
      </w:r>
      <w:r w:rsidRPr="007F244C">
        <w:rPr>
          <w:rStyle w:val="Emphasis"/>
        </w:rPr>
        <w:t>Democratic innovations</w:t>
      </w:r>
      <w:r w:rsidRPr="007F244C">
        <w:t>. Cambridge University Press. https://doi.org/10.1017/9781108765010</w:t>
      </w:r>
    </w:p>
    <w:p w14:paraId="5857AE0C" w14:textId="77777777" w:rsidR="00B749FC" w:rsidRPr="007F244C" w:rsidRDefault="00B749FC" w:rsidP="00B749FC">
      <w:pPr>
        <w:pStyle w:val="NormalWeb"/>
        <w:spacing w:after="0" w:afterAutospacing="0"/>
        <w:ind w:firstLine="720"/>
        <w:jc w:val="both"/>
      </w:pPr>
      <w:proofErr w:type="spellStart"/>
      <w:r w:rsidRPr="007F244C">
        <w:t>Tavakol</w:t>
      </w:r>
      <w:proofErr w:type="spellEnd"/>
      <w:r w:rsidRPr="007F244C">
        <w:t xml:space="preserve">, M., &amp; </w:t>
      </w:r>
      <w:proofErr w:type="spellStart"/>
      <w:r w:rsidRPr="007F244C">
        <w:t>Dennick</w:t>
      </w:r>
      <w:proofErr w:type="spellEnd"/>
      <w:r w:rsidRPr="007F244C">
        <w:t xml:space="preserve">, R. (2016). Making sense of Cronbach’s alpha. </w:t>
      </w:r>
      <w:r w:rsidRPr="007F244C">
        <w:rPr>
          <w:rStyle w:val="Emphasis"/>
        </w:rPr>
        <w:t>International Journal of Medical Education, 2</w:t>
      </w:r>
      <w:r w:rsidRPr="007F244C">
        <w:t xml:space="preserve">, 53–55. </w:t>
      </w:r>
      <w:hyperlink r:id="rId17" w:tgtFrame="_new" w:history="1">
        <w:r w:rsidRPr="007F244C">
          <w:rPr>
            <w:rStyle w:val="Hyperlink"/>
          </w:rPr>
          <w:t>https://doi.org/10.5116/ijme.4dfb.8dfd</w:t>
        </w:r>
      </w:hyperlink>
    </w:p>
    <w:p w14:paraId="36BCE8F0" w14:textId="77777777" w:rsidR="00B749FC" w:rsidRPr="007F244C" w:rsidRDefault="00B749FC" w:rsidP="00B749FC">
      <w:pPr>
        <w:pStyle w:val="NormalWeb"/>
        <w:spacing w:after="0" w:afterAutospacing="0"/>
        <w:ind w:firstLine="720"/>
        <w:jc w:val="both"/>
      </w:pPr>
      <w:proofErr w:type="spellStart"/>
      <w:r w:rsidRPr="007F244C">
        <w:t>Torney-Purta</w:t>
      </w:r>
      <w:proofErr w:type="spellEnd"/>
      <w:r w:rsidRPr="007F244C">
        <w:t xml:space="preserve">, J., Barber, C., &amp; Wilkenfeld, B. (2016). How adolescents learn civic engagement. </w:t>
      </w:r>
      <w:r w:rsidRPr="007F244C">
        <w:rPr>
          <w:rStyle w:val="Emphasis"/>
          <w:rFonts w:eastAsiaTheme="majorEastAsia"/>
        </w:rPr>
        <w:t>Journal of Youth and Adolescence, 45</w:t>
      </w:r>
      <w:r w:rsidRPr="007F244C">
        <w:t>(4), 694–709. https://doi.org/10.1007/s10964-016-0419-6</w:t>
      </w:r>
    </w:p>
    <w:p w14:paraId="08410C38" w14:textId="77777777" w:rsidR="00B749FC" w:rsidRPr="007F244C" w:rsidRDefault="00B749FC" w:rsidP="00B749FC">
      <w:pPr>
        <w:pStyle w:val="NormalWeb"/>
        <w:spacing w:after="0" w:afterAutospacing="0"/>
        <w:ind w:firstLine="720"/>
        <w:jc w:val="both"/>
      </w:pPr>
      <w:r w:rsidRPr="007F244C">
        <w:t xml:space="preserve">UNESCO. (2018). </w:t>
      </w:r>
      <w:r w:rsidRPr="007F244C">
        <w:rPr>
          <w:rStyle w:val="Emphasis"/>
        </w:rPr>
        <w:t>Global education monitoring report</w:t>
      </w:r>
      <w:r w:rsidRPr="007F244C">
        <w:t>. UNESCO Publishing.</w:t>
      </w:r>
    </w:p>
    <w:p w14:paraId="427E6954" w14:textId="77777777" w:rsidR="00B749FC" w:rsidRPr="007F244C" w:rsidRDefault="00B749FC" w:rsidP="00B749FC">
      <w:pPr>
        <w:pStyle w:val="NormalWeb"/>
        <w:spacing w:after="0" w:afterAutospacing="0"/>
        <w:ind w:firstLine="720"/>
        <w:jc w:val="both"/>
      </w:pPr>
      <w:r w:rsidRPr="007F244C">
        <w:t xml:space="preserve">UNESCO. (2019). </w:t>
      </w:r>
      <w:r w:rsidRPr="007F244C">
        <w:rPr>
          <w:rStyle w:val="Emphasis"/>
        </w:rPr>
        <w:t>Gender equality in education</w:t>
      </w:r>
      <w:r w:rsidRPr="007F244C">
        <w:t>. UNESCO Publishing. (pp. 14–32)</w:t>
      </w:r>
    </w:p>
    <w:p w14:paraId="069BA312" w14:textId="77777777" w:rsidR="00B749FC" w:rsidRPr="007F244C" w:rsidRDefault="00B749FC" w:rsidP="00B749FC">
      <w:pPr>
        <w:pStyle w:val="NormalWeb"/>
        <w:spacing w:after="0" w:afterAutospacing="0"/>
        <w:ind w:firstLine="720"/>
        <w:jc w:val="both"/>
      </w:pPr>
      <w:proofErr w:type="spellStart"/>
      <w:r w:rsidRPr="007F244C">
        <w:t>Uslaner</w:t>
      </w:r>
      <w:proofErr w:type="spellEnd"/>
      <w:r w:rsidRPr="007F244C">
        <w:t xml:space="preserve">, E. M. (2018). </w:t>
      </w:r>
      <w:r w:rsidRPr="007F244C">
        <w:rPr>
          <w:rStyle w:val="Emphasis"/>
        </w:rPr>
        <w:t>The historical roots of corruption</w:t>
      </w:r>
      <w:r w:rsidRPr="007F244C">
        <w:t xml:space="preserve">. Cambridge University </w:t>
      </w:r>
      <w:r w:rsidRPr="007F244C">
        <w:lastRenderedPageBreak/>
        <w:t>Press. https://doi.org/10.1017/9781108552030</w:t>
      </w:r>
    </w:p>
    <w:p w14:paraId="1BCB9E11" w14:textId="77777777" w:rsidR="00B749FC" w:rsidRPr="007F244C" w:rsidRDefault="00B749FC" w:rsidP="00B749FC">
      <w:pPr>
        <w:pStyle w:val="NormalWeb"/>
        <w:spacing w:after="0" w:afterAutospacing="0"/>
        <w:ind w:firstLine="720"/>
        <w:jc w:val="both"/>
      </w:pPr>
      <w:proofErr w:type="spellStart"/>
      <w:r w:rsidRPr="007F244C">
        <w:t>Verba</w:t>
      </w:r>
      <w:proofErr w:type="spellEnd"/>
      <w:r w:rsidRPr="007F244C">
        <w:t xml:space="preserve">, S., Schlozman, K. L., &amp; Brady, H. E. (1995). </w:t>
      </w:r>
      <w:r w:rsidRPr="007F244C">
        <w:rPr>
          <w:rStyle w:val="Emphasis"/>
        </w:rPr>
        <w:t>Voice and equality</w:t>
      </w:r>
      <w:r w:rsidRPr="007F244C">
        <w:t>. Harvard University Press.</w:t>
      </w:r>
    </w:p>
    <w:p w14:paraId="6D7BB250" w14:textId="77777777" w:rsidR="00B749FC" w:rsidRPr="007F244C" w:rsidRDefault="00B749FC" w:rsidP="00B749FC">
      <w:pPr>
        <w:pStyle w:val="NormalWeb"/>
        <w:spacing w:after="0" w:afterAutospacing="0"/>
        <w:ind w:firstLine="720"/>
        <w:jc w:val="both"/>
      </w:pPr>
      <w:r w:rsidRPr="007F244C">
        <w:t xml:space="preserve">Woolcock, M. (2016). Social capital and economic development. </w:t>
      </w:r>
      <w:r w:rsidRPr="007F244C">
        <w:rPr>
          <w:rStyle w:val="Emphasis"/>
        </w:rPr>
        <w:t>World Development</w:t>
      </w:r>
      <w:r w:rsidRPr="007F244C">
        <w:t>, 78, 225–237. https://doi.org/10.1016/j.worlddev.2015.10.015</w:t>
      </w:r>
    </w:p>
    <w:p w14:paraId="3D74937C" w14:textId="77777777" w:rsidR="00B749FC" w:rsidRPr="007F244C" w:rsidRDefault="00B749FC" w:rsidP="00B749FC">
      <w:pPr>
        <w:spacing w:before="100" w:beforeAutospacing="1" w:after="0" w:line="240" w:lineRule="auto"/>
        <w:ind w:firstLine="720"/>
        <w:jc w:val="both"/>
        <w:rPr>
          <w:rFonts w:ascii="Times New Roman" w:eastAsia="Times New Roman" w:hAnsi="Times New Roman" w:cs="Times New Roman"/>
          <w:sz w:val="24"/>
          <w:szCs w:val="24"/>
        </w:rPr>
      </w:pPr>
      <w:r w:rsidRPr="007F244C">
        <w:rPr>
          <w:rFonts w:ascii="Times New Roman" w:eastAsia="Times New Roman" w:hAnsi="Times New Roman" w:cs="Times New Roman"/>
          <w:sz w:val="24"/>
          <w:szCs w:val="24"/>
        </w:rPr>
        <w:t xml:space="preserve">Yin, R. K. (2018). </w:t>
      </w:r>
      <w:r w:rsidRPr="007F244C">
        <w:rPr>
          <w:rFonts w:ascii="Times New Roman" w:eastAsia="Times New Roman" w:hAnsi="Times New Roman" w:cs="Times New Roman"/>
          <w:i/>
          <w:iCs/>
          <w:sz w:val="24"/>
          <w:szCs w:val="24"/>
        </w:rPr>
        <w:t>Case study research and applications</w:t>
      </w:r>
      <w:r w:rsidRPr="007F244C">
        <w:rPr>
          <w:rFonts w:ascii="Times New Roman" w:eastAsia="Times New Roman" w:hAnsi="Times New Roman" w:cs="Times New Roman"/>
          <w:sz w:val="24"/>
          <w:szCs w:val="24"/>
        </w:rPr>
        <w:t xml:space="preserve"> (6th ed.). Sage.</w:t>
      </w:r>
    </w:p>
    <w:p w14:paraId="3C4ACF98" w14:textId="77777777" w:rsidR="00B749FC" w:rsidRPr="007F244C" w:rsidRDefault="00B749FC" w:rsidP="00B749FC">
      <w:pPr>
        <w:jc w:val="both"/>
        <w:rPr>
          <w:rFonts w:ascii="Times New Roman" w:hAnsi="Times New Roman" w:cs="Times New Roman"/>
          <w:sz w:val="24"/>
          <w:szCs w:val="24"/>
        </w:rPr>
        <w:sectPr w:rsidR="00B749FC" w:rsidRPr="007F244C" w:rsidSect="00AE0120">
          <w:type w:val="continuous"/>
          <w:pgSz w:w="12240" w:h="15840"/>
          <w:pgMar w:top="1440" w:right="1440" w:bottom="1440" w:left="1440" w:header="720" w:footer="720" w:gutter="0"/>
          <w:cols w:num="2" w:space="720"/>
          <w:docGrid w:linePitch="360"/>
        </w:sectPr>
      </w:pPr>
    </w:p>
    <w:p w14:paraId="1D0AC201" w14:textId="77777777" w:rsidR="00B749FC" w:rsidRPr="007F244C" w:rsidRDefault="00B749FC" w:rsidP="00B749FC">
      <w:pPr>
        <w:jc w:val="both"/>
        <w:rPr>
          <w:rFonts w:ascii="Times New Roman" w:hAnsi="Times New Roman" w:cs="Times New Roman"/>
          <w:sz w:val="24"/>
          <w:szCs w:val="24"/>
        </w:rPr>
      </w:pPr>
    </w:p>
    <w:p w14:paraId="3A2F1FC7" w14:textId="77777777" w:rsidR="001144B1" w:rsidRPr="007F244C" w:rsidRDefault="001144B1">
      <w:pPr>
        <w:rPr>
          <w:rFonts w:ascii="Times New Roman" w:hAnsi="Times New Roman" w:cs="Times New Roman"/>
          <w:sz w:val="24"/>
          <w:szCs w:val="24"/>
        </w:rPr>
      </w:pPr>
    </w:p>
    <w:sectPr w:rsidR="001144B1" w:rsidRPr="007F244C" w:rsidSect="00AE012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EC961" w14:textId="77777777" w:rsidR="00546173" w:rsidRDefault="00546173">
      <w:pPr>
        <w:spacing w:after="0" w:line="240" w:lineRule="auto"/>
      </w:pPr>
      <w:r>
        <w:separator/>
      </w:r>
    </w:p>
  </w:endnote>
  <w:endnote w:type="continuationSeparator" w:id="0">
    <w:p w14:paraId="06C96104" w14:textId="77777777" w:rsidR="00546173" w:rsidRDefault="00546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arajita">
    <w:altName w:val="Aparajita"/>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5419935"/>
      <w:docPartObj>
        <w:docPartGallery w:val="Page Numbers (Bottom of Page)"/>
        <w:docPartUnique/>
      </w:docPartObj>
    </w:sdtPr>
    <w:sdtEndPr>
      <w:rPr>
        <w:noProof/>
      </w:rPr>
    </w:sdtEndPr>
    <w:sdtContent>
      <w:p w14:paraId="3E949707" w14:textId="77777777" w:rsidR="0091491E" w:rsidRDefault="003A5DAB">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14:paraId="6572B804" w14:textId="77777777" w:rsidR="0091491E" w:rsidRDefault="005461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9CE18" w14:textId="77777777" w:rsidR="00546173" w:rsidRDefault="00546173">
      <w:pPr>
        <w:spacing w:after="0" w:line="240" w:lineRule="auto"/>
      </w:pPr>
      <w:r>
        <w:separator/>
      </w:r>
    </w:p>
  </w:footnote>
  <w:footnote w:type="continuationSeparator" w:id="0">
    <w:p w14:paraId="75757511" w14:textId="77777777" w:rsidR="00546173" w:rsidRDefault="0054617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9FC"/>
    <w:rsid w:val="001144B1"/>
    <w:rsid w:val="001C133B"/>
    <w:rsid w:val="00240666"/>
    <w:rsid w:val="003A5DAB"/>
    <w:rsid w:val="00546173"/>
    <w:rsid w:val="007F244C"/>
    <w:rsid w:val="009214F5"/>
    <w:rsid w:val="00940C4F"/>
    <w:rsid w:val="00B74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FC867"/>
  <w15:chartTrackingRefBased/>
  <w15:docId w15:val="{88C0D0FD-EEF5-4CFF-B2E0-755DDADAA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9FC"/>
    <w:pPr>
      <w:spacing w:after="200" w:line="276" w:lineRule="auto"/>
    </w:pPr>
  </w:style>
  <w:style w:type="paragraph" w:styleId="Heading3">
    <w:name w:val="heading 3"/>
    <w:basedOn w:val="Normal"/>
    <w:link w:val="Heading3Char"/>
    <w:uiPriority w:val="9"/>
    <w:qFormat/>
    <w:rsid w:val="00B749F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749FC"/>
    <w:rPr>
      <w:rFonts w:ascii="Times New Roman" w:eastAsia="Times New Roman" w:hAnsi="Times New Roman" w:cs="Times New Roman"/>
      <w:b/>
      <w:bCs/>
      <w:sz w:val="27"/>
      <w:szCs w:val="27"/>
    </w:rPr>
  </w:style>
  <w:style w:type="paragraph" w:styleId="NormalWeb">
    <w:name w:val="Normal (Web)"/>
    <w:basedOn w:val="Normal"/>
    <w:uiPriority w:val="99"/>
    <w:unhideWhenUsed/>
    <w:rsid w:val="00B749F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749FC"/>
    <w:rPr>
      <w:i/>
      <w:iCs/>
    </w:rPr>
  </w:style>
  <w:style w:type="character" w:styleId="Hyperlink">
    <w:name w:val="Hyperlink"/>
    <w:basedOn w:val="DefaultParagraphFont"/>
    <w:uiPriority w:val="99"/>
    <w:semiHidden/>
    <w:unhideWhenUsed/>
    <w:rsid w:val="00B749FC"/>
    <w:rPr>
      <w:color w:val="0000FF"/>
      <w:u w:val="single"/>
    </w:rPr>
  </w:style>
  <w:style w:type="paragraph" w:styleId="Footer">
    <w:name w:val="footer"/>
    <w:basedOn w:val="Normal"/>
    <w:link w:val="FooterChar"/>
    <w:uiPriority w:val="99"/>
    <w:unhideWhenUsed/>
    <w:rsid w:val="00B749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49FC"/>
  </w:style>
  <w:style w:type="table" w:styleId="TableGrid">
    <w:name w:val="Table Grid"/>
    <w:basedOn w:val="TableNormal"/>
    <w:uiPriority w:val="59"/>
    <w:rsid w:val="00B749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balola.jamiu@federalpolyede.edu.ng" TargetMode="External"/><Relationship Id="rId13" Type="http://schemas.openxmlformats.org/officeDocument/2006/relationships/hyperlink" Target="https://doi.org/10.1080/14780887.2020.1769238"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ulabor.ehimen@federalpolyede.edu.ng" TargetMode="External"/><Relationship Id="rId12" Type="http://schemas.openxmlformats.org/officeDocument/2006/relationships/hyperlink" Target="https://doi.org/10.1093/oxfordhb/9780199641253.001.0001" TargetMode="External"/><Relationship Id="rId17" Type="http://schemas.openxmlformats.org/officeDocument/2006/relationships/hyperlink" Target="https://doi.org/10.5116/ijme.4dfb.8dfd" TargetMode="External"/><Relationship Id="rId2" Type="http://schemas.openxmlformats.org/officeDocument/2006/relationships/settings" Target="settings.xml"/><Relationship Id="rId16" Type="http://schemas.openxmlformats.org/officeDocument/2006/relationships/hyperlink" Target="https://doi.org/10.1073/pnas.1708274114" TargetMode="External"/><Relationship Id="rId1" Type="http://schemas.openxmlformats.org/officeDocument/2006/relationships/styles" Target="styles.xml"/><Relationship Id="rId6" Type="http://schemas.openxmlformats.org/officeDocument/2006/relationships/hyperlink" Target="mailto:olawepo.samson@federalpolyede.edu.ng" TargetMode="External"/><Relationship Id="rId11" Type="http://schemas.openxmlformats.org/officeDocument/2006/relationships/hyperlink" Target="https://doi.org/10.1111/j.1468-0386.2007.00378.x" TargetMode="External"/><Relationship Id="rId5" Type="http://schemas.openxmlformats.org/officeDocument/2006/relationships/endnotes" Target="endnotes.xml"/><Relationship Id="rId15" Type="http://schemas.openxmlformats.org/officeDocument/2006/relationships/hyperlink" Target="https://doi.org/10.1038/s41562-016-0021"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mailto:zubair.opeyemi@federalpolyede.edu.ng" TargetMode="External"/><Relationship Id="rId14" Type="http://schemas.openxmlformats.org/officeDocument/2006/relationships/hyperlink" Target="https://doi.org/10.1080/072943608024443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20</Pages>
  <Words>9192</Words>
  <Characters>52399</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2026-03-13T22:33:00Z</dcterms:created>
  <dcterms:modified xsi:type="dcterms:W3CDTF">2026-05-20T14:43:00Z</dcterms:modified>
</cp:coreProperties>
</file>