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DDE" w:rsidRPr="00147F4A" w:rsidRDefault="00331F3E" w:rsidP="007033E3">
      <w:pPr>
        <w:spacing w:after="0"/>
        <w:jc w:val="center"/>
        <w:rPr>
          <w:rFonts w:ascii="Times New Roman" w:hAnsi="Times New Roman"/>
          <w:b/>
        </w:rPr>
      </w:pPr>
      <w:r w:rsidRPr="00147F4A">
        <w:rPr>
          <w:rFonts w:ascii="Times New Roman" w:hAnsi="Times New Roman"/>
          <w:b/>
        </w:rPr>
        <w:t>Influence of broadcast messages on knowledge, attitude and practices towards cervical cancer vaccination among women in South-East Nigeria</w:t>
      </w:r>
    </w:p>
    <w:p w:rsidR="007033E3" w:rsidRPr="00147F4A" w:rsidRDefault="007033E3" w:rsidP="007033E3">
      <w:pPr>
        <w:spacing w:after="0"/>
        <w:jc w:val="center"/>
        <w:rPr>
          <w:rFonts w:ascii="Times New Roman" w:hAnsi="Times New Roman" w:cs="Times New Roman"/>
          <w:bCs/>
          <w:vertAlign w:val="superscript"/>
        </w:rPr>
      </w:pPr>
    </w:p>
    <w:p w:rsidR="00331F3E" w:rsidRPr="00147F4A" w:rsidRDefault="00327DDE" w:rsidP="00327DDE">
      <w:pPr>
        <w:spacing w:after="0"/>
        <w:jc w:val="both"/>
        <w:rPr>
          <w:rFonts w:ascii="Times New Roman" w:hAnsi="Times New Roman" w:cs="Times New Roman"/>
          <w:bCs/>
        </w:rPr>
      </w:pPr>
      <w:r w:rsidRPr="00147F4A">
        <w:rPr>
          <w:rFonts w:ascii="Times New Roman" w:hAnsi="Times New Roman" w:cs="Times New Roman"/>
          <w:bCs/>
          <w:vertAlign w:val="superscript"/>
        </w:rPr>
        <w:t>1</w:t>
      </w:r>
      <w:r w:rsidR="005148D5" w:rsidRPr="00147F4A">
        <w:rPr>
          <w:rFonts w:ascii="Times New Roman" w:hAnsi="Times New Roman" w:cs="Times New Roman"/>
          <w:bCs/>
        </w:rPr>
        <w:t>Perpetua Ogochukwu Gugu</w:t>
      </w:r>
      <w:r w:rsidR="00331F3E" w:rsidRPr="00147F4A">
        <w:rPr>
          <w:rFonts w:ascii="Times New Roman" w:hAnsi="Times New Roman" w:cs="Times New Roman"/>
          <w:bCs/>
        </w:rPr>
        <w:t xml:space="preserve">, </w:t>
      </w:r>
      <w:r w:rsidR="00331F3E" w:rsidRPr="00147F4A">
        <w:rPr>
          <w:rFonts w:ascii="Times New Roman" w:hAnsi="Times New Roman" w:cs="Times New Roman"/>
          <w:bCs/>
          <w:vertAlign w:val="superscript"/>
        </w:rPr>
        <w:t>1</w:t>
      </w:r>
      <w:r w:rsidR="00331F3E" w:rsidRPr="00147F4A">
        <w:rPr>
          <w:rFonts w:ascii="Times New Roman" w:hAnsi="Times New Roman" w:cs="Times New Roman"/>
          <w:bCs/>
        </w:rPr>
        <w:t xml:space="preserve">Ozioma Patience Nwokedi, </w:t>
      </w:r>
      <w:r w:rsidR="00331F3E" w:rsidRPr="00147F4A">
        <w:rPr>
          <w:rFonts w:ascii="Times New Roman" w:hAnsi="Times New Roman"/>
          <w:bCs/>
          <w:vertAlign w:val="superscript"/>
        </w:rPr>
        <w:t>2</w:t>
      </w:r>
      <w:r w:rsidR="00331F3E" w:rsidRPr="00147F4A">
        <w:rPr>
          <w:rFonts w:ascii="Times New Roman" w:hAnsi="Times New Roman" w:cs="Times New Roman"/>
          <w:bCs/>
        </w:rPr>
        <w:t xml:space="preserve">Thaddeus Harrison </w:t>
      </w:r>
      <w:proofErr w:type="spellStart"/>
      <w:r w:rsidR="00331F3E" w:rsidRPr="00147F4A">
        <w:rPr>
          <w:rFonts w:ascii="Times New Roman" w:hAnsi="Times New Roman" w:cs="Times New Roman"/>
          <w:bCs/>
        </w:rPr>
        <w:t>Gugu</w:t>
      </w:r>
      <w:proofErr w:type="spellEnd"/>
      <w:r w:rsidR="00B76F24" w:rsidRPr="00147F4A">
        <w:rPr>
          <w:rFonts w:ascii="Times New Roman" w:hAnsi="Times New Roman" w:cs="Times New Roman"/>
          <w:bCs/>
        </w:rPr>
        <w:t xml:space="preserve"> and </w:t>
      </w:r>
      <w:r w:rsidR="00B76F24" w:rsidRPr="00147F4A">
        <w:rPr>
          <w:rFonts w:ascii="Times New Roman" w:hAnsi="Times New Roman" w:cs="Times New Roman"/>
          <w:bCs/>
          <w:vertAlign w:val="superscript"/>
        </w:rPr>
        <w:t>1</w:t>
      </w:r>
      <w:r w:rsidR="00B76F24" w:rsidRPr="00147F4A">
        <w:rPr>
          <w:rFonts w:ascii="Times New Roman" w:hAnsi="Times New Roman" w:cs="Times New Roman"/>
          <w:bCs/>
        </w:rPr>
        <w:t xml:space="preserve">Michael </w:t>
      </w:r>
      <w:proofErr w:type="spellStart"/>
      <w:r w:rsidR="00B76F24" w:rsidRPr="00147F4A">
        <w:rPr>
          <w:rFonts w:ascii="Times New Roman" w:hAnsi="Times New Roman" w:cs="Times New Roman"/>
          <w:bCs/>
        </w:rPr>
        <w:t>Ukonu</w:t>
      </w:r>
      <w:proofErr w:type="spellEnd"/>
    </w:p>
    <w:p w:rsidR="007033E3" w:rsidRPr="00147F4A" w:rsidRDefault="007033E3" w:rsidP="00327DDE">
      <w:pPr>
        <w:spacing w:after="0"/>
        <w:jc w:val="both"/>
        <w:rPr>
          <w:rFonts w:ascii="Times New Roman" w:hAnsi="Times New Roman" w:cs="Times New Roman"/>
          <w:bCs/>
          <w:vertAlign w:val="superscript"/>
        </w:rPr>
      </w:pPr>
    </w:p>
    <w:p w:rsidR="00327DDE" w:rsidRPr="00147F4A" w:rsidRDefault="007033E3" w:rsidP="00327DDE">
      <w:pPr>
        <w:spacing w:after="0"/>
        <w:jc w:val="both"/>
        <w:rPr>
          <w:rFonts w:ascii="Times New Roman" w:hAnsi="Times New Roman" w:cs="Times New Roman"/>
          <w:bCs/>
        </w:rPr>
      </w:pPr>
      <w:r w:rsidRPr="00147F4A">
        <w:rPr>
          <w:rFonts w:ascii="Times New Roman" w:hAnsi="Times New Roman" w:cs="Times New Roman"/>
          <w:bCs/>
          <w:vertAlign w:val="superscript"/>
        </w:rPr>
        <w:t>1</w:t>
      </w:r>
      <w:r w:rsidR="00C75BD6" w:rsidRPr="00147F4A">
        <w:rPr>
          <w:rFonts w:ascii="Times New Roman" w:hAnsi="Times New Roman" w:cs="Times New Roman"/>
          <w:bCs/>
        </w:rPr>
        <w:t>Department of Mass Communication</w:t>
      </w:r>
      <w:r w:rsidRPr="00147F4A">
        <w:rPr>
          <w:rFonts w:ascii="Times New Roman" w:hAnsi="Times New Roman" w:cs="Times New Roman"/>
          <w:bCs/>
        </w:rPr>
        <w:t xml:space="preserve">, </w:t>
      </w:r>
      <w:r w:rsidR="00C75BD6" w:rsidRPr="00147F4A">
        <w:rPr>
          <w:rFonts w:ascii="Times New Roman" w:hAnsi="Times New Roman" w:cs="Times New Roman"/>
          <w:bCs/>
        </w:rPr>
        <w:t>University of Nigeria</w:t>
      </w:r>
      <w:r w:rsidR="00327DDE" w:rsidRPr="00147F4A">
        <w:rPr>
          <w:rFonts w:ascii="Times New Roman" w:hAnsi="Times New Roman" w:cs="Times New Roman"/>
          <w:bCs/>
        </w:rPr>
        <w:t>, N</w:t>
      </w:r>
      <w:r w:rsidR="00C75BD6" w:rsidRPr="00147F4A">
        <w:rPr>
          <w:rFonts w:ascii="Times New Roman" w:hAnsi="Times New Roman" w:cs="Times New Roman"/>
          <w:bCs/>
        </w:rPr>
        <w:t>sukka</w:t>
      </w:r>
    </w:p>
    <w:p w:rsidR="00472121" w:rsidRPr="00147F4A" w:rsidRDefault="007033E3" w:rsidP="00327DDE">
      <w:pPr>
        <w:spacing w:after="0"/>
        <w:jc w:val="both"/>
        <w:rPr>
          <w:rFonts w:ascii="Times New Roman" w:hAnsi="Times New Roman" w:cs="Times New Roman"/>
          <w:bCs/>
        </w:rPr>
      </w:pPr>
      <w:r w:rsidRPr="00147F4A">
        <w:rPr>
          <w:rFonts w:ascii="Times New Roman" w:hAnsi="Times New Roman" w:cs="Times New Roman"/>
          <w:bCs/>
          <w:vertAlign w:val="superscript"/>
        </w:rPr>
        <w:t>2</w:t>
      </w:r>
      <w:r w:rsidR="000F61E0" w:rsidRPr="00147F4A">
        <w:rPr>
          <w:rFonts w:ascii="Times New Roman" w:hAnsi="Times New Roman" w:cs="Times New Roman"/>
          <w:bCs/>
        </w:rPr>
        <w:t>Department of Pharmaceutical Microbiology and Biotechnology</w:t>
      </w:r>
      <w:r w:rsidRPr="00147F4A">
        <w:rPr>
          <w:rFonts w:ascii="Times New Roman" w:hAnsi="Times New Roman" w:cs="Times New Roman"/>
          <w:bCs/>
        </w:rPr>
        <w:t xml:space="preserve">, </w:t>
      </w:r>
      <w:r w:rsidR="000F61E0" w:rsidRPr="00147F4A">
        <w:rPr>
          <w:rFonts w:ascii="Times New Roman" w:hAnsi="Times New Roman" w:cs="Times New Roman"/>
          <w:bCs/>
        </w:rPr>
        <w:t>University of Nigeria, Nsukka</w:t>
      </w:r>
    </w:p>
    <w:p w:rsidR="00327DDE" w:rsidRPr="00147F4A" w:rsidRDefault="00327DDE" w:rsidP="00327DDE">
      <w:pPr>
        <w:spacing w:after="0"/>
        <w:jc w:val="both"/>
        <w:rPr>
          <w:rFonts w:ascii="Times New Roman" w:hAnsi="Times New Roman" w:cs="Times New Roman"/>
          <w:b/>
        </w:rPr>
      </w:pPr>
    </w:p>
    <w:p w:rsidR="00327DDE" w:rsidRPr="00147F4A" w:rsidRDefault="007033E3" w:rsidP="007033E3">
      <w:pPr>
        <w:spacing w:after="0"/>
        <w:jc w:val="both"/>
        <w:rPr>
          <w:rFonts w:ascii="Times New Roman" w:hAnsi="Times New Roman" w:cs="Times New Roman"/>
          <w:bCs/>
        </w:rPr>
      </w:pPr>
      <w:r w:rsidRPr="00147F4A">
        <w:rPr>
          <w:rFonts w:ascii="Times New Roman" w:hAnsi="Times New Roman" w:cs="Times New Roman"/>
        </w:rPr>
        <w:t xml:space="preserve">Corresponding author: Perpetua O. Gugu. Email: </w:t>
      </w:r>
      <w:hyperlink r:id="rId5" w:history="1">
        <w:r w:rsidRPr="00147F4A">
          <w:rPr>
            <w:rStyle w:val="Hyperlink"/>
            <w:rFonts w:ascii="Times New Roman" w:hAnsi="Times New Roman" w:cs="Times New Roman"/>
            <w:bCs/>
          </w:rPr>
          <w:t>chukwuperp@gmail.com</w:t>
        </w:r>
      </w:hyperlink>
      <w:r w:rsidRPr="00147F4A">
        <w:rPr>
          <w:rFonts w:ascii="Times New Roman" w:hAnsi="Times New Roman" w:cs="Times New Roman"/>
          <w:bCs/>
        </w:rPr>
        <w:t>. Tel. +2348036157434</w:t>
      </w:r>
    </w:p>
    <w:p w:rsidR="007033E3" w:rsidRPr="00147F4A" w:rsidRDefault="007033E3" w:rsidP="004C7FF2">
      <w:pPr>
        <w:spacing w:after="0" w:line="240" w:lineRule="auto"/>
        <w:jc w:val="center"/>
        <w:rPr>
          <w:rFonts w:ascii="Times New Roman" w:hAnsi="Times New Roman" w:cs="Times New Roman"/>
          <w:b/>
        </w:rPr>
      </w:pPr>
    </w:p>
    <w:p w:rsidR="004C7FF2" w:rsidRPr="00147F4A" w:rsidRDefault="004C7FF2" w:rsidP="004C7FF2">
      <w:pPr>
        <w:spacing w:after="0" w:line="240" w:lineRule="auto"/>
        <w:jc w:val="center"/>
        <w:rPr>
          <w:rFonts w:ascii="Times New Roman" w:hAnsi="Times New Roman" w:cs="Times New Roman"/>
        </w:rPr>
      </w:pPr>
      <w:r w:rsidRPr="00147F4A">
        <w:rPr>
          <w:rFonts w:ascii="Times New Roman" w:hAnsi="Times New Roman" w:cs="Times New Roman"/>
          <w:b/>
        </w:rPr>
        <w:t>ABSTRACT</w:t>
      </w:r>
    </w:p>
    <w:p w:rsidR="004C7FF2" w:rsidRPr="00147F4A" w:rsidRDefault="005D7226" w:rsidP="007033E3">
      <w:pPr>
        <w:spacing w:after="0" w:line="360" w:lineRule="auto"/>
        <w:jc w:val="both"/>
        <w:rPr>
          <w:rFonts w:ascii="Times New Roman" w:hAnsi="Times New Roman" w:cs="Times New Roman"/>
        </w:rPr>
      </w:pPr>
      <w:r w:rsidRPr="00147F4A">
        <w:rPr>
          <w:rFonts w:ascii="Times New Roman" w:hAnsi="Times New Roman" w:cs="Times New Roman"/>
        </w:rPr>
        <w:t>This study examined the</w:t>
      </w:r>
      <w:r w:rsidR="00327DDE" w:rsidRPr="00147F4A">
        <w:rPr>
          <w:rFonts w:ascii="Times New Roman" w:hAnsi="Times New Roman" w:cs="Times New Roman"/>
        </w:rPr>
        <w:t xml:space="preserve">influence </w:t>
      </w:r>
      <w:r w:rsidRPr="00147F4A">
        <w:rPr>
          <w:rFonts w:ascii="Times New Roman" w:hAnsi="Times New Roman" w:cs="Times New Roman"/>
        </w:rPr>
        <w:t xml:space="preserve">of </w:t>
      </w:r>
      <w:r w:rsidR="004C7FF2" w:rsidRPr="00147F4A">
        <w:rPr>
          <w:rFonts w:ascii="Times New Roman" w:hAnsi="Times New Roman" w:cs="Times New Roman"/>
        </w:rPr>
        <w:t>broadcast messages on women’s knowledge, attitudes, and practices regarding cervical cancer vaccination in selected states in South-East Nigeria,</w:t>
      </w:r>
      <w:r w:rsidR="006A3887" w:rsidRPr="00147F4A">
        <w:rPr>
          <w:rFonts w:ascii="Times New Roman" w:hAnsi="Times New Roman" w:cs="Times New Roman"/>
        </w:rPr>
        <w:t xml:space="preserve"> with particular attention to</w:t>
      </w:r>
      <w:r w:rsidR="007033E3" w:rsidRPr="00147F4A">
        <w:rPr>
          <w:rFonts w:ascii="Times New Roman" w:hAnsi="Times New Roman" w:cs="Times New Roman"/>
        </w:rPr>
        <w:t xml:space="preserve">the </w:t>
      </w:r>
      <w:r w:rsidR="004C7FF2" w:rsidRPr="00147F4A">
        <w:rPr>
          <w:rFonts w:ascii="Times New Roman" w:hAnsi="Times New Roman" w:cs="Times New Roman"/>
        </w:rPr>
        <w:t>moderating role of socio-cultural and re</w:t>
      </w:r>
      <w:r w:rsidRPr="00147F4A">
        <w:rPr>
          <w:rFonts w:ascii="Times New Roman" w:hAnsi="Times New Roman" w:cs="Times New Roman"/>
        </w:rPr>
        <w:t xml:space="preserve">ligious factors. Anchored on </w:t>
      </w:r>
      <w:r w:rsidR="004C7FF2" w:rsidRPr="00147F4A">
        <w:rPr>
          <w:rFonts w:ascii="Times New Roman" w:hAnsi="Times New Roman" w:cs="Times New Roman"/>
        </w:rPr>
        <w:t xml:space="preserve"> H</w:t>
      </w:r>
      <w:r w:rsidRPr="00147F4A">
        <w:rPr>
          <w:rFonts w:ascii="Times New Roman" w:hAnsi="Times New Roman" w:cs="Times New Roman"/>
        </w:rPr>
        <w:t>ealth Belief Model (HBM) and</w:t>
      </w:r>
      <w:r w:rsidR="004C7FF2" w:rsidRPr="00147F4A">
        <w:rPr>
          <w:rFonts w:ascii="Times New Roman" w:hAnsi="Times New Roman" w:cs="Times New Roman"/>
        </w:rPr>
        <w:t xml:space="preserve"> Theory of Planned </w:t>
      </w:r>
      <w:proofErr w:type="spellStart"/>
      <w:r w:rsidR="004C7FF2" w:rsidRPr="00147F4A">
        <w:rPr>
          <w:rFonts w:ascii="Times New Roman" w:hAnsi="Times New Roman" w:cs="Times New Roman"/>
        </w:rPr>
        <w:t>Behaviour</w:t>
      </w:r>
      <w:proofErr w:type="spellEnd"/>
      <w:r w:rsidR="004C7FF2" w:rsidRPr="00147F4A">
        <w:rPr>
          <w:rFonts w:ascii="Times New Roman" w:hAnsi="Times New Roman" w:cs="Times New Roman"/>
        </w:rPr>
        <w:t xml:space="preserve"> (TPB), the study adopted a survey research design. Data were collected from 385 women selected through a multistage sam</w:t>
      </w:r>
      <w:r w:rsidR="00EB3096" w:rsidRPr="00147F4A">
        <w:rPr>
          <w:rFonts w:ascii="Times New Roman" w:hAnsi="Times New Roman" w:cs="Times New Roman"/>
        </w:rPr>
        <w:t xml:space="preserve">pling technique. </w:t>
      </w:r>
      <w:r w:rsidR="007033E3" w:rsidRPr="00147F4A">
        <w:rPr>
          <w:rFonts w:ascii="Times New Roman" w:hAnsi="Times New Roman" w:cs="Times New Roman"/>
        </w:rPr>
        <w:t>A structured</w:t>
      </w:r>
      <w:r w:rsidR="004C7FF2" w:rsidRPr="00147F4A">
        <w:rPr>
          <w:rFonts w:ascii="Times New Roman" w:hAnsi="Times New Roman" w:cs="Times New Roman"/>
        </w:rPr>
        <w:t xml:space="preserve"> questionnaire served as the instrument for data collection, while descriptive statistics and Spearman’s rho correlation were used for data analysis. Findings revealed that exposure to broadcast messages was associated with improved knowledge of cervical cancer vaccination among women. The study also found that broadcast messages significantly influenced women’s attitudes, leading to generally </w:t>
      </w:r>
      <w:proofErr w:type="spellStart"/>
      <w:r w:rsidR="004C7FF2" w:rsidRPr="00147F4A">
        <w:rPr>
          <w:rFonts w:ascii="Times New Roman" w:hAnsi="Times New Roman" w:cs="Times New Roman"/>
        </w:rPr>
        <w:t>favourable</w:t>
      </w:r>
      <w:proofErr w:type="spellEnd"/>
      <w:r w:rsidR="004C7FF2" w:rsidRPr="00147F4A">
        <w:rPr>
          <w:rFonts w:ascii="Times New Roman" w:hAnsi="Times New Roman" w:cs="Times New Roman"/>
        </w:rPr>
        <w:t xml:space="preserve"> perceptions of the vaccine. However, despite positive knowledge and attitudes, actual vaccination practices remained comparatively low, indicating a gap between awareness and uptake. Furthermore, socio-cultural and religious factors such as cultural beliefs, religious teachings, and family or community influences were found to significantly shape women’s responses, either reinforcing or limiting the impact of broadcast messages. The study concludes that while broadcast messages are effective in enhancing knowledge and shaping positive attitudes, their influence on actual vaccination practices is moderated by socio-cultural and religious contexts. </w:t>
      </w:r>
      <w:r w:rsidR="00A80710" w:rsidRPr="00147F4A">
        <w:rPr>
          <w:rFonts w:ascii="Times New Roman" w:hAnsi="Times New Roman" w:cs="Times New Roman"/>
        </w:rPr>
        <w:t xml:space="preserve">It recommends </w:t>
      </w:r>
      <w:r w:rsidR="004C7FF2" w:rsidRPr="00147F4A">
        <w:rPr>
          <w:rFonts w:ascii="Times New Roman" w:hAnsi="Times New Roman" w:cs="Times New Roman"/>
        </w:rPr>
        <w:t>integration of culturally sensitive and religiously inclusive communication strategies to improve cervical cancer vaccination uptake among women in South-East Nigeria.</w:t>
      </w:r>
    </w:p>
    <w:p w:rsidR="00327DDE" w:rsidRPr="00147F4A" w:rsidRDefault="00327DDE" w:rsidP="00854E54">
      <w:pPr>
        <w:spacing w:after="0"/>
        <w:jc w:val="both"/>
        <w:rPr>
          <w:rFonts w:ascii="Times New Roman" w:hAnsi="Times New Roman" w:cs="Times New Roman"/>
        </w:rPr>
      </w:pPr>
    </w:p>
    <w:p w:rsidR="004C7FF2" w:rsidRPr="00147F4A" w:rsidRDefault="00327DDE" w:rsidP="00854E54">
      <w:pPr>
        <w:spacing w:after="0"/>
        <w:jc w:val="both"/>
        <w:rPr>
          <w:rFonts w:ascii="Times New Roman" w:hAnsi="Times New Roman" w:cs="Times New Roman"/>
        </w:rPr>
      </w:pPr>
      <w:r w:rsidRPr="00147F4A">
        <w:rPr>
          <w:rFonts w:ascii="Times New Roman" w:hAnsi="Times New Roman" w:cs="Times New Roman"/>
        </w:rPr>
        <w:t xml:space="preserve">Key Words: Influence, </w:t>
      </w:r>
      <w:r w:rsidR="005D7226" w:rsidRPr="00147F4A">
        <w:rPr>
          <w:rFonts w:ascii="Times New Roman" w:hAnsi="Times New Roman" w:cs="Times New Roman"/>
        </w:rPr>
        <w:t>B</w:t>
      </w:r>
      <w:r w:rsidRPr="00147F4A">
        <w:rPr>
          <w:rFonts w:ascii="Times New Roman" w:hAnsi="Times New Roman" w:cs="Times New Roman"/>
        </w:rPr>
        <w:t>roadcast messages</w:t>
      </w:r>
      <w:r w:rsidR="005D7226" w:rsidRPr="00147F4A">
        <w:rPr>
          <w:rFonts w:ascii="Times New Roman" w:hAnsi="Times New Roman" w:cs="Times New Roman"/>
        </w:rPr>
        <w:t>, K</w:t>
      </w:r>
      <w:r w:rsidRPr="00147F4A">
        <w:rPr>
          <w:rFonts w:ascii="Times New Roman" w:hAnsi="Times New Roman" w:cs="Times New Roman"/>
        </w:rPr>
        <w:t>nowledge, Attitudes, Practices, Cervical cancer, Vaccination</w:t>
      </w:r>
    </w:p>
    <w:p w:rsidR="00641ED8" w:rsidRPr="00147F4A" w:rsidRDefault="00641ED8" w:rsidP="00547A72">
      <w:pPr>
        <w:spacing w:after="0" w:line="360" w:lineRule="auto"/>
        <w:jc w:val="center"/>
        <w:rPr>
          <w:rFonts w:ascii="Times New Roman" w:hAnsi="Times New Roman" w:cs="Times New Roman"/>
          <w:b/>
        </w:rPr>
      </w:pPr>
    </w:p>
    <w:p w:rsidR="007033E3" w:rsidRPr="00147F4A" w:rsidRDefault="007033E3" w:rsidP="00547A72">
      <w:pPr>
        <w:spacing w:after="0" w:line="360" w:lineRule="auto"/>
        <w:jc w:val="center"/>
        <w:rPr>
          <w:rFonts w:ascii="Times New Roman" w:hAnsi="Times New Roman" w:cs="Times New Roman"/>
          <w:b/>
        </w:rPr>
      </w:pPr>
    </w:p>
    <w:p w:rsidR="007033E3" w:rsidRPr="00147F4A" w:rsidRDefault="007033E3" w:rsidP="00547A72">
      <w:pPr>
        <w:spacing w:after="0" w:line="360" w:lineRule="auto"/>
        <w:jc w:val="center"/>
        <w:rPr>
          <w:rFonts w:ascii="Times New Roman" w:hAnsi="Times New Roman" w:cs="Times New Roman"/>
          <w:b/>
        </w:rPr>
      </w:pPr>
    </w:p>
    <w:p w:rsidR="007033E3" w:rsidRPr="00147F4A" w:rsidRDefault="007033E3" w:rsidP="00547A72">
      <w:pPr>
        <w:spacing w:after="0" w:line="360" w:lineRule="auto"/>
        <w:jc w:val="center"/>
        <w:rPr>
          <w:rFonts w:ascii="Times New Roman" w:hAnsi="Times New Roman" w:cs="Times New Roman"/>
          <w:b/>
        </w:rPr>
      </w:pPr>
    </w:p>
    <w:p w:rsidR="007033E3" w:rsidRPr="00147F4A" w:rsidRDefault="007033E3" w:rsidP="00547A72">
      <w:pPr>
        <w:spacing w:after="0" w:line="360" w:lineRule="auto"/>
        <w:jc w:val="center"/>
        <w:rPr>
          <w:rFonts w:ascii="Times New Roman" w:hAnsi="Times New Roman" w:cs="Times New Roman"/>
          <w:b/>
        </w:rPr>
      </w:pPr>
    </w:p>
    <w:p w:rsidR="004C7FF2" w:rsidRPr="00147F4A" w:rsidRDefault="00147F4A" w:rsidP="007033E3">
      <w:pPr>
        <w:spacing w:after="0" w:line="360" w:lineRule="auto"/>
        <w:rPr>
          <w:rFonts w:ascii="Times New Roman" w:hAnsi="Times New Roman" w:cs="Times New Roman"/>
          <w:b/>
        </w:rPr>
      </w:pPr>
      <w:r w:rsidRPr="00147F4A">
        <w:rPr>
          <w:rFonts w:ascii="Times New Roman" w:hAnsi="Times New Roman" w:cs="Times New Roman"/>
          <w:b/>
        </w:rPr>
        <w:lastRenderedPageBreak/>
        <w:t>Introduction</w:t>
      </w:r>
    </w:p>
    <w:p w:rsidR="00C3686B" w:rsidRDefault="004C7FF2" w:rsidP="00D24BA3">
      <w:pPr>
        <w:spacing w:line="360" w:lineRule="auto"/>
        <w:ind w:firstLine="720"/>
        <w:jc w:val="both"/>
        <w:rPr>
          <w:rFonts w:ascii="Times New Roman" w:hAnsi="Times New Roman" w:cs="Times New Roman"/>
        </w:rPr>
      </w:pPr>
      <w:r w:rsidRPr="00147F4A">
        <w:rPr>
          <w:rFonts w:ascii="Times New Roman" w:hAnsi="Times New Roman" w:cs="Times New Roman"/>
        </w:rPr>
        <w:t xml:space="preserve">Cervical cancer remains a significant global public health concern, particularly in low- and middle-income countries where access to preventive healthcare services is limited. According to the World Health Organization (2020), cervical cancer accounts for over 311,000 deaths annually, with more than 85% of these deaths occurring in developing countries. This disproportionate burden is largely attributed to inadequate screening </w:t>
      </w:r>
      <w:proofErr w:type="spellStart"/>
      <w:r w:rsidRPr="00147F4A">
        <w:rPr>
          <w:rFonts w:ascii="Times New Roman" w:hAnsi="Times New Roman" w:cs="Times New Roman"/>
        </w:rPr>
        <w:t>programmes</w:t>
      </w:r>
      <w:proofErr w:type="spellEnd"/>
      <w:r w:rsidRPr="00147F4A">
        <w:rPr>
          <w:rFonts w:ascii="Times New Roman" w:hAnsi="Times New Roman" w:cs="Times New Roman"/>
        </w:rPr>
        <w:t xml:space="preserve">, low vaccination coverage, and limited access to accurate health information (Bruni, Albero,  Serrano, Mena,  Gómez,  Muñoz,  Bosch,  &amp; de </w:t>
      </w:r>
      <w:proofErr w:type="spellStart"/>
      <w:r w:rsidRPr="00147F4A">
        <w:rPr>
          <w:rFonts w:ascii="Times New Roman" w:hAnsi="Times New Roman" w:cs="Times New Roman"/>
        </w:rPr>
        <w:t>Sanjosé</w:t>
      </w:r>
      <w:proofErr w:type="spellEnd"/>
      <w:r w:rsidRPr="00147F4A">
        <w:rPr>
          <w:rFonts w:ascii="Times New Roman" w:hAnsi="Times New Roman" w:cs="Times New Roman"/>
        </w:rPr>
        <w:t xml:space="preserve">, 2019; Forman, de Martel, Lacey, </w:t>
      </w:r>
      <w:proofErr w:type="spellStart"/>
      <w:r w:rsidRPr="00147F4A">
        <w:rPr>
          <w:rFonts w:ascii="Times New Roman" w:hAnsi="Times New Roman" w:cs="Times New Roman"/>
        </w:rPr>
        <w:t>Soerjomataram</w:t>
      </w:r>
      <w:proofErr w:type="spellEnd"/>
      <w:r w:rsidRPr="00147F4A">
        <w:rPr>
          <w:rFonts w:ascii="Times New Roman" w:hAnsi="Times New Roman" w:cs="Times New Roman"/>
        </w:rPr>
        <w:t>,  &amp;Bray,  201 9).</w:t>
      </w:r>
    </w:p>
    <w:p w:rsidR="00F0273D" w:rsidRDefault="004C7FF2" w:rsidP="00D24BA3">
      <w:pPr>
        <w:spacing w:line="360" w:lineRule="auto"/>
        <w:ind w:firstLine="720"/>
        <w:jc w:val="both"/>
        <w:rPr>
          <w:rFonts w:ascii="Times New Roman" w:hAnsi="Times New Roman" w:cs="Times New Roman"/>
        </w:rPr>
      </w:pPr>
      <w:r w:rsidRPr="00147F4A">
        <w:rPr>
          <w:rFonts w:ascii="Times New Roman" w:hAnsi="Times New Roman" w:cs="Times New Roman"/>
        </w:rPr>
        <w:t>Cervical cancer is primarily caused by persistent infection with high-risk strains of the human papillomavirus (HPV), a common sexually transmitted infection (Bosch, Broker, Forman,  Moscicki,  Gillison, Doorbar,  Stern,  Stanley, &amp; Schiller, 2020). Although HPV infection is widespread, only persistent infections with oncogenic strains lead to cervical cancer, making early prevention strategies critical. Scientific evidence has consistently demonstrated that the disease is largely preventable through HPV vaccination and routine screening (Forman et al., 2019). The HPV vaccine, particularly when administered before exposure to the virus, provides protection against the strains responsible for over 70% of cervical cancer cases (Bosch et al., 2020).</w:t>
      </w:r>
      <w:r w:rsidR="00CD4ED9" w:rsidRPr="00147F4A">
        <w:rPr>
          <w:rFonts w:ascii="Times New Roman" w:hAnsi="Times New Roman" w:cs="Times New Roman"/>
        </w:rPr>
        <w:t xml:space="preserve"> E</w:t>
      </w:r>
      <w:r w:rsidRPr="00147F4A">
        <w:rPr>
          <w:rFonts w:ascii="Times New Roman" w:hAnsi="Times New Roman" w:cs="Times New Roman"/>
        </w:rPr>
        <w:t xml:space="preserve">fforts have been made to integrate HPV vaccination into national immunization </w:t>
      </w:r>
      <w:r w:rsidR="007033E3" w:rsidRPr="00147F4A">
        <w:rPr>
          <w:rFonts w:ascii="Times New Roman" w:hAnsi="Times New Roman" w:cs="Times New Roman"/>
        </w:rPr>
        <w:t>programs; however</w:t>
      </w:r>
      <w:r w:rsidRPr="00147F4A">
        <w:rPr>
          <w:rFonts w:ascii="Times New Roman" w:hAnsi="Times New Roman" w:cs="Times New Roman"/>
        </w:rPr>
        <w:t xml:space="preserve">, challenges related to awareness, accessibility, and socio-cultural acceptance persist (Anyanwu, </w:t>
      </w:r>
      <w:proofErr w:type="spellStart"/>
      <w:r w:rsidRPr="00147F4A">
        <w:rPr>
          <w:rFonts w:ascii="Times New Roman" w:hAnsi="Times New Roman" w:cs="Times New Roman"/>
        </w:rPr>
        <w:t>Eze</w:t>
      </w:r>
      <w:proofErr w:type="spellEnd"/>
      <w:r w:rsidRPr="00147F4A">
        <w:rPr>
          <w:rFonts w:ascii="Times New Roman" w:hAnsi="Times New Roman" w:cs="Times New Roman"/>
        </w:rPr>
        <w:t xml:space="preserve">, &amp; </w:t>
      </w:r>
      <w:proofErr w:type="spellStart"/>
      <w:r w:rsidRPr="00147F4A">
        <w:rPr>
          <w:rFonts w:ascii="Times New Roman" w:hAnsi="Times New Roman" w:cs="Times New Roman"/>
        </w:rPr>
        <w:t>Ugo</w:t>
      </w:r>
      <w:proofErr w:type="spellEnd"/>
      <w:r w:rsidRPr="00147F4A">
        <w:rPr>
          <w:rFonts w:ascii="Times New Roman" w:hAnsi="Times New Roman" w:cs="Times New Roman"/>
        </w:rPr>
        <w:t>, 2020).</w:t>
      </w:r>
    </w:p>
    <w:p w:rsidR="00C3686B" w:rsidRDefault="004C7FF2" w:rsidP="00D24BA3">
      <w:pPr>
        <w:spacing w:line="360" w:lineRule="auto"/>
        <w:ind w:firstLine="720"/>
        <w:jc w:val="both"/>
        <w:rPr>
          <w:rFonts w:ascii="Times New Roman" w:hAnsi="Times New Roman" w:cs="Times New Roman"/>
        </w:rPr>
      </w:pPr>
      <w:r w:rsidRPr="00147F4A">
        <w:rPr>
          <w:rFonts w:ascii="Times New Roman" w:hAnsi="Times New Roman" w:cs="Times New Roman"/>
        </w:rPr>
        <w:t xml:space="preserve">The South-East region of Nigeria presents a particularly important context for examining these challenges. While the region has relatively high literacy levels compared to some other parts of the country, socio-cultural and religious influences remain strong determinants of health </w:t>
      </w:r>
      <w:proofErr w:type="spellStart"/>
      <w:r w:rsidRPr="00147F4A">
        <w:rPr>
          <w:rFonts w:ascii="Times New Roman" w:hAnsi="Times New Roman" w:cs="Times New Roman"/>
        </w:rPr>
        <w:t>behaviour</w:t>
      </w:r>
      <w:proofErr w:type="spellEnd"/>
      <w:r w:rsidRPr="00147F4A">
        <w:rPr>
          <w:rFonts w:ascii="Times New Roman" w:hAnsi="Times New Roman" w:cs="Times New Roman"/>
        </w:rPr>
        <w:t xml:space="preserve">. Studies have shown that misconceptions about vaccines, fear of side effects, and cultural beliefs about sexuality significantly affect women’s willingness to accept HPV vaccination (Eze, Anosike, &amp; </w:t>
      </w:r>
      <w:proofErr w:type="spellStart"/>
      <w:r w:rsidRPr="00147F4A">
        <w:rPr>
          <w:rFonts w:ascii="Times New Roman" w:hAnsi="Times New Roman" w:cs="Times New Roman"/>
        </w:rPr>
        <w:t>Chukwuma</w:t>
      </w:r>
      <w:proofErr w:type="spellEnd"/>
      <w:r w:rsidRPr="00147F4A">
        <w:rPr>
          <w:rFonts w:ascii="Times New Roman" w:hAnsi="Times New Roman" w:cs="Times New Roman"/>
        </w:rPr>
        <w:t xml:space="preserve">, 2021; </w:t>
      </w:r>
      <w:proofErr w:type="spellStart"/>
      <w:r w:rsidRPr="00147F4A">
        <w:rPr>
          <w:rFonts w:ascii="Times New Roman" w:hAnsi="Times New Roman" w:cs="Times New Roman"/>
        </w:rPr>
        <w:t>Umeokonkwo</w:t>
      </w:r>
      <w:proofErr w:type="spellEnd"/>
      <w:r w:rsidRPr="00147F4A">
        <w:rPr>
          <w:rFonts w:ascii="Times New Roman" w:hAnsi="Times New Roman" w:cs="Times New Roman"/>
        </w:rPr>
        <w:t xml:space="preserve">, </w:t>
      </w:r>
      <w:proofErr w:type="spellStart"/>
      <w:r w:rsidRPr="00147F4A">
        <w:rPr>
          <w:rFonts w:ascii="Times New Roman" w:hAnsi="Times New Roman" w:cs="Times New Roman"/>
        </w:rPr>
        <w:t>Ibekwe</w:t>
      </w:r>
      <w:proofErr w:type="spellEnd"/>
      <w:r w:rsidRPr="00147F4A">
        <w:rPr>
          <w:rFonts w:ascii="Times New Roman" w:hAnsi="Times New Roman" w:cs="Times New Roman"/>
        </w:rPr>
        <w:t xml:space="preserve">, &amp; </w:t>
      </w:r>
      <w:proofErr w:type="spellStart"/>
      <w:r w:rsidRPr="00147F4A">
        <w:rPr>
          <w:rFonts w:ascii="Times New Roman" w:hAnsi="Times New Roman" w:cs="Times New Roman"/>
        </w:rPr>
        <w:t>Okechukwu</w:t>
      </w:r>
      <w:proofErr w:type="spellEnd"/>
      <w:r w:rsidRPr="00147F4A">
        <w:rPr>
          <w:rFonts w:ascii="Times New Roman" w:hAnsi="Times New Roman" w:cs="Times New Roman"/>
        </w:rPr>
        <w:t>, 2022). Public health communication has been identified as a critical tool for addressing these challenges. In Nigeria, broadcast media</w:t>
      </w:r>
      <w:r w:rsidR="00D24BA3" w:rsidRPr="00147F4A">
        <w:rPr>
          <w:rFonts w:ascii="Times New Roman" w:hAnsi="Times New Roman" w:cs="Times New Roman"/>
        </w:rPr>
        <w:t xml:space="preserve">, </w:t>
      </w:r>
      <w:r w:rsidRPr="00147F4A">
        <w:rPr>
          <w:rFonts w:ascii="Times New Roman" w:hAnsi="Times New Roman" w:cs="Times New Roman"/>
        </w:rPr>
        <w:t>particularly radio and television</w:t>
      </w:r>
      <w:r w:rsidR="00D24BA3" w:rsidRPr="00147F4A">
        <w:rPr>
          <w:rFonts w:ascii="Times New Roman" w:hAnsi="Times New Roman" w:cs="Times New Roman"/>
        </w:rPr>
        <w:t xml:space="preserve">, </w:t>
      </w:r>
      <w:r w:rsidRPr="00147F4A">
        <w:rPr>
          <w:rFonts w:ascii="Times New Roman" w:hAnsi="Times New Roman" w:cs="Times New Roman"/>
        </w:rPr>
        <w:t>play a key role in disseminating health information due to their wide reach and accessibility (</w:t>
      </w:r>
      <w:proofErr w:type="spellStart"/>
      <w:r w:rsidRPr="00147F4A">
        <w:rPr>
          <w:rFonts w:ascii="Times New Roman" w:hAnsi="Times New Roman" w:cs="Times New Roman"/>
        </w:rPr>
        <w:t>Agi</w:t>
      </w:r>
      <w:proofErr w:type="spellEnd"/>
      <w:r w:rsidRPr="00147F4A">
        <w:rPr>
          <w:rFonts w:ascii="Times New Roman" w:hAnsi="Times New Roman" w:cs="Times New Roman"/>
        </w:rPr>
        <w:t xml:space="preserve"> &amp;</w:t>
      </w:r>
      <w:proofErr w:type="spellStart"/>
      <w:r w:rsidRPr="00147F4A">
        <w:rPr>
          <w:rFonts w:ascii="Times New Roman" w:hAnsi="Times New Roman" w:cs="Times New Roman"/>
        </w:rPr>
        <w:t>Wagbara</w:t>
      </w:r>
      <w:proofErr w:type="spellEnd"/>
      <w:r w:rsidRPr="00147F4A">
        <w:rPr>
          <w:rFonts w:ascii="Times New Roman" w:hAnsi="Times New Roman" w:cs="Times New Roman"/>
        </w:rPr>
        <w:t>, 2018).</w:t>
      </w:r>
      <w:r w:rsidR="00F0273D">
        <w:rPr>
          <w:rFonts w:ascii="Times New Roman" w:hAnsi="Times New Roman" w:cs="Times New Roman"/>
        </w:rPr>
        <w:t xml:space="preserve"> </w:t>
      </w:r>
      <w:r w:rsidRPr="00147F4A">
        <w:rPr>
          <w:rFonts w:ascii="Times New Roman" w:hAnsi="Times New Roman" w:cs="Times New Roman"/>
        </w:rPr>
        <w:t xml:space="preserve">Broadcast messages on health issues typically take the form of jingles, interviews, documentaries, talk shows, and public service announcements. These messages are designed not only to inform but also to persuade and motivate </w:t>
      </w:r>
      <w:proofErr w:type="spellStart"/>
      <w:r w:rsidRPr="00147F4A">
        <w:rPr>
          <w:rFonts w:ascii="Times New Roman" w:hAnsi="Times New Roman" w:cs="Times New Roman"/>
        </w:rPr>
        <w:t>behavioural</w:t>
      </w:r>
      <w:proofErr w:type="spellEnd"/>
      <w:r w:rsidRPr="00147F4A">
        <w:rPr>
          <w:rFonts w:ascii="Times New Roman" w:hAnsi="Times New Roman" w:cs="Times New Roman"/>
        </w:rPr>
        <w:t xml:space="preserve"> change. However, the effectiveness of such messages depends on several factors, including message clarity, cultural relevance, </w:t>
      </w:r>
      <w:r w:rsidR="00D24BA3" w:rsidRPr="00147F4A">
        <w:rPr>
          <w:rFonts w:ascii="Times New Roman" w:hAnsi="Times New Roman" w:cs="Times New Roman"/>
        </w:rPr>
        <w:t>source credibility</w:t>
      </w:r>
      <w:r w:rsidRPr="00147F4A">
        <w:rPr>
          <w:rFonts w:ascii="Times New Roman" w:hAnsi="Times New Roman" w:cs="Times New Roman"/>
        </w:rPr>
        <w:t>, and frequency of exposure (</w:t>
      </w:r>
      <w:proofErr w:type="spellStart"/>
      <w:r w:rsidRPr="00147F4A">
        <w:rPr>
          <w:rFonts w:ascii="Times New Roman" w:hAnsi="Times New Roman" w:cs="Times New Roman"/>
        </w:rPr>
        <w:t>Adejoh</w:t>
      </w:r>
      <w:proofErr w:type="spellEnd"/>
      <w:r w:rsidRPr="00147F4A">
        <w:rPr>
          <w:rFonts w:ascii="Times New Roman" w:hAnsi="Times New Roman" w:cs="Times New Roman"/>
        </w:rPr>
        <w:t xml:space="preserve">, </w:t>
      </w:r>
      <w:proofErr w:type="spellStart"/>
      <w:r w:rsidRPr="00147F4A">
        <w:rPr>
          <w:rFonts w:ascii="Times New Roman" w:hAnsi="Times New Roman" w:cs="Times New Roman"/>
        </w:rPr>
        <w:t>Okwori</w:t>
      </w:r>
      <w:proofErr w:type="spellEnd"/>
      <w:r w:rsidRPr="00147F4A">
        <w:rPr>
          <w:rFonts w:ascii="Times New Roman" w:hAnsi="Times New Roman" w:cs="Times New Roman"/>
        </w:rPr>
        <w:t>, &amp; Ibrahim, 2022).</w:t>
      </w:r>
      <w:r w:rsidR="00716E91">
        <w:rPr>
          <w:rFonts w:ascii="Times New Roman" w:hAnsi="Times New Roman" w:cs="Times New Roman"/>
        </w:rPr>
        <w:t xml:space="preserve"> </w:t>
      </w:r>
    </w:p>
    <w:p w:rsidR="005E1566" w:rsidRDefault="004C7FF2" w:rsidP="00D24BA3">
      <w:pPr>
        <w:spacing w:line="360" w:lineRule="auto"/>
        <w:ind w:firstLine="720"/>
        <w:jc w:val="both"/>
        <w:rPr>
          <w:rFonts w:ascii="Times New Roman" w:hAnsi="Times New Roman" w:cs="Times New Roman"/>
        </w:rPr>
      </w:pPr>
      <w:r w:rsidRPr="00147F4A">
        <w:rPr>
          <w:rFonts w:ascii="Times New Roman" w:hAnsi="Times New Roman" w:cs="Times New Roman"/>
        </w:rPr>
        <w:lastRenderedPageBreak/>
        <w:t xml:space="preserve">The KAP framework has been widely used in public health research to assess how information influences </w:t>
      </w:r>
      <w:proofErr w:type="spellStart"/>
      <w:r w:rsidRPr="00147F4A">
        <w:rPr>
          <w:rFonts w:ascii="Times New Roman" w:hAnsi="Times New Roman" w:cs="Times New Roman"/>
        </w:rPr>
        <w:t>behaviour</w:t>
      </w:r>
      <w:proofErr w:type="spellEnd"/>
      <w:r w:rsidRPr="00147F4A">
        <w:rPr>
          <w:rFonts w:ascii="Times New Roman" w:hAnsi="Times New Roman" w:cs="Times New Roman"/>
        </w:rPr>
        <w:t xml:space="preserve"> (</w:t>
      </w:r>
      <w:proofErr w:type="spellStart"/>
      <w:r w:rsidRPr="00147F4A">
        <w:rPr>
          <w:rFonts w:ascii="Times New Roman" w:hAnsi="Times New Roman" w:cs="Times New Roman"/>
        </w:rPr>
        <w:t>Launiala</w:t>
      </w:r>
      <w:proofErr w:type="spellEnd"/>
      <w:r w:rsidRPr="00147F4A">
        <w:rPr>
          <w:rFonts w:ascii="Times New Roman" w:hAnsi="Times New Roman" w:cs="Times New Roman"/>
        </w:rPr>
        <w:t xml:space="preserve">, 2009). It </w:t>
      </w:r>
      <w:r w:rsidR="007033E3" w:rsidRPr="00147F4A">
        <w:rPr>
          <w:rFonts w:ascii="Times New Roman" w:hAnsi="Times New Roman" w:cs="Times New Roman"/>
        </w:rPr>
        <w:t>assumes</w:t>
      </w:r>
      <w:r w:rsidRPr="00147F4A">
        <w:rPr>
          <w:rFonts w:ascii="Times New Roman" w:hAnsi="Times New Roman" w:cs="Times New Roman"/>
        </w:rPr>
        <w:t xml:space="preserve"> that increased knowledge leads to positive attitudes, which in turn facilitate </w:t>
      </w:r>
      <w:proofErr w:type="spellStart"/>
      <w:r w:rsidRPr="00147F4A">
        <w:rPr>
          <w:rFonts w:ascii="Times New Roman" w:hAnsi="Times New Roman" w:cs="Times New Roman"/>
        </w:rPr>
        <w:t>behavioural</w:t>
      </w:r>
      <w:proofErr w:type="spellEnd"/>
      <w:r w:rsidRPr="00147F4A">
        <w:rPr>
          <w:rFonts w:ascii="Times New Roman" w:hAnsi="Times New Roman" w:cs="Times New Roman"/>
        </w:rPr>
        <w:t xml:space="preserve"> change. However, empirical evidence suggests that this relationship is not always linear. In many cases, individuals may possess adequate knowledge but still fail to adopt preventive practices due to attitudinal barriers or external constraints (</w:t>
      </w:r>
      <w:proofErr w:type="spellStart"/>
      <w:r w:rsidRPr="00147F4A">
        <w:rPr>
          <w:rFonts w:ascii="Times New Roman" w:hAnsi="Times New Roman" w:cs="Times New Roman"/>
        </w:rPr>
        <w:t>Adejoh</w:t>
      </w:r>
      <w:proofErr w:type="spellEnd"/>
      <w:r w:rsidRPr="00147F4A">
        <w:rPr>
          <w:rFonts w:ascii="Times New Roman" w:hAnsi="Times New Roman" w:cs="Times New Roman"/>
        </w:rPr>
        <w:t xml:space="preserve"> et al., 2022; Anyanwu et al., 2020).</w:t>
      </w:r>
      <w:r w:rsidR="005E1566">
        <w:rPr>
          <w:rFonts w:ascii="Times New Roman" w:hAnsi="Times New Roman" w:cs="Times New Roman"/>
        </w:rPr>
        <w:t xml:space="preserve"> </w:t>
      </w:r>
      <w:r w:rsidRPr="00147F4A">
        <w:rPr>
          <w:rFonts w:ascii="Times New Roman" w:hAnsi="Times New Roman" w:cs="Times New Roman"/>
        </w:rPr>
        <w:t xml:space="preserve">This gap between knowledge and practice is particularly evident in vaccination </w:t>
      </w:r>
      <w:proofErr w:type="spellStart"/>
      <w:r w:rsidRPr="00147F4A">
        <w:rPr>
          <w:rFonts w:ascii="Times New Roman" w:hAnsi="Times New Roman" w:cs="Times New Roman"/>
        </w:rPr>
        <w:t>programmes</w:t>
      </w:r>
      <w:proofErr w:type="spellEnd"/>
      <w:r w:rsidRPr="00147F4A">
        <w:rPr>
          <w:rFonts w:ascii="Times New Roman" w:hAnsi="Times New Roman" w:cs="Times New Roman"/>
        </w:rPr>
        <w:t>. Studies in Nigeria have reported that while awareness of cervical cancer may be moderate, actual vaccination rates remain low (</w:t>
      </w:r>
      <w:proofErr w:type="spellStart"/>
      <w:r w:rsidRPr="00147F4A">
        <w:rPr>
          <w:rFonts w:ascii="Times New Roman" w:hAnsi="Times New Roman" w:cs="Times New Roman"/>
        </w:rPr>
        <w:t>Agboeze</w:t>
      </w:r>
      <w:proofErr w:type="spellEnd"/>
      <w:r w:rsidRPr="00147F4A">
        <w:rPr>
          <w:rFonts w:ascii="Times New Roman" w:hAnsi="Times New Roman" w:cs="Times New Roman"/>
        </w:rPr>
        <w:t xml:space="preserve">, Obi, &amp; </w:t>
      </w:r>
      <w:proofErr w:type="spellStart"/>
      <w:r w:rsidRPr="00147F4A">
        <w:rPr>
          <w:rFonts w:ascii="Times New Roman" w:hAnsi="Times New Roman" w:cs="Times New Roman"/>
        </w:rPr>
        <w:t>Nwosu</w:t>
      </w:r>
      <w:proofErr w:type="spellEnd"/>
      <w:r w:rsidRPr="00147F4A">
        <w:rPr>
          <w:rFonts w:ascii="Times New Roman" w:hAnsi="Times New Roman" w:cs="Times New Roman"/>
        </w:rPr>
        <w:t xml:space="preserve">, 2020). Similarly, </w:t>
      </w:r>
      <w:proofErr w:type="spellStart"/>
      <w:r w:rsidRPr="00147F4A">
        <w:rPr>
          <w:rFonts w:ascii="Times New Roman" w:hAnsi="Times New Roman" w:cs="Times New Roman"/>
        </w:rPr>
        <w:t>Okafor</w:t>
      </w:r>
      <w:proofErr w:type="spellEnd"/>
      <w:r w:rsidRPr="00147F4A">
        <w:rPr>
          <w:rFonts w:ascii="Times New Roman" w:hAnsi="Times New Roman" w:cs="Times New Roman"/>
        </w:rPr>
        <w:t xml:space="preserve">, </w:t>
      </w:r>
      <w:proofErr w:type="spellStart"/>
      <w:r w:rsidRPr="00147F4A">
        <w:rPr>
          <w:rFonts w:ascii="Times New Roman" w:hAnsi="Times New Roman" w:cs="Times New Roman"/>
        </w:rPr>
        <w:t>Nnachi</w:t>
      </w:r>
      <w:proofErr w:type="spellEnd"/>
      <w:r w:rsidRPr="00147F4A">
        <w:rPr>
          <w:rFonts w:ascii="Times New Roman" w:hAnsi="Times New Roman" w:cs="Times New Roman"/>
        </w:rPr>
        <w:t xml:space="preserve">, and </w:t>
      </w:r>
      <w:proofErr w:type="spellStart"/>
      <w:r w:rsidRPr="00147F4A">
        <w:rPr>
          <w:rFonts w:ascii="Times New Roman" w:hAnsi="Times New Roman" w:cs="Times New Roman"/>
        </w:rPr>
        <w:t>Umeh</w:t>
      </w:r>
      <w:proofErr w:type="spellEnd"/>
      <w:r w:rsidRPr="00147F4A">
        <w:rPr>
          <w:rFonts w:ascii="Times New Roman" w:hAnsi="Times New Roman" w:cs="Times New Roman"/>
        </w:rPr>
        <w:t xml:space="preserve"> (2022) found that cervical cancer screening rates among Nigerian women are significantly below global targets, indicating a broader challenge in translating awareness into action. Religious beliefs may also influence perceptions of medical interventions, with some individuals viewing vaccines as unnecessary or incompatible with their faith (Okeke, </w:t>
      </w:r>
      <w:proofErr w:type="spellStart"/>
      <w:r w:rsidRPr="00147F4A">
        <w:rPr>
          <w:rFonts w:ascii="Times New Roman" w:hAnsi="Times New Roman" w:cs="Times New Roman"/>
        </w:rPr>
        <w:t>Onyeka</w:t>
      </w:r>
      <w:proofErr w:type="spellEnd"/>
      <w:r w:rsidRPr="00147F4A">
        <w:rPr>
          <w:rFonts w:ascii="Times New Roman" w:hAnsi="Times New Roman" w:cs="Times New Roman"/>
        </w:rPr>
        <w:t xml:space="preserve">, &amp; </w:t>
      </w:r>
      <w:proofErr w:type="spellStart"/>
      <w:r w:rsidRPr="00147F4A">
        <w:rPr>
          <w:rFonts w:ascii="Times New Roman" w:hAnsi="Times New Roman" w:cs="Times New Roman"/>
        </w:rPr>
        <w:t>Iheanacho</w:t>
      </w:r>
      <w:proofErr w:type="spellEnd"/>
      <w:r w:rsidRPr="00147F4A">
        <w:rPr>
          <w:rFonts w:ascii="Times New Roman" w:hAnsi="Times New Roman" w:cs="Times New Roman"/>
        </w:rPr>
        <w:t>, 2020).</w:t>
      </w:r>
      <w:r w:rsidR="00F0273D">
        <w:rPr>
          <w:rFonts w:ascii="Times New Roman" w:hAnsi="Times New Roman" w:cs="Times New Roman"/>
        </w:rPr>
        <w:t xml:space="preserve"> </w:t>
      </w:r>
    </w:p>
    <w:p w:rsidR="004C7FF2" w:rsidRPr="00147F4A" w:rsidRDefault="004C7FF2" w:rsidP="00D24BA3">
      <w:pPr>
        <w:spacing w:line="360" w:lineRule="auto"/>
        <w:ind w:firstLine="720"/>
        <w:jc w:val="both"/>
        <w:rPr>
          <w:rFonts w:ascii="Times New Roman" w:hAnsi="Times New Roman" w:cs="Times New Roman"/>
        </w:rPr>
      </w:pPr>
      <w:r w:rsidRPr="00147F4A">
        <w:rPr>
          <w:rFonts w:ascii="Times New Roman" w:hAnsi="Times New Roman" w:cs="Times New Roman"/>
        </w:rPr>
        <w:t xml:space="preserve">Despite these challenges, several initiatives have been implemented to promote cervical cancer prevention in Nigeria. Government agencies, in collaboration with international organizations and NGOs, have launched awareness campaigns using broadcast media and community outreach </w:t>
      </w:r>
      <w:proofErr w:type="spellStart"/>
      <w:r w:rsidRPr="00147F4A">
        <w:rPr>
          <w:rFonts w:ascii="Times New Roman" w:hAnsi="Times New Roman" w:cs="Times New Roman"/>
        </w:rPr>
        <w:t>programmes</w:t>
      </w:r>
      <w:proofErr w:type="spellEnd"/>
      <w:r w:rsidRPr="00147F4A">
        <w:rPr>
          <w:rFonts w:ascii="Times New Roman" w:hAnsi="Times New Roman" w:cs="Times New Roman"/>
        </w:rPr>
        <w:t>. These efforts have leveraged local languages and culturally relevant messaging to improve public understanding and acceptance of HPV vaccination (UNICEF, 2023).</w:t>
      </w:r>
      <w:r w:rsidR="00716E91">
        <w:rPr>
          <w:rFonts w:ascii="Times New Roman" w:hAnsi="Times New Roman" w:cs="Times New Roman"/>
        </w:rPr>
        <w:t xml:space="preserve"> </w:t>
      </w:r>
      <w:r w:rsidRPr="00147F4A">
        <w:rPr>
          <w:rFonts w:ascii="Times New Roman" w:hAnsi="Times New Roman" w:cs="Times New Roman"/>
        </w:rPr>
        <w:t xml:space="preserve">While existing studies have examined aspects of awareness and vaccine hesitancy, there remains a significant gap in understanding how broadcast messages influence KAP simultaneously within the socio-cultural context of South-East Nigeria. Most studies tend to focus on either awareness or attitudes without integrating </w:t>
      </w:r>
      <w:proofErr w:type="spellStart"/>
      <w:r w:rsidRPr="00147F4A">
        <w:rPr>
          <w:rFonts w:ascii="Times New Roman" w:hAnsi="Times New Roman" w:cs="Times New Roman"/>
        </w:rPr>
        <w:t>behavioural</w:t>
      </w:r>
      <w:proofErr w:type="spellEnd"/>
      <w:r w:rsidRPr="00147F4A">
        <w:rPr>
          <w:rFonts w:ascii="Times New Roman" w:hAnsi="Times New Roman" w:cs="Times New Roman"/>
        </w:rPr>
        <w:t xml:space="preserve"> outcomes or </w:t>
      </w:r>
      <w:r w:rsidR="00D24BA3" w:rsidRPr="00147F4A">
        <w:rPr>
          <w:rFonts w:ascii="Times New Roman" w:hAnsi="Times New Roman" w:cs="Times New Roman"/>
        </w:rPr>
        <w:t>considering moderating</w:t>
      </w:r>
      <w:r w:rsidRPr="00147F4A">
        <w:rPr>
          <w:rFonts w:ascii="Times New Roman" w:hAnsi="Times New Roman" w:cs="Times New Roman"/>
        </w:rPr>
        <w:t xml:space="preserve"> variables.</w:t>
      </w:r>
    </w:p>
    <w:p w:rsidR="004C7FF2" w:rsidRPr="00147F4A" w:rsidRDefault="004C7FF2" w:rsidP="00547A72">
      <w:pPr>
        <w:spacing w:line="360" w:lineRule="auto"/>
        <w:jc w:val="both"/>
        <w:rPr>
          <w:rFonts w:ascii="Times New Roman" w:hAnsi="Times New Roman" w:cs="Times New Roman"/>
        </w:rPr>
      </w:pPr>
      <w:r w:rsidRPr="00147F4A">
        <w:rPr>
          <w:rFonts w:ascii="Times New Roman" w:hAnsi="Times New Roman" w:cs="Times New Roman"/>
          <w:b/>
        </w:rPr>
        <w:t xml:space="preserve">  Objectives of the Study</w:t>
      </w:r>
    </w:p>
    <w:p w:rsidR="004C7FF2" w:rsidRPr="00147F4A" w:rsidRDefault="004C7FF2" w:rsidP="00147F4A">
      <w:pPr>
        <w:numPr>
          <w:ilvl w:val="0"/>
          <w:numId w:val="1"/>
        </w:numPr>
        <w:spacing w:after="0" w:line="360" w:lineRule="auto"/>
        <w:jc w:val="both"/>
        <w:rPr>
          <w:rFonts w:ascii="Times New Roman" w:hAnsi="Times New Roman" w:cs="Times New Roman"/>
        </w:rPr>
      </w:pPr>
      <w:r w:rsidRPr="00147F4A">
        <w:rPr>
          <w:rFonts w:ascii="Times New Roman" w:hAnsi="Times New Roman" w:cs="Times New Roman"/>
        </w:rPr>
        <w:t>Determine the level of knowledge of women in South-East Nigeria regarding cervical cancer vaccination.</w:t>
      </w:r>
    </w:p>
    <w:p w:rsidR="004C7FF2" w:rsidRPr="00147F4A" w:rsidRDefault="004C7FF2" w:rsidP="00147F4A">
      <w:pPr>
        <w:numPr>
          <w:ilvl w:val="0"/>
          <w:numId w:val="1"/>
        </w:numPr>
        <w:spacing w:after="0" w:line="360" w:lineRule="auto"/>
        <w:jc w:val="both"/>
        <w:rPr>
          <w:rFonts w:ascii="Times New Roman" w:hAnsi="Times New Roman" w:cs="Times New Roman"/>
        </w:rPr>
      </w:pPr>
      <w:r w:rsidRPr="00147F4A">
        <w:rPr>
          <w:rFonts w:ascii="Times New Roman" w:hAnsi="Times New Roman" w:cs="Times New Roman"/>
        </w:rPr>
        <w:t>Examine the attitude of women in South-East Nigeria towards cervical cancer vaccination.</w:t>
      </w:r>
    </w:p>
    <w:p w:rsidR="00F95B89" w:rsidRPr="00147F4A" w:rsidRDefault="008965FF" w:rsidP="00147F4A">
      <w:pPr>
        <w:numPr>
          <w:ilvl w:val="0"/>
          <w:numId w:val="1"/>
        </w:numPr>
        <w:spacing w:after="0" w:line="360" w:lineRule="auto"/>
        <w:jc w:val="both"/>
        <w:rPr>
          <w:rFonts w:ascii="Times New Roman" w:hAnsi="Times New Roman" w:cs="Times New Roman"/>
        </w:rPr>
      </w:pPr>
      <w:proofErr w:type="spellStart"/>
      <w:r w:rsidRPr="00147F4A">
        <w:rPr>
          <w:rFonts w:ascii="Times New Roman" w:hAnsi="Times New Roman" w:cs="Times New Roman"/>
        </w:rPr>
        <w:t>Analyse</w:t>
      </w:r>
      <w:proofErr w:type="spellEnd"/>
      <w:r w:rsidRPr="00147F4A">
        <w:rPr>
          <w:rFonts w:ascii="Times New Roman" w:hAnsi="Times New Roman" w:cs="Times New Roman"/>
        </w:rPr>
        <w:t xml:space="preserve"> the influence of broadcast messages on women’s knowledge, attitude, and practices regarding cervical cancer vaccination in South-East Nigeria.</w:t>
      </w:r>
    </w:p>
    <w:p w:rsidR="00147F4A" w:rsidRPr="00147F4A" w:rsidRDefault="00147F4A" w:rsidP="00147F4A">
      <w:pPr>
        <w:spacing w:after="0" w:line="360" w:lineRule="auto"/>
        <w:rPr>
          <w:rFonts w:ascii="Times New Roman" w:hAnsi="Times New Roman" w:cs="Times New Roman"/>
          <w:b/>
        </w:rPr>
      </w:pPr>
    </w:p>
    <w:p w:rsidR="00147F4A" w:rsidRPr="00147F4A" w:rsidRDefault="00D24BA3" w:rsidP="00147F4A">
      <w:pPr>
        <w:spacing w:after="0" w:line="360" w:lineRule="auto"/>
        <w:rPr>
          <w:rFonts w:ascii="Times New Roman" w:hAnsi="Times New Roman" w:cs="Times New Roman"/>
          <w:b/>
        </w:rPr>
      </w:pPr>
      <w:r w:rsidRPr="00147F4A">
        <w:rPr>
          <w:rFonts w:ascii="Times New Roman" w:hAnsi="Times New Roman" w:cs="Times New Roman"/>
          <w:b/>
        </w:rPr>
        <w:t>Literature review</w:t>
      </w:r>
      <w:bookmarkStart w:id="0" w:name="_Toc222781520"/>
    </w:p>
    <w:p w:rsidR="00C3686B" w:rsidRDefault="00861666" w:rsidP="00C3686B">
      <w:pPr>
        <w:spacing w:after="0" w:line="360" w:lineRule="auto"/>
        <w:jc w:val="both"/>
        <w:rPr>
          <w:rFonts w:ascii="Times New Roman" w:hAnsi="Times New Roman" w:cs="Times New Roman"/>
        </w:rPr>
      </w:pPr>
      <w:r w:rsidRPr="00147F4A">
        <w:rPr>
          <w:rFonts w:ascii="Times New Roman" w:hAnsi="Times New Roman" w:cs="Times New Roman"/>
        </w:rPr>
        <w:t>The literature review examined the role of mass media in health communication and public response to health campaigns. Traditional media such as r</w:t>
      </w:r>
      <w:r w:rsidR="00552DBE" w:rsidRPr="00147F4A">
        <w:rPr>
          <w:rFonts w:ascii="Times New Roman" w:hAnsi="Times New Roman" w:cs="Times New Roman"/>
        </w:rPr>
        <w:t>adio and television</w:t>
      </w:r>
      <w:r w:rsidRPr="00147F4A">
        <w:rPr>
          <w:rFonts w:ascii="Times New Roman" w:hAnsi="Times New Roman" w:cs="Times New Roman"/>
        </w:rPr>
        <w:t xml:space="preserve"> have long been effective in promoting health awareness and influencing behaviour through public service announcements and educational </w:t>
      </w:r>
      <w:r w:rsidRPr="00147F4A">
        <w:rPr>
          <w:rFonts w:ascii="Times New Roman" w:hAnsi="Times New Roman" w:cs="Times New Roman"/>
        </w:rPr>
        <w:lastRenderedPageBreak/>
        <w:t xml:space="preserve">campaigns. Wakefield et al. (2010) observed that these media platforms contributed significantly to promoting vaccination, discouraging smoking, and increasing awareness of diseases such as HIV/AIDS. Similarly, the National Cancer Institute (2008) reported that anti-smoking television campaigns played an important role in reducing smoking rates by emphasizing the health risks associated with tobacco use. In recent years, digital media and social networking platforms such as Facebook, Instagram, and Twitter have transformed health communication by enabling real-time interaction and wider dissemination of information. Thackeray et al. (2012) noted that social media platforms are particularly effective for reaching younger audiences, while Ventola (2014) explained that shares, comments, and likes increase the spread of health information. Hussain et al. (2018) further demonstrated this through the </w:t>
      </w:r>
      <w:proofErr w:type="spellStart"/>
      <w:r w:rsidRPr="00147F4A">
        <w:rPr>
          <w:rFonts w:ascii="Times New Roman" w:hAnsi="Times New Roman" w:cs="Times New Roman"/>
        </w:rPr>
        <w:t>MeaslesTruth</w:t>
      </w:r>
      <w:proofErr w:type="spellEnd"/>
      <w:r w:rsidRPr="00147F4A">
        <w:rPr>
          <w:rFonts w:ascii="Times New Roman" w:hAnsi="Times New Roman" w:cs="Times New Roman"/>
        </w:rPr>
        <w:t xml:space="preserve"> campaign, which successfully used Twitter to combat misinformation about vaccines and improve public awareness and vaccination rates. Despite these advantages, misinformation, conspiracy theories, inadequate funding, and poor infrastructure continue to undermine the effectiveness of mass media health campaigns.</w:t>
      </w:r>
    </w:p>
    <w:p w:rsidR="00861666" w:rsidRPr="00C3686B" w:rsidRDefault="00C3686B" w:rsidP="00C3686B">
      <w:pPr>
        <w:spacing w:after="0" w:line="360" w:lineRule="auto"/>
        <w:jc w:val="both"/>
        <w:rPr>
          <w:rFonts w:ascii="Times New Roman" w:hAnsi="Times New Roman" w:cs="Times New Roman"/>
          <w:b/>
        </w:rPr>
      </w:pPr>
      <w:r>
        <w:rPr>
          <w:rFonts w:ascii="Times New Roman" w:hAnsi="Times New Roman" w:cs="Times New Roman"/>
        </w:rPr>
        <w:tab/>
      </w:r>
      <w:r w:rsidR="00861666" w:rsidRPr="00C3686B">
        <w:rPr>
          <w:rFonts w:ascii="Times New Roman" w:hAnsi="Times New Roman" w:cs="Times New Roman"/>
        </w:rPr>
        <w:t>The review also highlighted the relationship between knowledge, attitude, and behavioural response to health campaigns. Anyanwu et al. (2020) found that women with higher awareness of HPV and its connection to cervical cancer were more likely to accept vaccination for themselves and their daughters. However, the study also revealed that knowledge gaps remain common, especially in rural Nigeria where awareness of HPV is low. Attitudes toward vaccination are influenced by cultural and religious beliefs. Eze et al. (2021) reported that some rural communities in Nigeria associate vaccination with foreign influence and view it as a threat to traditional healing practices, while some religious beliefs encourage reliance on divine intervention instead of medical treatment. Behavioural responses, including seeking vaccination and participating in health programmes, are also affected by accessibility to healthcare services. Anyanwu et al. (2020) identified logistical barriers such as long distances to vaccination centres, while Eze et al. (2021) noted that inadequate healthcare infrastructure, poor vaccine supply, and insufficiently trained health workers limit vaccine uptake even when knowledge and attitudes are favourable.</w:t>
      </w:r>
    </w:p>
    <w:p w:rsidR="009367B2" w:rsidRPr="00147F4A" w:rsidRDefault="009367B2" w:rsidP="00547A72">
      <w:pPr>
        <w:pStyle w:val="NormalWeb"/>
        <w:spacing w:line="360" w:lineRule="auto"/>
        <w:jc w:val="both"/>
        <w:rPr>
          <w:sz w:val="22"/>
          <w:szCs w:val="22"/>
        </w:rPr>
      </w:pPr>
      <w:r w:rsidRPr="00147F4A">
        <w:rPr>
          <w:b/>
          <w:color w:val="000000" w:themeColor="text1"/>
          <w:sz w:val="22"/>
          <w:szCs w:val="22"/>
        </w:rPr>
        <w:t>Theoretical Framework</w:t>
      </w:r>
      <w:bookmarkEnd w:id="0"/>
    </w:p>
    <w:p w:rsidR="00147F4A" w:rsidRPr="00C3686B" w:rsidRDefault="00075032" w:rsidP="00C3686B">
      <w:pPr>
        <w:spacing w:line="360" w:lineRule="auto"/>
        <w:ind w:firstLine="720"/>
        <w:jc w:val="both"/>
        <w:rPr>
          <w:rFonts w:ascii="Times New Roman" w:hAnsi="Times New Roman" w:cs="Times New Roman"/>
        </w:rPr>
      </w:pPr>
      <w:r w:rsidRPr="00147F4A">
        <w:rPr>
          <w:rFonts w:ascii="Times New Roman" w:hAnsi="Times New Roman" w:cs="Times New Roman"/>
        </w:rPr>
        <w:t xml:space="preserve">The theoretical foundation of this study is anchored on the Health Belief Model (HBM) and the Theory of Planned </w:t>
      </w:r>
      <w:proofErr w:type="spellStart"/>
      <w:r w:rsidRPr="00147F4A">
        <w:rPr>
          <w:rFonts w:ascii="Times New Roman" w:hAnsi="Times New Roman" w:cs="Times New Roman"/>
        </w:rPr>
        <w:t>Behaviour</w:t>
      </w:r>
      <w:proofErr w:type="spellEnd"/>
      <w:r w:rsidRPr="00147F4A">
        <w:rPr>
          <w:rFonts w:ascii="Times New Roman" w:hAnsi="Times New Roman" w:cs="Times New Roman"/>
        </w:rPr>
        <w:t xml:space="preserve"> (TPB). The HBM posits that individuals are more likely to adopt health </w:t>
      </w:r>
      <w:proofErr w:type="spellStart"/>
      <w:r w:rsidRPr="00147F4A">
        <w:rPr>
          <w:rFonts w:ascii="Times New Roman" w:hAnsi="Times New Roman" w:cs="Times New Roman"/>
        </w:rPr>
        <w:t>behaviours</w:t>
      </w:r>
      <w:proofErr w:type="spellEnd"/>
      <w:r w:rsidRPr="00147F4A">
        <w:rPr>
          <w:rFonts w:ascii="Times New Roman" w:hAnsi="Times New Roman" w:cs="Times New Roman"/>
        </w:rPr>
        <w:t xml:space="preserve"> if they perceive themselves to be at risk, believe the condition to be serious, and view the benefits of action as outweighing the barriers (Rosenstock, 1974). The TPB, on the other hand, emphasizes the role of attitudes, subjective norms, and perceived </w:t>
      </w:r>
      <w:proofErr w:type="spellStart"/>
      <w:r w:rsidRPr="00147F4A">
        <w:rPr>
          <w:rFonts w:ascii="Times New Roman" w:hAnsi="Times New Roman" w:cs="Times New Roman"/>
        </w:rPr>
        <w:t>behavioural</w:t>
      </w:r>
      <w:proofErr w:type="spellEnd"/>
      <w:r w:rsidRPr="00147F4A">
        <w:rPr>
          <w:rFonts w:ascii="Times New Roman" w:hAnsi="Times New Roman" w:cs="Times New Roman"/>
        </w:rPr>
        <w:t xml:space="preserve"> control in shaping </w:t>
      </w:r>
      <w:proofErr w:type="spellStart"/>
      <w:r w:rsidRPr="00147F4A">
        <w:rPr>
          <w:rFonts w:ascii="Times New Roman" w:hAnsi="Times New Roman" w:cs="Times New Roman"/>
        </w:rPr>
        <w:t>behavioural</w:t>
      </w:r>
      <w:proofErr w:type="spellEnd"/>
      <w:r w:rsidRPr="00147F4A">
        <w:rPr>
          <w:rFonts w:ascii="Times New Roman" w:hAnsi="Times New Roman" w:cs="Times New Roman"/>
        </w:rPr>
        <w:t xml:space="preserve"> intentions (</w:t>
      </w:r>
      <w:proofErr w:type="spellStart"/>
      <w:r w:rsidRPr="00147F4A">
        <w:rPr>
          <w:rFonts w:ascii="Times New Roman" w:hAnsi="Times New Roman" w:cs="Times New Roman"/>
        </w:rPr>
        <w:t>Ajzen</w:t>
      </w:r>
      <w:proofErr w:type="spellEnd"/>
      <w:r w:rsidRPr="00147F4A">
        <w:rPr>
          <w:rFonts w:ascii="Times New Roman" w:hAnsi="Times New Roman" w:cs="Times New Roman"/>
        </w:rPr>
        <w:t xml:space="preserve">, 1991). Together, these theories provide a comprehensive framework for </w:t>
      </w:r>
      <w:r w:rsidRPr="00147F4A">
        <w:rPr>
          <w:rFonts w:ascii="Times New Roman" w:hAnsi="Times New Roman" w:cs="Times New Roman"/>
        </w:rPr>
        <w:lastRenderedPageBreak/>
        <w:t>understanding how broadcast messages may influence women’s knowledge, attitudes, and practices regard</w:t>
      </w:r>
      <w:r w:rsidR="00C3686B">
        <w:rPr>
          <w:rFonts w:ascii="Times New Roman" w:hAnsi="Times New Roman" w:cs="Times New Roman"/>
        </w:rPr>
        <w:t>ing cervical cancer vaccination</w:t>
      </w:r>
    </w:p>
    <w:p w:rsidR="00AE24F5" w:rsidRPr="00147F4A" w:rsidRDefault="00D24BA3" w:rsidP="00D24BA3">
      <w:pPr>
        <w:spacing w:line="360" w:lineRule="auto"/>
        <w:jc w:val="both"/>
        <w:rPr>
          <w:rFonts w:ascii="Times New Roman" w:hAnsi="Times New Roman" w:cs="Times New Roman"/>
        </w:rPr>
      </w:pPr>
      <w:r w:rsidRPr="00147F4A">
        <w:rPr>
          <w:rFonts w:ascii="Times New Roman" w:hAnsi="Times New Roman" w:cs="Times New Roman"/>
          <w:b/>
        </w:rPr>
        <w:t>Methodology</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 xml:space="preserve"> Research Design</w:t>
      </w:r>
    </w:p>
    <w:p w:rsidR="00CA4FEC" w:rsidRPr="00147F4A" w:rsidRDefault="00AE24F5" w:rsidP="00547A72">
      <w:pPr>
        <w:spacing w:line="360" w:lineRule="auto"/>
        <w:ind w:firstLine="720"/>
        <w:jc w:val="both"/>
        <w:rPr>
          <w:rFonts w:ascii="Times New Roman" w:hAnsi="Times New Roman" w:cs="Times New Roman"/>
          <w:b/>
        </w:rPr>
      </w:pPr>
      <w:r w:rsidRPr="00147F4A">
        <w:rPr>
          <w:rFonts w:ascii="Times New Roman" w:hAnsi="Times New Roman" w:cs="Times New Roman"/>
        </w:rPr>
        <w:t>This study adopted a cross-sectional survey research design to investigate the influence of broadcast media messages on women’s knowledge, attitudes, and practices (KAP) regarding cervical cancer vaccination in South-East Nigeria.</w:t>
      </w:r>
      <w:r w:rsidR="0087025D" w:rsidRPr="00147F4A">
        <w:rPr>
          <w:rFonts w:ascii="Times New Roman" w:hAnsi="Times New Roman" w:cs="Times New Roman"/>
        </w:rPr>
        <w:t xml:space="preserve"> T</w:t>
      </w:r>
      <w:r w:rsidRPr="00147F4A">
        <w:rPr>
          <w:rFonts w:ascii="Times New Roman" w:hAnsi="Times New Roman" w:cs="Times New Roman"/>
        </w:rPr>
        <w:t xml:space="preserve">he survey design allows for the use of structured instruments, thereby enhancing reliability and comparability of responses. It also supports the application of both descriptive and inferential statistical techniques, which are essential for </w:t>
      </w:r>
      <w:proofErr w:type="spellStart"/>
      <w:r w:rsidRPr="00147F4A">
        <w:rPr>
          <w:rFonts w:ascii="Times New Roman" w:hAnsi="Times New Roman" w:cs="Times New Roman"/>
        </w:rPr>
        <w:t>analysing</w:t>
      </w:r>
      <w:proofErr w:type="spellEnd"/>
      <w:r w:rsidRPr="00147F4A">
        <w:rPr>
          <w:rFonts w:ascii="Times New Roman" w:hAnsi="Times New Roman" w:cs="Times New Roman"/>
        </w:rPr>
        <w:t xml:space="preserve"> relationships between media exposure and health-related outcomes.</w:t>
      </w:r>
    </w:p>
    <w:p w:rsidR="00F831FF" w:rsidRPr="00147F4A" w:rsidRDefault="00AE24F5" w:rsidP="00547A72">
      <w:pPr>
        <w:spacing w:line="360" w:lineRule="auto"/>
        <w:ind w:firstLine="720"/>
        <w:jc w:val="both"/>
        <w:rPr>
          <w:rFonts w:ascii="Times New Roman" w:hAnsi="Times New Roman" w:cs="Times New Roman"/>
          <w:b/>
        </w:rPr>
      </w:pPr>
      <w:r w:rsidRPr="00147F4A">
        <w:rPr>
          <w:rFonts w:ascii="Times New Roman" w:hAnsi="Times New Roman" w:cs="Times New Roman"/>
          <w:b/>
        </w:rPr>
        <w:t>Population of the Study</w:t>
      </w:r>
    </w:p>
    <w:p w:rsidR="00AE24F5" w:rsidRPr="00147F4A" w:rsidRDefault="00D24BA3" w:rsidP="00547A72">
      <w:pPr>
        <w:spacing w:line="360" w:lineRule="auto"/>
        <w:ind w:firstLine="720"/>
        <w:jc w:val="both"/>
        <w:rPr>
          <w:rFonts w:ascii="Times New Roman" w:hAnsi="Times New Roman" w:cs="Times New Roman"/>
          <w:b/>
        </w:rPr>
      </w:pPr>
      <w:r w:rsidRPr="00147F4A">
        <w:rPr>
          <w:rFonts w:ascii="Times New Roman" w:hAnsi="Times New Roman" w:cs="Times New Roman"/>
        </w:rPr>
        <w:t>The population for this study comprised women aged 18 and older residing in the three selected South-East States, which include Anambra (1,128,014), Enugu (882,316), and Ebonyi (587,776), with a total population of 2,598,106 (Census Baseline and National Bureau of Statistics, 2006).</w:t>
      </w:r>
    </w:p>
    <w:p w:rsidR="00AE24F5" w:rsidRPr="00147F4A" w:rsidRDefault="00D24BA3" w:rsidP="00547A72">
      <w:pPr>
        <w:spacing w:line="360" w:lineRule="auto"/>
        <w:ind w:firstLine="720"/>
        <w:jc w:val="both"/>
        <w:rPr>
          <w:rFonts w:ascii="Times New Roman" w:eastAsia="Times New Roman" w:hAnsi="Times New Roman" w:cs="Times New Roman"/>
        </w:rPr>
      </w:pPr>
      <w:r w:rsidRPr="00147F4A">
        <w:rPr>
          <w:rFonts w:ascii="Times New Roman" w:hAnsi="Times New Roman" w:cs="Times New Roman"/>
        </w:rPr>
        <w:t xml:space="preserve">However, the baseline population figures were drawn from the 2006 National Population Commission (NPC) Census. Based on demographic estimation standards, females were assumed to represent 50% of the total population of each state, and women aged 18 years and older were estimated to be 54% of the female population. To derive updated population estimates suitable for the present study period, the 2006 demographic baseline was projected to the year 2024 using the annual population growth rate recommended by the National Bureau of Statistics (NBS). The National Bureau of Statistics recommends a 3.2% annual population growth rate for national projections in Nigeria; therefore, this growth rate was applied over an 18-year period (2006–2024) to derive the estimated adult female population (18 and older) in Anambra, Enugu, and Ebonyi States. </w:t>
      </w:r>
    </w:p>
    <w:p w:rsidR="00AE24F5" w:rsidRPr="00147F4A" w:rsidRDefault="002E35E3" w:rsidP="00547A72">
      <w:pPr>
        <w:pStyle w:val="LISTOFTABLES"/>
        <w:spacing w:line="360" w:lineRule="auto"/>
        <w:rPr>
          <w:sz w:val="22"/>
          <w:szCs w:val="22"/>
        </w:rPr>
      </w:pPr>
      <w:bookmarkStart w:id="1" w:name="_Toc222781944"/>
      <w:r w:rsidRPr="00147F4A">
        <w:rPr>
          <w:sz w:val="22"/>
          <w:szCs w:val="22"/>
        </w:rPr>
        <w:t>Table 1:</w:t>
      </w:r>
      <w:r w:rsidR="00AE24F5" w:rsidRPr="00147F4A">
        <w:rPr>
          <w:sz w:val="22"/>
          <w:szCs w:val="22"/>
        </w:rPr>
        <w:t xml:space="preserve"> Population forecast distribution</w:t>
      </w:r>
      <w:bookmarkEnd w:id="1"/>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3192"/>
        <w:gridCol w:w="3192"/>
        <w:gridCol w:w="3192"/>
      </w:tblGrid>
      <w:tr w:rsidR="00AE24F5" w:rsidRPr="00147F4A" w:rsidTr="00B15267">
        <w:tc>
          <w:tcPr>
            <w:tcW w:w="3192" w:type="dxa"/>
            <w:tcBorders>
              <w:top w:val="single" w:sz="4" w:space="0" w:color="auto"/>
              <w:bottom w:val="single" w:sz="4" w:space="0" w:color="auto"/>
            </w:tcBorders>
          </w:tcPr>
          <w:p w:rsidR="00AE24F5" w:rsidRPr="00147F4A" w:rsidRDefault="00AE24F5" w:rsidP="00547A72">
            <w:pPr>
              <w:spacing w:line="360" w:lineRule="auto"/>
              <w:jc w:val="both"/>
              <w:rPr>
                <w:rFonts w:ascii="Times New Roman" w:hAnsi="Times New Roman"/>
                <w:b/>
              </w:rPr>
            </w:pPr>
            <w:r w:rsidRPr="00147F4A">
              <w:rPr>
                <w:rFonts w:ascii="Times New Roman" w:hAnsi="Times New Roman"/>
                <w:b/>
              </w:rPr>
              <w:t>State</w:t>
            </w:r>
          </w:p>
        </w:tc>
        <w:tc>
          <w:tcPr>
            <w:tcW w:w="3192" w:type="dxa"/>
            <w:tcBorders>
              <w:top w:val="single" w:sz="4" w:space="0" w:color="auto"/>
              <w:bottom w:val="single" w:sz="4" w:space="0" w:color="auto"/>
            </w:tcBorders>
          </w:tcPr>
          <w:p w:rsidR="00AE24F5" w:rsidRPr="00147F4A" w:rsidRDefault="00AE24F5" w:rsidP="00547A72">
            <w:pPr>
              <w:spacing w:line="360" w:lineRule="auto"/>
              <w:jc w:val="both"/>
              <w:rPr>
                <w:rFonts w:ascii="Times New Roman" w:hAnsi="Times New Roman"/>
                <w:b/>
              </w:rPr>
            </w:pPr>
            <w:r w:rsidRPr="00147F4A">
              <w:rPr>
                <w:rFonts w:ascii="Times New Roman" w:hAnsi="Times New Roman"/>
                <w:b/>
              </w:rPr>
              <w:t>Population</w:t>
            </w:r>
          </w:p>
        </w:tc>
        <w:tc>
          <w:tcPr>
            <w:tcW w:w="3192" w:type="dxa"/>
            <w:tcBorders>
              <w:top w:val="single" w:sz="4" w:space="0" w:color="auto"/>
              <w:bottom w:val="single" w:sz="4" w:space="0" w:color="auto"/>
            </w:tcBorders>
          </w:tcPr>
          <w:p w:rsidR="00AE24F5" w:rsidRPr="00147F4A" w:rsidRDefault="00AE24F5" w:rsidP="00547A72">
            <w:pPr>
              <w:spacing w:line="360" w:lineRule="auto"/>
              <w:jc w:val="both"/>
              <w:rPr>
                <w:rFonts w:ascii="Times New Roman" w:hAnsi="Times New Roman"/>
                <w:b/>
              </w:rPr>
            </w:pPr>
            <w:r w:rsidRPr="00147F4A">
              <w:rPr>
                <w:rFonts w:ascii="Times New Roman" w:hAnsi="Times New Roman"/>
                <w:b/>
              </w:rPr>
              <w:t>Projection to 2024</w:t>
            </w:r>
          </w:p>
        </w:tc>
      </w:tr>
      <w:tr w:rsidR="00AE24F5" w:rsidRPr="00147F4A" w:rsidTr="00B15267">
        <w:tc>
          <w:tcPr>
            <w:tcW w:w="3192" w:type="dxa"/>
            <w:tcBorders>
              <w:top w:val="single" w:sz="4" w:space="0" w:color="auto"/>
            </w:tcBorders>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Anambra</w:t>
            </w:r>
          </w:p>
        </w:tc>
        <w:tc>
          <w:tcPr>
            <w:tcW w:w="3192" w:type="dxa"/>
            <w:tcBorders>
              <w:top w:val="single" w:sz="4" w:space="0" w:color="auto"/>
            </w:tcBorders>
          </w:tcPr>
          <w:p w:rsidR="00AE24F5" w:rsidRPr="00147F4A" w:rsidRDefault="00AE24F5" w:rsidP="00547A72">
            <w:pPr>
              <w:spacing w:line="360" w:lineRule="auto"/>
              <w:jc w:val="both"/>
              <w:rPr>
                <w:rFonts w:ascii="Times New Roman" w:hAnsi="Times New Roman"/>
              </w:rPr>
            </w:pPr>
            <w:r w:rsidRPr="00147F4A">
              <w:rPr>
                <w:rFonts w:ascii="Times New Roman" w:eastAsia="Times New Roman" w:hAnsi="Times New Roman"/>
              </w:rPr>
              <w:t>1,128,014</w:t>
            </w:r>
          </w:p>
        </w:tc>
        <w:tc>
          <w:tcPr>
            <w:tcW w:w="3192" w:type="dxa"/>
            <w:tcBorders>
              <w:top w:val="single" w:sz="4" w:space="0" w:color="auto"/>
            </w:tcBorders>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1,988,607</w:t>
            </w:r>
          </w:p>
        </w:tc>
      </w:tr>
      <w:tr w:rsidR="00AE24F5" w:rsidRPr="00147F4A" w:rsidTr="00B15267">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Enugu</w:t>
            </w:r>
          </w:p>
        </w:tc>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eastAsia="Times New Roman" w:hAnsi="Times New Roman"/>
              </w:rPr>
              <w:t>882,316</w:t>
            </w:r>
          </w:p>
        </w:tc>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1,555,459</w:t>
            </w:r>
          </w:p>
        </w:tc>
      </w:tr>
      <w:tr w:rsidR="00AE24F5" w:rsidRPr="00147F4A" w:rsidTr="00B15267">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Ebonyi</w:t>
            </w:r>
          </w:p>
        </w:tc>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eastAsia="Times New Roman" w:hAnsi="Times New Roman"/>
              </w:rPr>
              <w:t>587,776</w:t>
            </w:r>
          </w:p>
        </w:tc>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1,036,206</w:t>
            </w:r>
          </w:p>
        </w:tc>
      </w:tr>
      <w:tr w:rsidR="00AE24F5" w:rsidRPr="00147F4A" w:rsidTr="00B15267">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Total</w:t>
            </w:r>
          </w:p>
        </w:tc>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2,598,106</w:t>
            </w:r>
          </w:p>
        </w:tc>
        <w:tc>
          <w:tcPr>
            <w:tcW w:w="3192" w:type="dxa"/>
          </w:tcPr>
          <w:p w:rsidR="00AE24F5" w:rsidRPr="00147F4A" w:rsidRDefault="00AE24F5" w:rsidP="00547A72">
            <w:pPr>
              <w:spacing w:line="360" w:lineRule="auto"/>
              <w:jc w:val="both"/>
              <w:rPr>
                <w:rFonts w:ascii="Times New Roman" w:hAnsi="Times New Roman"/>
              </w:rPr>
            </w:pPr>
            <w:r w:rsidRPr="00147F4A">
              <w:rPr>
                <w:rFonts w:ascii="Times New Roman" w:hAnsi="Times New Roman"/>
              </w:rPr>
              <w:t>4,580,272</w:t>
            </w:r>
          </w:p>
        </w:tc>
      </w:tr>
    </w:tbl>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Source: National Population Commission, 2006.</w:t>
      </w:r>
    </w:p>
    <w:p w:rsidR="00AE24F5" w:rsidRPr="00147F4A" w:rsidRDefault="00AE24F5" w:rsidP="00547A72">
      <w:pPr>
        <w:pStyle w:val="Heading1"/>
        <w:spacing w:line="360" w:lineRule="auto"/>
        <w:rPr>
          <w:b/>
          <w:color w:val="000000" w:themeColor="text1"/>
          <w:sz w:val="22"/>
          <w:szCs w:val="22"/>
        </w:rPr>
      </w:pPr>
      <w:bookmarkStart w:id="2" w:name="_Toc222781537"/>
      <w:r w:rsidRPr="00147F4A">
        <w:rPr>
          <w:b/>
          <w:color w:val="000000" w:themeColor="text1"/>
          <w:sz w:val="22"/>
          <w:szCs w:val="22"/>
        </w:rPr>
        <w:lastRenderedPageBreak/>
        <w:t>Sample Size</w:t>
      </w:r>
      <w:bookmarkEnd w:id="2"/>
      <w:r w:rsidRPr="00147F4A">
        <w:rPr>
          <w:b/>
          <w:color w:val="000000" w:themeColor="text1"/>
          <w:sz w:val="22"/>
          <w:szCs w:val="22"/>
        </w:rPr>
        <w:tab/>
      </w:r>
    </w:p>
    <w:p w:rsidR="00AE24F5" w:rsidRPr="00147F4A" w:rsidRDefault="00972294" w:rsidP="00547A72">
      <w:pPr>
        <w:spacing w:line="360" w:lineRule="auto"/>
        <w:ind w:firstLine="720"/>
        <w:jc w:val="both"/>
        <w:rPr>
          <w:rFonts w:ascii="Times New Roman" w:hAnsi="Times New Roman" w:cs="Times New Roman"/>
        </w:rPr>
      </w:pPr>
      <w:r w:rsidRPr="00147F4A">
        <w:rPr>
          <w:rFonts w:ascii="Times New Roman" w:hAnsi="Times New Roman" w:cs="Times New Roman"/>
        </w:rPr>
        <w:t>A sample is a small but ideally representative collection of units from the population (Field 2005). Sampling is conducted to obtain a representative number that can be used to generalize about the entire population. The National Statistical Service's (NSS) Australian sample size calculator was used to determine the sample size. To ensure sufficient representation, the researcher used a 95% confidence level and a 5% margin of error. The calculation was based on the number of women in the selected states who were 18 years of age or older. The study's sample size is indicated by the computation as displayed.</w:t>
      </w:r>
    </w:p>
    <w:p w:rsidR="00AE24F5" w:rsidRPr="00147F4A" w:rsidRDefault="00AE24F5" w:rsidP="00547A72">
      <w:pPr>
        <w:spacing w:before="100" w:beforeAutospacing="1" w:after="100" w:afterAutospacing="1" w:line="360" w:lineRule="auto"/>
        <w:jc w:val="both"/>
        <w:rPr>
          <w:rFonts w:ascii="Times New Roman" w:eastAsia="Times New Roman" w:hAnsi="Times New Roman" w:cs="Times New Roman"/>
        </w:rPr>
      </w:pPr>
      <w:r w:rsidRPr="00147F4A">
        <w:rPr>
          <w:rFonts w:ascii="Times New Roman" w:hAnsi="Times New Roman" w:cs="Times New Roman"/>
          <w:b/>
        </w:rPr>
        <w:t>Sampling Technique</w:t>
      </w:r>
    </w:p>
    <w:p w:rsidR="00AE24F5" w:rsidRPr="00147F4A" w:rsidRDefault="00AE24F5" w:rsidP="00547A72">
      <w:pPr>
        <w:spacing w:line="360" w:lineRule="auto"/>
        <w:ind w:firstLine="720"/>
        <w:jc w:val="both"/>
        <w:rPr>
          <w:rFonts w:ascii="Times New Roman" w:hAnsi="Times New Roman" w:cs="Times New Roman"/>
        </w:rPr>
      </w:pPr>
      <w:r w:rsidRPr="00147F4A">
        <w:rPr>
          <w:rFonts w:ascii="Times New Roman" w:hAnsi="Times New Roman" w:cs="Times New Roman"/>
        </w:rPr>
        <w:t>A multi-stage sampling technique was employed in this study. This approach combines probability-based selection with structured field procedures to ensure both representativeness and practical feasibility.</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Stage One: Selection of States</w:t>
      </w:r>
    </w:p>
    <w:p w:rsidR="00AE24F5" w:rsidRPr="00147F4A" w:rsidRDefault="00AE24F5" w:rsidP="00547A72">
      <w:pPr>
        <w:spacing w:line="360" w:lineRule="auto"/>
        <w:ind w:firstLine="720"/>
        <w:jc w:val="both"/>
        <w:rPr>
          <w:rFonts w:ascii="Times New Roman" w:hAnsi="Times New Roman" w:cs="Times New Roman"/>
        </w:rPr>
      </w:pPr>
      <w:r w:rsidRPr="00147F4A">
        <w:rPr>
          <w:rFonts w:ascii="Times New Roman" w:hAnsi="Times New Roman" w:cs="Times New Roman"/>
        </w:rPr>
        <w:t>Three states</w:t>
      </w:r>
      <w:r w:rsidR="00972294" w:rsidRPr="00147F4A">
        <w:rPr>
          <w:rFonts w:ascii="Times New Roman" w:hAnsi="Times New Roman" w:cs="Times New Roman"/>
        </w:rPr>
        <w:t xml:space="preserve">, including Anambra, Enugu, and Ebonyi, </w:t>
      </w:r>
      <w:r w:rsidRPr="00147F4A">
        <w:rPr>
          <w:rFonts w:ascii="Times New Roman" w:hAnsi="Times New Roman" w:cs="Times New Roman"/>
        </w:rPr>
        <w:t>were selected from the South-East geopolitical zone using simple random sampling (balloting method). Each state had an equal chance of selection, thereby minimizing selection bias.</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Stage Two: Selection of Local Government Areas (LGAs)</w:t>
      </w:r>
    </w:p>
    <w:p w:rsidR="00AE24F5" w:rsidRPr="00147F4A" w:rsidRDefault="00972294" w:rsidP="00547A72">
      <w:pPr>
        <w:spacing w:line="360" w:lineRule="auto"/>
        <w:ind w:firstLine="720"/>
        <w:jc w:val="both"/>
        <w:rPr>
          <w:rFonts w:ascii="Times New Roman" w:hAnsi="Times New Roman" w:cs="Times New Roman"/>
        </w:rPr>
      </w:pPr>
      <w:r w:rsidRPr="00147F4A">
        <w:rPr>
          <w:rFonts w:ascii="Times New Roman" w:hAnsi="Times New Roman" w:cs="Times New Roman"/>
        </w:rPr>
        <w:t>From each selected state, one Local Government Area was selected from each senatorial district using simple random sampling. This resulted in a total of nine LGAs (three per state). This stage ensured geographic diversity and inclusiveness across the states.</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 xml:space="preserve">Stage Three: Selection of Communities </w:t>
      </w:r>
    </w:p>
    <w:p w:rsidR="00AE24F5" w:rsidRPr="00147F4A" w:rsidRDefault="00AE24F5" w:rsidP="00547A72">
      <w:pPr>
        <w:spacing w:line="360" w:lineRule="auto"/>
        <w:ind w:firstLine="720"/>
        <w:jc w:val="both"/>
        <w:rPr>
          <w:rFonts w:ascii="Times New Roman" w:hAnsi="Times New Roman" w:cs="Times New Roman"/>
        </w:rPr>
      </w:pPr>
      <w:r w:rsidRPr="00147F4A">
        <w:rPr>
          <w:rFonts w:ascii="Times New Roman" w:hAnsi="Times New Roman" w:cs="Times New Roman"/>
        </w:rPr>
        <w:t>From each selected LGA, one urban and one rural community were selected. These communities served as the primary sampling units and formed the sampling frame for the study.</w:t>
      </w:r>
    </w:p>
    <w:p w:rsidR="00AE24F5" w:rsidRPr="00147F4A" w:rsidRDefault="00AE24F5" w:rsidP="00547A72">
      <w:pPr>
        <w:spacing w:line="360" w:lineRule="auto"/>
        <w:jc w:val="both"/>
        <w:rPr>
          <w:rFonts w:ascii="Times New Roman" w:hAnsi="Times New Roman" w:cs="Times New Roman"/>
        </w:rPr>
      </w:pPr>
      <w:r w:rsidRPr="00147F4A">
        <w:rPr>
          <w:rFonts w:ascii="Times New Roman" w:hAnsi="Times New Roman" w:cs="Times New Roman"/>
        </w:rPr>
        <w:t xml:space="preserve">Within these communities, specific locations where women could be accessed were identified, including markets, health </w:t>
      </w:r>
      <w:r w:rsidR="00972294" w:rsidRPr="00147F4A">
        <w:rPr>
          <w:rFonts w:ascii="Times New Roman" w:hAnsi="Times New Roman" w:cs="Times New Roman"/>
        </w:rPr>
        <w:t>centers</w:t>
      </w:r>
      <w:r w:rsidRPr="00147F4A">
        <w:rPr>
          <w:rFonts w:ascii="Times New Roman" w:hAnsi="Times New Roman" w:cs="Times New Roman"/>
        </w:rPr>
        <w:t>, churches, and community meeting points.These locations were deliberately chosen because they are common gathering points where women of diverse backgrounds can be reached.</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Stage Four: Selection of Respondents</w:t>
      </w:r>
    </w:p>
    <w:p w:rsidR="00AE24F5" w:rsidRPr="00147F4A" w:rsidRDefault="00AE24F5" w:rsidP="00547A72">
      <w:pPr>
        <w:spacing w:line="360" w:lineRule="auto"/>
        <w:ind w:firstLine="720"/>
        <w:jc w:val="both"/>
        <w:rPr>
          <w:rFonts w:ascii="Times New Roman" w:hAnsi="Times New Roman" w:cs="Times New Roman"/>
        </w:rPr>
      </w:pPr>
      <w:r w:rsidRPr="00147F4A">
        <w:rPr>
          <w:rFonts w:ascii="Times New Roman" w:hAnsi="Times New Roman" w:cs="Times New Roman"/>
        </w:rPr>
        <w:lastRenderedPageBreak/>
        <w:t>Within the selected locations, respondents were selected using systematic intercept sampling. Women who met the eligibility criteria (female and 18 years or older) were approached and invited to participate. Participation was voluntary, and only those who consented were included in the study.</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Instrument for Data Collection</w:t>
      </w:r>
    </w:p>
    <w:p w:rsidR="00AE24F5" w:rsidRPr="00147F4A" w:rsidRDefault="00AE24F5" w:rsidP="00547A72">
      <w:pPr>
        <w:spacing w:line="360" w:lineRule="auto"/>
        <w:jc w:val="both"/>
        <w:rPr>
          <w:rFonts w:ascii="Times New Roman" w:hAnsi="Times New Roman" w:cs="Times New Roman"/>
        </w:rPr>
      </w:pPr>
      <w:r w:rsidRPr="00147F4A">
        <w:rPr>
          <w:rFonts w:ascii="Times New Roman" w:hAnsi="Times New Roman" w:cs="Times New Roman"/>
        </w:rPr>
        <w:t xml:space="preserve">Data for this study were collected using a structured questionnaire designed in line with the research objectives and variables. </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Data Collection</w:t>
      </w:r>
    </w:p>
    <w:p w:rsidR="00AE24F5" w:rsidRPr="00147F4A" w:rsidRDefault="00AE24F5" w:rsidP="00547A72">
      <w:pPr>
        <w:spacing w:line="360" w:lineRule="auto"/>
        <w:jc w:val="both"/>
        <w:rPr>
          <w:rFonts w:ascii="Times New Roman" w:hAnsi="Times New Roman" w:cs="Times New Roman"/>
        </w:rPr>
      </w:pPr>
      <w:r w:rsidRPr="00147F4A">
        <w:rPr>
          <w:rFonts w:ascii="Times New Roman" w:hAnsi="Times New Roman" w:cs="Times New Roman"/>
        </w:rPr>
        <w:t xml:space="preserve">The data were collected through face-to-face administration of questionnaires.The researcher, assisted by trained field assistants, visited the selected communities and administered the instrument directly to respondents at designated locations such as markets, churches, and health </w:t>
      </w:r>
      <w:proofErr w:type="spellStart"/>
      <w:r w:rsidRPr="00147F4A">
        <w:rPr>
          <w:rFonts w:ascii="Times New Roman" w:hAnsi="Times New Roman" w:cs="Times New Roman"/>
        </w:rPr>
        <w:t>centres</w:t>
      </w:r>
      <w:proofErr w:type="spellEnd"/>
      <w:r w:rsidRPr="00147F4A">
        <w:rPr>
          <w:rFonts w:ascii="Times New Roman" w:hAnsi="Times New Roman" w:cs="Times New Roman"/>
        </w:rPr>
        <w:t>.</w:t>
      </w:r>
      <w:r w:rsidR="00040A2B" w:rsidRPr="00147F4A">
        <w:rPr>
          <w:rFonts w:ascii="Times New Roman" w:hAnsi="Times New Roman" w:cs="Times New Roman"/>
        </w:rPr>
        <w:t xml:space="preserve"> Similarly, the r</w:t>
      </w:r>
      <w:r w:rsidRPr="00147F4A">
        <w:rPr>
          <w:rFonts w:ascii="Times New Roman" w:hAnsi="Times New Roman" w:cs="Times New Roman"/>
        </w:rPr>
        <w:t>espondents were screened for eligibility (female, 18+). They were also briefed on the purpose of the study</w:t>
      </w:r>
      <w:r w:rsidR="00040A2B" w:rsidRPr="00147F4A">
        <w:rPr>
          <w:rFonts w:ascii="Times New Roman" w:hAnsi="Times New Roman" w:cs="Times New Roman"/>
        </w:rPr>
        <w:t>, assured of confidentiality, and</w:t>
      </w:r>
      <w:r w:rsidRPr="00147F4A">
        <w:rPr>
          <w:rFonts w:ascii="Times New Roman" w:hAnsi="Times New Roman" w:cs="Times New Roman"/>
        </w:rPr>
        <w:t xml:space="preserve"> invited to participate voluntarily.This method was adopted because it ensures a high response rate, allows for clarification of questions, reduces errors and incomplete responses, and enhances data quality.</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Validity of the Instrument</w:t>
      </w:r>
    </w:p>
    <w:p w:rsidR="00AE24F5" w:rsidRPr="00147F4A" w:rsidRDefault="00AE24F5" w:rsidP="00547A72">
      <w:pPr>
        <w:spacing w:line="360" w:lineRule="auto"/>
        <w:jc w:val="both"/>
        <w:rPr>
          <w:rFonts w:ascii="Times New Roman" w:hAnsi="Times New Roman" w:cs="Times New Roman"/>
        </w:rPr>
      </w:pPr>
      <w:r w:rsidRPr="00147F4A">
        <w:rPr>
          <w:rFonts w:ascii="Times New Roman" w:hAnsi="Times New Roman" w:cs="Times New Roman"/>
        </w:rPr>
        <w:t>The validity of the instrument was established through face and content validity. Experts in Mass Communication and Public Health evaluated the questionnaire based on relevance to research objectives, clarity of wording and adequacy of content coverage.</w:t>
      </w:r>
    </w:p>
    <w:p w:rsidR="00AE24F5" w:rsidRPr="00147F4A" w:rsidRDefault="00AE24F5" w:rsidP="00547A72">
      <w:pPr>
        <w:spacing w:line="360" w:lineRule="auto"/>
        <w:jc w:val="both"/>
        <w:rPr>
          <w:rFonts w:ascii="Times New Roman" w:hAnsi="Times New Roman" w:cs="Times New Roman"/>
          <w:b/>
        </w:rPr>
      </w:pPr>
      <w:r w:rsidRPr="00147F4A">
        <w:rPr>
          <w:rFonts w:ascii="Times New Roman" w:hAnsi="Times New Roman" w:cs="Times New Roman"/>
          <w:b/>
        </w:rPr>
        <w:t>Reliability of the Instrument</w:t>
      </w:r>
    </w:p>
    <w:p w:rsidR="00AE24F5" w:rsidRPr="00147F4A" w:rsidRDefault="00AE24F5" w:rsidP="00547A72">
      <w:pPr>
        <w:spacing w:line="360" w:lineRule="auto"/>
        <w:jc w:val="both"/>
        <w:rPr>
          <w:rFonts w:ascii="Times New Roman" w:hAnsi="Times New Roman" w:cs="Times New Roman"/>
        </w:rPr>
      </w:pPr>
      <w:r w:rsidRPr="00147F4A">
        <w:rPr>
          <w:rFonts w:ascii="Times New Roman" w:hAnsi="Times New Roman" w:cs="Times New Roman"/>
        </w:rPr>
        <w:t>Reliability was determined using Cronbach’s Alpha coefficient, based on a pilot test conducted with 30 respondents outside the study area</w:t>
      </w:r>
      <w:r w:rsidR="00040A2B" w:rsidRPr="00147F4A">
        <w:rPr>
          <w:rFonts w:ascii="Times New Roman" w:hAnsi="Times New Roman" w:cs="Times New Roman"/>
        </w:rPr>
        <w:t xml:space="preserve"> and it shows v</w:t>
      </w:r>
      <w:r w:rsidRPr="00147F4A">
        <w:rPr>
          <w:rFonts w:ascii="Times New Roman" w:hAnsi="Times New Roman" w:cs="Times New Roman"/>
        </w:rPr>
        <w:t>ariable</w:t>
      </w:r>
      <w:r w:rsidR="00040A2B" w:rsidRPr="00147F4A">
        <w:rPr>
          <w:rFonts w:ascii="Times New Roman" w:hAnsi="Times New Roman" w:cs="Times New Roman"/>
        </w:rPr>
        <w:t>s as follows:</w:t>
      </w:r>
      <w:r w:rsidRPr="00147F4A">
        <w:rPr>
          <w:rFonts w:ascii="Times New Roman" w:hAnsi="Times New Roman" w:cs="Times New Roman"/>
        </w:rPr>
        <w:t xml:space="preserve"> Cronbach’s Alpha</w:t>
      </w:r>
      <w:r w:rsidR="001839E6" w:rsidRPr="00147F4A">
        <w:rPr>
          <w:rFonts w:ascii="Times New Roman" w:hAnsi="Times New Roman" w:cs="Times New Roman"/>
        </w:rPr>
        <w:t xml:space="preserve">, </w:t>
      </w:r>
      <w:r w:rsidRPr="00147F4A">
        <w:rPr>
          <w:rFonts w:ascii="Times New Roman" w:hAnsi="Times New Roman" w:cs="Times New Roman"/>
        </w:rPr>
        <w:t>Knowledge: 0.825</w:t>
      </w:r>
      <w:r w:rsidR="001839E6" w:rsidRPr="00147F4A">
        <w:rPr>
          <w:rFonts w:ascii="Times New Roman" w:hAnsi="Times New Roman" w:cs="Times New Roman"/>
        </w:rPr>
        <w:t xml:space="preserve">, </w:t>
      </w:r>
      <w:r w:rsidRPr="00147F4A">
        <w:rPr>
          <w:rFonts w:ascii="Times New Roman" w:hAnsi="Times New Roman" w:cs="Times New Roman"/>
        </w:rPr>
        <w:t>Attitude: 0.907</w:t>
      </w:r>
      <w:r w:rsidR="001839E6" w:rsidRPr="00147F4A">
        <w:rPr>
          <w:rFonts w:ascii="Times New Roman" w:hAnsi="Times New Roman" w:cs="Times New Roman"/>
        </w:rPr>
        <w:t xml:space="preserve">, </w:t>
      </w:r>
      <w:r w:rsidRPr="00147F4A">
        <w:rPr>
          <w:rFonts w:ascii="Times New Roman" w:hAnsi="Times New Roman" w:cs="Times New Roman"/>
        </w:rPr>
        <w:t>Practices: 0.896</w:t>
      </w:r>
      <w:r w:rsidR="001839E6" w:rsidRPr="00147F4A">
        <w:rPr>
          <w:rFonts w:ascii="Times New Roman" w:hAnsi="Times New Roman" w:cs="Times New Roman"/>
        </w:rPr>
        <w:t xml:space="preserve">, </w:t>
      </w:r>
      <w:r w:rsidRPr="00147F4A">
        <w:rPr>
          <w:rFonts w:ascii="Times New Roman" w:hAnsi="Times New Roman" w:cs="Times New Roman"/>
        </w:rPr>
        <w:t>Media Influence: 0.911</w:t>
      </w:r>
      <w:r w:rsidR="001839E6" w:rsidRPr="00147F4A">
        <w:rPr>
          <w:rFonts w:ascii="Times New Roman" w:hAnsi="Times New Roman" w:cs="Times New Roman"/>
        </w:rPr>
        <w:t xml:space="preserve">, </w:t>
      </w:r>
      <w:r w:rsidRPr="00147F4A">
        <w:rPr>
          <w:rFonts w:ascii="Times New Roman" w:hAnsi="Times New Roman" w:cs="Times New Roman"/>
        </w:rPr>
        <w:t>Socio-cultural Factors</w:t>
      </w:r>
      <w:r w:rsidR="001839E6" w:rsidRPr="00147F4A">
        <w:rPr>
          <w:rFonts w:ascii="Times New Roman" w:hAnsi="Times New Roman" w:cs="Times New Roman"/>
        </w:rPr>
        <w:t xml:space="preserve">: </w:t>
      </w:r>
      <w:r w:rsidRPr="00147F4A">
        <w:rPr>
          <w:rFonts w:ascii="Times New Roman" w:hAnsi="Times New Roman" w:cs="Times New Roman"/>
        </w:rPr>
        <w:t>0.698</w:t>
      </w:r>
      <w:r w:rsidR="00147F4A" w:rsidRPr="00147F4A">
        <w:rPr>
          <w:rFonts w:ascii="Times New Roman" w:hAnsi="Times New Roman" w:cs="Times New Roman"/>
        </w:rPr>
        <w:t xml:space="preserve">. </w:t>
      </w:r>
      <w:r w:rsidRPr="00147F4A">
        <w:rPr>
          <w:rFonts w:ascii="Times New Roman" w:hAnsi="Times New Roman" w:cs="Times New Roman"/>
        </w:rPr>
        <w:t>All values meet or exceed the acceptable threshold of 0.70, indicating good internal consistency. This suggests that the instrument is reliable and capable of producing stable and consistent results.</w:t>
      </w:r>
    </w:p>
    <w:p w:rsidR="00AE24F5" w:rsidRPr="00147F4A" w:rsidRDefault="00147F4A" w:rsidP="00547A72">
      <w:pPr>
        <w:spacing w:line="360" w:lineRule="auto"/>
        <w:jc w:val="both"/>
        <w:rPr>
          <w:rFonts w:ascii="Times New Roman" w:hAnsi="Times New Roman" w:cs="Times New Roman"/>
          <w:b/>
        </w:rPr>
      </w:pPr>
      <w:r w:rsidRPr="00147F4A">
        <w:rPr>
          <w:rFonts w:ascii="Times New Roman" w:hAnsi="Times New Roman" w:cs="Times New Roman"/>
          <w:b/>
        </w:rPr>
        <w:t>D</w:t>
      </w:r>
      <w:r w:rsidR="00AE24F5" w:rsidRPr="00147F4A">
        <w:rPr>
          <w:rFonts w:ascii="Times New Roman" w:hAnsi="Times New Roman" w:cs="Times New Roman"/>
          <w:b/>
        </w:rPr>
        <w:t xml:space="preserve">ata </w:t>
      </w:r>
      <w:r w:rsidR="00972294" w:rsidRPr="00147F4A">
        <w:rPr>
          <w:rFonts w:ascii="Times New Roman" w:hAnsi="Times New Roman" w:cs="Times New Roman"/>
          <w:b/>
        </w:rPr>
        <w:t>a</w:t>
      </w:r>
      <w:r w:rsidR="00AE24F5" w:rsidRPr="00147F4A">
        <w:rPr>
          <w:rFonts w:ascii="Times New Roman" w:hAnsi="Times New Roman" w:cs="Times New Roman"/>
          <w:b/>
        </w:rPr>
        <w:t>nalysis</w:t>
      </w:r>
    </w:p>
    <w:p w:rsidR="00AE24F5" w:rsidRPr="00147F4A" w:rsidRDefault="00972294" w:rsidP="00547A72">
      <w:pPr>
        <w:spacing w:line="360" w:lineRule="auto"/>
        <w:jc w:val="both"/>
        <w:rPr>
          <w:rFonts w:ascii="Times New Roman" w:hAnsi="Times New Roman" w:cs="Times New Roman"/>
        </w:rPr>
      </w:pPr>
      <w:r w:rsidRPr="00147F4A">
        <w:rPr>
          <w:rFonts w:ascii="Times New Roman" w:hAnsi="Times New Roman" w:cs="Times New Roman"/>
        </w:rPr>
        <w:t>The collected data were analyzed using the Statistical Package for the Social Sciences (SPSS)</w:t>
      </w:r>
      <w:r w:rsidR="00AE24F5" w:rsidRPr="00147F4A">
        <w:rPr>
          <w:rFonts w:ascii="Times New Roman" w:hAnsi="Times New Roman" w:cs="Times New Roman"/>
        </w:rPr>
        <w:t xml:space="preserve"> Version 23. Two levels of analysis were employed</w:t>
      </w:r>
      <w:r w:rsidRPr="00147F4A">
        <w:rPr>
          <w:rFonts w:ascii="Times New Roman" w:hAnsi="Times New Roman" w:cs="Times New Roman"/>
        </w:rPr>
        <w:t xml:space="preserve">: descriptive </w:t>
      </w:r>
      <w:r w:rsidR="00AE24F5" w:rsidRPr="00147F4A">
        <w:rPr>
          <w:rFonts w:ascii="Times New Roman" w:hAnsi="Times New Roman" w:cs="Times New Roman"/>
        </w:rPr>
        <w:t xml:space="preserve">and inferential statistics. Descriptive statistics were used to </w:t>
      </w:r>
      <w:proofErr w:type="spellStart"/>
      <w:r w:rsidR="00AE24F5" w:rsidRPr="00147F4A">
        <w:rPr>
          <w:rFonts w:ascii="Times New Roman" w:hAnsi="Times New Roman" w:cs="Times New Roman"/>
        </w:rPr>
        <w:t>summarise</w:t>
      </w:r>
      <w:proofErr w:type="spellEnd"/>
      <w:r w:rsidR="00AE24F5" w:rsidRPr="00147F4A">
        <w:rPr>
          <w:rFonts w:ascii="Times New Roman" w:hAnsi="Times New Roman" w:cs="Times New Roman"/>
        </w:rPr>
        <w:t xml:space="preserve"> data through frequencies, percentages, and mean scores. These were used to describe respondents’ demographic characteristics and KAP variables.</w:t>
      </w:r>
    </w:p>
    <w:p w:rsidR="00F95B89" w:rsidRDefault="00AE24F5" w:rsidP="00F95B89">
      <w:pPr>
        <w:spacing w:line="360" w:lineRule="auto"/>
        <w:jc w:val="both"/>
        <w:rPr>
          <w:rFonts w:ascii="Times New Roman" w:hAnsi="Times New Roman" w:cs="Times New Roman"/>
        </w:rPr>
      </w:pPr>
      <w:r w:rsidRPr="00147F4A">
        <w:rPr>
          <w:rFonts w:ascii="Times New Roman" w:hAnsi="Times New Roman" w:cs="Times New Roman"/>
        </w:rPr>
        <w:lastRenderedPageBreak/>
        <w:t>Inferential statistics were used to test relationships between variables, specifically, the relationship between broadcast media exposure and KAP variables, and relationships among knowledge, attitude, and practices. Spearman’s rho correlation was used due to its suitability for ordinal data and non-parametric analysis.</w:t>
      </w:r>
    </w:p>
    <w:p w:rsidR="00147F4A" w:rsidRPr="00147F4A" w:rsidRDefault="00147F4A" w:rsidP="00F95B89">
      <w:pPr>
        <w:spacing w:line="360" w:lineRule="auto"/>
        <w:jc w:val="both"/>
        <w:rPr>
          <w:rFonts w:ascii="Times New Roman" w:hAnsi="Times New Roman" w:cs="Times New Roman"/>
          <w:b/>
          <w:bCs/>
        </w:rPr>
      </w:pPr>
      <w:r w:rsidRPr="00147F4A">
        <w:rPr>
          <w:rFonts w:ascii="Times New Roman" w:hAnsi="Times New Roman" w:cs="Times New Roman"/>
          <w:b/>
          <w:bCs/>
        </w:rPr>
        <w:t>Results and Discussion</w:t>
      </w:r>
    </w:p>
    <w:p w:rsidR="00FF7EC2" w:rsidRPr="00147F4A" w:rsidRDefault="00FF7EC2" w:rsidP="00F95B89">
      <w:pPr>
        <w:spacing w:line="360" w:lineRule="auto"/>
        <w:jc w:val="both"/>
        <w:rPr>
          <w:rFonts w:ascii="Times New Roman" w:hAnsi="Times New Roman" w:cs="Times New Roman"/>
        </w:rPr>
      </w:pPr>
      <w:r w:rsidRPr="00147F4A">
        <w:rPr>
          <w:rFonts w:ascii="Times New Roman" w:hAnsi="Times New Roman"/>
          <w:b/>
        </w:rPr>
        <w:t>Demographic Data Presentation</w:t>
      </w:r>
    </w:p>
    <w:p w:rsidR="00FF7EC2" w:rsidRPr="00147F4A" w:rsidRDefault="00FF7EC2" w:rsidP="00547A72">
      <w:pPr>
        <w:spacing w:before="300" w:after="100" w:line="360" w:lineRule="auto"/>
        <w:jc w:val="both"/>
        <w:rPr>
          <w:rFonts w:ascii="Times New Roman" w:hAnsi="Times New Roman"/>
        </w:rPr>
      </w:pPr>
      <w:r w:rsidRPr="00147F4A">
        <w:rPr>
          <w:rFonts w:ascii="Times New Roman" w:eastAsia="Arial" w:hAnsi="Times New Roman"/>
          <w:b/>
          <w:bCs/>
          <w:color w:val="1A1A2E"/>
        </w:rPr>
        <w:t>Table 1: Respondents' State of Residence</w:t>
      </w:r>
    </w:p>
    <w:tbl>
      <w:tblPr>
        <w:tblStyle w:val="ListTable6Colorful"/>
        <w:tblW w:w="9360" w:type="dxa"/>
        <w:tblLook w:val="0000"/>
      </w:tblPr>
      <w:tblGrid>
        <w:gridCol w:w="1668"/>
        <w:gridCol w:w="1132"/>
        <w:gridCol w:w="1000"/>
        <w:gridCol w:w="1000"/>
        <w:gridCol w:w="1000"/>
        <w:gridCol w:w="1560"/>
        <w:gridCol w:w="2000"/>
      </w:tblGrid>
      <w:tr w:rsidR="00FF7EC2" w:rsidRPr="00147F4A" w:rsidTr="001A361B">
        <w:trPr>
          <w:cnfStyle w:val="000000100000"/>
        </w:trPr>
        <w:tc>
          <w:tcPr>
            <w:cnfStyle w:val="000010000000"/>
            <w:tcW w:w="1668" w:type="dxa"/>
            <w:shd w:val="clear" w:color="auto" w:fill="auto"/>
          </w:tcPr>
          <w:p w:rsidR="00FF7EC2" w:rsidRPr="00147F4A" w:rsidRDefault="00FF7EC2" w:rsidP="00972294">
            <w:pPr>
              <w:jc w:val="both"/>
              <w:rPr>
                <w:rFonts w:ascii="Times New Roman" w:hAnsi="Times New Roman"/>
              </w:rPr>
            </w:pPr>
          </w:p>
        </w:tc>
        <w:tc>
          <w:tcPr>
            <w:tcW w:w="2132" w:type="dxa"/>
            <w:gridSpan w:val="2"/>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b/>
                <w:bCs/>
              </w:rPr>
              <w:t>Rural</w:t>
            </w:r>
          </w:p>
        </w:tc>
        <w:tc>
          <w:tcPr>
            <w:cnfStyle w:val="000010000000"/>
            <w:tcW w:w="2000" w:type="dxa"/>
            <w:gridSpan w:val="2"/>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b/>
                <w:bCs/>
              </w:rPr>
              <w:t>Urban</w:t>
            </w:r>
          </w:p>
        </w:tc>
        <w:tc>
          <w:tcPr>
            <w:tcW w:w="1560" w:type="dxa"/>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b/>
                <w:bCs/>
              </w:rPr>
              <w:t>Total</w:t>
            </w:r>
          </w:p>
        </w:tc>
        <w:tc>
          <w:tcPr>
            <w:cnfStyle w:val="000010000000"/>
            <w:tcW w:w="2000" w:type="dxa"/>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b/>
                <w:bCs/>
              </w:rPr>
              <w:t>Cumulative %</w:t>
            </w:r>
          </w:p>
        </w:tc>
      </w:tr>
      <w:tr w:rsidR="00FF7EC2" w:rsidRPr="00147F4A" w:rsidTr="001A361B">
        <w:tc>
          <w:tcPr>
            <w:cnfStyle w:val="000010000000"/>
            <w:tcW w:w="1668" w:type="dxa"/>
            <w:tcBorders>
              <w:bottom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b/>
                <w:bCs/>
              </w:rPr>
              <w:t>State</w:t>
            </w:r>
          </w:p>
        </w:tc>
        <w:tc>
          <w:tcPr>
            <w:tcW w:w="1132" w:type="dxa"/>
            <w:tcBorders>
              <w:bottom w:val="single" w:sz="4" w:space="0" w:color="000000"/>
            </w:tcBorders>
          </w:tcPr>
          <w:p w:rsidR="00FF7EC2" w:rsidRPr="00147F4A" w:rsidRDefault="00FF7EC2" w:rsidP="00972294">
            <w:pPr>
              <w:jc w:val="both"/>
              <w:cnfStyle w:val="000000000000"/>
              <w:rPr>
                <w:rFonts w:ascii="Times New Roman" w:hAnsi="Times New Roman"/>
              </w:rPr>
            </w:pPr>
            <w:r w:rsidRPr="00147F4A">
              <w:rPr>
                <w:rFonts w:ascii="Times New Roman" w:eastAsia="Arial" w:hAnsi="Times New Roman"/>
                <w:b/>
                <w:bCs/>
              </w:rPr>
              <w:t>F</w:t>
            </w:r>
          </w:p>
        </w:tc>
        <w:tc>
          <w:tcPr>
            <w:cnfStyle w:val="000010000000"/>
            <w:tcW w:w="1000" w:type="dxa"/>
            <w:tcBorders>
              <w:bottom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b/>
                <w:bCs/>
              </w:rPr>
              <w:t>%</w:t>
            </w:r>
          </w:p>
        </w:tc>
        <w:tc>
          <w:tcPr>
            <w:tcW w:w="1000" w:type="dxa"/>
            <w:tcBorders>
              <w:bottom w:val="single" w:sz="4" w:space="0" w:color="000000"/>
            </w:tcBorders>
          </w:tcPr>
          <w:p w:rsidR="00FF7EC2" w:rsidRPr="00147F4A" w:rsidRDefault="001A361B" w:rsidP="00972294">
            <w:pPr>
              <w:jc w:val="both"/>
              <w:cnfStyle w:val="000000000000"/>
              <w:rPr>
                <w:rFonts w:ascii="Times New Roman" w:hAnsi="Times New Roman"/>
              </w:rPr>
            </w:pPr>
            <w:r w:rsidRPr="00147F4A">
              <w:rPr>
                <w:rFonts w:ascii="Times New Roman" w:hAnsi="Times New Roman"/>
              </w:rPr>
              <w:t>F</w:t>
            </w:r>
          </w:p>
        </w:tc>
        <w:tc>
          <w:tcPr>
            <w:cnfStyle w:val="000010000000"/>
            <w:tcW w:w="1000" w:type="dxa"/>
            <w:tcBorders>
              <w:bottom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b/>
                <w:bCs/>
              </w:rPr>
              <w:t>%</w:t>
            </w:r>
          </w:p>
        </w:tc>
        <w:tc>
          <w:tcPr>
            <w:tcW w:w="1560" w:type="dxa"/>
            <w:tcBorders>
              <w:bottom w:val="single" w:sz="4" w:space="0" w:color="000000"/>
            </w:tcBorders>
          </w:tcPr>
          <w:p w:rsidR="00FF7EC2" w:rsidRPr="00147F4A" w:rsidRDefault="00FF7EC2" w:rsidP="00972294">
            <w:pPr>
              <w:jc w:val="both"/>
              <w:cnfStyle w:val="000000000000"/>
              <w:rPr>
                <w:rFonts w:ascii="Times New Roman" w:hAnsi="Times New Roman"/>
              </w:rPr>
            </w:pPr>
          </w:p>
        </w:tc>
        <w:tc>
          <w:tcPr>
            <w:cnfStyle w:val="000010000000"/>
            <w:tcW w:w="2000" w:type="dxa"/>
            <w:tcBorders>
              <w:bottom w:val="single" w:sz="4" w:space="0" w:color="000000"/>
            </w:tcBorders>
            <w:shd w:val="clear" w:color="auto" w:fill="auto"/>
          </w:tcPr>
          <w:p w:rsidR="00FF7EC2" w:rsidRPr="00147F4A" w:rsidRDefault="00FF7EC2" w:rsidP="00972294">
            <w:pPr>
              <w:jc w:val="both"/>
              <w:rPr>
                <w:rFonts w:ascii="Times New Roman" w:hAnsi="Times New Roman"/>
              </w:rPr>
            </w:pPr>
          </w:p>
        </w:tc>
      </w:tr>
      <w:tr w:rsidR="00FF7EC2" w:rsidRPr="00147F4A" w:rsidTr="001A361B">
        <w:trPr>
          <w:cnfStyle w:val="000000100000"/>
        </w:trPr>
        <w:tc>
          <w:tcPr>
            <w:cnfStyle w:val="000010000000"/>
            <w:tcW w:w="1668" w:type="dxa"/>
            <w:tcBorders>
              <w:top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Anambra</w:t>
            </w:r>
          </w:p>
        </w:tc>
        <w:tc>
          <w:tcPr>
            <w:tcW w:w="1132" w:type="dxa"/>
            <w:tcBorders>
              <w:top w:val="single" w:sz="4" w:space="0" w:color="000000"/>
            </w:tcBorders>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rPr>
              <w:t>66</w:t>
            </w:r>
          </w:p>
        </w:tc>
        <w:tc>
          <w:tcPr>
            <w:cnfStyle w:val="000010000000"/>
            <w:tcW w:w="1000" w:type="dxa"/>
            <w:tcBorders>
              <w:top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38.60</w:t>
            </w:r>
          </w:p>
        </w:tc>
        <w:tc>
          <w:tcPr>
            <w:tcW w:w="1000" w:type="dxa"/>
            <w:tcBorders>
              <w:top w:val="single" w:sz="4" w:space="0" w:color="000000"/>
            </w:tcBorders>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rPr>
              <w:t>105</w:t>
            </w:r>
          </w:p>
        </w:tc>
        <w:tc>
          <w:tcPr>
            <w:cnfStyle w:val="000010000000"/>
            <w:tcW w:w="1000" w:type="dxa"/>
            <w:tcBorders>
              <w:top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61.40</w:t>
            </w:r>
          </w:p>
        </w:tc>
        <w:tc>
          <w:tcPr>
            <w:tcW w:w="1560" w:type="dxa"/>
            <w:tcBorders>
              <w:top w:val="single" w:sz="4" w:space="0" w:color="000000"/>
            </w:tcBorders>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rPr>
              <w:t>171</w:t>
            </w:r>
          </w:p>
        </w:tc>
        <w:tc>
          <w:tcPr>
            <w:cnfStyle w:val="000010000000"/>
            <w:tcW w:w="2000" w:type="dxa"/>
            <w:tcBorders>
              <w:top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44.42</w:t>
            </w:r>
          </w:p>
        </w:tc>
      </w:tr>
      <w:tr w:rsidR="00FF7EC2" w:rsidRPr="00147F4A" w:rsidTr="001A361B">
        <w:tc>
          <w:tcPr>
            <w:cnfStyle w:val="000010000000"/>
            <w:tcW w:w="1668" w:type="dxa"/>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Enugu</w:t>
            </w:r>
          </w:p>
        </w:tc>
        <w:tc>
          <w:tcPr>
            <w:tcW w:w="1132" w:type="dxa"/>
          </w:tcPr>
          <w:p w:rsidR="00FF7EC2" w:rsidRPr="00147F4A" w:rsidRDefault="00FF7EC2" w:rsidP="00972294">
            <w:pPr>
              <w:jc w:val="both"/>
              <w:cnfStyle w:val="000000000000"/>
              <w:rPr>
                <w:rFonts w:ascii="Times New Roman" w:hAnsi="Times New Roman"/>
              </w:rPr>
            </w:pPr>
            <w:r w:rsidRPr="00147F4A">
              <w:rPr>
                <w:rFonts w:ascii="Times New Roman" w:eastAsia="Arial" w:hAnsi="Times New Roman"/>
              </w:rPr>
              <w:t>58</w:t>
            </w:r>
          </w:p>
        </w:tc>
        <w:tc>
          <w:tcPr>
            <w:cnfStyle w:val="000010000000"/>
            <w:tcW w:w="1000" w:type="dxa"/>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41.43</w:t>
            </w:r>
          </w:p>
        </w:tc>
        <w:tc>
          <w:tcPr>
            <w:tcW w:w="1000" w:type="dxa"/>
          </w:tcPr>
          <w:p w:rsidR="00FF7EC2" w:rsidRPr="00147F4A" w:rsidRDefault="00FF7EC2" w:rsidP="00972294">
            <w:pPr>
              <w:jc w:val="both"/>
              <w:cnfStyle w:val="000000000000"/>
              <w:rPr>
                <w:rFonts w:ascii="Times New Roman" w:hAnsi="Times New Roman"/>
              </w:rPr>
            </w:pPr>
            <w:r w:rsidRPr="00147F4A">
              <w:rPr>
                <w:rFonts w:ascii="Times New Roman" w:eastAsia="Arial" w:hAnsi="Times New Roman"/>
              </w:rPr>
              <w:t>82</w:t>
            </w:r>
          </w:p>
        </w:tc>
        <w:tc>
          <w:tcPr>
            <w:cnfStyle w:val="000010000000"/>
            <w:tcW w:w="1000" w:type="dxa"/>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58.57</w:t>
            </w:r>
          </w:p>
        </w:tc>
        <w:tc>
          <w:tcPr>
            <w:tcW w:w="1560" w:type="dxa"/>
          </w:tcPr>
          <w:p w:rsidR="00FF7EC2" w:rsidRPr="00147F4A" w:rsidRDefault="00FF7EC2" w:rsidP="00972294">
            <w:pPr>
              <w:jc w:val="both"/>
              <w:cnfStyle w:val="000000000000"/>
              <w:rPr>
                <w:rFonts w:ascii="Times New Roman" w:hAnsi="Times New Roman"/>
              </w:rPr>
            </w:pPr>
            <w:r w:rsidRPr="00147F4A">
              <w:rPr>
                <w:rFonts w:ascii="Times New Roman" w:eastAsia="Arial" w:hAnsi="Times New Roman"/>
              </w:rPr>
              <w:t>140</w:t>
            </w:r>
          </w:p>
        </w:tc>
        <w:tc>
          <w:tcPr>
            <w:cnfStyle w:val="000010000000"/>
            <w:tcW w:w="2000" w:type="dxa"/>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36.36</w:t>
            </w:r>
          </w:p>
        </w:tc>
      </w:tr>
      <w:tr w:rsidR="00FF7EC2" w:rsidRPr="00147F4A" w:rsidTr="001818DA">
        <w:trPr>
          <w:cnfStyle w:val="000000100000"/>
        </w:trPr>
        <w:tc>
          <w:tcPr>
            <w:cnfStyle w:val="000010000000"/>
            <w:tcW w:w="1668" w:type="dxa"/>
            <w:tcBorders>
              <w:bottom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Ebonyi</w:t>
            </w:r>
          </w:p>
        </w:tc>
        <w:tc>
          <w:tcPr>
            <w:tcW w:w="1132" w:type="dxa"/>
            <w:tcBorders>
              <w:bottom w:val="single" w:sz="4" w:space="0" w:color="000000"/>
            </w:tcBorders>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rPr>
              <w:t>24</w:t>
            </w:r>
          </w:p>
        </w:tc>
        <w:tc>
          <w:tcPr>
            <w:cnfStyle w:val="000010000000"/>
            <w:tcW w:w="1000" w:type="dxa"/>
            <w:tcBorders>
              <w:bottom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32.43</w:t>
            </w:r>
          </w:p>
        </w:tc>
        <w:tc>
          <w:tcPr>
            <w:tcW w:w="1000" w:type="dxa"/>
            <w:tcBorders>
              <w:bottom w:val="single" w:sz="4" w:space="0" w:color="000000"/>
            </w:tcBorders>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rPr>
              <w:t>50</w:t>
            </w:r>
          </w:p>
        </w:tc>
        <w:tc>
          <w:tcPr>
            <w:cnfStyle w:val="000010000000"/>
            <w:tcW w:w="1000" w:type="dxa"/>
            <w:tcBorders>
              <w:bottom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67.57</w:t>
            </w:r>
          </w:p>
        </w:tc>
        <w:tc>
          <w:tcPr>
            <w:tcW w:w="1560" w:type="dxa"/>
            <w:tcBorders>
              <w:bottom w:val="single" w:sz="4" w:space="0" w:color="000000"/>
            </w:tcBorders>
            <w:shd w:val="clear" w:color="auto" w:fill="auto"/>
          </w:tcPr>
          <w:p w:rsidR="00FF7EC2" w:rsidRPr="00147F4A" w:rsidRDefault="00FF7EC2" w:rsidP="00972294">
            <w:pPr>
              <w:jc w:val="both"/>
              <w:cnfStyle w:val="000000100000"/>
              <w:rPr>
                <w:rFonts w:ascii="Times New Roman" w:hAnsi="Times New Roman"/>
              </w:rPr>
            </w:pPr>
            <w:r w:rsidRPr="00147F4A">
              <w:rPr>
                <w:rFonts w:ascii="Times New Roman" w:eastAsia="Arial" w:hAnsi="Times New Roman"/>
              </w:rPr>
              <w:t>74</w:t>
            </w:r>
          </w:p>
        </w:tc>
        <w:tc>
          <w:tcPr>
            <w:cnfStyle w:val="000010000000"/>
            <w:tcW w:w="2000" w:type="dxa"/>
            <w:tcBorders>
              <w:bottom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19.22</w:t>
            </w:r>
          </w:p>
        </w:tc>
      </w:tr>
      <w:tr w:rsidR="00FF7EC2" w:rsidRPr="00147F4A" w:rsidTr="001818DA">
        <w:tc>
          <w:tcPr>
            <w:cnfStyle w:val="000010000000"/>
            <w:tcW w:w="1668" w:type="dxa"/>
            <w:tcBorders>
              <w:top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Total</w:t>
            </w:r>
          </w:p>
        </w:tc>
        <w:tc>
          <w:tcPr>
            <w:tcW w:w="1132" w:type="dxa"/>
            <w:tcBorders>
              <w:top w:val="single" w:sz="4" w:space="0" w:color="000000"/>
            </w:tcBorders>
          </w:tcPr>
          <w:p w:rsidR="00FF7EC2" w:rsidRPr="00147F4A" w:rsidRDefault="00FF7EC2" w:rsidP="00972294">
            <w:pPr>
              <w:jc w:val="both"/>
              <w:cnfStyle w:val="000000000000"/>
              <w:rPr>
                <w:rFonts w:ascii="Times New Roman" w:hAnsi="Times New Roman"/>
              </w:rPr>
            </w:pPr>
            <w:r w:rsidRPr="00147F4A">
              <w:rPr>
                <w:rFonts w:ascii="Times New Roman" w:eastAsia="Arial" w:hAnsi="Times New Roman"/>
              </w:rPr>
              <w:t>148</w:t>
            </w:r>
          </w:p>
        </w:tc>
        <w:tc>
          <w:tcPr>
            <w:cnfStyle w:val="000010000000"/>
            <w:tcW w:w="1000" w:type="dxa"/>
            <w:tcBorders>
              <w:top w:val="single" w:sz="4" w:space="0" w:color="000000"/>
            </w:tcBorders>
            <w:shd w:val="clear" w:color="auto" w:fill="auto"/>
          </w:tcPr>
          <w:p w:rsidR="00FF7EC2" w:rsidRPr="00147F4A" w:rsidRDefault="00FF7EC2" w:rsidP="00972294">
            <w:pPr>
              <w:jc w:val="both"/>
              <w:rPr>
                <w:rFonts w:ascii="Times New Roman" w:hAnsi="Times New Roman"/>
              </w:rPr>
            </w:pPr>
          </w:p>
        </w:tc>
        <w:tc>
          <w:tcPr>
            <w:tcW w:w="1000" w:type="dxa"/>
            <w:tcBorders>
              <w:top w:val="single" w:sz="4" w:space="0" w:color="000000"/>
            </w:tcBorders>
          </w:tcPr>
          <w:p w:rsidR="00FF7EC2" w:rsidRPr="00147F4A" w:rsidRDefault="00FF7EC2" w:rsidP="00972294">
            <w:pPr>
              <w:jc w:val="both"/>
              <w:cnfStyle w:val="000000000000"/>
              <w:rPr>
                <w:rFonts w:ascii="Times New Roman" w:hAnsi="Times New Roman"/>
              </w:rPr>
            </w:pPr>
            <w:r w:rsidRPr="00147F4A">
              <w:rPr>
                <w:rFonts w:ascii="Times New Roman" w:eastAsia="Arial" w:hAnsi="Times New Roman"/>
              </w:rPr>
              <w:t>237</w:t>
            </w:r>
          </w:p>
        </w:tc>
        <w:tc>
          <w:tcPr>
            <w:cnfStyle w:val="000010000000"/>
            <w:tcW w:w="1000" w:type="dxa"/>
            <w:tcBorders>
              <w:top w:val="single" w:sz="4" w:space="0" w:color="000000"/>
            </w:tcBorders>
            <w:shd w:val="clear" w:color="auto" w:fill="auto"/>
          </w:tcPr>
          <w:p w:rsidR="00FF7EC2" w:rsidRPr="00147F4A" w:rsidRDefault="00FF7EC2" w:rsidP="00972294">
            <w:pPr>
              <w:jc w:val="both"/>
              <w:rPr>
                <w:rFonts w:ascii="Times New Roman" w:hAnsi="Times New Roman"/>
              </w:rPr>
            </w:pPr>
          </w:p>
        </w:tc>
        <w:tc>
          <w:tcPr>
            <w:tcW w:w="1560" w:type="dxa"/>
            <w:tcBorders>
              <w:top w:val="single" w:sz="4" w:space="0" w:color="000000"/>
            </w:tcBorders>
          </w:tcPr>
          <w:p w:rsidR="00FF7EC2" w:rsidRPr="00147F4A" w:rsidRDefault="00FF7EC2" w:rsidP="00972294">
            <w:pPr>
              <w:jc w:val="both"/>
              <w:cnfStyle w:val="000000000000"/>
              <w:rPr>
                <w:rFonts w:ascii="Times New Roman" w:hAnsi="Times New Roman"/>
              </w:rPr>
            </w:pPr>
            <w:r w:rsidRPr="00147F4A">
              <w:rPr>
                <w:rFonts w:ascii="Times New Roman" w:eastAsia="Arial" w:hAnsi="Times New Roman"/>
              </w:rPr>
              <w:t>385</w:t>
            </w:r>
          </w:p>
        </w:tc>
        <w:tc>
          <w:tcPr>
            <w:cnfStyle w:val="000010000000"/>
            <w:tcW w:w="2000" w:type="dxa"/>
            <w:tcBorders>
              <w:top w:val="single" w:sz="4" w:space="0" w:color="000000"/>
            </w:tcBorders>
            <w:shd w:val="clear" w:color="auto" w:fill="auto"/>
          </w:tcPr>
          <w:p w:rsidR="00FF7EC2" w:rsidRPr="00147F4A" w:rsidRDefault="00FF7EC2" w:rsidP="00972294">
            <w:pPr>
              <w:jc w:val="both"/>
              <w:rPr>
                <w:rFonts w:ascii="Times New Roman" w:hAnsi="Times New Roman"/>
              </w:rPr>
            </w:pPr>
            <w:r w:rsidRPr="00147F4A">
              <w:rPr>
                <w:rFonts w:ascii="Times New Roman" w:eastAsia="Arial" w:hAnsi="Times New Roman"/>
              </w:rPr>
              <w:t>100.00</w:t>
            </w:r>
          </w:p>
        </w:tc>
      </w:tr>
    </w:tbl>
    <w:p w:rsidR="00FF7EC2" w:rsidRPr="00147F4A" w:rsidRDefault="00FF7EC2" w:rsidP="00547A72">
      <w:pPr>
        <w:spacing w:before="80" w:line="360" w:lineRule="auto"/>
        <w:jc w:val="both"/>
        <w:rPr>
          <w:rFonts w:ascii="Times New Roman" w:hAnsi="Times New Roman"/>
        </w:rPr>
      </w:pPr>
      <w:r w:rsidRPr="00147F4A">
        <w:rPr>
          <w:rFonts w:ascii="Times New Roman" w:eastAsia="Arial" w:hAnsi="Times New Roman"/>
          <w:i/>
          <w:iCs/>
          <w:color w:val="555555"/>
        </w:rPr>
        <w:t>Source: Survey Data 2025</w:t>
      </w:r>
    </w:p>
    <w:p w:rsidR="00FF7EC2" w:rsidRPr="00147F4A" w:rsidRDefault="00FF7EC2" w:rsidP="001818DA">
      <w:pPr>
        <w:spacing w:line="360" w:lineRule="auto"/>
        <w:ind w:firstLine="720"/>
        <w:jc w:val="both"/>
        <w:rPr>
          <w:rFonts w:ascii="Times New Roman" w:hAnsi="Times New Roman"/>
        </w:rPr>
      </w:pPr>
      <w:r w:rsidRPr="00147F4A">
        <w:rPr>
          <w:rFonts w:ascii="Times New Roman" w:hAnsi="Times New Roman"/>
        </w:rPr>
        <w:t xml:space="preserve">Table 4.1 presents the distribution of 385 respondents across Anambra, Enugu, and Ebonyi States, further disaggregated by rural or urban residence. Among the three states, Anambra recorded the highest number of respondents (171, representing 44.42% of the sample), followed closely in share by Enugu (140, 36.36%), while Ebonyi had the smallest contribution (74, 19.22%). When examining the rural-urban split, urban residents (237) substantially outnumbered their rural counterparts (148) across all states combined. This urban skew is methodologically significant because urban populations typically enjoy greater access to broadcast media infrastructure, including radio and television signals, internet-enabled devices, and consistent electricity. Given that the study focuses on the effectiveness of broadcast messages in promoting cervical cancer vaccination, the predominance of urban respondents implies that the findings may reflect conditions of relatively higher media exposure. Researchers should therefore be cautious when </w:t>
      </w:r>
      <w:proofErr w:type="spellStart"/>
      <w:r w:rsidRPr="00147F4A">
        <w:rPr>
          <w:rFonts w:ascii="Times New Roman" w:hAnsi="Times New Roman"/>
        </w:rPr>
        <w:t>generalising</w:t>
      </w:r>
      <w:proofErr w:type="spellEnd"/>
      <w:r w:rsidRPr="00147F4A">
        <w:rPr>
          <w:rFonts w:ascii="Times New Roman" w:hAnsi="Times New Roman"/>
        </w:rPr>
        <w:t xml:space="preserve"> these results to entirely rural populations, who may face different barriers to accessing broadcast health information</w:t>
      </w:r>
    </w:p>
    <w:p w:rsidR="00FF7EC2" w:rsidRPr="00147F4A" w:rsidRDefault="00FF7EC2" w:rsidP="00547A72">
      <w:pPr>
        <w:spacing w:before="300" w:after="100" w:line="360" w:lineRule="auto"/>
        <w:jc w:val="both"/>
        <w:rPr>
          <w:rFonts w:ascii="Times New Roman" w:hAnsi="Times New Roman"/>
        </w:rPr>
      </w:pPr>
      <w:r w:rsidRPr="00147F4A">
        <w:rPr>
          <w:rFonts w:ascii="Times New Roman" w:eastAsia="Arial" w:hAnsi="Times New Roman"/>
          <w:b/>
          <w:bCs/>
          <w:color w:val="1A1A2E"/>
        </w:rPr>
        <w:t>Table 2: Respondents' Age Distribution</w:t>
      </w:r>
    </w:p>
    <w:tbl>
      <w:tblPr>
        <w:tblStyle w:val="ListTable6Colorful"/>
        <w:tblW w:w="9360" w:type="dxa"/>
        <w:tblLook w:val="0000"/>
      </w:tblPr>
      <w:tblGrid>
        <w:gridCol w:w="2500"/>
        <w:gridCol w:w="1700"/>
        <w:gridCol w:w="1600"/>
        <w:gridCol w:w="1780"/>
        <w:gridCol w:w="1780"/>
      </w:tblGrid>
      <w:tr w:rsidR="00FF7EC2" w:rsidRPr="00147F4A" w:rsidTr="001818DA">
        <w:trPr>
          <w:cnfStyle w:val="000000100000"/>
        </w:trPr>
        <w:tc>
          <w:tcPr>
            <w:cnfStyle w:val="000010000000"/>
            <w:tcW w:w="2500" w:type="dxa"/>
            <w:tcBorders>
              <w:bottom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b/>
                <w:bCs/>
              </w:rPr>
              <w:t>Age Group</w:t>
            </w:r>
          </w:p>
        </w:tc>
        <w:tc>
          <w:tcPr>
            <w:tcW w:w="1700" w:type="dxa"/>
            <w:tcBorders>
              <w:bottom w:val="single" w:sz="4" w:space="0" w:color="000000"/>
            </w:tcBorders>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b/>
                <w:bCs/>
              </w:rPr>
              <w:t>Frequency</w:t>
            </w:r>
          </w:p>
        </w:tc>
        <w:tc>
          <w:tcPr>
            <w:cnfStyle w:val="000010000000"/>
            <w:tcW w:w="1600" w:type="dxa"/>
            <w:tcBorders>
              <w:bottom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b/>
                <w:bCs/>
              </w:rPr>
              <w:t>Percent</w:t>
            </w:r>
          </w:p>
        </w:tc>
        <w:tc>
          <w:tcPr>
            <w:tcW w:w="1780" w:type="dxa"/>
            <w:tcBorders>
              <w:bottom w:val="single" w:sz="4" w:space="0" w:color="000000"/>
            </w:tcBorders>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b/>
                <w:bCs/>
              </w:rPr>
              <w:t>Valid %</w:t>
            </w:r>
          </w:p>
        </w:tc>
        <w:tc>
          <w:tcPr>
            <w:cnfStyle w:val="000010000000"/>
            <w:tcW w:w="1780" w:type="dxa"/>
            <w:tcBorders>
              <w:bottom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b/>
                <w:bCs/>
              </w:rPr>
              <w:t>Cumulative %</w:t>
            </w:r>
          </w:p>
        </w:tc>
      </w:tr>
      <w:tr w:rsidR="00FF7EC2" w:rsidRPr="00147F4A" w:rsidTr="001818DA">
        <w:tc>
          <w:tcPr>
            <w:cnfStyle w:val="000010000000"/>
            <w:tcW w:w="2500" w:type="dxa"/>
            <w:tcBorders>
              <w:top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18–25 Years</w:t>
            </w:r>
          </w:p>
        </w:tc>
        <w:tc>
          <w:tcPr>
            <w:tcW w:w="1700" w:type="dxa"/>
            <w:tcBorders>
              <w:top w:val="single" w:sz="4" w:space="0" w:color="000000"/>
            </w:tcBorders>
          </w:tcPr>
          <w:p w:rsidR="00FF7EC2" w:rsidRPr="00147F4A" w:rsidRDefault="00FF7EC2" w:rsidP="00547A72">
            <w:pPr>
              <w:spacing w:line="360" w:lineRule="auto"/>
              <w:jc w:val="both"/>
              <w:cnfStyle w:val="000000000000"/>
              <w:rPr>
                <w:rFonts w:ascii="Times New Roman" w:hAnsi="Times New Roman"/>
              </w:rPr>
            </w:pPr>
            <w:r w:rsidRPr="00147F4A">
              <w:rPr>
                <w:rFonts w:ascii="Times New Roman" w:eastAsia="Arial" w:hAnsi="Times New Roman"/>
              </w:rPr>
              <w:t>11</w:t>
            </w:r>
          </w:p>
        </w:tc>
        <w:tc>
          <w:tcPr>
            <w:cnfStyle w:val="000010000000"/>
            <w:tcW w:w="1600" w:type="dxa"/>
            <w:tcBorders>
              <w:top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2.86</w:t>
            </w:r>
          </w:p>
        </w:tc>
        <w:tc>
          <w:tcPr>
            <w:tcW w:w="1780" w:type="dxa"/>
            <w:tcBorders>
              <w:top w:val="single" w:sz="4" w:space="0" w:color="000000"/>
            </w:tcBorders>
          </w:tcPr>
          <w:p w:rsidR="00FF7EC2" w:rsidRPr="00147F4A" w:rsidRDefault="00FF7EC2" w:rsidP="00547A72">
            <w:pPr>
              <w:spacing w:line="360" w:lineRule="auto"/>
              <w:jc w:val="both"/>
              <w:cnfStyle w:val="000000000000"/>
              <w:rPr>
                <w:rFonts w:ascii="Times New Roman" w:hAnsi="Times New Roman"/>
              </w:rPr>
            </w:pPr>
            <w:r w:rsidRPr="00147F4A">
              <w:rPr>
                <w:rFonts w:ascii="Times New Roman" w:eastAsia="Arial" w:hAnsi="Times New Roman"/>
              </w:rPr>
              <w:t>2.86</w:t>
            </w:r>
          </w:p>
        </w:tc>
        <w:tc>
          <w:tcPr>
            <w:cnfStyle w:val="000010000000"/>
            <w:tcW w:w="1780" w:type="dxa"/>
            <w:tcBorders>
              <w:top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2.86</w:t>
            </w:r>
          </w:p>
        </w:tc>
      </w:tr>
      <w:tr w:rsidR="00FF7EC2" w:rsidRPr="00147F4A" w:rsidTr="001A361B">
        <w:trPr>
          <w:cnfStyle w:val="000000100000"/>
        </w:trPr>
        <w:tc>
          <w:tcPr>
            <w:cnfStyle w:val="000010000000"/>
            <w:tcW w:w="250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26–35 Years</w:t>
            </w:r>
          </w:p>
        </w:tc>
        <w:tc>
          <w:tcPr>
            <w:tcW w:w="1700" w:type="dxa"/>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rPr>
              <w:t>24</w:t>
            </w:r>
          </w:p>
        </w:tc>
        <w:tc>
          <w:tcPr>
            <w:cnfStyle w:val="000010000000"/>
            <w:tcW w:w="160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6.23</w:t>
            </w:r>
          </w:p>
        </w:tc>
        <w:tc>
          <w:tcPr>
            <w:tcW w:w="1780" w:type="dxa"/>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rPr>
              <w:t>6.23</w:t>
            </w:r>
          </w:p>
        </w:tc>
        <w:tc>
          <w:tcPr>
            <w:cnfStyle w:val="000010000000"/>
            <w:tcW w:w="178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9.09</w:t>
            </w:r>
          </w:p>
        </w:tc>
      </w:tr>
      <w:tr w:rsidR="00FF7EC2" w:rsidRPr="00147F4A" w:rsidTr="001A361B">
        <w:tc>
          <w:tcPr>
            <w:cnfStyle w:val="000010000000"/>
            <w:tcW w:w="250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36–45 Years</w:t>
            </w:r>
          </w:p>
        </w:tc>
        <w:tc>
          <w:tcPr>
            <w:tcW w:w="1700" w:type="dxa"/>
          </w:tcPr>
          <w:p w:rsidR="00FF7EC2" w:rsidRPr="00147F4A" w:rsidRDefault="00FF7EC2" w:rsidP="00547A72">
            <w:pPr>
              <w:spacing w:line="360" w:lineRule="auto"/>
              <w:jc w:val="both"/>
              <w:cnfStyle w:val="000000000000"/>
              <w:rPr>
                <w:rFonts w:ascii="Times New Roman" w:hAnsi="Times New Roman"/>
              </w:rPr>
            </w:pPr>
            <w:r w:rsidRPr="00147F4A">
              <w:rPr>
                <w:rFonts w:ascii="Times New Roman" w:eastAsia="Arial" w:hAnsi="Times New Roman"/>
              </w:rPr>
              <w:t>63</w:t>
            </w:r>
          </w:p>
        </w:tc>
        <w:tc>
          <w:tcPr>
            <w:cnfStyle w:val="000010000000"/>
            <w:tcW w:w="160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16.36</w:t>
            </w:r>
          </w:p>
        </w:tc>
        <w:tc>
          <w:tcPr>
            <w:tcW w:w="1780" w:type="dxa"/>
          </w:tcPr>
          <w:p w:rsidR="00FF7EC2" w:rsidRPr="00147F4A" w:rsidRDefault="00FF7EC2" w:rsidP="00547A72">
            <w:pPr>
              <w:spacing w:line="360" w:lineRule="auto"/>
              <w:jc w:val="both"/>
              <w:cnfStyle w:val="000000000000"/>
              <w:rPr>
                <w:rFonts w:ascii="Times New Roman" w:hAnsi="Times New Roman"/>
              </w:rPr>
            </w:pPr>
            <w:r w:rsidRPr="00147F4A">
              <w:rPr>
                <w:rFonts w:ascii="Times New Roman" w:eastAsia="Arial" w:hAnsi="Times New Roman"/>
              </w:rPr>
              <w:t>16.36</w:t>
            </w:r>
          </w:p>
        </w:tc>
        <w:tc>
          <w:tcPr>
            <w:cnfStyle w:val="000010000000"/>
            <w:tcW w:w="178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25.45</w:t>
            </w:r>
          </w:p>
        </w:tc>
      </w:tr>
      <w:tr w:rsidR="00FF7EC2" w:rsidRPr="00147F4A" w:rsidTr="001A361B">
        <w:trPr>
          <w:cnfStyle w:val="000000100000"/>
        </w:trPr>
        <w:tc>
          <w:tcPr>
            <w:cnfStyle w:val="000010000000"/>
            <w:tcW w:w="250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46–55 Years</w:t>
            </w:r>
          </w:p>
        </w:tc>
        <w:tc>
          <w:tcPr>
            <w:tcW w:w="1700" w:type="dxa"/>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rPr>
              <w:t>98</w:t>
            </w:r>
          </w:p>
        </w:tc>
        <w:tc>
          <w:tcPr>
            <w:cnfStyle w:val="000010000000"/>
            <w:tcW w:w="160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25.46</w:t>
            </w:r>
          </w:p>
        </w:tc>
        <w:tc>
          <w:tcPr>
            <w:tcW w:w="1780" w:type="dxa"/>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rPr>
              <w:t>25.46</w:t>
            </w:r>
          </w:p>
        </w:tc>
        <w:tc>
          <w:tcPr>
            <w:cnfStyle w:val="000010000000"/>
            <w:tcW w:w="1780" w:type="dxa"/>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50.91</w:t>
            </w:r>
          </w:p>
        </w:tc>
      </w:tr>
      <w:tr w:rsidR="00FF7EC2" w:rsidRPr="00147F4A" w:rsidTr="001818DA">
        <w:tc>
          <w:tcPr>
            <w:cnfStyle w:val="000010000000"/>
            <w:tcW w:w="2500" w:type="dxa"/>
            <w:tcBorders>
              <w:bottom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lastRenderedPageBreak/>
              <w:t>56 and above</w:t>
            </w:r>
          </w:p>
        </w:tc>
        <w:tc>
          <w:tcPr>
            <w:tcW w:w="1700" w:type="dxa"/>
            <w:tcBorders>
              <w:bottom w:val="single" w:sz="4" w:space="0" w:color="000000"/>
            </w:tcBorders>
          </w:tcPr>
          <w:p w:rsidR="00FF7EC2" w:rsidRPr="00147F4A" w:rsidRDefault="00FF7EC2" w:rsidP="00547A72">
            <w:pPr>
              <w:spacing w:line="360" w:lineRule="auto"/>
              <w:jc w:val="both"/>
              <w:cnfStyle w:val="000000000000"/>
              <w:rPr>
                <w:rFonts w:ascii="Times New Roman" w:hAnsi="Times New Roman"/>
              </w:rPr>
            </w:pPr>
            <w:r w:rsidRPr="00147F4A">
              <w:rPr>
                <w:rFonts w:ascii="Times New Roman" w:eastAsia="Arial" w:hAnsi="Times New Roman"/>
              </w:rPr>
              <w:t>189</w:t>
            </w:r>
          </w:p>
        </w:tc>
        <w:tc>
          <w:tcPr>
            <w:cnfStyle w:val="000010000000"/>
            <w:tcW w:w="1600" w:type="dxa"/>
            <w:tcBorders>
              <w:bottom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49.09</w:t>
            </w:r>
          </w:p>
        </w:tc>
        <w:tc>
          <w:tcPr>
            <w:tcW w:w="1780" w:type="dxa"/>
            <w:tcBorders>
              <w:bottom w:val="single" w:sz="4" w:space="0" w:color="000000"/>
            </w:tcBorders>
          </w:tcPr>
          <w:p w:rsidR="00FF7EC2" w:rsidRPr="00147F4A" w:rsidRDefault="00FF7EC2" w:rsidP="00547A72">
            <w:pPr>
              <w:spacing w:line="360" w:lineRule="auto"/>
              <w:jc w:val="both"/>
              <w:cnfStyle w:val="000000000000"/>
              <w:rPr>
                <w:rFonts w:ascii="Times New Roman" w:hAnsi="Times New Roman"/>
              </w:rPr>
            </w:pPr>
            <w:r w:rsidRPr="00147F4A">
              <w:rPr>
                <w:rFonts w:ascii="Times New Roman" w:eastAsia="Arial" w:hAnsi="Times New Roman"/>
              </w:rPr>
              <w:t>49.09</w:t>
            </w:r>
          </w:p>
        </w:tc>
        <w:tc>
          <w:tcPr>
            <w:cnfStyle w:val="000010000000"/>
            <w:tcW w:w="1780" w:type="dxa"/>
            <w:tcBorders>
              <w:bottom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100.00</w:t>
            </w:r>
          </w:p>
        </w:tc>
      </w:tr>
      <w:tr w:rsidR="00FF7EC2" w:rsidRPr="00147F4A" w:rsidTr="001818DA">
        <w:trPr>
          <w:cnfStyle w:val="000000100000"/>
        </w:trPr>
        <w:tc>
          <w:tcPr>
            <w:cnfStyle w:val="000010000000"/>
            <w:tcW w:w="2500" w:type="dxa"/>
            <w:tcBorders>
              <w:top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Total</w:t>
            </w:r>
          </w:p>
        </w:tc>
        <w:tc>
          <w:tcPr>
            <w:tcW w:w="1700" w:type="dxa"/>
            <w:tcBorders>
              <w:top w:val="single" w:sz="4" w:space="0" w:color="000000"/>
            </w:tcBorders>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rPr>
              <w:t>385</w:t>
            </w:r>
          </w:p>
        </w:tc>
        <w:tc>
          <w:tcPr>
            <w:cnfStyle w:val="000010000000"/>
            <w:tcW w:w="1600" w:type="dxa"/>
            <w:tcBorders>
              <w:top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r w:rsidRPr="00147F4A">
              <w:rPr>
                <w:rFonts w:ascii="Times New Roman" w:eastAsia="Arial" w:hAnsi="Times New Roman"/>
              </w:rPr>
              <w:t>100.00</w:t>
            </w:r>
          </w:p>
        </w:tc>
        <w:tc>
          <w:tcPr>
            <w:tcW w:w="1780" w:type="dxa"/>
            <w:tcBorders>
              <w:top w:val="single" w:sz="4" w:space="0" w:color="000000"/>
            </w:tcBorders>
            <w:shd w:val="clear" w:color="auto" w:fill="auto"/>
          </w:tcPr>
          <w:p w:rsidR="00FF7EC2" w:rsidRPr="00147F4A" w:rsidRDefault="00FF7EC2" w:rsidP="00547A72">
            <w:pPr>
              <w:spacing w:line="360" w:lineRule="auto"/>
              <w:jc w:val="both"/>
              <w:cnfStyle w:val="000000100000"/>
              <w:rPr>
                <w:rFonts w:ascii="Times New Roman" w:hAnsi="Times New Roman"/>
              </w:rPr>
            </w:pPr>
            <w:r w:rsidRPr="00147F4A">
              <w:rPr>
                <w:rFonts w:ascii="Times New Roman" w:eastAsia="Arial" w:hAnsi="Times New Roman"/>
              </w:rPr>
              <w:t>100.00</w:t>
            </w:r>
          </w:p>
        </w:tc>
        <w:tc>
          <w:tcPr>
            <w:cnfStyle w:val="000010000000"/>
            <w:tcW w:w="1780" w:type="dxa"/>
            <w:tcBorders>
              <w:top w:val="single" w:sz="4" w:space="0" w:color="000000"/>
            </w:tcBorders>
            <w:shd w:val="clear" w:color="auto" w:fill="auto"/>
          </w:tcPr>
          <w:p w:rsidR="00FF7EC2" w:rsidRPr="00147F4A" w:rsidRDefault="00FF7EC2" w:rsidP="00547A72">
            <w:pPr>
              <w:spacing w:line="360" w:lineRule="auto"/>
              <w:jc w:val="both"/>
              <w:rPr>
                <w:rFonts w:ascii="Times New Roman" w:hAnsi="Times New Roman"/>
              </w:rPr>
            </w:pPr>
          </w:p>
        </w:tc>
      </w:tr>
    </w:tbl>
    <w:p w:rsidR="00FF7EC2" w:rsidRPr="00147F4A" w:rsidRDefault="00FF7EC2" w:rsidP="00547A72">
      <w:pPr>
        <w:spacing w:before="80" w:line="360" w:lineRule="auto"/>
        <w:jc w:val="both"/>
        <w:rPr>
          <w:rFonts w:ascii="Times New Roman" w:hAnsi="Times New Roman"/>
        </w:rPr>
      </w:pPr>
      <w:r w:rsidRPr="00147F4A">
        <w:rPr>
          <w:rFonts w:ascii="Times New Roman" w:eastAsia="Arial" w:hAnsi="Times New Roman"/>
          <w:i/>
          <w:iCs/>
          <w:color w:val="555555"/>
        </w:rPr>
        <w:t>Source: Survey Data 2025</w:t>
      </w:r>
    </w:p>
    <w:p w:rsidR="00FF7EC2" w:rsidRPr="00147F4A" w:rsidRDefault="00FF7EC2" w:rsidP="00547A72">
      <w:pPr>
        <w:spacing w:line="360" w:lineRule="auto"/>
        <w:ind w:firstLine="720"/>
        <w:jc w:val="both"/>
        <w:rPr>
          <w:rFonts w:ascii="Times New Roman" w:hAnsi="Times New Roman"/>
        </w:rPr>
      </w:pPr>
      <w:r w:rsidRPr="00147F4A">
        <w:rPr>
          <w:rFonts w:ascii="Times New Roman" w:hAnsi="Times New Roman"/>
        </w:rPr>
        <w:t>The age distribution data reveal that the largest proportion of respondents (49.09%) were aged 56 years and above, making older women the dominant age category in the study. The second-largest group comprised those aged 46–55 years, accounting for 25.46% of the sample. In contrast, younger women in the 18–35 years bracket constituted only 9.09% of total respondents. This pronounced older skew is not a limitation per se; rather, it offers valuable insights for understanding attitudes and practices toward cervical cancer vaccination among mature women. In many African societies, older women often act as primary decision-makers within extended family structures, influencing health choices for daughters, granddaughters, and other younger female relatives. Consequently, the high representation of women aged 46 and above means the study effectively captures the views of key household influencers, which is highly relevant for designing broadcast messages that target not only vaccine-eligible girls but also their family gatekeepers.</w:t>
      </w:r>
    </w:p>
    <w:p w:rsidR="00AE24F5" w:rsidRPr="00147F4A" w:rsidRDefault="00AE24F5" w:rsidP="00547A72">
      <w:pPr>
        <w:spacing w:line="360" w:lineRule="auto"/>
        <w:rPr>
          <w:rFonts w:ascii="Times New Roman" w:hAnsi="Times New Roman" w:cs="Times New Roman"/>
          <w:b/>
        </w:rPr>
      </w:pPr>
      <w:r w:rsidRPr="00147F4A">
        <w:rPr>
          <w:rFonts w:ascii="Times New Roman" w:hAnsi="Times New Roman" w:cs="Times New Roman"/>
          <w:b/>
        </w:rPr>
        <w:t>Descriptive Statistics / Analysis</w:t>
      </w:r>
    </w:p>
    <w:p w:rsidR="00AE24F5" w:rsidRPr="00147F4A" w:rsidRDefault="00FF7EC2" w:rsidP="00547A72">
      <w:pPr>
        <w:spacing w:line="360" w:lineRule="auto"/>
        <w:rPr>
          <w:rFonts w:ascii="Times New Roman" w:hAnsi="Times New Roman" w:cs="Times New Roman"/>
          <w:b/>
        </w:rPr>
      </w:pPr>
      <w:r w:rsidRPr="00147F4A">
        <w:rPr>
          <w:rFonts w:ascii="Times New Roman" w:hAnsi="Times New Roman" w:cs="Times New Roman"/>
          <w:b/>
        </w:rPr>
        <w:t>Table 3</w:t>
      </w:r>
      <w:r w:rsidR="00AE24F5" w:rsidRPr="00147F4A">
        <w:rPr>
          <w:rFonts w:ascii="Times New Roman" w:hAnsi="Times New Roman" w:cs="Times New Roman"/>
          <w:b/>
        </w:rPr>
        <w:t>: Research Variable Outcomes</w:t>
      </w:r>
    </w:p>
    <w:tbl>
      <w:tblPr>
        <w:tblStyle w:val="ListTable6Colorful"/>
        <w:tblW w:w="9360" w:type="dxa"/>
        <w:tblLook w:val="0000"/>
      </w:tblPr>
      <w:tblGrid>
        <w:gridCol w:w="3437"/>
        <w:gridCol w:w="860"/>
        <w:gridCol w:w="1244"/>
        <w:gridCol w:w="1283"/>
        <w:gridCol w:w="1268"/>
        <w:gridCol w:w="1268"/>
      </w:tblGrid>
      <w:tr w:rsidR="00AE24F5" w:rsidRPr="00147F4A" w:rsidTr="001818DA">
        <w:trPr>
          <w:cnfStyle w:val="000000100000"/>
        </w:trPr>
        <w:tc>
          <w:tcPr>
            <w:cnfStyle w:val="000010000000"/>
            <w:tcW w:w="320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b/>
                <w:bCs/>
              </w:rPr>
              <w:t>Variable</w:t>
            </w:r>
          </w:p>
        </w:tc>
        <w:tc>
          <w:tcPr>
            <w:tcW w:w="800" w:type="dxa"/>
            <w:tcBorders>
              <w:bottom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N</w:t>
            </w:r>
          </w:p>
        </w:tc>
        <w:tc>
          <w:tcPr>
            <w:cnfStyle w:val="000010000000"/>
            <w:tcW w:w="100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b/>
                <w:bCs/>
              </w:rPr>
              <w:t>Minimum</w:t>
            </w:r>
          </w:p>
        </w:tc>
        <w:tc>
          <w:tcPr>
            <w:tcW w:w="1000" w:type="dxa"/>
            <w:tcBorders>
              <w:bottom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Maximum</w:t>
            </w:r>
          </w:p>
        </w:tc>
        <w:tc>
          <w:tcPr>
            <w:cnfStyle w:val="000010000000"/>
            <w:tcW w:w="118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b/>
                <w:bCs/>
              </w:rPr>
              <w:t>Mean</w:t>
            </w:r>
          </w:p>
        </w:tc>
        <w:tc>
          <w:tcPr>
            <w:tcW w:w="1180" w:type="dxa"/>
            <w:tcBorders>
              <w:bottom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Std. Deviation</w:t>
            </w:r>
          </w:p>
        </w:tc>
      </w:tr>
      <w:tr w:rsidR="00AE24F5" w:rsidRPr="00147F4A" w:rsidTr="001818DA">
        <w:tc>
          <w:tcPr>
            <w:cnfStyle w:val="000010000000"/>
            <w:tcW w:w="320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Knowledge of Cervical Cancer Vacc.</w:t>
            </w:r>
          </w:p>
        </w:tc>
        <w:tc>
          <w:tcPr>
            <w:tcW w:w="800" w:type="dxa"/>
            <w:tcBorders>
              <w:top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100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1000" w:type="dxa"/>
            <w:tcBorders>
              <w:top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18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3.4121</w:t>
            </w:r>
          </w:p>
        </w:tc>
        <w:tc>
          <w:tcPr>
            <w:tcW w:w="1180" w:type="dxa"/>
            <w:tcBorders>
              <w:top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1.09198</w:t>
            </w:r>
          </w:p>
        </w:tc>
      </w:tr>
      <w:tr w:rsidR="00AE24F5" w:rsidRPr="00147F4A" w:rsidTr="001818DA">
        <w:trPr>
          <w:cnfStyle w:val="000000100000"/>
        </w:trPr>
        <w:tc>
          <w:tcPr>
            <w:cnfStyle w:val="000010000000"/>
            <w:tcW w:w="32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Attitude towards Vaccination</w:t>
            </w:r>
          </w:p>
        </w:tc>
        <w:tc>
          <w:tcPr>
            <w:tcW w:w="8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10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10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1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3.8108</w:t>
            </w:r>
          </w:p>
        </w:tc>
        <w:tc>
          <w:tcPr>
            <w:tcW w:w="118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1.05069</w:t>
            </w:r>
          </w:p>
        </w:tc>
      </w:tr>
      <w:tr w:rsidR="00AE24F5" w:rsidRPr="00147F4A" w:rsidTr="001818DA">
        <w:tc>
          <w:tcPr>
            <w:cnfStyle w:val="000010000000"/>
            <w:tcW w:w="32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Vaccination Practices</w:t>
            </w:r>
          </w:p>
        </w:tc>
        <w:tc>
          <w:tcPr>
            <w:tcW w:w="80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10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100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1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3.5589</w:t>
            </w:r>
          </w:p>
        </w:tc>
        <w:tc>
          <w:tcPr>
            <w:tcW w:w="118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1.13282</w:t>
            </w:r>
          </w:p>
        </w:tc>
      </w:tr>
      <w:tr w:rsidR="00AE24F5" w:rsidRPr="00147F4A" w:rsidTr="001818DA">
        <w:trPr>
          <w:cnfStyle w:val="000000100000"/>
        </w:trPr>
        <w:tc>
          <w:tcPr>
            <w:cnfStyle w:val="000010000000"/>
            <w:tcW w:w="32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Broadcast Media Influence</w:t>
            </w:r>
          </w:p>
        </w:tc>
        <w:tc>
          <w:tcPr>
            <w:tcW w:w="8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10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10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1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3.8035</w:t>
            </w:r>
          </w:p>
        </w:tc>
        <w:tc>
          <w:tcPr>
            <w:tcW w:w="118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0.95760</w:t>
            </w:r>
          </w:p>
        </w:tc>
      </w:tr>
      <w:tr w:rsidR="00AE24F5" w:rsidRPr="00147F4A" w:rsidTr="001818DA">
        <w:tc>
          <w:tcPr>
            <w:cnfStyle w:val="000010000000"/>
            <w:tcW w:w="320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Socio-cultural &amp; Religious Factors</w:t>
            </w:r>
          </w:p>
        </w:tc>
        <w:tc>
          <w:tcPr>
            <w:tcW w:w="800" w:type="dxa"/>
            <w:tcBorders>
              <w:bottom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100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1.67</w:t>
            </w:r>
          </w:p>
        </w:tc>
        <w:tc>
          <w:tcPr>
            <w:tcW w:w="1000" w:type="dxa"/>
            <w:tcBorders>
              <w:bottom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18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3.8779</w:t>
            </w:r>
          </w:p>
        </w:tc>
        <w:tc>
          <w:tcPr>
            <w:tcW w:w="1180" w:type="dxa"/>
            <w:tcBorders>
              <w:bottom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0.72795</w:t>
            </w:r>
          </w:p>
        </w:tc>
      </w:tr>
      <w:tr w:rsidR="00AE24F5" w:rsidRPr="00147F4A" w:rsidTr="001818DA">
        <w:trPr>
          <w:cnfStyle w:val="000000100000"/>
        </w:trPr>
        <w:tc>
          <w:tcPr>
            <w:cnfStyle w:val="000010000000"/>
            <w:tcW w:w="320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Valid N (listwise)</w:t>
            </w:r>
          </w:p>
        </w:tc>
        <w:tc>
          <w:tcPr>
            <w:tcW w:w="800" w:type="dxa"/>
            <w:tcBorders>
              <w:top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100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p>
        </w:tc>
        <w:tc>
          <w:tcPr>
            <w:tcW w:w="1000" w:type="dxa"/>
            <w:tcBorders>
              <w:top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p>
        </w:tc>
        <w:tc>
          <w:tcPr>
            <w:cnfStyle w:val="000010000000"/>
            <w:tcW w:w="118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p>
        </w:tc>
        <w:tc>
          <w:tcPr>
            <w:tcW w:w="1180" w:type="dxa"/>
            <w:tcBorders>
              <w:top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p>
        </w:tc>
      </w:tr>
    </w:tbl>
    <w:p w:rsidR="00AE24F5" w:rsidRPr="00147F4A" w:rsidRDefault="00AE24F5" w:rsidP="00547A72">
      <w:pPr>
        <w:spacing w:before="80" w:line="360" w:lineRule="auto"/>
        <w:jc w:val="both"/>
        <w:rPr>
          <w:rFonts w:ascii="Times New Roman" w:hAnsi="Times New Roman" w:cs="Times New Roman"/>
        </w:rPr>
      </w:pPr>
      <w:r w:rsidRPr="00147F4A">
        <w:rPr>
          <w:rFonts w:ascii="Times New Roman" w:eastAsia="Arial" w:hAnsi="Times New Roman" w:cs="Times New Roman"/>
          <w:i/>
          <w:iCs/>
          <w:color w:val="555555"/>
        </w:rPr>
        <w:t>Source: Survey Data 2025</w:t>
      </w:r>
    </w:p>
    <w:p w:rsidR="00F95B89" w:rsidRPr="00147F4A" w:rsidRDefault="00AE24F5" w:rsidP="001818DA">
      <w:pPr>
        <w:spacing w:line="360" w:lineRule="auto"/>
        <w:ind w:firstLine="720"/>
        <w:jc w:val="both"/>
        <w:rPr>
          <w:rFonts w:ascii="Times New Roman" w:hAnsi="Times New Roman" w:cs="Times New Roman"/>
        </w:rPr>
      </w:pPr>
      <w:r w:rsidRPr="00147F4A">
        <w:rPr>
          <w:rFonts w:ascii="Times New Roman" w:hAnsi="Times New Roman" w:cs="Times New Roman"/>
        </w:rPr>
        <w:t xml:space="preserve">Table 4.6 </w:t>
      </w:r>
      <w:proofErr w:type="spellStart"/>
      <w:r w:rsidRPr="00147F4A">
        <w:rPr>
          <w:rFonts w:ascii="Times New Roman" w:hAnsi="Times New Roman" w:cs="Times New Roman"/>
        </w:rPr>
        <w:t>summarises</w:t>
      </w:r>
      <w:proofErr w:type="spellEnd"/>
      <w:r w:rsidRPr="00147F4A">
        <w:rPr>
          <w:rFonts w:ascii="Times New Roman" w:hAnsi="Times New Roman" w:cs="Times New Roman"/>
        </w:rPr>
        <w:t xml:space="preserve"> the mean scores for five core research variables measured on a Likert-type scale. Attitude towards vaccination recorded a high mean of 3.81, indicating generally positive dispositions toward the HPV vaccine. Broadcast media influence followed closely with a mean of 3.80, showing that respondents perceive mass media as impactful on their health views. Knowledge about cervical cancer vaccination was moderate</w:t>
      </w:r>
      <w:r w:rsidR="005668D2" w:rsidRPr="00147F4A">
        <w:rPr>
          <w:rFonts w:ascii="Times New Roman" w:hAnsi="Times New Roman" w:cs="Times New Roman"/>
        </w:rPr>
        <w:t>, with a score of</w:t>
      </w:r>
      <w:r w:rsidRPr="00147F4A">
        <w:rPr>
          <w:rFonts w:ascii="Times New Roman" w:hAnsi="Times New Roman" w:cs="Times New Roman"/>
        </w:rPr>
        <w:t xml:space="preserve"> 3.41, suggesting room for improvement in </w:t>
      </w:r>
      <w:r w:rsidRPr="00147F4A">
        <w:rPr>
          <w:rFonts w:ascii="Times New Roman" w:hAnsi="Times New Roman" w:cs="Times New Roman"/>
        </w:rPr>
        <w:lastRenderedPageBreak/>
        <w:t>public understanding. Vaccination practices had a mean of 3.56, also in the moderate range, implying that positive attitudes do not always translate fully into action. Most notably, socio-cultural and religious factors had the highest mean of all (3.88), underscoring that community norms, family beliefs, and religious teachings exert a powerful contextual influence on how broadcast messages are received and acted upon. These findings imply that effective health communication must not only transmit facts but also address underlying socio-cultural barriers and leverage trusted community voices.</w:t>
      </w:r>
    </w:p>
    <w:p w:rsidR="00AE24F5" w:rsidRPr="00147F4A" w:rsidRDefault="00FF7EC2" w:rsidP="00547A72">
      <w:pPr>
        <w:spacing w:line="360" w:lineRule="auto"/>
        <w:rPr>
          <w:rFonts w:ascii="Times New Roman" w:hAnsi="Times New Roman" w:cs="Times New Roman"/>
          <w:b/>
        </w:rPr>
      </w:pPr>
      <w:r w:rsidRPr="00147F4A">
        <w:rPr>
          <w:rFonts w:ascii="Times New Roman" w:hAnsi="Times New Roman" w:cs="Times New Roman"/>
          <w:b/>
        </w:rPr>
        <w:t>Table 4</w:t>
      </w:r>
      <w:r w:rsidR="00AE24F5" w:rsidRPr="00147F4A">
        <w:rPr>
          <w:rFonts w:ascii="Times New Roman" w:hAnsi="Times New Roman" w:cs="Times New Roman"/>
          <w:b/>
        </w:rPr>
        <w:t>: Knowledge of Cervical Cancer Vaccination</w:t>
      </w:r>
    </w:p>
    <w:tbl>
      <w:tblPr>
        <w:tblStyle w:val="ListTable6Colorful"/>
        <w:tblW w:w="9360" w:type="dxa"/>
        <w:tblLook w:val="0000"/>
      </w:tblPr>
      <w:tblGrid>
        <w:gridCol w:w="4814"/>
        <w:gridCol w:w="784"/>
        <w:gridCol w:w="784"/>
        <w:gridCol w:w="784"/>
        <w:gridCol w:w="1209"/>
        <w:gridCol w:w="985"/>
      </w:tblGrid>
      <w:tr w:rsidR="00AE24F5" w:rsidRPr="00147F4A" w:rsidTr="005668D2">
        <w:trPr>
          <w:cnfStyle w:val="000000100000"/>
        </w:trPr>
        <w:tc>
          <w:tcPr>
            <w:cnfStyle w:val="000010000000"/>
            <w:tcW w:w="4300" w:type="dxa"/>
            <w:tcBorders>
              <w:bottom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b/>
                <w:bCs/>
              </w:rPr>
              <w:t>Item</w:t>
            </w:r>
          </w:p>
        </w:tc>
        <w:tc>
          <w:tcPr>
            <w:tcW w:w="700" w:type="dxa"/>
            <w:tcBorders>
              <w:bottom w:val="single" w:sz="4" w:space="0" w:color="000000"/>
            </w:tcBorders>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N</w:t>
            </w:r>
          </w:p>
        </w:tc>
        <w:tc>
          <w:tcPr>
            <w:cnfStyle w:val="000010000000"/>
            <w:tcW w:w="700" w:type="dxa"/>
            <w:tcBorders>
              <w:bottom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b/>
                <w:bCs/>
              </w:rPr>
              <w:t>Min</w:t>
            </w:r>
          </w:p>
        </w:tc>
        <w:tc>
          <w:tcPr>
            <w:tcW w:w="700" w:type="dxa"/>
            <w:tcBorders>
              <w:bottom w:val="single" w:sz="4" w:space="0" w:color="000000"/>
            </w:tcBorders>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Max</w:t>
            </w:r>
          </w:p>
        </w:tc>
        <w:tc>
          <w:tcPr>
            <w:cnfStyle w:val="000010000000"/>
            <w:tcW w:w="1080" w:type="dxa"/>
            <w:tcBorders>
              <w:bottom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b/>
                <w:bCs/>
              </w:rPr>
              <w:t>Mean</w:t>
            </w:r>
          </w:p>
        </w:tc>
        <w:tc>
          <w:tcPr>
            <w:tcW w:w="880" w:type="dxa"/>
            <w:tcBorders>
              <w:bottom w:val="single" w:sz="4" w:space="0" w:color="000000"/>
            </w:tcBorders>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Std. D</w:t>
            </w:r>
          </w:p>
        </w:tc>
      </w:tr>
      <w:tr w:rsidR="00AE24F5" w:rsidRPr="00147F4A" w:rsidTr="005668D2">
        <w:tc>
          <w:tcPr>
            <w:cnfStyle w:val="000010000000"/>
            <w:tcW w:w="4300" w:type="dxa"/>
            <w:tcBorders>
              <w:top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I have heard about cervical cancer before.</w:t>
            </w:r>
          </w:p>
        </w:tc>
        <w:tc>
          <w:tcPr>
            <w:tcW w:w="700" w:type="dxa"/>
            <w:tcBorders>
              <w:top w:val="single" w:sz="4" w:space="0" w:color="000000"/>
            </w:tcBorders>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tcBorders>
              <w:top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tcBorders>
              <w:top w:val="single" w:sz="4" w:space="0" w:color="000000"/>
            </w:tcBorders>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tcBorders>
              <w:top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3.20</w:t>
            </w:r>
          </w:p>
        </w:tc>
        <w:tc>
          <w:tcPr>
            <w:tcW w:w="880" w:type="dxa"/>
            <w:tcBorders>
              <w:top w:val="single" w:sz="4" w:space="0" w:color="000000"/>
            </w:tcBorders>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1.40</w:t>
            </w:r>
          </w:p>
        </w:tc>
      </w:tr>
      <w:tr w:rsidR="00AE24F5" w:rsidRPr="00147F4A" w:rsidTr="005668D2">
        <w:trPr>
          <w:cnfStyle w:val="000000100000"/>
        </w:trPr>
        <w:tc>
          <w:tcPr>
            <w:cnfStyle w:val="000010000000"/>
            <w:tcW w:w="43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Cervical cancer can be prevented.</w:t>
            </w:r>
          </w:p>
        </w:tc>
        <w:tc>
          <w:tcPr>
            <w:tcW w:w="70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3.42</w:t>
            </w:r>
          </w:p>
        </w:tc>
        <w:tc>
          <w:tcPr>
            <w:tcW w:w="88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1.25</w:t>
            </w:r>
          </w:p>
        </w:tc>
      </w:tr>
      <w:tr w:rsidR="00AE24F5" w:rsidRPr="00147F4A" w:rsidTr="005668D2">
        <w:tc>
          <w:tcPr>
            <w:cnfStyle w:val="000010000000"/>
            <w:tcW w:w="43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HPV is a major cause of cervical cancer.</w:t>
            </w:r>
          </w:p>
        </w:tc>
        <w:tc>
          <w:tcPr>
            <w:tcW w:w="70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3.67</w:t>
            </w:r>
          </w:p>
        </w:tc>
        <w:tc>
          <w:tcPr>
            <w:tcW w:w="88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1.31</w:t>
            </w:r>
          </w:p>
        </w:tc>
      </w:tr>
      <w:tr w:rsidR="00AE24F5" w:rsidRPr="00147F4A" w:rsidTr="005668D2">
        <w:trPr>
          <w:cnfStyle w:val="000000100000"/>
        </w:trPr>
        <w:tc>
          <w:tcPr>
            <w:cnfStyle w:val="000010000000"/>
            <w:tcW w:w="43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There is a vaccine that can prevent cervical cancer.</w:t>
            </w:r>
          </w:p>
        </w:tc>
        <w:tc>
          <w:tcPr>
            <w:tcW w:w="70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3.83</w:t>
            </w:r>
          </w:p>
        </w:tc>
        <w:tc>
          <w:tcPr>
            <w:tcW w:w="88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1.09</w:t>
            </w:r>
          </w:p>
        </w:tc>
      </w:tr>
      <w:tr w:rsidR="00AE24F5" w:rsidRPr="00147F4A" w:rsidTr="005668D2">
        <w:tc>
          <w:tcPr>
            <w:cnfStyle w:val="000010000000"/>
            <w:tcW w:w="43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The HPV vaccine is most effective before sexual activity.</w:t>
            </w:r>
          </w:p>
        </w:tc>
        <w:tc>
          <w:tcPr>
            <w:tcW w:w="70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3.20</w:t>
            </w:r>
          </w:p>
        </w:tc>
        <w:tc>
          <w:tcPr>
            <w:tcW w:w="88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1.40</w:t>
            </w:r>
          </w:p>
        </w:tc>
      </w:tr>
      <w:tr w:rsidR="00AE24F5" w:rsidRPr="00147F4A" w:rsidTr="005668D2">
        <w:trPr>
          <w:cnfStyle w:val="000000100000"/>
        </w:trPr>
        <w:tc>
          <w:tcPr>
            <w:cnfStyle w:val="000010000000"/>
            <w:tcW w:w="43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The HPV vaccine is safe for use.</w:t>
            </w:r>
          </w:p>
        </w:tc>
        <w:tc>
          <w:tcPr>
            <w:tcW w:w="70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3.42</w:t>
            </w:r>
          </w:p>
        </w:tc>
        <w:tc>
          <w:tcPr>
            <w:tcW w:w="880"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1.25</w:t>
            </w:r>
          </w:p>
        </w:tc>
      </w:tr>
      <w:tr w:rsidR="00AE24F5" w:rsidRPr="00147F4A" w:rsidTr="005668D2">
        <w:tc>
          <w:tcPr>
            <w:cnfStyle w:val="000010000000"/>
            <w:tcW w:w="43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Cervical cancer can be detected early through screening.</w:t>
            </w:r>
          </w:p>
        </w:tc>
        <w:tc>
          <w:tcPr>
            <w:tcW w:w="70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3.42</w:t>
            </w:r>
          </w:p>
        </w:tc>
        <w:tc>
          <w:tcPr>
            <w:tcW w:w="880"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1.25</w:t>
            </w:r>
          </w:p>
        </w:tc>
      </w:tr>
    </w:tbl>
    <w:p w:rsidR="00AE24F5" w:rsidRPr="00147F4A" w:rsidRDefault="00AE24F5" w:rsidP="00547A72">
      <w:pPr>
        <w:spacing w:before="80" w:line="360" w:lineRule="auto"/>
        <w:jc w:val="both"/>
        <w:rPr>
          <w:rFonts w:ascii="Times New Roman" w:hAnsi="Times New Roman" w:cs="Times New Roman"/>
        </w:rPr>
      </w:pPr>
      <w:r w:rsidRPr="00147F4A">
        <w:rPr>
          <w:rFonts w:ascii="Times New Roman" w:eastAsia="Arial" w:hAnsi="Times New Roman" w:cs="Times New Roman"/>
          <w:i/>
          <w:iCs/>
          <w:color w:val="555555"/>
        </w:rPr>
        <w:t>Source: Survey Data 2025</w:t>
      </w:r>
    </w:p>
    <w:p w:rsidR="00AE24F5" w:rsidRPr="00147F4A" w:rsidRDefault="00AE24F5" w:rsidP="00040A2B">
      <w:pPr>
        <w:spacing w:line="360" w:lineRule="auto"/>
        <w:ind w:firstLine="720"/>
        <w:jc w:val="both"/>
        <w:rPr>
          <w:rFonts w:ascii="Times New Roman" w:hAnsi="Times New Roman" w:cs="Times New Roman"/>
        </w:rPr>
      </w:pPr>
      <w:r w:rsidRPr="00147F4A">
        <w:rPr>
          <w:rFonts w:ascii="Times New Roman" w:hAnsi="Times New Roman" w:cs="Times New Roman"/>
        </w:rPr>
        <w:t xml:space="preserve">Knowledge items across the sample showed means ranging from moderate to high. The strongest awareness was for the existence of a preventive vaccine (mean = 3.83), suggesting that basic message penetration has been achieved. Awareness of HPV as a major cause of cervical cancer was also high (mean = 3.67), as was knowledge of early screening (mean = 3.42). However, two items scored lower: having heard of cervical cancer before this study (mean = 3.20) and knowing the correct timing for vaccine effectiveness (mean = 3.20). These lower scores point to specific knowledge gaps: a portion of respondents may confuse cervical cancer with other </w:t>
      </w:r>
      <w:proofErr w:type="spellStart"/>
      <w:r w:rsidRPr="00147F4A">
        <w:rPr>
          <w:rFonts w:ascii="Times New Roman" w:hAnsi="Times New Roman" w:cs="Times New Roman"/>
        </w:rPr>
        <w:t>gynaecological</w:t>
      </w:r>
      <w:proofErr w:type="spellEnd"/>
      <w:r w:rsidRPr="00147F4A">
        <w:rPr>
          <w:rFonts w:ascii="Times New Roman" w:hAnsi="Times New Roman" w:cs="Times New Roman"/>
        </w:rPr>
        <w:t xml:space="preserve"> conditions, and many are uncertain about when the vaccine works best (e.g., before onset of sexual activity). Broadcast messaging can </w:t>
      </w:r>
      <w:proofErr w:type="spellStart"/>
      <w:r w:rsidRPr="00147F4A">
        <w:rPr>
          <w:rFonts w:ascii="Times New Roman" w:hAnsi="Times New Roman" w:cs="Times New Roman"/>
        </w:rPr>
        <w:t>prioritise</w:t>
      </w:r>
      <w:proofErr w:type="spellEnd"/>
      <w:r w:rsidRPr="00147F4A">
        <w:rPr>
          <w:rFonts w:ascii="Times New Roman" w:hAnsi="Times New Roman" w:cs="Times New Roman"/>
        </w:rPr>
        <w:t xml:space="preserve"> closing these gaps by repeatedly defining cervical cancer distinctly and </w:t>
      </w:r>
      <w:proofErr w:type="spellStart"/>
      <w:r w:rsidRPr="00147F4A">
        <w:rPr>
          <w:rFonts w:ascii="Times New Roman" w:hAnsi="Times New Roman" w:cs="Times New Roman"/>
        </w:rPr>
        <w:t>emphasising</w:t>
      </w:r>
      <w:proofErr w:type="spellEnd"/>
      <w:r w:rsidRPr="00147F4A">
        <w:rPr>
          <w:rFonts w:ascii="Times New Roman" w:hAnsi="Times New Roman" w:cs="Times New Roman"/>
        </w:rPr>
        <w:t xml:space="preserve"> age-appropriate vaccination windows. Overall, the pattern indicates that awareness of the vaccine exists, but deeper mechanistic and preventive knowledge remains incomplete.</w:t>
      </w:r>
    </w:p>
    <w:p w:rsidR="00AE24F5" w:rsidRPr="00147F4A" w:rsidRDefault="00FF7EC2" w:rsidP="00547A72">
      <w:pPr>
        <w:spacing w:line="360" w:lineRule="auto"/>
        <w:rPr>
          <w:rFonts w:ascii="Times New Roman" w:hAnsi="Times New Roman" w:cs="Times New Roman"/>
          <w:b/>
        </w:rPr>
      </w:pPr>
      <w:r w:rsidRPr="00147F4A">
        <w:rPr>
          <w:rFonts w:ascii="Times New Roman" w:hAnsi="Times New Roman" w:cs="Times New Roman"/>
          <w:b/>
        </w:rPr>
        <w:t>Table 5</w:t>
      </w:r>
      <w:r w:rsidR="00AE24F5" w:rsidRPr="00147F4A">
        <w:rPr>
          <w:rFonts w:ascii="Times New Roman" w:hAnsi="Times New Roman" w:cs="Times New Roman"/>
          <w:b/>
        </w:rPr>
        <w:t>: Attitude towards Cervical Cancer Vaccination</w:t>
      </w:r>
    </w:p>
    <w:tbl>
      <w:tblPr>
        <w:tblStyle w:val="ListTable6Colorful"/>
        <w:tblW w:w="9923" w:type="dxa"/>
        <w:tblInd w:w="-176" w:type="dxa"/>
        <w:tblLook w:val="0000"/>
      </w:tblPr>
      <w:tblGrid>
        <w:gridCol w:w="5658"/>
        <w:gridCol w:w="546"/>
        <w:gridCol w:w="783"/>
        <w:gridCol w:w="784"/>
        <w:gridCol w:w="1208"/>
        <w:gridCol w:w="944"/>
      </w:tblGrid>
      <w:tr w:rsidR="00AE24F5" w:rsidRPr="00147F4A" w:rsidTr="00040A2B">
        <w:trPr>
          <w:cnfStyle w:val="000000100000"/>
        </w:trPr>
        <w:tc>
          <w:tcPr>
            <w:cnfStyle w:val="000010000000"/>
            <w:tcW w:w="5658" w:type="dxa"/>
            <w:tcBorders>
              <w:bottom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b/>
                <w:bCs/>
              </w:rPr>
              <w:t>Item</w:t>
            </w:r>
          </w:p>
        </w:tc>
        <w:tc>
          <w:tcPr>
            <w:tcW w:w="546" w:type="dxa"/>
            <w:tcBorders>
              <w:bottom w:val="single" w:sz="4" w:space="0" w:color="000000"/>
            </w:tcBorders>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N</w:t>
            </w:r>
          </w:p>
        </w:tc>
        <w:tc>
          <w:tcPr>
            <w:cnfStyle w:val="000010000000"/>
            <w:tcW w:w="783" w:type="dxa"/>
            <w:tcBorders>
              <w:bottom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b/>
                <w:bCs/>
              </w:rPr>
              <w:t>Min</w:t>
            </w:r>
          </w:p>
        </w:tc>
        <w:tc>
          <w:tcPr>
            <w:tcW w:w="784" w:type="dxa"/>
            <w:tcBorders>
              <w:bottom w:val="single" w:sz="4" w:space="0" w:color="000000"/>
            </w:tcBorders>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Max</w:t>
            </w:r>
          </w:p>
        </w:tc>
        <w:tc>
          <w:tcPr>
            <w:cnfStyle w:val="000010000000"/>
            <w:tcW w:w="1208" w:type="dxa"/>
            <w:tcBorders>
              <w:bottom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b/>
                <w:bCs/>
              </w:rPr>
              <w:t>Mean</w:t>
            </w:r>
          </w:p>
        </w:tc>
        <w:tc>
          <w:tcPr>
            <w:tcW w:w="944" w:type="dxa"/>
            <w:tcBorders>
              <w:bottom w:val="single" w:sz="4" w:space="0" w:color="000000"/>
            </w:tcBorders>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Std. D</w:t>
            </w:r>
          </w:p>
        </w:tc>
      </w:tr>
      <w:tr w:rsidR="00AE24F5" w:rsidRPr="00147F4A" w:rsidTr="00040A2B">
        <w:tc>
          <w:tcPr>
            <w:cnfStyle w:val="000010000000"/>
            <w:tcW w:w="5658" w:type="dxa"/>
            <w:tcBorders>
              <w:top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lastRenderedPageBreak/>
              <w:t>I believe the HPV vaccine is beneficial.</w:t>
            </w:r>
          </w:p>
        </w:tc>
        <w:tc>
          <w:tcPr>
            <w:tcW w:w="546" w:type="dxa"/>
            <w:tcBorders>
              <w:top w:val="single" w:sz="4" w:space="0" w:color="000000"/>
            </w:tcBorders>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83" w:type="dxa"/>
            <w:tcBorders>
              <w:top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84" w:type="dxa"/>
            <w:tcBorders>
              <w:top w:val="single" w:sz="4" w:space="0" w:color="000000"/>
            </w:tcBorders>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208" w:type="dxa"/>
            <w:tcBorders>
              <w:top w:val="single" w:sz="4" w:space="0" w:color="000000"/>
            </w:tcBorders>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3.75</w:t>
            </w:r>
          </w:p>
        </w:tc>
        <w:tc>
          <w:tcPr>
            <w:tcW w:w="944" w:type="dxa"/>
            <w:tcBorders>
              <w:top w:val="single" w:sz="4" w:space="0" w:color="000000"/>
            </w:tcBorders>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1.15</w:t>
            </w:r>
          </w:p>
        </w:tc>
      </w:tr>
      <w:tr w:rsidR="00AE24F5" w:rsidRPr="00147F4A" w:rsidTr="00040A2B">
        <w:trPr>
          <w:cnfStyle w:val="000000100000"/>
        </w:trPr>
        <w:tc>
          <w:tcPr>
            <w:cnfStyle w:val="000010000000"/>
            <w:tcW w:w="565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I am willing to receive the HPV vaccine if available.</w:t>
            </w:r>
          </w:p>
        </w:tc>
        <w:tc>
          <w:tcPr>
            <w:tcW w:w="546"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83"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84"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20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3.33</w:t>
            </w:r>
          </w:p>
        </w:tc>
        <w:tc>
          <w:tcPr>
            <w:tcW w:w="944"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1.41</w:t>
            </w:r>
          </w:p>
        </w:tc>
      </w:tr>
      <w:tr w:rsidR="00AE24F5" w:rsidRPr="00147F4A" w:rsidTr="00040A2B">
        <w:tc>
          <w:tcPr>
            <w:cnfStyle w:val="000010000000"/>
            <w:tcW w:w="565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I trust information about HPV vaccination from broadcast media.</w:t>
            </w:r>
          </w:p>
        </w:tc>
        <w:tc>
          <w:tcPr>
            <w:tcW w:w="546"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83"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84"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20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3.27</w:t>
            </w:r>
          </w:p>
        </w:tc>
        <w:tc>
          <w:tcPr>
            <w:tcW w:w="944"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1.47</w:t>
            </w:r>
          </w:p>
        </w:tc>
      </w:tr>
      <w:tr w:rsidR="00AE24F5" w:rsidRPr="00147F4A" w:rsidTr="00040A2B">
        <w:trPr>
          <w:cnfStyle w:val="000000100000"/>
        </w:trPr>
        <w:tc>
          <w:tcPr>
            <w:cnfStyle w:val="000010000000"/>
            <w:tcW w:w="565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I am concerned about possible side effects.</w:t>
            </w:r>
          </w:p>
        </w:tc>
        <w:tc>
          <w:tcPr>
            <w:tcW w:w="546"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83"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84"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20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3.52</w:t>
            </w:r>
          </w:p>
        </w:tc>
        <w:tc>
          <w:tcPr>
            <w:tcW w:w="944"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1.43</w:t>
            </w:r>
          </w:p>
        </w:tc>
      </w:tr>
      <w:tr w:rsidR="00AE24F5" w:rsidRPr="00147F4A" w:rsidTr="00040A2B">
        <w:tc>
          <w:tcPr>
            <w:cnfStyle w:val="000010000000"/>
            <w:tcW w:w="565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I would encourage others to receive the HPV vaccine.</w:t>
            </w:r>
          </w:p>
        </w:tc>
        <w:tc>
          <w:tcPr>
            <w:tcW w:w="546"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83"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84"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20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3.33</w:t>
            </w:r>
          </w:p>
        </w:tc>
        <w:tc>
          <w:tcPr>
            <w:tcW w:w="944" w:type="dxa"/>
          </w:tcPr>
          <w:p w:rsidR="00AE24F5" w:rsidRPr="00147F4A" w:rsidRDefault="00AE24F5" w:rsidP="00547A72">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1.41</w:t>
            </w:r>
          </w:p>
        </w:tc>
      </w:tr>
      <w:tr w:rsidR="00AE24F5" w:rsidRPr="00147F4A" w:rsidTr="00040A2B">
        <w:trPr>
          <w:cnfStyle w:val="000000100000"/>
        </w:trPr>
        <w:tc>
          <w:tcPr>
            <w:cnfStyle w:val="000010000000"/>
            <w:tcW w:w="565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I believe cervical cancer vaccination is necessary for women.</w:t>
            </w:r>
          </w:p>
        </w:tc>
        <w:tc>
          <w:tcPr>
            <w:tcW w:w="546"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83"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84"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208" w:type="dxa"/>
            <w:shd w:val="clear" w:color="auto" w:fill="auto"/>
          </w:tcPr>
          <w:p w:rsidR="00AE24F5" w:rsidRPr="00147F4A" w:rsidRDefault="00AE24F5" w:rsidP="00547A72">
            <w:pPr>
              <w:spacing w:line="360" w:lineRule="auto"/>
              <w:jc w:val="both"/>
              <w:rPr>
                <w:rFonts w:ascii="Times New Roman" w:hAnsi="Times New Roman" w:cs="Times New Roman"/>
              </w:rPr>
            </w:pPr>
            <w:r w:rsidRPr="00147F4A">
              <w:rPr>
                <w:rFonts w:ascii="Times New Roman" w:eastAsia="Arial" w:hAnsi="Times New Roman" w:cs="Times New Roman"/>
              </w:rPr>
              <w:t>3.27</w:t>
            </w:r>
          </w:p>
        </w:tc>
        <w:tc>
          <w:tcPr>
            <w:tcW w:w="944" w:type="dxa"/>
            <w:shd w:val="clear" w:color="auto" w:fill="auto"/>
          </w:tcPr>
          <w:p w:rsidR="00AE24F5" w:rsidRPr="00147F4A" w:rsidRDefault="00AE24F5" w:rsidP="00547A72">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1.47</w:t>
            </w:r>
          </w:p>
        </w:tc>
      </w:tr>
    </w:tbl>
    <w:p w:rsidR="00AE24F5" w:rsidRPr="00147F4A" w:rsidRDefault="00AE24F5" w:rsidP="00547A72">
      <w:pPr>
        <w:spacing w:before="80" w:line="360" w:lineRule="auto"/>
        <w:jc w:val="both"/>
        <w:rPr>
          <w:rFonts w:ascii="Times New Roman" w:hAnsi="Times New Roman" w:cs="Times New Roman"/>
        </w:rPr>
      </w:pPr>
      <w:r w:rsidRPr="00147F4A">
        <w:rPr>
          <w:rFonts w:ascii="Times New Roman" w:eastAsia="Arial" w:hAnsi="Times New Roman" w:cs="Times New Roman"/>
          <w:i/>
          <w:iCs/>
          <w:color w:val="555555"/>
        </w:rPr>
        <w:t>Source: Survey Data 2025</w:t>
      </w:r>
    </w:p>
    <w:p w:rsidR="00F95B89" w:rsidRPr="00147F4A" w:rsidRDefault="00AE24F5" w:rsidP="00040A2B">
      <w:pPr>
        <w:spacing w:line="360" w:lineRule="auto"/>
        <w:ind w:firstLine="720"/>
        <w:jc w:val="both"/>
        <w:rPr>
          <w:rFonts w:ascii="Times New Roman" w:hAnsi="Times New Roman" w:cs="Times New Roman"/>
        </w:rPr>
      </w:pPr>
      <w:r w:rsidRPr="00147F4A">
        <w:rPr>
          <w:rFonts w:ascii="Times New Roman" w:hAnsi="Times New Roman" w:cs="Times New Roman"/>
        </w:rPr>
        <w:t xml:space="preserve">Respondents displayed generally </w:t>
      </w:r>
      <w:proofErr w:type="spellStart"/>
      <w:r w:rsidRPr="00147F4A">
        <w:rPr>
          <w:rFonts w:ascii="Times New Roman" w:hAnsi="Times New Roman" w:cs="Times New Roman"/>
        </w:rPr>
        <w:t>favourable</w:t>
      </w:r>
      <w:proofErr w:type="spellEnd"/>
      <w:r w:rsidRPr="00147F4A">
        <w:rPr>
          <w:rFonts w:ascii="Times New Roman" w:hAnsi="Times New Roman" w:cs="Times New Roman"/>
        </w:rPr>
        <w:t xml:space="preserve"> attitudes. They strongly agreed that the HPV vaccine is beneficial (mean = 3.75) and showed moderate willingness to receive it themselves (mean = 3.33) and to encourage others (mean = 3.33). Trust in broadcast media information regarding the vaccine was moderate at 3.27, indicating that while media are accepted, they are not uncritically trusted. Importantly, concern about side effects was relatively high (mean = 3.52), revealing a significant attitudinal barrier. This level of side-effect concern is not unusual for newer vaccines but must be addressed head-on through transparent broadcast messaging that acknowledges minor side effects (e.g., injection site pain) while debunking severe, unsubstantiated fears. The disparity between high perceived benefit (3.75) and only moderate willingness to act (3.33) suggests that concern about side effects dampens </w:t>
      </w:r>
      <w:proofErr w:type="spellStart"/>
      <w:r w:rsidRPr="00147F4A">
        <w:rPr>
          <w:rFonts w:ascii="Times New Roman" w:hAnsi="Times New Roman" w:cs="Times New Roman"/>
        </w:rPr>
        <w:t>behavioural</w:t>
      </w:r>
      <w:proofErr w:type="spellEnd"/>
      <w:r w:rsidRPr="00147F4A">
        <w:rPr>
          <w:rFonts w:ascii="Times New Roman" w:hAnsi="Times New Roman" w:cs="Times New Roman"/>
        </w:rPr>
        <w:t xml:space="preserve"> intention. Targeted messages featuring testimonials from vaccinated women and health professionals could help narrow this gap.</w:t>
      </w:r>
    </w:p>
    <w:p w:rsidR="00AE24F5" w:rsidRPr="00147F4A" w:rsidRDefault="002E35E3" w:rsidP="00547A72">
      <w:pPr>
        <w:spacing w:line="360" w:lineRule="auto"/>
        <w:rPr>
          <w:rFonts w:ascii="Times New Roman" w:hAnsi="Times New Roman" w:cs="Times New Roman"/>
          <w:b/>
        </w:rPr>
      </w:pPr>
      <w:r w:rsidRPr="00147F4A">
        <w:rPr>
          <w:rFonts w:ascii="Times New Roman" w:hAnsi="Times New Roman" w:cs="Times New Roman"/>
          <w:b/>
        </w:rPr>
        <w:t>Table 6</w:t>
      </w:r>
      <w:r w:rsidR="00AE24F5" w:rsidRPr="00147F4A">
        <w:rPr>
          <w:rFonts w:ascii="Times New Roman" w:hAnsi="Times New Roman" w:cs="Times New Roman"/>
          <w:b/>
        </w:rPr>
        <w:t>: Broadcast Media Influence</w:t>
      </w:r>
    </w:p>
    <w:tbl>
      <w:tblPr>
        <w:tblStyle w:val="ListTable6Colorful"/>
        <w:tblW w:w="9360" w:type="dxa"/>
        <w:tblLook w:val="0000"/>
      </w:tblPr>
      <w:tblGrid>
        <w:gridCol w:w="4814"/>
        <w:gridCol w:w="784"/>
        <w:gridCol w:w="784"/>
        <w:gridCol w:w="784"/>
        <w:gridCol w:w="1209"/>
        <w:gridCol w:w="985"/>
      </w:tblGrid>
      <w:tr w:rsidR="00AE24F5" w:rsidRPr="00147F4A" w:rsidTr="00040A2B">
        <w:trPr>
          <w:cnfStyle w:val="000000100000"/>
          <w:trHeight w:val="43"/>
        </w:trPr>
        <w:tc>
          <w:tcPr>
            <w:cnfStyle w:val="000010000000"/>
            <w:tcW w:w="430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b/>
                <w:bCs/>
              </w:rPr>
              <w:t>Item</w:t>
            </w:r>
          </w:p>
        </w:tc>
        <w:tc>
          <w:tcPr>
            <w:tcW w:w="700" w:type="dxa"/>
            <w:tcBorders>
              <w:bottom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N</w:t>
            </w:r>
          </w:p>
        </w:tc>
        <w:tc>
          <w:tcPr>
            <w:cnfStyle w:val="000010000000"/>
            <w:tcW w:w="70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b/>
                <w:bCs/>
              </w:rPr>
              <w:t>Min</w:t>
            </w:r>
          </w:p>
        </w:tc>
        <w:tc>
          <w:tcPr>
            <w:tcW w:w="700" w:type="dxa"/>
            <w:tcBorders>
              <w:bottom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Max</w:t>
            </w:r>
          </w:p>
        </w:tc>
        <w:tc>
          <w:tcPr>
            <w:cnfStyle w:val="000010000000"/>
            <w:tcW w:w="1080" w:type="dxa"/>
            <w:tcBorders>
              <w:bottom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b/>
                <w:bCs/>
              </w:rPr>
              <w:t>Mean</w:t>
            </w:r>
          </w:p>
        </w:tc>
        <w:tc>
          <w:tcPr>
            <w:tcW w:w="880" w:type="dxa"/>
            <w:tcBorders>
              <w:bottom w:val="single" w:sz="4" w:space="0" w:color="000000"/>
            </w:tcBorders>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b/>
                <w:bCs/>
              </w:rPr>
              <w:t>Std. D</w:t>
            </w:r>
          </w:p>
        </w:tc>
      </w:tr>
      <w:tr w:rsidR="00AE24F5" w:rsidRPr="00147F4A" w:rsidTr="00040A2B">
        <w:tc>
          <w:tcPr>
            <w:cnfStyle w:val="000010000000"/>
            <w:tcW w:w="430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Heard about cervical cancer vaccination on radio/TV.</w:t>
            </w:r>
          </w:p>
        </w:tc>
        <w:tc>
          <w:tcPr>
            <w:tcW w:w="700" w:type="dxa"/>
            <w:tcBorders>
              <w:top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tcBorders>
              <w:top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tcBorders>
              <w:top w:val="single" w:sz="4" w:space="0" w:color="000000"/>
            </w:tcBorders>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3.78</w:t>
            </w:r>
          </w:p>
        </w:tc>
        <w:tc>
          <w:tcPr>
            <w:tcW w:w="880" w:type="dxa"/>
            <w:tcBorders>
              <w:top w:val="single" w:sz="4" w:space="0" w:color="000000"/>
            </w:tcBorders>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1.32</w:t>
            </w:r>
          </w:p>
        </w:tc>
      </w:tr>
      <w:tr w:rsidR="00AE24F5" w:rsidRPr="00147F4A" w:rsidTr="00040A2B">
        <w:trPr>
          <w:cnfStyle w:val="000000100000"/>
        </w:trPr>
        <w:tc>
          <w:tcPr>
            <w:cnfStyle w:val="000010000000"/>
            <w:tcW w:w="43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Broadcast messages have increased my knowledge.</w:t>
            </w:r>
          </w:p>
        </w:tc>
        <w:tc>
          <w:tcPr>
            <w:tcW w:w="7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3.75</w:t>
            </w:r>
          </w:p>
        </w:tc>
        <w:tc>
          <w:tcPr>
            <w:tcW w:w="88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1.35</w:t>
            </w:r>
          </w:p>
        </w:tc>
      </w:tr>
      <w:tr w:rsidR="00AE24F5" w:rsidRPr="00147F4A" w:rsidTr="00040A2B">
        <w:tc>
          <w:tcPr>
            <w:cnfStyle w:val="000010000000"/>
            <w:tcW w:w="43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Broadcast messages have influenced my attitude.</w:t>
            </w:r>
          </w:p>
        </w:tc>
        <w:tc>
          <w:tcPr>
            <w:tcW w:w="70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3.30</w:t>
            </w:r>
          </w:p>
        </w:tc>
        <w:tc>
          <w:tcPr>
            <w:tcW w:w="88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1.38</w:t>
            </w:r>
          </w:p>
        </w:tc>
      </w:tr>
      <w:tr w:rsidR="00AE24F5" w:rsidRPr="00147F4A" w:rsidTr="00040A2B">
        <w:trPr>
          <w:cnfStyle w:val="000000100000"/>
        </w:trPr>
        <w:tc>
          <w:tcPr>
            <w:cnfStyle w:val="000010000000"/>
            <w:tcW w:w="43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Broadcast messages influenced my decision to seek vaccination.</w:t>
            </w:r>
          </w:p>
        </w:tc>
        <w:tc>
          <w:tcPr>
            <w:tcW w:w="7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3.44</w:t>
            </w:r>
          </w:p>
        </w:tc>
        <w:tc>
          <w:tcPr>
            <w:tcW w:w="88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1.22</w:t>
            </w:r>
          </w:p>
        </w:tc>
      </w:tr>
      <w:tr w:rsidR="00AE24F5" w:rsidRPr="00147F4A" w:rsidTr="00040A2B">
        <w:tc>
          <w:tcPr>
            <w:cnfStyle w:val="000010000000"/>
            <w:tcW w:w="43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Broadcast messages are clear and understandable.</w:t>
            </w:r>
          </w:p>
        </w:tc>
        <w:tc>
          <w:tcPr>
            <w:tcW w:w="70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3.30</w:t>
            </w:r>
          </w:p>
        </w:tc>
        <w:tc>
          <w:tcPr>
            <w:tcW w:w="880" w:type="dxa"/>
          </w:tcPr>
          <w:p w:rsidR="00AE24F5" w:rsidRPr="00147F4A" w:rsidRDefault="00AE24F5" w:rsidP="00147F4A">
            <w:pPr>
              <w:spacing w:line="360" w:lineRule="auto"/>
              <w:jc w:val="both"/>
              <w:cnfStyle w:val="000000000000"/>
              <w:rPr>
                <w:rFonts w:ascii="Times New Roman" w:hAnsi="Times New Roman" w:cs="Times New Roman"/>
              </w:rPr>
            </w:pPr>
            <w:r w:rsidRPr="00147F4A">
              <w:rPr>
                <w:rFonts w:ascii="Times New Roman" w:eastAsia="Arial" w:hAnsi="Times New Roman" w:cs="Times New Roman"/>
              </w:rPr>
              <w:t>1.38</w:t>
            </w:r>
          </w:p>
        </w:tc>
      </w:tr>
      <w:tr w:rsidR="00AE24F5" w:rsidRPr="00147F4A" w:rsidTr="00040A2B">
        <w:trPr>
          <w:cnfStyle w:val="000000100000"/>
        </w:trPr>
        <w:tc>
          <w:tcPr>
            <w:cnfStyle w:val="000010000000"/>
            <w:tcW w:w="43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I trust health information from radio/TV.</w:t>
            </w:r>
          </w:p>
        </w:tc>
        <w:tc>
          <w:tcPr>
            <w:tcW w:w="7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385</w:t>
            </w:r>
          </w:p>
        </w:tc>
        <w:tc>
          <w:tcPr>
            <w:cnfStyle w:val="000010000000"/>
            <w:tcW w:w="70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1.00</w:t>
            </w:r>
          </w:p>
        </w:tc>
        <w:tc>
          <w:tcPr>
            <w:tcW w:w="70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5.00</w:t>
            </w:r>
          </w:p>
        </w:tc>
        <w:tc>
          <w:tcPr>
            <w:cnfStyle w:val="000010000000"/>
            <w:tcW w:w="1080" w:type="dxa"/>
            <w:shd w:val="clear" w:color="auto" w:fill="auto"/>
          </w:tcPr>
          <w:p w:rsidR="00AE24F5" w:rsidRPr="00147F4A" w:rsidRDefault="00AE24F5" w:rsidP="00147F4A">
            <w:pPr>
              <w:spacing w:line="360" w:lineRule="auto"/>
              <w:jc w:val="both"/>
              <w:rPr>
                <w:rFonts w:ascii="Times New Roman" w:hAnsi="Times New Roman" w:cs="Times New Roman"/>
              </w:rPr>
            </w:pPr>
            <w:r w:rsidRPr="00147F4A">
              <w:rPr>
                <w:rFonts w:ascii="Times New Roman" w:eastAsia="Arial" w:hAnsi="Times New Roman" w:cs="Times New Roman"/>
              </w:rPr>
              <w:t>3.78</w:t>
            </w:r>
          </w:p>
        </w:tc>
        <w:tc>
          <w:tcPr>
            <w:tcW w:w="880" w:type="dxa"/>
            <w:shd w:val="clear" w:color="auto" w:fill="auto"/>
          </w:tcPr>
          <w:p w:rsidR="00AE24F5" w:rsidRPr="00147F4A" w:rsidRDefault="00AE24F5" w:rsidP="00147F4A">
            <w:pPr>
              <w:spacing w:line="360" w:lineRule="auto"/>
              <w:jc w:val="both"/>
              <w:cnfStyle w:val="000000100000"/>
              <w:rPr>
                <w:rFonts w:ascii="Times New Roman" w:hAnsi="Times New Roman" w:cs="Times New Roman"/>
              </w:rPr>
            </w:pPr>
            <w:r w:rsidRPr="00147F4A">
              <w:rPr>
                <w:rFonts w:ascii="Times New Roman" w:eastAsia="Arial" w:hAnsi="Times New Roman" w:cs="Times New Roman"/>
              </w:rPr>
              <w:t>1.32</w:t>
            </w:r>
          </w:p>
        </w:tc>
      </w:tr>
    </w:tbl>
    <w:p w:rsidR="00AE24F5" w:rsidRPr="00147F4A" w:rsidRDefault="00AE24F5" w:rsidP="00547A72">
      <w:pPr>
        <w:spacing w:before="80" w:line="360" w:lineRule="auto"/>
        <w:jc w:val="both"/>
        <w:rPr>
          <w:rFonts w:ascii="Times New Roman" w:hAnsi="Times New Roman" w:cs="Times New Roman"/>
        </w:rPr>
      </w:pPr>
      <w:r w:rsidRPr="00147F4A">
        <w:rPr>
          <w:rFonts w:ascii="Times New Roman" w:eastAsia="Arial" w:hAnsi="Times New Roman" w:cs="Times New Roman"/>
          <w:i/>
          <w:iCs/>
          <w:color w:val="555555"/>
        </w:rPr>
        <w:t>Source: Survey Data 2025</w:t>
      </w:r>
    </w:p>
    <w:p w:rsidR="00F95B89" w:rsidRPr="00147F4A" w:rsidRDefault="00AE24F5" w:rsidP="00040A2B">
      <w:pPr>
        <w:spacing w:line="360" w:lineRule="auto"/>
        <w:ind w:firstLine="720"/>
        <w:jc w:val="both"/>
        <w:rPr>
          <w:rFonts w:ascii="Times New Roman" w:hAnsi="Times New Roman" w:cs="Times New Roman"/>
        </w:rPr>
      </w:pPr>
      <w:r w:rsidRPr="00147F4A">
        <w:rPr>
          <w:rFonts w:ascii="Times New Roman" w:hAnsi="Times New Roman" w:cs="Times New Roman"/>
        </w:rPr>
        <w:lastRenderedPageBreak/>
        <w:t>Exposure to broadcast messages specifically on cervical cancer vaccination was high (mean = 3.78), and trust in such information was equally high (3.78). Respondents further acknowledged that broadcast messages increased their knowledge (mean = 3.75) and had a positive influence on their attitude (mean = 3.30) and their decision to seek vaccination (mean = 3.44). Message clarity received a moderate score of 3.30, which, while acceptable, points to a concrete area for improvement. Unclear messages might arise from overly technical language, rapid pacing, or lack of visual aids in television spots. Enhancing clarity could involve simplifying scripts, repeating key points, using local language equivalents, and incorporating visual step-by-step explanations. Overall, the data confirm that broadcast media are already a trusted and effective channel for knowledge and attitude change, but fine-tuning message design could further boost their impact on actual vaccination decisions.</w:t>
      </w:r>
    </w:p>
    <w:p w:rsidR="00B82393" w:rsidRPr="00147F4A" w:rsidRDefault="00B82393" w:rsidP="00547A72">
      <w:pPr>
        <w:spacing w:line="360" w:lineRule="auto"/>
        <w:rPr>
          <w:rFonts w:ascii="Times New Roman" w:hAnsi="Times New Roman" w:cs="Times New Roman"/>
          <w:b/>
        </w:rPr>
      </w:pPr>
      <w:r w:rsidRPr="00147F4A">
        <w:rPr>
          <w:rFonts w:ascii="Times New Roman" w:hAnsi="Times New Roman" w:cs="Times New Roman"/>
          <w:b/>
        </w:rPr>
        <w:t xml:space="preserve">Discussion </w:t>
      </w:r>
    </w:p>
    <w:p w:rsidR="003D1332" w:rsidRPr="00147F4A" w:rsidRDefault="003D1332" w:rsidP="00547A72">
      <w:pPr>
        <w:spacing w:before="100" w:beforeAutospacing="1" w:after="100" w:afterAutospacing="1" w:line="360" w:lineRule="auto"/>
        <w:jc w:val="both"/>
        <w:rPr>
          <w:rFonts w:ascii="Times New Roman" w:eastAsia="Times New Roman" w:hAnsi="Times New Roman" w:cs="Times New Roman"/>
        </w:rPr>
      </w:pPr>
      <w:r w:rsidRPr="00147F4A">
        <w:rPr>
          <w:rFonts w:ascii="Times New Roman" w:eastAsia="Times New Roman" w:hAnsi="Times New Roman" w:cs="Times New Roman"/>
        </w:rPr>
        <w:tab/>
        <w:t>The study revealed that knowledge of cervical cancer vaccination among women in South-East Nigeria was moderate, with a mean score of 3.41. Although many respondents were aware of the existence of the HPV vaccine, understanding of HPV as the major cause of cervical cancer and the importance of early screening remained limited. The findings support earlier studies which showed that educational attainment alone does not guarantee comprehensive health knowledge. The study also established a significant gap between knowledge and preventive practices, confirming that awareness alone is insufficient to encourage vaccination uptake. Respondents demonstrated more positive attitudes than actual knowledge, indicating that emotional and social influences may shape attitudes independently of factual understanding.</w:t>
      </w:r>
    </w:p>
    <w:p w:rsidR="003D1332" w:rsidRPr="00147F4A" w:rsidRDefault="003D1332" w:rsidP="00547A72">
      <w:pPr>
        <w:spacing w:before="100" w:beforeAutospacing="1" w:after="100" w:afterAutospacing="1" w:line="360" w:lineRule="auto"/>
        <w:jc w:val="both"/>
        <w:rPr>
          <w:rFonts w:ascii="Times New Roman" w:eastAsia="Times New Roman" w:hAnsi="Times New Roman" w:cs="Times New Roman"/>
        </w:rPr>
      </w:pPr>
      <w:r w:rsidRPr="00147F4A">
        <w:rPr>
          <w:rFonts w:ascii="Times New Roman" w:eastAsia="Times New Roman" w:hAnsi="Times New Roman" w:cs="Times New Roman"/>
        </w:rPr>
        <w:tab/>
        <w:t xml:space="preserve">The study further found that attitudes toward cervical cancer vaccination were generally </w:t>
      </w:r>
      <w:proofErr w:type="spellStart"/>
      <w:r w:rsidRPr="00147F4A">
        <w:rPr>
          <w:rFonts w:ascii="Times New Roman" w:eastAsia="Times New Roman" w:hAnsi="Times New Roman" w:cs="Times New Roman"/>
        </w:rPr>
        <w:t>favourable</w:t>
      </w:r>
      <w:proofErr w:type="spellEnd"/>
      <w:r w:rsidRPr="00147F4A">
        <w:rPr>
          <w:rFonts w:ascii="Times New Roman" w:eastAsia="Times New Roman" w:hAnsi="Times New Roman" w:cs="Times New Roman"/>
        </w:rPr>
        <w:t>, with a high mean score of 3.81. Many respondents expressed willingness to receive the vaccine despite concerns about possible side effects and misconceptions surrounding vaccine safety. However, attitude was not found to significantly predict preventive practices, revealing a persistent attitude–</w:t>
      </w:r>
      <w:proofErr w:type="spellStart"/>
      <w:r w:rsidRPr="00147F4A">
        <w:rPr>
          <w:rFonts w:ascii="Times New Roman" w:eastAsia="Times New Roman" w:hAnsi="Times New Roman" w:cs="Times New Roman"/>
        </w:rPr>
        <w:t>behaviour</w:t>
      </w:r>
      <w:proofErr w:type="spellEnd"/>
      <w:r w:rsidRPr="00147F4A">
        <w:rPr>
          <w:rFonts w:ascii="Times New Roman" w:eastAsia="Times New Roman" w:hAnsi="Times New Roman" w:cs="Times New Roman"/>
        </w:rPr>
        <w:t xml:space="preserve"> gap. Structural barriers such as cost, access, and vaccine availability appeared to exert stronger influence on vaccination practices than psychological readiness. This suggests that while media campaigns can create positive emotional responses, practical constraints continue to hinder </w:t>
      </w:r>
      <w:proofErr w:type="spellStart"/>
      <w:r w:rsidRPr="00147F4A">
        <w:rPr>
          <w:rFonts w:ascii="Times New Roman" w:eastAsia="Times New Roman" w:hAnsi="Times New Roman" w:cs="Times New Roman"/>
        </w:rPr>
        <w:t>behavioural</w:t>
      </w:r>
      <w:proofErr w:type="spellEnd"/>
      <w:r w:rsidRPr="00147F4A">
        <w:rPr>
          <w:rFonts w:ascii="Times New Roman" w:eastAsia="Times New Roman" w:hAnsi="Times New Roman" w:cs="Times New Roman"/>
        </w:rPr>
        <w:t xml:space="preserve"> change.</w:t>
      </w:r>
    </w:p>
    <w:p w:rsidR="003D1332" w:rsidRPr="00147F4A" w:rsidRDefault="003D1332" w:rsidP="00547A72">
      <w:pPr>
        <w:spacing w:before="100" w:beforeAutospacing="1" w:after="100" w:afterAutospacing="1" w:line="360" w:lineRule="auto"/>
        <w:jc w:val="both"/>
        <w:rPr>
          <w:rFonts w:ascii="Times New Roman" w:eastAsia="Times New Roman" w:hAnsi="Times New Roman" w:cs="Times New Roman"/>
        </w:rPr>
      </w:pPr>
      <w:r w:rsidRPr="00147F4A">
        <w:rPr>
          <w:rFonts w:ascii="Times New Roman" w:eastAsia="Times New Roman" w:hAnsi="Times New Roman" w:cs="Times New Roman"/>
        </w:rPr>
        <w:tab/>
        <w:t xml:space="preserve">Findings also showed that broadcast media significantly influenced knowledge, attitudes, and practices related to cervical cancer vaccination, with the strongest effect observed on knowledge acquisition. High levels of exposure to radio and television messages increased awareness and trust in </w:t>
      </w:r>
      <w:r w:rsidRPr="00147F4A">
        <w:rPr>
          <w:rFonts w:ascii="Times New Roman" w:eastAsia="Times New Roman" w:hAnsi="Times New Roman" w:cs="Times New Roman"/>
        </w:rPr>
        <w:lastRenderedPageBreak/>
        <w:t xml:space="preserve">health information. Nevertheless, the influence of media on actual vaccination practices was relatively weak, indicating that media campaigns alone cannot guarantee </w:t>
      </w:r>
      <w:proofErr w:type="spellStart"/>
      <w:r w:rsidRPr="00147F4A">
        <w:rPr>
          <w:rFonts w:ascii="Times New Roman" w:eastAsia="Times New Roman" w:hAnsi="Times New Roman" w:cs="Times New Roman"/>
        </w:rPr>
        <w:t>behaviour</w:t>
      </w:r>
      <w:proofErr w:type="spellEnd"/>
      <w:r w:rsidRPr="00147F4A">
        <w:rPr>
          <w:rFonts w:ascii="Times New Roman" w:eastAsia="Times New Roman" w:hAnsi="Times New Roman" w:cs="Times New Roman"/>
        </w:rPr>
        <w:t xml:space="preserve"> change. The study therefore supports the need for culturally tailored health communication strategies delivered in local languages and reinforced through interpersonal and community-based engagement. Exposure to broadcast messages was strongly associated with improved knowledge, confirming the continued relevance of traditional media in public health communication.</w:t>
      </w:r>
    </w:p>
    <w:p w:rsidR="003D1332" w:rsidRPr="00147F4A" w:rsidRDefault="003D1332" w:rsidP="00547A72">
      <w:pPr>
        <w:spacing w:before="100" w:beforeAutospacing="1" w:after="100" w:afterAutospacing="1" w:line="360" w:lineRule="auto"/>
        <w:jc w:val="both"/>
        <w:rPr>
          <w:rFonts w:ascii="Times New Roman" w:eastAsia="Times New Roman" w:hAnsi="Times New Roman" w:cs="Times New Roman"/>
        </w:rPr>
      </w:pPr>
      <w:r w:rsidRPr="00147F4A">
        <w:rPr>
          <w:rFonts w:ascii="Times New Roman" w:eastAsia="Times New Roman" w:hAnsi="Times New Roman" w:cs="Times New Roman"/>
        </w:rPr>
        <w:tab/>
        <w:t>Finally, socio-cultural and religious factors were found to significantly moderate the relationship between broadcast messages and knowledge, attitude, and practices. Community opinions, family influence, cultural beliefs, and religious perceptions strongly affected vaccine acceptance and responses to media campaigns. The findings demonstrated that the effectiveness of health communication depends heavily on the cultural and social environment of the audience. Trust in community, religious, and opinion leaders increased confidence in vaccination, suggesting that involving respected local influencers in broadcast campaigns could improve acceptance and participation. The study concludes that effective cervical cancer vaccination campaigns must combine mass media efforts with culturally sensitive community engagement strategies.</w:t>
      </w:r>
    </w:p>
    <w:p w:rsidR="003D1332" w:rsidRPr="00147F4A" w:rsidRDefault="003D1332" w:rsidP="00547A72">
      <w:pPr>
        <w:pBdr>
          <w:bottom w:val="single" w:sz="6" w:space="1" w:color="auto"/>
        </w:pBdr>
        <w:spacing w:after="0" w:line="360" w:lineRule="auto"/>
        <w:jc w:val="both"/>
        <w:rPr>
          <w:rFonts w:ascii="Times New Roman" w:eastAsia="Times New Roman" w:hAnsi="Times New Roman" w:cs="Times New Roman"/>
          <w:vanish/>
        </w:rPr>
      </w:pPr>
      <w:r w:rsidRPr="00147F4A">
        <w:rPr>
          <w:rFonts w:ascii="Times New Roman" w:eastAsia="Times New Roman" w:hAnsi="Times New Roman" w:cs="Times New Roman"/>
          <w:vanish/>
        </w:rPr>
        <w:t>Top of Form</w:t>
      </w:r>
    </w:p>
    <w:p w:rsidR="003D1332" w:rsidRPr="00147F4A" w:rsidRDefault="003D1332" w:rsidP="00547A72">
      <w:pPr>
        <w:pBdr>
          <w:top w:val="single" w:sz="6" w:space="1" w:color="auto"/>
        </w:pBdr>
        <w:spacing w:after="0" w:line="360" w:lineRule="auto"/>
        <w:jc w:val="both"/>
        <w:rPr>
          <w:rFonts w:ascii="Times New Roman" w:eastAsia="Times New Roman" w:hAnsi="Times New Roman" w:cs="Times New Roman"/>
          <w:vanish/>
        </w:rPr>
      </w:pPr>
      <w:r w:rsidRPr="00147F4A">
        <w:rPr>
          <w:rFonts w:ascii="Times New Roman" w:eastAsia="Times New Roman" w:hAnsi="Times New Roman" w:cs="Times New Roman"/>
          <w:vanish/>
        </w:rPr>
        <w:t>Bottom of Form</w:t>
      </w:r>
    </w:p>
    <w:p w:rsidR="00B15267" w:rsidRPr="00147F4A" w:rsidRDefault="00B82393" w:rsidP="00547A72">
      <w:pPr>
        <w:spacing w:line="360" w:lineRule="auto"/>
        <w:jc w:val="both"/>
        <w:rPr>
          <w:rFonts w:ascii="Times New Roman" w:hAnsi="Times New Roman" w:cs="Times New Roman"/>
          <w:b/>
        </w:rPr>
      </w:pPr>
      <w:r w:rsidRPr="00147F4A">
        <w:rPr>
          <w:rFonts w:ascii="Times New Roman" w:eastAsia="Arial" w:hAnsi="Times New Roman" w:cs="Times New Roman"/>
          <w:b/>
          <w:bCs/>
          <w:color w:val="000000" w:themeColor="text1"/>
        </w:rPr>
        <w:t>Recommendations</w:t>
      </w:r>
    </w:p>
    <w:p w:rsidR="00B15267" w:rsidRPr="00147F4A" w:rsidRDefault="00B15267" w:rsidP="00547A72">
      <w:pPr>
        <w:spacing w:line="360" w:lineRule="auto"/>
        <w:jc w:val="both"/>
        <w:rPr>
          <w:rFonts w:ascii="Times New Roman" w:hAnsi="Times New Roman" w:cs="Times New Roman"/>
          <w:color w:val="000000" w:themeColor="text1"/>
        </w:rPr>
      </w:pPr>
      <w:r w:rsidRPr="00147F4A">
        <w:rPr>
          <w:rFonts w:ascii="Times New Roman" w:hAnsi="Times New Roman" w:cs="Times New Roman"/>
          <w:color w:val="000000" w:themeColor="text1"/>
        </w:rPr>
        <w:tab/>
      </w:r>
      <w:r w:rsidR="00B82393" w:rsidRPr="00147F4A">
        <w:rPr>
          <w:rFonts w:ascii="Times New Roman" w:eastAsia="Arial" w:hAnsi="Times New Roman" w:cs="Times New Roman"/>
        </w:rPr>
        <w:t xml:space="preserve">Broadcast media producers should develop segmented message series that move beyond basic awareness to explain the causal link between HPV and cervical cancer, as knowledge of this link (mean = 3.67) was lower than awareness of vaccine existence (3.83). Simple, repetitive explanations of HPV transmission and its cancer-causing mechanism should be embedded in all health </w:t>
      </w:r>
      <w:proofErr w:type="spellStart"/>
      <w:r w:rsidR="00B82393" w:rsidRPr="00147F4A">
        <w:rPr>
          <w:rFonts w:ascii="Times New Roman" w:eastAsia="Arial" w:hAnsi="Times New Roman" w:cs="Times New Roman"/>
        </w:rPr>
        <w:t>programmes</w:t>
      </w:r>
      <w:proofErr w:type="spellEnd"/>
      <w:r w:rsidR="00B82393" w:rsidRPr="00147F4A">
        <w:rPr>
          <w:rFonts w:ascii="Times New Roman" w:eastAsia="Arial" w:hAnsi="Times New Roman" w:cs="Times New Roman"/>
        </w:rPr>
        <w:t>.</w:t>
      </w:r>
    </w:p>
    <w:p w:rsidR="00B82393" w:rsidRPr="00147F4A" w:rsidRDefault="00B15267" w:rsidP="00547A72">
      <w:pPr>
        <w:spacing w:line="360" w:lineRule="auto"/>
        <w:jc w:val="both"/>
        <w:rPr>
          <w:rFonts w:ascii="Times New Roman" w:hAnsi="Times New Roman" w:cs="Times New Roman"/>
          <w:b/>
        </w:rPr>
      </w:pPr>
      <w:r w:rsidRPr="00147F4A">
        <w:rPr>
          <w:rFonts w:ascii="Times New Roman" w:hAnsi="Times New Roman" w:cs="Times New Roman"/>
          <w:color w:val="000000" w:themeColor="text1"/>
        </w:rPr>
        <w:tab/>
      </w:r>
      <w:r w:rsidR="00B82393" w:rsidRPr="00147F4A">
        <w:rPr>
          <w:rFonts w:ascii="Times New Roman" w:eastAsia="Arial" w:hAnsi="Times New Roman" w:cs="Times New Roman"/>
        </w:rPr>
        <w:t xml:space="preserve">The National Primary Health Care Development Agency (NPHCDA) should integrate broadcast media metrics into HPV vaccine </w:t>
      </w:r>
      <w:proofErr w:type="spellStart"/>
      <w:r w:rsidR="00B82393" w:rsidRPr="00147F4A">
        <w:rPr>
          <w:rFonts w:ascii="Times New Roman" w:eastAsia="Arial" w:hAnsi="Times New Roman" w:cs="Times New Roman"/>
        </w:rPr>
        <w:t>programme</w:t>
      </w:r>
      <w:proofErr w:type="spellEnd"/>
      <w:r w:rsidR="00B82393" w:rsidRPr="00147F4A">
        <w:rPr>
          <w:rFonts w:ascii="Times New Roman" w:eastAsia="Arial" w:hAnsi="Times New Roman" w:cs="Times New Roman"/>
        </w:rPr>
        <w:t xml:space="preserve"> evaluation. Tracking exposure, knowledge change, and subsequent vaccination uptake at health facility levels would allow real-time adjustment of messaging strategies. The strong exposure–knowledge relationship (r = 0.603) suggests that media monitoring can serve as a proxy for awareness campaign effectiveness.</w:t>
      </w:r>
    </w:p>
    <w:p w:rsidR="00F95B89" w:rsidRPr="00147F4A" w:rsidRDefault="00F95B89" w:rsidP="00547A72">
      <w:pPr>
        <w:spacing w:line="240" w:lineRule="auto"/>
        <w:rPr>
          <w:rFonts w:ascii="Times New Roman" w:hAnsi="Times New Roman" w:cs="Times New Roman"/>
          <w:b/>
        </w:rPr>
      </w:pPr>
    </w:p>
    <w:p w:rsidR="00147F4A" w:rsidRPr="00147F4A" w:rsidRDefault="00147F4A" w:rsidP="00547A72">
      <w:pPr>
        <w:spacing w:line="240" w:lineRule="auto"/>
        <w:rPr>
          <w:rFonts w:ascii="Times New Roman" w:hAnsi="Times New Roman" w:cs="Times New Roman"/>
          <w:b/>
        </w:rPr>
      </w:pPr>
    </w:p>
    <w:p w:rsidR="00147F4A" w:rsidRDefault="00147F4A" w:rsidP="00547A72">
      <w:pPr>
        <w:spacing w:line="240" w:lineRule="auto"/>
        <w:rPr>
          <w:rFonts w:ascii="Times New Roman" w:hAnsi="Times New Roman" w:cs="Times New Roman"/>
          <w:b/>
        </w:rPr>
      </w:pPr>
    </w:p>
    <w:p w:rsidR="00147F4A" w:rsidRDefault="00147F4A" w:rsidP="00547A72">
      <w:pPr>
        <w:spacing w:line="240" w:lineRule="auto"/>
        <w:rPr>
          <w:rFonts w:ascii="Times New Roman" w:hAnsi="Times New Roman" w:cs="Times New Roman"/>
          <w:b/>
        </w:rPr>
      </w:pPr>
    </w:p>
    <w:p w:rsidR="00147F4A" w:rsidRDefault="00147F4A" w:rsidP="00547A72">
      <w:pPr>
        <w:spacing w:line="240" w:lineRule="auto"/>
        <w:rPr>
          <w:rFonts w:ascii="Times New Roman" w:hAnsi="Times New Roman" w:cs="Times New Roman"/>
          <w:b/>
        </w:rPr>
      </w:pPr>
    </w:p>
    <w:p w:rsidR="00147F4A" w:rsidRDefault="00147F4A" w:rsidP="00547A72">
      <w:pPr>
        <w:spacing w:line="240" w:lineRule="auto"/>
        <w:rPr>
          <w:rFonts w:ascii="Times New Roman" w:hAnsi="Times New Roman" w:cs="Times New Roman"/>
          <w:b/>
        </w:rPr>
      </w:pPr>
    </w:p>
    <w:p w:rsidR="00147F4A" w:rsidRDefault="00147F4A" w:rsidP="00547A72">
      <w:pPr>
        <w:spacing w:line="240" w:lineRule="auto"/>
        <w:rPr>
          <w:rFonts w:ascii="Times New Roman" w:hAnsi="Times New Roman" w:cs="Times New Roman"/>
          <w:b/>
        </w:rPr>
      </w:pPr>
    </w:p>
    <w:p w:rsidR="00147F4A" w:rsidRPr="00147F4A" w:rsidRDefault="00147F4A" w:rsidP="00547A72">
      <w:pPr>
        <w:spacing w:line="240" w:lineRule="auto"/>
        <w:rPr>
          <w:rFonts w:ascii="Times New Roman" w:hAnsi="Times New Roman" w:cs="Times New Roman"/>
          <w:b/>
        </w:rPr>
      </w:pPr>
    </w:p>
    <w:p w:rsidR="00B82393" w:rsidRPr="00147F4A" w:rsidRDefault="00DE5EF4" w:rsidP="00547A72">
      <w:pPr>
        <w:spacing w:line="240" w:lineRule="auto"/>
        <w:rPr>
          <w:rFonts w:ascii="Times New Roman" w:hAnsi="Times New Roman" w:cs="Times New Roman"/>
          <w:b/>
        </w:rPr>
      </w:pPr>
      <w:r w:rsidRPr="00147F4A">
        <w:rPr>
          <w:rFonts w:ascii="Times New Roman" w:hAnsi="Times New Roman" w:cs="Times New Roman"/>
          <w:b/>
        </w:rPr>
        <w:t>Reference</w:t>
      </w:r>
    </w:p>
    <w:p w:rsidR="00C11BC4" w:rsidRPr="00147F4A" w:rsidRDefault="00C11BC4" w:rsidP="00547A72">
      <w:pPr>
        <w:spacing w:line="240" w:lineRule="auto"/>
        <w:jc w:val="both"/>
        <w:rPr>
          <w:rFonts w:ascii="Times New Roman" w:hAnsi="Times New Roman" w:cs="Times New Roman"/>
        </w:rPr>
      </w:pPr>
      <w:proofErr w:type="spellStart"/>
      <w:r w:rsidRPr="00147F4A">
        <w:rPr>
          <w:rFonts w:ascii="Times New Roman" w:hAnsi="Times New Roman" w:cs="Times New Roman"/>
        </w:rPr>
        <w:t>Adejoh</w:t>
      </w:r>
      <w:proofErr w:type="spellEnd"/>
      <w:r w:rsidRPr="00147F4A">
        <w:rPr>
          <w:rFonts w:ascii="Times New Roman" w:hAnsi="Times New Roman" w:cs="Times New Roman"/>
        </w:rPr>
        <w:t xml:space="preserve">, S. O., </w:t>
      </w:r>
      <w:proofErr w:type="spellStart"/>
      <w:r w:rsidRPr="00147F4A">
        <w:rPr>
          <w:rFonts w:ascii="Times New Roman" w:hAnsi="Times New Roman" w:cs="Times New Roman"/>
        </w:rPr>
        <w:t>Okwori</w:t>
      </w:r>
      <w:proofErr w:type="spellEnd"/>
      <w:r w:rsidRPr="00147F4A">
        <w:rPr>
          <w:rFonts w:ascii="Times New Roman" w:hAnsi="Times New Roman" w:cs="Times New Roman"/>
        </w:rPr>
        <w:t xml:space="preserve">, F. C., &amp; Ibrahim, A. M. (2022). Health communication and vaccine </w:t>
      </w:r>
      <w:r w:rsidRPr="00147F4A">
        <w:rPr>
          <w:rFonts w:ascii="Times New Roman" w:hAnsi="Times New Roman" w:cs="Times New Roman"/>
        </w:rPr>
        <w:tab/>
        <w:t xml:space="preserve">acceptance in Nigeria: The role of media campaigns. Journal of Public Health in Africa, </w:t>
      </w:r>
      <w:r w:rsidRPr="00147F4A">
        <w:rPr>
          <w:rFonts w:ascii="Times New Roman" w:hAnsi="Times New Roman" w:cs="Times New Roman"/>
        </w:rPr>
        <w:tab/>
        <w:t xml:space="preserve">13(2), </w:t>
      </w:r>
      <w:r w:rsidR="00547A72" w:rsidRPr="00147F4A">
        <w:rPr>
          <w:rFonts w:ascii="Times New Roman" w:hAnsi="Times New Roman" w:cs="Times New Roman"/>
        </w:rPr>
        <w:tab/>
      </w:r>
      <w:r w:rsidRPr="00147F4A">
        <w:rPr>
          <w:rFonts w:ascii="Times New Roman" w:hAnsi="Times New Roman" w:cs="Times New Roman"/>
        </w:rPr>
        <w:t>45–56.</w:t>
      </w:r>
    </w:p>
    <w:p w:rsidR="00C11BC4" w:rsidRPr="00147F4A" w:rsidRDefault="00C11BC4" w:rsidP="00547A72">
      <w:pPr>
        <w:spacing w:line="240" w:lineRule="auto"/>
        <w:jc w:val="both"/>
        <w:rPr>
          <w:rFonts w:ascii="Times New Roman" w:hAnsi="Times New Roman" w:cs="Times New Roman"/>
        </w:rPr>
      </w:pPr>
      <w:proofErr w:type="spellStart"/>
      <w:r w:rsidRPr="00147F4A">
        <w:rPr>
          <w:rFonts w:ascii="Times New Roman" w:hAnsi="Times New Roman" w:cs="Times New Roman"/>
        </w:rPr>
        <w:t>Agboeze</w:t>
      </w:r>
      <w:proofErr w:type="spellEnd"/>
      <w:r w:rsidRPr="00147F4A">
        <w:rPr>
          <w:rFonts w:ascii="Times New Roman" w:hAnsi="Times New Roman" w:cs="Times New Roman"/>
        </w:rPr>
        <w:t xml:space="preserve">, J. N., Obi, S. N., &amp;Nwosu, O. B. (2020). Awareness and uptake of human </w:t>
      </w:r>
      <w:r w:rsidRPr="00147F4A">
        <w:rPr>
          <w:rFonts w:ascii="Times New Roman" w:hAnsi="Times New Roman" w:cs="Times New Roman"/>
        </w:rPr>
        <w:tab/>
        <w:t xml:space="preserve">papillomavirus </w:t>
      </w:r>
      <w:r w:rsidR="00547A72" w:rsidRPr="00147F4A">
        <w:rPr>
          <w:rFonts w:ascii="Times New Roman" w:hAnsi="Times New Roman" w:cs="Times New Roman"/>
        </w:rPr>
        <w:tab/>
      </w:r>
      <w:r w:rsidRPr="00147F4A">
        <w:rPr>
          <w:rFonts w:ascii="Times New Roman" w:hAnsi="Times New Roman" w:cs="Times New Roman"/>
        </w:rPr>
        <w:t xml:space="preserve">vaccination among women in South-East Nigeria. African Journal of </w:t>
      </w:r>
      <w:r w:rsidRPr="00147F4A">
        <w:rPr>
          <w:rFonts w:ascii="Times New Roman" w:hAnsi="Times New Roman" w:cs="Times New Roman"/>
        </w:rPr>
        <w:tab/>
        <w:t xml:space="preserve">Reproductive Health, </w:t>
      </w:r>
      <w:r w:rsidR="00547A72" w:rsidRPr="00147F4A">
        <w:rPr>
          <w:rFonts w:ascii="Times New Roman" w:hAnsi="Times New Roman" w:cs="Times New Roman"/>
        </w:rPr>
        <w:tab/>
      </w:r>
      <w:r w:rsidRPr="00147F4A">
        <w:rPr>
          <w:rFonts w:ascii="Times New Roman" w:hAnsi="Times New Roman" w:cs="Times New Roman"/>
        </w:rPr>
        <w:t>24(3), 89–98.</w:t>
      </w:r>
    </w:p>
    <w:p w:rsidR="00C11BC4" w:rsidRPr="00147F4A" w:rsidRDefault="00C11BC4" w:rsidP="00547A72">
      <w:pPr>
        <w:spacing w:line="240" w:lineRule="auto"/>
        <w:jc w:val="both"/>
        <w:rPr>
          <w:rFonts w:ascii="Times New Roman" w:hAnsi="Times New Roman" w:cs="Times New Roman"/>
        </w:rPr>
      </w:pPr>
      <w:r w:rsidRPr="00147F4A">
        <w:rPr>
          <w:rFonts w:ascii="Times New Roman" w:hAnsi="Times New Roman" w:cs="Times New Roman"/>
        </w:rPr>
        <w:t>Agi, U. K., &amp;</w:t>
      </w:r>
      <w:proofErr w:type="spellStart"/>
      <w:r w:rsidRPr="00147F4A">
        <w:rPr>
          <w:rFonts w:ascii="Times New Roman" w:hAnsi="Times New Roman" w:cs="Times New Roman"/>
        </w:rPr>
        <w:t>Wagbara</w:t>
      </w:r>
      <w:proofErr w:type="spellEnd"/>
      <w:r w:rsidRPr="00147F4A">
        <w:rPr>
          <w:rFonts w:ascii="Times New Roman" w:hAnsi="Times New Roman" w:cs="Times New Roman"/>
        </w:rPr>
        <w:t xml:space="preserve">, E. N. (2018). Media campaigns and public health awareness in Nigeria. </w:t>
      </w:r>
      <w:r w:rsidRPr="00147F4A">
        <w:rPr>
          <w:rFonts w:ascii="Times New Roman" w:hAnsi="Times New Roman" w:cs="Times New Roman"/>
        </w:rPr>
        <w:tab/>
        <w:t>International Journal of Communication Studies, 12(1), 112–126.</w:t>
      </w:r>
    </w:p>
    <w:p w:rsidR="00C11BC4" w:rsidRPr="00147F4A" w:rsidRDefault="00C11BC4" w:rsidP="00547A72">
      <w:pPr>
        <w:spacing w:line="240" w:lineRule="auto"/>
        <w:jc w:val="both"/>
        <w:rPr>
          <w:rFonts w:ascii="Times New Roman" w:hAnsi="Times New Roman" w:cs="Times New Roman"/>
        </w:rPr>
      </w:pPr>
      <w:r w:rsidRPr="00147F4A">
        <w:rPr>
          <w:rFonts w:ascii="Times New Roman" w:hAnsi="Times New Roman" w:cs="Times New Roman"/>
        </w:rPr>
        <w:t xml:space="preserve">Ajzen, I. (1991). The theory of planned behavior. Organizational Behavior and Human Decision </w:t>
      </w:r>
      <w:r w:rsidRPr="00147F4A">
        <w:rPr>
          <w:rFonts w:ascii="Times New Roman" w:hAnsi="Times New Roman" w:cs="Times New Roman"/>
        </w:rPr>
        <w:tab/>
        <w:t>Processes, 50(2), 179–211.</w:t>
      </w:r>
    </w:p>
    <w:p w:rsidR="00C11BC4" w:rsidRPr="00147F4A" w:rsidRDefault="00C11BC4" w:rsidP="00547A72">
      <w:pPr>
        <w:spacing w:line="240" w:lineRule="auto"/>
        <w:jc w:val="both"/>
        <w:rPr>
          <w:rFonts w:ascii="Times New Roman" w:hAnsi="Times New Roman" w:cs="Times New Roman"/>
        </w:rPr>
      </w:pPr>
      <w:r w:rsidRPr="00147F4A">
        <w:rPr>
          <w:rFonts w:ascii="Times New Roman" w:hAnsi="Times New Roman" w:cs="Times New Roman"/>
        </w:rPr>
        <w:t xml:space="preserve">Anyanwu, F. C., Eze, N. C., &amp; Ugo, C. N. (2020). Knowledge and perception of HPV </w:t>
      </w:r>
      <w:r w:rsidRPr="00147F4A">
        <w:rPr>
          <w:rFonts w:ascii="Times New Roman" w:hAnsi="Times New Roman" w:cs="Times New Roman"/>
        </w:rPr>
        <w:tab/>
        <w:t xml:space="preserve">vaccination </w:t>
      </w:r>
      <w:r w:rsidR="00547A72" w:rsidRPr="00147F4A">
        <w:rPr>
          <w:rFonts w:ascii="Times New Roman" w:hAnsi="Times New Roman" w:cs="Times New Roman"/>
        </w:rPr>
        <w:tab/>
      </w:r>
      <w:r w:rsidRPr="00147F4A">
        <w:rPr>
          <w:rFonts w:ascii="Times New Roman" w:hAnsi="Times New Roman" w:cs="Times New Roman"/>
        </w:rPr>
        <w:t>among women in Nigeria. Nigerian Journal of Clinical Practice, 23(5), 678–</w:t>
      </w:r>
      <w:r w:rsidRPr="00147F4A">
        <w:rPr>
          <w:rFonts w:ascii="Times New Roman" w:hAnsi="Times New Roman" w:cs="Times New Roman"/>
        </w:rPr>
        <w:tab/>
        <w:t>684.</w:t>
      </w:r>
    </w:p>
    <w:p w:rsidR="00C11BC4" w:rsidRPr="00147F4A" w:rsidRDefault="00C11BC4" w:rsidP="00547A72">
      <w:pPr>
        <w:pStyle w:val="NormalWeb"/>
        <w:spacing w:before="0" w:beforeAutospacing="0" w:after="240" w:afterAutospacing="0"/>
        <w:jc w:val="both"/>
        <w:rPr>
          <w:sz w:val="22"/>
          <w:szCs w:val="22"/>
        </w:rPr>
      </w:pPr>
      <w:r w:rsidRPr="00147F4A">
        <w:rPr>
          <w:sz w:val="22"/>
          <w:szCs w:val="22"/>
        </w:rPr>
        <w:t xml:space="preserve">Becker, M. H., Haefner, D. P., Kasl, S. V., Kirscht, J. P., Maiman, L. A., &amp;Rosenstock, I. M. </w:t>
      </w:r>
      <w:r w:rsidRPr="00147F4A">
        <w:rPr>
          <w:sz w:val="22"/>
          <w:szCs w:val="22"/>
        </w:rPr>
        <w:tab/>
        <w:t xml:space="preserve">(1977). </w:t>
      </w:r>
      <w:r w:rsidR="00547A72" w:rsidRPr="00147F4A">
        <w:rPr>
          <w:sz w:val="22"/>
          <w:szCs w:val="22"/>
        </w:rPr>
        <w:tab/>
      </w:r>
      <w:r w:rsidRPr="00147F4A">
        <w:rPr>
          <w:sz w:val="22"/>
          <w:szCs w:val="22"/>
        </w:rPr>
        <w:t xml:space="preserve">Selected psychosocial models and correlates of individual health-related </w:t>
      </w:r>
      <w:r w:rsidRPr="00147F4A">
        <w:rPr>
          <w:sz w:val="22"/>
          <w:szCs w:val="22"/>
        </w:rPr>
        <w:tab/>
      </w:r>
      <w:proofErr w:type="spellStart"/>
      <w:r w:rsidRPr="00147F4A">
        <w:rPr>
          <w:sz w:val="22"/>
          <w:szCs w:val="22"/>
        </w:rPr>
        <w:t>behaviors</w:t>
      </w:r>
      <w:proofErr w:type="spellEnd"/>
      <w:r w:rsidRPr="00147F4A">
        <w:rPr>
          <w:sz w:val="22"/>
          <w:szCs w:val="22"/>
        </w:rPr>
        <w:t xml:space="preserve">. </w:t>
      </w:r>
      <w:r w:rsidRPr="00147F4A">
        <w:rPr>
          <w:rStyle w:val="Emphasis"/>
          <w:i w:val="0"/>
          <w:sz w:val="22"/>
          <w:szCs w:val="22"/>
        </w:rPr>
        <w:t xml:space="preserve">Medical </w:t>
      </w:r>
      <w:r w:rsidR="00547A72" w:rsidRPr="00147F4A">
        <w:rPr>
          <w:rStyle w:val="Emphasis"/>
          <w:i w:val="0"/>
          <w:sz w:val="22"/>
          <w:szCs w:val="22"/>
        </w:rPr>
        <w:tab/>
      </w:r>
      <w:r w:rsidRPr="00147F4A">
        <w:rPr>
          <w:rStyle w:val="Emphasis"/>
          <w:i w:val="0"/>
          <w:sz w:val="22"/>
          <w:szCs w:val="22"/>
        </w:rPr>
        <w:t>care</w:t>
      </w:r>
      <w:r w:rsidRPr="00147F4A">
        <w:rPr>
          <w:i/>
          <w:sz w:val="22"/>
          <w:szCs w:val="22"/>
        </w:rPr>
        <w:t xml:space="preserve">, </w:t>
      </w:r>
      <w:r w:rsidRPr="00147F4A">
        <w:rPr>
          <w:rStyle w:val="Emphasis"/>
          <w:sz w:val="22"/>
          <w:szCs w:val="22"/>
        </w:rPr>
        <w:t>15</w:t>
      </w:r>
      <w:r w:rsidRPr="00147F4A">
        <w:rPr>
          <w:sz w:val="22"/>
          <w:szCs w:val="22"/>
        </w:rPr>
        <w:t>(5), 27-46.</w:t>
      </w:r>
    </w:p>
    <w:p w:rsidR="00C11BC4" w:rsidRPr="00147F4A" w:rsidRDefault="00C11BC4" w:rsidP="00547A72">
      <w:pPr>
        <w:spacing w:line="240" w:lineRule="auto"/>
        <w:jc w:val="both"/>
        <w:rPr>
          <w:rFonts w:ascii="Times New Roman" w:hAnsi="Times New Roman" w:cs="Times New Roman"/>
        </w:rPr>
      </w:pPr>
      <w:r w:rsidRPr="00147F4A">
        <w:rPr>
          <w:rFonts w:ascii="Times New Roman" w:hAnsi="Times New Roman" w:cs="Times New Roman"/>
        </w:rPr>
        <w:t xml:space="preserve">Bosch, F. X., Broker, T. R., Forman, D., Moscicki, A. B., Gillison, M. L., Doorbar, J., Stern, P. </w:t>
      </w:r>
      <w:r w:rsidRPr="00147F4A">
        <w:rPr>
          <w:rFonts w:ascii="Times New Roman" w:hAnsi="Times New Roman" w:cs="Times New Roman"/>
        </w:rPr>
        <w:tab/>
        <w:t xml:space="preserve">L., </w:t>
      </w:r>
      <w:r w:rsidR="00547A72" w:rsidRPr="00147F4A">
        <w:rPr>
          <w:rFonts w:ascii="Times New Roman" w:hAnsi="Times New Roman" w:cs="Times New Roman"/>
        </w:rPr>
        <w:tab/>
      </w:r>
      <w:r w:rsidRPr="00147F4A">
        <w:rPr>
          <w:rFonts w:ascii="Times New Roman" w:hAnsi="Times New Roman" w:cs="Times New Roman"/>
        </w:rPr>
        <w:t xml:space="preserve">Stanley, M., &amp; Schiller, J. T. (2020). Comprehensive control of human papillomavirus </w:t>
      </w:r>
      <w:r w:rsidRPr="00147F4A">
        <w:rPr>
          <w:rFonts w:ascii="Times New Roman" w:hAnsi="Times New Roman" w:cs="Times New Roman"/>
        </w:rPr>
        <w:tab/>
        <w:t>infections and related diseases. Vaccine, 38(Suppl. 1), F1–F31.</w:t>
      </w:r>
    </w:p>
    <w:p w:rsidR="00D17EE5" w:rsidRPr="00147F4A" w:rsidRDefault="00D17EE5" w:rsidP="00547A72">
      <w:pPr>
        <w:spacing w:line="240" w:lineRule="auto"/>
        <w:jc w:val="both"/>
        <w:rPr>
          <w:rFonts w:ascii="Times New Roman" w:hAnsi="Times New Roman" w:cs="Times New Roman"/>
        </w:rPr>
      </w:pPr>
      <w:r w:rsidRPr="00147F4A">
        <w:rPr>
          <w:rFonts w:ascii="Times New Roman" w:hAnsi="Times New Roman" w:cs="Times New Roman"/>
        </w:rPr>
        <w:t xml:space="preserve">Bruni, L., Albero, G., Serrano, B., Mena, M., Gómez, D., Muñoz, J., Bosch, F. X., &amp; de </w:t>
      </w:r>
      <w:proofErr w:type="spellStart"/>
      <w:r w:rsidRPr="00147F4A">
        <w:rPr>
          <w:rFonts w:ascii="Times New Roman" w:hAnsi="Times New Roman" w:cs="Times New Roman"/>
        </w:rPr>
        <w:t>Sanjosé</w:t>
      </w:r>
      <w:proofErr w:type="spellEnd"/>
      <w:r w:rsidRPr="00147F4A">
        <w:rPr>
          <w:rFonts w:ascii="Times New Roman" w:hAnsi="Times New Roman" w:cs="Times New Roman"/>
        </w:rPr>
        <w:t xml:space="preserve">, </w:t>
      </w:r>
      <w:r w:rsidRPr="00147F4A">
        <w:rPr>
          <w:rFonts w:ascii="Times New Roman" w:hAnsi="Times New Roman" w:cs="Times New Roman"/>
        </w:rPr>
        <w:tab/>
        <w:t xml:space="preserve">S. </w:t>
      </w:r>
      <w:r w:rsidR="00547A72" w:rsidRPr="00147F4A">
        <w:rPr>
          <w:rFonts w:ascii="Times New Roman" w:hAnsi="Times New Roman" w:cs="Times New Roman"/>
        </w:rPr>
        <w:tab/>
      </w:r>
      <w:r w:rsidRPr="00147F4A">
        <w:rPr>
          <w:rFonts w:ascii="Times New Roman" w:hAnsi="Times New Roman" w:cs="Times New Roman"/>
        </w:rPr>
        <w:t xml:space="preserve">(2019). Human papillomavirus and related diseases in the world. ICO/IARC </w:t>
      </w:r>
      <w:r w:rsidRPr="00147F4A">
        <w:rPr>
          <w:rFonts w:ascii="Times New Roman" w:hAnsi="Times New Roman" w:cs="Times New Roman"/>
        </w:rPr>
        <w:tab/>
        <w:t xml:space="preserve">Information </w:t>
      </w:r>
      <w:r w:rsidR="00547A72" w:rsidRPr="00147F4A">
        <w:rPr>
          <w:rFonts w:ascii="Times New Roman" w:hAnsi="Times New Roman" w:cs="Times New Roman"/>
        </w:rPr>
        <w:tab/>
      </w:r>
      <w:r w:rsidRPr="00147F4A">
        <w:rPr>
          <w:rFonts w:ascii="Times New Roman" w:hAnsi="Times New Roman" w:cs="Times New Roman"/>
        </w:rPr>
        <w:t>Centre on HPV and Cancer (HPV Information Centre).</w:t>
      </w:r>
    </w:p>
    <w:p w:rsidR="00D17EE5" w:rsidRPr="00147F4A" w:rsidRDefault="00D17EE5" w:rsidP="00547A72">
      <w:pPr>
        <w:spacing w:line="240" w:lineRule="auto"/>
        <w:jc w:val="both"/>
        <w:rPr>
          <w:rFonts w:ascii="Times New Roman" w:hAnsi="Times New Roman" w:cs="Times New Roman"/>
        </w:rPr>
      </w:pPr>
      <w:r w:rsidRPr="00147F4A">
        <w:rPr>
          <w:rFonts w:ascii="Times New Roman" w:hAnsi="Times New Roman" w:cs="Times New Roman"/>
        </w:rPr>
        <w:t xml:space="preserve">Eze, J. N., Anosike, C. N., &amp;Chukwuma, A. O. (2021). Public awareness and acceptance of HPV </w:t>
      </w:r>
      <w:r w:rsidRPr="00147F4A">
        <w:rPr>
          <w:rFonts w:ascii="Times New Roman" w:hAnsi="Times New Roman" w:cs="Times New Roman"/>
        </w:rPr>
        <w:tab/>
        <w:t>vaccination in South-East Nigeria. Nigerian Journal of Health Promotion, 14(2), 55–67.</w:t>
      </w:r>
    </w:p>
    <w:p w:rsidR="00D17EE5" w:rsidRPr="00147F4A" w:rsidRDefault="00D17EE5" w:rsidP="00547A72">
      <w:pPr>
        <w:pStyle w:val="NormalWeb"/>
        <w:spacing w:before="0" w:beforeAutospacing="0" w:after="240" w:afterAutospacing="0"/>
        <w:jc w:val="both"/>
        <w:rPr>
          <w:sz w:val="22"/>
          <w:szCs w:val="22"/>
        </w:rPr>
      </w:pPr>
      <w:r w:rsidRPr="00147F4A">
        <w:rPr>
          <w:bCs/>
          <w:sz w:val="22"/>
          <w:szCs w:val="22"/>
        </w:rPr>
        <w:t>Eze, N. M., &amp; Obi, P. C.</w:t>
      </w:r>
      <w:r w:rsidRPr="00147F4A">
        <w:rPr>
          <w:sz w:val="22"/>
          <w:szCs w:val="22"/>
        </w:rPr>
        <w:t xml:space="preserve"> (2022). Addressing stigma in health campaigns: Lessons from HPV </w:t>
      </w:r>
      <w:r w:rsidRPr="00147F4A">
        <w:rPr>
          <w:sz w:val="22"/>
          <w:szCs w:val="22"/>
        </w:rPr>
        <w:tab/>
        <w:t>vaccination efforts in conservative communitie</w:t>
      </w:r>
      <w:r w:rsidRPr="00147F4A">
        <w:rPr>
          <w:i/>
          <w:sz w:val="22"/>
          <w:szCs w:val="22"/>
        </w:rPr>
        <w:t>s</w:t>
      </w:r>
      <w:r w:rsidRPr="00147F4A">
        <w:rPr>
          <w:sz w:val="22"/>
          <w:szCs w:val="22"/>
        </w:rPr>
        <w:t xml:space="preserve">. </w:t>
      </w:r>
      <w:r w:rsidRPr="00147F4A">
        <w:rPr>
          <w:iCs/>
          <w:sz w:val="22"/>
          <w:szCs w:val="22"/>
        </w:rPr>
        <w:t>International Journal of Public Health</w:t>
      </w:r>
      <w:r w:rsidRPr="00147F4A">
        <w:rPr>
          <w:sz w:val="22"/>
          <w:szCs w:val="22"/>
        </w:rPr>
        <w:t xml:space="preserve">, </w:t>
      </w:r>
      <w:r w:rsidRPr="00147F4A">
        <w:rPr>
          <w:sz w:val="22"/>
          <w:szCs w:val="22"/>
        </w:rPr>
        <w:tab/>
      </w:r>
      <w:r w:rsidRPr="00147F4A">
        <w:rPr>
          <w:iCs/>
          <w:sz w:val="22"/>
          <w:szCs w:val="22"/>
        </w:rPr>
        <w:t>29</w:t>
      </w:r>
      <w:r w:rsidRPr="00147F4A">
        <w:rPr>
          <w:sz w:val="22"/>
          <w:szCs w:val="22"/>
        </w:rPr>
        <w:t xml:space="preserve">(2), </w:t>
      </w:r>
      <w:r w:rsidR="00547A72" w:rsidRPr="00147F4A">
        <w:rPr>
          <w:sz w:val="22"/>
          <w:szCs w:val="22"/>
        </w:rPr>
        <w:tab/>
      </w:r>
      <w:r w:rsidRPr="00147F4A">
        <w:rPr>
          <w:sz w:val="22"/>
          <w:szCs w:val="22"/>
        </w:rPr>
        <w:t>88-102.</w:t>
      </w:r>
    </w:p>
    <w:p w:rsidR="00C93FDA" w:rsidRPr="00147F4A" w:rsidRDefault="00D17EE5" w:rsidP="00C93FDA">
      <w:pPr>
        <w:spacing w:line="240" w:lineRule="auto"/>
        <w:jc w:val="both"/>
        <w:rPr>
          <w:rFonts w:ascii="Times New Roman" w:hAnsi="Times New Roman"/>
        </w:rPr>
      </w:pPr>
      <w:r w:rsidRPr="00147F4A">
        <w:rPr>
          <w:rFonts w:ascii="Times New Roman" w:hAnsi="Times New Roman" w:cs="Times New Roman"/>
        </w:rPr>
        <w:t xml:space="preserve">Forman, D., de Martel, C., Lacey, C. J., </w:t>
      </w:r>
      <w:proofErr w:type="spellStart"/>
      <w:r w:rsidRPr="00147F4A">
        <w:rPr>
          <w:rFonts w:ascii="Times New Roman" w:hAnsi="Times New Roman" w:cs="Times New Roman"/>
        </w:rPr>
        <w:t>Soerjomataram</w:t>
      </w:r>
      <w:proofErr w:type="spellEnd"/>
      <w:r w:rsidRPr="00147F4A">
        <w:rPr>
          <w:rFonts w:ascii="Times New Roman" w:hAnsi="Times New Roman" w:cs="Times New Roman"/>
        </w:rPr>
        <w:t xml:space="preserve">, I., &amp; Bray, F. (2019). Global burden of </w:t>
      </w:r>
      <w:r w:rsidRPr="00147F4A">
        <w:rPr>
          <w:rFonts w:ascii="Times New Roman" w:hAnsi="Times New Roman" w:cs="Times New Roman"/>
        </w:rPr>
        <w:tab/>
        <w:t xml:space="preserve">human </w:t>
      </w:r>
    </w:p>
    <w:p w:rsidR="00D17EE5" w:rsidRPr="00147F4A" w:rsidRDefault="00547A72" w:rsidP="00547A72">
      <w:pPr>
        <w:spacing w:line="240" w:lineRule="auto"/>
        <w:jc w:val="both"/>
        <w:rPr>
          <w:rFonts w:ascii="Times New Roman" w:hAnsi="Times New Roman" w:cs="Times New Roman"/>
        </w:rPr>
      </w:pPr>
      <w:r w:rsidRPr="00147F4A">
        <w:rPr>
          <w:rFonts w:ascii="Times New Roman" w:hAnsi="Times New Roman" w:cs="Times New Roman"/>
        </w:rPr>
        <w:tab/>
      </w:r>
      <w:r w:rsidR="00D17EE5" w:rsidRPr="00147F4A">
        <w:rPr>
          <w:rFonts w:ascii="Times New Roman" w:hAnsi="Times New Roman" w:cs="Times New Roman"/>
        </w:rPr>
        <w:t>papillomavirus and related diseases. Vaccine, 37(17), 2455–2460.</w:t>
      </w:r>
    </w:p>
    <w:p w:rsidR="00C93FDA" w:rsidRPr="00147F4A" w:rsidRDefault="00C93FDA" w:rsidP="00C93FDA">
      <w:pPr>
        <w:spacing w:line="240" w:lineRule="auto"/>
        <w:jc w:val="both"/>
        <w:rPr>
          <w:rFonts w:ascii="Times New Roman" w:hAnsi="Times New Roman"/>
        </w:rPr>
      </w:pPr>
      <w:r w:rsidRPr="00147F4A">
        <w:rPr>
          <w:rFonts w:ascii="Times New Roman" w:hAnsi="Times New Roman"/>
        </w:rPr>
        <w:t xml:space="preserve">Hussain, A., Ali, S., Ahmed, M., &amp; Hussain, S. (2018) The Anti-vaccination Movement: A </w:t>
      </w:r>
      <w:r w:rsidRPr="00147F4A">
        <w:rPr>
          <w:rFonts w:ascii="Times New Roman" w:hAnsi="Times New Roman"/>
        </w:rPr>
        <w:tab/>
        <w:t>Regression in Modern Medicine. Cureus, 10 (7), e2919</w:t>
      </w:r>
    </w:p>
    <w:p w:rsidR="00D17EE5" w:rsidRPr="00147F4A" w:rsidRDefault="00D17EE5" w:rsidP="00547A72">
      <w:pPr>
        <w:spacing w:line="240" w:lineRule="auto"/>
        <w:jc w:val="both"/>
        <w:rPr>
          <w:rFonts w:ascii="Times New Roman" w:hAnsi="Times New Roman" w:cs="Times New Roman"/>
        </w:rPr>
      </w:pPr>
      <w:proofErr w:type="spellStart"/>
      <w:r w:rsidRPr="00147F4A">
        <w:rPr>
          <w:rFonts w:ascii="Times New Roman" w:hAnsi="Times New Roman" w:cs="Times New Roman"/>
        </w:rPr>
        <w:t>Launiala</w:t>
      </w:r>
      <w:proofErr w:type="spellEnd"/>
      <w:r w:rsidRPr="00147F4A">
        <w:rPr>
          <w:rFonts w:ascii="Times New Roman" w:hAnsi="Times New Roman" w:cs="Times New Roman"/>
        </w:rPr>
        <w:t xml:space="preserve">, A. (2009). How much can a KAP survey tell us about people’s knowledge, attitudes </w:t>
      </w:r>
      <w:r w:rsidRPr="00147F4A">
        <w:rPr>
          <w:rFonts w:ascii="Times New Roman" w:hAnsi="Times New Roman" w:cs="Times New Roman"/>
        </w:rPr>
        <w:tab/>
        <w:t xml:space="preserve">and </w:t>
      </w:r>
      <w:r w:rsidR="00547A72" w:rsidRPr="00147F4A">
        <w:rPr>
          <w:rFonts w:ascii="Times New Roman" w:hAnsi="Times New Roman" w:cs="Times New Roman"/>
        </w:rPr>
        <w:tab/>
      </w:r>
      <w:r w:rsidRPr="00147F4A">
        <w:rPr>
          <w:rFonts w:ascii="Times New Roman" w:hAnsi="Times New Roman" w:cs="Times New Roman"/>
        </w:rPr>
        <w:t>practices? Anthropology Matters Journal, 11(1), 1–13.</w:t>
      </w:r>
    </w:p>
    <w:p w:rsidR="00C93FDA" w:rsidRPr="00147F4A" w:rsidRDefault="00C93FDA" w:rsidP="00C93FDA">
      <w:pPr>
        <w:jc w:val="both"/>
        <w:rPr>
          <w:rFonts w:ascii="Times New Roman" w:hAnsi="Times New Roman"/>
        </w:rPr>
      </w:pPr>
      <w:r w:rsidRPr="00147F4A">
        <w:rPr>
          <w:rFonts w:ascii="Times New Roman" w:hAnsi="Times New Roman"/>
        </w:rPr>
        <w:lastRenderedPageBreak/>
        <w:t xml:space="preserve">National Cancer Institute. (2008) The Role of the Mass Media in Promoting and Reducing </w:t>
      </w:r>
      <w:r w:rsidRPr="00147F4A">
        <w:rPr>
          <w:rFonts w:ascii="Times New Roman" w:hAnsi="Times New Roman"/>
        </w:rPr>
        <w:tab/>
        <w:t xml:space="preserve">Tobacco use. Tobacco Control Monograph No. 19. NIH Pub. No. 07-6242. Bethesda, </w:t>
      </w:r>
      <w:r w:rsidRPr="00147F4A">
        <w:rPr>
          <w:rFonts w:ascii="Times New Roman" w:hAnsi="Times New Roman"/>
        </w:rPr>
        <w:tab/>
        <w:t xml:space="preserve">MD: US. Department of health and Human Services, National Institutes of health, </w:t>
      </w:r>
      <w:r w:rsidRPr="00147F4A">
        <w:rPr>
          <w:rFonts w:ascii="Times New Roman" w:hAnsi="Times New Roman"/>
        </w:rPr>
        <w:tab/>
        <w:t xml:space="preserve">Nationalcancer Institute. </w:t>
      </w:r>
    </w:p>
    <w:p w:rsidR="00D17EE5" w:rsidRPr="00147F4A" w:rsidRDefault="00D17EE5" w:rsidP="00CB54BC">
      <w:pPr>
        <w:rPr>
          <w:rFonts w:ascii="Times New Roman" w:hAnsi="Times New Roman" w:cs="Times New Roman"/>
        </w:rPr>
      </w:pPr>
      <w:r w:rsidRPr="00147F4A">
        <w:rPr>
          <w:rFonts w:ascii="Times New Roman" w:hAnsi="Times New Roman" w:cs="Times New Roman"/>
        </w:rPr>
        <w:t xml:space="preserve">Okeke, </w:t>
      </w:r>
      <w:r w:rsidR="00547A72" w:rsidRPr="00147F4A">
        <w:rPr>
          <w:rFonts w:ascii="Times New Roman" w:hAnsi="Times New Roman" w:cs="Times New Roman"/>
        </w:rPr>
        <w:tab/>
      </w:r>
      <w:r w:rsidRPr="00147F4A">
        <w:rPr>
          <w:rFonts w:ascii="Times New Roman" w:hAnsi="Times New Roman" w:cs="Times New Roman"/>
        </w:rPr>
        <w:t xml:space="preserve">I. F., Onyeka, T. C., &amp;Iheanacho, A. (2020). Cultural beliefs and health-seeking </w:t>
      </w:r>
      <w:r w:rsidRPr="00147F4A">
        <w:rPr>
          <w:rFonts w:ascii="Times New Roman" w:hAnsi="Times New Roman" w:cs="Times New Roman"/>
        </w:rPr>
        <w:tab/>
      </w:r>
      <w:proofErr w:type="spellStart"/>
      <w:r w:rsidRPr="00147F4A">
        <w:rPr>
          <w:rFonts w:ascii="Times New Roman" w:hAnsi="Times New Roman" w:cs="Times New Roman"/>
        </w:rPr>
        <w:t>behaviour</w:t>
      </w:r>
      <w:proofErr w:type="spellEnd"/>
      <w:r w:rsidR="00547A72" w:rsidRPr="00147F4A">
        <w:rPr>
          <w:rFonts w:ascii="Times New Roman" w:hAnsi="Times New Roman" w:cs="Times New Roman"/>
        </w:rPr>
        <w:tab/>
      </w:r>
      <w:r w:rsidRPr="00147F4A">
        <w:rPr>
          <w:rFonts w:ascii="Times New Roman" w:hAnsi="Times New Roman" w:cs="Times New Roman"/>
        </w:rPr>
        <w:t>among rural women in Nigeria. African Health Sciences, 20(3), 1345–1353.</w:t>
      </w:r>
    </w:p>
    <w:p w:rsidR="00C93FDA" w:rsidRPr="00147F4A" w:rsidRDefault="00D17EE5" w:rsidP="00547A72">
      <w:pPr>
        <w:spacing w:line="240" w:lineRule="auto"/>
        <w:jc w:val="both"/>
        <w:rPr>
          <w:rFonts w:ascii="Times New Roman" w:hAnsi="Times New Roman" w:cs="Times New Roman"/>
        </w:rPr>
      </w:pPr>
      <w:r w:rsidRPr="00147F4A">
        <w:rPr>
          <w:rFonts w:ascii="Times New Roman" w:hAnsi="Times New Roman" w:cs="Times New Roman"/>
        </w:rPr>
        <w:t xml:space="preserve">Rosenstock, I. M. (1974). The health belief model and preventive health behavior. Health </w:t>
      </w:r>
      <w:r w:rsidRPr="00147F4A">
        <w:rPr>
          <w:rFonts w:ascii="Times New Roman" w:hAnsi="Times New Roman" w:cs="Times New Roman"/>
        </w:rPr>
        <w:tab/>
        <w:t>Education Monographs, 2(4), 354–386.</w:t>
      </w:r>
    </w:p>
    <w:p w:rsidR="00C93FDA" w:rsidRPr="00147F4A" w:rsidRDefault="00C93FDA" w:rsidP="00C93FDA">
      <w:pPr>
        <w:spacing w:line="240" w:lineRule="auto"/>
        <w:jc w:val="both"/>
        <w:rPr>
          <w:rFonts w:ascii="Times New Roman" w:hAnsi="Times New Roman"/>
        </w:rPr>
      </w:pPr>
      <w:r w:rsidRPr="00147F4A">
        <w:rPr>
          <w:rFonts w:ascii="Times New Roman" w:hAnsi="Times New Roman"/>
        </w:rPr>
        <w:t xml:space="preserve">Thackeray, R., Neiger, B. L., Hanson, C. L., &amp; McKenzie, J. F. (2012). </w:t>
      </w:r>
      <w:r w:rsidRPr="00147F4A">
        <w:rPr>
          <w:rStyle w:val="Emphasis"/>
        </w:rPr>
        <w:t xml:space="preserve">Enhancing promotional </w:t>
      </w:r>
      <w:r w:rsidRPr="00147F4A">
        <w:rPr>
          <w:rStyle w:val="Emphasis"/>
        </w:rPr>
        <w:tab/>
        <w:t>strategies within social marketing programs: Use of Web 2.0 social media.</w:t>
      </w:r>
      <w:r w:rsidRPr="00147F4A">
        <w:rPr>
          <w:rFonts w:ascii="Times New Roman" w:hAnsi="Times New Roman"/>
        </w:rPr>
        <w:t xml:space="preserve"> Health </w:t>
      </w:r>
      <w:r w:rsidRPr="00147F4A">
        <w:rPr>
          <w:rFonts w:ascii="Times New Roman" w:hAnsi="Times New Roman"/>
        </w:rPr>
        <w:tab/>
        <w:t>Promotion Practice. doi:10.1177/1524839908325335</w:t>
      </w:r>
    </w:p>
    <w:p w:rsidR="00C93FDA" w:rsidRPr="00147F4A" w:rsidRDefault="00C93FDA" w:rsidP="00547A72">
      <w:pPr>
        <w:spacing w:line="240" w:lineRule="auto"/>
        <w:jc w:val="both"/>
        <w:rPr>
          <w:rFonts w:ascii="Times New Roman" w:hAnsi="Times New Roman" w:cs="Times New Roman"/>
        </w:rPr>
      </w:pPr>
    </w:p>
    <w:p w:rsidR="00D17EE5" w:rsidRPr="00147F4A" w:rsidRDefault="00D17EE5" w:rsidP="00547A72">
      <w:pPr>
        <w:spacing w:line="240" w:lineRule="auto"/>
        <w:jc w:val="both"/>
        <w:rPr>
          <w:rFonts w:ascii="Times New Roman" w:hAnsi="Times New Roman" w:cs="Times New Roman"/>
        </w:rPr>
      </w:pPr>
      <w:proofErr w:type="spellStart"/>
      <w:r w:rsidRPr="00147F4A">
        <w:rPr>
          <w:rFonts w:ascii="Times New Roman" w:hAnsi="Times New Roman" w:cs="Times New Roman"/>
        </w:rPr>
        <w:t>Umeokonkwo</w:t>
      </w:r>
      <w:proofErr w:type="spellEnd"/>
      <w:r w:rsidRPr="00147F4A">
        <w:rPr>
          <w:rFonts w:ascii="Times New Roman" w:hAnsi="Times New Roman" w:cs="Times New Roman"/>
        </w:rPr>
        <w:t>, C. D., Ibekwe, U., &amp;Okechukwu, N. C. (2022). Vaccine hesitancy and socio-</w:t>
      </w:r>
      <w:r w:rsidRPr="00147F4A">
        <w:rPr>
          <w:rFonts w:ascii="Times New Roman" w:hAnsi="Times New Roman" w:cs="Times New Roman"/>
        </w:rPr>
        <w:tab/>
        <w:t xml:space="preserve">cultural </w:t>
      </w:r>
      <w:r w:rsidR="00547A72" w:rsidRPr="00147F4A">
        <w:rPr>
          <w:rFonts w:ascii="Times New Roman" w:hAnsi="Times New Roman" w:cs="Times New Roman"/>
        </w:rPr>
        <w:tab/>
      </w:r>
      <w:r w:rsidRPr="00147F4A">
        <w:rPr>
          <w:rFonts w:ascii="Times New Roman" w:hAnsi="Times New Roman" w:cs="Times New Roman"/>
        </w:rPr>
        <w:t>influences in Nigeria. Pan African Medical Journal, 41(112), 1–10.</w:t>
      </w:r>
    </w:p>
    <w:p w:rsidR="00D17EE5" w:rsidRPr="00147F4A" w:rsidRDefault="00547A72" w:rsidP="00547A72">
      <w:pPr>
        <w:pStyle w:val="NormalWeb"/>
        <w:jc w:val="both"/>
        <w:rPr>
          <w:sz w:val="22"/>
          <w:szCs w:val="22"/>
        </w:rPr>
      </w:pPr>
      <w:r w:rsidRPr="00147F4A">
        <w:rPr>
          <w:sz w:val="22"/>
          <w:szCs w:val="22"/>
        </w:rPr>
        <w:tab/>
      </w:r>
      <w:r w:rsidR="00D17EE5" w:rsidRPr="00147F4A">
        <w:rPr>
          <w:sz w:val="22"/>
          <w:szCs w:val="22"/>
        </w:rPr>
        <w:t>Retrieved from https://www.unicef.org/nigeria/press-releases/nigeria-vaccinate-</w:t>
      </w:r>
      <w:r w:rsidR="00D17EE5" w:rsidRPr="00147F4A">
        <w:rPr>
          <w:sz w:val="22"/>
          <w:szCs w:val="22"/>
        </w:rPr>
        <w:tab/>
        <w:t>77-million-</w:t>
      </w:r>
      <w:r w:rsidRPr="00147F4A">
        <w:rPr>
          <w:sz w:val="22"/>
          <w:szCs w:val="22"/>
        </w:rPr>
        <w:tab/>
      </w:r>
      <w:r w:rsidR="00D17EE5" w:rsidRPr="00147F4A">
        <w:rPr>
          <w:sz w:val="22"/>
          <w:szCs w:val="22"/>
        </w:rPr>
        <w:t>girls-against-leading-cause-of-cervical-cancer.</w:t>
      </w:r>
    </w:p>
    <w:p w:rsidR="00C93FDA" w:rsidRPr="00147F4A" w:rsidRDefault="00C93FDA" w:rsidP="00C93FDA">
      <w:pPr>
        <w:jc w:val="both"/>
        <w:rPr>
          <w:rFonts w:ascii="Times New Roman" w:hAnsi="Times New Roman"/>
        </w:rPr>
      </w:pPr>
      <w:r w:rsidRPr="00147F4A">
        <w:rPr>
          <w:rFonts w:ascii="Times New Roman" w:hAnsi="Times New Roman"/>
        </w:rPr>
        <w:t xml:space="preserve">Ventola, C. L. (2014). Social media and health care professionals: Benefits, risks, and best </w:t>
      </w:r>
      <w:r w:rsidRPr="00147F4A">
        <w:rPr>
          <w:rFonts w:ascii="Times New Roman" w:hAnsi="Times New Roman"/>
        </w:rPr>
        <w:tab/>
        <w:t xml:space="preserve">practices. </w:t>
      </w:r>
      <w:r w:rsidRPr="00147F4A">
        <w:rPr>
          <w:rStyle w:val="Emphasis"/>
        </w:rPr>
        <w:t>P&amp;T: A Peer-Reviewed Journal for Formulary Management, 39</w:t>
      </w:r>
      <w:r w:rsidRPr="00147F4A">
        <w:rPr>
          <w:rFonts w:ascii="Times New Roman" w:hAnsi="Times New Roman"/>
        </w:rPr>
        <w:t xml:space="preserve">(7), 491–520. </w:t>
      </w:r>
    </w:p>
    <w:p w:rsidR="00C93FDA" w:rsidRPr="00147F4A" w:rsidRDefault="00C93FDA" w:rsidP="00C93FDA">
      <w:pPr>
        <w:pStyle w:val="NormalWeb"/>
        <w:spacing w:before="0" w:beforeAutospacing="0" w:after="240" w:afterAutospacing="0"/>
        <w:jc w:val="both"/>
        <w:rPr>
          <w:sz w:val="22"/>
          <w:szCs w:val="22"/>
        </w:rPr>
      </w:pPr>
      <w:r w:rsidRPr="00147F4A">
        <w:rPr>
          <w:rStyle w:val="Strong"/>
          <w:b w:val="0"/>
          <w:sz w:val="22"/>
          <w:szCs w:val="22"/>
        </w:rPr>
        <w:t>Wakefield, M. A., Loken, B., &amp;Hornik, R. C.</w:t>
      </w:r>
      <w:r w:rsidRPr="00147F4A">
        <w:rPr>
          <w:b/>
          <w:sz w:val="22"/>
          <w:szCs w:val="22"/>
        </w:rPr>
        <w:t>(</w:t>
      </w:r>
      <w:r w:rsidRPr="00147F4A">
        <w:rPr>
          <w:sz w:val="22"/>
          <w:szCs w:val="22"/>
        </w:rPr>
        <w:t xml:space="preserve">2010). </w:t>
      </w:r>
      <w:r w:rsidRPr="00147F4A">
        <w:rPr>
          <w:i/>
          <w:sz w:val="22"/>
          <w:szCs w:val="22"/>
        </w:rPr>
        <w:t xml:space="preserve">Use of </w:t>
      </w:r>
      <w:r w:rsidRPr="00147F4A">
        <w:rPr>
          <w:sz w:val="22"/>
          <w:szCs w:val="22"/>
        </w:rPr>
        <w:t xml:space="preserve">mass media campaigns to change </w:t>
      </w:r>
      <w:r w:rsidRPr="00147F4A">
        <w:rPr>
          <w:sz w:val="22"/>
          <w:szCs w:val="22"/>
        </w:rPr>
        <w:tab/>
        <w:t xml:space="preserve">health behaviour. </w:t>
      </w:r>
      <w:r w:rsidRPr="00147F4A">
        <w:rPr>
          <w:rStyle w:val="Emphasis"/>
          <w:sz w:val="22"/>
          <w:szCs w:val="22"/>
        </w:rPr>
        <w:t>The Lancet</w:t>
      </w:r>
      <w:r w:rsidRPr="00147F4A">
        <w:rPr>
          <w:sz w:val="22"/>
          <w:szCs w:val="22"/>
        </w:rPr>
        <w:t xml:space="preserve">, </w:t>
      </w:r>
      <w:r w:rsidRPr="00147F4A">
        <w:rPr>
          <w:rStyle w:val="Emphasis"/>
          <w:sz w:val="22"/>
          <w:szCs w:val="22"/>
        </w:rPr>
        <w:t>376</w:t>
      </w:r>
      <w:r w:rsidRPr="00147F4A">
        <w:rPr>
          <w:sz w:val="22"/>
          <w:szCs w:val="22"/>
        </w:rPr>
        <w:t>(9748), 1261-1271. https://doi.org/10.1016/S0140-</w:t>
      </w:r>
      <w:r w:rsidRPr="00147F4A">
        <w:rPr>
          <w:sz w:val="22"/>
          <w:szCs w:val="22"/>
        </w:rPr>
        <w:tab/>
        <w:t>6736(10)60809-4</w:t>
      </w:r>
    </w:p>
    <w:p w:rsidR="00D17EE5" w:rsidRPr="00147F4A" w:rsidRDefault="00D17EE5" w:rsidP="00547A72">
      <w:pPr>
        <w:spacing w:line="240" w:lineRule="auto"/>
        <w:jc w:val="both"/>
        <w:rPr>
          <w:rFonts w:ascii="Times New Roman" w:hAnsi="Times New Roman" w:cs="Times New Roman"/>
        </w:rPr>
      </w:pPr>
      <w:r w:rsidRPr="00147F4A">
        <w:rPr>
          <w:rFonts w:ascii="Times New Roman" w:hAnsi="Times New Roman" w:cs="Times New Roman"/>
        </w:rPr>
        <w:t xml:space="preserve">World Health Organization. (2021). Global strategy to accelerate the elimination of cervical </w:t>
      </w:r>
      <w:r w:rsidRPr="00147F4A">
        <w:rPr>
          <w:rFonts w:ascii="Times New Roman" w:hAnsi="Times New Roman" w:cs="Times New Roman"/>
        </w:rPr>
        <w:tab/>
        <w:t xml:space="preserve">cancer </w:t>
      </w:r>
      <w:r w:rsidR="00547A72" w:rsidRPr="00147F4A">
        <w:rPr>
          <w:rFonts w:ascii="Times New Roman" w:hAnsi="Times New Roman" w:cs="Times New Roman"/>
        </w:rPr>
        <w:tab/>
      </w:r>
      <w:r w:rsidRPr="00147F4A">
        <w:rPr>
          <w:rFonts w:ascii="Times New Roman" w:hAnsi="Times New Roman" w:cs="Times New Roman"/>
        </w:rPr>
        <w:t>as a public health problem. Geneva: WHO.</w:t>
      </w:r>
    </w:p>
    <w:p w:rsidR="00D17EE5" w:rsidRPr="00147F4A" w:rsidRDefault="00D17EE5" w:rsidP="00547A72">
      <w:pPr>
        <w:pStyle w:val="NormalWeb"/>
        <w:tabs>
          <w:tab w:val="left" w:pos="3450"/>
        </w:tabs>
        <w:spacing w:before="0" w:beforeAutospacing="0" w:after="240" w:afterAutospacing="0"/>
        <w:jc w:val="both"/>
        <w:rPr>
          <w:sz w:val="22"/>
          <w:szCs w:val="22"/>
        </w:rPr>
      </w:pPr>
      <w:r w:rsidRPr="00147F4A">
        <w:rPr>
          <w:sz w:val="22"/>
          <w:szCs w:val="22"/>
        </w:rPr>
        <w:t xml:space="preserve">World Health Organization. (2020). </w:t>
      </w:r>
      <w:r w:rsidRPr="00147F4A">
        <w:rPr>
          <w:iCs/>
          <w:sz w:val="22"/>
          <w:szCs w:val="22"/>
        </w:rPr>
        <w:t>Human papillomavirus (HPV) and cervical cancer</w:t>
      </w:r>
      <w:r w:rsidRPr="00147F4A">
        <w:rPr>
          <w:i/>
          <w:iCs/>
          <w:sz w:val="22"/>
          <w:szCs w:val="22"/>
        </w:rPr>
        <w:t xml:space="preserve">. </w:t>
      </w:r>
      <w:r w:rsidRPr="00147F4A">
        <w:rPr>
          <w:i/>
          <w:iCs/>
          <w:sz w:val="22"/>
          <w:szCs w:val="22"/>
        </w:rPr>
        <w:tab/>
      </w:r>
      <w:r w:rsidRPr="00147F4A">
        <w:rPr>
          <w:sz w:val="22"/>
          <w:szCs w:val="22"/>
        </w:rPr>
        <w:t xml:space="preserve">Retrieved from </w:t>
      </w:r>
      <w:hyperlink r:id="rId6" w:history="1">
        <w:r w:rsidR="00147F4A" w:rsidRPr="00147F4A">
          <w:rPr>
            <w:rStyle w:val="Hyperlink"/>
            <w:sz w:val="22"/>
            <w:szCs w:val="22"/>
          </w:rPr>
          <w:t>https://www.who.int/news-room/fact-</w:t>
        </w:r>
        <w:r w:rsidR="00147F4A" w:rsidRPr="00147F4A">
          <w:rPr>
            <w:rStyle w:val="Hyperlink"/>
            <w:sz w:val="22"/>
            <w:szCs w:val="22"/>
          </w:rPr>
          <w:tab/>
          <w:t>sheets/detail/human-</w:t>
        </w:r>
        <w:r w:rsidR="00147F4A" w:rsidRPr="00147F4A">
          <w:rPr>
            <w:rStyle w:val="Hyperlink"/>
            <w:sz w:val="22"/>
            <w:szCs w:val="22"/>
          </w:rPr>
          <w:tab/>
          <w:t>papillomavirus-(hpv)-and cervical-cancer</w:t>
        </w:r>
      </w:hyperlink>
    </w:p>
    <w:p w:rsidR="00D17EE5" w:rsidRPr="00147F4A" w:rsidRDefault="00D17EE5" w:rsidP="00547A72">
      <w:pPr>
        <w:pStyle w:val="NormalWeb"/>
        <w:jc w:val="both"/>
        <w:rPr>
          <w:sz w:val="22"/>
          <w:szCs w:val="22"/>
        </w:rPr>
      </w:pPr>
    </w:p>
    <w:p w:rsidR="00DE5EF4" w:rsidRPr="00147F4A" w:rsidRDefault="00DE5EF4" w:rsidP="00547A72">
      <w:pPr>
        <w:spacing w:line="240" w:lineRule="auto"/>
        <w:rPr>
          <w:rFonts w:ascii="Times New Roman" w:hAnsi="Times New Roman" w:cs="Times New Roman"/>
          <w:b/>
        </w:rPr>
      </w:pPr>
    </w:p>
    <w:p w:rsidR="00B82393" w:rsidRPr="00147F4A" w:rsidRDefault="00B82393" w:rsidP="00547A72">
      <w:pPr>
        <w:spacing w:line="240" w:lineRule="auto"/>
        <w:rPr>
          <w:rFonts w:ascii="Times New Roman" w:hAnsi="Times New Roman" w:cs="Times New Roman"/>
          <w:b/>
        </w:rPr>
      </w:pPr>
    </w:p>
    <w:p w:rsidR="00B82393" w:rsidRPr="00147F4A" w:rsidRDefault="00B82393" w:rsidP="00547A72">
      <w:pPr>
        <w:spacing w:before="80" w:after="120" w:line="360" w:lineRule="auto"/>
        <w:ind w:firstLine="720"/>
        <w:jc w:val="both"/>
        <w:rPr>
          <w:rFonts w:ascii="Times New Roman" w:hAnsi="Times New Roman" w:cs="Times New Roman"/>
        </w:rPr>
      </w:pPr>
    </w:p>
    <w:p w:rsidR="00B82393" w:rsidRPr="00147F4A" w:rsidRDefault="00B82393" w:rsidP="00547A72">
      <w:pPr>
        <w:spacing w:before="200" w:after="400" w:line="360" w:lineRule="auto"/>
        <w:jc w:val="both"/>
        <w:rPr>
          <w:rFonts w:ascii="Times New Roman" w:hAnsi="Times New Roman" w:cs="Times New Roman"/>
        </w:rPr>
      </w:pPr>
    </w:p>
    <w:p w:rsidR="00AE24F5" w:rsidRPr="00147F4A" w:rsidRDefault="00AE24F5" w:rsidP="00147F4A">
      <w:pPr>
        <w:spacing w:line="360" w:lineRule="auto"/>
        <w:jc w:val="both"/>
        <w:rPr>
          <w:rFonts w:ascii="Times New Roman" w:hAnsi="Times New Roman" w:cs="Times New Roman"/>
        </w:rPr>
      </w:pPr>
    </w:p>
    <w:sectPr w:rsidR="00AE24F5" w:rsidRPr="00147F4A" w:rsidSect="00850C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EC321A"/>
    <w:multiLevelType w:val="hybridMultilevel"/>
    <w:tmpl w:val="B604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F2E5B"/>
    <w:rsid w:val="000302C6"/>
    <w:rsid w:val="00040A2B"/>
    <w:rsid w:val="00046B48"/>
    <w:rsid w:val="00075032"/>
    <w:rsid w:val="000F61E0"/>
    <w:rsid w:val="00147F4A"/>
    <w:rsid w:val="0015378C"/>
    <w:rsid w:val="0016267D"/>
    <w:rsid w:val="001818DA"/>
    <w:rsid w:val="001839E6"/>
    <w:rsid w:val="001A361B"/>
    <w:rsid w:val="00243237"/>
    <w:rsid w:val="00276704"/>
    <w:rsid w:val="002E35E3"/>
    <w:rsid w:val="00327DDE"/>
    <w:rsid w:val="00331F3E"/>
    <w:rsid w:val="00354C63"/>
    <w:rsid w:val="003D1332"/>
    <w:rsid w:val="004004A6"/>
    <w:rsid w:val="00411B15"/>
    <w:rsid w:val="0043236A"/>
    <w:rsid w:val="00472121"/>
    <w:rsid w:val="004C7FF2"/>
    <w:rsid w:val="005148D5"/>
    <w:rsid w:val="00547A72"/>
    <w:rsid w:val="00552DBE"/>
    <w:rsid w:val="00561071"/>
    <w:rsid w:val="005668D2"/>
    <w:rsid w:val="00573844"/>
    <w:rsid w:val="00595957"/>
    <w:rsid w:val="005D7226"/>
    <w:rsid w:val="005E1566"/>
    <w:rsid w:val="005F52CD"/>
    <w:rsid w:val="0060247D"/>
    <w:rsid w:val="00641ED8"/>
    <w:rsid w:val="00685A83"/>
    <w:rsid w:val="006A3887"/>
    <w:rsid w:val="006D6861"/>
    <w:rsid w:val="007033E3"/>
    <w:rsid w:val="00716E91"/>
    <w:rsid w:val="00745D65"/>
    <w:rsid w:val="007959FF"/>
    <w:rsid w:val="007D6718"/>
    <w:rsid w:val="007F7F37"/>
    <w:rsid w:val="00812520"/>
    <w:rsid w:val="00850CC2"/>
    <w:rsid w:val="00854E54"/>
    <w:rsid w:val="00861666"/>
    <w:rsid w:val="0087025D"/>
    <w:rsid w:val="00890234"/>
    <w:rsid w:val="008965FF"/>
    <w:rsid w:val="009367B2"/>
    <w:rsid w:val="00963AD4"/>
    <w:rsid w:val="00972294"/>
    <w:rsid w:val="00984BC3"/>
    <w:rsid w:val="009F2E5B"/>
    <w:rsid w:val="00A12461"/>
    <w:rsid w:val="00A3228A"/>
    <w:rsid w:val="00A80710"/>
    <w:rsid w:val="00AD2E55"/>
    <w:rsid w:val="00AE24F5"/>
    <w:rsid w:val="00B15267"/>
    <w:rsid w:val="00B2633F"/>
    <w:rsid w:val="00B76F24"/>
    <w:rsid w:val="00B82393"/>
    <w:rsid w:val="00BA0E8D"/>
    <w:rsid w:val="00BE5499"/>
    <w:rsid w:val="00C11BC4"/>
    <w:rsid w:val="00C3686B"/>
    <w:rsid w:val="00C542A2"/>
    <w:rsid w:val="00C75BD6"/>
    <w:rsid w:val="00C93FDA"/>
    <w:rsid w:val="00CA4FEC"/>
    <w:rsid w:val="00CB54BC"/>
    <w:rsid w:val="00CC01CF"/>
    <w:rsid w:val="00CD4ED9"/>
    <w:rsid w:val="00D17EE5"/>
    <w:rsid w:val="00D24BA3"/>
    <w:rsid w:val="00DE5EF4"/>
    <w:rsid w:val="00DF09A7"/>
    <w:rsid w:val="00DF1220"/>
    <w:rsid w:val="00E540F0"/>
    <w:rsid w:val="00EB3096"/>
    <w:rsid w:val="00F0273D"/>
    <w:rsid w:val="00F82F80"/>
    <w:rsid w:val="00F831FF"/>
    <w:rsid w:val="00F95B89"/>
    <w:rsid w:val="00FF7E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CC2"/>
  </w:style>
  <w:style w:type="paragraph" w:styleId="Heading1">
    <w:name w:val="heading 1"/>
    <w:link w:val="Heading1Char"/>
    <w:qFormat/>
    <w:rsid w:val="004C7FF2"/>
    <w:pPr>
      <w:spacing w:after="0" w:line="240" w:lineRule="auto"/>
      <w:outlineLvl w:val="0"/>
    </w:pPr>
    <w:rPr>
      <w:rFonts w:ascii="Times New Roman" w:eastAsia="Times New Roman" w:hAnsi="Times New Roman" w:cs="Times New Roman"/>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2E5B"/>
    <w:pPr>
      <w:spacing w:after="160" w:line="259" w:lineRule="auto"/>
      <w:ind w:left="720"/>
      <w:contextualSpacing/>
    </w:pPr>
    <w:rPr>
      <w:rFonts w:ascii="Calibri" w:eastAsia="Calibri" w:hAnsi="Calibri" w:cs="Times New Roman"/>
    </w:rPr>
  </w:style>
  <w:style w:type="character" w:customStyle="1" w:styleId="Heading1Char">
    <w:name w:val="Heading 1 Char"/>
    <w:basedOn w:val="DefaultParagraphFont"/>
    <w:link w:val="Heading1"/>
    <w:rsid w:val="004C7FF2"/>
    <w:rPr>
      <w:rFonts w:ascii="Times New Roman" w:eastAsia="Times New Roman" w:hAnsi="Times New Roman" w:cs="Times New Roman"/>
      <w:color w:val="2E74B5"/>
      <w:sz w:val="32"/>
      <w:szCs w:val="32"/>
    </w:rPr>
  </w:style>
  <w:style w:type="paragraph" w:styleId="NormalWeb">
    <w:name w:val="Normal (Web)"/>
    <w:basedOn w:val="Normal"/>
    <w:uiPriority w:val="99"/>
    <w:unhideWhenUsed/>
    <w:rsid w:val="00B2633F"/>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uiPriority w:val="22"/>
    <w:qFormat/>
    <w:rsid w:val="009367B2"/>
    <w:rPr>
      <w:b/>
      <w:bCs/>
    </w:rPr>
  </w:style>
  <w:style w:type="table" w:styleId="TableGrid">
    <w:name w:val="Table Grid"/>
    <w:basedOn w:val="TableNormal"/>
    <w:uiPriority w:val="59"/>
    <w:rsid w:val="00AE24F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OFTABLES">
    <w:name w:val="LIST OF TABLES"/>
    <w:basedOn w:val="Normal"/>
    <w:link w:val="LISTOFTABLESChar"/>
    <w:autoRedefine/>
    <w:qFormat/>
    <w:rsid w:val="00AE24F5"/>
    <w:pPr>
      <w:spacing w:line="480" w:lineRule="auto"/>
      <w:jc w:val="both"/>
    </w:pPr>
    <w:rPr>
      <w:rFonts w:ascii="Times New Roman" w:eastAsia="Times New Roman" w:hAnsi="Times New Roman" w:cs="Times New Roman"/>
      <w:b/>
      <w:color w:val="000000"/>
      <w:sz w:val="24"/>
      <w:szCs w:val="24"/>
      <w:lang w:val="en-GB"/>
    </w:rPr>
  </w:style>
  <w:style w:type="character" w:customStyle="1" w:styleId="LISTOFTABLESChar">
    <w:name w:val="LIST OF TABLES Char"/>
    <w:link w:val="LISTOFTABLES"/>
    <w:rsid w:val="00AE24F5"/>
    <w:rPr>
      <w:rFonts w:ascii="Times New Roman" w:eastAsia="Times New Roman" w:hAnsi="Times New Roman" w:cs="Times New Roman"/>
      <w:b/>
      <w:color w:val="000000"/>
      <w:sz w:val="24"/>
      <w:szCs w:val="24"/>
      <w:lang w:val="en-GB"/>
    </w:rPr>
  </w:style>
  <w:style w:type="paragraph" w:styleId="BalloonText">
    <w:name w:val="Balloon Text"/>
    <w:basedOn w:val="Normal"/>
    <w:link w:val="BalloonTextChar"/>
    <w:uiPriority w:val="99"/>
    <w:semiHidden/>
    <w:unhideWhenUsed/>
    <w:rsid w:val="00AE2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4F5"/>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3D133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D1332"/>
    <w:rPr>
      <w:rFonts w:ascii="Arial" w:eastAsia="Times New Roman" w:hAnsi="Arial" w:cs="Arial"/>
      <w:vanish/>
      <w:sz w:val="16"/>
      <w:szCs w:val="16"/>
    </w:rPr>
  </w:style>
  <w:style w:type="paragraph" w:customStyle="1" w:styleId="placeholder">
    <w:name w:val="placeholder"/>
    <w:basedOn w:val="Normal"/>
    <w:rsid w:val="003D133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3D133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D1332"/>
    <w:rPr>
      <w:rFonts w:ascii="Arial" w:eastAsia="Times New Roman" w:hAnsi="Arial" w:cs="Arial"/>
      <w:vanish/>
      <w:sz w:val="16"/>
      <w:szCs w:val="16"/>
    </w:rPr>
  </w:style>
  <w:style w:type="character" w:styleId="Emphasis">
    <w:name w:val="Emphasis"/>
    <w:uiPriority w:val="20"/>
    <w:qFormat/>
    <w:rsid w:val="00C11BC4"/>
    <w:rPr>
      <w:i/>
      <w:iCs/>
    </w:rPr>
  </w:style>
  <w:style w:type="paragraph" w:styleId="Title">
    <w:name w:val="Title"/>
    <w:basedOn w:val="Normal"/>
    <w:next w:val="Normal"/>
    <w:link w:val="TitleChar"/>
    <w:uiPriority w:val="10"/>
    <w:qFormat/>
    <w:rsid w:val="00CB54B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B54BC"/>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7033E3"/>
    <w:rPr>
      <w:color w:val="0000FF" w:themeColor="hyperlink"/>
      <w:u w:val="single"/>
    </w:rPr>
  </w:style>
  <w:style w:type="character" w:customStyle="1" w:styleId="UnresolvedMention">
    <w:name w:val="Unresolved Mention"/>
    <w:basedOn w:val="DefaultParagraphFont"/>
    <w:uiPriority w:val="99"/>
    <w:semiHidden/>
    <w:unhideWhenUsed/>
    <w:rsid w:val="007033E3"/>
    <w:rPr>
      <w:color w:val="605E5C"/>
      <w:shd w:val="clear" w:color="auto" w:fill="E1DFDD"/>
    </w:rPr>
  </w:style>
  <w:style w:type="table" w:customStyle="1" w:styleId="ListTable6Colorful">
    <w:name w:val="List Table 6 Colorful"/>
    <w:basedOn w:val="TableNormal"/>
    <w:uiPriority w:val="51"/>
    <w:rsid w:val="0097229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r="http://schemas.openxmlformats.org/officeDocument/2006/relationships" xmlns:w="http://schemas.openxmlformats.org/wordprocessingml/2006/main">
  <w:divs>
    <w:div w:id="348795675">
      <w:bodyDiv w:val="1"/>
      <w:marLeft w:val="0"/>
      <w:marRight w:val="0"/>
      <w:marTop w:val="0"/>
      <w:marBottom w:val="0"/>
      <w:divBdr>
        <w:top w:val="none" w:sz="0" w:space="0" w:color="auto"/>
        <w:left w:val="none" w:sz="0" w:space="0" w:color="auto"/>
        <w:bottom w:val="none" w:sz="0" w:space="0" w:color="auto"/>
        <w:right w:val="none" w:sz="0" w:space="0" w:color="auto"/>
      </w:divBdr>
    </w:div>
    <w:div w:id="1744529028">
      <w:bodyDiv w:val="1"/>
      <w:marLeft w:val="0"/>
      <w:marRight w:val="0"/>
      <w:marTop w:val="0"/>
      <w:marBottom w:val="0"/>
      <w:divBdr>
        <w:top w:val="none" w:sz="0" w:space="0" w:color="auto"/>
        <w:left w:val="none" w:sz="0" w:space="0" w:color="auto"/>
        <w:bottom w:val="none" w:sz="0" w:space="0" w:color="auto"/>
        <w:right w:val="none" w:sz="0" w:space="0" w:color="auto"/>
      </w:divBdr>
      <w:divsChild>
        <w:div w:id="1080323759">
          <w:marLeft w:val="0"/>
          <w:marRight w:val="0"/>
          <w:marTop w:val="0"/>
          <w:marBottom w:val="0"/>
          <w:divBdr>
            <w:top w:val="none" w:sz="0" w:space="0" w:color="auto"/>
            <w:left w:val="none" w:sz="0" w:space="0" w:color="auto"/>
            <w:bottom w:val="none" w:sz="0" w:space="0" w:color="auto"/>
            <w:right w:val="none" w:sz="0" w:space="0" w:color="auto"/>
          </w:divBdr>
          <w:divsChild>
            <w:div w:id="1616862149">
              <w:marLeft w:val="0"/>
              <w:marRight w:val="0"/>
              <w:marTop w:val="0"/>
              <w:marBottom w:val="0"/>
              <w:divBdr>
                <w:top w:val="none" w:sz="0" w:space="0" w:color="auto"/>
                <w:left w:val="none" w:sz="0" w:space="0" w:color="auto"/>
                <w:bottom w:val="none" w:sz="0" w:space="0" w:color="auto"/>
                <w:right w:val="none" w:sz="0" w:space="0" w:color="auto"/>
              </w:divBdr>
              <w:divsChild>
                <w:div w:id="837580077">
                  <w:marLeft w:val="0"/>
                  <w:marRight w:val="0"/>
                  <w:marTop w:val="0"/>
                  <w:marBottom w:val="0"/>
                  <w:divBdr>
                    <w:top w:val="none" w:sz="0" w:space="0" w:color="auto"/>
                    <w:left w:val="none" w:sz="0" w:space="0" w:color="auto"/>
                    <w:bottom w:val="none" w:sz="0" w:space="0" w:color="auto"/>
                    <w:right w:val="none" w:sz="0" w:space="0" w:color="auto"/>
                  </w:divBdr>
                  <w:divsChild>
                    <w:div w:id="12269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172440">
      <w:bodyDiv w:val="1"/>
      <w:marLeft w:val="0"/>
      <w:marRight w:val="0"/>
      <w:marTop w:val="0"/>
      <w:marBottom w:val="0"/>
      <w:divBdr>
        <w:top w:val="none" w:sz="0" w:space="0" w:color="auto"/>
        <w:left w:val="none" w:sz="0" w:space="0" w:color="auto"/>
        <w:bottom w:val="none" w:sz="0" w:space="0" w:color="auto"/>
        <w:right w:val="none" w:sz="0" w:space="0" w:color="auto"/>
      </w:divBdr>
      <w:divsChild>
        <w:div w:id="1546256761">
          <w:marLeft w:val="0"/>
          <w:marRight w:val="0"/>
          <w:marTop w:val="0"/>
          <w:marBottom w:val="0"/>
          <w:divBdr>
            <w:top w:val="none" w:sz="0" w:space="0" w:color="auto"/>
            <w:left w:val="none" w:sz="0" w:space="0" w:color="auto"/>
            <w:bottom w:val="none" w:sz="0" w:space="0" w:color="auto"/>
            <w:right w:val="none" w:sz="0" w:space="0" w:color="auto"/>
          </w:divBdr>
          <w:divsChild>
            <w:div w:id="896746870">
              <w:marLeft w:val="0"/>
              <w:marRight w:val="0"/>
              <w:marTop w:val="0"/>
              <w:marBottom w:val="0"/>
              <w:divBdr>
                <w:top w:val="none" w:sz="0" w:space="0" w:color="auto"/>
                <w:left w:val="none" w:sz="0" w:space="0" w:color="auto"/>
                <w:bottom w:val="none" w:sz="0" w:space="0" w:color="auto"/>
                <w:right w:val="none" w:sz="0" w:space="0" w:color="auto"/>
              </w:divBdr>
              <w:divsChild>
                <w:div w:id="993946109">
                  <w:marLeft w:val="0"/>
                  <w:marRight w:val="0"/>
                  <w:marTop w:val="0"/>
                  <w:marBottom w:val="0"/>
                  <w:divBdr>
                    <w:top w:val="none" w:sz="0" w:space="0" w:color="auto"/>
                    <w:left w:val="none" w:sz="0" w:space="0" w:color="auto"/>
                    <w:bottom w:val="none" w:sz="0" w:space="0" w:color="auto"/>
                    <w:right w:val="none" w:sz="0" w:space="0" w:color="auto"/>
                  </w:divBdr>
                  <w:divsChild>
                    <w:div w:id="429811307">
                      <w:marLeft w:val="0"/>
                      <w:marRight w:val="0"/>
                      <w:marTop w:val="0"/>
                      <w:marBottom w:val="0"/>
                      <w:divBdr>
                        <w:top w:val="none" w:sz="0" w:space="0" w:color="auto"/>
                        <w:left w:val="none" w:sz="0" w:space="0" w:color="auto"/>
                        <w:bottom w:val="none" w:sz="0" w:space="0" w:color="auto"/>
                        <w:right w:val="none" w:sz="0" w:space="0" w:color="auto"/>
                      </w:divBdr>
                      <w:divsChild>
                        <w:div w:id="675886448">
                          <w:marLeft w:val="0"/>
                          <w:marRight w:val="0"/>
                          <w:marTop w:val="0"/>
                          <w:marBottom w:val="0"/>
                          <w:divBdr>
                            <w:top w:val="none" w:sz="0" w:space="0" w:color="auto"/>
                            <w:left w:val="none" w:sz="0" w:space="0" w:color="auto"/>
                            <w:bottom w:val="none" w:sz="0" w:space="0" w:color="auto"/>
                            <w:right w:val="none" w:sz="0" w:space="0" w:color="auto"/>
                          </w:divBdr>
                          <w:divsChild>
                            <w:div w:id="192352178">
                              <w:marLeft w:val="0"/>
                              <w:marRight w:val="0"/>
                              <w:marTop w:val="0"/>
                              <w:marBottom w:val="0"/>
                              <w:divBdr>
                                <w:top w:val="none" w:sz="0" w:space="0" w:color="auto"/>
                                <w:left w:val="none" w:sz="0" w:space="0" w:color="auto"/>
                                <w:bottom w:val="none" w:sz="0" w:space="0" w:color="auto"/>
                                <w:right w:val="none" w:sz="0" w:space="0" w:color="auto"/>
                              </w:divBdr>
                              <w:divsChild>
                                <w:div w:id="968705259">
                                  <w:marLeft w:val="0"/>
                                  <w:marRight w:val="0"/>
                                  <w:marTop w:val="0"/>
                                  <w:marBottom w:val="0"/>
                                  <w:divBdr>
                                    <w:top w:val="none" w:sz="0" w:space="0" w:color="auto"/>
                                    <w:left w:val="none" w:sz="0" w:space="0" w:color="auto"/>
                                    <w:bottom w:val="none" w:sz="0" w:space="0" w:color="auto"/>
                                    <w:right w:val="none" w:sz="0" w:space="0" w:color="auto"/>
                                  </w:divBdr>
                                  <w:divsChild>
                                    <w:div w:id="1643150223">
                                      <w:marLeft w:val="0"/>
                                      <w:marRight w:val="0"/>
                                      <w:marTop w:val="0"/>
                                      <w:marBottom w:val="0"/>
                                      <w:divBdr>
                                        <w:top w:val="none" w:sz="0" w:space="0" w:color="auto"/>
                                        <w:left w:val="none" w:sz="0" w:space="0" w:color="auto"/>
                                        <w:bottom w:val="none" w:sz="0" w:space="0" w:color="auto"/>
                                        <w:right w:val="none" w:sz="0" w:space="0" w:color="auto"/>
                                      </w:divBdr>
                                      <w:divsChild>
                                        <w:div w:id="210847327">
                                          <w:marLeft w:val="0"/>
                                          <w:marRight w:val="0"/>
                                          <w:marTop w:val="0"/>
                                          <w:marBottom w:val="0"/>
                                          <w:divBdr>
                                            <w:top w:val="none" w:sz="0" w:space="0" w:color="auto"/>
                                            <w:left w:val="none" w:sz="0" w:space="0" w:color="auto"/>
                                            <w:bottom w:val="none" w:sz="0" w:space="0" w:color="auto"/>
                                            <w:right w:val="none" w:sz="0" w:space="0" w:color="auto"/>
                                          </w:divBdr>
                                          <w:divsChild>
                                            <w:div w:id="1107895058">
                                              <w:marLeft w:val="0"/>
                                              <w:marRight w:val="0"/>
                                              <w:marTop w:val="0"/>
                                              <w:marBottom w:val="0"/>
                                              <w:divBdr>
                                                <w:top w:val="none" w:sz="0" w:space="0" w:color="auto"/>
                                                <w:left w:val="none" w:sz="0" w:space="0" w:color="auto"/>
                                                <w:bottom w:val="none" w:sz="0" w:space="0" w:color="auto"/>
                                                <w:right w:val="none" w:sz="0" w:space="0" w:color="auto"/>
                                              </w:divBdr>
                                              <w:divsChild>
                                                <w:div w:id="1108547117">
                                                  <w:marLeft w:val="0"/>
                                                  <w:marRight w:val="0"/>
                                                  <w:marTop w:val="0"/>
                                                  <w:marBottom w:val="0"/>
                                                  <w:divBdr>
                                                    <w:top w:val="none" w:sz="0" w:space="0" w:color="auto"/>
                                                    <w:left w:val="none" w:sz="0" w:space="0" w:color="auto"/>
                                                    <w:bottom w:val="none" w:sz="0" w:space="0" w:color="auto"/>
                                                    <w:right w:val="none" w:sz="0" w:space="0" w:color="auto"/>
                                                  </w:divBdr>
                                                  <w:divsChild>
                                                    <w:div w:id="131678144">
                                                      <w:marLeft w:val="0"/>
                                                      <w:marRight w:val="0"/>
                                                      <w:marTop w:val="0"/>
                                                      <w:marBottom w:val="0"/>
                                                      <w:divBdr>
                                                        <w:top w:val="none" w:sz="0" w:space="0" w:color="auto"/>
                                                        <w:left w:val="none" w:sz="0" w:space="0" w:color="auto"/>
                                                        <w:bottom w:val="none" w:sz="0" w:space="0" w:color="auto"/>
                                                        <w:right w:val="none" w:sz="0" w:space="0" w:color="auto"/>
                                                      </w:divBdr>
                                                      <w:divsChild>
                                                        <w:div w:id="1957322972">
                                                          <w:marLeft w:val="0"/>
                                                          <w:marRight w:val="0"/>
                                                          <w:marTop w:val="0"/>
                                                          <w:marBottom w:val="0"/>
                                                          <w:divBdr>
                                                            <w:top w:val="none" w:sz="0" w:space="0" w:color="auto"/>
                                                            <w:left w:val="none" w:sz="0" w:space="0" w:color="auto"/>
                                                            <w:bottom w:val="none" w:sz="0" w:space="0" w:color="auto"/>
                                                            <w:right w:val="none" w:sz="0" w:space="0" w:color="auto"/>
                                                          </w:divBdr>
                                                          <w:divsChild>
                                                            <w:div w:id="668827003">
                                                              <w:marLeft w:val="0"/>
                                                              <w:marRight w:val="0"/>
                                                              <w:marTop w:val="0"/>
                                                              <w:marBottom w:val="0"/>
                                                              <w:divBdr>
                                                                <w:top w:val="none" w:sz="0" w:space="0" w:color="auto"/>
                                                                <w:left w:val="none" w:sz="0" w:space="0" w:color="auto"/>
                                                                <w:bottom w:val="none" w:sz="0" w:space="0" w:color="auto"/>
                                                                <w:right w:val="none" w:sz="0" w:space="0" w:color="auto"/>
                                                              </w:divBdr>
                                                              <w:divsChild>
                                                                <w:div w:id="1530989023">
                                                                  <w:marLeft w:val="0"/>
                                                                  <w:marRight w:val="0"/>
                                                                  <w:marTop w:val="0"/>
                                                                  <w:marBottom w:val="0"/>
                                                                  <w:divBdr>
                                                                    <w:top w:val="none" w:sz="0" w:space="0" w:color="auto"/>
                                                                    <w:left w:val="none" w:sz="0" w:space="0" w:color="auto"/>
                                                                    <w:bottom w:val="none" w:sz="0" w:space="0" w:color="auto"/>
                                                                    <w:right w:val="none" w:sz="0" w:space="0" w:color="auto"/>
                                                                  </w:divBdr>
                                                                  <w:divsChild>
                                                                    <w:div w:id="677346825">
                                                                      <w:marLeft w:val="0"/>
                                                                      <w:marRight w:val="0"/>
                                                                      <w:marTop w:val="0"/>
                                                                      <w:marBottom w:val="0"/>
                                                                      <w:divBdr>
                                                                        <w:top w:val="none" w:sz="0" w:space="0" w:color="auto"/>
                                                                        <w:left w:val="none" w:sz="0" w:space="0" w:color="auto"/>
                                                                        <w:bottom w:val="none" w:sz="0" w:space="0" w:color="auto"/>
                                                                        <w:right w:val="none" w:sz="0" w:space="0" w:color="auto"/>
                                                                      </w:divBdr>
                                                                      <w:divsChild>
                                                                        <w:div w:id="1762264159">
                                                                          <w:marLeft w:val="0"/>
                                                                          <w:marRight w:val="0"/>
                                                                          <w:marTop w:val="0"/>
                                                                          <w:marBottom w:val="0"/>
                                                                          <w:divBdr>
                                                                            <w:top w:val="none" w:sz="0" w:space="0" w:color="auto"/>
                                                                            <w:left w:val="none" w:sz="0" w:space="0" w:color="auto"/>
                                                                            <w:bottom w:val="none" w:sz="0" w:space="0" w:color="auto"/>
                                                                            <w:right w:val="none" w:sz="0" w:space="0" w:color="auto"/>
                                                                          </w:divBdr>
                                                                          <w:divsChild>
                                                                            <w:div w:id="18646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856859">
                                          <w:marLeft w:val="0"/>
                                          <w:marRight w:val="0"/>
                                          <w:marTop w:val="0"/>
                                          <w:marBottom w:val="0"/>
                                          <w:divBdr>
                                            <w:top w:val="none" w:sz="0" w:space="0" w:color="auto"/>
                                            <w:left w:val="none" w:sz="0" w:space="0" w:color="auto"/>
                                            <w:bottom w:val="none" w:sz="0" w:space="0" w:color="auto"/>
                                            <w:right w:val="none" w:sz="0" w:space="0" w:color="auto"/>
                                          </w:divBdr>
                                          <w:divsChild>
                                            <w:div w:id="833422266">
                                              <w:marLeft w:val="0"/>
                                              <w:marRight w:val="0"/>
                                              <w:marTop w:val="0"/>
                                              <w:marBottom w:val="0"/>
                                              <w:divBdr>
                                                <w:top w:val="none" w:sz="0" w:space="0" w:color="auto"/>
                                                <w:left w:val="none" w:sz="0" w:space="0" w:color="auto"/>
                                                <w:bottom w:val="none" w:sz="0" w:space="0" w:color="auto"/>
                                                <w:right w:val="none" w:sz="0" w:space="0" w:color="auto"/>
                                              </w:divBdr>
                                              <w:divsChild>
                                                <w:div w:id="722873295">
                                                  <w:marLeft w:val="0"/>
                                                  <w:marRight w:val="0"/>
                                                  <w:marTop w:val="0"/>
                                                  <w:marBottom w:val="0"/>
                                                  <w:divBdr>
                                                    <w:top w:val="none" w:sz="0" w:space="0" w:color="auto"/>
                                                    <w:left w:val="none" w:sz="0" w:space="0" w:color="auto"/>
                                                    <w:bottom w:val="none" w:sz="0" w:space="0" w:color="auto"/>
                                                    <w:right w:val="none" w:sz="0" w:space="0" w:color="auto"/>
                                                  </w:divBdr>
                                                  <w:divsChild>
                                                    <w:div w:id="1518731565">
                                                      <w:marLeft w:val="0"/>
                                                      <w:marRight w:val="0"/>
                                                      <w:marTop w:val="0"/>
                                                      <w:marBottom w:val="0"/>
                                                      <w:divBdr>
                                                        <w:top w:val="none" w:sz="0" w:space="0" w:color="auto"/>
                                                        <w:left w:val="none" w:sz="0" w:space="0" w:color="auto"/>
                                                        <w:bottom w:val="none" w:sz="0" w:space="0" w:color="auto"/>
                                                        <w:right w:val="none" w:sz="0" w:space="0" w:color="auto"/>
                                                      </w:divBdr>
                                                      <w:divsChild>
                                                        <w:div w:id="1007293951">
                                                          <w:marLeft w:val="0"/>
                                                          <w:marRight w:val="0"/>
                                                          <w:marTop w:val="0"/>
                                                          <w:marBottom w:val="0"/>
                                                          <w:divBdr>
                                                            <w:top w:val="none" w:sz="0" w:space="0" w:color="auto"/>
                                                            <w:left w:val="none" w:sz="0" w:space="0" w:color="auto"/>
                                                            <w:bottom w:val="none" w:sz="0" w:space="0" w:color="auto"/>
                                                            <w:right w:val="none" w:sz="0" w:space="0" w:color="auto"/>
                                                          </w:divBdr>
                                                          <w:divsChild>
                                                            <w:div w:id="1459299956">
                                                              <w:marLeft w:val="0"/>
                                                              <w:marRight w:val="0"/>
                                                              <w:marTop w:val="0"/>
                                                              <w:marBottom w:val="0"/>
                                                              <w:divBdr>
                                                                <w:top w:val="none" w:sz="0" w:space="0" w:color="auto"/>
                                                                <w:left w:val="none" w:sz="0" w:space="0" w:color="auto"/>
                                                                <w:bottom w:val="none" w:sz="0" w:space="0" w:color="auto"/>
                                                                <w:right w:val="none" w:sz="0" w:space="0" w:color="auto"/>
                                                              </w:divBdr>
                                                              <w:divsChild>
                                                                <w:div w:id="1528909755">
                                                                  <w:marLeft w:val="0"/>
                                                                  <w:marRight w:val="0"/>
                                                                  <w:marTop w:val="0"/>
                                                                  <w:marBottom w:val="0"/>
                                                                  <w:divBdr>
                                                                    <w:top w:val="none" w:sz="0" w:space="0" w:color="auto"/>
                                                                    <w:left w:val="none" w:sz="0" w:space="0" w:color="auto"/>
                                                                    <w:bottom w:val="none" w:sz="0" w:space="0" w:color="auto"/>
                                                                    <w:right w:val="none" w:sz="0" w:space="0" w:color="auto"/>
                                                                  </w:divBdr>
                                                                  <w:divsChild>
                                                                    <w:div w:id="84814623">
                                                                      <w:marLeft w:val="0"/>
                                                                      <w:marRight w:val="0"/>
                                                                      <w:marTop w:val="0"/>
                                                                      <w:marBottom w:val="0"/>
                                                                      <w:divBdr>
                                                                        <w:top w:val="none" w:sz="0" w:space="0" w:color="auto"/>
                                                                        <w:left w:val="none" w:sz="0" w:space="0" w:color="auto"/>
                                                                        <w:bottom w:val="none" w:sz="0" w:space="0" w:color="auto"/>
                                                                        <w:right w:val="none" w:sz="0" w:space="0" w:color="auto"/>
                                                                      </w:divBdr>
                                                                      <w:divsChild>
                                                                        <w:div w:id="2042323091">
                                                                          <w:marLeft w:val="0"/>
                                                                          <w:marRight w:val="0"/>
                                                                          <w:marTop w:val="0"/>
                                                                          <w:marBottom w:val="0"/>
                                                                          <w:divBdr>
                                                                            <w:top w:val="none" w:sz="0" w:space="0" w:color="auto"/>
                                                                            <w:left w:val="none" w:sz="0" w:space="0" w:color="auto"/>
                                                                            <w:bottom w:val="none" w:sz="0" w:space="0" w:color="auto"/>
                                                                            <w:right w:val="none" w:sz="0" w:space="0" w:color="auto"/>
                                                                          </w:divBdr>
                                                                          <w:divsChild>
                                                                            <w:div w:id="1135758935">
                                                                              <w:marLeft w:val="0"/>
                                                                              <w:marRight w:val="0"/>
                                                                              <w:marTop w:val="0"/>
                                                                              <w:marBottom w:val="0"/>
                                                                              <w:divBdr>
                                                                                <w:top w:val="none" w:sz="0" w:space="0" w:color="auto"/>
                                                                                <w:left w:val="none" w:sz="0" w:space="0" w:color="auto"/>
                                                                                <w:bottom w:val="none" w:sz="0" w:space="0" w:color="auto"/>
                                                                                <w:right w:val="none" w:sz="0" w:space="0" w:color="auto"/>
                                                                              </w:divBdr>
                                                                              <w:divsChild>
                                                                                <w:div w:id="1997951847">
                                                                                  <w:marLeft w:val="0"/>
                                                                                  <w:marRight w:val="0"/>
                                                                                  <w:marTop w:val="0"/>
                                                                                  <w:marBottom w:val="0"/>
                                                                                  <w:divBdr>
                                                                                    <w:top w:val="none" w:sz="0" w:space="0" w:color="auto"/>
                                                                                    <w:left w:val="none" w:sz="0" w:space="0" w:color="auto"/>
                                                                                    <w:bottom w:val="none" w:sz="0" w:space="0" w:color="auto"/>
                                                                                    <w:right w:val="none" w:sz="0" w:space="0" w:color="auto"/>
                                                                                  </w:divBdr>
                                                                                  <w:divsChild>
                                                                                    <w:div w:id="172571328">
                                                                                      <w:marLeft w:val="0"/>
                                                                                      <w:marRight w:val="0"/>
                                                                                      <w:marTop w:val="0"/>
                                                                                      <w:marBottom w:val="0"/>
                                                                                      <w:divBdr>
                                                                                        <w:top w:val="none" w:sz="0" w:space="0" w:color="auto"/>
                                                                                        <w:left w:val="none" w:sz="0" w:space="0" w:color="auto"/>
                                                                                        <w:bottom w:val="none" w:sz="0" w:space="0" w:color="auto"/>
                                                                                        <w:right w:val="none" w:sz="0" w:space="0" w:color="auto"/>
                                                                                      </w:divBdr>
                                                                                      <w:divsChild>
                                                                                        <w:div w:id="145767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o.int/news-room/fact-%09sheets/detail/human-%09papillomavirus-(hpv)-and%20cervical-cancer" TargetMode="External"/><Relationship Id="rId5" Type="http://schemas.openxmlformats.org/officeDocument/2006/relationships/hyperlink" Target="mailto:chukwuperp@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15</Pages>
  <Words>5286</Words>
  <Characters>30135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GUGU</dc:creator>
  <cp:lastModifiedBy>GUGU</cp:lastModifiedBy>
  <cp:revision>4</cp:revision>
  <dcterms:created xsi:type="dcterms:W3CDTF">2026-06-03T16:25:00Z</dcterms:created>
  <dcterms:modified xsi:type="dcterms:W3CDTF">2026-06-03T17:00:00Z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f925ca59-b874-4a20-9924-f347095e6291</vt:lpwstr>
  </property>
</Properties>
</file>