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05D78" w14:textId="77777777" w:rsidR="005F5BF0" w:rsidRPr="000C638C" w:rsidRDefault="005F5BF0" w:rsidP="006D5FE4">
      <w:pPr>
        <w:jc w:val="center"/>
        <w:rPr>
          <w:rFonts w:cstheme="minorHAnsi"/>
          <w:b/>
          <w:bCs/>
          <w:sz w:val="22"/>
          <w:szCs w:val="22"/>
        </w:rPr>
      </w:pPr>
      <w:r w:rsidRPr="000C638C">
        <w:rPr>
          <w:rFonts w:cstheme="minorHAnsi"/>
          <w:b/>
          <w:bCs/>
          <w:sz w:val="22"/>
          <w:szCs w:val="22"/>
        </w:rPr>
        <w:t>Transcendence, Human Dignity, and Algorithmic Power: Developing a Prophetic Legal Epistemology for Society 5.0</w:t>
      </w:r>
    </w:p>
    <w:p w14:paraId="012095FE" w14:textId="49DA4224" w:rsidR="006D5FE4" w:rsidRPr="000C638C" w:rsidRDefault="006D5FE4" w:rsidP="006D5FE4">
      <w:pPr>
        <w:jc w:val="center"/>
        <w:rPr>
          <w:rFonts w:cstheme="minorHAnsi"/>
          <w:sz w:val="22"/>
          <w:szCs w:val="22"/>
          <w:lang w:val="pt-BR"/>
        </w:rPr>
      </w:pPr>
      <w:r w:rsidRPr="000C638C">
        <w:rPr>
          <w:rFonts w:cstheme="minorHAnsi"/>
          <w:sz w:val="22"/>
          <w:szCs w:val="22"/>
          <w:lang w:val="pt-BR"/>
        </w:rPr>
        <w:t>Rahma Charkava Resti</w:t>
      </w:r>
      <w:r w:rsidRPr="000C638C">
        <w:rPr>
          <w:rFonts w:cstheme="minorHAnsi"/>
          <w:sz w:val="22"/>
          <w:szCs w:val="22"/>
          <w:vertAlign w:val="superscript"/>
          <w:lang w:val="pt-BR"/>
        </w:rPr>
        <w:t>1</w:t>
      </w:r>
      <w:r w:rsidRPr="000C638C">
        <w:rPr>
          <w:rFonts w:cstheme="minorHAnsi"/>
          <w:sz w:val="22"/>
          <w:szCs w:val="22"/>
          <w:lang w:val="pt-BR"/>
        </w:rPr>
        <w:t>, Darmadi Djufri</w:t>
      </w:r>
      <w:r w:rsidRPr="000C638C">
        <w:rPr>
          <w:rFonts w:cstheme="minorHAnsi"/>
          <w:sz w:val="22"/>
          <w:szCs w:val="22"/>
          <w:vertAlign w:val="superscript"/>
          <w:lang w:val="pt-BR"/>
        </w:rPr>
        <w:t>2</w:t>
      </w:r>
    </w:p>
    <w:p w14:paraId="0489709F" w14:textId="44E522DB" w:rsidR="006D5FE4" w:rsidRPr="000C638C" w:rsidRDefault="006D5FE4" w:rsidP="006D5FE4">
      <w:pPr>
        <w:pStyle w:val="ListParagraph"/>
        <w:numPr>
          <w:ilvl w:val="0"/>
          <w:numId w:val="2"/>
        </w:numPr>
        <w:spacing w:after="0"/>
        <w:jc w:val="center"/>
        <w:rPr>
          <w:rFonts w:cstheme="minorHAnsi"/>
          <w:sz w:val="22"/>
          <w:szCs w:val="22"/>
          <w:vertAlign w:val="superscript"/>
        </w:rPr>
      </w:pPr>
      <w:r w:rsidRPr="000C638C">
        <w:rPr>
          <w:rFonts w:cstheme="minorHAnsi"/>
          <w:sz w:val="22"/>
          <w:szCs w:val="22"/>
        </w:rPr>
        <w:t>Student of The University of Muhammadiyah Surakarta</w:t>
      </w:r>
    </w:p>
    <w:p w14:paraId="6278A754" w14:textId="7686E79F" w:rsidR="006D5FE4" w:rsidRPr="000C638C" w:rsidRDefault="00153200" w:rsidP="006D5FE4">
      <w:pPr>
        <w:pStyle w:val="ListParagraph"/>
        <w:numPr>
          <w:ilvl w:val="0"/>
          <w:numId w:val="2"/>
        </w:numPr>
        <w:spacing w:after="0"/>
        <w:jc w:val="center"/>
        <w:rPr>
          <w:rFonts w:cstheme="minorHAnsi"/>
          <w:sz w:val="22"/>
          <w:szCs w:val="22"/>
          <w:vertAlign w:val="superscript"/>
        </w:rPr>
      </w:pPr>
      <w:r w:rsidRPr="000C638C">
        <w:rPr>
          <w:rFonts w:cstheme="minorHAnsi"/>
          <w:sz w:val="22"/>
          <w:szCs w:val="22"/>
        </w:rPr>
        <w:t>L</w:t>
      </w:r>
      <w:r w:rsidR="006D5FE4" w:rsidRPr="000C638C">
        <w:rPr>
          <w:rFonts w:cstheme="minorHAnsi"/>
          <w:sz w:val="22"/>
          <w:szCs w:val="22"/>
        </w:rPr>
        <w:t>ecture</w:t>
      </w:r>
      <w:r w:rsidRPr="000C638C">
        <w:rPr>
          <w:rFonts w:cstheme="minorHAnsi"/>
          <w:sz w:val="22"/>
          <w:szCs w:val="22"/>
        </w:rPr>
        <w:t>r</w:t>
      </w:r>
      <w:r w:rsidR="006D5FE4" w:rsidRPr="000C638C">
        <w:rPr>
          <w:rFonts w:cstheme="minorHAnsi"/>
          <w:sz w:val="22"/>
          <w:szCs w:val="22"/>
        </w:rPr>
        <w:t xml:space="preserve"> at the University of Muhammadiyah Palembang</w:t>
      </w:r>
    </w:p>
    <w:p w14:paraId="760B4F84" w14:textId="7B2529E6" w:rsidR="006D5FE4" w:rsidRPr="000C638C" w:rsidRDefault="006D5FE4" w:rsidP="006D5FE4">
      <w:pPr>
        <w:jc w:val="center"/>
        <w:rPr>
          <w:rFonts w:cstheme="minorHAnsi"/>
          <w:sz w:val="22"/>
          <w:szCs w:val="22"/>
        </w:rPr>
      </w:pPr>
      <w:r w:rsidRPr="000C638C">
        <w:rPr>
          <w:rFonts w:cstheme="minorHAnsi"/>
          <w:sz w:val="22"/>
          <w:szCs w:val="22"/>
        </w:rPr>
        <w:t xml:space="preserve"> Corresponding Email: </w:t>
      </w:r>
      <w:hyperlink r:id="rId8" w:history="1">
        <w:r w:rsidRPr="000C638C">
          <w:rPr>
            <w:rStyle w:val="Hyperlink"/>
            <w:rFonts w:cstheme="minorHAnsi"/>
            <w:sz w:val="22"/>
            <w:szCs w:val="22"/>
          </w:rPr>
          <w:t>R200250014@student.ums.ac.id</w:t>
        </w:r>
      </w:hyperlink>
    </w:p>
    <w:p w14:paraId="52E5FEDB" w14:textId="77777777" w:rsidR="006D5FE4" w:rsidRPr="000C638C" w:rsidRDefault="006D5FE4" w:rsidP="006D5FE4">
      <w:pPr>
        <w:jc w:val="center"/>
        <w:rPr>
          <w:rFonts w:cstheme="minorHAnsi"/>
          <w:sz w:val="22"/>
          <w:szCs w:val="22"/>
        </w:rPr>
      </w:pPr>
    </w:p>
    <w:p w14:paraId="14DDA02C" w14:textId="683E6CCA" w:rsidR="00040C00" w:rsidRPr="000C638C" w:rsidRDefault="00040C00" w:rsidP="006D5FE4">
      <w:pPr>
        <w:jc w:val="center"/>
        <w:rPr>
          <w:rFonts w:cstheme="minorHAnsi"/>
          <w:b/>
          <w:bCs/>
          <w:sz w:val="22"/>
          <w:szCs w:val="22"/>
        </w:rPr>
      </w:pPr>
      <w:r w:rsidRPr="000C638C">
        <w:rPr>
          <w:rFonts w:cstheme="minorHAnsi"/>
          <w:b/>
          <w:bCs/>
          <w:sz w:val="22"/>
          <w:szCs w:val="22"/>
        </w:rPr>
        <w:t>Abstract</w:t>
      </w:r>
    </w:p>
    <w:p w14:paraId="61A5EF5F" w14:textId="5A6D4A11" w:rsidR="00AE44B4" w:rsidRPr="000C638C" w:rsidRDefault="00AE44B4" w:rsidP="00040C00">
      <w:pPr>
        <w:jc w:val="both"/>
        <w:rPr>
          <w:rFonts w:cstheme="minorHAnsi"/>
          <w:i/>
          <w:iCs/>
          <w:sz w:val="22"/>
          <w:szCs w:val="22"/>
        </w:rPr>
      </w:pPr>
      <w:r w:rsidRPr="000C638C">
        <w:rPr>
          <w:rFonts w:cstheme="minorHAnsi"/>
          <w:i/>
          <w:iCs/>
          <w:sz w:val="22"/>
          <w:szCs w:val="22"/>
        </w:rPr>
        <w:t xml:space="preserve">Under the </w:t>
      </w:r>
      <w:r w:rsidR="00153200" w:rsidRPr="000C638C">
        <w:rPr>
          <w:rFonts w:cstheme="minorHAnsi"/>
          <w:i/>
          <w:iCs/>
          <w:sz w:val="22"/>
          <w:szCs w:val="22"/>
        </w:rPr>
        <w:t xml:space="preserve">banner of Society 5.0, components of artificial intelligence (AI) and big data, </w:t>
      </w:r>
      <w:r w:rsidR="00164149" w:rsidRPr="000C638C">
        <w:rPr>
          <w:rFonts w:cstheme="minorHAnsi"/>
          <w:i/>
          <w:iCs/>
          <w:sz w:val="22"/>
          <w:szCs w:val="22"/>
        </w:rPr>
        <w:t>along with</w:t>
      </w:r>
      <w:r w:rsidR="00153200" w:rsidRPr="000C638C">
        <w:rPr>
          <w:rFonts w:cstheme="minorHAnsi"/>
          <w:i/>
          <w:iCs/>
          <w:sz w:val="22"/>
          <w:szCs w:val="22"/>
        </w:rPr>
        <w:t xml:space="preserve"> digital technologies that enabl</w:t>
      </w:r>
      <w:r w:rsidRPr="000C638C">
        <w:rPr>
          <w:rFonts w:cstheme="minorHAnsi"/>
          <w:i/>
          <w:iCs/>
          <w:sz w:val="22"/>
          <w:szCs w:val="22"/>
        </w:rPr>
        <w:t xml:space="preserve">e ubiquitous connectivity, </w:t>
      </w:r>
      <w:r w:rsidR="006D5FE4" w:rsidRPr="000C638C">
        <w:rPr>
          <w:rFonts w:cstheme="minorHAnsi"/>
          <w:i/>
          <w:iCs/>
          <w:sz w:val="22"/>
          <w:szCs w:val="22"/>
        </w:rPr>
        <w:t>are integrated into a single</w:t>
      </w:r>
      <w:r w:rsidRPr="000C638C">
        <w:rPr>
          <w:rFonts w:cstheme="minorHAnsi"/>
          <w:i/>
          <w:iCs/>
          <w:sz w:val="22"/>
          <w:szCs w:val="22"/>
        </w:rPr>
        <w:t xml:space="preserve"> control system. As such, it operates well beyond the reach of existing legal and regulatory frameworks. The positivist and anthropocentric legal traditions </w:t>
      </w:r>
      <w:r w:rsidR="006D5FE4" w:rsidRPr="000C638C">
        <w:rPr>
          <w:rFonts w:cstheme="minorHAnsi"/>
          <w:i/>
          <w:iCs/>
          <w:sz w:val="22"/>
          <w:szCs w:val="22"/>
        </w:rPr>
        <w:t xml:space="preserve">regard law as applicable only to humankind and, in this light, find it difficult to confront the problem of governance by </w:t>
      </w:r>
      <w:r w:rsidRPr="000C638C">
        <w:rPr>
          <w:rFonts w:cstheme="minorHAnsi"/>
          <w:i/>
          <w:iCs/>
          <w:sz w:val="22"/>
          <w:szCs w:val="22"/>
        </w:rPr>
        <w:t xml:space="preserve">algorithms, or of governing a person by governing another through an algorithm. This study aims to develop a Prophetic Legal Epistemology. The research studies the interrelation </w:t>
      </w:r>
      <w:r w:rsidR="006D5FE4" w:rsidRPr="000C638C">
        <w:rPr>
          <w:rFonts w:cstheme="minorHAnsi"/>
          <w:i/>
          <w:iCs/>
          <w:sz w:val="22"/>
          <w:szCs w:val="22"/>
        </w:rPr>
        <w:t>among transcendence, humanization, liberation, and the control of technology to keep the human being at</w:t>
      </w:r>
      <w:r w:rsidRPr="000C638C">
        <w:rPr>
          <w:rFonts w:cstheme="minorHAnsi"/>
          <w:i/>
          <w:iCs/>
          <w:sz w:val="22"/>
          <w:szCs w:val="22"/>
        </w:rPr>
        <w:t xml:space="preserve"> the center of law, even in a highly automated system of governance. The research draws inspiration from Kuntowijoyo’s prophetic social science. It proposes a normative-philosophical approach to research</w:t>
      </w:r>
      <w:r w:rsidR="006D5FE4" w:rsidRPr="000C638C">
        <w:rPr>
          <w:rFonts w:cstheme="minorHAnsi"/>
          <w:i/>
          <w:iCs/>
          <w:sz w:val="22"/>
          <w:szCs w:val="22"/>
        </w:rPr>
        <w:t>, complemented by conceptual analysis</w:t>
      </w:r>
      <w:r w:rsidR="00DB6F9C" w:rsidRPr="000C638C">
        <w:rPr>
          <w:rFonts w:cstheme="minorHAnsi"/>
          <w:i/>
          <w:iCs/>
          <w:sz w:val="22"/>
          <w:szCs w:val="22"/>
        </w:rPr>
        <w:t>,</w:t>
      </w:r>
      <w:r w:rsidR="006D5FE4" w:rsidRPr="000C638C">
        <w:rPr>
          <w:rFonts w:cstheme="minorHAnsi"/>
          <w:i/>
          <w:iCs/>
          <w:sz w:val="22"/>
          <w:szCs w:val="22"/>
        </w:rPr>
        <w:t xml:space="preserve"> and studies the functionality of transcendental norms within legal frameworks </w:t>
      </w:r>
      <w:r w:rsidRPr="000C638C">
        <w:rPr>
          <w:rFonts w:cstheme="minorHAnsi"/>
          <w:i/>
          <w:iCs/>
          <w:sz w:val="22"/>
          <w:szCs w:val="22"/>
        </w:rPr>
        <w:t xml:space="preserve">primarily mediated by technology. The </w:t>
      </w:r>
      <w:r w:rsidR="006D5FE4" w:rsidRPr="000C638C">
        <w:rPr>
          <w:rFonts w:cstheme="minorHAnsi"/>
          <w:i/>
          <w:iCs/>
          <w:sz w:val="22"/>
          <w:szCs w:val="22"/>
        </w:rPr>
        <w:t>argument is structured around</w:t>
      </w:r>
      <w:r w:rsidRPr="000C638C">
        <w:rPr>
          <w:rFonts w:cstheme="minorHAnsi"/>
          <w:i/>
          <w:iCs/>
          <w:sz w:val="22"/>
          <w:szCs w:val="22"/>
        </w:rPr>
        <w:t xml:space="preserve"> three components. The first of these components is transcendence, the second is humanization, and the third is control of technology. The </w:t>
      </w:r>
      <w:r w:rsidR="00974958" w:rsidRPr="000C638C">
        <w:rPr>
          <w:rFonts w:cstheme="minorHAnsi"/>
          <w:i/>
          <w:iCs/>
          <w:sz w:val="22"/>
          <w:szCs w:val="22"/>
        </w:rPr>
        <w:t>argument's structure is a claim rather than an ethics-regulation</w:t>
      </w:r>
      <w:r w:rsidRPr="000C638C">
        <w:rPr>
          <w:rFonts w:cstheme="minorHAnsi"/>
          <w:i/>
          <w:iCs/>
          <w:sz w:val="22"/>
          <w:szCs w:val="22"/>
        </w:rPr>
        <w:t xml:space="preserve"> add-on. It is asserted that</w:t>
      </w:r>
      <w:r w:rsidR="006D5FE4" w:rsidRPr="000C638C">
        <w:rPr>
          <w:rFonts w:cstheme="minorHAnsi"/>
          <w:i/>
          <w:iCs/>
          <w:sz w:val="22"/>
          <w:szCs w:val="22"/>
        </w:rPr>
        <w:t xml:space="preserve">, within the context of legal algorithmic control, governance </w:t>
      </w:r>
      <w:r w:rsidRPr="000C638C">
        <w:rPr>
          <w:rFonts w:cstheme="minorHAnsi"/>
          <w:i/>
          <w:iCs/>
          <w:sz w:val="22"/>
          <w:szCs w:val="22"/>
        </w:rPr>
        <w:t xml:space="preserve">will continue to treat human beings as objects to be optimized rather than as subjects to be protected. It aims to address </w:t>
      </w:r>
      <w:r w:rsidR="006D5FE4" w:rsidRPr="000C638C">
        <w:rPr>
          <w:rFonts w:cstheme="minorHAnsi"/>
          <w:i/>
          <w:iCs/>
          <w:sz w:val="22"/>
          <w:szCs w:val="22"/>
        </w:rPr>
        <w:t>ongoing discussions on legal humanism and agile (or digital) governance, and it provides regulators with rules for developing technology that aligns</w:t>
      </w:r>
      <w:r w:rsidRPr="000C638C">
        <w:rPr>
          <w:rFonts w:cstheme="minorHAnsi"/>
          <w:i/>
          <w:iCs/>
          <w:sz w:val="22"/>
          <w:szCs w:val="22"/>
        </w:rPr>
        <w:t xml:space="preserve"> with human dignity rather than the reverse.</w:t>
      </w:r>
    </w:p>
    <w:p w14:paraId="4E7847BB" w14:textId="1A3D2E4D" w:rsidR="00040C00" w:rsidRPr="000C638C" w:rsidRDefault="00040C00" w:rsidP="00040C00">
      <w:pPr>
        <w:jc w:val="both"/>
        <w:rPr>
          <w:rFonts w:cstheme="minorHAnsi"/>
          <w:sz w:val="22"/>
          <w:szCs w:val="22"/>
        </w:rPr>
      </w:pPr>
      <w:r w:rsidRPr="000C638C">
        <w:rPr>
          <w:rFonts w:cstheme="minorHAnsi"/>
          <w:b/>
          <w:bCs/>
          <w:sz w:val="22"/>
          <w:szCs w:val="22"/>
        </w:rPr>
        <w:t>Keywords</w:t>
      </w:r>
      <w:r w:rsidRPr="000C638C">
        <w:rPr>
          <w:rFonts w:cstheme="minorHAnsi"/>
          <w:sz w:val="22"/>
          <w:szCs w:val="22"/>
        </w:rPr>
        <w:t>: Prophetic Legal Epistemology; Society 5.0; technological governance; transcendence; algorithmic accountability</w:t>
      </w:r>
    </w:p>
    <w:p w14:paraId="68087FD1" w14:textId="77777777" w:rsidR="00135C28" w:rsidRPr="000C638C" w:rsidRDefault="00135C28" w:rsidP="00040C00">
      <w:pPr>
        <w:jc w:val="both"/>
        <w:rPr>
          <w:rFonts w:cstheme="minorHAnsi"/>
          <w:sz w:val="22"/>
          <w:szCs w:val="22"/>
        </w:rPr>
      </w:pPr>
    </w:p>
    <w:p w14:paraId="439286FD" w14:textId="77777777" w:rsidR="00135C28" w:rsidRDefault="00135C28" w:rsidP="00040C00">
      <w:pPr>
        <w:jc w:val="both"/>
        <w:rPr>
          <w:rFonts w:cstheme="minorHAnsi"/>
          <w:sz w:val="22"/>
          <w:szCs w:val="22"/>
        </w:rPr>
      </w:pPr>
    </w:p>
    <w:p w14:paraId="1B95687B" w14:textId="77777777" w:rsidR="000C638C" w:rsidRDefault="000C638C" w:rsidP="00040C00">
      <w:pPr>
        <w:jc w:val="both"/>
        <w:rPr>
          <w:rFonts w:cstheme="minorHAnsi"/>
          <w:sz w:val="22"/>
          <w:szCs w:val="22"/>
        </w:rPr>
      </w:pPr>
    </w:p>
    <w:p w14:paraId="259B7501" w14:textId="77777777" w:rsidR="000C638C" w:rsidRDefault="000C638C" w:rsidP="00040C00">
      <w:pPr>
        <w:jc w:val="both"/>
        <w:rPr>
          <w:rFonts w:cstheme="minorHAnsi"/>
          <w:sz w:val="22"/>
          <w:szCs w:val="22"/>
        </w:rPr>
      </w:pPr>
    </w:p>
    <w:p w14:paraId="710FFE29" w14:textId="77777777" w:rsidR="000C638C" w:rsidRPr="000C638C" w:rsidRDefault="000C638C" w:rsidP="00040C00">
      <w:pPr>
        <w:jc w:val="both"/>
        <w:rPr>
          <w:rFonts w:cstheme="minorHAnsi"/>
          <w:sz w:val="22"/>
          <w:szCs w:val="22"/>
        </w:rPr>
      </w:pPr>
    </w:p>
    <w:p w14:paraId="3A12A998" w14:textId="77777777" w:rsidR="00135C28" w:rsidRPr="000C638C" w:rsidRDefault="00135C28" w:rsidP="00040C00">
      <w:pPr>
        <w:jc w:val="both"/>
        <w:rPr>
          <w:rFonts w:cstheme="minorHAnsi"/>
          <w:sz w:val="22"/>
          <w:szCs w:val="22"/>
        </w:rPr>
      </w:pPr>
    </w:p>
    <w:p w14:paraId="5554EC69" w14:textId="77777777" w:rsidR="00135C28" w:rsidRPr="000C638C" w:rsidRDefault="00135C28" w:rsidP="00040C00">
      <w:pPr>
        <w:jc w:val="both"/>
        <w:rPr>
          <w:rFonts w:cstheme="minorHAnsi"/>
          <w:sz w:val="22"/>
          <w:szCs w:val="22"/>
        </w:rPr>
      </w:pPr>
    </w:p>
    <w:p w14:paraId="3B7B9C4A" w14:textId="6EE8CE9E" w:rsidR="00135C28" w:rsidRPr="000C638C" w:rsidRDefault="00135C28" w:rsidP="00F440D7">
      <w:pPr>
        <w:pStyle w:val="ListParagraph"/>
        <w:numPr>
          <w:ilvl w:val="0"/>
          <w:numId w:val="3"/>
        </w:numPr>
        <w:ind w:left="360"/>
        <w:jc w:val="both"/>
        <w:rPr>
          <w:rFonts w:cstheme="minorHAnsi"/>
          <w:b/>
          <w:bCs/>
          <w:sz w:val="22"/>
          <w:szCs w:val="22"/>
        </w:rPr>
      </w:pPr>
      <w:r w:rsidRPr="000C638C">
        <w:rPr>
          <w:rFonts w:cstheme="minorHAnsi"/>
          <w:b/>
          <w:bCs/>
          <w:sz w:val="22"/>
          <w:szCs w:val="22"/>
        </w:rPr>
        <w:lastRenderedPageBreak/>
        <w:t>Introduction</w:t>
      </w:r>
    </w:p>
    <w:p w14:paraId="23F9A771" w14:textId="73200606" w:rsidR="00474C89" w:rsidRPr="000C638C" w:rsidRDefault="00474C89" w:rsidP="00F440D7">
      <w:pPr>
        <w:spacing w:after="0"/>
        <w:ind w:left="360" w:firstLine="540"/>
        <w:jc w:val="both"/>
        <w:rPr>
          <w:rFonts w:cstheme="minorHAnsi"/>
          <w:sz w:val="22"/>
          <w:szCs w:val="22"/>
        </w:rPr>
      </w:pPr>
      <w:r w:rsidRPr="000C638C">
        <w:rPr>
          <w:rFonts w:cstheme="minorHAnsi"/>
          <w:sz w:val="22"/>
          <w:szCs w:val="22"/>
        </w:rPr>
        <w:t xml:space="preserve">The </w:t>
      </w:r>
      <w:r w:rsidR="000E7B2E" w:rsidRPr="000C638C">
        <w:rPr>
          <w:rFonts w:cstheme="minorHAnsi"/>
          <w:sz w:val="22"/>
          <w:szCs w:val="22"/>
        </w:rPr>
        <w:t>advent of Society 5.0 fundamentally alters the interplay among</w:t>
      </w:r>
      <w:r w:rsidRPr="000C638C">
        <w:rPr>
          <w:rFonts w:cstheme="minorHAnsi"/>
          <w:sz w:val="22"/>
          <w:szCs w:val="22"/>
        </w:rPr>
        <w:t xml:space="preserve"> law, technology, and humanity. Society 5.0 originated in Japan’s Fifth Science and Technology Basic</w:t>
      </w:r>
      <w:r w:rsidR="00741803" w:rsidRPr="000C638C">
        <w:rPr>
          <w:rFonts w:cstheme="minorHAnsi"/>
          <w:sz w:val="22"/>
          <w:szCs w:val="22"/>
        </w:rPr>
        <w:t xml:space="preserve"> </w:t>
      </w:r>
      <w:r w:rsidRPr="000C638C">
        <w:rPr>
          <w:rFonts w:cstheme="minorHAnsi"/>
          <w:sz w:val="22"/>
          <w:szCs w:val="22"/>
        </w:rPr>
        <w:t>Plan</w:t>
      </w:r>
      <w:r w:rsidR="00DB6F9C"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{"citationItems":[{"id":"ITEM-1","itemData":{"DOI":"10.1016/J.IJPE.2019.07.033","ISSN":"0925-5273","abstract":"Society 5.0 is the vision of a new human-centered society in the fifth stage launched by Japan. This paper explores a prospective model of science, technology and innovation (STI) activities in Society 5.0 from an ecosystem perspective. STI policy review and statistical analysis are conducted in comparison with Germany and the United States to describe the historical transformation of Japan's STI ecosystem. Major socio-economic risks on Japan's STI ecosystem can be classified as labor, capital and spatial risks. Shifting from a push-based STI ecosystem to a pull-based STI ecosystem and increasing the system resilience through value creation for society are essential to reduce three risks and to revitalize productivity and growth in Society 5.0.","author":[{"dropping-particle":"","family":"Fukuda","given":"Kayano","non-dropping-particle":"","parse-names":false,"suffix":""}],"container-title":"International Journal of Production Economics","id":"ITEM-1","issued":{"date-parts":[["2020","2","1"]]},"page":"107460","publisher":"Elsevier","title":"Science, technology and innovation ecosystem transformation toward society 5.0","type":"article-journal","volume":"220"},"uris":["http://www.mendeley.com/documents/?uuid=39bedcbf-4416-3977-8365-6e4769822e00"]}],"mendeley":{"formattedCitation":"(Fukuda, 2020)","plainTextFormattedCitation":"(Fukuda, 2020)","previouslyFormattedCitation":"(1)"},"properties":{"noteIndex":0},"schema":"https://github.com/citation-style-language/schema/raw/master/csl-citation.json"}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(Fukuda, 2020)</w:t>
      </w:r>
      <w:r w:rsidR="00741803" w:rsidRPr="000C638C">
        <w:rPr>
          <w:rStyle w:val="FootnoteReference"/>
          <w:rFonts w:cstheme="minorHAnsi"/>
          <w:sz w:val="22"/>
          <w:szCs w:val="22"/>
        </w:rPr>
        <w:fldChar w:fldCharType="end"/>
      </w:r>
      <w:r w:rsidRPr="000C638C">
        <w:rPr>
          <w:rFonts w:cstheme="minorHAnsi"/>
          <w:sz w:val="22"/>
          <w:szCs w:val="22"/>
        </w:rPr>
        <w:t xml:space="preserve">. This conceptualization focuses on the synthesis of society and technology. Here, society is understood as a construct that places humanity at </w:t>
      </w:r>
      <w:r w:rsidR="00F440D7" w:rsidRPr="000C638C">
        <w:rPr>
          <w:rFonts w:cstheme="minorHAnsi"/>
          <w:sz w:val="22"/>
          <w:szCs w:val="22"/>
        </w:rPr>
        <w:t>its center</w:t>
      </w:r>
      <w:r w:rsidRPr="000C638C">
        <w:rPr>
          <w:rFonts w:cstheme="minorHAnsi"/>
          <w:sz w:val="22"/>
          <w:szCs w:val="22"/>
        </w:rPr>
        <w:t>, and technology integrates AI, robotics, and big data with digital</w:t>
      </w:r>
      <w:r w:rsidR="00741803" w:rsidRPr="000C638C">
        <w:rPr>
          <w:rFonts w:cstheme="minorHAnsi"/>
          <w:sz w:val="22"/>
          <w:szCs w:val="22"/>
        </w:rPr>
        <w:t xml:space="preserve"> </w:t>
      </w:r>
      <w:r w:rsidRPr="000C638C">
        <w:rPr>
          <w:rFonts w:cstheme="minorHAnsi"/>
          <w:sz w:val="22"/>
          <w:szCs w:val="22"/>
        </w:rPr>
        <w:t>infrastructure</w:t>
      </w:r>
      <w:r w:rsidR="00DB6F9C"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{"citationItems":[{"id":"ITEM-1","itemData":{"DOI":"10.1109/MC.2018.3011041","ISSN":"0018-9162","abstract":"The Japanese Cabinet’s “Society 5.0” initiative seeks to create a sustainable society for human security and well-being through a cyber-physical system. Keidanren (Japan Business Federation) is well aligned to proactively deliver on the United Nations’ Sustainable Development Goals to end poverty, protect the planet, and ensure prosperity for all through the creation of Society 5.0. Typical collaborative ecosystem activities for Society 5.0 in Japan are outlined in this column.","author":[{"dropping-particle":"","family":"Shiroishi","given":"Yoshihiro","non-dropping-particle":"","parse-names":false,"suffix":""},{"dropping-particle":"","family":"Uchiyama","given":"Kunio","non-dropping-particle":"","parse-names":false,"suffix":""},{"dropping-particle":"","family":"Suzuki","given":"Norihiro","non-dropping-particle":"","parse-names":false,"suffix":""}],"container-title":"Computer","id":"ITEM-1","issue":"7","issued":{"date-parts":[["2018","7","30"]]},"page":"91-95","title":"Society 5.0: For Human Security and Well-Being","type":"article-journal","volume":"51"},"uris":["http://www.mendeley.com/documents/?uuid=6d5b439e-4b22-301f-ae4d-99ee063cd4f2"]}],"mendeley":{"formattedCitation":"(Shiroishi et al., 2018)","plainTextFormattedCitation":"(Shiroishi et al., 2018)","previouslyFormattedCitation":"(2)"},"properties":{"noteIndex":0},"schema":"https://github.com/citation-style-language/schema/raw/master/csl-citation.json"}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(Shiroishi et al., 2018)</w:t>
      </w:r>
      <w:r w:rsidR="00741803" w:rsidRPr="000C638C">
        <w:rPr>
          <w:rStyle w:val="FootnoteReference"/>
          <w:rFonts w:cstheme="minorHAnsi"/>
          <w:sz w:val="22"/>
          <w:szCs w:val="22"/>
        </w:rPr>
        <w:fldChar w:fldCharType="end"/>
      </w:r>
      <w:r w:rsidRPr="000C638C">
        <w:rPr>
          <w:rFonts w:cstheme="minorHAnsi"/>
          <w:sz w:val="22"/>
          <w:szCs w:val="22"/>
        </w:rPr>
        <w:t xml:space="preserve">. Society 5.0 is fundamentally different from Industry 4.0. </w:t>
      </w:r>
      <w:r w:rsidR="006D5FE4" w:rsidRPr="000C638C">
        <w:rPr>
          <w:rFonts w:cstheme="minorHAnsi"/>
          <w:sz w:val="22"/>
          <w:szCs w:val="22"/>
        </w:rPr>
        <w:t>While Industry 4.0 focuses on optimizing economic and automation processes, Society 5.0 focuses on enhancing</w:t>
      </w:r>
      <w:r w:rsidRPr="000C638C">
        <w:rPr>
          <w:rFonts w:cstheme="minorHAnsi"/>
          <w:sz w:val="22"/>
          <w:szCs w:val="22"/>
        </w:rPr>
        <w:t xml:space="preserve"> the well-being and quality of life of all people</w:t>
      </w:r>
      <w:r w:rsidR="00741803"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{"citationItems":[{"id":"ITEM-1","itemData":{"DOI":"10.5817/MUJLT2024-1-4","ISSN":"18025951","abstract":"Overall, algorithmic transparency is an important aspect of responsible AI development and deployment. Ensuring that AI systems are transparent and accountable will help build trust and confidence in these systems and ensure that they are used ethically and effectively. Artificial intelligence (AI) has emerged as a cutting-edge domain that is fundamentally redefining different areas of daily experiences, such as health care, transport, finance, education, and others. The systems are not created for making a judgment like human judgment of natural language, spotting patterns and problem-solving; rather AI produces machines that also have intelligence level same as that of human beings. AI having more influence over us, it is to be considered the ethical directions of these tools and see that they operate under principles of transparency and accountability. The element regarding algorithmic transparency, which means the process of understanding the functioning and explanation of how AI systems make their decisions is the one that is most crucial. The issue of algorithm transparency is of fundamental importance for many considerations. AI systems are not only supported by fairness but also by their non-discrimination. If we do not know how a system of AI arrives at the decisions made, it becomes impossible to determine if the provided results meet equal treatment for everybody. If used in delicate areas like recruitment, credit, and legal system- where the AI-machine must make choices which are life changing, then this aspect is very important. On top of fairness, algorithmic transparency is also an important factor for accountability. If we are ignorant about what an artificial intelligence algorithm does and what is the source of its decision-making process, we are unable to track and classify the mistakes or mishaps of the system. This has always mattered when central to the operation of systems with high stake, such as those used in self-driving vehicles or in health care. Algorithmic transparency may be reached using different instruments. The transparent AI systems can be made by a more transparent design, for example, the simple modelling tools, that use interpretable models. Another method is designing technologies and techniques that can help people why the artificial systems difficult to be decoded but easy to understand which they can utilize in making decisions. Therefore, algorithmic transparency is a key factor of the AI made responsibly and …","author":[{"dropping-particle":"","family":"Chaudhary","given":"Gyandeep","non-dropping-particle":"","parse-names":false,"suffix":""}],"container-title":"Masaryk University Journal of Law and Technology","id":"ITEM-1","issue":"1","issued":{"date-parts":[["2024"]]},"page":"93-122","publisher":"Masaryk University","title":"UNVEILING THE BLACK BOX: BRINGING ALGORITHMIC TRANSPARENCY TO AI","type":"article-journal","volume":"18"},"uris":["http://www.mendeley.com/documents/?uuid=fc60c5aa-b82a-3068-aa53-86abeb1c4181"]},{"id":"ITEM-2","itemData":{"DOI":"10.1007/s13132-021-00763-4","ISSN":"1868-7865","abstract":"The paper investigates the aviation sector, as a case in point for a Smart environment and as an example for Industry 5.0 and Society 5.0 purposes. In the smart complex environments, a systemic vision of the elements, which act and are acted within a given territory, should be the basis of a hypothesis of joint growth. Indeed, the synergies activated by the system can be seen as the product of the application of a particular knowledge-based open innovation strategy, as an orientation capable of transforming theoretical assumptions into concrete operational innovation paths. Through the evidence emerged from an important case study and the application of an MCDA methodology, we have tried to identify which are the optimal solutions for the implementation of the new human-centric logics of I5.0, analyzing them on the basis of the actual benefits for the ecosystem, going beyond the self-referential aptitude of the firm to instill technological changes and managerial visions. Knowledge circulation, dialogue between sub-systems, and the ability to adapt technology and entrepreneurial strategies to the environment in which it operates (with the users as first stakeholders) seem to be necessary practices in knowledge-based innovation, prioritization, and decision-making processes, for smart, sustainable, and inclusive solutions.","author":[{"dropping-particle":"","family":"Carayannis","given":"Elias G.","non-dropping-particle":"","parse-names":false,"suffix":""},{"dropping-particle":"","family":"Dezi","given":"Luca","non-dropping-particle":"","parse-names":false,"suffix":""},{"dropping-particle":"","family":"Gregori","given":"Gianluca","non-dropping-particle":"","parse-names":false,"suffix":""},{"dropping-particle":"","family":"Calo","given":"Ernesto","non-dropping-particle":"","parse-names":false,"suffix":""}],"container-title":"Journal of the Knowledge Economy","id":"ITEM-2","issue":"2","issued":{"date-parts":[["2022","6","24"]]},"page":"926-955","publisher":"Springer","title":"Smart Environments and Techno-centric and Human-Centric Innovations for Industry and Society 5.0: A Quintuple Helix Innovation System View Towards Smart, Sustainable, and Inclusive Solutions","type":"article-journal","volume":"13"},"uris":["http://www.mendeley.com/documents/?uuid=21ada708-56dc-3ea8-a3e6-669868ef5034"]}],"mendeley":{"formattedCitation":"(Carayannis et al., 2022; Chaudhary, 2024)","plainTextFormattedCitation":"(Carayannis et al., 2022; Chaudhary, 2024)","previouslyFormattedCitation":"(3,4)"},"properties":{"noteIndex":0},"schema":"https://github.com/citation-style-language/schema/raw/master/csl-citation.json"}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(Carayannis et al., 2022; Chaudhary, 2024)</w:t>
      </w:r>
      <w:r w:rsidR="00741803" w:rsidRPr="000C638C">
        <w:rPr>
          <w:rStyle w:val="FootnoteReference"/>
          <w:rFonts w:cstheme="minorHAnsi"/>
          <w:sz w:val="22"/>
          <w:szCs w:val="22"/>
        </w:rPr>
        <w:fldChar w:fldCharType="end"/>
      </w:r>
      <w:r w:rsidRPr="000C638C">
        <w:rPr>
          <w:rFonts w:cstheme="minorHAnsi"/>
          <w:sz w:val="22"/>
          <w:szCs w:val="22"/>
        </w:rPr>
        <w:t>. The reliance on algorithms to govern, decide, and manage public service</w:t>
      </w:r>
      <w:r w:rsidR="00F440D7" w:rsidRPr="000C638C">
        <w:rPr>
          <w:rFonts w:cstheme="minorHAnsi"/>
          <w:sz w:val="22"/>
          <w:szCs w:val="22"/>
        </w:rPr>
        <w:t>s</w:t>
      </w:r>
      <w:r w:rsidRPr="000C638C">
        <w:rPr>
          <w:rFonts w:cstheme="minorHAnsi"/>
          <w:sz w:val="22"/>
          <w:szCs w:val="22"/>
        </w:rPr>
        <w:t xml:space="preserve"> poses a new jurisprudential dilemma. How will the law protect human dignity if these services are derived and executed through technology?</w:t>
      </w:r>
      <w:r w:rsidR="00741803"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{"citationItems":[{"id":"ITEM-1","itemData":{"DOI":"10.1093/ojls/gqae027","ISSN":"14643820","abstract":"The increasing use of machine learning (ML) in public administration requires that we think carefully about the political and legal constraints imposed on public decision making. These developments confront us with the following interrelated questions: can algorithmic public decisions be truly 'public'? And, to what extent does the use of ML models compromise the 'publicness' of such decisions? This article is part of a broader inquiry into the myriad ways in which digital and AI technologies transform the fabric of our democratic existence by mutating the 'public'. Focusing on the site of public administration, the article develops a conception of publicness that is grounded in a view of public administrations as communities of practice. These communities operate through dialogical, critical and synergetic interactions that allow them to track - as faithfully as possible - the public's heterogeneous view of its interests, and reify these interests in decision making. Building on this theorisation, the article suggests that the use of ML models in public decision making inevitably generates an impoverished publicness, and thus undermines the potential of public administrations to operate as a locus of democratic construction. The article thus advocates for a reconsideration of the ways in which administrative law problematises and addresses the harms of algorithmic decision making.","author":[{"dropping-particle":"","family":"Frost","given":"Neli","non-dropping-particle":"","parse-names":false,"suffix":""}],"container-title":"Oxford Journal of Legal Studies","id":"ITEM-1","issue":"4","issued":{"date-parts":[["2024"]]},"page":"780-807","publisher":"Oxford University Press","title":"The Impoverished Publicness of Algorithmic Decision Making","type":"article-journal","volume":"44"},"uris":["http://www.mendeley.com/documents/?uuid=664fe518-e897-314f-966d-4f54da081fe5"]}],"mendeley":{"formattedCitation":"(Frost, 2024)","plainTextFormattedCitation":"(Frost, 2024)","previouslyFormattedCitation":"(5)"},"properties":{"noteIndex":0},"schema":"https://github.com/citation-style-language/schema/raw/master/csl-citation.json"}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(Frost, 2024)</w:t>
      </w:r>
      <w:r w:rsidR="00741803" w:rsidRPr="000C638C">
        <w:rPr>
          <w:rStyle w:val="FootnoteReference"/>
          <w:rFonts w:cstheme="minorHAnsi"/>
          <w:sz w:val="22"/>
          <w:szCs w:val="22"/>
        </w:rPr>
        <w:fldChar w:fldCharType="end"/>
      </w:r>
    </w:p>
    <w:p w14:paraId="0625A45A" w14:textId="62AC6EF1" w:rsidR="00474C89" w:rsidRPr="000C638C" w:rsidRDefault="00474C89" w:rsidP="00F440D7">
      <w:pPr>
        <w:spacing w:after="0"/>
        <w:ind w:left="360" w:firstLine="540"/>
        <w:jc w:val="both"/>
        <w:rPr>
          <w:rFonts w:cstheme="minorHAnsi"/>
          <w:sz w:val="22"/>
          <w:szCs w:val="22"/>
        </w:rPr>
      </w:pPr>
      <w:r w:rsidRPr="000C638C">
        <w:rPr>
          <w:rFonts w:cstheme="minorHAnsi"/>
          <w:sz w:val="22"/>
          <w:szCs w:val="22"/>
        </w:rPr>
        <w:t>While contemporary legal theories have addressed some of these issues, they are still largely inadequate. Within legal positivism, Hart, Kelsen, and Raz focus on the legality of an act through institutional and procedural frameworks and normative order</w:t>
      </w:r>
      <w:r w:rsidR="00DB6F9C"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{"citationItems":[{"id":"ITEM-1","itemData":{"DOI":"10.1007/s10982-026-09564-9","ISSN":"0167-5249","abstract":"&lt;p&gt; The rapid and transformative evolution of artificial intelligence—from predictive recidivism algorithms to Large Language Models (LLMs) capable of passing the Uniform Bar Exam—has reinvigorated the ambition to render law ‘computable’. This article argues that this project, even in its most advanced generative forms, rests on a fundamental epistemological category error. We contend that the operational logics of AI—whether the rigid formalism of symbolic systems or the probabilistic mimicry of ‘stochastic parrots’—are structurally incompatible with the nature of legal reasoning. Synthesizing insights from the Anglo-American liberal jurisprudential tradition (Hart, Dworkin, and the Legal Realists), we demonstrate that law is an open system structurally reliant on linguistic purpose, moral commitment, and social context. We undertake a critical deconstruction of contemporary AI paradigms, showing how Generative AI’s ‘hallucinations’ and lack of intentionality represent a failure not of technical performance, but of the communicative engagement required for democratic legitimacy. What is irretrievably lost in the computational translation are the core judicial capacities of practical wisdom ( &lt;italic&gt;phronesis&lt;/italic&gt; ), narrative integrity ( &lt;italic&gt;nomos&lt;/italic&gt; ), and situated social intelligence. The article concludes that AI’s ontological limitations, when properly understood, reveal its true role: not to replace the human judge in adjudication, but to serve as an epistemic foil designed to augment, rather than amputate, the uniquely human burden of judgment. &lt;/p&gt;","author":[{"dropping-particle":"","family":"Zheng","given":"Huan","non-dropping-particle":"","parse-names":false,"suffix":""}],"container-title":"Law and Philosophy","id":"ITEM-1","issued":{"date-parts":[["2026","3","2"]]},"publisher":"Springer Science and Business Media B.V.","title":"The Epistemological Dilemma of Algorithmic Justice: What is Lost When Law Becomes ‘Computable’?","type":"article-journal"},"uris":["http://www.mendeley.com/documents/?uuid=727136e8-d348-3215-8df5-afe28fe120dc"]},{"id":"ITEM-2","itemData":{"DOI":"10.1093/ppmgov/gvac008","ISSN":"2398-4910","abstract":"&lt;p&gt;Algorithmic decision-making in government has emerged rapidly in recent years, leading to a surge in attention for this topic by scholars from various fields, including public administration. Recent studies provide crucial yet fragmented insights on how the use of algorithms to support or fully automate decisions is transforming government. This article ties together these insights by applying the theoretical lenses of government legitimacy and institutional design. We identify how algorithmic decision-making challenges three types of legitimacy—input, throughput, and output—and identify institutional arrangements that can mitigate these threats. We argue that there is no silver bullet to maintain legitimacy of algorithmic government and that a multiplicity of different institutional mechanisms is required, ranging from legal structures and civic participation to closer monitoring of algorithmic systems. We conclude with a framework to guide future research to better understand the implications of institutional design for the legitimacy of algorithmic government.&lt;/p&gt;","author":[{"dropping-particle":"","family":"Grimmelikhuijsen","given":"Stephan","non-dropping-particle":"","parse-names":false,"suffix":""},{"dropping-particle":"","family":"Meijer","given":"Albert","non-dropping-particle":"","parse-names":false,"suffix":""}],"container-title":"Perspectives on Public Management and Governance","id":"ITEM-2","issue":"3","issued":{"date-parts":[["2022","8","26"]]},"page":"232-242","publisher":"Oxford University Press","title":"Legitimacy of Algorithmic Decision-Making: Six Threats and the Need for a Calibrated Institutional Response","type":"article-journal","volume":"5"},"uris":["http://www.mendeley.com/documents/?uuid=a98d5192-d357-3fc6-b571-977df33cd4de"]}],"mendeley":{"formattedCitation":"(Grimmelikhuijsen &amp; Meijer, 2022; Zheng, 2026)","plainTextFormattedCitation":"(Grimmelikhuijsen &amp; Meijer, 2022; Zheng, 2026)","previouslyFormattedCitation":"(6,7)"},"properties":{"noteIndex":0},"schema":"https://github.com/citation-style-language/schema/raw/master/csl-citation.json"}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(Grimmelikhuijsen &amp; Meijer, 2022; Zheng, 2026)</w:t>
      </w:r>
      <w:r w:rsidR="00741803" w:rsidRPr="000C638C">
        <w:rPr>
          <w:rStyle w:val="FootnoteReference"/>
          <w:rFonts w:cstheme="minorHAnsi"/>
          <w:sz w:val="22"/>
          <w:szCs w:val="22"/>
        </w:rPr>
        <w:fldChar w:fldCharType="end"/>
      </w:r>
      <w:r w:rsidRPr="000C638C">
        <w:rPr>
          <w:rFonts w:cstheme="minorHAnsi"/>
          <w:sz w:val="22"/>
          <w:szCs w:val="22"/>
        </w:rPr>
        <w:t>. While these theories address the order and coherence of legal frameworks, they are largely silent on the ethical order of algorithmic governance</w:t>
      </w:r>
      <w:r w:rsidR="00741803"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{"citationItems":[{"id":"ITEM-1","itemData":{"DOI":"10.1177/20539517221100449","ISSN":"2053-9517","abstract":"&lt;p&gt;The algorithmic accountability literature to date has primarily focused on procedural tools to govern automated decision-making systems. That prescriptive literature elides a fundamentally empirical question: whether and under what circumstances, if any, is the use of algorithmic systems to make public policy decisions perceived as legitimate? The present study begins to answer this question. Using factorial vignette survey methodology, we explore the relative importance of the type of decision, the procedural governance, the input data used, and outcome errors on perceptions of the legitimacy of algorithmic public policy decisions as compared to similar human decisions. Among other findings, we find that the type of decision—low importance versus high importance—impacts the perceived legitimacy of automated decisions. We find that human governance of algorithmic systems (aka human-in-the-loop) increases perceptions of the legitimacy of algorithmic decision-making systems, even when those decisions are likely to result in significant errors. Notably, we also find the penalty to perceived legitimacy is greater when human decision-makers make mistakes than when algorithmic systems make the same errors. The positive impact on perceived legitimacy from governance—such as human-in-the-loop—is greatest for highly pivotal decisions such as parole, policing, and healthcare. After discussing the study’s limitations, we outline avenues for future research.&lt;/p&gt;","author":[{"dropping-particle":"","family":"Waldman","given":"Ari","non-dropping-particle":"","parse-names":false,"suffix":""},{"dropping-particle":"","family":"Martin","given":"Kirsten","non-dropping-particle":"","parse-names":false,"suffix":""}],"container-title":"Big Data &amp; Society","id":"ITEM-1","issue":"1","issued":{"date-parts":[["2022","1","28"]]},"publisher":"SAGE Publications Ltd","title":"Governing algorithmic decisions: The role of decision importance and governance on perceived legitimacy of algorithmic decisions","type":"article-journal","volume":"9"},"uris":["http://www.mendeley.com/documents/?uuid=82c6aac8-7375-3eeb-8346-b671f9659373"]}],"mendeley":{"formattedCitation":"(Waldman &amp; Martin, 2022)","plainTextFormattedCitation":"(Waldman &amp; Martin, 2022)","previouslyFormattedCitation":"(8)"},"properties":{"noteIndex":0},"schema":"https://github.com/citation-style-language/schema/raw/master/csl-citation.json"}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(Waldman &amp; Martin, 2022)</w:t>
      </w:r>
      <w:r w:rsidR="00741803" w:rsidRPr="000C638C">
        <w:rPr>
          <w:rStyle w:val="FootnoteReference"/>
          <w:rFonts w:cstheme="minorHAnsi"/>
          <w:sz w:val="22"/>
          <w:szCs w:val="22"/>
        </w:rPr>
        <w:fldChar w:fldCharType="end"/>
      </w:r>
      <w:r w:rsidRPr="000C638C">
        <w:rPr>
          <w:rFonts w:cstheme="minorHAnsi"/>
          <w:sz w:val="22"/>
          <w:szCs w:val="22"/>
        </w:rPr>
        <w:t xml:space="preserve">. A decision rendered by an AI system may satisfy procedural requirements </w:t>
      </w:r>
      <w:r w:rsidR="00C6383B" w:rsidRPr="000C638C">
        <w:rPr>
          <w:rFonts w:cstheme="minorHAnsi"/>
          <w:sz w:val="22"/>
          <w:szCs w:val="22"/>
        </w:rPr>
        <w:t>yet still</w:t>
      </w:r>
      <w:r w:rsidRPr="000C638C">
        <w:rPr>
          <w:rFonts w:cstheme="minorHAnsi"/>
          <w:sz w:val="22"/>
          <w:szCs w:val="22"/>
        </w:rPr>
        <w:t xml:space="preserve"> be an affront to human dignity. Legal positivism has a </w:t>
      </w:r>
      <w:r w:rsidR="006D5FE4" w:rsidRPr="000C638C">
        <w:rPr>
          <w:rFonts w:cstheme="minorHAnsi"/>
          <w:sz w:val="22"/>
          <w:szCs w:val="22"/>
        </w:rPr>
        <w:t>well-developed system for assessing</w:t>
      </w:r>
      <w:r w:rsidRPr="000C638C">
        <w:rPr>
          <w:rFonts w:cstheme="minorHAnsi"/>
          <w:sz w:val="22"/>
          <w:szCs w:val="22"/>
        </w:rPr>
        <w:t xml:space="preserve"> the validity of legal rules. However, the theories are largely mute on the order and ethical framework of human-centric algorithmic governance</w:t>
      </w:r>
      <w:r w:rsidR="00741803"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{"citationItems":[{"id":"ITEM-1","itemData":{"DOI":"10.1007/s43681-022-00210-3","ISSN":"2730-5953","abstract":"Artificial intelligence (AI) decision-making systems are already being extensively used to make decisions in situations where legal rules are applied to establish rights and obligations. In the United States, algorithmic systems are employed to determine the rights of individuals to disability benefits, to evaluate the performance of employees, selecting who will be fired, and to assist judges in granting or denying bail and probation. In this paper I explore some possible implications of H. L. A. Hart’s theory of law as a system of primary and secondary rules to the ongoing debate on the viability and the limits of an adjudicating artificial intelligence. Although much has been recently discussed about the potential practical roles of artificial intelligence in legal practice and assisted decision making, the implication to general jurisprudence still requires further development. I try to map some issues of general jurisprudence that may be consequential to the question of whether a non-human entity (an artificial intelligence) would be theoretically able to perform the kind of legal reasoning made by human judges.","author":[{"dropping-particle":"","family":"Canalli","given":"Rodrigo L.","non-dropping-particle":"","parse-names":false,"suffix":""}],"container-title":"AI and Ethics","id":"ITEM-1","issue":"3","issued":{"date-parts":[["2023","8","24"]]},"page":"879-885","title":"Artificial intelligence and the model of rules: better than us?","type":"article-journal","volume":"3"},"uris":["http://www.mendeley.com/documents/?uuid=b0b8c7c6-46f1-3e26-9d51-093af135f33a"]}],"mendeley":{"formattedCitation":"(Canalli, 2023)","plainTextFormattedCitation":"(Canalli, 2023)","previouslyFormattedCitation":"(9)"},"properties":{"noteIndex":0},"schema":"https://github.com/citation-style-language/schema/raw/master/csl-citation.json"}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(Canalli, 2023)</w:t>
      </w:r>
      <w:r w:rsidR="00741803" w:rsidRPr="000C638C">
        <w:rPr>
          <w:rStyle w:val="FootnoteReference"/>
          <w:rFonts w:cstheme="minorHAnsi"/>
          <w:sz w:val="22"/>
          <w:szCs w:val="22"/>
        </w:rPr>
        <w:fldChar w:fldCharType="end"/>
      </w:r>
      <w:r w:rsidRPr="000C638C">
        <w:rPr>
          <w:rFonts w:cstheme="minorHAnsi"/>
          <w:sz w:val="22"/>
          <w:szCs w:val="22"/>
        </w:rPr>
        <w:t>.</w:t>
      </w:r>
    </w:p>
    <w:p w14:paraId="4126F843" w14:textId="13799DAF" w:rsidR="00474C89" w:rsidRPr="000C638C" w:rsidRDefault="00474C89" w:rsidP="00823EE3">
      <w:pPr>
        <w:spacing w:after="0"/>
        <w:ind w:left="360" w:firstLine="540"/>
        <w:jc w:val="both"/>
        <w:rPr>
          <w:rFonts w:cstheme="minorHAnsi"/>
          <w:sz w:val="22"/>
          <w:szCs w:val="22"/>
        </w:rPr>
      </w:pPr>
      <w:r w:rsidRPr="000C638C">
        <w:rPr>
          <w:rFonts w:cstheme="minorHAnsi"/>
          <w:sz w:val="22"/>
          <w:szCs w:val="22"/>
        </w:rPr>
        <w:t xml:space="preserve">Another line of scholarship has arisen in relation to digital constitutionalism. Celeste, De Gregorio, and Brownsword have argued for </w:t>
      </w:r>
      <w:r w:rsidR="006D5FE4" w:rsidRPr="000C638C">
        <w:rPr>
          <w:rFonts w:cstheme="minorHAnsi"/>
          <w:sz w:val="22"/>
          <w:szCs w:val="22"/>
        </w:rPr>
        <w:t xml:space="preserve">applying constitutional principles in digital settings by advocating the protection of fundamental rights and </w:t>
      </w:r>
      <w:r w:rsidRPr="000C638C">
        <w:rPr>
          <w:rFonts w:cstheme="minorHAnsi"/>
          <w:sz w:val="22"/>
          <w:szCs w:val="22"/>
        </w:rPr>
        <w:t>promoting accountability, transparency, and democratic control</w:t>
      </w:r>
      <w:r w:rsidR="00741803"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10.4324/9781003256908","ISBN":"9781003256908","author":[{"dropping-particle":"","family":"Celeste","given":"Edoardo","non-dropping-particle":"","parse-names":false,"suffix":""}],"id":"ITEM-1","issued":{"date-parts":[["2022","8","4"]]},"publisher":"Routledge","publisher-place":"London","title":"Digital Constitutionalism","type":"book"},"uris":["http://www.mendeley.com/documents/?uuid=b3114bd2-a47f-35fd-bfa8-f7f181999016"]},{"id":"ITEM-2","itemData":{"DOI":"10.1017/9781009071215","ISBN":"9781009071215","author":[{"dropping-particle":"","family":"Gregorio","given":"Giovanni","non-dropping-particle":"De","parse-names":false,"suffix":""}],"id":"ITEM-2","issued":{"date-parts":[["2022","5","26"]]},"publisher":"Cambridge University Press","title":"Digital Constitutionalism in Europe","type":"book"},"uris":["http://www.mendeley.com/documents/?uuid=91be269a-94e0-3653-a60c-ad43423bc8e0"]},{"id":"ITEM-3","itemData":{"DOI":"10.4337/9781800886476","ISBN":"9781800886476","abstract":"This insightful book presents a radical rethinking of the relationship between law, regulation, and technology. While in traditional legal thinking technology is neither of particular interest nor concern, this book treats modern technologies as doubly significant, both as major targets for regulation and as potential tools to be used for legal and regulatory purposes. It explores whether our institutions for engaging with new technologies are fit for purpose.","author":[{"dropping-particle":"","family":"Brownsword","given":"Roger","non-dropping-particle":"","parse-names":false,"suffix":""}],"id":"ITEM-3","issued":{"date-parts":[["2022","3","4"]]},"publisher":"Edward Elgar Publishing","title":"Rethinking Law, Regulation, and Technology","type":"book"},"uris":["http://www.mendeley.com/documents/?uuid=bbe17f7b-1a39-3e20-853e-c69e4e9c9336"]}],"mendeley":{"formattedCitation":"(Brownsword, 2022; Celeste, 2022; De Gregorio, 2022)","plainTextFormattedCitation":"(Brownsword, 2022; Celeste, 2022; De Gregorio, 2022)","previouslyFormattedCitation":"(10–12)"},"properties":{"noteIndex":0},"schema":"https://github.com/citation-style-language/schema/raw/master/csl-citation.json"}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noProof/>
          <w:sz w:val="22"/>
          <w:szCs w:val="22"/>
        </w:rPr>
        <w:t>(Brownsword, 2022; Celeste, 2022; De Gregorio, 2022)</w:t>
      </w:r>
      <w:r w:rsidR="00741803" w:rsidRPr="000C638C">
        <w:rPr>
          <w:rStyle w:val="FootnoteReference"/>
          <w:rFonts w:cstheme="minorHAnsi"/>
          <w:sz w:val="22"/>
          <w:szCs w:val="22"/>
        </w:rPr>
        <w:fldChar w:fldCharType="end"/>
      </w:r>
      <w:r w:rsidRPr="000C638C">
        <w:rPr>
          <w:rFonts w:cstheme="minorHAnsi"/>
          <w:sz w:val="22"/>
          <w:szCs w:val="22"/>
        </w:rPr>
        <w:t xml:space="preserve">. </w:t>
      </w:r>
      <w:r w:rsidR="00823EE3" w:rsidRPr="000C638C">
        <w:rPr>
          <w:rFonts w:cstheme="minorHAnsi"/>
          <w:sz w:val="22"/>
          <w:szCs w:val="22"/>
        </w:rPr>
        <w:t>While this scholarship has been generally effective in addressing institutional accountability, it has developed largely independently of transcendental jurisprudential traditions such as the one this article draws upon in Section 2.5. Conversely, those traditions have not yet been extended to the specific challenges posed by algorithmic and technology-mediated governance—a gap this article seeks to close.</w:t>
      </w:r>
    </w:p>
    <w:p w14:paraId="5284DCA8" w14:textId="0D5FF397" w:rsidR="00474C89" w:rsidRPr="000C638C" w:rsidRDefault="00515137" w:rsidP="00F440D7">
      <w:pPr>
        <w:spacing w:after="0"/>
        <w:ind w:left="360" w:firstLine="540"/>
        <w:jc w:val="both"/>
        <w:rPr>
          <w:rFonts w:cstheme="minorHAnsi"/>
          <w:sz w:val="22"/>
          <w:szCs w:val="22"/>
        </w:rPr>
      </w:pPr>
      <w:r w:rsidRPr="000C638C">
        <w:rPr>
          <w:rFonts w:cstheme="minorHAnsi"/>
          <w:sz w:val="22"/>
          <w:szCs w:val="22"/>
          <w:shd w:val="clear" w:color="auto" w:fill="FFFFFF"/>
        </w:rPr>
        <w:t xml:space="preserve">Another important area of research is the </w:t>
      </w:r>
      <w:r w:rsidR="00DB6F9C" w:rsidRPr="000C638C">
        <w:rPr>
          <w:rFonts w:cstheme="minorHAnsi"/>
          <w:sz w:val="22"/>
          <w:szCs w:val="22"/>
          <w:shd w:val="clear" w:color="auto" w:fill="FFFFFF"/>
        </w:rPr>
        <w:t xml:space="preserve">ethics and </w:t>
      </w:r>
      <w:r w:rsidRPr="000C638C">
        <w:rPr>
          <w:rFonts w:cstheme="minorHAnsi"/>
          <w:sz w:val="22"/>
          <w:szCs w:val="22"/>
          <w:shd w:val="clear" w:color="auto" w:fill="FFFFFF"/>
        </w:rPr>
        <w:t xml:space="preserve">governance of AI. To establish </w:t>
      </w:r>
      <w:r w:rsidR="00DB6F9C" w:rsidRPr="000C638C">
        <w:rPr>
          <w:rFonts w:cstheme="minorHAnsi"/>
          <w:sz w:val="22"/>
          <w:szCs w:val="22"/>
          <w:shd w:val="clear" w:color="auto" w:fill="FFFFFF"/>
        </w:rPr>
        <w:t xml:space="preserve">ethical boundaries for the design and use of AI, researchers such as Floridi </w:t>
      </w:r>
      <w:r w:rsidR="00A50552">
        <w:rPr>
          <w:rFonts w:cstheme="minorHAnsi"/>
          <w:sz w:val="22"/>
          <w:szCs w:val="22"/>
          <w:shd w:val="clear" w:color="auto" w:fill="FFFFFF"/>
        </w:rPr>
        <w:t>and Cowls (2019), Binns (2022), and Cath (2018) propose normative principles of</w:t>
      </w:r>
      <w:r w:rsidRPr="000C638C">
        <w:rPr>
          <w:rFonts w:cstheme="minorHAnsi"/>
          <w:sz w:val="22"/>
          <w:szCs w:val="22"/>
          <w:shd w:val="clear" w:color="auto" w:fill="FFFFFF"/>
        </w:rPr>
        <w:t xml:space="preserve"> fairness, transparency, explainability, accountability, and human control. These principles are now shaping </w:t>
      </w:r>
      <w:r w:rsidR="00DB6F9C" w:rsidRPr="000C638C">
        <w:rPr>
          <w:rFonts w:cstheme="minorHAnsi"/>
          <w:sz w:val="22"/>
          <w:szCs w:val="22"/>
          <w:shd w:val="clear" w:color="auto" w:fill="FFFFFF"/>
        </w:rPr>
        <w:t xml:space="preserve">global policy and regulatory discourse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{"citationItems":[{"id":"ITEM-1","itemData":{"DOI":"10.1080/13501763.2025.2499113","ISSN":"1350-1763","abstract":"The governance of artificial intelligence (AI) has emerged as a priority for regulators around the world. Analysing the EU’s approach to AI ethics governance, this article traces how early initiatives from the ‘European Group on Ethics’ and the ‘High-Level Expert Group on AI’ sparked a series of sectoral expert negotiations to transpose general ethics principles into concrete and operationalizable guidelines. Drawing on knowledge mobilisation scholarship, we investigate how mobilizations of technical and ethics expertise shape these processes and affect the EU’s problem-solving capacity. Focusing on the insurance sector, we argue that the sectoral anchoring of ethics governance creates a public policy dilemma characterised by a seeming impossibility to align the logics of ethics governance with the reality of stakeholder conflict. Triangulating interview data, internal documents, and secondary data, we demonstrate how the institutional structure empowered a professional group with recognised claims to hybrid expertise to ‘solve’ AI ethics while also strengthening their own professional position within the insurance industry. This ‘instrumentalization from below’ illustrates how ethics governance can be not only captured by political actors to legitimize pre-existing policy preferences but also be used strategically to advance industry and professional interests.","author":[{"dropping-particle":"","family":"Gamerdinger","given":"Alexander","non-dropping-particle":"","parse-names":false,"suffix":""},{"dropping-particle":"","family":"Willers","given":"Johann Ole","non-dropping-particle":"","parse-names":false,"suffix":""}],"container-title":"Journal of European Public Policy","id":"ITEM-1","issued":{"date-parts":[["2025","5","12"]]},"page":"1-28","publisher":"Routledge","title":"Solving AI ethics? Hybrid expertise and professional power in EU ethics governance","type":"article-journal"},"uris":["http://www.mendeley.com/documents/?uuid=bad90163-86e3-3339-b1b0-fd113a2b8ac8"]},{"id":"ITEM-2","itemData":{"DOI":"10.1080/20954816.2025.2569584","ISSN":"2095-4816","abstract":"The rapid development of artificial intelligence (AI) has generated transformative opportunities alongside significant ethical, societal, and regulatory challenges. In this paper, we analyse this issue by considering the different approaches and regulatory frameworks of three main actors: the European Union (EU), the United States (US), and China. The analysis shows how they are adopting different strategies: the EU proposes a stringent, risk-based framework to ensure accountability and transparency; the US, traditionally favouring minimal intervention, is moving towards more structured regulation out of ethical and security concerns; and China has integrated AI as a core component of its national strategy, aligning AI development with state objectives and social stability. These varied regulatory approaches shape global policies, influence international relations, and underscore the need for a new international pact that protects fundamental rights, mitigates the digital divide, and embeds sustainability at the core of AI-driven industrial development.","author":[{"dropping-particle":"","family":"Perboli","given":"Guido","non-dropping-particle":"","parse-names":false,"suffix":""},{"dropping-particle":"","family":"Simionato","given":"Nadia","non-dropping-particle":"","parse-names":false,"suffix":""},{"dropping-particle":"","family":"Pratali","given":"Serena","non-dropping-particle":"","parse-names":false,"suffix":""}],"container-title":"Economic and Political Studies","id":"ITEM-2","issue":"4","issued":{"date-parts":[["2025","10","2"]]},"page":"367-397","publisher":"Routledge","title":"Navigating the AI regulatory landscape: Balancing innovation, ethics, and global governance","type":"article-journal","volume":"13"},"uris":["http://www.mendeley.com/documents/?uuid=5df58d2e-9234-30ff-8488-a30b9006fc83"]}],"mendeley":{"formattedCitation":"(Gamerdinger &amp; Willers, 2025; Perboli et al., 2025)","plainTextFormattedCitation":"(Gamerdinger &amp; Willers, 2025; Perboli et al., 2025)","previouslyFormattedCitation":"(13,14)"},"properties":{"noteIndex":0},"schema":"https://github.com/citation-style-language/schema/raw/master/csl-citation.json"}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(Gamerdinger &amp; Willers, 2025; Perboli et al., 2025)</w:t>
      </w:r>
      <w:r w:rsidR="00741803" w:rsidRPr="000C638C">
        <w:rPr>
          <w:rStyle w:val="FootnoteReference"/>
          <w:rFonts w:cstheme="minorHAnsi"/>
          <w:sz w:val="22"/>
          <w:szCs w:val="22"/>
        </w:rPr>
        <w:fldChar w:fldCharType="end"/>
      </w:r>
      <w:r w:rsidR="00474C89" w:rsidRPr="000C638C">
        <w:rPr>
          <w:rFonts w:cstheme="minorHAnsi"/>
          <w:sz w:val="22"/>
          <w:szCs w:val="22"/>
        </w:rPr>
        <w:t xml:space="preserve">. </w:t>
      </w:r>
      <w:r w:rsidR="0021570A" w:rsidRPr="000C638C">
        <w:rPr>
          <w:rFonts w:cstheme="minorHAnsi"/>
          <w:sz w:val="22"/>
          <w:szCs w:val="22"/>
          <w:shd w:val="clear" w:color="auto" w:fill="FFFFFF"/>
        </w:rPr>
        <w:t xml:space="preserve">External ethical frameworks (in particular, </w:t>
      </w:r>
      <w:r w:rsidR="00DB6F9C" w:rsidRPr="000C638C">
        <w:rPr>
          <w:rFonts w:cstheme="minorHAnsi"/>
          <w:sz w:val="22"/>
          <w:szCs w:val="22"/>
          <w:shd w:val="clear" w:color="auto" w:fill="FFFFFF"/>
        </w:rPr>
        <w:t>business ethics frameworks</w:t>
      </w:r>
      <w:r w:rsidR="0021570A" w:rsidRPr="000C638C">
        <w:rPr>
          <w:rFonts w:cstheme="minorHAnsi"/>
          <w:sz w:val="22"/>
          <w:szCs w:val="22"/>
          <w:shd w:val="clear" w:color="auto" w:fill="FFFFFF"/>
        </w:rPr>
        <w:t>) usually balance ethical and legal considerations</w:t>
      </w:r>
      <w:r w:rsidR="00DB6F9C" w:rsidRPr="000C638C">
        <w:rPr>
          <w:rFonts w:cstheme="minorHAnsi"/>
          <w:sz w:val="22"/>
          <w:szCs w:val="22"/>
          <w:shd w:val="clear" w:color="auto" w:fill="FFFFFF"/>
        </w:rPr>
        <w:t>. Still, there</w:t>
      </w:r>
      <w:r w:rsidR="0021570A" w:rsidRPr="000C638C">
        <w:rPr>
          <w:rFonts w:cstheme="minorHAnsi"/>
          <w:sz w:val="22"/>
          <w:szCs w:val="22"/>
          <w:shd w:val="clear" w:color="auto" w:fill="FFFFFF"/>
        </w:rPr>
        <w:t xml:space="preserve"> is no reconciliation </w:t>
      </w:r>
      <w:r w:rsidR="00DB6F9C" w:rsidRPr="000C638C">
        <w:rPr>
          <w:rFonts w:cstheme="minorHAnsi"/>
          <w:sz w:val="22"/>
          <w:szCs w:val="22"/>
          <w:shd w:val="clear" w:color="auto" w:fill="FFFFFF"/>
        </w:rPr>
        <w:t>between ethics and the ideological underpinnings of law, in which ethics contends with the concepts of validity, authority, and justice, as well as</w:t>
      </w:r>
      <w:r w:rsidR="0021570A" w:rsidRPr="000C638C">
        <w:rPr>
          <w:rFonts w:cstheme="minorHAnsi"/>
          <w:sz w:val="22"/>
          <w:szCs w:val="22"/>
          <w:shd w:val="clear" w:color="auto" w:fill="FFFFFF"/>
        </w:rPr>
        <w:t xml:space="preserve"> law’s own conception of justice.</w:t>
      </w:r>
    </w:p>
    <w:p w14:paraId="56CFEA0A" w14:textId="108E24B7" w:rsidR="00C6383B" w:rsidRPr="000C638C" w:rsidRDefault="0021570A" w:rsidP="00D23A2E">
      <w:pPr>
        <w:spacing w:after="0"/>
        <w:ind w:left="360" w:firstLine="540"/>
        <w:jc w:val="both"/>
        <w:rPr>
          <w:rFonts w:cstheme="minorHAnsi"/>
          <w:sz w:val="22"/>
          <w:szCs w:val="22"/>
        </w:rPr>
      </w:pPr>
      <w:r w:rsidRPr="000C638C">
        <w:rPr>
          <w:rFonts w:cstheme="minorHAnsi"/>
          <w:sz w:val="22"/>
          <w:szCs w:val="22"/>
          <w:shd w:val="clear" w:color="auto" w:fill="FFFFFF"/>
        </w:rPr>
        <w:t xml:space="preserve">Together, these three approaches help articulate a significant shortcoming in existing literature. While legal positivism is founded on the validity of procedures, it </w:t>
      </w:r>
      <w:r w:rsidR="00DB6F9C" w:rsidRPr="000C638C">
        <w:rPr>
          <w:rFonts w:cstheme="minorHAnsi"/>
          <w:sz w:val="22"/>
          <w:szCs w:val="22"/>
          <w:shd w:val="clear" w:color="auto" w:fill="FFFFFF"/>
        </w:rPr>
        <w:t>cannot</w:t>
      </w:r>
      <w:r w:rsidRPr="000C638C">
        <w:rPr>
          <w:rFonts w:cstheme="minorHAnsi"/>
          <w:sz w:val="22"/>
          <w:szCs w:val="22"/>
          <w:shd w:val="clear" w:color="auto" w:fill="FFFFFF"/>
        </w:rPr>
        <w:t xml:space="preserve"> substantiate </w:t>
      </w:r>
      <w:r w:rsidRPr="000C638C">
        <w:rPr>
          <w:rFonts w:cstheme="minorHAnsi"/>
          <w:sz w:val="22"/>
          <w:szCs w:val="22"/>
        </w:rPr>
        <w:t>the</w:t>
      </w:r>
      <w:r w:rsidRPr="000C638C">
        <w:rPr>
          <w:rFonts w:cstheme="minorHAnsi"/>
          <w:sz w:val="22"/>
          <w:szCs w:val="22"/>
          <w:shd w:val="clear" w:color="auto" w:fill="FFFFFF"/>
        </w:rPr>
        <w:t xml:space="preserve"> importance of human values. While digital constitutionalism </w:t>
      </w:r>
      <w:r w:rsidR="00DB6F9C" w:rsidRPr="000C638C">
        <w:rPr>
          <w:rFonts w:cstheme="minorHAnsi"/>
          <w:sz w:val="22"/>
          <w:szCs w:val="22"/>
          <w:shd w:val="clear" w:color="auto" w:fill="FFFFFF"/>
        </w:rPr>
        <w:t xml:space="preserve">can afford some </w:t>
      </w:r>
      <w:r w:rsidR="00A50552">
        <w:rPr>
          <w:rFonts w:cstheme="minorHAnsi"/>
          <w:sz w:val="22"/>
          <w:szCs w:val="22"/>
          <w:shd w:val="clear" w:color="auto" w:fill="FFFFFF"/>
        </w:rPr>
        <w:t>protection of human rights, it is largely confin</w:t>
      </w:r>
      <w:r w:rsidR="00DB6F9C" w:rsidRPr="000C638C">
        <w:rPr>
          <w:rFonts w:cstheme="minorHAnsi"/>
          <w:sz w:val="22"/>
          <w:szCs w:val="22"/>
          <w:shd w:val="clear" w:color="auto" w:fill="FFFFFF"/>
        </w:rPr>
        <w:t xml:space="preserve">ed to </w:t>
      </w:r>
      <w:r w:rsidRPr="000C638C">
        <w:rPr>
          <w:rFonts w:cstheme="minorHAnsi"/>
          <w:sz w:val="22"/>
          <w:szCs w:val="22"/>
          <w:shd w:val="clear" w:color="auto" w:fill="FFFFFF"/>
        </w:rPr>
        <w:t xml:space="preserve">local and institutional frameworks. While AI ethics </w:t>
      </w:r>
      <w:r w:rsidR="00DB6F9C" w:rsidRPr="000C638C">
        <w:rPr>
          <w:rFonts w:cstheme="minorHAnsi"/>
          <w:sz w:val="22"/>
          <w:szCs w:val="22"/>
          <w:shd w:val="clear" w:color="auto" w:fill="FFFFFF"/>
        </w:rPr>
        <w:t>can provide some degree of positioning, its scope</w:t>
      </w:r>
      <w:r w:rsidRPr="000C638C">
        <w:rPr>
          <w:rFonts w:cstheme="minorHAnsi"/>
          <w:sz w:val="22"/>
          <w:szCs w:val="22"/>
          <w:shd w:val="clear" w:color="auto" w:fill="FFFFFF"/>
        </w:rPr>
        <w:t xml:space="preserve"> is also very limited. There remains a substantial gap in a theory of human dignity </w:t>
      </w:r>
      <w:r w:rsidRPr="000C638C">
        <w:rPr>
          <w:rFonts w:cstheme="minorHAnsi"/>
          <w:sz w:val="22"/>
          <w:szCs w:val="22"/>
          <w:shd w:val="clear" w:color="auto" w:fill="FFFFFF"/>
        </w:rPr>
        <w:lastRenderedPageBreak/>
        <w:t xml:space="preserve">and algorithmic governance </w:t>
      </w:r>
      <w:r w:rsidR="00DB6F9C" w:rsidRPr="000C638C">
        <w:rPr>
          <w:rFonts w:cstheme="minorHAnsi"/>
          <w:sz w:val="22"/>
          <w:szCs w:val="22"/>
          <w:shd w:val="clear" w:color="auto" w:fill="FFFFFF"/>
        </w:rPr>
        <w:t>that can address</w:t>
      </w:r>
      <w:r w:rsidRPr="000C638C">
        <w:rPr>
          <w:rFonts w:cstheme="minorHAnsi"/>
          <w:sz w:val="22"/>
          <w:szCs w:val="22"/>
          <w:shd w:val="clear" w:color="auto" w:fill="FFFFFF"/>
        </w:rPr>
        <w:t xml:space="preserve"> the challenges posed by Society 5.0. It is highly concerning that</w:t>
      </w:r>
      <w:r w:rsidR="00DB6F9C" w:rsidRPr="000C638C">
        <w:rPr>
          <w:rFonts w:cstheme="minorHAnsi"/>
          <w:sz w:val="22"/>
          <w:szCs w:val="22"/>
          <w:shd w:val="clear" w:color="auto" w:fill="FFFFFF"/>
        </w:rPr>
        <w:t xml:space="preserve">, as we continue to lack adequate theoretical and practical frameworks, we risk </w:t>
      </w:r>
      <w:r w:rsidRPr="000C638C">
        <w:rPr>
          <w:rFonts w:cstheme="minorHAnsi"/>
          <w:sz w:val="22"/>
          <w:szCs w:val="22"/>
          <w:shd w:val="clear" w:color="auto" w:fill="FFFFFF"/>
        </w:rPr>
        <w:t>algorithmic systems defining the social good at the expense of freedom, social value, and welfare. This article contends that</w:t>
      </w:r>
      <w:r w:rsidR="00A50552">
        <w:rPr>
          <w:rFonts w:cstheme="minorHAnsi"/>
          <w:sz w:val="22"/>
          <w:szCs w:val="22"/>
          <w:shd w:val="clear" w:color="auto" w:fill="FFFFFF"/>
        </w:rPr>
        <w:t>, because of the inadequacies of existing frameworks, a new legal epistemology must be underpinned by human and transcendental values, a strategy with some historical grounding in Indonesian constitutional theory (Dimyati et al., 2021). However,</w:t>
      </w:r>
      <w:r w:rsidRPr="000C638C">
        <w:rPr>
          <w:rFonts w:cstheme="minorHAnsi"/>
          <w:sz w:val="22"/>
          <w:szCs w:val="22"/>
          <w:shd w:val="clear" w:color="auto" w:fill="FFFFFF"/>
        </w:rPr>
        <w:t xml:space="preserve"> it has yet to be applied to algorithmic governance.</w:t>
      </w:r>
    </w:p>
    <w:p w14:paraId="70E2358F" w14:textId="53481180" w:rsidR="00474C89" w:rsidRPr="000C638C" w:rsidRDefault="00474C89" w:rsidP="00D23A2E">
      <w:pPr>
        <w:spacing w:after="0"/>
        <w:ind w:left="360" w:firstLine="540"/>
        <w:jc w:val="both"/>
        <w:rPr>
          <w:rFonts w:cstheme="minorHAnsi"/>
          <w:sz w:val="22"/>
          <w:szCs w:val="22"/>
        </w:rPr>
      </w:pPr>
      <w:r w:rsidRPr="000C638C">
        <w:rPr>
          <w:rFonts w:cstheme="minorHAnsi"/>
          <w:sz w:val="22"/>
          <w:szCs w:val="22"/>
        </w:rPr>
        <w:t xml:space="preserve"> </w:t>
      </w:r>
      <w:r w:rsidR="00D23A2E" w:rsidRPr="000C638C">
        <w:rPr>
          <w:rFonts w:cstheme="minorHAnsi"/>
          <w:sz w:val="22"/>
          <w:szCs w:val="22"/>
        </w:rPr>
        <w:t>In this context, and inspired by Kuntowijoyo (2006), I propose a new Prophetic Legal Epistemology that includes humanization, transcendence, and liberation for legal reasoning in an age of algorithmic governance. While the prophetic-transcendental paradigm has been productively applied to Indonesian constitutional theory</w:t>
      </w:r>
      <w:r w:rsidR="00741803" w:rsidRPr="000C638C">
        <w:rPr>
          <w:rFonts w:cstheme="minorHAnsi"/>
          <w:sz w:val="22"/>
          <w:szCs w:val="22"/>
        </w:rPr>
        <w:t xml:space="preserve"> </w:t>
      </w:r>
      <w:r w:rsidR="00D23A2E" w:rsidRPr="000C638C">
        <w:rPr>
          <w:rFonts w:cstheme="minorHAnsi"/>
          <w:sz w:val="22"/>
          <w:szCs w:val="22"/>
        </w:rPr>
        <w:t>elsewhere</w:t>
      </w:r>
      <w:r w:rsidR="00741803" w:rsidRPr="000C638C">
        <w:rPr>
          <w:rFonts w:cstheme="minorHAnsi"/>
          <w:sz w:val="22"/>
          <w:szCs w:val="22"/>
        </w:rPr>
        <w:t xml:space="preserve"> </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{"citationItems":[{"id":"ITEM-1","itemData":{"DOI":"10.1016/j.heliyon.2021.e07865","ISSN":"24058440","abstract":"Introduction: The modern welfare state concept is based on individualistic and liberal social contracts that prioritize individual interests with liberalist, partial and non-holistic hegemonies. The welfare state concept has failed in directing citizens to achieve justice, peace, and welfare. The basic aim of the Republic of Indonesia's formation is to form a welfare country. But the Indonesian constitutional articles do not have the power to form a welfare society compared to those of other states, such as Norway, Japan, the USA, and Malaysia, whose constitutions aim to achieve welfare. Objective: This research aims to explore the formulation of Indonesia as the Prophetic Transcendental-Based Legal Welfare State. The urgency of this research is on the effort of model invention, or a new postulate on the form of the Indonesian Legal Welfare State. Methods: This is normative-juridical research with a philosophical approach to find and explore the formulation of Indonesia as the Prophetic Transcendental-Based Legal Welfare State. Conclusion: This research found that as a Legal Welfare State, Indonesia inspirits Pancasila as the moral-spiritual guidance in all developmental policies on the national law, economy, politics, and culture. Thus, the direction of the state's development is inseparable from its roots, namely the prophetic and transcendental Pancasila. Novelty: The previous researches discussed Indonesia as a welfare state only based on the determining legislation or laws. But this research discusses the philosophical aspect based on the thoughts of Indonesia's founding fathers.","author":[{"dropping-particle":"","family":"Dimyati","given":"Khudzaifah","non-dropping-particle":"","parse-names":false,"suffix":""},{"dropping-particle":"","family":"Nashir","given":"Haedar","non-dropping-particle":"","parse-names":false,"suffix":""},{"dropping-particle":"","family":"Elviandri","given":"Elviandri","non-dropping-particle":"","parse-names":false,"suffix":""},{"dropping-particle":"","family":"Absori","given":"Absori","non-dropping-particle":"","parse-names":false,"suffix":""},{"dropping-particle":"","family":"Wardiono","given":"Kelik","non-dropping-particle":"","parse-names":false,"suffix":""},{"dropping-particle":"","family":"Budiono","given":"Arief","non-dropping-particle":"","parse-names":false,"suffix":""}],"container-title":"Heliyon","id":"ITEM-1","issue":"8","issued":{"date-parts":[["2021","8","1"]]},"page":"e07865","publisher":"Elsevier Ltd","title":"Indonesia as a legal welfare state: A prophetic-transcendental basis","type":"article-journal","volume":"7"},"uris":["http://www.mendeley.com/documents/?uuid=220b3aa1-a23d-3da8-a925-c371810d3bb7"]}],"mendeley":{"formattedCitation":"(Dimyati et al., 2021)","plainTextFormattedCitation":"(Dimyati et al., 2021)","previouslyFormattedCitation":"(15)"},"properties":{"noteIndex":0},"schema":"https://github.com/citation-style-language/schema/raw/master/csl-citation.json"}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noProof/>
          <w:sz w:val="22"/>
          <w:szCs w:val="22"/>
        </w:rPr>
        <w:t>(Dimyati et al., 2021)</w:t>
      </w:r>
      <w:r w:rsidR="00741803" w:rsidRPr="000C638C">
        <w:rPr>
          <w:rStyle w:val="FootnoteReference"/>
          <w:rFonts w:cstheme="minorHAnsi"/>
          <w:sz w:val="22"/>
          <w:szCs w:val="22"/>
        </w:rPr>
        <w:fldChar w:fldCharType="end"/>
      </w:r>
      <w:r w:rsidR="00741803" w:rsidRPr="000C638C">
        <w:rPr>
          <w:rFonts w:cstheme="minorHAnsi"/>
          <w:sz w:val="22"/>
          <w:szCs w:val="22"/>
        </w:rPr>
        <w:t xml:space="preserve">, </w:t>
      </w:r>
      <w:r w:rsidR="00D23A2E" w:rsidRPr="000C638C">
        <w:rPr>
          <w:rFonts w:cstheme="minorHAnsi"/>
          <w:sz w:val="22"/>
          <w:szCs w:val="22"/>
        </w:rPr>
        <w:t>its extension to algorithmic governance and legal epistemology, specifically, remains unexplored</w:t>
      </w:r>
      <w:r w:rsidRPr="000C638C">
        <w:rPr>
          <w:rFonts w:cstheme="minorHAnsi"/>
          <w:sz w:val="22"/>
          <w:szCs w:val="22"/>
        </w:rPr>
        <w:t xml:space="preserve">. In contrast to the instrumentalization of ethical values as </w:t>
      </w:r>
      <w:r w:rsidR="00F440D7" w:rsidRPr="000C638C">
        <w:rPr>
          <w:rFonts w:cstheme="minorHAnsi"/>
          <w:sz w:val="22"/>
          <w:szCs w:val="22"/>
        </w:rPr>
        <w:t>constraints on governance</w:t>
      </w:r>
      <w:r w:rsidR="00C6383B" w:rsidRPr="000C638C">
        <w:rPr>
          <w:rFonts w:cstheme="minorHAnsi"/>
          <w:sz w:val="22"/>
          <w:szCs w:val="22"/>
        </w:rPr>
        <w:t xml:space="preserve">, the proposed framework argues that </w:t>
      </w:r>
      <w:r w:rsidR="00D23A2E" w:rsidRPr="000C638C">
        <w:rPr>
          <w:rFonts w:cstheme="minorHAnsi"/>
          <w:sz w:val="22"/>
          <w:szCs w:val="22"/>
        </w:rPr>
        <w:t>transcendental values should be regarded as the legal framework for legitimacy, not merely instrumentalized as constraints</w:t>
      </w:r>
      <w:r w:rsidRPr="000C638C">
        <w:rPr>
          <w:rFonts w:cstheme="minorHAnsi"/>
          <w:sz w:val="22"/>
          <w:szCs w:val="22"/>
        </w:rPr>
        <w:t>. From this perspective, human dignity is not simply the goal of regulation</w:t>
      </w:r>
      <w:r w:rsidR="00C6383B" w:rsidRPr="000C638C">
        <w:rPr>
          <w:rFonts w:cstheme="minorHAnsi"/>
          <w:sz w:val="22"/>
          <w:szCs w:val="22"/>
        </w:rPr>
        <w:t xml:space="preserve"> but rather the guiding framework </w:t>
      </w:r>
      <w:r w:rsidR="00F440D7" w:rsidRPr="000C638C">
        <w:rPr>
          <w:rFonts w:cstheme="minorHAnsi"/>
          <w:sz w:val="22"/>
          <w:szCs w:val="22"/>
        </w:rPr>
        <w:t>for bounding and evaluating legal and technological governance</w:t>
      </w:r>
      <w:r w:rsidRPr="000C638C">
        <w:rPr>
          <w:rFonts w:cstheme="minorHAnsi"/>
          <w:sz w:val="22"/>
          <w:szCs w:val="22"/>
        </w:rPr>
        <w:t>. In this sense, the article presents three main research questions. First, how can we include transcendental values in legal reasoning in an era of algorithmic governance? Second, what are the shortcomings of positivist jurisprudence in the protection of human dignity in Society 5.0? Third, in what sense does Prophetic Legal Epistemology present a normative option to the other existing AI governance and digital constitutionalism frameworks?</w:t>
      </w:r>
    </w:p>
    <w:p w14:paraId="39500369" w14:textId="52230765" w:rsidR="00974958" w:rsidRPr="000C638C" w:rsidRDefault="00474C89" w:rsidP="003019B0">
      <w:pPr>
        <w:spacing w:after="0"/>
        <w:ind w:left="360" w:firstLine="540"/>
        <w:jc w:val="both"/>
        <w:rPr>
          <w:rFonts w:cstheme="minorHAnsi"/>
          <w:sz w:val="22"/>
          <w:szCs w:val="22"/>
        </w:rPr>
      </w:pPr>
      <w:r w:rsidRPr="000C638C">
        <w:rPr>
          <w:rFonts w:cstheme="minorHAnsi"/>
          <w:sz w:val="22"/>
          <w:szCs w:val="22"/>
        </w:rPr>
        <w:t xml:space="preserve">This article addresses the questions by providing three theoretical contributions. It first presents the first-ever integrated jurisprudential model of Kuntowijoyo’s prophetic social science and a theory of legal epistemology. The second contribution moves theories of legal authority and of legal validity beyond the constraints of procedural legality by reinterpreting Transcendence as a source of legal validity. The third contribution offers a normative design of human-centered AI governance. This model of governance sustains </w:t>
      </w:r>
      <w:r w:rsidR="00C6383B" w:rsidRPr="000C638C">
        <w:rPr>
          <w:rFonts w:cstheme="minorHAnsi"/>
          <w:sz w:val="22"/>
          <w:szCs w:val="22"/>
        </w:rPr>
        <w:t>technological development while ensuring the protection of human dignity, social justice</w:t>
      </w:r>
      <w:r w:rsidR="00A50552">
        <w:rPr>
          <w:rFonts w:cstheme="minorHAnsi"/>
          <w:sz w:val="22"/>
          <w:szCs w:val="22"/>
        </w:rPr>
        <w:t>,</w:t>
      </w:r>
      <w:r w:rsidR="00C6383B" w:rsidRPr="000C638C">
        <w:rPr>
          <w:rFonts w:cstheme="minorHAnsi"/>
          <w:sz w:val="22"/>
          <w:szCs w:val="22"/>
        </w:rPr>
        <w:t xml:space="preserve"> and</w:t>
      </w:r>
      <w:r w:rsidRPr="000C638C">
        <w:rPr>
          <w:rFonts w:cstheme="minorHAnsi"/>
          <w:sz w:val="22"/>
          <w:szCs w:val="22"/>
        </w:rPr>
        <w:t xml:space="preserve"> ethical accountability. The </w:t>
      </w:r>
      <w:r w:rsidR="00C6383B" w:rsidRPr="000C638C">
        <w:rPr>
          <w:rFonts w:cstheme="minorHAnsi"/>
          <w:sz w:val="22"/>
          <w:szCs w:val="22"/>
        </w:rPr>
        <w:t>article's three contributions aim to push the existing boundaries of the law-and-technology</w:t>
      </w:r>
      <w:r w:rsidRPr="000C638C">
        <w:rPr>
          <w:rFonts w:cstheme="minorHAnsi"/>
          <w:sz w:val="22"/>
          <w:szCs w:val="22"/>
        </w:rPr>
        <w:t xml:space="preserve"> debate. The article seeks </w:t>
      </w:r>
      <w:r w:rsidR="00C6383B" w:rsidRPr="000C638C">
        <w:rPr>
          <w:rFonts w:cstheme="minorHAnsi"/>
          <w:sz w:val="22"/>
          <w:szCs w:val="22"/>
        </w:rPr>
        <w:t xml:space="preserve">to establish a new, pragmatic, and integrative governance theory </w:t>
      </w:r>
      <w:r w:rsidR="00F440D7" w:rsidRPr="000C638C">
        <w:rPr>
          <w:rFonts w:cstheme="minorHAnsi"/>
          <w:sz w:val="22"/>
          <w:szCs w:val="22"/>
        </w:rPr>
        <w:t>for</w:t>
      </w:r>
      <w:r w:rsidRPr="000C638C">
        <w:rPr>
          <w:rFonts w:cstheme="minorHAnsi"/>
          <w:sz w:val="22"/>
          <w:szCs w:val="22"/>
        </w:rPr>
        <w:t xml:space="preserve"> Society 5.0.</w:t>
      </w:r>
    </w:p>
    <w:p w14:paraId="0057A142" w14:textId="77777777" w:rsidR="00974958" w:rsidRPr="000C638C" w:rsidRDefault="00974958" w:rsidP="00F440D7">
      <w:pPr>
        <w:spacing w:after="0"/>
        <w:ind w:left="360" w:firstLine="540"/>
        <w:jc w:val="both"/>
        <w:rPr>
          <w:rFonts w:cstheme="minorHAnsi"/>
          <w:sz w:val="22"/>
          <w:szCs w:val="22"/>
        </w:rPr>
      </w:pPr>
    </w:p>
    <w:p w14:paraId="415363DC" w14:textId="684E4857" w:rsidR="005F5BF0" w:rsidRPr="000C638C" w:rsidRDefault="005F5BF0" w:rsidP="00153200">
      <w:pPr>
        <w:spacing w:after="0"/>
        <w:ind w:left="360" w:hanging="360"/>
        <w:rPr>
          <w:rFonts w:cstheme="minorHAnsi"/>
          <w:b/>
          <w:bCs/>
          <w:sz w:val="22"/>
          <w:szCs w:val="22"/>
        </w:rPr>
      </w:pPr>
      <w:r w:rsidRPr="000C638C">
        <w:rPr>
          <w:rFonts w:cstheme="minorHAnsi"/>
          <w:b/>
          <w:bCs/>
          <w:sz w:val="22"/>
          <w:szCs w:val="22"/>
        </w:rPr>
        <w:t xml:space="preserve">2. </w:t>
      </w:r>
      <w:r w:rsidR="00C6383B" w:rsidRPr="000C638C">
        <w:rPr>
          <w:rFonts w:cstheme="minorHAnsi"/>
          <w:b/>
          <w:bCs/>
          <w:sz w:val="22"/>
          <w:szCs w:val="22"/>
        </w:rPr>
        <w:tab/>
      </w:r>
      <w:r w:rsidRPr="000C638C">
        <w:rPr>
          <w:rFonts w:cstheme="minorHAnsi"/>
          <w:b/>
          <w:bCs/>
          <w:sz w:val="22"/>
          <w:szCs w:val="22"/>
        </w:rPr>
        <w:t>Literature Review and Theoretical Framework</w:t>
      </w:r>
    </w:p>
    <w:p w14:paraId="7FEBCC6E" w14:textId="3CD2204B" w:rsidR="005F5BF0" w:rsidRPr="000C638C" w:rsidRDefault="005F5BF0" w:rsidP="00974958">
      <w:pPr>
        <w:tabs>
          <w:tab w:val="left" w:pos="900"/>
        </w:tabs>
        <w:spacing w:after="0"/>
        <w:ind w:left="360"/>
        <w:rPr>
          <w:rFonts w:cstheme="minorHAnsi"/>
          <w:b/>
          <w:bCs/>
          <w:sz w:val="22"/>
          <w:szCs w:val="22"/>
        </w:rPr>
      </w:pPr>
      <w:r w:rsidRPr="000C638C">
        <w:rPr>
          <w:rFonts w:cstheme="minorHAnsi"/>
          <w:b/>
          <w:bCs/>
          <w:sz w:val="22"/>
          <w:szCs w:val="22"/>
        </w:rPr>
        <w:t xml:space="preserve">2.1. </w:t>
      </w:r>
      <w:r w:rsidR="00C6383B" w:rsidRPr="000C638C">
        <w:rPr>
          <w:rFonts w:cstheme="minorHAnsi"/>
          <w:b/>
          <w:bCs/>
          <w:sz w:val="22"/>
          <w:szCs w:val="22"/>
        </w:rPr>
        <w:tab/>
      </w:r>
      <w:r w:rsidRPr="000C638C">
        <w:rPr>
          <w:rFonts w:cstheme="minorHAnsi"/>
          <w:b/>
          <w:bCs/>
          <w:sz w:val="22"/>
          <w:szCs w:val="22"/>
        </w:rPr>
        <w:t>Legal Positivism and the Problem of Normative Legitimacy</w:t>
      </w:r>
    </w:p>
    <w:p w14:paraId="78C791C9" w14:textId="35F6A4F4" w:rsidR="005F5BF0" w:rsidRPr="000C638C" w:rsidRDefault="00474C89" w:rsidP="00CB2B44">
      <w:pPr>
        <w:spacing w:after="0"/>
        <w:ind w:left="900" w:firstLine="450"/>
        <w:jc w:val="both"/>
        <w:rPr>
          <w:rFonts w:cstheme="minorHAnsi"/>
          <w:sz w:val="22"/>
          <w:szCs w:val="22"/>
        </w:rPr>
      </w:pPr>
      <w:r w:rsidRPr="000C638C">
        <w:rPr>
          <w:rFonts w:cstheme="minorHAnsi"/>
          <w:sz w:val="22"/>
          <w:szCs w:val="22"/>
        </w:rPr>
        <w:t>Legal positivism is one of the most notable schools of modern jurisprudential thought. Kelsen’s Pure Theory of Law, Hart’s rule of recognition, and Raz’s service conception of authority are all examples of legal positivism</w:t>
      </w:r>
      <w:r w:rsidR="00741803" w:rsidRPr="000C638C">
        <w:rPr>
          <w:rStyle w:val="FootnoteReference"/>
          <w:rFonts w:cstheme="minorHAnsi"/>
          <w:sz w:val="22"/>
          <w:szCs w:val="22"/>
        </w:rPr>
        <w:fldChar w:fldCharType="begin" w:fldLock="1"/>
      </w:r>
      <w:r w:rsidR="00A50552">
        <w:rPr>
          <w:rFonts w:cstheme="minorHAnsi"/>
          <w:sz w:val="22"/>
          <w:szCs w:val="22"/>
        </w:rPr>
        <w:instrText>ADDIN CSL_CITATION {"citationItems":[{"id":"ITEM-1","itemData":{"author":[{"dropping-particle":"","family":"Kelsen","given":"Hans","non-dropping-particle":"","parse-names":false,"suffix":""},{"dropping-particle":"","family":"Los","given":"Berkeley And","non-dropping-particle":"","parse-names":false,"suffix":""}],"id":"ITEM-1","issued":{"date-parts":[["1967"]]},"title":"PURE THEORY OF LAW Translation from the Second (Revised and Enlarged) German Edition by MAX KNIGHT UNIVERSITY OF CALIFORNIA PRESS","type":"report"},"uris":["http://www.mendeley.com/documents/?uuid=0b95c74d-52d2-3031-97db-5fca697a8e95"]},{"id":"ITEM-2","itemData":{"ISBN":"978-0-19-957357-8","author":[{"dropping-particle":"","family":"Raz","given":"Joseph.","non-dropping-particle":"","parse-names":false,"suffix":""}],"edition":"2nd","id":"ITEM-2","issued":{"date-parts":[["1979"]]},"language":"english","number-of-pages":"357","publisher":"Oxford University Press","title":"The Authority of Law","type":"book"},"uris":["http://www.mendeley.com/documents/?uuid=43b896d2-06dc-313d-8a8d-c314f97a0adf"]}],"mendeley":{"formattedCitation":"(Kelsen &amp; Los, 1967; Raz, 1979)","plainTextFormattedCitation":"(Kelsen &amp; Los, 1967; Raz, 1979)","previouslyFormattedCitation":"(16,17)"},"properties":{"noteIndex":0},"schema":"https://github.com/citation-style-language/schema/raw/master/csl-citation.json"}</w:instrText>
      </w:r>
      <w:r w:rsidR="00741803" w:rsidRPr="000C638C">
        <w:rPr>
          <w:rStyle w:val="FootnoteReference"/>
          <w:rFonts w:cstheme="minorHAnsi"/>
          <w:sz w:val="22"/>
          <w:szCs w:val="22"/>
        </w:rPr>
        <w:fldChar w:fldCharType="separate"/>
      </w:r>
      <w:r w:rsidR="00A50552" w:rsidRPr="00A50552">
        <w:rPr>
          <w:rFonts w:cstheme="minorHAnsi"/>
          <w:bCs/>
          <w:noProof/>
          <w:sz w:val="22"/>
          <w:szCs w:val="22"/>
        </w:rPr>
        <w:t>(Kelsen &amp; Los, 1967; Raz, 1979)</w:t>
      </w:r>
      <w:r w:rsidR="00741803" w:rsidRPr="000C638C">
        <w:rPr>
          <w:rStyle w:val="FootnoteReference"/>
          <w:rFonts w:cstheme="minorHAnsi"/>
          <w:sz w:val="22"/>
          <w:szCs w:val="22"/>
        </w:rPr>
        <w:fldChar w:fldCharType="end"/>
      </w:r>
      <w:r w:rsidRPr="000C638C">
        <w:rPr>
          <w:rFonts w:cstheme="minorHAnsi"/>
          <w:sz w:val="22"/>
          <w:szCs w:val="22"/>
        </w:rPr>
        <w:t xml:space="preserve">. Legal positivism grounds the legal distinction between law and morality through procedures and sources of authority. One of the most significant innovations of legal positivism is the provision of </w:t>
      </w:r>
      <w:r w:rsidR="00C6383B" w:rsidRPr="000C638C">
        <w:rPr>
          <w:rFonts w:cstheme="minorHAnsi"/>
          <w:sz w:val="22"/>
          <w:szCs w:val="22"/>
        </w:rPr>
        <w:t>certainty, predictability</w:t>
      </w:r>
      <w:r w:rsidR="00A50552">
        <w:rPr>
          <w:rFonts w:cstheme="minorHAnsi"/>
          <w:sz w:val="22"/>
          <w:szCs w:val="22"/>
        </w:rPr>
        <w:t>,</w:t>
      </w:r>
      <w:r w:rsidR="00C6383B" w:rsidRPr="000C638C">
        <w:rPr>
          <w:rFonts w:cstheme="minorHAnsi"/>
          <w:sz w:val="22"/>
          <w:szCs w:val="22"/>
        </w:rPr>
        <w:t xml:space="preserve"> and coherence within the </w:t>
      </w:r>
      <w:r w:rsidRPr="000C638C">
        <w:rPr>
          <w:rFonts w:cstheme="minorHAnsi"/>
          <w:sz w:val="22"/>
          <w:szCs w:val="22"/>
        </w:rPr>
        <w:t>legal order.</w:t>
      </w:r>
      <w:r w:rsidR="00C6383B" w:rsidRPr="000C638C">
        <w:rPr>
          <w:rFonts w:cstheme="minorHAnsi"/>
          <w:sz w:val="22"/>
          <w:szCs w:val="22"/>
        </w:rPr>
        <w:t xml:space="preserve"> </w:t>
      </w:r>
      <w:r w:rsidRPr="000C638C">
        <w:rPr>
          <w:rFonts w:cstheme="minorHAnsi"/>
          <w:sz w:val="22"/>
          <w:szCs w:val="22"/>
        </w:rPr>
        <w:t xml:space="preserve">The rise of algorithmic governance raises questions beyond procedural legality. Artificial intelligence is beginning to shape outcomes </w:t>
      </w:r>
      <w:r w:rsidR="00C6383B" w:rsidRPr="000C638C">
        <w:rPr>
          <w:rFonts w:cstheme="minorHAnsi"/>
          <w:sz w:val="22"/>
          <w:szCs w:val="22"/>
        </w:rPr>
        <w:t xml:space="preserve">across </w:t>
      </w:r>
      <w:r w:rsidR="00467D53" w:rsidRPr="000C638C">
        <w:rPr>
          <w:rFonts w:cstheme="minorHAnsi"/>
          <w:sz w:val="22"/>
          <w:szCs w:val="22"/>
        </w:rPr>
        <w:t>employment</w:t>
      </w:r>
      <w:r w:rsidR="00741803" w:rsidRPr="000C638C">
        <w:rPr>
          <w:rStyle w:val="FootnoteReference"/>
          <w:rFonts w:cstheme="minorHAnsi"/>
          <w:sz w:val="22"/>
          <w:szCs w:val="22"/>
          <w:vertAlign w:val="baseline"/>
        </w:rPr>
        <w:t xml:space="preserve"> (Köchling &amp; Wehner, 2020), welfare (van Bekkum &amp; Borgesius, 2021), criminal </w:t>
      </w:r>
      <w:r w:rsidR="00741803" w:rsidRPr="000C638C">
        <w:rPr>
          <w:rStyle w:val="FootnoteReference"/>
          <w:rFonts w:cstheme="minorHAnsi"/>
          <w:sz w:val="22"/>
          <w:szCs w:val="22"/>
          <w:vertAlign w:val="baseline"/>
        </w:rPr>
        <w:lastRenderedPageBreak/>
        <w:t>justice (Almasoud &amp; Idowu, 2025), and the broader administrative apparatus of the state</w:t>
      </w:r>
      <w:r w:rsidR="00467D53" w:rsidRPr="000C638C">
        <w:rPr>
          <w:rFonts w:cstheme="minorHAnsi"/>
          <w:sz w:val="22"/>
          <w:szCs w:val="22"/>
        </w:rPr>
        <w:t xml:space="preserve">. </w:t>
      </w:r>
      <w:r w:rsidRPr="000C638C">
        <w:rPr>
          <w:rFonts w:cstheme="minorHAnsi"/>
          <w:sz w:val="22"/>
          <w:szCs w:val="22"/>
        </w:rPr>
        <w:t xml:space="preserve">These systems can, in fact, meet the criteria of legality, but do so at the expense of human dignity, human agency, and social justice. Legal positivism has developed sophisticated tools to </w:t>
      </w:r>
      <w:r w:rsidR="00C6383B" w:rsidRPr="000C638C">
        <w:rPr>
          <w:rFonts w:cstheme="minorHAnsi"/>
          <w:sz w:val="22"/>
          <w:szCs w:val="22"/>
        </w:rPr>
        <w:t>determine a norm's legal validity, but offers almost no</w:t>
      </w:r>
      <w:r w:rsidR="00153200" w:rsidRPr="000C638C">
        <w:rPr>
          <w:rFonts w:cstheme="minorHAnsi"/>
          <w:sz w:val="22"/>
          <w:szCs w:val="22"/>
        </w:rPr>
        <w:t>ne to determine whether decisions made</w:t>
      </w:r>
      <w:r w:rsidRPr="000C638C">
        <w:rPr>
          <w:rFonts w:cstheme="minorHAnsi"/>
          <w:sz w:val="22"/>
          <w:szCs w:val="22"/>
        </w:rPr>
        <w:t xml:space="preserve"> through technology are morally and humanly lawful.</w:t>
      </w:r>
      <w:r w:rsidR="00C6383B" w:rsidRPr="000C638C">
        <w:rPr>
          <w:rFonts w:cstheme="minorHAnsi"/>
          <w:sz w:val="22"/>
          <w:szCs w:val="22"/>
        </w:rPr>
        <w:t xml:space="preserve"> </w:t>
      </w:r>
      <w:r w:rsidR="00CB2B44" w:rsidRPr="000C638C">
        <w:rPr>
          <w:rFonts w:cstheme="minorHAnsi"/>
          <w:sz w:val="22"/>
          <w:szCs w:val="22"/>
        </w:rPr>
        <w:t>Legal positivism has developed sophisticated tools to determine a norm's legal validity, but offers almost none to determine whether decisions made through technology are morally and humanly lawful. This gap persists even where positivist categories have been extended directly to AI</w:t>
      </w:r>
      <w:r w:rsidR="00741803" w:rsidRPr="000C638C">
        <w:rPr>
          <w:rFonts w:cstheme="minorHAnsi"/>
          <w:sz w:val="22"/>
          <w:szCs w:val="22"/>
        </w:rPr>
        <w:t xml:space="preserve"> </w:t>
      </w:r>
      <w:r w:rsidR="00CB2B44" w:rsidRPr="000C638C">
        <w:rPr>
          <w:rFonts w:cstheme="minorHAnsi"/>
          <w:sz w:val="22"/>
          <w:szCs w:val="22"/>
        </w:rPr>
        <w:t>adjudication</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{"citationItems":[{"id":"ITEM-1","itemData":{"DOI":"10.1007/s43681-022-00210-3","ISSN":"2730-5953","abstract":"Artificial intelligence (AI) decision-making systems are already being extensively used to make decisions in situations where legal rules are applied to establish rights and obligations. In the United States, algorithmic systems are employed to determine the rights of individuals to disability benefits, to evaluate the performance of employees, selecting who will be fired, and to assist judges in granting or denying bail and probation. In this paper I explore some possible implications of H. L. A. Hart’s theory of law as a system of primary and secondary rules to the ongoing debate on the viability and the limits of an adjudicating artificial intelligence. Although much has been recently discussed about the potential practical roles of artificial intelligence in legal practice and assisted decision making, the implication to general jurisprudence still requires further development. I try to map some issues of general jurisprudence that may be consequential to the question of whether a non-human entity (an artificial intelligence) would be theoretically able to perform the kind of legal reasoning made by human judges.","author":[{"dropping-particle":"","family":"Canalli","given":"Rodrigo L.","non-dropping-particle":"","parse-names":false,"suffix":""}],"container-title":"AI and Ethics","id":"ITEM-1","issue":"3","issued":{"date-parts":[["2023","8","24"]]},"page":"879-885","title":"Artificial intelligence and the model of rules: better than us?","type":"article-journal","volume":"3"},"uris":["http://www.mendeley.com/documents/?uuid=b0b8c7c6-46f1-3e26-9d51-093af135f33a"]}],"mendeley":{"formattedCitation":"(Canalli, 2023)","plainTextFormattedCitation":"(Canalli, 2023)","previouslyFormattedCitation":"(9)"},"properties":{"noteIndex":0},"schema":"https://github.com/citation-style-language/schema/raw/master/csl-citation.json"}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(Canalli, 2023)</w:t>
      </w:r>
      <w:r w:rsidR="00741803" w:rsidRPr="000C638C">
        <w:rPr>
          <w:rFonts w:cstheme="minorHAnsi"/>
          <w:sz w:val="22"/>
          <w:szCs w:val="22"/>
        </w:rPr>
        <w:fldChar w:fldCharType="end"/>
      </w:r>
      <w:r w:rsidR="00A50552">
        <w:rPr>
          <w:rFonts w:cstheme="minorHAnsi"/>
          <w:sz w:val="22"/>
          <w:szCs w:val="22"/>
        </w:rPr>
        <w:t>.</w:t>
      </w:r>
      <w:r w:rsidR="00DB6F9C" w:rsidRPr="000C638C">
        <w:rPr>
          <w:rFonts w:cstheme="minorHAnsi"/>
          <w:sz w:val="22"/>
          <w:szCs w:val="22"/>
        </w:rPr>
        <w:t xml:space="preserve"> Applying</w:t>
      </w:r>
      <w:r w:rsidR="00CB2B44" w:rsidRPr="000C638C">
        <w:rPr>
          <w:rFonts w:cstheme="minorHAnsi"/>
          <w:sz w:val="22"/>
          <w:szCs w:val="22"/>
        </w:rPr>
        <w:t xml:space="preserve"> Hart's model of primary and secondary rules to algorithmic decision-making shows that an AI system can satisfy a rule of recognition while remaining wholly silent on whether its outputs are substantively just</w:t>
      </w:r>
      <w:r w:rsidRPr="000C638C">
        <w:rPr>
          <w:rFonts w:cstheme="minorHAnsi"/>
          <w:sz w:val="22"/>
          <w:szCs w:val="22"/>
        </w:rPr>
        <w:t>.</w:t>
      </w:r>
    </w:p>
    <w:p w14:paraId="18168686" w14:textId="77777777" w:rsidR="00474C89" w:rsidRPr="000C638C" w:rsidRDefault="00474C89" w:rsidP="00474C89">
      <w:pPr>
        <w:spacing w:after="0"/>
        <w:jc w:val="both"/>
        <w:rPr>
          <w:rFonts w:cstheme="minorHAnsi"/>
          <w:sz w:val="22"/>
          <w:szCs w:val="22"/>
        </w:rPr>
      </w:pPr>
    </w:p>
    <w:p w14:paraId="3831AE63" w14:textId="66527B5B" w:rsidR="005F5BF0" w:rsidRPr="000C638C" w:rsidRDefault="005F5BF0" w:rsidP="00C6383B">
      <w:pPr>
        <w:spacing w:after="0"/>
        <w:ind w:left="900" w:hanging="450"/>
        <w:jc w:val="both"/>
        <w:rPr>
          <w:rFonts w:cstheme="minorHAnsi"/>
          <w:b/>
          <w:bCs/>
          <w:sz w:val="22"/>
          <w:szCs w:val="22"/>
        </w:rPr>
      </w:pPr>
      <w:r w:rsidRPr="000C638C">
        <w:rPr>
          <w:rFonts w:cstheme="minorHAnsi"/>
          <w:b/>
          <w:bCs/>
          <w:sz w:val="22"/>
          <w:szCs w:val="22"/>
        </w:rPr>
        <w:t xml:space="preserve">2.2. </w:t>
      </w:r>
      <w:r w:rsidR="00C6383B" w:rsidRPr="000C638C">
        <w:rPr>
          <w:rFonts w:cstheme="minorHAnsi"/>
          <w:b/>
          <w:bCs/>
          <w:sz w:val="22"/>
          <w:szCs w:val="22"/>
        </w:rPr>
        <w:tab/>
      </w:r>
      <w:r w:rsidRPr="000C638C">
        <w:rPr>
          <w:rFonts w:cstheme="minorHAnsi"/>
          <w:b/>
          <w:bCs/>
          <w:sz w:val="22"/>
          <w:szCs w:val="22"/>
        </w:rPr>
        <w:t>Natural Law and the Moral Foundations of Legal Order</w:t>
      </w:r>
    </w:p>
    <w:p w14:paraId="4A46DD63" w14:textId="62D43C9B" w:rsidR="005F5BF0" w:rsidRPr="000C638C" w:rsidRDefault="00D0675F" w:rsidP="00C6383B">
      <w:pPr>
        <w:spacing w:after="0"/>
        <w:ind w:left="900" w:firstLine="450"/>
        <w:jc w:val="both"/>
        <w:rPr>
          <w:rFonts w:cstheme="minorHAnsi"/>
          <w:sz w:val="22"/>
          <w:szCs w:val="22"/>
        </w:rPr>
      </w:pPr>
      <w:r w:rsidRPr="000C638C">
        <w:rPr>
          <w:rFonts w:cstheme="minorHAnsi"/>
          <w:sz w:val="22"/>
          <w:szCs w:val="22"/>
        </w:rPr>
        <w:t xml:space="preserve">Natural law theory was developed in </w:t>
      </w:r>
      <w:r w:rsidR="00AF48DE" w:rsidRPr="000C638C">
        <w:rPr>
          <w:rFonts w:cstheme="minorHAnsi"/>
          <w:sz w:val="22"/>
          <w:szCs w:val="22"/>
        </w:rPr>
        <w:t>response to critiques of certain</w:t>
      </w:r>
      <w:r w:rsidRPr="000C638C">
        <w:rPr>
          <w:rFonts w:cstheme="minorHAnsi"/>
          <w:sz w:val="22"/>
          <w:szCs w:val="22"/>
        </w:rPr>
        <w:t xml:space="preserve"> conceptions of law as merely procedural. For thinkers like Aquinas, Fuller, and Finnis</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{"citationItems":[{"id":"ITEM-1","itemData":{"DOI":"10.1007/s00146-020-00979-z","ISSN":"0951-5666","abstract":"&lt;p&gt;The question of the moral status of AI and the extent to which that status ought to be recognised by societal institutions is one that has not yet received a satisfactory answer from lawyers. This paper seeks to provide a solution to the problem by defending a moral foundation for the recognition of legal personhood for AI, requiring the status to be granted should a threshold criterion be reached. The threshold proposed will be bare, noumenal agency in the Kantian sense. Agency has been identified by Alan Gewirth as the source of the rights claims of our own species and, at risk of contradiction, is a foundation that must be expanded to all agents or else we contradict the foundation of our own rights. This is something that ought to be recognised through the granting of legal personhood to all noumenal agents by any system that requires such personhood for the enforcement of rights, or else the rule restricting legal personhood cannot be seen as a valid legal norm. Having laid out the case, the paper will move on to defend this natural law conception against the narrower definition of legal personhood proposed by Bryson et al. with regards to AI. It will argue that bare agency is a sufficient, though not necessary, criterion for the ascription of legal personhood in any system that sees the status as necessary for the ascription of legal rights. The paper will conclude by analysing the proposals currently making their way through the legislatures of the UK and European Union. They will be assessed for their compatibility with the claim that a functioning legal system necessarily must recognise the legal personhood of all noumenal agents regardless of their origins, and whether they are future-proofed for the possibility that AI may meet this threshold.&lt;/p&gt;","author":[{"dropping-particle":"","family":"Jowitt","given":"Joshua","non-dropping-particle":"","parse-names":false,"suffix":""}],"container-title":"AI &amp; SOCIETY","id":"ITEM-1","issue":"2","issued":{"date-parts":[["2021","6","24"]]},"page":"499-508","publisher":"Springer Science and Business Media Deutschland GmbH","title":"Assessing contemporary legislative proposals for their compatibility with a natural law case for AI legal personhood","type":"article-journal","volume":"36"},"uris":["http://www.mendeley.com/documents/?uuid=e87d413a-c5ba-3941-a8b8-ec2454214ff9"]}],"mendeley":{"formattedCitation":"(Jowitt, 2021)","plainTextFormattedCitation":"(Jowitt, 2021)","previouslyFormattedCitation":"(18)"},"properties":{"noteIndex":0},"schema":"https://github.com/citation-style-language/schema/raw/master/csl-citation.json"}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(Jowitt, 2021)</w:t>
      </w:r>
      <w:r w:rsidR="00741803" w:rsidRPr="000C638C">
        <w:rPr>
          <w:rFonts w:cstheme="minorHAnsi"/>
          <w:sz w:val="22"/>
          <w:szCs w:val="22"/>
        </w:rPr>
        <w:fldChar w:fldCharType="end"/>
      </w:r>
      <w:r w:rsidRPr="000C638C">
        <w:rPr>
          <w:rFonts w:cstheme="minorHAnsi"/>
          <w:sz w:val="22"/>
          <w:szCs w:val="22"/>
        </w:rPr>
        <w:t>, to be law is to be formally enacted</w:t>
      </w:r>
      <w:r w:rsidR="00DB6F9C" w:rsidRPr="000C638C">
        <w:rPr>
          <w:rFonts w:cstheme="minorHAnsi"/>
          <w:sz w:val="22"/>
          <w:szCs w:val="22"/>
        </w:rPr>
        <w:t xml:space="preserve">, morally permissible, and to </w:t>
      </w:r>
      <w:r w:rsidRPr="000C638C">
        <w:rPr>
          <w:rFonts w:cstheme="minorHAnsi"/>
          <w:sz w:val="22"/>
          <w:szCs w:val="22"/>
        </w:rPr>
        <w:t xml:space="preserve">support basic human goods. The relationship between law and morality is not </w:t>
      </w:r>
      <w:r w:rsidR="00C6383B" w:rsidRPr="000C638C">
        <w:rPr>
          <w:rFonts w:cstheme="minorHAnsi"/>
          <w:sz w:val="22"/>
          <w:szCs w:val="22"/>
        </w:rPr>
        <w:t xml:space="preserve">a disconnection, but rather an </w:t>
      </w:r>
      <w:r w:rsidRPr="000C638C">
        <w:rPr>
          <w:rFonts w:cstheme="minorHAnsi"/>
          <w:sz w:val="22"/>
          <w:szCs w:val="22"/>
        </w:rPr>
        <w:t>interconnection in this tradition.</w:t>
      </w:r>
      <w:r w:rsidR="00C6383B" w:rsidRPr="000C638C">
        <w:rPr>
          <w:rFonts w:cstheme="minorHAnsi"/>
          <w:sz w:val="22"/>
          <w:szCs w:val="22"/>
        </w:rPr>
        <w:t xml:space="preserve"> </w:t>
      </w:r>
      <w:r w:rsidRPr="000C638C">
        <w:rPr>
          <w:rFonts w:cstheme="minorHAnsi"/>
          <w:sz w:val="22"/>
          <w:szCs w:val="22"/>
        </w:rPr>
        <w:t xml:space="preserve">Natural law theory </w:t>
      </w:r>
      <w:r w:rsidR="00C6383B" w:rsidRPr="000C638C">
        <w:rPr>
          <w:rFonts w:cstheme="minorHAnsi"/>
          <w:sz w:val="22"/>
          <w:szCs w:val="22"/>
        </w:rPr>
        <w:t>remains relevant today because it requires that legal systems support human flourishing and uphold human dignity;</w:t>
      </w:r>
      <w:r w:rsidRPr="000C638C">
        <w:rPr>
          <w:rFonts w:cstheme="minorHAnsi"/>
          <w:sz w:val="22"/>
          <w:szCs w:val="22"/>
        </w:rPr>
        <w:t xml:space="preserve"> as such, these systems would provide a helpful corrective to procedural legalism and furnish standards by which we may judge technological governance.</w:t>
      </w:r>
      <w:r w:rsidR="00C6383B" w:rsidRPr="000C638C">
        <w:rPr>
          <w:rFonts w:cstheme="minorHAnsi"/>
          <w:sz w:val="22"/>
          <w:szCs w:val="22"/>
        </w:rPr>
        <w:t xml:space="preserve"> </w:t>
      </w:r>
      <w:r w:rsidRPr="000C638C">
        <w:rPr>
          <w:rFonts w:cstheme="minorHAnsi"/>
          <w:sz w:val="22"/>
          <w:szCs w:val="22"/>
        </w:rPr>
        <w:t>However, the main concern of classical and contemporary natural law systems was human choice</w:t>
      </w:r>
      <w:r w:rsidR="00C6383B" w:rsidRPr="000C638C">
        <w:rPr>
          <w:rFonts w:cstheme="minorHAnsi"/>
          <w:sz w:val="22"/>
          <w:szCs w:val="22"/>
        </w:rPr>
        <w:t>. While</w:t>
      </w:r>
      <w:r w:rsidRPr="000C638C">
        <w:rPr>
          <w:rFonts w:cstheme="minorHAnsi"/>
          <w:sz w:val="22"/>
          <w:szCs w:val="22"/>
        </w:rPr>
        <w:t xml:space="preserve"> they provide some help on the governance of autonomous systems, their scope is limited </w:t>
      </w:r>
      <w:r w:rsidR="00AF48DE" w:rsidRPr="000C638C">
        <w:rPr>
          <w:rFonts w:cstheme="minorHAnsi"/>
          <w:sz w:val="22"/>
          <w:szCs w:val="22"/>
        </w:rPr>
        <w:t>to</w:t>
      </w:r>
      <w:r w:rsidRPr="000C638C">
        <w:rPr>
          <w:rFonts w:cstheme="minorHAnsi"/>
          <w:sz w:val="22"/>
          <w:szCs w:val="22"/>
        </w:rPr>
        <w:t xml:space="preserve"> machine learning and digitally mediated systems of governance. Hence, while natural law is an excellent moral system and foundation, it does not address the challenges </w:t>
      </w:r>
      <w:r w:rsidR="00741803" w:rsidRPr="000C638C">
        <w:rPr>
          <w:rFonts w:cstheme="minorHAnsi"/>
          <w:sz w:val="22"/>
          <w:szCs w:val="22"/>
        </w:rPr>
        <w:t>posed by artificial intelligence (Wojtczak, 2022) or</w:t>
      </w:r>
      <w:r w:rsidRPr="000C638C">
        <w:rPr>
          <w:rFonts w:cstheme="minorHAnsi"/>
          <w:sz w:val="22"/>
          <w:szCs w:val="22"/>
        </w:rPr>
        <w:t xml:space="preserve"> the governance of technologically enhanced systems.</w:t>
      </w:r>
    </w:p>
    <w:p w14:paraId="4ECCF155" w14:textId="77777777" w:rsidR="00D0675F" w:rsidRPr="000C638C" w:rsidRDefault="00D0675F" w:rsidP="00D0675F">
      <w:pPr>
        <w:spacing w:after="0"/>
        <w:jc w:val="both"/>
        <w:rPr>
          <w:rFonts w:cstheme="minorHAnsi"/>
          <w:sz w:val="22"/>
          <w:szCs w:val="22"/>
        </w:rPr>
      </w:pPr>
    </w:p>
    <w:p w14:paraId="1506B3C3" w14:textId="1B1E3542" w:rsidR="005F5BF0" w:rsidRPr="000C638C" w:rsidRDefault="005F5BF0" w:rsidP="00AF48DE">
      <w:pPr>
        <w:spacing w:after="0"/>
        <w:ind w:left="900" w:hanging="450"/>
        <w:jc w:val="both"/>
        <w:rPr>
          <w:rFonts w:cstheme="minorHAnsi"/>
          <w:b/>
          <w:bCs/>
          <w:sz w:val="22"/>
          <w:szCs w:val="22"/>
        </w:rPr>
      </w:pPr>
      <w:r w:rsidRPr="000C638C">
        <w:rPr>
          <w:rFonts w:cstheme="minorHAnsi"/>
          <w:b/>
          <w:bCs/>
          <w:sz w:val="22"/>
          <w:szCs w:val="22"/>
        </w:rPr>
        <w:t xml:space="preserve">2.3. </w:t>
      </w:r>
      <w:r w:rsidR="00AF48DE" w:rsidRPr="000C638C">
        <w:rPr>
          <w:rFonts w:cstheme="minorHAnsi"/>
          <w:b/>
          <w:bCs/>
          <w:sz w:val="22"/>
          <w:szCs w:val="22"/>
        </w:rPr>
        <w:tab/>
      </w:r>
      <w:r w:rsidRPr="000C638C">
        <w:rPr>
          <w:rFonts w:cstheme="minorHAnsi"/>
          <w:b/>
          <w:bCs/>
          <w:sz w:val="22"/>
          <w:szCs w:val="22"/>
        </w:rPr>
        <w:t>Digital Constitutionalism and the Protection of Fundamental Rights</w:t>
      </w:r>
    </w:p>
    <w:p w14:paraId="3E2128A0" w14:textId="72F14FA9" w:rsidR="00AF48DE" w:rsidRPr="000C638C" w:rsidRDefault="00D0675F" w:rsidP="00AF48DE">
      <w:pPr>
        <w:spacing w:after="0"/>
        <w:ind w:left="900" w:firstLine="450"/>
        <w:jc w:val="both"/>
        <w:rPr>
          <w:rFonts w:cstheme="minorHAnsi"/>
          <w:sz w:val="22"/>
          <w:szCs w:val="22"/>
        </w:rPr>
      </w:pPr>
      <w:r w:rsidRPr="000C638C">
        <w:rPr>
          <w:rFonts w:cstheme="minorHAnsi"/>
          <w:sz w:val="22"/>
          <w:szCs w:val="22"/>
        </w:rPr>
        <w:t>Increased digitization created new opportunities for scholarship in the area now termed digital constitutionalism. Celeste</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10.4324/9781003256908","ISBN":"9781003256908","author":[{"dropping-particle":"","family":"Celeste","given":"Edoardo","non-dropping-particle":"","parse-names":false,"suffix":""}],"id":"ITEM-1","issued":{"date-parts":[["2022","8","4"]]},"publisher":"Routledge","publisher-place":"London","title":"Digital Constitutionalism","type":"book"},"uris":["http://www.mendeley.com/documents/?uuid=b3114bd2-a47f-35fd-bfa8-f7f181999016"]}],"mendeley":{"formattedCitation":"(Celeste, 2022)","plainTextFormattedCitation":"(Celeste, 2022)","previouslyFormattedCitation":"(10)"},"properties":{"noteIndex":0},"schema":"https://github.com/citation-style-language/schema/raw/master/csl-citation.json"}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(Celeste, 2022)</w:t>
      </w:r>
      <w:r w:rsidR="00741803" w:rsidRPr="000C638C">
        <w:rPr>
          <w:rFonts w:cstheme="minorHAnsi"/>
          <w:sz w:val="22"/>
          <w:szCs w:val="22"/>
        </w:rPr>
        <w:fldChar w:fldCharType="end"/>
      </w:r>
      <w:r w:rsidR="00741803" w:rsidRPr="000C638C">
        <w:rPr>
          <w:rFonts w:cstheme="minorHAnsi"/>
          <w:sz w:val="22"/>
          <w:szCs w:val="22"/>
        </w:rPr>
        <w:t>,</w:t>
      </w:r>
      <w:r w:rsidRPr="000C638C">
        <w:rPr>
          <w:rFonts w:cstheme="minorHAnsi"/>
          <w:sz w:val="22"/>
          <w:szCs w:val="22"/>
        </w:rPr>
        <w:t xml:space="preserve"> De Gregorio</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10.1017/9781009071215","ISBN":"9781009071215","author":[{"dropping-particle":"","family":"Gregorio","given":"Giovanni","non-dropping-particle":"De","parse-names":false,"suffix":""}],"id":"ITEM-1","issued":{"date-parts":[["2022","5","26"]]},"publisher":"Cambridge University Press","title":"Digital Constitutionalism in Europe","type":"book"},"uris":["http://www.mendeley.com/documents/?uuid=91be269a-94e0-3653-a60c-ad43423bc8e0"]}],"mendeley":{"formattedCitation":"(De Gregorio, 2022)","plainTextFormattedCitation":"(De Gregorio, 2022)","previouslyFormattedCitation":"(11)"},"properties":{"noteIndex":0},"schema":"https://github.com/citation-style-language/schema/raw/master/csl-citation.json"}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(De Gregorio, 2022)</w:t>
      </w:r>
      <w:r w:rsidR="00741803" w:rsidRPr="000C638C">
        <w:rPr>
          <w:rFonts w:cstheme="minorHAnsi"/>
          <w:sz w:val="22"/>
          <w:szCs w:val="22"/>
        </w:rPr>
        <w:fldChar w:fldCharType="end"/>
      </w:r>
      <w:r w:rsidRPr="000C638C">
        <w:rPr>
          <w:rFonts w:cstheme="minorHAnsi"/>
          <w:sz w:val="22"/>
          <w:szCs w:val="22"/>
        </w:rPr>
        <w:t>, and Brownsword</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{"citationItems":[{"id":"ITEM-1","itemData":{"DOI":"10.4337/9781800886476","ISBN":"9781800886476","abstract":"This insightful book presents a radical rethinking of the relationship between law, regulation, and technology. While in traditional legal thinking technology is neither of particular interest nor concern, this book treats modern technologies as doubly significant, both as major targets for regulation and as potential tools to be used for legal and regulatory purposes. It explores whether our institutions for engaging with new technologies are fit for purpose.","author":[{"dropping-particle":"","family":"Brownsword","given":"Roger","non-dropping-particle":"","parse-names":false,"suffix":""}],"id":"ITEM-1","issued":{"date-parts":[["2022","3","4"]]},"publisher":"Edward Elgar Publishing","title":"Rethinking Law, Regulation, and Technology","type":"book"},"uris":["http://www.mendeley.com/documents/?uuid=bbe17f7b-1a39-3e20-853e-c69e4e9c9336"]}],"mendeley":{"formattedCitation":"(Brownsword, 2022)","plainTextFormattedCitation":"(Brownsword, 2022)","previouslyFormattedCitation":"(12)"},"properties":{"noteIndex":0},"schema":"https://github.com/citation-style-language/schema/raw/master/csl-citation.json"}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(Brownsword, 2022)</w:t>
      </w:r>
      <w:r w:rsidR="00741803" w:rsidRPr="000C638C">
        <w:rPr>
          <w:rFonts w:cstheme="minorHAnsi"/>
          <w:sz w:val="22"/>
          <w:szCs w:val="22"/>
        </w:rPr>
        <w:fldChar w:fldCharType="end"/>
      </w:r>
      <w:r w:rsidRPr="000C638C">
        <w:rPr>
          <w:rFonts w:cstheme="minorHAnsi"/>
          <w:sz w:val="22"/>
          <w:szCs w:val="22"/>
        </w:rPr>
        <w:t xml:space="preserve">, for instance, have provided scholarship </w:t>
      </w:r>
      <w:r w:rsidR="00AF48DE" w:rsidRPr="000C638C">
        <w:rPr>
          <w:rFonts w:cstheme="minorHAnsi"/>
          <w:sz w:val="22"/>
          <w:szCs w:val="22"/>
        </w:rPr>
        <w:t xml:space="preserve">focusing on the manifestation of constitutional values in </w:t>
      </w:r>
      <w:r w:rsidRPr="000C638C">
        <w:rPr>
          <w:rFonts w:cstheme="minorHAnsi"/>
          <w:sz w:val="22"/>
          <w:szCs w:val="22"/>
        </w:rPr>
        <w:t>accountability, transparency, oversight, and the protection of fundamental rights.</w:t>
      </w:r>
      <w:r w:rsidR="00AF48DE" w:rsidRPr="000C638C">
        <w:rPr>
          <w:rFonts w:cstheme="minorHAnsi"/>
          <w:sz w:val="22"/>
          <w:szCs w:val="22"/>
        </w:rPr>
        <w:t xml:space="preserve"> </w:t>
      </w:r>
      <w:r w:rsidRPr="000C638C">
        <w:rPr>
          <w:rFonts w:cstheme="minorHAnsi"/>
          <w:sz w:val="22"/>
          <w:szCs w:val="22"/>
        </w:rPr>
        <w:t>The intersection of digital technologies and algorithms with infrastructures creates real, albeit virtual, power that shapes the social order, th</w:t>
      </w:r>
      <w:r w:rsidR="00741803" w:rsidRPr="000C638C">
        <w:rPr>
          <w:rFonts w:cstheme="minorHAnsi"/>
          <w:sz w:val="22"/>
          <w:szCs w:val="22"/>
        </w:rPr>
        <w:t xml:space="preserve">ereby increasingly legitimizing the potential of the absence of constitutional safeguards </w:t>
      </w:r>
      <w:r w:rsidR="00741803" w:rsidRPr="000C638C">
        <w:rPr>
          <w:rFonts w:cstheme="minorHAnsi"/>
          <w:sz w:val="22"/>
          <w:szCs w:val="22"/>
        </w:rPr>
        <w:fldChar w:fldCharType="begin" w:fldLock="1"/>
      </w:r>
      <w:r w:rsidR="00A50552">
        <w:rPr>
          <w:rFonts w:cstheme="minorHAnsi"/>
          <w:sz w:val="22"/>
          <w:szCs w:val="22"/>
        </w:rPr>
        <w:instrText>ADDIN CSL_CITATION {"citationItems":[{"id":"ITEM-1","itemData":{"ISBN":"9781316999103","abstract":"Rampant abuse, hate speech, censorship, bias, and disinformation - our Internet has problems. It is governed by technology companies - search engines, social media platforms, and infrastructure providers - whose hidden rules influence what we are allowed to see and say. In Lawless, Nicolas P. Suzor presents gripping examples of exactly how tech companies govern our digital environment and how they bend to pressure from governments and other powerful actors to censor and control the flow of information online. We are at a constitutional moment - an opportunity to rethink the basic rules of how the Internet is governed. Suzor offers a vision of a vibrant, diverse, and flourishing internet that can protect our fundamental rights from the lawless rule of tech. The culmination of more than ten years of original research, this groundbreaking work should be read by anyone who cares about the internet and the future of our shared social spaces.","author":[{"dropping-particle":"","family":"Nicolas P.Suzor","given":"","non-dropping-particle":"","parse-names":false,"suffix":""}],"id":"ITEM-1","issued":{"date-parts":[["2019"]]},"publisher":"Cambridge University Press","title":"Lawless The Secret Rules That Govern our Digital Lives","type":"book"},"uris":["http://www.mendeley.com/documents/?uuid=dd63c4c8-c534-3eeb-8016-98de185faf16"]}],"mendeley":{"formattedCitation":"(Nicolas P.Suzor, 2019)","plainTextFormattedCitation":"(Nicolas P.Suzor, 2019)","previouslyFormattedCitation":"(19)"},"properties":{"noteIndex":0},"schema":"https://github.com/citation-style-language/schema/raw/master/csl-citation.json"}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(Nicolas P.Suzor, 2019)</w:t>
      </w:r>
      <w:r w:rsidR="00741803" w:rsidRPr="000C638C">
        <w:rPr>
          <w:rFonts w:cstheme="minorHAnsi"/>
          <w:sz w:val="22"/>
          <w:szCs w:val="22"/>
        </w:rPr>
        <w:fldChar w:fldCharType="end"/>
      </w:r>
      <w:r w:rsidRPr="000C638C">
        <w:rPr>
          <w:rFonts w:cstheme="minorHAnsi"/>
          <w:sz w:val="22"/>
          <w:szCs w:val="22"/>
        </w:rPr>
        <w:t>. Digital constitutionalism posits that the law should address this potential.</w:t>
      </w:r>
    </w:p>
    <w:p w14:paraId="572B63FE" w14:textId="20C66539" w:rsidR="005F5BF0" w:rsidRPr="000C638C" w:rsidRDefault="00D0675F" w:rsidP="00AF48DE">
      <w:pPr>
        <w:spacing w:after="0"/>
        <w:ind w:left="900" w:firstLine="450"/>
        <w:jc w:val="both"/>
        <w:rPr>
          <w:rFonts w:cstheme="minorHAnsi"/>
          <w:sz w:val="22"/>
          <w:szCs w:val="22"/>
        </w:rPr>
      </w:pPr>
      <w:r w:rsidRPr="000C638C">
        <w:rPr>
          <w:rFonts w:cstheme="minorHAnsi"/>
          <w:sz w:val="22"/>
          <w:szCs w:val="22"/>
        </w:rPr>
        <w:t xml:space="preserve">However, digital constitutionalism largely remains in the domain of secular constitutionalism. Its principal focus remains on the protection of human rights and accountability. While there are limits to the power of technology, and certain principles of constitutionalism can protect </w:t>
      </w:r>
      <w:r w:rsidR="00AF48DE" w:rsidRPr="000C638C">
        <w:rPr>
          <w:rFonts w:cstheme="minorHAnsi"/>
          <w:sz w:val="22"/>
          <w:szCs w:val="22"/>
        </w:rPr>
        <w:t xml:space="preserve">against that, there is little to no explanation for prioritizing human </w:t>
      </w:r>
      <w:r w:rsidR="00AF48DE" w:rsidRPr="000C638C">
        <w:rPr>
          <w:rFonts w:cstheme="minorHAnsi"/>
          <w:sz w:val="22"/>
          <w:szCs w:val="22"/>
        </w:rPr>
        <w:lastRenderedPageBreak/>
        <w:t>dignity, and certain values can be used to justify the existence of law in a digitally</w:t>
      </w:r>
      <w:r w:rsidRPr="000C638C">
        <w:rPr>
          <w:rFonts w:cstheme="minorHAnsi"/>
          <w:sz w:val="22"/>
          <w:szCs w:val="22"/>
        </w:rPr>
        <w:t xml:space="preserve"> mediated environment.</w:t>
      </w:r>
    </w:p>
    <w:p w14:paraId="76253090" w14:textId="77777777" w:rsidR="00D0675F" w:rsidRPr="000C638C" w:rsidRDefault="00D0675F" w:rsidP="00D0675F">
      <w:pPr>
        <w:spacing w:after="0"/>
        <w:jc w:val="both"/>
        <w:rPr>
          <w:rFonts w:cstheme="minorHAnsi"/>
          <w:sz w:val="22"/>
          <w:szCs w:val="22"/>
        </w:rPr>
      </w:pPr>
    </w:p>
    <w:p w14:paraId="648783C5" w14:textId="406D6916" w:rsidR="005F5BF0" w:rsidRPr="000C638C" w:rsidRDefault="005F5BF0" w:rsidP="00AF48DE">
      <w:pPr>
        <w:tabs>
          <w:tab w:val="left" w:pos="900"/>
        </w:tabs>
        <w:spacing w:after="0"/>
        <w:ind w:left="360"/>
        <w:jc w:val="both"/>
        <w:rPr>
          <w:rFonts w:cstheme="minorHAnsi"/>
          <w:b/>
          <w:bCs/>
          <w:sz w:val="22"/>
          <w:szCs w:val="22"/>
        </w:rPr>
      </w:pPr>
      <w:r w:rsidRPr="000C638C">
        <w:rPr>
          <w:rFonts w:cstheme="minorHAnsi"/>
          <w:b/>
          <w:bCs/>
          <w:sz w:val="22"/>
          <w:szCs w:val="22"/>
        </w:rPr>
        <w:t xml:space="preserve">2.4. </w:t>
      </w:r>
      <w:r w:rsidR="00AF48DE" w:rsidRPr="000C638C">
        <w:rPr>
          <w:rFonts w:cstheme="minorHAnsi"/>
          <w:b/>
          <w:bCs/>
          <w:sz w:val="22"/>
          <w:szCs w:val="22"/>
        </w:rPr>
        <w:tab/>
      </w:r>
      <w:r w:rsidRPr="000C638C">
        <w:rPr>
          <w:rFonts w:cstheme="minorHAnsi"/>
          <w:b/>
          <w:bCs/>
          <w:sz w:val="22"/>
          <w:szCs w:val="22"/>
        </w:rPr>
        <w:t>AI Ethics and Governance</w:t>
      </w:r>
    </w:p>
    <w:p w14:paraId="75573F5A" w14:textId="7C240456" w:rsidR="00D0675F" w:rsidRPr="000C638C" w:rsidRDefault="00D0675F" w:rsidP="00AF48DE">
      <w:pPr>
        <w:spacing w:after="0"/>
        <w:ind w:left="900" w:firstLine="450"/>
        <w:jc w:val="both"/>
        <w:rPr>
          <w:rFonts w:cstheme="minorHAnsi"/>
          <w:sz w:val="22"/>
          <w:szCs w:val="22"/>
        </w:rPr>
      </w:pPr>
      <w:r w:rsidRPr="000C638C">
        <w:rPr>
          <w:rFonts w:cstheme="minorHAnsi"/>
          <w:sz w:val="22"/>
          <w:szCs w:val="22"/>
        </w:rPr>
        <w:t xml:space="preserve">In addition to legal scholarship, a considerable body of literature has developed in AI ethics and governance. Floridi and colleagues </w:t>
      </w:r>
      <w:r w:rsidR="00153200" w:rsidRPr="000C638C">
        <w:rPr>
          <w:rFonts w:cstheme="minorHAnsi"/>
          <w:sz w:val="22"/>
          <w:szCs w:val="22"/>
        </w:rPr>
        <w:t>propose a foundation for responsible AI, grounded in beneficence and non-maleficence, respect for an individual’s right to autonomy, and the pursuit of justice and of</w:t>
      </w:r>
      <w:r w:rsidR="00AF48DE" w:rsidRPr="000C638C">
        <w:rPr>
          <w:rFonts w:cstheme="minorHAnsi"/>
          <w:sz w:val="22"/>
          <w:szCs w:val="22"/>
        </w:rPr>
        <w:t xml:space="preserve"> intentionally</w:t>
      </w:r>
      <w:r w:rsidRPr="000C638C">
        <w:rPr>
          <w:rFonts w:cstheme="minorHAnsi"/>
          <w:sz w:val="22"/>
          <w:szCs w:val="22"/>
        </w:rPr>
        <w:t xml:space="preserve"> communicated understanding (explicability). Binns calls attention to the challenges and varying definitions of justice in </w:t>
      </w:r>
      <w:r w:rsidR="00153200" w:rsidRPr="000C638C">
        <w:rPr>
          <w:rFonts w:cstheme="minorHAnsi"/>
          <w:sz w:val="22"/>
          <w:szCs w:val="22"/>
        </w:rPr>
        <w:t xml:space="preserve">the context of </w:t>
      </w:r>
      <w:r w:rsidRPr="000C638C">
        <w:rPr>
          <w:rFonts w:cstheme="minorHAnsi"/>
          <w:sz w:val="22"/>
          <w:szCs w:val="22"/>
        </w:rPr>
        <w:t xml:space="preserve">system fairness and argues that purely technical solutions to justice settlements are necessary but not sufficient. Cath and governance scholars </w:t>
      </w:r>
      <w:r w:rsidR="00AF48DE" w:rsidRPr="000C638C">
        <w:rPr>
          <w:rFonts w:cstheme="minorHAnsi"/>
          <w:sz w:val="22"/>
          <w:szCs w:val="22"/>
        </w:rPr>
        <w:t>agree on the importance of justice and accountability, a</w:t>
      </w:r>
      <w:r w:rsidR="00153200" w:rsidRPr="000C638C">
        <w:rPr>
          <w:rFonts w:cstheme="minorHAnsi"/>
          <w:sz w:val="22"/>
          <w:szCs w:val="22"/>
        </w:rPr>
        <w:t>s well as</w:t>
      </w:r>
      <w:r w:rsidR="00AF48DE" w:rsidRPr="000C638C">
        <w:rPr>
          <w:rFonts w:cstheme="minorHAnsi"/>
          <w:sz w:val="22"/>
          <w:szCs w:val="22"/>
        </w:rPr>
        <w:t xml:space="preserve"> </w:t>
      </w:r>
      <w:r w:rsidRPr="000C638C">
        <w:rPr>
          <w:rFonts w:cstheme="minorHAnsi"/>
          <w:sz w:val="22"/>
          <w:szCs w:val="22"/>
        </w:rPr>
        <w:t xml:space="preserve">the necessity of human control and oversight in </w:t>
      </w:r>
      <w:r w:rsidR="00164149" w:rsidRPr="000C638C">
        <w:rPr>
          <w:rFonts w:cstheme="minorHAnsi"/>
          <w:sz w:val="22"/>
          <w:szCs w:val="22"/>
        </w:rPr>
        <w:t>governing</w:t>
      </w:r>
      <w:r w:rsidRPr="000C638C">
        <w:rPr>
          <w:rFonts w:cstheme="minorHAnsi"/>
          <w:sz w:val="22"/>
          <w:szCs w:val="22"/>
        </w:rPr>
        <w:t xml:space="preserve"> AI and algorithmic systems.</w:t>
      </w:r>
    </w:p>
    <w:p w14:paraId="1CBB169C" w14:textId="300EE938" w:rsidR="005F5BF0" w:rsidRPr="000C638C" w:rsidRDefault="00D0675F" w:rsidP="00AF48DE">
      <w:pPr>
        <w:spacing w:after="0"/>
        <w:ind w:left="900" w:firstLine="450"/>
        <w:jc w:val="both"/>
        <w:rPr>
          <w:rFonts w:cstheme="minorHAnsi"/>
          <w:sz w:val="22"/>
          <w:szCs w:val="22"/>
        </w:rPr>
      </w:pPr>
      <w:r w:rsidRPr="000C638C">
        <w:rPr>
          <w:rFonts w:cstheme="minorHAnsi"/>
          <w:sz w:val="22"/>
          <w:szCs w:val="22"/>
        </w:rPr>
        <w:t xml:space="preserve">These contributions have had a </w:t>
      </w:r>
      <w:r w:rsidR="00AF48DE" w:rsidRPr="000C638C">
        <w:rPr>
          <w:rFonts w:cstheme="minorHAnsi"/>
          <w:sz w:val="22"/>
          <w:szCs w:val="22"/>
        </w:rPr>
        <w:t>significant influence on the development of international policy and regulatory frameworks</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{"citationItems":[{"id":"ITEM-1","itemData":{"DOI":"10.1080/13501763.2025.2499113","ISSN":"1350-1763","abstract":"The governance of artificial intelligence (AI) has emerged as a priority for regulators around the world. Analysing the EU’s approach to AI ethics governance, this article traces how early initiatives from the ‘European Group on Ethics’ and the ‘High-Level Expert Group on AI’ sparked a series of sectoral expert negotiations to transpose general ethics principles into concrete and operationalizable guidelines. Drawing on knowledge mobilisation scholarship, we investigate how mobilizations of technical and ethics expertise shape these processes and affect the EU’s problem-solving capacity. Focusing on the insurance sector, we argue that the sectoral anchoring of ethics governance creates a public policy dilemma characterised by a seeming impossibility to align the logics of ethics governance with the reality of stakeholder conflict. Triangulating interview data, internal documents, and secondary data, we demonstrate how the institutional structure empowered a professional group with recognised claims to hybrid expertise to ‘solve’ AI ethics while also strengthening their own professional position within the insurance industry. This ‘instrumentalization from below’ illustrates how ethics governance can be not only captured by political actors to legitimize pre-existing policy preferences but also be used strategically to advance industry and professional interests.","author":[{"dropping-particle":"","family":"Gamerdinger","given":"Alexander","non-dropping-particle":"","parse-names":false,"suffix":""},{"dropping-particle":"","family":"Willers","given":"Johann Ole","non-dropping-particle":"","parse-names":false,"suffix":""}],"container-title":"Journal of European Public Policy","id":"ITEM-1","issued":{"date-parts":[["2025","5","12"]]},"page":"1-28","publisher":"Routledge","title":"Solving AI ethics? Hybrid expertise and professional power in EU ethics governance","type":"article-journal"},"uris":["http://www.mendeley.com/documents/?uuid=bad90163-86e3-3339-b1b0-fd113a2b8ac8"]}],"mendeley":{"formattedCitation":"(Gamerdinger &amp; Willers, 2025)","plainTextFormattedCitation":"(Gamerdinger &amp; Willers, 2025)","previouslyFormattedCitation":"(13)"},"properties":{"noteIndex":0},"schema":"https://github.com/citation-style-language/schema/raw/master/csl-citation.json"}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(Gamerdinger &amp; Willers, 2025)</w:t>
      </w:r>
      <w:r w:rsidR="00741803" w:rsidRPr="000C638C">
        <w:rPr>
          <w:rFonts w:cstheme="minorHAnsi"/>
          <w:sz w:val="22"/>
          <w:szCs w:val="22"/>
        </w:rPr>
        <w:fldChar w:fldCharType="end"/>
      </w:r>
      <w:r w:rsidR="00AF48DE" w:rsidRPr="000C638C">
        <w:rPr>
          <w:rFonts w:cstheme="minorHAnsi"/>
          <w:sz w:val="22"/>
          <w:szCs w:val="22"/>
        </w:rPr>
        <w:t xml:space="preserve">, providing a common terminology for </w:t>
      </w:r>
      <w:r w:rsidRPr="000C638C">
        <w:rPr>
          <w:rFonts w:cstheme="minorHAnsi"/>
          <w:sz w:val="22"/>
          <w:szCs w:val="22"/>
        </w:rPr>
        <w:t>discourse on the challenges of governance in the context of responsible and ethically aligned AI.</w:t>
      </w:r>
      <w:r w:rsidR="00AF48DE" w:rsidRPr="000C638C">
        <w:rPr>
          <w:rFonts w:cstheme="minorHAnsi"/>
          <w:sz w:val="22"/>
          <w:szCs w:val="22"/>
        </w:rPr>
        <w:t xml:space="preserve"> </w:t>
      </w:r>
      <w:r w:rsidRPr="000C638C">
        <w:rPr>
          <w:rFonts w:cstheme="minorHAnsi"/>
          <w:sz w:val="22"/>
          <w:szCs w:val="22"/>
        </w:rPr>
        <w:t>One noted shortcoming in AI ethics scholarship is the tendency to view ethical principles as externally imposed constraints on technological systems</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{"citationItems":[{"id":"ITEM-1","itemData":{"DOI":"10.1007/s43681-024-00430-9","ISSN":"2730-5953","abstract":"&lt;p&gt;The term “ethicswashing” was recently coined to describe the phenomenon of instrumentalising ethics by misleading communication, creating the impression of ethical Artificial Intelligence (AI), while no substantive ethical theory, argument, or application is in place or ethicists involved. Ethicswashing resembles greenwashing for environmental issues and has become an issue – particularly since 2019 with Thomas Metzinger’s harsh criticisms as a member of the EU panel for developing ethical guidelines for AI, which he called “ethicswashing.” Nowadays, increased ethics washing has changed the perception of AI ethics, leading critics to find a “trivialization” of ethics that may even lead to “ethics bashing.” Considering the scattered literature body and the various manifestations of digital ethicswashing, we recognise the need to assess the existing literature comprehensively. To fill this gap, this research systematically reviews current knowledge about digital ethicswashing stemming from various academic disciplines, contributing to an up-to-date assessment of its underlying characteristics. Applying content analysis to map the field leads us to present five thematic clusters: ethicswashing, ethics bashing, policymaking and regulation, watchdogs, and academia. In conclusion, we synthesise ethicswashing along a process-perception-outcome framework to provide future research to explore the multiple meanings of digital ethicswashing.&lt;/p&gt;","author":[{"dropping-particle":"","family":"Schultz","given":"Mario D.","non-dropping-particle":"","parse-names":false,"suffix":""},{"dropping-particle":"","family":"Conti","given":"Ludovico Giacomo","non-dropping-particle":"","parse-names":false,"suffix":""},{"dropping-particle":"","family":"Seele","given":"Peter","non-dropping-particle":"","parse-names":false,"suffix":""}],"container-title":"AI and Ethics","id":"ITEM-1","issue":"2","issued":{"date-parts":[["2025","4","4"]]},"page":"805-818","publisher":"Springer Science and Business Media LLC","title":"Digital ethicswashing: a systematic review and a process-perception-outcome framework","type":"article-journal","volume":"5"},"uris":["http://www.mendeley.com/documents/?uuid=a888cc7d-cf81-37e7-ae7f-53a7d86491fa"]}],"mendeley":{"formattedCitation":"(Schultz et al., 2025)","plainTextFormattedCitation":"(Schultz et al., 2025)","previouslyFormattedCitation":"(20)"},"properties":{"noteIndex":0},"schema":"https://github.com/citation-style-language/schema/raw/master/csl-citation.json"}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(Schultz et al., 2025)</w:t>
      </w:r>
      <w:r w:rsidR="00741803" w:rsidRPr="000C638C">
        <w:rPr>
          <w:rFonts w:cstheme="minorHAnsi"/>
          <w:sz w:val="22"/>
          <w:szCs w:val="22"/>
        </w:rPr>
        <w:fldChar w:fldCharType="end"/>
      </w:r>
      <w:r w:rsidRPr="000C638C">
        <w:rPr>
          <w:rFonts w:cstheme="minorHAnsi"/>
          <w:sz w:val="22"/>
          <w:szCs w:val="22"/>
        </w:rPr>
        <w:t xml:space="preserve">. Ethical principles may shape </w:t>
      </w:r>
      <w:r w:rsidR="00AF48DE" w:rsidRPr="000C638C">
        <w:rPr>
          <w:rFonts w:cstheme="minorHAnsi"/>
          <w:sz w:val="22"/>
          <w:szCs w:val="22"/>
        </w:rPr>
        <w:t xml:space="preserve">social regulation, but they </w:t>
      </w:r>
      <w:r w:rsidRPr="000C638C">
        <w:rPr>
          <w:rFonts w:cstheme="minorHAnsi"/>
          <w:sz w:val="22"/>
          <w:szCs w:val="22"/>
        </w:rPr>
        <w:t>do not articulate the rationale for how such ethical obligations and principles are embraced and subsumed within legal and social constructs. Hence, AI ethics scholarship provides clear</w:t>
      </w:r>
      <w:r w:rsidR="00AF48DE" w:rsidRPr="000C638C">
        <w:rPr>
          <w:rFonts w:cstheme="minorHAnsi"/>
          <w:sz w:val="22"/>
          <w:szCs w:val="22"/>
        </w:rPr>
        <w:t>, focused normative guidance but does not address how a legal framework should harmonize and integrate ethical and social principles with the moral imperative</w:t>
      </w:r>
      <w:r w:rsidRPr="000C638C">
        <w:rPr>
          <w:rFonts w:cstheme="minorHAnsi"/>
          <w:sz w:val="22"/>
          <w:szCs w:val="22"/>
        </w:rPr>
        <w:t xml:space="preserve"> of justice.</w:t>
      </w:r>
    </w:p>
    <w:p w14:paraId="4B60E05B" w14:textId="77777777" w:rsidR="00D0675F" w:rsidRPr="000C638C" w:rsidRDefault="00D0675F" w:rsidP="00D0675F">
      <w:pPr>
        <w:spacing w:after="0"/>
        <w:jc w:val="both"/>
        <w:rPr>
          <w:rFonts w:cstheme="minorHAnsi"/>
          <w:sz w:val="22"/>
          <w:szCs w:val="22"/>
        </w:rPr>
      </w:pPr>
    </w:p>
    <w:p w14:paraId="6AA12977" w14:textId="620512C0" w:rsidR="005F5BF0" w:rsidRPr="000C638C" w:rsidRDefault="005F5BF0" w:rsidP="00AF48DE">
      <w:pPr>
        <w:tabs>
          <w:tab w:val="left" w:pos="900"/>
        </w:tabs>
        <w:spacing w:after="0"/>
        <w:ind w:left="360"/>
        <w:jc w:val="both"/>
        <w:rPr>
          <w:rFonts w:cstheme="minorHAnsi"/>
          <w:b/>
          <w:bCs/>
          <w:sz w:val="22"/>
          <w:szCs w:val="22"/>
        </w:rPr>
      </w:pPr>
      <w:r w:rsidRPr="000C638C">
        <w:rPr>
          <w:rFonts w:cstheme="minorHAnsi"/>
          <w:b/>
          <w:bCs/>
          <w:sz w:val="22"/>
          <w:szCs w:val="22"/>
        </w:rPr>
        <w:t xml:space="preserve">2.5. </w:t>
      </w:r>
      <w:r w:rsidR="00AF48DE" w:rsidRPr="000C638C">
        <w:rPr>
          <w:rFonts w:cstheme="minorHAnsi"/>
          <w:b/>
          <w:bCs/>
          <w:sz w:val="22"/>
          <w:szCs w:val="22"/>
        </w:rPr>
        <w:tab/>
      </w:r>
      <w:r w:rsidRPr="000C638C">
        <w:rPr>
          <w:rFonts w:cstheme="minorHAnsi"/>
          <w:b/>
          <w:bCs/>
          <w:sz w:val="22"/>
          <w:szCs w:val="22"/>
        </w:rPr>
        <w:t>Prophetic Social Science as an Alternative Epistemological Foundation</w:t>
      </w:r>
    </w:p>
    <w:p w14:paraId="1529FF31" w14:textId="29345155" w:rsidR="00AF48DE" w:rsidRPr="000C638C" w:rsidRDefault="00783F68" w:rsidP="00AF48DE">
      <w:pPr>
        <w:spacing w:after="0"/>
        <w:ind w:left="900" w:firstLine="450"/>
        <w:jc w:val="both"/>
        <w:rPr>
          <w:rFonts w:cstheme="minorHAnsi"/>
          <w:sz w:val="22"/>
          <w:szCs w:val="22"/>
        </w:rPr>
      </w:pPr>
      <w:r w:rsidRPr="000C638C">
        <w:rPr>
          <w:rFonts w:cstheme="minorHAnsi"/>
          <w:sz w:val="22"/>
          <w:szCs w:val="22"/>
        </w:rPr>
        <w:t>The constraints of current solutions allow for alternative epistemological formulations that can reconnect law with fundamental issues of meaning, morality, and human ends. One of these is Kuntowijoyo’s prophetic social science, which aims to merge the scientific with the transcendental, the prophetic.</w:t>
      </w:r>
      <w:r w:rsidR="00AF48DE" w:rsidRPr="000C638C">
        <w:rPr>
          <w:rFonts w:cstheme="minorHAnsi"/>
          <w:sz w:val="22"/>
          <w:szCs w:val="22"/>
        </w:rPr>
        <w:t xml:space="preserve"> In this context, Kuntowijoyo uses three interrelated terms</w:t>
      </w:r>
      <w:r w:rsidRPr="000C638C">
        <w:rPr>
          <w:rFonts w:cstheme="minorHAnsi"/>
          <w:sz w:val="22"/>
          <w:szCs w:val="22"/>
        </w:rPr>
        <w:t>: transcendence, humanization, and liberation</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{"citationItems":[{"id":"ITEM-1","itemData":{"author":[{"dropping-particle":"","family":"kuntowijoyo","given":"","non-dropping-particle":"","parse-names":false,"suffix":""}],"id":"ITEM-1","issued":{"date-parts":[["2006"]]},"publisher":"Tiara Wacana","title":"Islam sebagai Ilmu: epistemologi, metodologi, dan etika","type":"book"},"uris":["http://www.mendeley.com/documents/?uuid=eaea5408-4472-3e3c-9241-c91835cf0d66"]}],"mendeley":{"formattedCitation":"(kuntowijoyo, 2006)","plainTextFormattedCitation":"(kuntowijoyo, 2006)","previouslyFormattedCitation":"(21)"},"properties":{"noteIndex":0},"schema":"https://github.com/citation-style-language/schema/raw/master/csl-citation.json"}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(kuntowijoyo, 2006)</w:t>
      </w:r>
      <w:r w:rsidR="00741803" w:rsidRPr="000C638C">
        <w:rPr>
          <w:rFonts w:cstheme="minorHAnsi"/>
          <w:sz w:val="22"/>
          <w:szCs w:val="22"/>
        </w:rPr>
        <w:fldChar w:fldCharType="end"/>
      </w:r>
      <w:r w:rsidRPr="000C638C">
        <w:rPr>
          <w:rFonts w:cstheme="minorHAnsi"/>
          <w:sz w:val="22"/>
          <w:szCs w:val="22"/>
        </w:rPr>
        <w:t xml:space="preserve">. Transcendence refers to the motivation of human action toward </w:t>
      </w:r>
      <w:r w:rsidR="00AF48DE" w:rsidRPr="000C638C">
        <w:rPr>
          <w:rFonts w:cstheme="minorHAnsi"/>
          <w:sz w:val="22"/>
          <w:szCs w:val="22"/>
        </w:rPr>
        <w:t>ultimate moral values that</w:t>
      </w:r>
      <w:r w:rsidRPr="000C638C">
        <w:rPr>
          <w:rFonts w:cstheme="minorHAnsi"/>
          <w:sz w:val="22"/>
          <w:szCs w:val="22"/>
        </w:rPr>
        <w:t xml:space="preserve"> transcend the boundaries of instrumental rationality. Humanization points to the promotion and protection of human dignity. Liberation refers to the transformation of social systems that produce domination, inequality, and dehumanization.</w:t>
      </w:r>
    </w:p>
    <w:p w14:paraId="5B13B862" w14:textId="6D11240A" w:rsidR="000C638C" w:rsidRPr="000C638C" w:rsidRDefault="00741803" w:rsidP="00832731">
      <w:pPr>
        <w:spacing w:after="0"/>
        <w:ind w:left="900" w:firstLine="450"/>
        <w:jc w:val="both"/>
        <w:rPr>
          <w:rFonts w:cstheme="minorHAnsi"/>
          <w:sz w:val="22"/>
          <w:szCs w:val="22"/>
        </w:rPr>
      </w:pPr>
      <w:r w:rsidRPr="000C638C">
        <w:rPr>
          <w:rFonts w:cstheme="minorHAnsi"/>
          <w:sz w:val="22"/>
          <w:szCs w:val="22"/>
        </w:rPr>
        <w:t xml:space="preserve">While there has been a good deal of literature on prophetic social science in sociology, education, and Islamic studies, its application within legal science remains concentrated within a specific scholarly tradition </w:t>
      </w:r>
      <w:r w:rsidRPr="000C638C">
        <w:rPr>
          <w:rFonts w:cstheme="minorHAnsi"/>
          <w:sz w:val="22"/>
          <w:szCs w:val="22"/>
        </w:rPr>
        <w:fldChar w:fldCharType="begin" w:fldLock="1"/>
      </w:r>
      <w:r w:rsidR="00A50552">
        <w:rPr>
          <w:rFonts w:cstheme="minorHAnsi"/>
          <w:sz w:val="22"/>
          <w:szCs w:val="22"/>
        </w:rPr>
        <w:instrText>ADDIN CSL_CITATION {"citationItems":[{"id":"ITEM-1","itemData":{"DOI":"10.23917/jtl.v1i1.8797","ISSN":"2714-965X","abstract":"&lt;p&gt;Purpose of the study:This article aims to define Prophetic (Islamic demystification/Islamic scholarship) which is a concept offered by Kuntowijoyo to integrate science and religion. Unlike western epistemology, prophetic includes revelation and the heart as part of the ontology. From the aspect of prophetic epistemology, it is based on synthetic and analytic approaches with transcendental structural methods, while from axiological aspects, justice with prophetic ethical values are humanization, liberation, and transcendence, becomes the goal and values.Methodology: This research was based on a philosophical approach because it was intended to explore the epistemological building of the prophetic paradigm offered by Kuntowijoyo. The main sources of information in the form of Kuntowijoyo's writings and thoughts about the prophetic paradigm  were collected through library studies. The data that have been processed were analyzed using descriptive analysis, interpretation, hermeneutics, and heuristics.Main Findings: Prophetic can be used as one model to integrate science and religion, which is done by connecting the text with the context.Applications of this study: This study can provide keywords that can be used as a guide to understand prophetic such as: (1) qauliyah verses, kauniyah verses, and nafsiyah verses; revelation, reason, heart, and senses, as a keyword in understanding aspects of ontology; (2) synthetic and analytic approaches with transcendental structural methods, as keywords in understanding aspects of epistemology, and; (3) justice which is based on prophetic ethical values encompassing humanization, liberation, and transcendence, as keywords in understanding the axiological aspects.Novelty/Originality of this study: understanding the prophetic paradigm of Kuntowijoyo&lt;/p&gt;","author":[{"dropping-particle":"","family":"Wardiono","given":"Kelik","non-dropping-particle":"","parse-names":false,"suffix":""}],"container-title":"Journal of Transcendental Law","id":"ITEM-1","issue":"1","issued":{"date-parts":[["2019","9","20"]]},"page":"17-41","publisher":"Universitas Muhammadiyah Surakarta","title":"Prophetic : An Epistemological Offer for Legal Studies","type":"article-journal","volume":"1"},"uris":["http://www.mendeley.com/documents/?uuid=f4a4a651-70b3-3298-b48f-45fcc461c34a"]},{"id":"ITEM-2","itemData":{"DOI":"10.1016/j.heliyon.2021.e07865","ISSN":"24058440","abstract":"Introduction: The modern welfare state concept is based on individualistic and liberal social contracts that prioritize individual interests with liberalist, partial and non-holistic hegemonies. The welfare state concept has failed in directing citizens to achieve justice, peace, and welfare. The basic aim of the Republic of Indonesia's formation is to form a welfare country. But the Indonesian constitutional articles do not have the power to form a welfare society compared to those of other states, such as Norway, Japan, the USA, and Malaysia, whose constitutions aim to achieve welfare. Objective: This research aims to explore the formulation of Indonesia as the Prophetic Transcendental-Based Legal Welfare State. The urgency of this research is on the effort of model invention, or a new postulate on the form of the Indonesian Legal Welfare State. Methods: This is normative-juridical research with a philosophical approach to find and explore the formulation of Indonesia as the Prophetic Transcendental-Based Legal Welfare State. Conclusion: This research found that as a Legal Welfare State, Indonesia inspirits Pancasila as the moral-spiritual guidance in all developmental policies on the national law, economy, politics, and culture. Thus, the direction of the state's development is inseparable from its roots, namely the prophetic and transcendental Pancasila. Novelty: The previous researches discussed Indonesia as a welfare state only based on the determining legislation or laws. But this research discusses the philosophical aspect based on the thoughts of Indonesia's founding fathers.","author":[{"dropping-particle":"","family":"Dimyati","given":"Khudzaifah","non-dropping-particle":"","parse-names":false,"suffix":""},{"dropping-particle":"","family":"Nashir","given":"Haedar","non-dropping-particle":"","parse-names":false,"suffix":""},{"dropping-particle":"","family":"Elviandri","given":"Elviandri","non-dropping-particle":"","parse-names":false,"suffix":""},{"dropping-particle":"","family":"Absori","given":"Absori","non-dropping-particle":"","parse-names":false,"suffix":""},{"dropping-particle":"","family":"Wardiono","given":"Kelik","non-dropping-particle":"","parse-names":false,"suffix":""},{"dropping-particle":"","family":"Budiono","given":"Arief","non-dropping-particle":"","parse-names":false,"suffix":""}],"container-title":"Heliyon","id":"ITEM-2","issue":"8","issued":{"date-parts":[["2021","8","1"]]},"page":"e07865","publisher":"Elsevier Ltd","title":"Indonesia as a legal welfare state: A prophetic-transcendental basis","type":"article-journal","volume":"7"},"uris":["http://www.mendeley.com/documents/?uuid=220b3aa1-a23d-3da8-a925-c371810d3bb7"]}],"mendeley":{"formattedCitation":"(Dimyati et al., 2021; Wardiono, 2019)","plainTextFormattedCitation":"(Dimyati et al., 2021; Wardiono, 2019)","previouslyFormattedCitation":"(15,22)"},"properties":{"noteIndex":0},"schema":"https://github.com/citation-style-language/schema/raw/master/csl-citation.json"}</w:instrText>
      </w:r>
      <w:r w:rsidRPr="000C638C">
        <w:rPr>
          <w:rFonts w:cstheme="minorHAnsi"/>
          <w:sz w:val="22"/>
          <w:szCs w:val="22"/>
        </w:rPr>
        <w:fldChar w:fldCharType="separate"/>
      </w:r>
      <w:r w:rsidR="00A50552" w:rsidRPr="00A50552">
        <w:rPr>
          <w:rFonts w:cstheme="minorHAnsi"/>
          <w:noProof/>
          <w:sz w:val="22"/>
          <w:szCs w:val="22"/>
        </w:rPr>
        <w:t>(Dimyati et al., 2021; Wardiono, 2019)</w:t>
      </w:r>
      <w:r w:rsidRPr="000C638C">
        <w:rPr>
          <w:rFonts w:cstheme="minorHAnsi"/>
          <w:sz w:val="22"/>
          <w:szCs w:val="22"/>
        </w:rPr>
        <w:fldChar w:fldCharType="end"/>
      </w:r>
      <w:r w:rsidRPr="000C638C">
        <w:rPr>
          <w:rFonts w:cstheme="minorHAnsi"/>
          <w:sz w:val="22"/>
          <w:szCs w:val="22"/>
        </w:rPr>
        <w:t xml:space="preserve"> rather than having achieved broader international uptake. More importantly, even within this tradition, prophetic-transcendental jurisprudence has not been systematically applied to the problems of algorithmic governance and Society 5.0</w:t>
      </w:r>
      <w:r w:rsidR="00832731">
        <w:rPr>
          <w:rFonts w:cstheme="minorHAnsi"/>
          <w:sz w:val="22"/>
          <w:szCs w:val="22"/>
        </w:rPr>
        <w:t>.</w:t>
      </w:r>
    </w:p>
    <w:p w14:paraId="067CAD1A" w14:textId="77777777" w:rsidR="00741803" w:rsidRPr="000C638C" w:rsidRDefault="00741803" w:rsidP="00741803">
      <w:pPr>
        <w:spacing w:after="0"/>
        <w:ind w:left="900" w:firstLine="450"/>
        <w:jc w:val="both"/>
        <w:rPr>
          <w:rFonts w:cstheme="minorHAnsi"/>
          <w:sz w:val="22"/>
          <w:szCs w:val="22"/>
        </w:rPr>
      </w:pPr>
    </w:p>
    <w:p w14:paraId="111083F9" w14:textId="1A05D447" w:rsidR="005F5BF0" w:rsidRPr="000C638C" w:rsidRDefault="005F5BF0" w:rsidP="00AF48DE">
      <w:pPr>
        <w:tabs>
          <w:tab w:val="left" w:pos="900"/>
        </w:tabs>
        <w:spacing w:after="0"/>
        <w:ind w:left="360"/>
        <w:jc w:val="both"/>
        <w:rPr>
          <w:rFonts w:cstheme="minorHAnsi"/>
          <w:b/>
          <w:bCs/>
          <w:sz w:val="22"/>
          <w:szCs w:val="22"/>
        </w:rPr>
      </w:pPr>
      <w:r w:rsidRPr="000C638C">
        <w:rPr>
          <w:rFonts w:cstheme="minorHAnsi"/>
          <w:b/>
          <w:bCs/>
          <w:sz w:val="22"/>
          <w:szCs w:val="22"/>
        </w:rPr>
        <w:t xml:space="preserve">2.6. </w:t>
      </w:r>
      <w:r w:rsidR="00AF48DE" w:rsidRPr="000C638C">
        <w:rPr>
          <w:rFonts w:cstheme="minorHAnsi"/>
          <w:b/>
          <w:bCs/>
          <w:sz w:val="22"/>
          <w:szCs w:val="22"/>
        </w:rPr>
        <w:tab/>
      </w:r>
      <w:r w:rsidRPr="000C638C">
        <w:rPr>
          <w:rFonts w:cstheme="minorHAnsi"/>
          <w:b/>
          <w:bCs/>
          <w:sz w:val="22"/>
          <w:szCs w:val="22"/>
        </w:rPr>
        <w:t>Literature Synthesis and Research Gap</w:t>
      </w:r>
    </w:p>
    <w:p w14:paraId="6C3CBBDF" w14:textId="2ED9E284" w:rsidR="005F5BF0" w:rsidRPr="000C638C" w:rsidRDefault="00783F68" w:rsidP="00AF48DE">
      <w:pPr>
        <w:spacing w:after="0"/>
        <w:ind w:left="900" w:firstLine="450"/>
        <w:jc w:val="both"/>
        <w:rPr>
          <w:rFonts w:cstheme="minorHAnsi"/>
          <w:sz w:val="22"/>
          <w:szCs w:val="22"/>
        </w:rPr>
      </w:pPr>
      <w:r w:rsidRPr="000C638C">
        <w:rPr>
          <w:rFonts w:cstheme="minorHAnsi"/>
          <w:sz w:val="22"/>
          <w:szCs w:val="22"/>
        </w:rPr>
        <w:lastRenderedPageBreak/>
        <w:t xml:space="preserve">The prior analysis shows that each theoretical school has its strengths and shortcomings. Legal positivism centers on legal validity. However, it has difficulty including the transcendental and humanistic issues. Natural law </w:t>
      </w:r>
      <w:r w:rsidR="00AF48DE" w:rsidRPr="000C638C">
        <w:rPr>
          <w:rFonts w:cstheme="minorHAnsi"/>
          <w:sz w:val="22"/>
          <w:szCs w:val="22"/>
        </w:rPr>
        <w:t>provides a moral basis but leaves</w:t>
      </w:r>
      <w:r w:rsidRPr="000C638C">
        <w:rPr>
          <w:rFonts w:cstheme="minorHAnsi"/>
          <w:sz w:val="22"/>
          <w:szCs w:val="22"/>
        </w:rPr>
        <w:t xml:space="preserve"> little room for digital governance. Digital constitutionalism </w:t>
      </w:r>
      <w:r w:rsidR="00AF48DE" w:rsidRPr="000C638C">
        <w:rPr>
          <w:rFonts w:cstheme="minorHAnsi"/>
          <w:sz w:val="22"/>
          <w:szCs w:val="22"/>
        </w:rPr>
        <w:t xml:space="preserve">provides secular protections for rights and accountability, </w:t>
      </w:r>
      <w:r w:rsidR="00153200" w:rsidRPr="000C638C">
        <w:rPr>
          <w:rFonts w:cstheme="minorHAnsi"/>
          <w:sz w:val="22"/>
          <w:szCs w:val="22"/>
        </w:rPr>
        <w:t>while AI ethics addresses the normative; however, it offers little on</w:t>
      </w:r>
      <w:r w:rsidRPr="000C638C">
        <w:rPr>
          <w:rFonts w:cstheme="minorHAnsi"/>
          <w:sz w:val="22"/>
          <w:szCs w:val="22"/>
        </w:rPr>
        <w:t xml:space="preserve"> the foundational structure of legal philosophy.</w:t>
      </w:r>
      <w:r w:rsidR="00AF48DE" w:rsidRPr="000C638C">
        <w:rPr>
          <w:rFonts w:cstheme="minorHAnsi"/>
          <w:sz w:val="22"/>
          <w:szCs w:val="22"/>
        </w:rPr>
        <w:t xml:space="preserve"> </w:t>
      </w:r>
      <w:r w:rsidRPr="000C638C">
        <w:rPr>
          <w:rFonts w:cstheme="minorHAnsi"/>
          <w:sz w:val="22"/>
          <w:szCs w:val="22"/>
        </w:rPr>
        <w:t xml:space="preserve">As </w:t>
      </w:r>
      <w:r w:rsidR="00153200" w:rsidRPr="000C638C">
        <w:rPr>
          <w:rFonts w:cstheme="minorHAnsi"/>
          <w:sz w:val="22"/>
          <w:szCs w:val="22"/>
        </w:rPr>
        <w:t>Table 1 shows</w:t>
      </w:r>
      <w:r w:rsidRPr="000C638C">
        <w:rPr>
          <w:rFonts w:cstheme="minorHAnsi"/>
          <w:sz w:val="22"/>
          <w:szCs w:val="22"/>
        </w:rPr>
        <w:t xml:space="preserve">, </w:t>
      </w:r>
      <w:r w:rsidR="00AF48DE" w:rsidRPr="000C638C">
        <w:rPr>
          <w:rFonts w:cstheme="minorHAnsi"/>
          <w:sz w:val="22"/>
          <w:szCs w:val="22"/>
        </w:rPr>
        <w:t>no existing structure integrates the transcendence and dignity of the human person with the governance of algorithms</w:t>
      </w:r>
      <w:r w:rsidRPr="000C638C">
        <w:rPr>
          <w:rFonts w:cstheme="minorHAnsi"/>
          <w:sz w:val="22"/>
          <w:szCs w:val="22"/>
        </w:rPr>
        <w:t xml:space="preserve"> within a unified theory of law. The absence of this theory is problematic as Society 5.0 </w:t>
      </w:r>
      <w:r w:rsidR="00AF48DE" w:rsidRPr="000C638C">
        <w:rPr>
          <w:rFonts w:cstheme="minorHAnsi"/>
          <w:sz w:val="22"/>
          <w:szCs w:val="22"/>
        </w:rPr>
        <w:t>reshapes</w:t>
      </w:r>
      <w:r w:rsidRPr="000C638C">
        <w:rPr>
          <w:rFonts w:cstheme="minorHAnsi"/>
          <w:sz w:val="22"/>
          <w:szCs w:val="22"/>
        </w:rPr>
        <w:t xml:space="preserve"> the intersection of law, technology, and human control.</w:t>
      </w:r>
    </w:p>
    <w:p w14:paraId="79B4F3C5" w14:textId="77777777" w:rsidR="00741803" w:rsidRPr="000C638C" w:rsidRDefault="00741803" w:rsidP="00783F68">
      <w:pPr>
        <w:spacing w:after="0"/>
        <w:jc w:val="both"/>
        <w:rPr>
          <w:rFonts w:cstheme="minorHAnsi"/>
          <w:sz w:val="22"/>
          <w:szCs w:val="22"/>
        </w:rPr>
      </w:pPr>
    </w:p>
    <w:p w14:paraId="3CF13205" w14:textId="77777777" w:rsidR="00741803" w:rsidRPr="000C638C" w:rsidRDefault="00741803" w:rsidP="00783F68">
      <w:pPr>
        <w:spacing w:after="0"/>
        <w:jc w:val="both"/>
        <w:rPr>
          <w:rFonts w:cstheme="minorHAnsi"/>
          <w:sz w:val="22"/>
          <w:szCs w:val="22"/>
        </w:rPr>
      </w:pPr>
    </w:p>
    <w:p w14:paraId="2ECB55A5" w14:textId="4DD11EF4" w:rsidR="005F5BF0" w:rsidRPr="000C638C" w:rsidRDefault="005F5BF0" w:rsidP="005F5BF0">
      <w:pPr>
        <w:spacing w:after="0"/>
        <w:jc w:val="center"/>
        <w:rPr>
          <w:rFonts w:cstheme="minorHAnsi"/>
          <w:b/>
          <w:bCs/>
          <w:sz w:val="22"/>
          <w:szCs w:val="22"/>
        </w:rPr>
      </w:pPr>
      <w:r w:rsidRPr="000C638C">
        <w:rPr>
          <w:rFonts w:cstheme="minorHAnsi"/>
          <w:b/>
          <w:bCs/>
          <w:sz w:val="22"/>
          <w:szCs w:val="22"/>
        </w:rPr>
        <w:t>Table 1</w:t>
      </w:r>
    </w:p>
    <w:p w14:paraId="1AC873A3" w14:textId="437D08E7" w:rsidR="005F5BF0" w:rsidRPr="000C638C" w:rsidRDefault="005F5BF0" w:rsidP="005F5BF0">
      <w:pPr>
        <w:spacing w:after="0"/>
        <w:jc w:val="center"/>
        <w:rPr>
          <w:rFonts w:cstheme="minorHAnsi"/>
          <w:b/>
          <w:bCs/>
          <w:sz w:val="22"/>
          <w:szCs w:val="22"/>
        </w:rPr>
      </w:pPr>
      <w:r w:rsidRPr="000C638C">
        <w:rPr>
          <w:rFonts w:cstheme="minorHAnsi"/>
          <w:b/>
          <w:bCs/>
          <w:sz w:val="22"/>
          <w:szCs w:val="22"/>
        </w:rPr>
        <w:t>Comparative Analysis of Contemporary Jurisprudential Approaches</w:t>
      </w:r>
    </w:p>
    <w:p w14:paraId="26558E58" w14:textId="77777777" w:rsidR="005F5BF0" w:rsidRPr="000C638C" w:rsidRDefault="005F5BF0" w:rsidP="005F5BF0">
      <w:pPr>
        <w:spacing w:after="0"/>
        <w:jc w:val="both"/>
        <w:rPr>
          <w:rFonts w:cstheme="minorHAnsi"/>
          <w:b/>
          <w:bCs/>
          <w:sz w:val="22"/>
          <w:szCs w:val="22"/>
        </w:rPr>
      </w:pPr>
    </w:p>
    <w:tbl>
      <w:tblPr>
        <w:tblStyle w:val="TableGrid"/>
        <w:tblW w:w="9535" w:type="dxa"/>
        <w:tblLayout w:type="fixed"/>
        <w:tblLook w:val="04A0" w:firstRow="1" w:lastRow="0" w:firstColumn="1" w:lastColumn="0" w:noHBand="0" w:noVBand="1"/>
      </w:tblPr>
      <w:tblGrid>
        <w:gridCol w:w="1608"/>
        <w:gridCol w:w="1483"/>
        <w:gridCol w:w="1377"/>
        <w:gridCol w:w="2007"/>
        <w:gridCol w:w="1440"/>
        <w:gridCol w:w="1620"/>
      </w:tblGrid>
      <w:tr w:rsidR="005F5BF0" w:rsidRPr="000C638C" w14:paraId="0E772FCD" w14:textId="77777777" w:rsidTr="005F5BF0">
        <w:trPr>
          <w:trHeight w:val="580"/>
        </w:trPr>
        <w:tc>
          <w:tcPr>
            <w:tcW w:w="1608" w:type="dxa"/>
            <w:shd w:val="clear" w:color="auto" w:fill="4472C4" w:themeFill="accent1"/>
            <w:hideMark/>
          </w:tcPr>
          <w:p w14:paraId="6FA48AB0" w14:textId="77777777" w:rsidR="005F5BF0" w:rsidRPr="000C638C" w:rsidRDefault="005F5BF0" w:rsidP="005F5BF0">
            <w:pPr>
              <w:jc w:val="both"/>
              <w:rPr>
                <w:rFonts w:cstheme="minorHAnsi"/>
                <w:b/>
                <w:bCs/>
                <w:sz w:val="22"/>
                <w:szCs w:val="22"/>
              </w:rPr>
            </w:pPr>
            <w:r w:rsidRPr="000C638C">
              <w:rPr>
                <w:rFonts w:cstheme="minorHAnsi"/>
                <w:b/>
                <w:bCs/>
                <w:sz w:val="22"/>
                <w:szCs w:val="22"/>
              </w:rPr>
              <w:t>Dimension</w:t>
            </w:r>
          </w:p>
        </w:tc>
        <w:tc>
          <w:tcPr>
            <w:tcW w:w="1483" w:type="dxa"/>
            <w:shd w:val="clear" w:color="auto" w:fill="4472C4" w:themeFill="accent1"/>
            <w:hideMark/>
          </w:tcPr>
          <w:p w14:paraId="16696824" w14:textId="77777777" w:rsidR="005F5BF0" w:rsidRPr="000C638C" w:rsidRDefault="005F5BF0" w:rsidP="005F5BF0">
            <w:pPr>
              <w:jc w:val="both"/>
              <w:rPr>
                <w:rFonts w:cstheme="minorHAnsi"/>
                <w:b/>
                <w:bCs/>
                <w:sz w:val="22"/>
                <w:szCs w:val="22"/>
              </w:rPr>
            </w:pPr>
            <w:r w:rsidRPr="000C638C">
              <w:rPr>
                <w:rFonts w:cstheme="minorHAnsi"/>
                <w:b/>
                <w:bCs/>
                <w:sz w:val="22"/>
                <w:szCs w:val="22"/>
              </w:rPr>
              <w:t>Legal Positivism</w:t>
            </w:r>
          </w:p>
        </w:tc>
        <w:tc>
          <w:tcPr>
            <w:tcW w:w="1377" w:type="dxa"/>
            <w:shd w:val="clear" w:color="auto" w:fill="4472C4" w:themeFill="accent1"/>
            <w:hideMark/>
          </w:tcPr>
          <w:p w14:paraId="64CCFDA0" w14:textId="77777777" w:rsidR="005F5BF0" w:rsidRPr="000C638C" w:rsidRDefault="005F5BF0" w:rsidP="005F5BF0">
            <w:pPr>
              <w:jc w:val="both"/>
              <w:rPr>
                <w:rFonts w:cstheme="minorHAnsi"/>
                <w:b/>
                <w:bCs/>
                <w:sz w:val="22"/>
                <w:szCs w:val="22"/>
              </w:rPr>
            </w:pPr>
            <w:r w:rsidRPr="000C638C">
              <w:rPr>
                <w:rFonts w:cstheme="minorHAnsi"/>
                <w:b/>
                <w:bCs/>
                <w:sz w:val="22"/>
                <w:szCs w:val="22"/>
              </w:rPr>
              <w:t>Natural Law</w:t>
            </w:r>
          </w:p>
        </w:tc>
        <w:tc>
          <w:tcPr>
            <w:tcW w:w="2007" w:type="dxa"/>
            <w:shd w:val="clear" w:color="auto" w:fill="4472C4" w:themeFill="accent1"/>
            <w:hideMark/>
          </w:tcPr>
          <w:p w14:paraId="272AC715" w14:textId="77777777" w:rsidR="005F5BF0" w:rsidRPr="000C638C" w:rsidRDefault="005F5BF0" w:rsidP="005F5BF0">
            <w:pPr>
              <w:jc w:val="both"/>
              <w:rPr>
                <w:rFonts w:cstheme="minorHAnsi"/>
                <w:b/>
                <w:bCs/>
                <w:sz w:val="22"/>
                <w:szCs w:val="22"/>
              </w:rPr>
            </w:pPr>
            <w:r w:rsidRPr="000C638C">
              <w:rPr>
                <w:rFonts w:cstheme="minorHAnsi"/>
                <w:b/>
                <w:bCs/>
                <w:sz w:val="22"/>
                <w:szCs w:val="22"/>
              </w:rPr>
              <w:t>Digital Constitutionalism</w:t>
            </w:r>
          </w:p>
        </w:tc>
        <w:tc>
          <w:tcPr>
            <w:tcW w:w="1440" w:type="dxa"/>
            <w:shd w:val="clear" w:color="auto" w:fill="4472C4" w:themeFill="accent1"/>
            <w:hideMark/>
          </w:tcPr>
          <w:p w14:paraId="2F242FF2" w14:textId="77777777" w:rsidR="005F5BF0" w:rsidRPr="000C638C" w:rsidRDefault="005F5BF0" w:rsidP="005F5BF0">
            <w:pPr>
              <w:jc w:val="both"/>
              <w:rPr>
                <w:rFonts w:cstheme="minorHAnsi"/>
                <w:b/>
                <w:bCs/>
                <w:sz w:val="22"/>
                <w:szCs w:val="22"/>
              </w:rPr>
            </w:pPr>
            <w:r w:rsidRPr="000C638C">
              <w:rPr>
                <w:rFonts w:cstheme="minorHAnsi"/>
                <w:b/>
                <w:bCs/>
                <w:sz w:val="22"/>
                <w:szCs w:val="22"/>
              </w:rPr>
              <w:t>AI Ethics &amp; Governance</w:t>
            </w:r>
          </w:p>
        </w:tc>
        <w:tc>
          <w:tcPr>
            <w:tcW w:w="1620" w:type="dxa"/>
            <w:shd w:val="clear" w:color="auto" w:fill="4472C4" w:themeFill="accent1"/>
            <w:hideMark/>
          </w:tcPr>
          <w:p w14:paraId="1A501D0D" w14:textId="77777777" w:rsidR="005F5BF0" w:rsidRPr="000C638C" w:rsidRDefault="005F5BF0" w:rsidP="005F5BF0">
            <w:pPr>
              <w:jc w:val="both"/>
              <w:rPr>
                <w:rFonts w:cstheme="minorHAnsi"/>
                <w:b/>
                <w:bCs/>
                <w:sz w:val="22"/>
                <w:szCs w:val="22"/>
              </w:rPr>
            </w:pPr>
            <w:r w:rsidRPr="000C638C">
              <w:rPr>
                <w:rFonts w:cstheme="minorHAnsi"/>
                <w:b/>
                <w:bCs/>
                <w:sz w:val="22"/>
                <w:szCs w:val="22"/>
              </w:rPr>
              <w:t>Prophetic Legal Epistemology</w:t>
            </w:r>
          </w:p>
        </w:tc>
      </w:tr>
      <w:tr w:rsidR="005F5BF0" w:rsidRPr="000C638C" w14:paraId="6E4530F9" w14:textId="77777777" w:rsidTr="005F5BF0">
        <w:trPr>
          <w:trHeight w:val="1160"/>
        </w:trPr>
        <w:tc>
          <w:tcPr>
            <w:tcW w:w="1608" w:type="dxa"/>
            <w:shd w:val="clear" w:color="auto" w:fill="FFF2CC" w:themeFill="accent4" w:themeFillTint="33"/>
            <w:hideMark/>
          </w:tcPr>
          <w:p w14:paraId="0D71882B" w14:textId="77777777" w:rsidR="005F5BF0" w:rsidRPr="000C638C" w:rsidRDefault="005F5BF0" w:rsidP="005F5BF0">
            <w:pPr>
              <w:jc w:val="both"/>
              <w:rPr>
                <w:rFonts w:cstheme="minorHAnsi"/>
                <w:sz w:val="22"/>
                <w:szCs w:val="22"/>
              </w:rPr>
            </w:pPr>
            <w:r w:rsidRPr="000C638C">
              <w:rPr>
                <w:rFonts w:cstheme="minorHAnsi"/>
                <w:sz w:val="22"/>
                <w:szCs w:val="22"/>
              </w:rPr>
              <w:t>Primary Source of Legitimacy</w:t>
            </w:r>
          </w:p>
        </w:tc>
        <w:tc>
          <w:tcPr>
            <w:tcW w:w="1483" w:type="dxa"/>
            <w:hideMark/>
          </w:tcPr>
          <w:p w14:paraId="5781920A" w14:textId="77777777" w:rsidR="005F5BF0" w:rsidRPr="000C638C" w:rsidRDefault="005F5BF0" w:rsidP="005F5BF0">
            <w:pPr>
              <w:jc w:val="both"/>
              <w:rPr>
                <w:rFonts w:cstheme="minorHAnsi"/>
                <w:sz w:val="22"/>
                <w:szCs w:val="22"/>
              </w:rPr>
            </w:pPr>
            <w:r w:rsidRPr="000C638C">
              <w:rPr>
                <w:rFonts w:cstheme="minorHAnsi"/>
                <w:sz w:val="22"/>
                <w:szCs w:val="22"/>
              </w:rPr>
              <w:t>Legal authority and procedures</w:t>
            </w:r>
          </w:p>
        </w:tc>
        <w:tc>
          <w:tcPr>
            <w:tcW w:w="1377" w:type="dxa"/>
            <w:hideMark/>
          </w:tcPr>
          <w:p w14:paraId="20CC8138" w14:textId="77777777" w:rsidR="005F5BF0" w:rsidRPr="000C638C" w:rsidRDefault="005F5BF0" w:rsidP="005F5BF0">
            <w:pPr>
              <w:jc w:val="both"/>
              <w:rPr>
                <w:rFonts w:cstheme="minorHAnsi"/>
                <w:sz w:val="22"/>
                <w:szCs w:val="22"/>
              </w:rPr>
            </w:pPr>
            <w:r w:rsidRPr="000C638C">
              <w:rPr>
                <w:rFonts w:cstheme="minorHAnsi"/>
                <w:sz w:val="22"/>
                <w:szCs w:val="22"/>
              </w:rPr>
              <w:t>Moral principles and human goods</w:t>
            </w:r>
          </w:p>
        </w:tc>
        <w:tc>
          <w:tcPr>
            <w:tcW w:w="2007" w:type="dxa"/>
            <w:hideMark/>
          </w:tcPr>
          <w:p w14:paraId="60861749" w14:textId="77777777" w:rsidR="005F5BF0" w:rsidRPr="000C638C" w:rsidRDefault="005F5BF0" w:rsidP="005F5BF0">
            <w:pPr>
              <w:jc w:val="both"/>
              <w:rPr>
                <w:rFonts w:cstheme="minorHAnsi"/>
                <w:sz w:val="22"/>
                <w:szCs w:val="22"/>
              </w:rPr>
            </w:pPr>
            <w:r w:rsidRPr="000C638C">
              <w:rPr>
                <w:rFonts w:cstheme="minorHAnsi"/>
                <w:sz w:val="22"/>
                <w:szCs w:val="22"/>
              </w:rPr>
              <w:t>Constitutional rights and democratic values</w:t>
            </w:r>
          </w:p>
        </w:tc>
        <w:tc>
          <w:tcPr>
            <w:tcW w:w="1440" w:type="dxa"/>
            <w:hideMark/>
          </w:tcPr>
          <w:p w14:paraId="13383279" w14:textId="77777777" w:rsidR="005F5BF0" w:rsidRPr="000C638C" w:rsidRDefault="005F5BF0" w:rsidP="005F5BF0">
            <w:pPr>
              <w:jc w:val="both"/>
              <w:rPr>
                <w:rFonts w:cstheme="minorHAnsi"/>
                <w:sz w:val="22"/>
                <w:szCs w:val="22"/>
              </w:rPr>
            </w:pPr>
            <w:r w:rsidRPr="000C638C">
              <w:rPr>
                <w:rFonts w:cstheme="minorHAnsi"/>
                <w:sz w:val="22"/>
                <w:szCs w:val="22"/>
              </w:rPr>
              <w:t>Ethical principles and governance norms</w:t>
            </w:r>
          </w:p>
        </w:tc>
        <w:tc>
          <w:tcPr>
            <w:tcW w:w="1620" w:type="dxa"/>
            <w:hideMark/>
          </w:tcPr>
          <w:p w14:paraId="6DF51576" w14:textId="77777777" w:rsidR="005F5BF0" w:rsidRPr="000C638C" w:rsidRDefault="005F5BF0" w:rsidP="005F5BF0">
            <w:pPr>
              <w:jc w:val="both"/>
              <w:rPr>
                <w:rFonts w:cstheme="minorHAnsi"/>
                <w:sz w:val="22"/>
                <w:szCs w:val="22"/>
              </w:rPr>
            </w:pPr>
            <w:r w:rsidRPr="000C638C">
              <w:rPr>
                <w:rFonts w:cstheme="minorHAnsi"/>
                <w:sz w:val="22"/>
                <w:szCs w:val="22"/>
              </w:rPr>
              <w:t>Transcendence integrated with legal legitimacy</w:t>
            </w:r>
          </w:p>
        </w:tc>
      </w:tr>
      <w:tr w:rsidR="005F5BF0" w:rsidRPr="000C638C" w14:paraId="54F5F404" w14:textId="77777777" w:rsidTr="005F5BF0">
        <w:trPr>
          <w:trHeight w:val="870"/>
        </w:trPr>
        <w:tc>
          <w:tcPr>
            <w:tcW w:w="1608" w:type="dxa"/>
            <w:shd w:val="clear" w:color="auto" w:fill="FFF2CC" w:themeFill="accent4" w:themeFillTint="33"/>
            <w:hideMark/>
          </w:tcPr>
          <w:p w14:paraId="6F74A9E1" w14:textId="77777777" w:rsidR="005F5BF0" w:rsidRPr="000C638C" w:rsidRDefault="005F5BF0" w:rsidP="005F5BF0">
            <w:pPr>
              <w:jc w:val="both"/>
              <w:rPr>
                <w:rFonts w:cstheme="minorHAnsi"/>
                <w:sz w:val="22"/>
                <w:szCs w:val="22"/>
              </w:rPr>
            </w:pPr>
            <w:r w:rsidRPr="000C638C">
              <w:rPr>
                <w:rFonts w:cstheme="minorHAnsi"/>
                <w:sz w:val="22"/>
                <w:szCs w:val="22"/>
              </w:rPr>
              <w:t>Human Dignity</w:t>
            </w:r>
          </w:p>
        </w:tc>
        <w:tc>
          <w:tcPr>
            <w:tcW w:w="1483" w:type="dxa"/>
            <w:hideMark/>
          </w:tcPr>
          <w:p w14:paraId="69A60C74" w14:textId="77777777" w:rsidR="005F5BF0" w:rsidRPr="000C638C" w:rsidRDefault="005F5BF0" w:rsidP="005F5BF0">
            <w:pPr>
              <w:jc w:val="both"/>
              <w:rPr>
                <w:rFonts w:cstheme="minorHAnsi"/>
                <w:sz w:val="22"/>
                <w:szCs w:val="22"/>
              </w:rPr>
            </w:pPr>
            <w:r w:rsidRPr="000C638C">
              <w:rPr>
                <w:rFonts w:cstheme="minorHAnsi"/>
                <w:sz w:val="22"/>
                <w:szCs w:val="22"/>
              </w:rPr>
              <w:t>Secondary consideration</w:t>
            </w:r>
          </w:p>
        </w:tc>
        <w:tc>
          <w:tcPr>
            <w:tcW w:w="1377" w:type="dxa"/>
            <w:hideMark/>
          </w:tcPr>
          <w:p w14:paraId="2238B7C0" w14:textId="77777777" w:rsidR="005F5BF0" w:rsidRPr="000C638C" w:rsidRDefault="005F5BF0" w:rsidP="005F5BF0">
            <w:pPr>
              <w:jc w:val="both"/>
              <w:rPr>
                <w:rFonts w:cstheme="minorHAnsi"/>
                <w:sz w:val="22"/>
                <w:szCs w:val="22"/>
              </w:rPr>
            </w:pPr>
            <w:r w:rsidRPr="000C638C">
              <w:rPr>
                <w:rFonts w:cstheme="minorHAnsi"/>
                <w:sz w:val="22"/>
                <w:szCs w:val="22"/>
              </w:rPr>
              <w:t>Central principle</w:t>
            </w:r>
          </w:p>
        </w:tc>
        <w:tc>
          <w:tcPr>
            <w:tcW w:w="2007" w:type="dxa"/>
            <w:hideMark/>
          </w:tcPr>
          <w:p w14:paraId="74EE1305" w14:textId="77777777" w:rsidR="005F5BF0" w:rsidRPr="000C638C" w:rsidRDefault="005F5BF0" w:rsidP="005F5BF0">
            <w:pPr>
              <w:jc w:val="both"/>
              <w:rPr>
                <w:rFonts w:cstheme="minorHAnsi"/>
                <w:sz w:val="22"/>
                <w:szCs w:val="22"/>
              </w:rPr>
            </w:pPr>
            <w:r w:rsidRPr="000C638C">
              <w:rPr>
                <w:rFonts w:cstheme="minorHAnsi"/>
                <w:sz w:val="22"/>
                <w:szCs w:val="22"/>
              </w:rPr>
              <w:t>Strongly protected</w:t>
            </w:r>
          </w:p>
        </w:tc>
        <w:tc>
          <w:tcPr>
            <w:tcW w:w="1440" w:type="dxa"/>
            <w:hideMark/>
          </w:tcPr>
          <w:p w14:paraId="6C5C9196" w14:textId="77777777" w:rsidR="005F5BF0" w:rsidRPr="000C638C" w:rsidRDefault="005F5BF0" w:rsidP="005F5BF0">
            <w:pPr>
              <w:jc w:val="both"/>
              <w:rPr>
                <w:rFonts w:cstheme="minorHAnsi"/>
                <w:sz w:val="22"/>
                <w:szCs w:val="22"/>
              </w:rPr>
            </w:pPr>
            <w:r w:rsidRPr="000C638C">
              <w:rPr>
                <w:rFonts w:cstheme="minorHAnsi"/>
                <w:sz w:val="22"/>
                <w:szCs w:val="22"/>
              </w:rPr>
              <w:t>Strongly protected</w:t>
            </w:r>
          </w:p>
        </w:tc>
        <w:tc>
          <w:tcPr>
            <w:tcW w:w="1620" w:type="dxa"/>
            <w:hideMark/>
          </w:tcPr>
          <w:p w14:paraId="364A218D" w14:textId="77777777" w:rsidR="005F5BF0" w:rsidRPr="000C638C" w:rsidRDefault="005F5BF0" w:rsidP="005F5BF0">
            <w:pPr>
              <w:jc w:val="both"/>
              <w:rPr>
                <w:rFonts w:cstheme="minorHAnsi"/>
                <w:sz w:val="22"/>
                <w:szCs w:val="22"/>
              </w:rPr>
            </w:pPr>
            <w:r w:rsidRPr="000C638C">
              <w:rPr>
                <w:rFonts w:cstheme="minorHAnsi"/>
                <w:sz w:val="22"/>
                <w:szCs w:val="22"/>
              </w:rPr>
              <w:t>Foundational and constitutive principle</w:t>
            </w:r>
          </w:p>
        </w:tc>
      </w:tr>
      <w:tr w:rsidR="005F5BF0" w:rsidRPr="000C638C" w14:paraId="02FCD43E" w14:textId="77777777" w:rsidTr="005F5BF0">
        <w:trPr>
          <w:trHeight w:val="580"/>
        </w:trPr>
        <w:tc>
          <w:tcPr>
            <w:tcW w:w="1608" w:type="dxa"/>
            <w:shd w:val="clear" w:color="auto" w:fill="FFF2CC" w:themeFill="accent4" w:themeFillTint="33"/>
            <w:hideMark/>
          </w:tcPr>
          <w:p w14:paraId="7A9F1677" w14:textId="77777777" w:rsidR="005F5BF0" w:rsidRPr="000C638C" w:rsidRDefault="005F5BF0" w:rsidP="005F5BF0">
            <w:pPr>
              <w:jc w:val="both"/>
              <w:rPr>
                <w:rFonts w:cstheme="minorHAnsi"/>
                <w:sz w:val="22"/>
                <w:szCs w:val="22"/>
              </w:rPr>
            </w:pPr>
            <w:r w:rsidRPr="000C638C">
              <w:rPr>
                <w:rFonts w:cstheme="minorHAnsi"/>
                <w:sz w:val="22"/>
                <w:szCs w:val="22"/>
              </w:rPr>
              <w:t>Technology Governance</w:t>
            </w:r>
          </w:p>
        </w:tc>
        <w:tc>
          <w:tcPr>
            <w:tcW w:w="1483" w:type="dxa"/>
            <w:hideMark/>
          </w:tcPr>
          <w:p w14:paraId="442DCB57" w14:textId="77777777" w:rsidR="005F5BF0" w:rsidRPr="000C638C" w:rsidRDefault="005F5BF0" w:rsidP="005F5BF0">
            <w:pPr>
              <w:jc w:val="both"/>
              <w:rPr>
                <w:rFonts w:cstheme="minorHAnsi"/>
                <w:sz w:val="22"/>
                <w:szCs w:val="22"/>
              </w:rPr>
            </w:pPr>
            <w:r w:rsidRPr="000C638C">
              <w:rPr>
                <w:rFonts w:cstheme="minorHAnsi"/>
                <w:sz w:val="22"/>
                <w:szCs w:val="22"/>
              </w:rPr>
              <w:t>Limited engagement</w:t>
            </w:r>
          </w:p>
        </w:tc>
        <w:tc>
          <w:tcPr>
            <w:tcW w:w="1377" w:type="dxa"/>
            <w:hideMark/>
          </w:tcPr>
          <w:p w14:paraId="2BDEA90A" w14:textId="77777777" w:rsidR="005F5BF0" w:rsidRPr="000C638C" w:rsidRDefault="005F5BF0" w:rsidP="005F5BF0">
            <w:pPr>
              <w:jc w:val="both"/>
              <w:rPr>
                <w:rFonts w:cstheme="minorHAnsi"/>
                <w:sz w:val="22"/>
                <w:szCs w:val="22"/>
              </w:rPr>
            </w:pPr>
            <w:r w:rsidRPr="000C638C">
              <w:rPr>
                <w:rFonts w:cstheme="minorHAnsi"/>
                <w:sz w:val="22"/>
                <w:szCs w:val="22"/>
              </w:rPr>
              <w:t>Indirect engagement</w:t>
            </w:r>
          </w:p>
        </w:tc>
        <w:tc>
          <w:tcPr>
            <w:tcW w:w="2007" w:type="dxa"/>
            <w:hideMark/>
          </w:tcPr>
          <w:p w14:paraId="1807B5B5" w14:textId="77777777" w:rsidR="005F5BF0" w:rsidRPr="000C638C" w:rsidRDefault="005F5BF0" w:rsidP="005F5BF0">
            <w:pPr>
              <w:jc w:val="both"/>
              <w:rPr>
                <w:rFonts w:cstheme="minorHAnsi"/>
                <w:sz w:val="22"/>
                <w:szCs w:val="22"/>
              </w:rPr>
            </w:pPr>
            <w:r w:rsidRPr="000C638C">
              <w:rPr>
                <w:rFonts w:cstheme="minorHAnsi"/>
                <w:sz w:val="22"/>
                <w:szCs w:val="22"/>
              </w:rPr>
              <w:t>Moderate engagement</w:t>
            </w:r>
          </w:p>
        </w:tc>
        <w:tc>
          <w:tcPr>
            <w:tcW w:w="1440" w:type="dxa"/>
            <w:hideMark/>
          </w:tcPr>
          <w:p w14:paraId="7AD2A8C2" w14:textId="77777777" w:rsidR="005F5BF0" w:rsidRPr="000C638C" w:rsidRDefault="005F5BF0" w:rsidP="005F5BF0">
            <w:pPr>
              <w:jc w:val="both"/>
              <w:rPr>
                <w:rFonts w:cstheme="minorHAnsi"/>
                <w:sz w:val="22"/>
                <w:szCs w:val="22"/>
              </w:rPr>
            </w:pPr>
            <w:r w:rsidRPr="000C638C">
              <w:rPr>
                <w:rFonts w:cstheme="minorHAnsi"/>
                <w:sz w:val="22"/>
                <w:szCs w:val="22"/>
              </w:rPr>
              <w:t>Strong engagement</w:t>
            </w:r>
          </w:p>
        </w:tc>
        <w:tc>
          <w:tcPr>
            <w:tcW w:w="1620" w:type="dxa"/>
            <w:hideMark/>
          </w:tcPr>
          <w:p w14:paraId="7EA109AB" w14:textId="77777777" w:rsidR="005F5BF0" w:rsidRPr="000C638C" w:rsidRDefault="005F5BF0" w:rsidP="005F5BF0">
            <w:pPr>
              <w:jc w:val="both"/>
              <w:rPr>
                <w:rFonts w:cstheme="minorHAnsi"/>
                <w:sz w:val="22"/>
                <w:szCs w:val="22"/>
              </w:rPr>
            </w:pPr>
            <w:r w:rsidRPr="000C638C">
              <w:rPr>
                <w:rFonts w:cstheme="minorHAnsi"/>
                <w:sz w:val="22"/>
                <w:szCs w:val="22"/>
              </w:rPr>
              <w:t>Strong engagement</w:t>
            </w:r>
          </w:p>
        </w:tc>
      </w:tr>
      <w:tr w:rsidR="005F5BF0" w:rsidRPr="000C638C" w14:paraId="2BF49E2F" w14:textId="77777777" w:rsidTr="005F5BF0">
        <w:trPr>
          <w:trHeight w:val="870"/>
        </w:trPr>
        <w:tc>
          <w:tcPr>
            <w:tcW w:w="1608" w:type="dxa"/>
            <w:shd w:val="clear" w:color="auto" w:fill="FFF2CC" w:themeFill="accent4" w:themeFillTint="33"/>
            <w:hideMark/>
          </w:tcPr>
          <w:p w14:paraId="38671063" w14:textId="77777777" w:rsidR="005F5BF0" w:rsidRPr="000C638C" w:rsidRDefault="005F5BF0" w:rsidP="005F5BF0">
            <w:pPr>
              <w:jc w:val="both"/>
              <w:rPr>
                <w:rFonts w:cstheme="minorHAnsi"/>
                <w:sz w:val="22"/>
                <w:szCs w:val="22"/>
              </w:rPr>
            </w:pPr>
            <w:r w:rsidRPr="000C638C">
              <w:rPr>
                <w:rFonts w:cstheme="minorHAnsi"/>
                <w:sz w:val="22"/>
                <w:szCs w:val="22"/>
              </w:rPr>
              <w:t>Algorithmic Accountability</w:t>
            </w:r>
          </w:p>
        </w:tc>
        <w:tc>
          <w:tcPr>
            <w:tcW w:w="1483" w:type="dxa"/>
            <w:hideMark/>
          </w:tcPr>
          <w:p w14:paraId="64EC72D7" w14:textId="77777777" w:rsidR="005F5BF0" w:rsidRPr="000C638C" w:rsidRDefault="005F5BF0" w:rsidP="005F5BF0">
            <w:pPr>
              <w:jc w:val="both"/>
              <w:rPr>
                <w:rFonts w:cstheme="minorHAnsi"/>
                <w:sz w:val="22"/>
                <w:szCs w:val="22"/>
              </w:rPr>
            </w:pPr>
            <w:r w:rsidRPr="000C638C">
              <w:rPr>
                <w:rFonts w:cstheme="minorHAnsi"/>
                <w:sz w:val="22"/>
                <w:szCs w:val="22"/>
              </w:rPr>
              <w:t>Procedural compliance</w:t>
            </w:r>
          </w:p>
        </w:tc>
        <w:tc>
          <w:tcPr>
            <w:tcW w:w="1377" w:type="dxa"/>
            <w:hideMark/>
          </w:tcPr>
          <w:p w14:paraId="5DFEA0E2" w14:textId="77777777" w:rsidR="005F5BF0" w:rsidRPr="000C638C" w:rsidRDefault="005F5BF0" w:rsidP="005F5BF0">
            <w:pPr>
              <w:jc w:val="both"/>
              <w:rPr>
                <w:rFonts w:cstheme="minorHAnsi"/>
                <w:sz w:val="22"/>
                <w:szCs w:val="22"/>
              </w:rPr>
            </w:pPr>
            <w:r w:rsidRPr="000C638C">
              <w:rPr>
                <w:rFonts w:cstheme="minorHAnsi"/>
                <w:sz w:val="22"/>
                <w:szCs w:val="22"/>
              </w:rPr>
              <w:t>Moral evaluation</w:t>
            </w:r>
          </w:p>
        </w:tc>
        <w:tc>
          <w:tcPr>
            <w:tcW w:w="2007" w:type="dxa"/>
            <w:hideMark/>
          </w:tcPr>
          <w:p w14:paraId="0C6EE4D5" w14:textId="77777777" w:rsidR="005F5BF0" w:rsidRPr="000C638C" w:rsidRDefault="005F5BF0" w:rsidP="005F5BF0">
            <w:pPr>
              <w:jc w:val="both"/>
              <w:rPr>
                <w:rFonts w:cstheme="minorHAnsi"/>
                <w:sz w:val="22"/>
                <w:szCs w:val="22"/>
              </w:rPr>
            </w:pPr>
            <w:r w:rsidRPr="000C638C">
              <w:rPr>
                <w:rFonts w:cstheme="minorHAnsi"/>
                <w:sz w:val="22"/>
                <w:szCs w:val="22"/>
              </w:rPr>
              <w:t>Constitutional oversight</w:t>
            </w:r>
          </w:p>
        </w:tc>
        <w:tc>
          <w:tcPr>
            <w:tcW w:w="1440" w:type="dxa"/>
            <w:hideMark/>
          </w:tcPr>
          <w:p w14:paraId="154D73FB" w14:textId="77777777" w:rsidR="005F5BF0" w:rsidRPr="000C638C" w:rsidRDefault="005F5BF0" w:rsidP="005F5BF0">
            <w:pPr>
              <w:jc w:val="both"/>
              <w:rPr>
                <w:rFonts w:cstheme="minorHAnsi"/>
                <w:sz w:val="22"/>
                <w:szCs w:val="22"/>
              </w:rPr>
            </w:pPr>
            <w:r w:rsidRPr="000C638C">
              <w:rPr>
                <w:rFonts w:cstheme="minorHAnsi"/>
                <w:sz w:val="22"/>
                <w:szCs w:val="22"/>
              </w:rPr>
              <w:t>Ethical oversight</w:t>
            </w:r>
          </w:p>
        </w:tc>
        <w:tc>
          <w:tcPr>
            <w:tcW w:w="1620" w:type="dxa"/>
            <w:hideMark/>
          </w:tcPr>
          <w:p w14:paraId="57672B4A" w14:textId="77777777" w:rsidR="005F5BF0" w:rsidRPr="000C638C" w:rsidRDefault="005F5BF0" w:rsidP="005F5BF0">
            <w:pPr>
              <w:jc w:val="both"/>
              <w:rPr>
                <w:rFonts w:cstheme="minorHAnsi"/>
                <w:sz w:val="22"/>
                <w:szCs w:val="22"/>
              </w:rPr>
            </w:pPr>
            <w:r w:rsidRPr="000C638C">
              <w:rPr>
                <w:rFonts w:cstheme="minorHAnsi"/>
                <w:sz w:val="22"/>
                <w:szCs w:val="22"/>
              </w:rPr>
              <w:t>Ethical, legal, and transcendental accountability</w:t>
            </w:r>
          </w:p>
        </w:tc>
      </w:tr>
      <w:tr w:rsidR="005F5BF0" w:rsidRPr="000C638C" w14:paraId="01AB6CBF" w14:textId="77777777" w:rsidTr="005F5BF0">
        <w:trPr>
          <w:trHeight w:val="580"/>
        </w:trPr>
        <w:tc>
          <w:tcPr>
            <w:tcW w:w="1608" w:type="dxa"/>
            <w:shd w:val="clear" w:color="auto" w:fill="FFF2CC" w:themeFill="accent4" w:themeFillTint="33"/>
            <w:hideMark/>
          </w:tcPr>
          <w:p w14:paraId="626544EB" w14:textId="77777777" w:rsidR="005F5BF0" w:rsidRPr="000C638C" w:rsidRDefault="005F5BF0" w:rsidP="005F5BF0">
            <w:pPr>
              <w:jc w:val="both"/>
              <w:rPr>
                <w:rFonts w:cstheme="minorHAnsi"/>
                <w:sz w:val="22"/>
                <w:szCs w:val="22"/>
              </w:rPr>
            </w:pPr>
            <w:r w:rsidRPr="000C638C">
              <w:rPr>
                <w:rFonts w:cstheme="minorHAnsi"/>
                <w:sz w:val="22"/>
                <w:szCs w:val="22"/>
              </w:rPr>
              <w:t>Role of Transcendence</w:t>
            </w:r>
          </w:p>
        </w:tc>
        <w:tc>
          <w:tcPr>
            <w:tcW w:w="1483" w:type="dxa"/>
            <w:hideMark/>
          </w:tcPr>
          <w:p w14:paraId="6211CF06" w14:textId="77777777" w:rsidR="005F5BF0" w:rsidRPr="000C638C" w:rsidRDefault="005F5BF0" w:rsidP="005F5BF0">
            <w:pPr>
              <w:jc w:val="both"/>
              <w:rPr>
                <w:rFonts w:cstheme="minorHAnsi"/>
                <w:sz w:val="22"/>
                <w:szCs w:val="22"/>
              </w:rPr>
            </w:pPr>
            <w:r w:rsidRPr="000C638C">
              <w:rPr>
                <w:rFonts w:cstheme="minorHAnsi"/>
                <w:sz w:val="22"/>
                <w:szCs w:val="22"/>
              </w:rPr>
              <w:t>Absent</w:t>
            </w:r>
          </w:p>
        </w:tc>
        <w:tc>
          <w:tcPr>
            <w:tcW w:w="1377" w:type="dxa"/>
            <w:hideMark/>
          </w:tcPr>
          <w:p w14:paraId="60400958" w14:textId="77777777" w:rsidR="005F5BF0" w:rsidRPr="000C638C" w:rsidRDefault="005F5BF0" w:rsidP="005F5BF0">
            <w:pPr>
              <w:jc w:val="both"/>
              <w:rPr>
                <w:rFonts w:cstheme="minorHAnsi"/>
                <w:sz w:val="22"/>
                <w:szCs w:val="22"/>
              </w:rPr>
            </w:pPr>
            <w:r w:rsidRPr="000C638C">
              <w:rPr>
                <w:rFonts w:cstheme="minorHAnsi"/>
                <w:sz w:val="22"/>
                <w:szCs w:val="22"/>
              </w:rPr>
              <w:t>Implicit</w:t>
            </w:r>
          </w:p>
        </w:tc>
        <w:tc>
          <w:tcPr>
            <w:tcW w:w="2007" w:type="dxa"/>
            <w:hideMark/>
          </w:tcPr>
          <w:p w14:paraId="13B371F4" w14:textId="77777777" w:rsidR="005F5BF0" w:rsidRPr="000C638C" w:rsidRDefault="005F5BF0" w:rsidP="005F5BF0">
            <w:pPr>
              <w:jc w:val="both"/>
              <w:rPr>
                <w:rFonts w:cstheme="minorHAnsi"/>
                <w:sz w:val="22"/>
                <w:szCs w:val="22"/>
              </w:rPr>
            </w:pPr>
            <w:r w:rsidRPr="000C638C">
              <w:rPr>
                <w:rFonts w:cstheme="minorHAnsi"/>
                <w:sz w:val="22"/>
                <w:szCs w:val="22"/>
              </w:rPr>
              <w:t>Generally absent</w:t>
            </w:r>
          </w:p>
        </w:tc>
        <w:tc>
          <w:tcPr>
            <w:tcW w:w="1440" w:type="dxa"/>
            <w:hideMark/>
          </w:tcPr>
          <w:p w14:paraId="66275037" w14:textId="77777777" w:rsidR="005F5BF0" w:rsidRPr="000C638C" w:rsidRDefault="005F5BF0" w:rsidP="005F5BF0">
            <w:pPr>
              <w:jc w:val="both"/>
              <w:rPr>
                <w:rFonts w:cstheme="minorHAnsi"/>
                <w:sz w:val="22"/>
                <w:szCs w:val="22"/>
              </w:rPr>
            </w:pPr>
            <w:r w:rsidRPr="000C638C">
              <w:rPr>
                <w:rFonts w:cstheme="minorHAnsi"/>
                <w:sz w:val="22"/>
                <w:szCs w:val="22"/>
              </w:rPr>
              <w:t>Absent</w:t>
            </w:r>
          </w:p>
        </w:tc>
        <w:tc>
          <w:tcPr>
            <w:tcW w:w="1620" w:type="dxa"/>
            <w:hideMark/>
          </w:tcPr>
          <w:p w14:paraId="0D3D3F20" w14:textId="77777777" w:rsidR="005F5BF0" w:rsidRPr="000C638C" w:rsidRDefault="005F5BF0" w:rsidP="005F5BF0">
            <w:pPr>
              <w:jc w:val="both"/>
              <w:rPr>
                <w:rFonts w:cstheme="minorHAnsi"/>
                <w:sz w:val="22"/>
                <w:szCs w:val="22"/>
              </w:rPr>
            </w:pPr>
            <w:r w:rsidRPr="000C638C">
              <w:rPr>
                <w:rFonts w:cstheme="minorHAnsi"/>
                <w:sz w:val="22"/>
                <w:szCs w:val="22"/>
              </w:rPr>
              <w:t>Explicit and foundational</w:t>
            </w:r>
          </w:p>
        </w:tc>
      </w:tr>
      <w:tr w:rsidR="005F5BF0" w:rsidRPr="000C638C" w14:paraId="2CD9710D" w14:textId="77777777" w:rsidTr="005F5BF0">
        <w:trPr>
          <w:trHeight w:val="580"/>
        </w:trPr>
        <w:tc>
          <w:tcPr>
            <w:tcW w:w="1608" w:type="dxa"/>
            <w:shd w:val="clear" w:color="auto" w:fill="FFF2CC" w:themeFill="accent4" w:themeFillTint="33"/>
            <w:hideMark/>
          </w:tcPr>
          <w:p w14:paraId="28777EC1" w14:textId="77777777" w:rsidR="005F5BF0" w:rsidRPr="000C638C" w:rsidRDefault="005F5BF0" w:rsidP="005F5BF0">
            <w:pPr>
              <w:jc w:val="both"/>
              <w:rPr>
                <w:rFonts w:cstheme="minorHAnsi"/>
                <w:sz w:val="22"/>
                <w:szCs w:val="22"/>
              </w:rPr>
            </w:pPr>
            <w:r w:rsidRPr="000C638C">
              <w:rPr>
                <w:rFonts w:cstheme="minorHAnsi"/>
                <w:sz w:val="22"/>
                <w:szCs w:val="22"/>
              </w:rPr>
              <w:t>Regulatory Orientation</w:t>
            </w:r>
          </w:p>
        </w:tc>
        <w:tc>
          <w:tcPr>
            <w:tcW w:w="1483" w:type="dxa"/>
            <w:hideMark/>
          </w:tcPr>
          <w:p w14:paraId="0B4681C5" w14:textId="77777777" w:rsidR="005F5BF0" w:rsidRPr="000C638C" w:rsidRDefault="005F5BF0" w:rsidP="005F5BF0">
            <w:pPr>
              <w:jc w:val="both"/>
              <w:rPr>
                <w:rFonts w:cstheme="minorHAnsi"/>
                <w:sz w:val="22"/>
                <w:szCs w:val="22"/>
              </w:rPr>
            </w:pPr>
            <w:r w:rsidRPr="000C638C">
              <w:rPr>
                <w:rFonts w:cstheme="minorHAnsi"/>
                <w:sz w:val="22"/>
                <w:szCs w:val="22"/>
              </w:rPr>
              <w:t>Rule-based</w:t>
            </w:r>
          </w:p>
        </w:tc>
        <w:tc>
          <w:tcPr>
            <w:tcW w:w="1377" w:type="dxa"/>
            <w:hideMark/>
          </w:tcPr>
          <w:p w14:paraId="2AED09E8" w14:textId="77777777" w:rsidR="005F5BF0" w:rsidRPr="000C638C" w:rsidRDefault="005F5BF0" w:rsidP="005F5BF0">
            <w:pPr>
              <w:jc w:val="both"/>
              <w:rPr>
                <w:rFonts w:cstheme="minorHAnsi"/>
                <w:sz w:val="22"/>
                <w:szCs w:val="22"/>
              </w:rPr>
            </w:pPr>
            <w:r w:rsidRPr="000C638C">
              <w:rPr>
                <w:rFonts w:cstheme="minorHAnsi"/>
                <w:sz w:val="22"/>
                <w:szCs w:val="22"/>
              </w:rPr>
              <w:t>Morality-based</w:t>
            </w:r>
          </w:p>
        </w:tc>
        <w:tc>
          <w:tcPr>
            <w:tcW w:w="2007" w:type="dxa"/>
            <w:hideMark/>
          </w:tcPr>
          <w:p w14:paraId="62A1CA9E" w14:textId="77777777" w:rsidR="005F5BF0" w:rsidRPr="000C638C" w:rsidRDefault="005F5BF0" w:rsidP="005F5BF0">
            <w:pPr>
              <w:jc w:val="both"/>
              <w:rPr>
                <w:rFonts w:cstheme="minorHAnsi"/>
                <w:sz w:val="22"/>
                <w:szCs w:val="22"/>
              </w:rPr>
            </w:pPr>
            <w:r w:rsidRPr="000C638C">
              <w:rPr>
                <w:rFonts w:cstheme="minorHAnsi"/>
                <w:sz w:val="22"/>
                <w:szCs w:val="22"/>
              </w:rPr>
              <w:t>Rights-based</w:t>
            </w:r>
          </w:p>
        </w:tc>
        <w:tc>
          <w:tcPr>
            <w:tcW w:w="1440" w:type="dxa"/>
            <w:hideMark/>
          </w:tcPr>
          <w:p w14:paraId="73E6F838" w14:textId="77777777" w:rsidR="005F5BF0" w:rsidRPr="000C638C" w:rsidRDefault="005F5BF0" w:rsidP="005F5BF0">
            <w:pPr>
              <w:jc w:val="both"/>
              <w:rPr>
                <w:rFonts w:cstheme="minorHAnsi"/>
                <w:sz w:val="22"/>
                <w:szCs w:val="22"/>
              </w:rPr>
            </w:pPr>
            <w:r w:rsidRPr="000C638C">
              <w:rPr>
                <w:rFonts w:cstheme="minorHAnsi"/>
                <w:sz w:val="22"/>
                <w:szCs w:val="22"/>
              </w:rPr>
              <w:t>Principle-based</w:t>
            </w:r>
          </w:p>
        </w:tc>
        <w:tc>
          <w:tcPr>
            <w:tcW w:w="1620" w:type="dxa"/>
            <w:hideMark/>
          </w:tcPr>
          <w:p w14:paraId="7ECD80F7" w14:textId="77777777" w:rsidR="005F5BF0" w:rsidRPr="000C638C" w:rsidRDefault="005F5BF0" w:rsidP="005F5BF0">
            <w:pPr>
              <w:jc w:val="both"/>
              <w:rPr>
                <w:rFonts w:cstheme="minorHAnsi"/>
                <w:sz w:val="22"/>
                <w:szCs w:val="22"/>
              </w:rPr>
            </w:pPr>
            <w:r w:rsidRPr="000C638C">
              <w:rPr>
                <w:rFonts w:cstheme="minorHAnsi"/>
                <w:sz w:val="22"/>
                <w:szCs w:val="22"/>
              </w:rPr>
              <w:t>Human-centered and prophetic</w:t>
            </w:r>
          </w:p>
        </w:tc>
      </w:tr>
      <w:tr w:rsidR="005F5BF0" w:rsidRPr="000C638C" w14:paraId="7DA5488A" w14:textId="77777777" w:rsidTr="005F5BF0">
        <w:trPr>
          <w:trHeight w:val="1160"/>
        </w:trPr>
        <w:tc>
          <w:tcPr>
            <w:tcW w:w="1608" w:type="dxa"/>
            <w:shd w:val="clear" w:color="auto" w:fill="FFF2CC" w:themeFill="accent4" w:themeFillTint="33"/>
            <w:hideMark/>
          </w:tcPr>
          <w:p w14:paraId="2CD2DA2A" w14:textId="77777777" w:rsidR="005F5BF0" w:rsidRPr="000C638C" w:rsidRDefault="005F5BF0" w:rsidP="005F5BF0">
            <w:pPr>
              <w:jc w:val="both"/>
              <w:rPr>
                <w:rFonts w:cstheme="minorHAnsi"/>
                <w:sz w:val="22"/>
                <w:szCs w:val="22"/>
              </w:rPr>
            </w:pPr>
            <w:r w:rsidRPr="000C638C">
              <w:rPr>
                <w:rFonts w:cstheme="minorHAnsi"/>
                <w:sz w:val="22"/>
                <w:szCs w:val="22"/>
              </w:rPr>
              <w:t>Capacity to Integrate Law, Ethics, and Technology</w:t>
            </w:r>
          </w:p>
        </w:tc>
        <w:tc>
          <w:tcPr>
            <w:tcW w:w="1483" w:type="dxa"/>
            <w:hideMark/>
          </w:tcPr>
          <w:p w14:paraId="300839F3" w14:textId="77777777" w:rsidR="005F5BF0" w:rsidRPr="000C638C" w:rsidRDefault="005F5BF0" w:rsidP="005F5BF0">
            <w:pPr>
              <w:jc w:val="both"/>
              <w:rPr>
                <w:rFonts w:cstheme="minorHAnsi"/>
                <w:sz w:val="22"/>
                <w:szCs w:val="22"/>
              </w:rPr>
            </w:pPr>
            <w:r w:rsidRPr="000C638C">
              <w:rPr>
                <w:rFonts w:cstheme="minorHAnsi"/>
                <w:sz w:val="22"/>
                <w:szCs w:val="22"/>
              </w:rPr>
              <w:t>Low</w:t>
            </w:r>
          </w:p>
        </w:tc>
        <w:tc>
          <w:tcPr>
            <w:tcW w:w="1377" w:type="dxa"/>
            <w:hideMark/>
          </w:tcPr>
          <w:p w14:paraId="46A3FE10" w14:textId="77777777" w:rsidR="005F5BF0" w:rsidRPr="000C638C" w:rsidRDefault="005F5BF0" w:rsidP="005F5BF0">
            <w:pPr>
              <w:jc w:val="both"/>
              <w:rPr>
                <w:rFonts w:cstheme="minorHAnsi"/>
                <w:sz w:val="22"/>
                <w:szCs w:val="22"/>
              </w:rPr>
            </w:pPr>
            <w:r w:rsidRPr="000C638C">
              <w:rPr>
                <w:rFonts w:cstheme="minorHAnsi"/>
                <w:sz w:val="22"/>
                <w:szCs w:val="22"/>
              </w:rPr>
              <w:t>Moderate</w:t>
            </w:r>
          </w:p>
        </w:tc>
        <w:tc>
          <w:tcPr>
            <w:tcW w:w="2007" w:type="dxa"/>
            <w:hideMark/>
          </w:tcPr>
          <w:p w14:paraId="1C567D0A" w14:textId="77777777" w:rsidR="005F5BF0" w:rsidRPr="000C638C" w:rsidRDefault="005F5BF0" w:rsidP="005F5BF0">
            <w:pPr>
              <w:jc w:val="both"/>
              <w:rPr>
                <w:rFonts w:cstheme="minorHAnsi"/>
                <w:sz w:val="22"/>
                <w:szCs w:val="22"/>
              </w:rPr>
            </w:pPr>
            <w:r w:rsidRPr="000C638C">
              <w:rPr>
                <w:rFonts w:cstheme="minorHAnsi"/>
                <w:sz w:val="22"/>
                <w:szCs w:val="22"/>
              </w:rPr>
              <w:t>Moderate</w:t>
            </w:r>
          </w:p>
        </w:tc>
        <w:tc>
          <w:tcPr>
            <w:tcW w:w="1440" w:type="dxa"/>
            <w:hideMark/>
          </w:tcPr>
          <w:p w14:paraId="3D079836" w14:textId="77777777" w:rsidR="005F5BF0" w:rsidRPr="000C638C" w:rsidRDefault="005F5BF0" w:rsidP="005F5BF0">
            <w:pPr>
              <w:jc w:val="both"/>
              <w:rPr>
                <w:rFonts w:cstheme="minorHAnsi"/>
                <w:sz w:val="22"/>
                <w:szCs w:val="22"/>
              </w:rPr>
            </w:pPr>
            <w:r w:rsidRPr="000C638C">
              <w:rPr>
                <w:rFonts w:cstheme="minorHAnsi"/>
                <w:sz w:val="22"/>
                <w:szCs w:val="22"/>
              </w:rPr>
              <w:t>Moderate</w:t>
            </w:r>
          </w:p>
        </w:tc>
        <w:tc>
          <w:tcPr>
            <w:tcW w:w="1620" w:type="dxa"/>
            <w:hideMark/>
          </w:tcPr>
          <w:p w14:paraId="67673691" w14:textId="77777777" w:rsidR="005F5BF0" w:rsidRPr="000C638C" w:rsidRDefault="005F5BF0" w:rsidP="005F5BF0">
            <w:pPr>
              <w:jc w:val="both"/>
              <w:rPr>
                <w:rFonts w:cstheme="minorHAnsi"/>
                <w:sz w:val="22"/>
                <w:szCs w:val="22"/>
              </w:rPr>
            </w:pPr>
            <w:r w:rsidRPr="000C638C">
              <w:rPr>
                <w:rFonts w:cstheme="minorHAnsi"/>
                <w:sz w:val="22"/>
                <w:szCs w:val="22"/>
              </w:rPr>
              <w:t>High</w:t>
            </w:r>
          </w:p>
        </w:tc>
      </w:tr>
    </w:tbl>
    <w:p w14:paraId="1F9AE156" w14:textId="02631AD4" w:rsidR="005F5BF0" w:rsidRPr="000C638C" w:rsidRDefault="005F5BF0" w:rsidP="005F5BF0">
      <w:pPr>
        <w:spacing w:after="0"/>
        <w:jc w:val="both"/>
        <w:rPr>
          <w:rFonts w:cstheme="minorHAnsi"/>
          <w:sz w:val="16"/>
          <w:szCs w:val="16"/>
        </w:rPr>
      </w:pPr>
      <w:r w:rsidRPr="000C638C">
        <w:rPr>
          <w:rFonts w:cstheme="minorHAnsi"/>
          <w:sz w:val="16"/>
          <w:szCs w:val="16"/>
        </w:rPr>
        <w:t>Source: Developed by the author through a comparative synthesis of major jurisprudential and technology-governance scholarship, including Hart (1961), Kelsen (1967), Raz (1979), Fuller (1969), Finnis (2011), Celeste (2022), De Gregorio (2022), Brownsword (2019), Floridi et al. (2018), Binns (2018), Cath et al. (2018), and Kuntowijoyo (2006).</w:t>
      </w:r>
    </w:p>
    <w:p w14:paraId="0260E93D" w14:textId="77777777" w:rsidR="005F5BF0" w:rsidRPr="000C638C" w:rsidRDefault="005F5BF0" w:rsidP="005F5BF0">
      <w:pPr>
        <w:spacing w:after="0"/>
        <w:jc w:val="both"/>
        <w:rPr>
          <w:rFonts w:cstheme="minorHAnsi"/>
          <w:sz w:val="22"/>
          <w:szCs w:val="22"/>
        </w:rPr>
      </w:pPr>
    </w:p>
    <w:p w14:paraId="58681C66" w14:textId="1D7458C5" w:rsidR="005F5BF0" w:rsidRPr="000C638C" w:rsidRDefault="005F5BF0" w:rsidP="00AF48DE">
      <w:pPr>
        <w:tabs>
          <w:tab w:val="left" w:pos="900"/>
        </w:tabs>
        <w:spacing w:after="0"/>
        <w:ind w:left="360"/>
        <w:jc w:val="both"/>
        <w:rPr>
          <w:rFonts w:cstheme="minorHAnsi"/>
          <w:b/>
          <w:bCs/>
          <w:sz w:val="22"/>
          <w:szCs w:val="22"/>
        </w:rPr>
      </w:pPr>
      <w:r w:rsidRPr="000C638C">
        <w:rPr>
          <w:rFonts w:cstheme="minorHAnsi"/>
          <w:b/>
          <w:bCs/>
          <w:sz w:val="22"/>
          <w:szCs w:val="22"/>
        </w:rPr>
        <w:t xml:space="preserve">2.7. </w:t>
      </w:r>
      <w:r w:rsidR="00AF48DE" w:rsidRPr="000C638C">
        <w:rPr>
          <w:rFonts w:cstheme="minorHAnsi"/>
          <w:b/>
          <w:bCs/>
          <w:sz w:val="22"/>
          <w:szCs w:val="22"/>
        </w:rPr>
        <w:tab/>
      </w:r>
      <w:r w:rsidRPr="000C638C">
        <w:rPr>
          <w:rFonts w:cstheme="minorHAnsi"/>
          <w:b/>
          <w:bCs/>
          <w:sz w:val="22"/>
          <w:szCs w:val="22"/>
        </w:rPr>
        <w:t>Theoretical Framework: Prophetic Legal Epistemology</w:t>
      </w:r>
    </w:p>
    <w:p w14:paraId="02DA7DD4" w14:textId="5400BA16" w:rsidR="005F5BF0" w:rsidRPr="000C638C" w:rsidRDefault="00741803" w:rsidP="00741803">
      <w:pPr>
        <w:spacing w:after="0"/>
        <w:ind w:left="900" w:firstLine="450"/>
        <w:jc w:val="both"/>
        <w:rPr>
          <w:rFonts w:cstheme="minorHAnsi"/>
          <w:sz w:val="22"/>
          <w:szCs w:val="22"/>
        </w:rPr>
      </w:pPr>
      <w:r w:rsidRPr="000C638C">
        <w:rPr>
          <w:rFonts w:cstheme="minorHAnsi"/>
          <w:sz w:val="22"/>
          <w:szCs w:val="22"/>
        </w:rPr>
        <w:lastRenderedPageBreak/>
        <w:t xml:space="preserve">This study builds on Kuntowijoyo's </w:t>
      </w:r>
      <w:r w:rsidRPr="000C638C">
        <w:rPr>
          <w:rFonts w:cstheme="minorHAnsi"/>
          <w:sz w:val="22"/>
          <w:szCs w:val="22"/>
        </w:rPr>
        <w:fldChar w:fldCharType="begin" w:fldLock="1"/>
      </w:r>
      <w:r w:rsidR="00A50552">
        <w:rPr>
          <w:rFonts w:cstheme="minorHAnsi"/>
          <w:sz w:val="22"/>
          <w:szCs w:val="22"/>
        </w:rPr>
        <w:instrText>ADDIN CSL_CITATION {"citationItems":[{"id":"ITEM-1","itemData":{"author":[{"dropping-particle":"","family":"kuntowijoyo","given":"","non-dropping-particle":"","parse-names":false,"suffix":""}],"id":"ITEM-1","issued":{"date-parts":[["2006"]]},"publisher":"Tiara Wacana","title":"Islam sebagai Ilmu: epistemologi, metodologi, dan etika","type":"book"},"uris":["http://www.mendeley.com/documents/?uuid=eaea5408-4472-3e3c-9241-c91835cf0d66"]}],"mendeley":{"formattedCitation":"(kuntowijoyo, 2006)","manualFormatting":"(2006)","plainTextFormattedCitation":"(kuntowijoyo, 2006)","previouslyFormattedCitation":"(21)"},"properties":{"noteIndex":0},"schema":"https://github.com/citation-style-language/schema/raw/master/csl-citation.json"}</w:instrText>
      </w:r>
      <w:r w:rsidRPr="000C638C">
        <w:rPr>
          <w:rFonts w:cstheme="minorHAnsi"/>
          <w:sz w:val="22"/>
          <w:szCs w:val="22"/>
        </w:rPr>
        <w:fldChar w:fldCharType="separate"/>
      </w:r>
      <w:r w:rsidRPr="000C638C">
        <w:rPr>
          <w:rFonts w:cstheme="minorHAnsi"/>
          <w:noProof/>
          <w:sz w:val="22"/>
          <w:szCs w:val="22"/>
        </w:rPr>
        <w:t>(2006)</w:t>
      </w:r>
      <w:r w:rsidRPr="000C638C">
        <w:rPr>
          <w:rFonts w:cstheme="minorHAnsi"/>
          <w:sz w:val="22"/>
          <w:szCs w:val="22"/>
        </w:rPr>
        <w:fldChar w:fldCharType="end"/>
      </w:r>
      <w:r w:rsidRPr="000C638C">
        <w:rPr>
          <w:rFonts w:cstheme="minorHAnsi"/>
          <w:sz w:val="22"/>
          <w:szCs w:val="22"/>
        </w:rPr>
        <w:t xml:space="preserve"> prophetic paradigm and its prior juridical elaboration, Ilmu Hukum Profetik </w:t>
      </w:r>
      <w:r w:rsidRPr="000C638C">
        <w:rPr>
          <w:rFonts w:cstheme="minorHAnsi"/>
          <w:sz w:val="22"/>
          <w:szCs w:val="22"/>
        </w:rPr>
        <w:fldChar w:fldCharType="begin" w:fldLock="1"/>
      </w:r>
      <w:r w:rsidR="00A50552">
        <w:rPr>
          <w:rFonts w:cstheme="minorHAnsi"/>
          <w:sz w:val="22"/>
          <w:szCs w:val="22"/>
        </w:rPr>
        <w:instrText>ADDIN CSL_CITATION {"citationItems":[{"id":"ITEM-1","itemData":{"abstract":"Buku ini berupaya untuk menawarkan sebuah ilmu hukum baru yaitu ilmu hukum profetik yang terutama akan dilakukan dengan mengkaji aspek asumsi dan model dari basis epsitemologinya Ilmu hukum ini diharapkan dapat menjadi sebuah alternatif dalam proses pembangunan ilmu hukum yang saat ini sangat didominasi oleh pemikir dan filosof dari madzhab filsafat hukum posivisitik","author":[{"dropping-particle":"","family":"Kelik Wardiono","given":"","non-dropping-particle":"","parse-names":false,"suffix":""}],"id":"ITEM-1","issued":{"date-parts":[["2020"]]},"publisher":"MUP","title":"Ilmu Hukum Profetik Hampiran Basis Epistemologi Paradigmatik","type":"book"},"uris":["http://www.mendeley.com/documents/?uuid=73521932-07cc-32c7-955f-67513eba595c"]}],"mendeley":{"formattedCitation":"(Kelik Wardiono, 2020)","plainTextFormattedCitation":"(Kelik Wardiono, 2020)","previouslyFormattedCitation":"(23)"},"properties":{"noteIndex":0},"schema":"https://github.com/citation-style-language/schema/raw/master/csl-citation.json"}</w:instrText>
      </w:r>
      <w:r w:rsidRPr="000C638C">
        <w:rPr>
          <w:rFonts w:cstheme="minorHAnsi"/>
          <w:sz w:val="22"/>
          <w:szCs w:val="22"/>
        </w:rPr>
        <w:fldChar w:fldCharType="separate"/>
      </w:r>
      <w:r w:rsidR="00A50552" w:rsidRPr="00A50552">
        <w:rPr>
          <w:rFonts w:cstheme="minorHAnsi"/>
          <w:noProof/>
          <w:sz w:val="22"/>
          <w:szCs w:val="22"/>
        </w:rPr>
        <w:t>(Kelik Wardiono, 2020)</w:t>
      </w:r>
      <w:r w:rsidRPr="000C638C">
        <w:rPr>
          <w:rFonts w:cstheme="minorHAnsi"/>
          <w:sz w:val="22"/>
          <w:szCs w:val="22"/>
        </w:rPr>
        <w:fldChar w:fldCharType="end"/>
      </w:r>
      <w:r w:rsidRPr="000C638C">
        <w:rPr>
          <w:rFonts w:cstheme="minorHAnsi"/>
          <w:sz w:val="22"/>
          <w:szCs w:val="22"/>
        </w:rPr>
        <w:t>, to develop a Prophetic Legal Epistemology that</w:t>
      </w:r>
      <w:r w:rsidR="00DB6F9C" w:rsidRPr="000C638C">
        <w:rPr>
          <w:rFonts w:cstheme="minorHAnsi"/>
          <w:sz w:val="22"/>
          <w:szCs w:val="22"/>
        </w:rPr>
        <w:t xml:space="preserve">, for the first time, extends this tradition </w:t>
      </w:r>
      <w:r w:rsidRPr="000C638C">
        <w:rPr>
          <w:rFonts w:cstheme="minorHAnsi"/>
          <w:sz w:val="22"/>
          <w:szCs w:val="22"/>
        </w:rPr>
        <w:t>to the specific challenges of algorithmic governance under Society 5.0</w:t>
      </w:r>
      <w:r w:rsidR="00175614" w:rsidRPr="000C638C">
        <w:rPr>
          <w:rFonts w:cstheme="minorHAnsi"/>
          <w:sz w:val="22"/>
          <w:szCs w:val="22"/>
        </w:rPr>
        <w:t>. This new term is built on three interrelated components.</w:t>
      </w:r>
      <w:r w:rsidR="00AF48DE" w:rsidRPr="000C638C">
        <w:rPr>
          <w:rFonts w:cstheme="minorHAnsi"/>
          <w:sz w:val="22"/>
          <w:szCs w:val="22"/>
        </w:rPr>
        <w:t xml:space="preserve"> </w:t>
      </w:r>
      <w:r w:rsidR="00175614" w:rsidRPr="000C638C">
        <w:rPr>
          <w:rFonts w:cstheme="minorHAnsi"/>
          <w:sz w:val="22"/>
          <w:szCs w:val="22"/>
        </w:rPr>
        <w:t>First, transcendence is the source of the ultimate norm. In this concept, legal authority is held to the values that transcend the procedural and technological rationality of law. Second, humanization is the dignity of the human person as the end of the law and as the purpose of the regulation of law and technology. Third, liberation is the critique and the struggle to abolish the domination, exclusion, and injustices of algorithms.</w:t>
      </w:r>
      <w:r w:rsidR="00AF48DE" w:rsidRPr="000C638C">
        <w:rPr>
          <w:rFonts w:cstheme="minorHAnsi"/>
          <w:sz w:val="22"/>
          <w:szCs w:val="22"/>
        </w:rPr>
        <w:t xml:space="preserve"> </w:t>
      </w:r>
      <w:r w:rsidR="00175614" w:rsidRPr="000C638C">
        <w:rPr>
          <w:rFonts w:cstheme="minorHAnsi"/>
          <w:sz w:val="22"/>
          <w:szCs w:val="22"/>
        </w:rPr>
        <w:t xml:space="preserve">These three components offer a theory of </w:t>
      </w:r>
      <w:r w:rsidR="00AC7FF7" w:rsidRPr="000C638C">
        <w:rPr>
          <w:rFonts w:cstheme="minorHAnsi"/>
          <w:sz w:val="22"/>
          <w:szCs w:val="22"/>
        </w:rPr>
        <w:t xml:space="preserve">technology governance </w:t>
      </w:r>
      <w:r w:rsidR="00175614" w:rsidRPr="000C638C">
        <w:rPr>
          <w:rFonts w:cstheme="minorHAnsi"/>
          <w:sz w:val="22"/>
          <w:szCs w:val="22"/>
        </w:rPr>
        <w:t>that places human dignity and transcendental values above all else. Within this theory, the law and t</w:t>
      </w:r>
      <w:r w:rsidRPr="000C638C">
        <w:rPr>
          <w:rFonts w:cstheme="minorHAnsi"/>
          <w:sz w:val="22"/>
          <w:szCs w:val="22"/>
        </w:rPr>
        <w:t>echnological systems uphold the dignity of the human person and moral integrity, fostering</w:t>
      </w:r>
      <w:r w:rsidR="00175614" w:rsidRPr="000C638C">
        <w:rPr>
          <w:rFonts w:cstheme="minorHAnsi"/>
          <w:sz w:val="22"/>
          <w:szCs w:val="22"/>
        </w:rPr>
        <w:t xml:space="preserve"> human flourishing</w:t>
      </w:r>
      <w:r w:rsidRPr="000C638C">
        <w:rPr>
          <w:rFonts w:cstheme="minorHAnsi"/>
          <w:sz w:val="22"/>
          <w:szCs w:val="22"/>
        </w:rPr>
        <w:t xml:space="preserve"> </w:t>
      </w:r>
      <w:r w:rsidRPr="000C638C">
        <w:rPr>
          <w:rFonts w:cstheme="minorHAnsi"/>
          <w:sz w:val="22"/>
          <w:szCs w:val="22"/>
        </w:rPr>
        <w:fldChar w:fldCharType="begin" w:fldLock="1"/>
      </w:r>
      <w:r w:rsidR="00A50552">
        <w:rPr>
          <w:rFonts w:cstheme="minorHAnsi"/>
          <w:sz w:val="22"/>
          <w:szCs w:val="22"/>
        </w:rPr>
        <w:instrText>ADDIN CSL_CITATION {"citationItems":[{"id":"ITEM-1","itemData":{"DOI":"10.1016/j.jbusres.2020.11.030","ISSN":"01482963","abstract":"The technical and economic benefits of artificial intelligence (AI) are counterbalanced by legal, social and ethical issues. It is challenging to conceptually capture and empirically measure both benefits and downsides. We therefore provide an account of the findings and implications of a multi-dimensional study of AI, comprising 10 case studies, five scenarios, an ethical impact analysis of AI, a human rights analysis of AI and a technical analysis of known and potential threats and vulnerabilities. Based on our findings, we separate AI ethics discourse into three streams: (1) specific issues related to the application of machine learning, (2) social and political questions arising in a digitally enabled society and (3) metaphysical questions about the nature of reality and humanity. Human rights principles and legislation have a key role to play in addressing the ethics of AI. This work helps to steer AI to contribute to human flourishing.","author":[{"dropping-particle":"","family":"Stahl","given":"B.C.","non-dropping-particle":"","parse-names":false,"suffix":""},{"dropping-particle":"","family":"Andreou","given":"A.","non-dropping-particle":"","parse-names":false,"suffix":""},{"dropping-particle":"","family":"Brey","given":"P.","non-dropping-particle":"","parse-names":false,"suffix":""},{"dropping-particle":"","family":"Hatzakis","given":"T.","non-dropping-particle":"","parse-names":false,"suffix":""},{"dropping-particle":"","family":"Kirichenko","given":"A.","non-dropping-particle":"","parse-names":false,"suffix":""},{"dropping-particle":"","family":"Macnish","given":"K.","non-dropping-particle":"","parse-names":false,"suffix":""},{"dropping-particle":"","family":"Laulhé Shaelou","given":"S.","non-dropping-particle":"","parse-names":false,"suffix":""},{"dropping-particle":"","family":"Patel","given":"A.","non-dropping-particle":"","parse-names":false,"suffix":""},{"dropping-particle":"","family":"Ryan","given":"M.","non-dropping-particle":"","parse-names":false,"suffix":""},{"dropping-particle":"","family":"Wright","given":"D.","non-dropping-particle":"","parse-names":false,"suffix":""}],"container-title":"Journal of Business Research","id":"ITEM-1","issued":{"date-parts":[["2021","1","1"]]},"page":"374-388","publisher":"Elsevier Inc.","title":"Artificial intelligence for human flourishing – Beyond principles for machine learning","type":"article-journal","volume":"124"},"uris":["http://www.mendeley.com/documents/?uuid=324e6dd9-d52a-343e-b435-b06ba2e7b0d6"]}],"mendeley":{"formattedCitation":"(Stahl et al., 2021)","plainTextFormattedCitation":"(Stahl et al., 2021)","previouslyFormattedCitation":"(24)"},"properties":{"noteIndex":0},"schema":"https://github.com/citation-style-language/schema/raw/master/csl-citation.json"}</w:instrText>
      </w:r>
      <w:r w:rsidRPr="000C638C">
        <w:rPr>
          <w:rFonts w:cstheme="minorHAnsi"/>
          <w:sz w:val="22"/>
          <w:szCs w:val="22"/>
        </w:rPr>
        <w:fldChar w:fldCharType="separate"/>
      </w:r>
      <w:r w:rsidR="00A50552" w:rsidRPr="00A50552">
        <w:rPr>
          <w:rFonts w:cstheme="minorHAnsi"/>
          <w:noProof/>
          <w:sz w:val="22"/>
          <w:szCs w:val="22"/>
        </w:rPr>
        <w:t>(Stahl et al., 2021)</w:t>
      </w:r>
      <w:r w:rsidRPr="000C638C">
        <w:rPr>
          <w:rFonts w:cstheme="minorHAnsi"/>
          <w:sz w:val="22"/>
          <w:szCs w:val="22"/>
        </w:rPr>
        <w:fldChar w:fldCharType="end"/>
      </w:r>
      <w:r w:rsidR="00175614" w:rsidRPr="000C638C">
        <w:rPr>
          <w:rFonts w:cstheme="minorHAnsi"/>
          <w:sz w:val="22"/>
          <w:szCs w:val="22"/>
        </w:rPr>
        <w:t>.</w:t>
      </w:r>
    </w:p>
    <w:p w14:paraId="3AF18EDA" w14:textId="77777777" w:rsidR="00F50B8C" w:rsidRPr="000C638C" w:rsidRDefault="00F50B8C" w:rsidP="00AF48DE">
      <w:pPr>
        <w:spacing w:after="0"/>
        <w:ind w:left="900" w:firstLine="450"/>
        <w:jc w:val="both"/>
        <w:rPr>
          <w:rFonts w:cstheme="minorHAnsi"/>
          <w:sz w:val="22"/>
          <w:szCs w:val="22"/>
        </w:rPr>
      </w:pPr>
    </w:p>
    <w:p w14:paraId="00E6FC04" w14:textId="13E1002F" w:rsidR="00F50B8C" w:rsidRPr="000C638C" w:rsidRDefault="00F50B8C" w:rsidP="00153200">
      <w:pPr>
        <w:tabs>
          <w:tab w:val="left" w:pos="360"/>
        </w:tabs>
        <w:spacing w:after="0"/>
        <w:jc w:val="both"/>
        <w:rPr>
          <w:rFonts w:cstheme="minorHAnsi"/>
          <w:b/>
          <w:bCs/>
          <w:sz w:val="22"/>
          <w:szCs w:val="22"/>
        </w:rPr>
      </w:pPr>
      <w:r w:rsidRPr="000C638C">
        <w:rPr>
          <w:rFonts w:cstheme="minorHAnsi"/>
          <w:b/>
          <w:bCs/>
          <w:sz w:val="22"/>
          <w:szCs w:val="22"/>
        </w:rPr>
        <w:t xml:space="preserve">3. </w:t>
      </w:r>
      <w:r w:rsidR="00153200" w:rsidRPr="000C638C">
        <w:rPr>
          <w:rFonts w:cstheme="minorHAnsi"/>
          <w:b/>
          <w:bCs/>
          <w:sz w:val="22"/>
          <w:szCs w:val="22"/>
        </w:rPr>
        <w:tab/>
      </w:r>
      <w:r w:rsidRPr="000C638C">
        <w:rPr>
          <w:rFonts w:cstheme="minorHAnsi"/>
          <w:b/>
          <w:bCs/>
          <w:sz w:val="22"/>
          <w:szCs w:val="22"/>
        </w:rPr>
        <w:t>Method</w:t>
      </w:r>
    </w:p>
    <w:p w14:paraId="5DA822DD" w14:textId="61A7AB88" w:rsidR="00E7404F" w:rsidRPr="000C638C" w:rsidRDefault="00E7404F"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3.1. </w:t>
      </w:r>
      <w:r w:rsidR="00153200" w:rsidRPr="000C638C">
        <w:rPr>
          <w:rFonts w:cstheme="minorHAnsi"/>
          <w:b/>
          <w:bCs/>
          <w:sz w:val="22"/>
          <w:szCs w:val="22"/>
        </w:rPr>
        <w:tab/>
      </w:r>
      <w:r w:rsidRPr="000C638C">
        <w:rPr>
          <w:rFonts w:cstheme="minorHAnsi"/>
          <w:b/>
          <w:bCs/>
          <w:sz w:val="22"/>
          <w:szCs w:val="22"/>
        </w:rPr>
        <w:t>Research Design: Conceptual-Doctrinal Jurisprudential Inquiry</w:t>
      </w:r>
    </w:p>
    <w:p w14:paraId="164E5FB0" w14:textId="43732F03" w:rsidR="00E7404F" w:rsidRPr="000C638C" w:rsidRDefault="00E7404F" w:rsidP="00153200">
      <w:pPr>
        <w:spacing w:after="0"/>
        <w:ind w:left="900" w:firstLine="450"/>
        <w:jc w:val="both"/>
        <w:rPr>
          <w:rFonts w:cstheme="minorHAnsi"/>
          <w:sz w:val="22"/>
          <w:szCs w:val="22"/>
        </w:rPr>
      </w:pPr>
      <w:r w:rsidRPr="000C638C">
        <w:rPr>
          <w:rFonts w:cstheme="minorHAnsi"/>
          <w:sz w:val="22"/>
          <w:szCs w:val="22"/>
        </w:rPr>
        <w:t xml:space="preserve">This study employs a normative-philosophical legal research design, situated within the tradition of conceptual jurisprudence rather than empirical socio-legal inquiry. The choice of method follows directly from the nature of the research problem: the article does not ask how algorithmic governance currently </w:t>
      </w:r>
      <w:r w:rsidRPr="000C638C">
        <w:rPr>
          <w:rFonts w:cstheme="minorHAnsi"/>
          <w:i/>
          <w:iCs/>
          <w:sz w:val="22"/>
          <w:szCs w:val="22"/>
        </w:rPr>
        <w:t>operates</w:t>
      </w:r>
      <w:r w:rsidRPr="000C638C">
        <w:rPr>
          <w:rFonts w:cstheme="minorHAnsi"/>
          <w:sz w:val="22"/>
          <w:szCs w:val="22"/>
        </w:rPr>
        <w:t xml:space="preserve"> in practice — a question </w:t>
      </w:r>
      <w:r w:rsidR="00164149" w:rsidRPr="000C638C">
        <w:rPr>
          <w:rFonts w:cstheme="minorHAnsi"/>
          <w:sz w:val="22"/>
          <w:szCs w:val="22"/>
        </w:rPr>
        <w:t>best answered through empirical socio-legal research — but rather what jurisprudential foundations are available, missing, or inadequate for evaluating the compatibility of algorithmic governance</w:t>
      </w:r>
      <w:r w:rsidRPr="000C638C">
        <w:rPr>
          <w:rFonts w:cstheme="minorHAnsi"/>
          <w:sz w:val="22"/>
          <w:szCs w:val="22"/>
        </w:rPr>
        <w:t xml:space="preserve"> with human dignity. Conceptual legal research deals with abstract ideas, concepts, and theories, and is used by philosophers and jurists to develop new ideas, concepts, and theories, or to reinterpret existing ones — providing a rigorous philosophical explanation of concepts that develop within legal discourse. This is precisely the task the article undertakes: constructing Prophetic Legal Epistemology as a new conceptual apparatus through which the relationship </w:t>
      </w:r>
      <w:r w:rsidR="00164149" w:rsidRPr="000C638C">
        <w:rPr>
          <w:rFonts w:cstheme="minorHAnsi"/>
          <w:sz w:val="22"/>
          <w:szCs w:val="22"/>
        </w:rPr>
        <w:t>among transcendence, human dignity, and algorithmic power can be evaluated from a jurisprudential perspective</w:t>
      </w:r>
      <w:r w:rsidRPr="000C638C">
        <w:rPr>
          <w:rFonts w:cstheme="minorHAnsi"/>
          <w:sz w:val="22"/>
          <w:szCs w:val="22"/>
        </w:rPr>
        <w:t>.</w:t>
      </w:r>
    </w:p>
    <w:p w14:paraId="57B9AFE3" w14:textId="6BC0AF60" w:rsidR="00E7404F" w:rsidRPr="000C638C" w:rsidRDefault="00E7404F" w:rsidP="00153200">
      <w:pPr>
        <w:spacing w:after="0"/>
        <w:ind w:left="900" w:firstLine="450"/>
        <w:jc w:val="both"/>
        <w:rPr>
          <w:rFonts w:cstheme="minorHAnsi"/>
          <w:sz w:val="22"/>
          <w:szCs w:val="22"/>
        </w:rPr>
      </w:pPr>
      <w:r w:rsidRPr="000C638C">
        <w:rPr>
          <w:rFonts w:cstheme="minorHAnsi"/>
          <w:sz w:val="22"/>
          <w:szCs w:val="22"/>
        </w:rPr>
        <w:t xml:space="preserve">Because the inquiry operates at the level of legal philosophy rather than positive-law interpretation alone, the study follows a triangulated methodological approach that integrates three complementary perspectives identified in the legal-philosophical methodology literature: the philosophical, the doctrinal, and — to the extent </w:t>
      </w:r>
      <w:r w:rsidR="00153200" w:rsidRPr="000C638C">
        <w:rPr>
          <w:rFonts w:cstheme="minorHAnsi"/>
          <w:sz w:val="22"/>
          <w:szCs w:val="22"/>
        </w:rPr>
        <w:t>permitted by the existing AI governance literature</w:t>
      </w:r>
      <w:r w:rsidRPr="000C638C">
        <w:rPr>
          <w:rFonts w:cstheme="minorHAnsi"/>
          <w:sz w:val="22"/>
          <w:szCs w:val="22"/>
        </w:rPr>
        <w:t xml:space="preserve"> — the empirically informed. Legal philosophers' conceptual normative arguments often crucially depend on empirical or legal doctrinal claims that frequently remain underdeveloped; bringing these three approaches into deliberate methodological conversation — philosophical, doctrinal, and social-scientific — allows each to supply what the others cannot. Accordingly, the article's philosophical argument concerning transcendence and human dignity is continuously tested against (i) the doctrinal architecture of positivist jurisprudence (Hart, Kelsen, Raz), (ii) the doctrinal and policy literature on digital constitutionalism and AI ethics, and (iii) documented empirical instances of algorithmic governance failure reported in the computer law and AI ethics literature reviewed in Section 2.</w:t>
      </w:r>
    </w:p>
    <w:p w14:paraId="0A24D7BA" w14:textId="77777777" w:rsidR="00153200" w:rsidRPr="000C638C" w:rsidRDefault="00153200" w:rsidP="00153200">
      <w:pPr>
        <w:spacing w:after="0"/>
        <w:jc w:val="both"/>
        <w:rPr>
          <w:rFonts w:cstheme="minorHAnsi"/>
          <w:sz w:val="22"/>
          <w:szCs w:val="22"/>
        </w:rPr>
      </w:pPr>
    </w:p>
    <w:p w14:paraId="099D8636" w14:textId="3070BCAA" w:rsidR="00E7404F" w:rsidRPr="000C638C" w:rsidRDefault="00E7404F"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3.2. </w:t>
      </w:r>
      <w:r w:rsidR="00153200" w:rsidRPr="000C638C">
        <w:rPr>
          <w:rFonts w:cstheme="minorHAnsi"/>
          <w:b/>
          <w:bCs/>
          <w:sz w:val="22"/>
          <w:szCs w:val="22"/>
        </w:rPr>
        <w:tab/>
      </w:r>
      <w:r w:rsidRPr="000C638C">
        <w:rPr>
          <w:rFonts w:cstheme="minorHAnsi"/>
          <w:b/>
          <w:bCs/>
          <w:sz w:val="22"/>
          <w:szCs w:val="22"/>
        </w:rPr>
        <w:t>Sources of Legal and Philosophical Material</w:t>
      </w:r>
    </w:p>
    <w:p w14:paraId="08AFD421" w14:textId="093EEC1A" w:rsidR="0021570A" w:rsidRPr="000C638C" w:rsidRDefault="0021570A" w:rsidP="0021570A">
      <w:pPr>
        <w:spacing w:after="0"/>
        <w:ind w:left="900" w:firstLine="450"/>
        <w:jc w:val="both"/>
        <w:rPr>
          <w:rFonts w:cstheme="minorHAnsi"/>
          <w:sz w:val="22"/>
          <w:szCs w:val="22"/>
        </w:rPr>
      </w:pPr>
      <w:r w:rsidRPr="000C638C">
        <w:rPr>
          <w:rFonts w:cstheme="minorHAnsi"/>
          <w:sz w:val="22"/>
          <w:szCs w:val="22"/>
        </w:rPr>
        <w:t xml:space="preserve">Following the conventions of doctrinal legal research, this study employs two types of materials. Foundational texts or primary sources of the three positivist, digital constitutionalist, and AI ethics and social constructs traditions are the basis of this study. These include Hart’s </w:t>
      </w:r>
      <w:r w:rsidRPr="000C638C">
        <w:rPr>
          <w:rFonts w:cstheme="minorHAnsi"/>
          <w:i/>
          <w:sz w:val="22"/>
          <w:szCs w:val="22"/>
        </w:rPr>
        <w:t xml:space="preserve">The Concept of Law, </w:t>
      </w:r>
      <w:r w:rsidRPr="000C638C">
        <w:rPr>
          <w:rFonts w:cstheme="minorHAnsi"/>
          <w:sz w:val="22"/>
          <w:szCs w:val="22"/>
        </w:rPr>
        <w:t>Kelsen’s</w:t>
      </w:r>
      <w:r w:rsidRPr="000C638C">
        <w:rPr>
          <w:rFonts w:cstheme="minorHAnsi"/>
          <w:i/>
          <w:sz w:val="22"/>
          <w:szCs w:val="22"/>
        </w:rPr>
        <w:t xml:space="preserve"> Pure Theory of Law</w:t>
      </w:r>
      <w:r w:rsidRPr="000C638C">
        <w:rPr>
          <w:rFonts w:cstheme="minorHAnsi"/>
          <w:sz w:val="22"/>
          <w:szCs w:val="22"/>
        </w:rPr>
        <w:t xml:space="preserve">, and the works of Joseph Raz; Celeste, De Gregorio, and Brownsword on digital constitutionalism; and Floridi, Binns, and Cath. Kuntowijoyo’s </w:t>
      </w:r>
      <w:r w:rsidRPr="000C638C">
        <w:rPr>
          <w:rFonts w:cstheme="minorHAnsi"/>
          <w:i/>
          <w:sz w:val="22"/>
          <w:szCs w:val="22"/>
        </w:rPr>
        <w:t>Ilmu Sosial Profetik</w:t>
      </w:r>
      <w:r w:rsidRPr="000C638C">
        <w:rPr>
          <w:rFonts w:cstheme="minorHAnsi"/>
          <w:sz w:val="22"/>
          <w:szCs w:val="22"/>
        </w:rPr>
        <w:t xml:space="preserve"> (Prophetic Social Science) and Wardiono’s scholarship on Prophetic Jurisprudence are the main sources for the proposed epistemology and its applicable social and legal theory, respectively.</w:t>
      </w:r>
    </w:p>
    <w:p w14:paraId="737BB9CD" w14:textId="5CB5F46C" w:rsidR="00974958" w:rsidRPr="000C638C" w:rsidRDefault="00C4103D" w:rsidP="00C4103D">
      <w:pPr>
        <w:spacing w:after="0"/>
        <w:ind w:left="900" w:firstLine="450"/>
        <w:jc w:val="both"/>
        <w:rPr>
          <w:rFonts w:cstheme="minorHAnsi"/>
          <w:sz w:val="22"/>
          <w:szCs w:val="22"/>
        </w:rPr>
      </w:pPr>
      <w:r w:rsidRPr="000C638C">
        <w:rPr>
          <w:rFonts w:cstheme="minorHAnsi"/>
          <w:sz w:val="22"/>
          <w:szCs w:val="22"/>
        </w:rPr>
        <w:t xml:space="preserve">Scholarly articles published in the period between 2020 and 2026 in the fields of AI governance and control, accountability of algorithms, digital constitutionalism, and comparative jurisprudence, and found via systematic searches in the Scopus-indexed journals </w:t>
      </w:r>
      <w:r w:rsidRPr="000C638C">
        <w:rPr>
          <w:rFonts w:cstheme="minorHAnsi"/>
          <w:i/>
          <w:sz w:val="22"/>
          <w:szCs w:val="22"/>
        </w:rPr>
        <w:t>Computer Law &amp; Security Review, AI and Ethics, Regulation &amp; Governance, Big Data &amp; Society, and Philosophy &amp; Technology</w:t>
      </w:r>
      <w:r w:rsidRPr="000C638C">
        <w:rPr>
          <w:rFonts w:cstheme="minorHAnsi"/>
          <w:sz w:val="22"/>
          <w:szCs w:val="22"/>
        </w:rPr>
        <w:t xml:space="preserve"> constitute the secondary sources. These sources serve an evidentiary role </w:t>
      </w:r>
      <w:r w:rsidR="00DB6F9C" w:rsidRPr="000C638C">
        <w:rPr>
          <w:rFonts w:cstheme="minorHAnsi"/>
          <w:sz w:val="22"/>
          <w:szCs w:val="22"/>
        </w:rPr>
        <w:t xml:space="preserve">distinct from that of </w:t>
      </w:r>
      <w:r w:rsidRPr="000C638C">
        <w:rPr>
          <w:rFonts w:cstheme="minorHAnsi"/>
          <w:sz w:val="22"/>
          <w:szCs w:val="22"/>
        </w:rPr>
        <w:t>the primary conceptual sources. These sources do not serve as subjects of philosophical analysis</w:t>
      </w:r>
      <w:r w:rsidR="00DB6F9C" w:rsidRPr="000C638C">
        <w:rPr>
          <w:rFonts w:cstheme="minorHAnsi"/>
          <w:sz w:val="22"/>
          <w:szCs w:val="22"/>
        </w:rPr>
        <w:t xml:space="preserve"> but rather exemplify cases in which</w:t>
      </w:r>
      <w:r w:rsidRPr="000C638C">
        <w:rPr>
          <w:rFonts w:cstheme="minorHAnsi"/>
          <w:sz w:val="22"/>
          <w:szCs w:val="22"/>
        </w:rPr>
        <w:t xml:space="preserve"> algorithmic governance has failed, against which the explanatory power of existing jurisprudential frameworks</w:t>
      </w:r>
      <w:r w:rsidR="00A50552">
        <w:rPr>
          <w:rFonts w:cstheme="minorHAnsi"/>
          <w:sz w:val="22"/>
          <w:szCs w:val="22"/>
        </w:rPr>
        <w:t xml:space="preserve"> and, later on, Prophetic Legal Epistemology</w:t>
      </w:r>
      <w:r w:rsidRPr="000C638C">
        <w:rPr>
          <w:rFonts w:cstheme="minorHAnsi"/>
          <w:sz w:val="22"/>
          <w:szCs w:val="22"/>
        </w:rPr>
        <w:t xml:space="preserve"> is evaluated.</w:t>
      </w:r>
    </w:p>
    <w:p w14:paraId="2C7EE954" w14:textId="2F3772CB" w:rsidR="00E7404F" w:rsidRPr="000C638C" w:rsidRDefault="00E7404F" w:rsidP="00974958">
      <w:pPr>
        <w:tabs>
          <w:tab w:val="left" w:pos="900"/>
        </w:tabs>
        <w:spacing w:after="0"/>
        <w:ind w:left="360"/>
        <w:jc w:val="both"/>
        <w:rPr>
          <w:rFonts w:cstheme="minorHAnsi"/>
          <w:b/>
          <w:bCs/>
          <w:sz w:val="22"/>
          <w:szCs w:val="22"/>
        </w:rPr>
      </w:pPr>
      <w:r w:rsidRPr="000C638C">
        <w:rPr>
          <w:rFonts w:cstheme="minorHAnsi"/>
          <w:b/>
          <w:bCs/>
          <w:sz w:val="22"/>
          <w:szCs w:val="22"/>
        </w:rPr>
        <w:t xml:space="preserve">3.3. </w:t>
      </w:r>
      <w:r w:rsidR="00974958" w:rsidRPr="000C638C">
        <w:rPr>
          <w:rFonts w:cstheme="minorHAnsi"/>
          <w:b/>
          <w:bCs/>
          <w:sz w:val="22"/>
          <w:szCs w:val="22"/>
        </w:rPr>
        <w:tab/>
      </w:r>
      <w:r w:rsidRPr="000C638C">
        <w:rPr>
          <w:rFonts w:cstheme="minorHAnsi"/>
          <w:b/>
          <w:bCs/>
          <w:sz w:val="22"/>
          <w:szCs w:val="22"/>
        </w:rPr>
        <w:t>Analytical Procedure: Conceptual Reconstruction Through Three Stages</w:t>
      </w:r>
    </w:p>
    <w:p w14:paraId="1BCA0D1D" w14:textId="77777777" w:rsidR="00E7404F" w:rsidRPr="000C638C" w:rsidRDefault="00E7404F" w:rsidP="00153200">
      <w:pPr>
        <w:spacing w:after="0"/>
        <w:ind w:left="900" w:firstLine="450"/>
        <w:jc w:val="both"/>
        <w:rPr>
          <w:rFonts w:cstheme="minorHAnsi"/>
          <w:sz w:val="22"/>
          <w:szCs w:val="22"/>
        </w:rPr>
      </w:pPr>
      <w:r w:rsidRPr="000C638C">
        <w:rPr>
          <w:rFonts w:cstheme="minorHAnsi"/>
          <w:sz w:val="22"/>
          <w:szCs w:val="22"/>
        </w:rPr>
        <w:t>The analysis proceeds through three sequential stages, each corresponding to one of the article's three research questions.</w:t>
      </w:r>
    </w:p>
    <w:p w14:paraId="3165E3F5" w14:textId="479B4B05" w:rsidR="00E7404F" w:rsidRPr="000C638C" w:rsidRDefault="00E7404F" w:rsidP="00153200">
      <w:pPr>
        <w:spacing w:after="0"/>
        <w:ind w:left="900" w:firstLine="450"/>
        <w:jc w:val="both"/>
        <w:rPr>
          <w:rFonts w:cstheme="minorHAnsi"/>
          <w:sz w:val="22"/>
          <w:szCs w:val="22"/>
        </w:rPr>
      </w:pPr>
      <w:r w:rsidRPr="000C638C">
        <w:rPr>
          <w:rFonts w:cstheme="minorHAnsi"/>
          <w:sz w:val="22"/>
          <w:szCs w:val="22"/>
        </w:rPr>
        <w:t xml:space="preserve">Stage One — Diagnostic Conceptual Analysis (addressing RQ2). </w:t>
      </w:r>
      <w:r w:rsidR="00C4103D" w:rsidRPr="000C638C">
        <w:rPr>
          <w:rFonts w:cstheme="minorHAnsi"/>
          <w:sz w:val="22"/>
          <w:szCs w:val="22"/>
          <w:shd w:val="clear" w:color="auto" w:fill="FFFFFF"/>
        </w:rPr>
        <w:t xml:space="preserve">In this phase of the study, the frameworks of positivist jurisprudence, digital constitutionalism, and AI ethics </w:t>
      </w:r>
      <w:r w:rsidR="00A50552">
        <w:rPr>
          <w:rFonts w:cstheme="minorHAnsi"/>
          <w:sz w:val="22"/>
          <w:szCs w:val="22"/>
          <w:shd w:val="clear" w:color="auto" w:fill="FFFFFF"/>
        </w:rPr>
        <w:t>are subjected t</w:t>
      </w:r>
      <w:r w:rsidR="00DB6F9C" w:rsidRPr="000C638C">
        <w:rPr>
          <w:rFonts w:cstheme="minorHAnsi"/>
          <w:sz w:val="22"/>
          <w:szCs w:val="22"/>
          <w:shd w:val="clear" w:color="auto" w:fill="FFFFFF"/>
        </w:rPr>
        <w:t>o</w:t>
      </w:r>
      <w:r w:rsidR="00C4103D" w:rsidRPr="000C638C">
        <w:rPr>
          <w:rFonts w:cstheme="minorHAnsi"/>
          <w:sz w:val="22"/>
          <w:szCs w:val="22"/>
          <w:shd w:val="clear" w:color="auto" w:fill="FFFFFF"/>
        </w:rPr>
        <w:t xml:space="preserve"> conceptual analysis. That allows for an understanding of the particular </w:t>
      </w:r>
      <w:r w:rsidR="00DB6F9C" w:rsidRPr="000C638C">
        <w:rPr>
          <w:rFonts w:cstheme="minorHAnsi"/>
          <w:sz w:val="22"/>
          <w:szCs w:val="22"/>
          <w:shd w:val="clear" w:color="auto" w:fill="FFFFFF"/>
        </w:rPr>
        <w:t xml:space="preserve">limitations of each framework in </w:t>
      </w:r>
      <w:r w:rsidR="00C4103D" w:rsidRPr="000C638C">
        <w:rPr>
          <w:rFonts w:cstheme="minorHAnsi"/>
          <w:sz w:val="22"/>
          <w:szCs w:val="22"/>
          <w:shd w:val="clear" w:color="auto" w:fill="FFFFFF"/>
        </w:rPr>
        <w:t>addressing the challenges posed by algorithmic governance. Following the method of immanent critique, this phase of the study does not seek to reject the frameworks under review, but rather to work within the boundaries of the</w:t>
      </w:r>
      <w:r w:rsidR="00A50552">
        <w:rPr>
          <w:rFonts w:cstheme="minorHAnsi"/>
          <w:sz w:val="22"/>
          <w:szCs w:val="22"/>
          <w:shd w:val="clear" w:color="auto" w:fill="FFFFFF"/>
        </w:rPr>
        <w:t>ir stated principles to pinpoint their</w:t>
      </w:r>
      <w:r w:rsidR="00C4103D" w:rsidRPr="000C638C">
        <w:rPr>
          <w:rFonts w:cstheme="minorHAnsi"/>
          <w:sz w:val="22"/>
          <w:szCs w:val="22"/>
          <w:shd w:val="clear" w:color="auto" w:fill="FFFFFF"/>
        </w:rPr>
        <w:t xml:space="preserve"> failures. In this case, the failure to account for algorithmic governance within the frameworks of positivist jurisprudence, digital constitutionalism, and AI ethics is analyzed in the context of procedural legitimacy and the violation of human dignity in various forms. This phase of the study is not concerned with developing a new theory, but rather with </w:t>
      </w:r>
      <w:r w:rsidR="00DB6F9C" w:rsidRPr="000C638C">
        <w:rPr>
          <w:rFonts w:cstheme="minorHAnsi"/>
          <w:sz w:val="22"/>
          <w:szCs w:val="22"/>
          <w:shd w:val="clear" w:color="auto" w:fill="FFFFFF"/>
        </w:rPr>
        <w:t>identifying an explanatory gap whose closure is a necessary prerequisite for justifying the theoretical contribution described in the next phase</w:t>
      </w:r>
      <w:r w:rsidR="00C4103D" w:rsidRPr="000C638C">
        <w:rPr>
          <w:rFonts w:cstheme="minorHAnsi"/>
          <w:sz w:val="22"/>
          <w:szCs w:val="22"/>
          <w:shd w:val="clear" w:color="auto" w:fill="FFFFFF"/>
        </w:rPr>
        <w:t>.</w:t>
      </w:r>
    </w:p>
    <w:p w14:paraId="2CE7005A" w14:textId="477B5DD1" w:rsidR="00E7404F" w:rsidRPr="000C638C" w:rsidRDefault="00E7404F" w:rsidP="00153200">
      <w:pPr>
        <w:spacing w:after="0"/>
        <w:ind w:left="900" w:firstLine="450"/>
        <w:jc w:val="both"/>
        <w:rPr>
          <w:rFonts w:cstheme="minorHAnsi"/>
          <w:sz w:val="22"/>
          <w:szCs w:val="22"/>
        </w:rPr>
      </w:pPr>
      <w:r w:rsidRPr="000C638C">
        <w:rPr>
          <w:rFonts w:cstheme="minorHAnsi"/>
          <w:sz w:val="22"/>
          <w:szCs w:val="22"/>
        </w:rPr>
        <w:t xml:space="preserve">Stage Two — Conceptual Construction (addressing RQ1). </w:t>
      </w:r>
      <w:r w:rsidR="00DB6F9C" w:rsidRPr="000C638C">
        <w:rPr>
          <w:rFonts w:cstheme="minorHAnsi"/>
          <w:sz w:val="22"/>
          <w:szCs w:val="22"/>
          <w:shd w:val="clear" w:color="auto" w:fill="FFFFFF"/>
        </w:rPr>
        <w:t>Building on the gap identified in Stage One, this study proposes the construct of Prophetic Legal Epistemology, derived from theoretical synthesis, particularly</w:t>
      </w:r>
      <w:r w:rsidR="00C4103D" w:rsidRPr="000C638C">
        <w:rPr>
          <w:rFonts w:cstheme="minorHAnsi"/>
          <w:sz w:val="22"/>
          <w:szCs w:val="22"/>
          <w:shd w:val="clear" w:color="auto" w:fill="FFFFFF"/>
        </w:rPr>
        <w:t xml:space="preserve"> </w:t>
      </w:r>
      <w:r w:rsidR="00DB6F9C" w:rsidRPr="000C638C">
        <w:rPr>
          <w:rFonts w:cstheme="minorHAnsi"/>
          <w:sz w:val="22"/>
          <w:szCs w:val="22"/>
          <w:shd w:val="clear" w:color="auto" w:fill="FFFFFF"/>
        </w:rPr>
        <w:t>from Kuntowijoyo's three-part framework of prophetic social science:</w:t>
      </w:r>
      <w:r w:rsidR="00C4103D" w:rsidRPr="000C638C">
        <w:rPr>
          <w:rFonts w:cstheme="minorHAnsi"/>
          <w:sz w:val="22"/>
          <w:szCs w:val="22"/>
          <w:shd w:val="clear" w:color="auto" w:fill="FFFFFF"/>
        </w:rPr>
        <w:t xml:space="preserve"> transcendence, humanization, and liberation. This framework is translated from social science into a legal context. This translation is accomplished through conceptual mapping, and</w:t>
      </w:r>
      <w:r w:rsidR="00DB6F9C" w:rsidRPr="000C638C">
        <w:rPr>
          <w:rFonts w:cstheme="minorHAnsi"/>
          <w:sz w:val="22"/>
          <w:szCs w:val="22"/>
          <w:shd w:val="clear" w:color="auto" w:fill="FFFFFF"/>
        </w:rPr>
        <w:t xml:space="preserve"> thus Kuntowijoyo’s framework is reformulated as a criterion of legal validity that is complementary to, and not merely supplementary to</w:t>
      </w:r>
      <w:r w:rsidR="00C4103D" w:rsidRPr="000C638C">
        <w:rPr>
          <w:rFonts w:cstheme="minorHAnsi"/>
          <w:sz w:val="22"/>
          <w:szCs w:val="22"/>
          <w:shd w:val="clear" w:color="auto" w:fill="FFFFFF"/>
        </w:rPr>
        <w:t xml:space="preserve">, procedural legality. This framework is </w:t>
      </w:r>
      <w:r w:rsidR="00C4103D" w:rsidRPr="000C638C">
        <w:rPr>
          <w:rFonts w:cstheme="minorHAnsi"/>
          <w:sz w:val="22"/>
          <w:szCs w:val="22"/>
          <w:shd w:val="clear" w:color="auto" w:fill="FFFFFF"/>
        </w:rPr>
        <w:lastRenderedPageBreak/>
        <w:t xml:space="preserve">then formalized into a set of testable theoretical propositions, </w:t>
      </w:r>
      <w:r w:rsidR="00A50552">
        <w:rPr>
          <w:rFonts w:cstheme="minorHAnsi"/>
          <w:sz w:val="22"/>
          <w:szCs w:val="22"/>
          <w:shd w:val="clear" w:color="auto" w:fill="FFFFFF"/>
        </w:rPr>
        <w:t>presented</w:t>
      </w:r>
      <w:r w:rsidR="00C4103D" w:rsidRPr="000C638C">
        <w:rPr>
          <w:rFonts w:cstheme="minorHAnsi"/>
          <w:sz w:val="22"/>
          <w:szCs w:val="22"/>
          <w:shd w:val="clear" w:color="auto" w:fill="FFFFFF"/>
        </w:rPr>
        <w:t xml:space="preserve"> in Section 4</w:t>
      </w:r>
      <w:r w:rsidR="00DB6F9C" w:rsidRPr="000C638C">
        <w:rPr>
          <w:rFonts w:cstheme="minorHAnsi"/>
          <w:sz w:val="22"/>
          <w:szCs w:val="22"/>
          <w:shd w:val="clear" w:color="auto" w:fill="FFFFFF"/>
        </w:rPr>
        <w:t>. It specifies</w:t>
      </w:r>
      <w:r w:rsidR="00C4103D" w:rsidRPr="000C638C">
        <w:rPr>
          <w:rFonts w:cstheme="minorHAnsi"/>
          <w:sz w:val="22"/>
          <w:szCs w:val="22"/>
          <w:shd w:val="clear" w:color="auto" w:fill="FFFFFF"/>
        </w:rPr>
        <w:t xml:space="preserve"> the formal, observable criteria under which </w:t>
      </w:r>
      <w:r w:rsidR="00DB6F9C" w:rsidRPr="000C638C">
        <w:rPr>
          <w:rFonts w:cstheme="minorHAnsi"/>
          <w:sz w:val="22"/>
          <w:szCs w:val="22"/>
          <w:shd w:val="clear" w:color="auto" w:fill="FFFFFF"/>
        </w:rPr>
        <w:t>algorithmic governance can be construed as legally justifiable and legitimate within the framework</w:t>
      </w:r>
      <w:r w:rsidR="00C4103D" w:rsidRPr="000C638C">
        <w:rPr>
          <w:rFonts w:cstheme="minorHAnsi"/>
          <w:sz w:val="22"/>
          <w:szCs w:val="22"/>
          <w:shd w:val="clear" w:color="auto" w:fill="FFFFFF"/>
        </w:rPr>
        <w:t xml:space="preserve"> of this proposed legal epistemology.</w:t>
      </w:r>
    </w:p>
    <w:p w14:paraId="7CBD80DC" w14:textId="01636D7B" w:rsidR="00164149" w:rsidRPr="000C638C" w:rsidRDefault="00E7404F" w:rsidP="00974958">
      <w:pPr>
        <w:spacing w:after="0"/>
        <w:ind w:left="900" w:firstLine="450"/>
        <w:jc w:val="both"/>
        <w:rPr>
          <w:rFonts w:cstheme="minorHAnsi"/>
          <w:sz w:val="22"/>
          <w:szCs w:val="22"/>
        </w:rPr>
      </w:pPr>
      <w:r w:rsidRPr="000C638C">
        <w:rPr>
          <w:rFonts w:cstheme="minorHAnsi"/>
          <w:sz w:val="22"/>
          <w:szCs w:val="22"/>
        </w:rPr>
        <w:t xml:space="preserve">Stage Three — Comparative Evaluation (addressing RQ3). </w:t>
      </w:r>
      <w:r w:rsidR="00F81B40" w:rsidRPr="000C638C">
        <w:rPr>
          <w:rFonts w:cstheme="minorHAnsi"/>
          <w:sz w:val="22"/>
          <w:szCs w:val="22"/>
          <w:shd w:val="clear" w:color="auto" w:fill="FFFFFF"/>
        </w:rPr>
        <w:t xml:space="preserve">This final stage evaluates the propositions from Stage Two, using a structured comparative </w:t>
      </w:r>
      <w:r w:rsidR="00F81B40" w:rsidRPr="000C638C">
        <w:rPr>
          <w:rFonts w:cstheme="minorHAnsi"/>
          <w:sz w:val="22"/>
          <w:szCs w:val="22"/>
        </w:rPr>
        <w:t>matrix</w:t>
      </w:r>
      <w:r w:rsidR="00F81B40" w:rsidRPr="000C638C">
        <w:rPr>
          <w:rFonts w:cstheme="minorHAnsi"/>
          <w:sz w:val="22"/>
          <w:szCs w:val="22"/>
          <w:shd w:val="clear" w:color="auto" w:fill="FFFFFF"/>
        </w:rPr>
        <w:t xml:space="preserve"> against the three existing frameworks described in Stage One. This comparative matrix examines each framework — including Prophetic Legal Epistemology — across four distinct criteria: (i) source of normative authority, (ii) the distinction of procedural and substantive validity, (iii) the ability to tackle the problem of algorithmic decision-making in particular, and (iv) the ability to be enacted in practice. This comparative approach does not seek to show that existing frameworks are inadequate, but </w:t>
      </w:r>
      <w:r w:rsidR="00DB6F9C" w:rsidRPr="000C638C">
        <w:rPr>
          <w:rFonts w:cstheme="minorHAnsi"/>
          <w:sz w:val="22"/>
          <w:szCs w:val="22"/>
          <w:shd w:val="clear" w:color="auto" w:fill="FFFFFF"/>
        </w:rPr>
        <w:t xml:space="preserve">rather to demonstrate the unique contribution of Prophetic Legal Epistemology, which </w:t>
      </w:r>
      <w:r w:rsidR="000C638C" w:rsidRPr="000C638C">
        <w:rPr>
          <w:rFonts w:cstheme="minorHAnsi"/>
          <w:sz w:val="22"/>
          <w:szCs w:val="22"/>
          <w:shd w:val="clear" w:color="auto" w:fill="FFFFFF"/>
        </w:rPr>
        <w:t xml:space="preserve">is found nowhere else in positivist jurisprudence, digital constitutionalism, or AI ethics, whether </w:t>
      </w:r>
      <w:r w:rsidR="00F81B40" w:rsidRPr="000C638C">
        <w:rPr>
          <w:rFonts w:cstheme="minorHAnsi"/>
          <w:sz w:val="22"/>
          <w:szCs w:val="22"/>
          <w:shd w:val="clear" w:color="auto" w:fill="FFFFFF"/>
        </w:rPr>
        <w:t>individually or collectively.</w:t>
      </w:r>
    </w:p>
    <w:p w14:paraId="26AAD067" w14:textId="1E489B5F" w:rsidR="00E7404F" w:rsidRPr="000C638C" w:rsidRDefault="00E7404F" w:rsidP="00164149">
      <w:pPr>
        <w:tabs>
          <w:tab w:val="left" w:pos="900"/>
        </w:tabs>
        <w:spacing w:after="0"/>
        <w:ind w:left="360"/>
        <w:jc w:val="both"/>
        <w:rPr>
          <w:rFonts w:cstheme="minorHAnsi"/>
          <w:b/>
          <w:bCs/>
          <w:sz w:val="22"/>
          <w:szCs w:val="22"/>
        </w:rPr>
      </w:pPr>
      <w:r w:rsidRPr="000C638C">
        <w:rPr>
          <w:rFonts w:cstheme="minorHAnsi"/>
          <w:b/>
          <w:bCs/>
          <w:sz w:val="22"/>
          <w:szCs w:val="22"/>
        </w:rPr>
        <w:t xml:space="preserve">3.4. </w:t>
      </w:r>
      <w:r w:rsidR="00164149" w:rsidRPr="000C638C">
        <w:rPr>
          <w:rFonts w:cstheme="minorHAnsi"/>
          <w:b/>
          <w:bCs/>
          <w:sz w:val="22"/>
          <w:szCs w:val="22"/>
        </w:rPr>
        <w:tab/>
      </w:r>
      <w:r w:rsidRPr="000C638C">
        <w:rPr>
          <w:rFonts w:cstheme="minorHAnsi"/>
          <w:b/>
          <w:bCs/>
          <w:sz w:val="22"/>
          <w:szCs w:val="22"/>
        </w:rPr>
        <w:t>Methodological Limitations</w:t>
      </w:r>
    </w:p>
    <w:p w14:paraId="2087F108" w14:textId="2053D89D" w:rsidR="00F50B8C" w:rsidRPr="000C638C" w:rsidRDefault="00E7404F" w:rsidP="00741803">
      <w:pPr>
        <w:spacing w:after="0"/>
        <w:ind w:left="900" w:firstLine="450"/>
        <w:jc w:val="both"/>
        <w:rPr>
          <w:rFonts w:cstheme="minorHAnsi"/>
          <w:sz w:val="22"/>
          <w:szCs w:val="22"/>
        </w:rPr>
      </w:pPr>
      <w:r w:rsidRPr="000C638C">
        <w:rPr>
          <w:rFonts w:cstheme="minorHAnsi"/>
          <w:sz w:val="22"/>
          <w:szCs w:val="22"/>
        </w:rPr>
        <w:t>Two limitations are acknowledged. First, as a work of conceptual jurisprudence, this study does not generate or analyze original empirical data on algorithmic governance outcomes; its empirical claims rely on secondary documentation in the literature reviewed in Section 2, and the propositions advanced in Section 4 are accordingly framed as testable hypotheses for subsequent empirical or doctrinal research rather than as empirically validated findings. Second, the translation of Kuntowijoyo's prophetic social science — a framework developed within Islamic social-scientific discourse — into a general jurisprudential epistemology raises a question of conceptual transferability that the study addresses explicitly in Section 4.3, but does not claim to resolve definitively; the propositions are offered as a contribution to a continuing theoretical conversation rather than as a closed system.</w:t>
      </w:r>
    </w:p>
    <w:p w14:paraId="1C09E0F8" w14:textId="77777777" w:rsidR="00175614" w:rsidRPr="000C638C" w:rsidRDefault="00175614" w:rsidP="00175614">
      <w:pPr>
        <w:spacing w:after="0"/>
        <w:jc w:val="both"/>
        <w:rPr>
          <w:rFonts w:cstheme="minorHAnsi"/>
          <w:sz w:val="22"/>
          <w:szCs w:val="22"/>
        </w:rPr>
      </w:pPr>
    </w:p>
    <w:p w14:paraId="7CAF74B3" w14:textId="6A905AA5" w:rsidR="00830D40" w:rsidRPr="000C638C" w:rsidRDefault="00830D40" w:rsidP="00153200">
      <w:pPr>
        <w:tabs>
          <w:tab w:val="left" w:pos="360"/>
        </w:tabs>
        <w:spacing w:after="0"/>
        <w:jc w:val="both"/>
        <w:rPr>
          <w:rFonts w:cstheme="minorHAnsi"/>
          <w:b/>
          <w:bCs/>
          <w:sz w:val="22"/>
          <w:szCs w:val="22"/>
        </w:rPr>
      </w:pPr>
      <w:r w:rsidRPr="000C638C">
        <w:rPr>
          <w:rFonts w:cstheme="minorHAnsi"/>
          <w:b/>
          <w:bCs/>
          <w:sz w:val="22"/>
          <w:szCs w:val="22"/>
        </w:rPr>
        <w:t xml:space="preserve">4. </w:t>
      </w:r>
      <w:r w:rsidR="00153200" w:rsidRPr="000C638C">
        <w:rPr>
          <w:rFonts w:cstheme="minorHAnsi"/>
          <w:b/>
          <w:bCs/>
          <w:sz w:val="22"/>
          <w:szCs w:val="22"/>
        </w:rPr>
        <w:tab/>
      </w:r>
      <w:r w:rsidRPr="000C638C">
        <w:rPr>
          <w:rFonts w:cstheme="minorHAnsi"/>
          <w:b/>
          <w:bCs/>
          <w:sz w:val="22"/>
          <w:szCs w:val="22"/>
        </w:rPr>
        <w:t>Results and Discussion</w:t>
      </w:r>
    </w:p>
    <w:p w14:paraId="721CE758" w14:textId="5956BE48" w:rsidR="00830D40" w:rsidRPr="000C638C" w:rsidRDefault="00830D40"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4.1. </w:t>
      </w:r>
      <w:r w:rsidR="00153200" w:rsidRPr="000C638C">
        <w:rPr>
          <w:rFonts w:cstheme="minorHAnsi"/>
          <w:b/>
          <w:bCs/>
          <w:sz w:val="22"/>
          <w:szCs w:val="22"/>
        </w:rPr>
        <w:tab/>
      </w:r>
      <w:r w:rsidRPr="000C638C">
        <w:rPr>
          <w:rFonts w:cstheme="minorHAnsi"/>
          <w:b/>
          <w:bCs/>
          <w:sz w:val="22"/>
          <w:szCs w:val="22"/>
        </w:rPr>
        <w:t>The Crisis of Human Dignity in Algorithmic Governance</w:t>
      </w:r>
    </w:p>
    <w:p w14:paraId="3B560800" w14:textId="404590E1" w:rsidR="00175614" w:rsidRPr="000C638C" w:rsidRDefault="00175614" w:rsidP="00153200">
      <w:pPr>
        <w:spacing w:after="0"/>
        <w:ind w:left="900" w:firstLine="450"/>
        <w:jc w:val="both"/>
        <w:rPr>
          <w:rFonts w:cstheme="minorHAnsi"/>
          <w:sz w:val="22"/>
          <w:szCs w:val="22"/>
        </w:rPr>
      </w:pPr>
      <w:r w:rsidRPr="000C638C">
        <w:rPr>
          <w:rFonts w:cstheme="minorHAnsi"/>
          <w:sz w:val="22"/>
          <w:szCs w:val="22"/>
        </w:rPr>
        <w:t>Artificial intelligence, big data, and automated decision-making systems are starting to change systems of legal authority in Society 5.0. In many cases, decisions that used to be made by civil servants, judges, or policymakers will be made by algorithms</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{"citationItems":[{"id":"ITEM-1","itemData":{"DOI":"10.1093/ppmgov/gvac008","ISSN":"2398-4910","abstract":"&lt;p&gt;Algorithmic decision-making in government has emerged rapidly in recent years, leading to a surge in attention for this topic by scholars from various fields, including public administration. Recent studies provide crucial yet fragmented insights on how the use of algorithms to support or fully automate decisions is transforming government. This article ties together these insights by applying the theoretical lenses of government legitimacy and institutional design. We identify how algorithmic decision-making challenges three types of legitimacy—input, throughput, and output—and identify institutional arrangements that can mitigate these threats. We argue that there is no silver bullet to maintain legitimacy of algorithmic government and that a multiplicity of different institutional mechanisms is required, ranging from legal structures and civic participation to closer monitoring of algorithmic systems. We conclude with a framework to guide future research to better understand the implications of institutional design for the legitimacy of algorithmic government.&lt;/p&gt;","author":[{"dropping-particle":"","family":"Grimmelikhuijsen","given":"Stephan","non-dropping-particle":"","parse-names":false,"suffix":""},{"dropping-particle":"","family":"Meijer","given":"Albert","non-dropping-particle":"","parse-names":false,"suffix":""}],"container-title":"Perspectives on Public Management and Governance","id":"ITEM-1","issue":"3","issued":{"date-parts":[["2022","8","26"]]},"page":"232-242","publisher":"Oxford University Press","title":"Legitimacy of Algorithmic Decision-Making: Six Threats and the Need for a Calibrated Institutional Response","type":"article-journal","volume":"5"},"uris":["http://www.mendeley.com/documents/?uuid=a98d5192-d357-3fc6-b571-977df33cd4de"]}],"mendeley":{"formattedCitation":"(Grimmelikhuijsen &amp; Meijer, 2022)","plainTextFormattedCitation":"(Grimmelikhuijsen &amp; Meijer, 2022)","previouslyFormattedCitation":"(7)"},"properties":{"noteIndex":0},"schema":"https://github.com/citation-style-language/schema/raw/master/csl-citation.json"}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(Grimmelikhuijsen &amp; Meijer, 2022)</w:t>
      </w:r>
      <w:r w:rsidR="00741803" w:rsidRPr="000C638C">
        <w:rPr>
          <w:rFonts w:cstheme="minorHAnsi"/>
          <w:sz w:val="22"/>
          <w:szCs w:val="22"/>
        </w:rPr>
        <w:fldChar w:fldCharType="end"/>
      </w:r>
      <w:r w:rsidRPr="000C638C">
        <w:rPr>
          <w:rFonts w:cstheme="minorHAnsi"/>
          <w:sz w:val="22"/>
          <w:szCs w:val="22"/>
        </w:rPr>
        <w:t xml:space="preserve">. Even though these developments could mean decisions are made </w:t>
      </w:r>
      <w:r w:rsidR="00153200" w:rsidRPr="000C638C">
        <w:rPr>
          <w:rFonts w:cstheme="minorHAnsi"/>
          <w:sz w:val="22"/>
          <w:szCs w:val="22"/>
        </w:rPr>
        <w:t>more quickly and with fewer errors, they raise important legal and ethical questions about</w:t>
      </w:r>
      <w:r w:rsidRPr="000C638C">
        <w:rPr>
          <w:rFonts w:cstheme="minorHAnsi"/>
          <w:sz w:val="22"/>
          <w:szCs w:val="22"/>
        </w:rPr>
        <w:t xml:space="preserve"> decisions that could replace the protection of human dignity.</w:t>
      </w:r>
    </w:p>
    <w:p w14:paraId="5C85FA08" w14:textId="18E18EBC" w:rsidR="00175614" w:rsidRPr="000C638C" w:rsidRDefault="00175614" w:rsidP="00153200">
      <w:pPr>
        <w:spacing w:after="0"/>
        <w:ind w:left="900" w:firstLine="450"/>
        <w:jc w:val="both"/>
        <w:rPr>
          <w:rFonts w:cstheme="minorHAnsi"/>
          <w:sz w:val="22"/>
          <w:szCs w:val="22"/>
        </w:rPr>
      </w:pPr>
      <w:r w:rsidRPr="000C638C">
        <w:rPr>
          <w:rFonts w:cstheme="minorHAnsi"/>
          <w:sz w:val="22"/>
          <w:szCs w:val="22"/>
        </w:rPr>
        <w:t xml:space="preserve">There are already </w:t>
      </w:r>
      <w:r w:rsidR="00AC7FF7" w:rsidRPr="000C638C">
        <w:rPr>
          <w:rFonts w:cstheme="minorHAnsi"/>
          <w:sz w:val="22"/>
          <w:szCs w:val="22"/>
        </w:rPr>
        <w:t>several</w:t>
      </w:r>
      <w:r w:rsidRPr="000C638C">
        <w:rPr>
          <w:rFonts w:cstheme="minorHAnsi"/>
          <w:sz w:val="22"/>
          <w:szCs w:val="22"/>
        </w:rPr>
        <w:t xml:space="preserve"> systems that demonstrate this challenge. Automated hiring</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{"citationItems":[{"id":"ITEM-1","itemData":{"DOI":"10.1007/s40685-020-00134-w","ISSN":"2198-3402","abstract":"&lt;p&gt;Algorithmic decision-making is becoming increasingly common as a new source of advice in HR recruitment and HR development. While firms implement algorithmic decision-making to save costs as well as increase efficiency and objectivity, algorithmic decision-making might also lead to the unfair treatment of certain groups of people, implicit discrimination, and perceived unfairness. Current knowledge about the threats of unfairness and (implicit) discrimination by algorithmic decision-making is mostly unexplored in the human resource management context. Our goal is to clarify the current state of research related to HR recruitment and HR development, identify research gaps, and provide crucial future research directions. Based on a systematic review of 36 journal articles from 2014 to 2020, we present some applications of algorithmic decision-making and evaluate the possible pitfalls in these two essential HR functions. In doing this, we inform researchers and practitioners, offer important theoretical and practical implications, and suggest fruitful avenues for future research.&lt;/p&gt;","author":[{"dropping-particle":"","family":"Köchling","given":"Alina","non-dropping-particle":"","parse-names":false,"suffix":""},{"dropping-particle":"","family":"Wehner","given":"Marius Claus","non-dropping-particle":"","parse-names":false,"suffix":""}],"container-title":"Business Research","id":"ITEM-1","issue":"3","issued":{"date-parts":[["2020","11","20"]]},"page":"795-848","publisher":"Springer Science and Business Media Deutschland GmbH","title":"Discriminated by an algorithm: a systematic review of discrimination and fairness by algorithmic decision-making in the context of HR recruitment and HR development","type":"article-journal","volume":"13"},"uris":["http://www.mendeley.com/documents/?uuid=6e0728ac-c5ec-3ffd-bd99-62ae71441fe5"]}],"mendeley":{"formattedCitation":"(Köchling &amp; Wehner, 2020)","plainTextFormattedCitation":"(Köchling &amp; Wehner, 2020)","previouslyFormattedCitation":"(25)"},"properties":{"noteIndex":0},"schema":"https://github.com/citation-style-language/schema/raw/master/csl-citation.json"}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(Köchling &amp; Wehner, 2020)</w:t>
      </w:r>
      <w:r w:rsidR="00741803" w:rsidRPr="000C638C">
        <w:rPr>
          <w:rFonts w:cstheme="minorHAnsi"/>
          <w:sz w:val="22"/>
          <w:szCs w:val="22"/>
        </w:rPr>
        <w:fldChar w:fldCharType="end"/>
      </w:r>
      <w:r w:rsidRPr="000C638C">
        <w:rPr>
          <w:rFonts w:cstheme="minorHAnsi"/>
          <w:sz w:val="22"/>
          <w:szCs w:val="22"/>
        </w:rPr>
        <w:t xml:space="preserve"> systems can eliminate potential employees for reasons that are not made clear. Predictive policing</w:t>
      </w:r>
      <w:r w:rsidR="00741803" w:rsidRPr="000C638C">
        <w:rPr>
          <w:rFonts w:cstheme="minorHAnsi"/>
          <w:sz w:val="22"/>
          <w:szCs w:val="22"/>
        </w:rPr>
        <w:t xml:space="preserve"> (Almasoud &amp; Idowu, 2025) can reinforce the biases inherent in the data used to build</w:t>
      </w:r>
      <w:r w:rsidRPr="000C638C">
        <w:rPr>
          <w:rFonts w:cstheme="minorHAnsi"/>
          <w:sz w:val="22"/>
          <w:szCs w:val="22"/>
        </w:rPr>
        <w:t xml:space="preserve"> the system. In many cases, decisions made by credit-scoring</w:t>
      </w:r>
      <w:r w:rsidR="00741803" w:rsidRPr="000C638C">
        <w:rPr>
          <w:rFonts w:cstheme="minorHAnsi"/>
          <w:sz w:val="22"/>
          <w:szCs w:val="22"/>
        </w:rPr>
        <w:t xml:space="preserve"> </w:t>
      </w:r>
      <w:r w:rsidR="00741803" w:rsidRPr="000C638C">
        <w:rPr>
          <w:rFonts w:cstheme="minorHAnsi"/>
          <w:sz w:val="22"/>
          <w:szCs w:val="22"/>
        </w:rPr>
        <w:fldChar w:fldCharType="begin" w:fldLock="1"/>
      </w:r>
      <w:r w:rsidR="00A50552">
        <w:rPr>
          <w:rFonts w:cstheme="minorHAnsi"/>
          <w:sz w:val="22"/>
          <w:szCs w:val="22"/>
        </w:rPr>
        <w:instrText>ADDIN CSL_CITATION {"citationItems":[{"id":"ITEM-1","itemData":{"DOI":"10.1007/s43681-022-00236-7","ISSN":"2730-5953","abstract":"&lt;p&gt;Consider how much data is created and used based on our online behaviours and choices. Converging foundational technologies now enable analytics of the vast data required for machine learning. As a result, businesses now use algorithmic technologies to inform their processes, pricing and decisions. This article examines the implications of algorithmic decision-making in consumer credit markets from economic and normative perspectives. This article fills a gap in the literature to explore a multi-disciplinary approach to framing economic and normative issues for algorithmic decision-making in the private sector. This article identifies optimal and suboptimal outcomes in the relationships between companies and consumers. The economic approach of this article demonstrates that more data allows for more information which may result in better contracting outcomes. However, it also identifies potential risks of inaccuracy, bias and discrimination, and ‘gaming’ of algorithmic systems for personal benefit. Then, this article argues that these economic costs have normative implications. Connecting economic outcomes to a normative analysis contextualises the challenges in designing and regulating ML fairly. In particular, it identifies the normative implications of the process, as much as the outcome, concerning trust, privacy and autonomy and potential bias and discrimination in ML systems. Credit scoring, as a case study, elucidates the issues relating to private companies. Legal norms tend to mirror economic theory. Therefore, this article frames the critical economic and normative issues required for further regulatory work.&lt;/p&gt;","author":[{"dropping-particle":"","family":"Sargeant","given":"Holli","non-dropping-particle":"","parse-names":false,"suffix":""}],"container-title":"AI and Ethics","id":"ITEM-1","issue":"4","issued":{"date-parts":[["2023","11","21"]]},"page":"1295-1311","title":"Algorithmic decision-making in financial services: economic and normative outcomes in consumer credit","type":"article-journal","volume":"3"},"uris":["http://www.mendeley.com/documents/?uuid=40ddafcf-810b-3a7e-9690-9668e0973756"]}],"mendeley":{"formattedCitation":"(Sargeant, 2023)","plainTextFormattedCitation":"(Sargeant, 2023)","previouslyFormattedCitation":"(26)"},"properties":{"noteIndex":0},"schema":"https://github.com/citation-style-language/schema/raw/master/csl-citation.json"}</w:instrText>
      </w:r>
      <w:r w:rsidR="00741803" w:rsidRPr="000C638C">
        <w:rPr>
          <w:rFonts w:cstheme="minorHAnsi"/>
          <w:sz w:val="22"/>
          <w:szCs w:val="22"/>
        </w:rPr>
        <w:fldChar w:fldCharType="separate"/>
      </w:r>
      <w:r w:rsidR="00A50552" w:rsidRPr="00A50552">
        <w:rPr>
          <w:rFonts w:cstheme="minorHAnsi"/>
          <w:noProof/>
          <w:sz w:val="22"/>
          <w:szCs w:val="22"/>
        </w:rPr>
        <w:t>(Sargeant, 2023)</w:t>
      </w:r>
      <w:r w:rsidR="00741803" w:rsidRPr="000C638C">
        <w:rPr>
          <w:rFonts w:cstheme="minorHAnsi"/>
          <w:sz w:val="22"/>
          <w:szCs w:val="22"/>
        </w:rPr>
        <w:fldChar w:fldCharType="end"/>
      </w:r>
      <w:r w:rsidRPr="000C638C">
        <w:rPr>
          <w:rFonts w:cstheme="minorHAnsi"/>
          <w:sz w:val="22"/>
          <w:szCs w:val="22"/>
        </w:rPr>
        <w:t xml:space="preserve"> systems restrict access to credit and are conveniently explained to </w:t>
      </w:r>
      <w:r w:rsidR="00153200" w:rsidRPr="000C638C">
        <w:rPr>
          <w:rFonts w:cstheme="minorHAnsi"/>
          <w:sz w:val="22"/>
          <w:szCs w:val="22"/>
        </w:rPr>
        <w:t>affected individuals</w:t>
      </w:r>
      <w:r w:rsidRPr="000C638C">
        <w:rPr>
          <w:rFonts w:cstheme="minorHAnsi"/>
          <w:sz w:val="22"/>
          <w:szCs w:val="22"/>
        </w:rPr>
        <w:t xml:space="preserve">. Even though </w:t>
      </w:r>
      <w:r w:rsidR="00153200" w:rsidRPr="000C638C">
        <w:rPr>
          <w:rFonts w:cstheme="minorHAnsi"/>
          <w:sz w:val="22"/>
          <w:szCs w:val="22"/>
        </w:rPr>
        <w:t>smart city systems intend</w:t>
      </w:r>
      <w:r w:rsidRPr="000C638C">
        <w:rPr>
          <w:rFonts w:cstheme="minorHAnsi"/>
          <w:sz w:val="22"/>
          <w:szCs w:val="22"/>
        </w:rPr>
        <w:t xml:space="preserve"> to create a more organized and efficient society, the continuous surveillance and data collection ha</w:t>
      </w:r>
      <w:r w:rsidR="00153200" w:rsidRPr="000C638C">
        <w:rPr>
          <w:rFonts w:cstheme="minorHAnsi"/>
          <w:sz w:val="22"/>
          <w:szCs w:val="22"/>
        </w:rPr>
        <w:t>ve begun to infringe on citizens' privacy</w:t>
      </w:r>
      <w:r w:rsidRPr="000C638C">
        <w:rPr>
          <w:rFonts w:cstheme="minorHAnsi"/>
          <w:sz w:val="22"/>
          <w:szCs w:val="22"/>
        </w:rPr>
        <w:t>.</w:t>
      </w:r>
      <w:r w:rsidR="00153200" w:rsidRPr="000C638C">
        <w:rPr>
          <w:rFonts w:cstheme="minorHAnsi"/>
          <w:sz w:val="22"/>
          <w:szCs w:val="22"/>
        </w:rPr>
        <w:t xml:space="preserve"> </w:t>
      </w:r>
      <w:r w:rsidRPr="000C638C">
        <w:rPr>
          <w:rFonts w:cstheme="minorHAnsi"/>
          <w:sz w:val="22"/>
          <w:szCs w:val="22"/>
        </w:rPr>
        <w:t>From a legal positivist perspective, these systems can operate within procedures</w:t>
      </w:r>
      <w:r w:rsidR="00164149" w:rsidRPr="000C638C">
        <w:rPr>
          <w:rFonts w:cstheme="minorHAnsi"/>
          <w:sz w:val="22"/>
          <w:szCs w:val="22"/>
        </w:rPr>
        <w:t>; therefore,</w:t>
      </w:r>
      <w:r w:rsidRPr="000C638C">
        <w:rPr>
          <w:rFonts w:cstheme="minorHAnsi"/>
          <w:sz w:val="22"/>
          <w:szCs w:val="22"/>
        </w:rPr>
        <w:t xml:space="preserve"> the </w:t>
      </w:r>
      <w:r w:rsidRPr="000C638C">
        <w:rPr>
          <w:rFonts w:cstheme="minorHAnsi"/>
          <w:sz w:val="22"/>
          <w:szCs w:val="22"/>
        </w:rPr>
        <w:lastRenderedPageBreak/>
        <w:t xml:space="preserve">decisions can be considered legal. However, it cannot be assumed that the decision will not impact human dignity </w:t>
      </w:r>
      <w:r w:rsidR="00153200" w:rsidRPr="000C638C">
        <w:rPr>
          <w:rFonts w:cstheme="minorHAnsi"/>
          <w:sz w:val="22"/>
          <w:szCs w:val="22"/>
        </w:rPr>
        <w:t>simply because the system has met the necessary legal standards for operation</w:t>
      </w:r>
      <w:r w:rsidRPr="000C638C">
        <w:rPr>
          <w:rFonts w:cstheme="minorHAnsi"/>
          <w:sz w:val="22"/>
          <w:szCs w:val="22"/>
        </w:rPr>
        <w:t xml:space="preserve">. This is especially true when the people </w:t>
      </w:r>
      <w:r w:rsidR="00164149" w:rsidRPr="000C638C">
        <w:rPr>
          <w:rFonts w:cstheme="minorHAnsi"/>
          <w:sz w:val="22"/>
          <w:szCs w:val="22"/>
        </w:rPr>
        <w:t>affected by the decision have no way to understand, critique</w:t>
      </w:r>
      <w:r w:rsidRPr="000C638C">
        <w:rPr>
          <w:rFonts w:cstheme="minorHAnsi"/>
          <w:sz w:val="22"/>
          <w:szCs w:val="22"/>
        </w:rPr>
        <w:t>, or influence the system or the decision-making process.</w:t>
      </w:r>
    </w:p>
    <w:p w14:paraId="6384F619" w14:textId="4248A34F" w:rsidR="00175614" w:rsidRPr="000C638C" w:rsidRDefault="00175614" w:rsidP="00153200">
      <w:pPr>
        <w:spacing w:after="0"/>
        <w:ind w:left="900" w:firstLine="450"/>
        <w:jc w:val="both"/>
        <w:rPr>
          <w:rFonts w:cstheme="minorHAnsi"/>
          <w:sz w:val="22"/>
          <w:szCs w:val="22"/>
        </w:rPr>
      </w:pPr>
      <w:r w:rsidRPr="000C638C">
        <w:rPr>
          <w:rFonts w:cstheme="minorHAnsi"/>
          <w:sz w:val="22"/>
          <w:szCs w:val="22"/>
        </w:rPr>
        <w:t xml:space="preserve">Hence, the crisis encompasses the technological and jurisprudential domains. Many contemporary legal systems </w:t>
      </w:r>
      <w:r w:rsidR="00153200" w:rsidRPr="000C638C">
        <w:rPr>
          <w:rFonts w:cstheme="minorHAnsi"/>
          <w:sz w:val="22"/>
          <w:szCs w:val="22"/>
        </w:rPr>
        <w:t>seek to codify concepts of</w:t>
      </w:r>
      <w:r w:rsidRPr="000C638C">
        <w:rPr>
          <w:rFonts w:cstheme="minorHAnsi"/>
          <w:sz w:val="22"/>
          <w:szCs w:val="22"/>
        </w:rPr>
        <w:t xml:space="preserve"> validity, competence, and procedural regularity. However, they often neglect the more pressing issue of whether algorithmic governance is fundamentally centered on human beings. This results in an increasing schism between legal validity and human legitimacy. As governance continues to be mediated by increasingly powerful and pervasive algorithms, new architectural frameworks and legal theories must be developed to ensure that technological systems maintain accountability to human values. Otherwise, governance may continue to collapse individuals into datasets and optimize them within systems.</w:t>
      </w:r>
    </w:p>
    <w:p w14:paraId="3FD2D600" w14:textId="77777777" w:rsidR="00175614" w:rsidRPr="000C638C" w:rsidRDefault="00175614" w:rsidP="00175614">
      <w:pPr>
        <w:spacing w:after="0"/>
        <w:jc w:val="both"/>
        <w:rPr>
          <w:rFonts w:cstheme="minorHAnsi"/>
          <w:sz w:val="22"/>
          <w:szCs w:val="22"/>
        </w:rPr>
      </w:pPr>
    </w:p>
    <w:p w14:paraId="6213EA1B" w14:textId="68E9E9FD" w:rsidR="00830D40" w:rsidRPr="000C638C" w:rsidRDefault="00830D40"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4.2. </w:t>
      </w:r>
      <w:r w:rsidR="00153200" w:rsidRPr="000C638C">
        <w:rPr>
          <w:rFonts w:cstheme="minorHAnsi"/>
          <w:b/>
          <w:bCs/>
          <w:sz w:val="22"/>
          <w:szCs w:val="22"/>
        </w:rPr>
        <w:tab/>
      </w:r>
      <w:r w:rsidRPr="000C638C">
        <w:rPr>
          <w:rFonts w:cstheme="minorHAnsi"/>
          <w:b/>
          <w:bCs/>
          <w:sz w:val="22"/>
          <w:szCs w:val="22"/>
        </w:rPr>
        <w:t>Reconstructing Legal Legitimacy Beyond Procedural Validity</w:t>
      </w:r>
    </w:p>
    <w:p w14:paraId="3FDC7744" w14:textId="0C9DE19D" w:rsidR="00175614" w:rsidRPr="000C638C" w:rsidRDefault="00175614" w:rsidP="00153200">
      <w:pPr>
        <w:spacing w:after="0"/>
        <w:ind w:left="900" w:firstLine="450"/>
        <w:jc w:val="both"/>
        <w:rPr>
          <w:rFonts w:cstheme="minorHAnsi"/>
          <w:sz w:val="22"/>
          <w:szCs w:val="22"/>
        </w:rPr>
      </w:pPr>
      <w:r w:rsidRPr="000C638C">
        <w:rPr>
          <w:rFonts w:cstheme="minorHAnsi"/>
          <w:sz w:val="22"/>
          <w:szCs w:val="22"/>
        </w:rPr>
        <w:t xml:space="preserve">Existing jurisprudential frameworks </w:t>
      </w:r>
      <w:r w:rsidR="00164149" w:rsidRPr="000C638C">
        <w:rPr>
          <w:rFonts w:cstheme="minorHAnsi"/>
          <w:sz w:val="22"/>
          <w:szCs w:val="22"/>
        </w:rPr>
        <w:t>show</w:t>
      </w:r>
      <w:r w:rsidRPr="000C638C">
        <w:rPr>
          <w:rFonts w:cstheme="minorHAnsi"/>
          <w:sz w:val="22"/>
          <w:szCs w:val="22"/>
        </w:rPr>
        <w:t xml:space="preserve"> that legal legitimacy has meanings beyond </w:t>
      </w:r>
      <w:r w:rsidR="00153200" w:rsidRPr="000C638C">
        <w:rPr>
          <w:rFonts w:cstheme="minorHAnsi"/>
          <w:sz w:val="22"/>
          <w:szCs w:val="22"/>
        </w:rPr>
        <w:t>procedural validity</w:t>
      </w:r>
      <w:r w:rsidRPr="000C638C">
        <w:rPr>
          <w:rFonts w:cstheme="minorHAnsi"/>
          <w:sz w:val="22"/>
          <w:szCs w:val="22"/>
        </w:rPr>
        <w:t xml:space="preserve">. Legal positivism has provided an adequate tool for </w:t>
      </w:r>
      <w:r w:rsidR="00153200" w:rsidRPr="000C638C">
        <w:rPr>
          <w:rFonts w:cstheme="minorHAnsi"/>
          <w:sz w:val="22"/>
          <w:szCs w:val="22"/>
        </w:rPr>
        <w:t>determining whether a norm is part of</w:t>
      </w:r>
      <w:r w:rsidRPr="000C638C">
        <w:rPr>
          <w:rFonts w:cstheme="minorHAnsi"/>
          <w:sz w:val="22"/>
          <w:szCs w:val="22"/>
        </w:rPr>
        <w:t xml:space="preserve"> a legal system. However, the phenomenon of algorithmic governance has shown that the validity of the law and human legitimacy cannot be equated.</w:t>
      </w:r>
      <w:r w:rsidR="00153200" w:rsidRPr="000C638C">
        <w:rPr>
          <w:rFonts w:cstheme="minorHAnsi"/>
          <w:sz w:val="22"/>
          <w:szCs w:val="22"/>
        </w:rPr>
        <w:t xml:space="preserve"> </w:t>
      </w:r>
      <w:r w:rsidRPr="000C638C">
        <w:rPr>
          <w:rFonts w:cstheme="minorHAnsi"/>
          <w:sz w:val="22"/>
          <w:szCs w:val="22"/>
        </w:rPr>
        <w:t>From th</w:t>
      </w:r>
      <w:r w:rsidR="00153200" w:rsidRPr="000C638C">
        <w:rPr>
          <w:rFonts w:cstheme="minorHAnsi"/>
          <w:sz w:val="22"/>
          <w:szCs w:val="22"/>
        </w:rPr>
        <w:t>is research's perspective</w:t>
      </w:r>
      <w:r w:rsidRPr="000C638C">
        <w:rPr>
          <w:rFonts w:cstheme="minorHAnsi"/>
          <w:sz w:val="22"/>
          <w:szCs w:val="22"/>
        </w:rPr>
        <w:t xml:space="preserve">, the governance of the present and the future demands a two-dimensional understanding of legitimacy. The first dimension, which is procedural legitimacy, is derived from legal authority, institutional competence, and adherence to established legal norms. The second dimension, </w:t>
      </w:r>
      <w:r w:rsidR="00153200" w:rsidRPr="000C638C">
        <w:rPr>
          <w:rFonts w:cstheme="minorHAnsi"/>
          <w:sz w:val="22"/>
          <w:szCs w:val="22"/>
        </w:rPr>
        <w:t>transcendental legitimacy, is derived from</w:t>
      </w:r>
      <w:r w:rsidRPr="000C638C">
        <w:rPr>
          <w:rFonts w:cstheme="minorHAnsi"/>
          <w:sz w:val="22"/>
          <w:szCs w:val="22"/>
        </w:rPr>
        <w:t xml:space="preserve"> legal norms and technological systems that protect human dignity, justice, and ethical responsibility.</w:t>
      </w:r>
    </w:p>
    <w:p w14:paraId="0DCE643C" w14:textId="190B2014" w:rsidR="00175614" w:rsidRPr="000C638C" w:rsidRDefault="00175614" w:rsidP="00153200">
      <w:pPr>
        <w:spacing w:after="0"/>
        <w:ind w:left="900" w:firstLine="450"/>
        <w:jc w:val="both"/>
        <w:rPr>
          <w:rFonts w:cstheme="minorHAnsi"/>
          <w:sz w:val="22"/>
          <w:szCs w:val="22"/>
        </w:rPr>
      </w:pPr>
      <w:r w:rsidRPr="000C638C">
        <w:rPr>
          <w:rFonts w:cstheme="minorHAnsi"/>
          <w:sz w:val="22"/>
          <w:szCs w:val="22"/>
        </w:rPr>
        <w:t>Thus, legal legitimacy within Society 5.0 refers to the blending of the two dimensions described as follows:</w:t>
      </w:r>
    </w:p>
    <w:p w14:paraId="41E7FF0E" w14:textId="77777777" w:rsidR="00175614" w:rsidRPr="000C638C" w:rsidRDefault="00175614" w:rsidP="00153200">
      <w:pPr>
        <w:spacing w:after="0"/>
        <w:ind w:left="900" w:firstLine="450"/>
        <w:jc w:val="both"/>
        <w:rPr>
          <w:rFonts w:cstheme="minorHAnsi"/>
          <w:b/>
          <w:bCs/>
          <w:sz w:val="22"/>
          <w:szCs w:val="22"/>
        </w:rPr>
      </w:pPr>
      <w:r w:rsidRPr="000C638C">
        <w:rPr>
          <w:rFonts w:cstheme="minorHAnsi"/>
          <w:b/>
          <w:bCs/>
          <w:sz w:val="22"/>
          <w:szCs w:val="22"/>
        </w:rPr>
        <w:t>Legal Legitimacy = Procedural Validity + Transcendental Legitimacy</w:t>
      </w:r>
    </w:p>
    <w:p w14:paraId="1FD5A0B5" w14:textId="32C47CBB" w:rsidR="000C638C" w:rsidRDefault="00175614" w:rsidP="00832731">
      <w:pPr>
        <w:spacing w:after="0"/>
        <w:ind w:left="900" w:firstLine="450"/>
        <w:jc w:val="both"/>
        <w:rPr>
          <w:rFonts w:cstheme="minorHAnsi"/>
          <w:sz w:val="22"/>
          <w:szCs w:val="22"/>
        </w:rPr>
      </w:pPr>
      <w:r w:rsidRPr="000C638C">
        <w:rPr>
          <w:rFonts w:cstheme="minorHAnsi"/>
          <w:sz w:val="22"/>
          <w:szCs w:val="22"/>
        </w:rPr>
        <w:t xml:space="preserve">In this regard, legal authority is necessary but not sufficient. </w:t>
      </w:r>
      <w:r w:rsidR="00153200" w:rsidRPr="000C638C">
        <w:rPr>
          <w:rFonts w:cstheme="minorHAnsi"/>
          <w:sz w:val="22"/>
          <w:szCs w:val="22"/>
        </w:rPr>
        <w:t>A decision mediated by technology and legal authority may be</w:t>
      </w:r>
      <w:r w:rsidRPr="000C638C">
        <w:rPr>
          <w:rFonts w:cstheme="minorHAnsi"/>
          <w:sz w:val="22"/>
          <w:szCs w:val="22"/>
        </w:rPr>
        <w:t xml:space="preserve"> legitimate if the dignity and moral worth of the affected persons is not violated. However, the absence of ethical aspirations and legal authority does </w:t>
      </w:r>
      <w:r w:rsidR="00153200" w:rsidRPr="000C638C">
        <w:rPr>
          <w:rFonts w:cstheme="minorHAnsi"/>
          <w:sz w:val="22"/>
          <w:szCs w:val="22"/>
        </w:rPr>
        <w:t xml:space="preserve">not </w:t>
      </w:r>
      <w:r w:rsidRPr="000C638C">
        <w:rPr>
          <w:rFonts w:cstheme="minorHAnsi"/>
          <w:sz w:val="22"/>
          <w:szCs w:val="22"/>
        </w:rPr>
        <w:t xml:space="preserve">provide a framework for governance. The </w:t>
      </w:r>
      <w:r w:rsidR="00153200" w:rsidRPr="000C638C">
        <w:rPr>
          <w:rFonts w:cstheme="minorHAnsi"/>
          <w:sz w:val="22"/>
          <w:szCs w:val="22"/>
        </w:rPr>
        <w:t>following suggestion</w:t>
      </w:r>
      <w:r w:rsidRPr="000C638C">
        <w:rPr>
          <w:rFonts w:cstheme="minorHAnsi"/>
          <w:sz w:val="22"/>
          <w:szCs w:val="22"/>
        </w:rPr>
        <w:t xml:space="preserve"> is that a blending of procedural legality and transcendental responsibility is warranted within the context of legal reasoning. The transcendence </w:t>
      </w:r>
      <w:r w:rsidR="00153200" w:rsidRPr="000C638C">
        <w:rPr>
          <w:rFonts w:cstheme="minorHAnsi"/>
          <w:sz w:val="22"/>
          <w:szCs w:val="22"/>
        </w:rPr>
        <w:t>considered within the context of legal legitimacy represents a departure from both classical legal positivism and</w:t>
      </w:r>
      <w:r w:rsidRPr="000C638C">
        <w:rPr>
          <w:rFonts w:cstheme="minorHAnsi"/>
          <w:sz w:val="22"/>
          <w:szCs w:val="22"/>
        </w:rPr>
        <w:t xml:space="preserve"> contemporary AI governance models</w:t>
      </w:r>
      <w:r w:rsidR="00832731">
        <w:rPr>
          <w:rFonts w:cstheme="minorHAnsi"/>
          <w:sz w:val="22"/>
          <w:szCs w:val="22"/>
        </w:rPr>
        <w:t>.</w:t>
      </w:r>
    </w:p>
    <w:p w14:paraId="7A4392E0" w14:textId="77777777" w:rsidR="000C638C" w:rsidRPr="000C638C" w:rsidRDefault="000C638C" w:rsidP="00153200">
      <w:pPr>
        <w:spacing w:after="0"/>
        <w:ind w:left="900" w:firstLine="450"/>
        <w:jc w:val="both"/>
        <w:rPr>
          <w:rFonts w:cstheme="minorHAnsi"/>
          <w:sz w:val="22"/>
          <w:szCs w:val="22"/>
        </w:rPr>
      </w:pPr>
    </w:p>
    <w:p w14:paraId="7FB39215" w14:textId="68DF53B4" w:rsidR="00830D40" w:rsidRPr="000C638C" w:rsidRDefault="00830D40"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4.3. </w:t>
      </w:r>
      <w:r w:rsidR="00153200" w:rsidRPr="000C638C">
        <w:rPr>
          <w:rFonts w:cstheme="minorHAnsi"/>
          <w:b/>
          <w:bCs/>
          <w:sz w:val="22"/>
          <w:szCs w:val="22"/>
        </w:rPr>
        <w:tab/>
      </w:r>
      <w:r w:rsidRPr="000C638C">
        <w:rPr>
          <w:rFonts w:cstheme="minorHAnsi"/>
          <w:b/>
          <w:bCs/>
          <w:sz w:val="22"/>
          <w:szCs w:val="22"/>
        </w:rPr>
        <w:t>The Architecture of Prophetic Legal Epistemology</w:t>
      </w:r>
    </w:p>
    <w:p w14:paraId="2578559B" w14:textId="77777777" w:rsidR="00264442" w:rsidRDefault="00264442" w:rsidP="00153200">
      <w:pPr>
        <w:tabs>
          <w:tab w:val="left" w:pos="900"/>
        </w:tabs>
        <w:spacing w:after="0"/>
        <w:ind w:left="360"/>
        <w:jc w:val="both"/>
        <w:rPr>
          <w:rFonts w:cstheme="minorHAnsi"/>
          <w:b/>
          <w:bCs/>
          <w:sz w:val="22"/>
          <w:szCs w:val="22"/>
        </w:rPr>
      </w:pPr>
    </w:p>
    <w:p w14:paraId="7ADA91FE" w14:textId="77777777" w:rsidR="00832731" w:rsidRDefault="00832731" w:rsidP="00153200">
      <w:pPr>
        <w:tabs>
          <w:tab w:val="left" w:pos="900"/>
        </w:tabs>
        <w:spacing w:after="0"/>
        <w:ind w:left="360"/>
        <w:jc w:val="both"/>
        <w:rPr>
          <w:rFonts w:cstheme="minorHAnsi"/>
          <w:b/>
          <w:bCs/>
          <w:sz w:val="22"/>
          <w:szCs w:val="22"/>
        </w:rPr>
      </w:pPr>
    </w:p>
    <w:p w14:paraId="13BD372C" w14:textId="77777777" w:rsidR="00832731" w:rsidRDefault="00832731" w:rsidP="00153200">
      <w:pPr>
        <w:tabs>
          <w:tab w:val="left" w:pos="900"/>
        </w:tabs>
        <w:spacing w:after="0"/>
        <w:ind w:left="360"/>
        <w:jc w:val="both"/>
        <w:rPr>
          <w:rFonts w:cstheme="minorHAnsi"/>
          <w:b/>
          <w:bCs/>
          <w:sz w:val="22"/>
          <w:szCs w:val="22"/>
        </w:rPr>
      </w:pPr>
    </w:p>
    <w:p w14:paraId="0A147B88" w14:textId="77777777" w:rsidR="00832731" w:rsidRDefault="00832731" w:rsidP="00153200">
      <w:pPr>
        <w:tabs>
          <w:tab w:val="left" w:pos="900"/>
        </w:tabs>
        <w:spacing w:after="0"/>
        <w:ind w:left="360"/>
        <w:jc w:val="both"/>
        <w:rPr>
          <w:rFonts w:cstheme="minorHAnsi"/>
          <w:b/>
          <w:bCs/>
          <w:sz w:val="22"/>
          <w:szCs w:val="22"/>
        </w:rPr>
      </w:pPr>
    </w:p>
    <w:p w14:paraId="2E30D9B7" w14:textId="77777777" w:rsidR="00832731" w:rsidRDefault="00832731" w:rsidP="00153200">
      <w:pPr>
        <w:tabs>
          <w:tab w:val="left" w:pos="900"/>
        </w:tabs>
        <w:spacing w:after="0"/>
        <w:ind w:left="360"/>
        <w:jc w:val="both"/>
        <w:rPr>
          <w:rFonts w:cstheme="minorHAnsi"/>
          <w:b/>
          <w:bCs/>
          <w:sz w:val="22"/>
          <w:szCs w:val="22"/>
        </w:rPr>
      </w:pPr>
    </w:p>
    <w:p w14:paraId="29BA437F" w14:textId="77777777" w:rsidR="00832731" w:rsidRDefault="00832731" w:rsidP="00153200">
      <w:pPr>
        <w:tabs>
          <w:tab w:val="left" w:pos="900"/>
        </w:tabs>
        <w:spacing w:after="0"/>
        <w:ind w:left="360"/>
        <w:jc w:val="both"/>
        <w:rPr>
          <w:rFonts w:cstheme="minorHAnsi"/>
          <w:b/>
          <w:bCs/>
          <w:sz w:val="22"/>
          <w:szCs w:val="22"/>
        </w:rPr>
      </w:pPr>
    </w:p>
    <w:p w14:paraId="7136AAC7" w14:textId="77777777" w:rsidR="00832731" w:rsidRDefault="00832731" w:rsidP="00153200">
      <w:pPr>
        <w:tabs>
          <w:tab w:val="left" w:pos="900"/>
        </w:tabs>
        <w:spacing w:after="0"/>
        <w:ind w:left="360"/>
        <w:jc w:val="both"/>
        <w:rPr>
          <w:rFonts w:cstheme="minorHAnsi"/>
          <w:b/>
          <w:bCs/>
          <w:sz w:val="22"/>
          <w:szCs w:val="22"/>
        </w:rPr>
      </w:pPr>
    </w:p>
    <w:p w14:paraId="6AF13653" w14:textId="77777777" w:rsidR="00832731" w:rsidRDefault="00832731" w:rsidP="00153200">
      <w:pPr>
        <w:tabs>
          <w:tab w:val="left" w:pos="900"/>
        </w:tabs>
        <w:spacing w:after="0"/>
        <w:ind w:left="360"/>
        <w:jc w:val="both"/>
        <w:rPr>
          <w:rFonts w:cstheme="minorHAnsi"/>
          <w:b/>
          <w:bCs/>
          <w:sz w:val="22"/>
          <w:szCs w:val="22"/>
        </w:rPr>
      </w:pPr>
    </w:p>
    <w:p w14:paraId="104DA9FA" w14:textId="77777777" w:rsidR="00832731" w:rsidRPr="000C638C" w:rsidRDefault="00832731" w:rsidP="00153200">
      <w:pPr>
        <w:tabs>
          <w:tab w:val="left" w:pos="900"/>
        </w:tabs>
        <w:spacing w:after="0"/>
        <w:ind w:left="360"/>
        <w:jc w:val="both"/>
        <w:rPr>
          <w:rFonts w:cstheme="minorHAnsi"/>
          <w:b/>
          <w:bCs/>
          <w:sz w:val="22"/>
          <w:szCs w:val="22"/>
        </w:rPr>
      </w:pPr>
    </w:p>
    <w:p w14:paraId="1C32ECE3" w14:textId="77777777" w:rsidR="00264442" w:rsidRPr="000C638C" w:rsidRDefault="00264442" w:rsidP="00264442">
      <w:pPr>
        <w:tabs>
          <w:tab w:val="left" w:pos="900"/>
        </w:tabs>
        <w:spacing w:after="0"/>
        <w:jc w:val="center"/>
        <w:rPr>
          <w:rFonts w:cstheme="minorHAnsi"/>
          <w:b/>
          <w:bCs/>
          <w:sz w:val="22"/>
          <w:szCs w:val="22"/>
        </w:rPr>
      </w:pPr>
      <w:r w:rsidRPr="000C638C">
        <w:rPr>
          <w:rFonts w:cstheme="minorHAnsi"/>
          <w:b/>
          <w:bCs/>
          <w:sz w:val="22"/>
          <w:szCs w:val="22"/>
        </w:rPr>
        <w:t>Figure 1</w:t>
      </w:r>
    </w:p>
    <w:p w14:paraId="68B671D7" w14:textId="77777777" w:rsidR="00264442" w:rsidRPr="000C638C" w:rsidRDefault="00264442" w:rsidP="00264442">
      <w:pPr>
        <w:tabs>
          <w:tab w:val="left" w:pos="900"/>
        </w:tabs>
        <w:spacing w:after="0"/>
        <w:jc w:val="center"/>
        <w:rPr>
          <w:rFonts w:cstheme="minorHAnsi"/>
          <w:b/>
          <w:bCs/>
          <w:sz w:val="22"/>
          <w:szCs w:val="22"/>
        </w:rPr>
      </w:pPr>
      <w:r w:rsidRPr="000C638C">
        <w:rPr>
          <w:rFonts w:cstheme="minorHAnsi"/>
          <w:b/>
          <w:bCs/>
          <w:sz w:val="22"/>
          <w:szCs w:val="22"/>
        </w:rPr>
        <w:t>Internal Structure of Prophetic Legal Epistemology (PLE)</w:t>
      </w:r>
    </w:p>
    <w:p w14:paraId="3A3A39D8" w14:textId="77777777" w:rsidR="00264442" w:rsidRPr="000C638C" w:rsidRDefault="00264442" w:rsidP="00264442">
      <w:pPr>
        <w:tabs>
          <w:tab w:val="left" w:pos="900"/>
        </w:tabs>
        <w:spacing w:after="0"/>
        <w:ind w:left="360"/>
        <w:jc w:val="center"/>
        <w:rPr>
          <w:rFonts w:cstheme="minorHAnsi"/>
          <w:b/>
          <w:bCs/>
          <w:sz w:val="22"/>
          <w:szCs w:val="22"/>
        </w:rPr>
      </w:pPr>
    </w:p>
    <w:p w14:paraId="66C9ED28" w14:textId="77777777" w:rsidR="00264442" w:rsidRPr="000C638C" w:rsidRDefault="00264442" w:rsidP="00264442">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59264" behindDoc="0" locked="0" layoutInCell="1" allowOverlap="1" wp14:anchorId="5F08F5D0" wp14:editId="25D38973">
                <wp:simplePos x="0" y="0"/>
                <wp:positionH relativeFrom="column">
                  <wp:posOffset>1841500</wp:posOffset>
                </wp:positionH>
                <wp:positionV relativeFrom="paragraph">
                  <wp:posOffset>8890</wp:posOffset>
                </wp:positionV>
                <wp:extent cx="2438400" cy="514350"/>
                <wp:effectExtent l="0" t="0" r="19050" b="19050"/>
                <wp:wrapNone/>
                <wp:docPr id="170136563" name="Rectangle 1"/>
                <wp:cNvGraphicFramePr/>
                <a:graphic xmlns:a="http://schemas.openxmlformats.org/drawingml/2006/main">
                  <a:graphicData uri="http://schemas.microsoft.com/office/word/2010/wordprocessingShape">
                    <wps:wsp>
                      <wps:cNvSpPr/>
                      <wps:spPr>
                        <a:xfrm>
                          <a:off x="0" y="0"/>
                          <a:ext cx="2438400" cy="514350"/>
                        </a:xfrm>
                        <a:prstGeom prst="rect">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66A429" w14:textId="77777777" w:rsidR="00264442" w:rsidRPr="00164149" w:rsidRDefault="00264442" w:rsidP="00264442">
                            <w:pPr>
                              <w:spacing w:after="0" w:line="240" w:lineRule="auto"/>
                              <w:jc w:val="center"/>
                              <w:rPr>
                                <w:b/>
                                <w:bCs/>
                                <w:sz w:val="22"/>
                                <w:szCs w:val="22"/>
                              </w:rPr>
                            </w:pPr>
                            <w:r w:rsidRPr="00164149">
                              <w:rPr>
                                <w:b/>
                                <w:bCs/>
                                <w:sz w:val="22"/>
                                <w:szCs w:val="22"/>
                              </w:rPr>
                              <w:t>TRANSCENDENCES</w:t>
                            </w:r>
                          </w:p>
                          <w:p w14:paraId="2AB4669A" w14:textId="77777777" w:rsidR="00264442" w:rsidRPr="008C717C" w:rsidRDefault="00264442" w:rsidP="00264442">
                            <w:pPr>
                              <w:spacing w:after="0" w:line="240" w:lineRule="auto"/>
                              <w:jc w:val="center"/>
                              <w:rPr>
                                <w:sz w:val="20"/>
                                <w:szCs w:val="20"/>
                              </w:rPr>
                            </w:pPr>
                            <w:r w:rsidRPr="008C717C">
                              <w:rPr>
                                <w:sz w:val="20"/>
                                <w:szCs w:val="20"/>
                              </w:rPr>
                              <w:t>Highest Sources of Normative Authority</w:t>
                            </w:r>
                          </w:p>
                          <w:p w14:paraId="65D0F424" w14:textId="77777777" w:rsidR="00264442" w:rsidRPr="00164149" w:rsidRDefault="00264442" w:rsidP="00264442">
                            <w:pPr>
                              <w:spacing w:line="240" w:lineRule="auto"/>
                              <w:jc w:val="center"/>
                              <w:rPr>
                                <w:b/>
                                <w:bCs/>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08F5D0" id="Rectangle 1" o:spid="_x0000_s1026" style="position:absolute;left:0;text-align:left;margin-left:145pt;margin-top:.7pt;width:192pt;height:4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" fillcolor="#2f5496 [2404]" strokecolor="#09101d [484]" strokeweight="1pt">
                <v:textbox>
                  <w:txbxContent>
                    <w:p w14:paraId="0666A429" w14:textId="77777777" w:rsidR="00264442" w:rsidRPr="00164149" w:rsidRDefault="00264442" w:rsidP="00264442">
                      <w:pPr>
                        <w:spacing w:after="0" w:line="240" w:lineRule="auto"/>
                        <w:jc w:val="center"/>
                        <w:rPr>
                          <w:b/>
                          <w:bCs/>
                          <w:sz w:val="22"/>
                          <w:szCs w:val="22"/>
                        </w:rPr>
                      </w:pPr>
                      <w:r w:rsidRPr="00164149">
                        <w:rPr>
                          <w:b/>
                          <w:bCs/>
                          <w:sz w:val="22"/>
                          <w:szCs w:val="22"/>
                        </w:rPr>
                        <w:t>TRANSCENDENCES</w:t>
                      </w:r>
                    </w:p>
                    <w:p w14:paraId="2AB4669A" w14:textId="77777777" w:rsidR="00264442" w:rsidRPr="008C717C" w:rsidRDefault="00264442" w:rsidP="00264442">
                      <w:pPr>
                        <w:spacing w:after="0" w:line="240" w:lineRule="auto"/>
                        <w:jc w:val="center"/>
                        <w:rPr>
                          <w:sz w:val="20"/>
                          <w:szCs w:val="20"/>
                        </w:rPr>
                      </w:pPr>
                      <w:r w:rsidRPr="008C717C">
                        <w:rPr>
                          <w:sz w:val="20"/>
                          <w:szCs w:val="20"/>
                        </w:rPr>
                        <w:t>Highest Sources of Normative Authority</w:t>
                      </w:r>
                    </w:p>
                    <w:p w14:paraId="65D0F424" w14:textId="77777777" w:rsidR="00264442" w:rsidRPr="00164149" w:rsidRDefault="00264442" w:rsidP="00264442">
                      <w:pPr>
                        <w:spacing w:line="240" w:lineRule="auto"/>
                        <w:jc w:val="center"/>
                        <w:rPr>
                          <w:b/>
                          <w:bCs/>
                          <w:sz w:val="22"/>
                          <w:szCs w:val="22"/>
                        </w:rPr>
                      </w:pPr>
                    </w:p>
                  </w:txbxContent>
                </v:textbox>
              </v:rect>
            </w:pict>
          </mc:Fallback>
        </mc:AlternateContent>
      </w:r>
    </w:p>
    <w:p w14:paraId="6B9C01A1" w14:textId="77777777" w:rsidR="00264442" w:rsidRPr="000C638C" w:rsidRDefault="00264442" w:rsidP="00264442">
      <w:pPr>
        <w:tabs>
          <w:tab w:val="left" w:pos="900"/>
        </w:tabs>
        <w:spacing w:after="0"/>
        <w:ind w:left="360"/>
        <w:jc w:val="both"/>
        <w:rPr>
          <w:rFonts w:cstheme="minorHAnsi"/>
          <w:b/>
          <w:bCs/>
          <w:sz w:val="22"/>
          <w:szCs w:val="22"/>
        </w:rPr>
      </w:pPr>
    </w:p>
    <w:p w14:paraId="5AF75F1E" w14:textId="750E1EE1" w:rsidR="00264442" w:rsidRPr="000C638C" w:rsidRDefault="00264442" w:rsidP="00264442">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68480" behindDoc="0" locked="0" layoutInCell="1" allowOverlap="1" wp14:anchorId="39C397CC" wp14:editId="0B79F252">
                <wp:simplePos x="0" y="0"/>
                <wp:positionH relativeFrom="column">
                  <wp:posOffset>3048000</wp:posOffset>
                </wp:positionH>
                <wp:positionV relativeFrom="paragraph">
                  <wp:posOffset>92075</wp:posOffset>
                </wp:positionV>
                <wp:extent cx="0" cy="723900"/>
                <wp:effectExtent l="76200" t="0" r="57150" b="57150"/>
                <wp:wrapNone/>
                <wp:docPr id="1954375044" name="Straight Arrow Connector 5"/>
                <wp:cNvGraphicFramePr/>
                <a:graphic xmlns:a="http://schemas.openxmlformats.org/drawingml/2006/main">
                  <a:graphicData uri="http://schemas.microsoft.com/office/word/2010/wordprocessingShape">
                    <wps:wsp>
                      <wps:cNvCnPr/>
                      <wps:spPr>
                        <a:xfrm>
                          <a:off x="0" y="0"/>
                          <a:ext cx="0"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FCCFDDF" id="_x0000_t32" coordsize="21600,21600" o:spt="32" o:oned="t" path="m,l21600,21600e" filled="f">
                <v:path arrowok="t" fillok="f" o:connecttype="none"/>
                <o:lock v:ext="edit" shapetype="t"/>
              </v:shapetype>
              <v:shape id="Straight Arrow Connector 5" o:spid="_x0000_s1026" type="#_x0000_t32" style="position:absolute;margin-left:240pt;margin-top:7.25pt;width:0;height:57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" strokecolor="#4472c4 [3204]" strokeweight=".5pt">
                <v:stroke endarrow="block" joinstyle="miter"/>
              </v:shape>
            </w:pict>
          </mc:Fallback>
        </mc:AlternateContent>
      </w:r>
    </w:p>
    <w:p w14:paraId="01D66865" w14:textId="4A38251D" w:rsidR="00264442" w:rsidRPr="000C638C" w:rsidRDefault="00264442" w:rsidP="00264442">
      <w:pPr>
        <w:tabs>
          <w:tab w:val="left" w:pos="900"/>
        </w:tabs>
        <w:spacing w:after="0"/>
        <w:ind w:left="360"/>
        <w:jc w:val="both"/>
        <w:rPr>
          <w:rFonts w:cstheme="minorHAnsi"/>
          <w:i/>
          <w:iCs/>
          <w:color w:val="8EAADB" w:themeColor="accent1" w:themeTint="99"/>
          <w:sz w:val="22"/>
          <w:szCs w:val="22"/>
        </w:rPr>
      </w:pPr>
      <w:r w:rsidRPr="000C638C">
        <w:rPr>
          <w:rFonts w:cstheme="minorHAnsi"/>
          <w:i/>
          <w:iCs/>
          <w:color w:val="8EAADB" w:themeColor="accent1" w:themeTint="99"/>
          <w:sz w:val="22"/>
          <w:szCs w:val="22"/>
        </w:rPr>
        <w:tab/>
      </w:r>
      <w:r w:rsidRPr="000C638C">
        <w:rPr>
          <w:rFonts w:cstheme="minorHAnsi"/>
          <w:i/>
          <w:iCs/>
          <w:color w:val="8EAADB" w:themeColor="accent1" w:themeTint="99"/>
          <w:sz w:val="22"/>
          <w:szCs w:val="22"/>
        </w:rPr>
        <w:tab/>
      </w:r>
      <w:r w:rsidRPr="000C638C">
        <w:rPr>
          <w:rFonts w:cstheme="minorHAnsi"/>
          <w:i/>
          <w:iCs/>
          <w:color w:val="8EAADB" w:themeColor="accent1" w:themeTint="99"/>
          <w:sz w:val="22"/>
          <w:szCs w:val="22"/>
        </w:rPr>
        <w:tab/>
      </w:r>
      <w:r w:rsidRPr="000C638C">
        <w:rPr>
          <w:rFonts w:cstheme="minorHAnsi"/>
          <w:i/>
          <w:iCs/>
          <w:color w:val="8EAADB" w:themeColor="accent1" w:themeTint="99"/>
          <w:sz w:val="22"/>
          <w:szCs w:val="22"/>
        </w:rPr>
        <w:tab/>
        <w:t>Guides legal reasoning through three internal concepts</w:t>
      </w:r>
    </w:p>
    <w:p w14:paraId="6A80E461" w14:textId="4C314DBE" w:rsidR="00264442" w:rsidRPr="000C638C" w:rsidRDefault="00264442" w:rsidP="00153200">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71552" behindDoc="0" locked="0" layoutInCell="1" allowOverlap="1" wp14:anchorId="49E02D75" wp14:editId="32307989">
                <wp:simplePos x="0" y="0"/>
                <wp:positionH relativeFrom="column">
                  <wp:posOffset>5327650</wp:posOffset>
                </wp:positionH>
                <wp:positionV relativeFrom="paragraph">
                  <wp:posOffset>85068</wp:posOffset>
                </wp:positionV>
                <wp:extent cx="0" cy="336550"/>
                <wp:effectExtent l="76200" t="0" r="76200" b="63500"/>
                <wp:wrapNone/>
                <wp:docPr id="476581686" name="Straight Arrow Connector 6"/>
                <wp:cNvGraphicFramePr/>
                <a:graphic xmlns:a="http://schemas.openxmlformats.org/drawingml/2006/main">
                  <a:graphicData uri="http://schemas.microsoft.com/office/word/2010/wordprocessingShape">
                    <wps:wsp>
                      <wps:cNvCnPr/>
                      <wps:spPr>
                        <a:xfrm>
                          <a:off x="0" y="0"/>
                          <a:ext cx="0" cy="336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97B9AC" id="Straight Arrow Connector 6" o:spid="_x0000_s1026" type="#_x0000_t32" style="position:absolute;margin-left:419.5pt;margin-top:6.7pt;width:0;height:26.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" strokecolor="#4472c4 [3204]" strokeweight=".5pt">
                <v:stroke endarrow="block" joinstyle="miter"/>
              </v:shape>
            </w:pict>
          </mc:Fallback>
        </mc:AlternateContent>
      </w:r>
      <w:r w:rsidRPr="000C638C">
        <w:rPr>
          <w:rFonts w:cstheme="minorHAnsi"/>
          <w:b/>
          <w:bCs/>
          <w:noProof/>
          <w:sz w:val="22"/>
          <w:szCs w:val="22"/>
        </w:rPr>
        <mc:AlternateContent>
          <mc:Choice Requires="wps">
            <w:drawing>
              <wp:anchor distT="0" distB="0" distL="114300" distR="114300" simplePos="0" relativeHeight="251669504" behindDoc="0" locked="0" layoutInCell="1" allowOverlap="1" wp14:anchorId="7648DDA2" wp14:editId="133FFDDB">
                <wp:simplePos x="0" y="0"/>
                <wp:positionH relativeFrom="column">
                  <wp:posOffset>889000</wp:posOffset>
                </wp:positionH>
                <wp:positionV relativeFrom="paragraph">
                  <wp:posOffset>89535</wp:posOffset>
                </wp:positionV>
                <wp:extent cx="0" cy="336550"/>
                <wp:effectExtent l="76200" t="0" r="76200" b="63500"/>
                <wp:wrapNone/>
                <wp:docPr id="184427966" name="Straight Arrow Connector 6"/>
                <wp:cNvGraphicFramePr/>
                <a:graphic xmlns:a="http://schemas.openxmlformats.org/drawingml/2006/main">
                  <a:graphicData uri="http://schemas.microsoft.com/office/word/2010/wordprocessingShape">
                    <wps:wsp>
                      <wps:cNvCnPr/>
                      <wps:spPr>
                        <a:xfrm>
                          <a:off x="0" y="0"/>
                          <a:ext cx="0" cy="336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CD35B6" id="Straight Arrow Connector 6" o:spid="_x0000_s1026" type="#_x0000_t32" style="position:absolute;margin-left:70pt;margin-top:7.05pt;width:0;height:26.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" strokecolor="#4472c4 [3204]" strokeweight=".5pt">
                <v:stroke endarrow="block" joinstyle="miter"/>
              </v:shape>
            </w:pict>
          </mc:Fallback>
        </mc:AlternateContent>
      </w:r>
      <w:r w:rsidRPr="000C638C">
        <w:rPr>
          <w:rFonts w:cstheme="minorHAnsi"/>
          <w:b/>
          <w:bCs/>
          <w:noProof/>
          <w:sz w:val="22"/>
          <w:szCs w:val="22"/>
        </w:rPr>
        <mc:AlternateContent>
          <mc:Choice Requires="wps">
            <w:drawing>
              <wp:anchor distT="0" distB="0" distL="114300" distR="114300" simplePos="0" relativeHeight="251667456" behindDoc="0" locked="0" layoutInCell="1" allowOverlap="1" wp14:anchorId="03A43EEF" wp14:editId="30B1FC27">
                <wp:simplePos x="0" y="0"/>
                <wp:positionH relativeFrom="column">
                  <wp:posOffset>889000</wp:posOffset>
                </wp:positionH>
                <wp:positionV relativeFrom="paragraph">
                  <wp:posOffset>95885</wp:posOffset>
                </wp:positionV>
                <wp:extent cx="4438650" cy="0"/>
                <wp:effectExtent l="0" t="0" r="0" b="0"/>
                <wp:wrapNone/>
                <wp:docPr id="1891079474" name="Straight Connector 4"/>
                <wp:cNvGraphicFramePr/>
                <a:graphic xmlns:a="http://schemas.openxmlformats.org/drawingml/2006/main">
                  <a:graphicData uri="http://schemas.microsoft.com/office/word/2010/wordprocessingShape">
                    <wps:wsp>
                      <wps:cNvCnPr/>
                      <wps:spPr>
                        <a:xfrm>
                          <a:off x="0" y="0"/>
                          <a:ext cx="4438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BEC89E" id="Straight Connector 4"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pt,7.55pt" to="419.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" strokecolor="#4472c4 [3204]" strokeweight=".5pt">
                <v:stroke joinstyle="miter"/>
              </v:line>
            </w:pict>
          </mc:Fallback>
        </mc:AlternateContent>
      </w:r>
    </w:p>
    <w:p w14:paraId="791CA1F6" w14:textId="01745DAE" w:rsidR="00264442" w:rsidRPr="000C638C" w:rsidRDefault="008C717C" w:rsidP="00153200">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75648" behindDoc="0" locked="0" layoutInCell="1" allowOverlap="1" wp14:anchorId="491C6197" wp14:editId="1086C094">
                <wp:simplePos x="0" y="0"/>
                <wp:positionH relativeFrom="margin">
                  <wp:posOffset>4299625</wp:posOffset>
                </wp:positionH>
                <wp:positionV relativeFrom="paragraph">
                  <wp:posOffset>212698</wp:posOffset>
                </wp:positionV>
                <wp:extent cx="1768475" cy="758190"/>
                <wp:effectExtent l="0" t="0" r="22225" b="22860"/>
                <wp:wrapNone/>
                <wp:docPr id="1364412155" name="Rectangle 1"/>
                <wp:cNvGraphicFramePr/>
                <a:graphic xmlns:a="http://schemas.openxmlformats.org/drawingml/2006/main">
                  <a:graphicData uri="http://schemas.microsoft.com/office/word/2010/wordprocessingShape">
                    <wps:wsp>
                      <wps:cNvSpPr/>
                      <wps:spPr>
                        <a:xfrm>
                          <a:off x="0" y="0"/>
                          <a:ext cx="1768475" cy="75819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5977B17B" w14:textId="299A5123" w:rsidR="008C717C" w:rsidRDefault="008C717C" w:rsidP="008C717C">
                            <w:pPr>
                              <w:spacing w:after="0" w:line="240" w:lineRule="auto"/>
                              <w:jc w:val="center"/>
                              <w:rPr>
                                <w:b/>
                                <w:bCs/>
                                <w:color w:val="000000" w:themeColor="text1"/>
                                <w:sz w:val="20"/>
                                <w:szCs w:val="20"/>
                              </w:rPr>
                            </w:pPr>
                            <w:r>
                              <w:rPr>
                                <w:b/>
                                <w:bCs/>
                                <w:color w:val="000000" w:themeColor="text1"/>
                                <w:sz w:val="20"/>
                                <w:szCs w:val="20"/>
                              </w:rPr>
                              <w:t>Accountability</w:t>
                            </w:r>
                          </w:p>
                          <w:p w14:paraId="25B19BFA" w14:textId="608A64EF" w:rsidR="008C717C" w:rsidRPr="008C717C" w:rsidRDefault="008C717C" w:rsidP="008C717C">
                            <w:pPr>
                              <w:spacing w:after="0" w:line="240" w:lineRule="auto"/>
                              <w:jc w:val="center"/>
                              <w:rPr>
                                <w:color w:val="000000" w:themeColor="text1"/>
                                <w:sz w:val="22"/>
                                <w:szCs w:val="22"/>
                              </w:rPr>
                            </w:pPr>
                            <w:r w:rsidRPr="008C717C">
                              <w:rPr>
                                <w:color w:val="000000" w:themeColor="text1"/>
                                <w:sz w:val="20"/>
                                <w:szCs w:val="20"/>
                              </w:rPr>
                              <w:t>Answerability of technological systems to human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C6197" id="_x0000_s1027" style="position:absolute;left:0;text-align:left;margin-left:338.55pt;margin-top:16.75pt;width:139.25pt;height:59.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" fillcolor="#91bce3 [2168]" strokecolor="#5b9bd5 [3208]" strokeweight=".5pt">
                <v:fill color2="#7aaddd [2616]" rotate="t" colors="0 #b1cbe9;.5 #a3c1e5;1 #92b9e4" focus="100%" type="gradient">
                  <o:fill v:ext="view" type="gradientUnscaled"/>
                </v:fill>
                <v:textbox>
                  <w:txbxContent>
                    <w:p w14:paraId="5977B17B" w14:textId="299A5123" w:rsidR="008C717C" w:rsidRDefault="008C717C" w:rsidP="008C717C">
                      <w:pPr>
                        <w:spacing w:after="0" w:line="240" w:lineRule="auto"/>
                        <w:jc w:val="center"/>
                        <w:rPr>
                          <w:b/>
                          <w:bCs/>
                          <w:color w:val="000000" w:themeColor="text1"/>
                          <w:sz w:val="20"/>
                          <w:szCs w:val="20"/>
                        </w:rPr>
                      </w:pPr>
                      <w:r>
                        <w:rPr>
                          <w:b/>
                          <w:bCs/>
                          <w:color w:val="000000" w:themeColor="text1"/>
                          <w:sz w:val="20"/>
                          <w:szCs w:val="20"/>
                        </w:rPr>
                        <w:t>Accountability</w:t>
                      </w:r>
                    </w:p>
                    <w:p w14:paraId="25B19BFA" w14:textId="608A64EF" w:rsidR="008C717C" w:rsidRPr="008C717C" w:rsidRDefault="008C717C" w:rsidP="008C717C">
                      <w:pPr>
                        <w:spacing w:after="0" w:line="240" w:lineRule="auto"/>
                        <w:jc w:val="center"/>
                        <w:rPr>
                          <w:color w:val="000000" w:themeColor="text1"/>
                          <w:sz w:val="22"/>
                          <w:szCs w:val="22"/>
                        </w:rPr>
                      </w:pPr>
                      <w:r w:rsidRPr="008C717C">
                        <w:rPr>
                          <w:color w:val="000000" w:themeColor="text1"/>
                          <w:sz w:val="20"/>
                          <w:szCs w:val="20"/>
                        </w:rPr>
                        <w:t>Answerability of technological systems to human values</w:t>
                      </w:r>
                    </w:p>
                  </w:txbxContent>
                </v:textbox>
                <w10:wrap anchorx="margin"/>
              </v:rect>
            </w:pict>
          </mc:Fallback>
        </mc:AlternateContent>
      </w:r>
      <w:r w:rsidRPr="000C638C">
        <w:rPr>
          <w:rFonts w:cstheme="minorHAnsi"/>
          <w:b/>
          <w:bCs/>
          <w:noProof/>
          <w:sz w:val="22"/>
          <w:szCs w:val="22"/>
        </w:rPr>
        <mc:AlternateContent>
          <mc:Choice Requires="wps">
            <w:drawing>
              <wp:anchor distT="0" distB="0" distL="114300" distR="114300" simplePos="0" relativeHeight="251673600" behindDoc="0" locked="0" layoutInCell="1" allowOverlap="1" wp14:anchorId="0272956A" wp14:editId="4D7A9FBF">
                <wp:simplePos x="0" y="0"/>
                <wp:positionH relativeFrom="margin">
                  <wp:posOffset>2191385</wp:posOffset>
                </wp:positionH>
                <wp:positionV relativeFrom="paragraph">
                  <wp:posOffset>207780</wp:posOffset>
                </wp:positionV>
                <wp:extent cx="1768475" cy="758190"/>
                <wp:effectExtent l="0" t="0" r="22225" b="22860"/>
                <wp:wrapNone/>
                <wp:docPr id="1146673402" name="Rectangle 1"/>
                <wp:cNvGraphicFramePr/>
                <a:graphic xmlns:a="http://schemas.openxmlformats.org/drawingml/2006/main">
                  <a:graphicData uri="http://schemas.microsoft.com/office/word/2010/wordprocessingShape">
                    <wps:wsp>
                      <wps:cNvSpPr/>
                      <wps:spPr>
                        <a:xfrm>
                          <a:off x="0" y="0"/>
                          <a:ext cx="1768475" cy="75819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70ADAEFA" w14:textId="521E992A" w:rsidR="008C717C" w:rsidRDefault="008C717C" w:rsidP="008C717C">
                            <w:pPr>
                              <w:spacing w:after="0" w:line="240" w:lineRule="auto"/>
                              <w:jc w:val="center"/>
                              <w:rPr>
                                <w:b/>
                                <w:bCs/>
                                <w:color w:val="000000" w:themeColor="text1"/>
                                <w:sz w:val="20"/>
                                <w:szCs w:val="20"/>
                              </w:rPr>
                            </w:pPr>
                            <w:r>
                              <w:rPr>
                                <w:b/>
                                <w:bCs/>
                                <w:color w:val="000000" w:themeColor="text1"/>
                                <w:sz w:val="20"/>
                                <w:szCs w:val="20"/>
                              </w:rPr>
                              <w:t>LIBERATION</w:t>
                            </w:r>
                          </w:p>
                          <w:p w14:paraId="33CB10ED" w14:textId="550939F5" w:rsidR="008C717C" w:rsidRPr="008C717C" w:rsidRDefault="008C717C" w:rsidP="008C717C">
                            <w:pPr>
                              <w:spacing w:after="0" w:line="240" w:lineRule="auto"/>
                              <w:jc w:val="center"/>
                              <w:rPr>
                                <w:color w:val="000000" w:themeColor="text1"/>
                                <w:sz w:val="22"/>
                                <w:szCs w:val="22"/>
                              </w:rPr>
                            </w:pPr>
                            <w:r w:rsidRPr="008C717C">
                              <w:rPr>
                                <w:color w:val="000000" w:themeColor="text1"/>
                                <w:sz w:val="20"/>
                                <w:szCs w:val="20"/>
                              </w:rPr>
                              <w:t>Critique of domination, exclusion, and algorithmic injustice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2956A" id="_x0000_s1028" style="position:absolute;left:0;text-align:left;margin-left:172.55pt;margin-top:16.35pt;width:139.25pt;height:59.7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" fillcolor="#91bce3 [2168]" strokecolor="#5b9bd5 [3208]" strokeweight=".5pt">
                <v:fill color2="#7aaddd [2616]" rotate="t" colors="0 #b1cbe9;.5 #a3c1e5;1 #92b9e4" focus="100%" type="gradient">
                  <o:fill v:ext="view" type="gradientUnscaled"/>
                </v:fill>
                <v:textbox>
                  <w:txbxContent>
                    <w:p w14:paraId="70ADAEFA" w14:textId="521E992A" w:rsidR="008C717C" w:rsidRDefault="008C717C" w:rsidP="008C717C">
                      <w:pPr>
                        <w:spacing w:after="0" w:line="240" w:lineRule="auto"/>
                        <w:jc w:val="center"/>
                        <w:rPr>
                          <w:b/>
                          <w:bCs/>
                          <w:color w:val="000000" w:themeColor="text1"/>
                          <w:sz w:val="20"/>
                          <w:szCs w:val="20"/>
                        </w:rPr>
                      </w:pPr>
                      <w:r>
                        <w:rPr>
                          <w:b/>
                          <w:bCs/>
                          <w:color w:val="000000" w:themeColor="text1"/>
                          <w:sz w:val="20"/>
                          <w:szCs w:val="20"/>
                        </w:rPr>
                        <w:t>LIBERATION</w:t>
                      </w:r>
                    </w:p>
                    <w:p w14:paraId="33CB10ED" w14:textId="550939F5" w:rsidR="008C717C" w:rsidRPr="008C717C" w:rsidRDefault="008C717C" w:rsidP="008C717C">
                      <w:pPr>
                        <w:spacing w:after="0" w:line="240" w:lineRule="auto"/>
                        <w:jc w:val="center"/>
                        <w:rPr>
                          <w:color w:val="000000" w:themeColor="text1"/>
                          <w:sz w:val="22"/>
                          <w:szCs w:val="22"/>
                        </w:rPr>
                      </w:pPr>
                      <w:r w:rsidRPr="008C717C">
                        <w:rPr>
                          <w:color w:val="000000" w:themeColor="text1"/>
                          <w:sz w:val="20"/>
                          <w:szCs w:val="20"/>
                        </w:rPr>
                        <w:t>Critique of domination, exclusion, and algorithmic injustice</w:t>
                      </w:r>
                    </w:p>
                  </w:txbxContent>
                </v:textbox>
                <w10:wrap anchorx="margin"/>
              </v:rect>
            </w:pict>
          </mc:Fallback>
        </mc:AlternateContent>
      </w:r>
      <w:r w:rsidRPr="000C638C">
        <w:rPr>
          <w:rFonts w:cstheme="minorHAnsi"/>
          <w:b/>
          <w:bCs/>
          <w:noProof/>
          <w:sz w:val="22"/>
          <w:szCs w:val="22"/>
        </w:rPr>
        <mc:AlternateContent>
          <mc:Choice Requires="wps">
            <w:drawing>
              <wp:anchor distT="0" distB="0" distL="114300" distR="114300" simplePos="0" relativeHeight="251662336" behindDoc="0" locked="0" layoutInCell="1" allowOverlap="1" wp14:anchorId="520C9B8B" wp14:editId="62D18E6D">
                <wp:simplePos x="0" y="0"/>
                <wp:positionH relativeFrom="margin">
                  <wp:align>left</wp:align>
                </wp:positionH>
                <wp:positionV relativeFrom="paragraph">
                  <wp:posOffset>203835</wp:posOffset>
                </wp:positionV>
                <wp:extent cx="1768891" cy="758757"/>
                <wp:effectExtent l="0" t="0" r="22225" b="22860"/>
                <wp:wrapNone/>
                <wp:docPr id="64754602" name="Rectangle 1"/>
                <wp:cNvGraphicFramePr/>
                <a:graphic xmlns:a="http://schemas.openxmlformats.org/drawingml/2006/main">
                  <a:graphicData uri="http://schemas.microsoft.com/office/word/2010/wordprocessingShape">
                    <wps:wsp>
                      <wps:cNvSpPr/>
                      <wps:spPr>
                        <a:xfrm>
                          <a:off x="0" y="0"/>
                          <a:ext cx="1768891" cy="758757"/>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7FD3A162" w14:textId="14490ED3" w:rsidR="00264442" w:rsidRDefault="008C717C" w:rsidP="008C717C">
                            <w:pPr>
                              <w:spacing w:after="0" w:line="240" w:lineRule="auto"/>
                              <w:jc w:val="center"/>
                              <w:rPr>
                                <w:b/>
                                <w:bCs/>
                                <w:color w:val="000000" w:themeColor="text1"/>
                                <w:sz w:val="20"/>
                                <w:szCs w:val="20"/>
                              </w:rPr>
                            </w:pPr>
                            <w:r w:rsidRPr="008C717C">
                              <w:rPr>
                                <w:b/>
                                <w:bCs/>
                                <w:color w:val="000000" w:themeColor="text1"/>
                                <w:sz w:val="20"/>
                                <w:szCs w:val="20"/>
                              </w:rPr>
                              <w:t>HUMANIZATION</w:t>
                            </w:r>
                          </w:p>
                          <w:p w14:paraId="2FF25BB2" w14:textId="77777777" w:rsidR="008C717C" w:rsidRDefault="008C717C" w:rsidP="008C717C">
                            <w:pPr>
                              <w:spacing w:after="0" w:line="240" w:lineRule="auto"/>
                              <w:jc w:val="center"/>
                              <w:rPr>
                                <w:b/>
                                <w:bCs/>
                                <w:color w:val="000000" w:themeColor="text1"/>
                                <w:sz w:val="20"/>
                                <w:szCs w:val="20"/>
                              </w:rPr>
                            </w:pPr>
                          </w:p>
                          <w:p w14:paraId="4954BB86" w14:textId="6582C2E0" w:rsidR="008C717C" w:rsidRPr="008C717C" w:rsidRDefault="008C717C" w:rsidP="008C717C">
                            <w:pPr>
                              <w:spacing w:after="0" w:line="240" w:lineRule="auto"/>
                              <w:jc w:val="center"/>
                              <w:rPr>
                                <w:color w:val="000000" w:themeColor="text1"/>
                                <w:sz w:val="20"/>
                                <w:szCs w:val="20"/>
                              </w:rPr>
                            </w:pPr>
                            <w:r w:rsidRPr="008C717C">
                              <w:rPr>
                                <w:color w:val="000000" w:themeColor="text1"/>
                                <w:sz w:val="20"/>
                                <w:szCs w:val="20"/>
                              </w:rPr>
                              <w:t>Protection of human dignity at the end of Law</w:t>
                            </w:r>
                          </w:p>
                          <w:p w14:paraId="5E541CC9" w14:textId="77777777" w:rsidR="008C717C" w:rsidRPr="008C717C" w:rsidRDefault="008C717C" w:rsidP="008C717C">
                            <w:pPr>
                              <w:spacing w:after="0" w:line="240" w:lineRule="auto"/>
                              <w:jc w:val="center"/>
                              <w:rPr>
                                <w:b/>
                                <w:bCs/>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C9B8B" id="_x0000_s1029" style="position:absolute;left:0;text-align:left;margin-left:0;margin-top:16.05pt;width:139.3pt;height:59.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" fillcolor="#91bce3 [2168]" strokecolor="#5b9bd5 [3208]" strokeweight=".5pt">
                <v:fill color2="#7aaddd [2616]" rotate="t" colors="0 #b1cbe9;.5 #a3c1e5;1 #92b9e4" focus="100%" type="gradient">
                  <o:fill v:ext="view" type="gradientUnscaled"/>
                </v:fill>
                <v:textbox>
                  <w:txbxContent>
                    <w:p w14:paraId="7FD3A162" w14:textId="14490ED3" w:rsidR="00264442" w:rsidRDefault="008C717C" w:rsidP="008C717C">
                      <w:pPr>
                        <w:spacing w:after="0" w:line="240" w:lineRule="auto"/>
                        <w:jc w:val="center"/>
                        <w:rPr>
                          <w:b/>
                          <w:bCs/>
                          <w:color w:val="000000" w:themeColor="text1"/>
                          <w:sz w:val="20"/>
                          <w:szCs w:val="20"/>
                        </w:rPr>
                      </w:pPr>
                      <w:r w:rsidRPr="008C717C">
                        <w:rPr>
                          <w:b/>
                          <w:bCs/>
                          <w:color w:val="000000" w:themeColor="text1"/>
                          <w:sz w:val="20"/>
                          <w:szCs w:val="20"/>
                        </w:rPr>
                        <w:t>HUMANIZATION</w:t>
                      </w:r>
                    </w:p>
                    <w:p w14:paraId="2FF25BB2" w14:textId="77777777" w:rsidR="008C717C" w:rsidRDefault="008C717C" w:rsidP="008C717C">
                      <w:pPr>
                        <w:spacing w:after="0" w:line="240" w:lineRule="auto"/>
                        <w:jc w:val="center"/>
                        <w:rPr>
                          <w:b/>
                          <w:bCs/>
                          <w:color w:val="000000" w:themeColor="text1"/>
                          <w:sz w:val="20"/>
                          <w:szCs w:val="20"/>
                        </w:rPr>
                      </w:pPr>
                    </w:p>
                    <w:p w14:paraId="4954BB86" w14:textId="6582C2E0" w:rsidR="008C717C" w:rsidRPr="008C717C" w:rsidRDefault="008C717C" w:rsidP="008C717C">
                      <w:pPr>
                        <w:spacing w:after="0" w:line="240" w:lineRule="auto"/>
                        <w:jc w:val="center"/>
                        <w:rPr>
                          <w:color w:val="000000" w:themeColor="text1"/>
                          <w:sz w:val="20"/>
                          <w:szCs w:val="20"/>
                        </w:rPr>
                      </w:pPr>
                      <w:r w:rsidRPr="008C717C">
                        <w:rPr>
                          <w:color w:val="000000" w:themeColor="text1"/>
                          <w:sz w:val="20"/>
                          <w:szCs w:val="20"/>
                        </w:rPr>
                        <w:t>Protection of human dignity at the end of Law</w:t>
                      </w:r>
                    </w:p>
                    <w:p w14:paraId="5E541CC9" w14:textId="77777777" w:rsidR="008C717C" w:rsidRPr="008C717C" w:rsidRDefault="008C717C" w:rsidP="008C717C">
                      <w:pPr>
                        <w:spacing w:after="0" w:line="240" w:lineRule="auto"/>
                        <w:jc w:val="center"/>
                        <w:rPr>
                          <w:b/>
                          <w:bCs/>
                          <w:color w:val="000000" w:themeColor="text1"/>
                          <w:sz w:val="22"/>
                          <w:szCs w:val="22"/>
                        </w:rPr>
                      </w:pPr>
                    </w:p>
                  </w:txbxContent>
                </v:textbox>
                <w10:wrap anchorx="margin"/>
              </v:rect>
            </w:pict>
          </mc:Fallback>
        </mc:AlternateContent>
      </w:r>
    </w:p>
    <w:p w14:paraId="398585E5" w14:textId="2A5B08FB" w:rsidR="00264442" w:rsidRPr="000C638C" w:rsidRDefault="00264442" w:rsidP="00153200">
      <w:pPr>
        <w:tabs>
          <w:tab w:val="left" w:pos="900"/>
        </w:tabs>
        <w:spacing w:after="0"/>
        <w:ind w:left="360"/>
        <w:jc w:val="both"/>
        <w:rPr>
          <w:rFonts w:cstheme="minorHAnsi"/>
          <w:b/>
          <w:bCs/>
          <w:sz w:val="22"/>
          <w:szCs w:val="22"/>
        </w:rPr>
      </w:pPr>
    </w:p>
    <w:p w14:paraId="71B3466E" w14:textId="4309A453" w:rsidR="00264442" w:rsidRPr="000C638C" w:rsidRDefault="00264442" w:rsidP="00153200">
      <w:pPr>
        <w:tabs>
          <w:tab w:val="left" w:pos="900"/>
        </w:tabs>
        <w:spacing w:after="0"/>
        <w:ind w:left="360"/>
        <w:jc w:val="both"/>
        <w:rPr>
          <w:rFonts w:cstheme="minorHAnsi"/>
          <w:b/>
          <w:bCs/>
          <w:sz w:val="22"/>
          <w:szCs w:val="22"/>
        </w:rPr>
      </w:pPr>
    </w:p>
    <w:p w14:paraId="3072F57D" w14:textId="5CAD2418" w:rsidR="00264442" w:rsidRPr="000C638C" w:rsidRDefault="00264442" w:rsidP="00153200">
      <w:pPr>
        <w:tabs>
          <w:tab w:val="left" w:pos="900"/>
        </w:tabs>
        <w:spacing w:after="0"/>
        <w:ind w:left="360"/>
        <w:jc w:val="both"/>
        <w:rPr>
          <w:rFonts w:cstheme="minorHAnsi"/>
          <w:b/>
          <w:bCs/>
          <w:sz w:val="22"/>
          <w:szCs w:val="22"/>
        </w:rPr>
      </w:pPr>
    </w:p>
    <w:p w14:paraId="5AA87D39" w14:textId="43D94B6B" w:rsidR="00264442" w:rsidRPr="000C638C" w:rsidRDefault="008C717C" w:rsidP="00153200">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82816" behindDoc="0" locked="0" layoutInCell="1" allowOverlap="1" wp14:anchorId="1726105F" wp14:editId="265C0095">
                <wp:simplePos x="0" y="0"/>
                <wp:positionH relativeFrom="column">
                  <wp:posOffset>5318800</wp:posOffset>
                </wp:positionH>
                <wp:positionV relativeFrom="paragraph">
                  <wp:posOffset>102370</wp:posOffset>
                </wp:positionV>
                <wp:extent cx="0" cy="336550"/>
                <wp:effectExtent l="76200" t="0" r="76200" b="63500"/>
                <wp:wrapNone/>
                <wp:docPr id="1362316657" name="Straight Arrow Connector 6"/>
                <wp:cNvGraphicFramePr/>
                <a:graphic xmlns:a="http://schemas.openxmlformats.org/drawingml/2006/main">
                  <a:graphicData uri="http://schemas.microsoft.com/office/word/2010/wordprocessingShape">
                    <wps:wsp>
                      <wps:cNvCnPr/>
                      <wps:spPr>
                        <a:xfrm>
                          <a:off x="0" y="0"/>
                          <a:ext cx="0" cy="336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BB0C24" id="Straight Arrow Connector 6" o:spid="_x0000_s1026" type="#_x0000_t32" style="position:absolute;margin-left:418.8pt;margin-top:8.05pt;width:0;height:26.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" strokecolor="#4472c4 [3204]" strokeweight=".5pt">
                <v:stroke endarrow="block" joinstyle="miter"/>
              </v:shape>
            </w:pict>
          </mc:Fallback>
        </mc:AlternateContent>
      </w:r>
      <w:r w:rsidRPr="000C638C">
        <w:rPr>
          <w:rFonts w:cstheme="minorHAnsi"/>
          <w:b/>
          <w:bCs/>
          <w:noProof/>
          <w:sz w:val="22"/>
          <w:szCs w:val="22"/>
        </w:rPr>
        <mc:AlternateContent>
          <mc:Choice Requires="wps">
            <w:drawing>
              <wp:anchor distT="0" distB="0" distL="114300" distR="114300" simplePos="0" relativeHeight="251680768" behindDoc="0" locked="0" layoutInCell="1" allowOverlap="1" wp14:anchorId="793C1A23" wp14:editId="65035EA8">
                <wp:simplePos x="0" y="0"/>
                <wp:positionH relativeFrom="column">
                  <wp:posOffset>881974</wp:posOffset>
                </wp:positionH>
                <wp:positionV relativeFrom="paragraph">
                  <wp:posOffset>115908</wp:posOffset>
                </wp:positionV>
                <wp:extent cx="0" cy="336550"/>
                <wp:effectExtent l="76200" t="0" r="76200" b="63500"/>
                <wp:wrapNone/>
                <wp:docPr id="291213010" name="Straight Arrow Connector 6"/>
                <wp:cNvGraphicFramePr/>
                <a:graphic xmlns:a="http://schemas.openxmlformats.org/drawingml/2006/main">
                  <a:graphicData uri="http://schemas.microsoft.com/office/word/2010/wordprocessingShape">
                    <wps:wsp>
                      <wps:cNvCnPr/>
                      <wps:spPr>
                        <a:xfrm>
                          <a:off x="0" y="0"/>
                          <a:ext cx="0" cy="336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FFFCD7" id="Straight Arrow Connector 6" o:spid="_x0000_s1026" type="#_x0000_t32" style="position:absolute;margin-left:69.45pt;margin-top:9.15pt;width:0;height:26.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" strokecolor="#4472c4 [3204]" strokeweight=".5pt">
                <v:stroke endarrow="block" joinstyle="miter"/>
              </v:shape>
            </w:pict>
          </mc:Fallback>
        </mc:AlternateContent>
      </w:r>
      <w:r w:rsidRPr="000C638C">
        <w:rPr>
          <w:rFonts w:cstheme="minorHAnsi"/>
          <w:b/>
          <w:bCs/>
          <w:noProof/>
          <w:sz w:val="22"/>
          <w:szCs w:val="22"/>
        </w:rPr>
        <mc:AlternateContent>
          <mc:Choice Requires="wps">
            <w:drawing>
              <wp:anchor distT="0" distB="0" distL="114300" distR="114300" simplePos="0" relativeHeight="251677696" behindDoc="0" locked="0" layoutInCell="1" allowOverlap="1" wp14:anchorId="0CDD00DD" wp14:editId="211D1F79">
                <wp:simplePos x="0" y="0"/>
                <wp:positionH relativeFrom="column">
                  <wp:posOffset>3060564</wp:posOffset>
                </wp:positionH>
                <wp:positionV relativeFrom="paragraph">
                  <wp:posOffset>101114</wp:posOffset>
                </wp:positionV>
                <wp:extent cx="0" cy="723900"/>
                <wp:effectExtent l="76200" t="0" r="57150" b="57150"/>
                <wp:wrapNone/>
                <wp:docPr id="2082772180" name="Straight Arrow Connector 5"/>
                <wp:cNvGraphicFramePr/>
                <a:graphic xmlns:a="http://schemas.openxmlformats.org/drawingml/2006/main">
                  <a:graphicData uri="http://schemas.microsoft.com/office/word/2010/wordprocessingShape">
                    <wps:wsp>
                      <wps:cNvCnPr/>
                      <wps:spPr>
                        <a:xfrm>
                          <a:off x="0" y="0"/>
                          <a:ext cx="0"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9D33E2" id="Straight Arrow Connector 5" o:spid="_x0000_s1026" type="#_x0000_t32" style="position:absolute;margin-left:241pt;margin-top:7.95pt;width:0;height:57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" strokecolor="#4472c4 [3204]" strokeweight=".5pt">
                <v:stroke endarrow="block" joinstyle="miter"/>
              </v:shape>
            </w:pict>
          </mc:Fallback>
        </mc:AlternateContent>
      </w:r>
    </w:p>
    <w:p w14:paraId="73EDAA0E" w14:textId="1C0588D3" w:rsidR="00264442" w:rsidRPr="000C638C" w:rsidRDefault="00264442" w:rsidP="00153200">
      <w:pPr>
        <w:tabs>
          <w:tab w:val="left" w:pos="900"/>
        </w:tabs>
        <w:spacing w:after="0"/>
        <w:ind w:left="360"/>
        <w:jc w:val="both"/>
        <w:rPr>
          <w:rFonts w:cstheme="minorHAnsi"/>
          <w:b/>
          <w:bCs/>
          <w:sz w:val="22"/>
          <w:szCs w:val="22"/>
        </w:rPr>
      </w:pPr>
    </w:p>
    <w:p w14:paraId="7DF3A862" w14:textId="16343672" w:rsidR="00264442" w:rsidRPr="000C638C" w:rsidRDefault="008C717C" w:rsidP="00153200">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78720" behindDoc="0" locked="0" layoutInCell="1" allowOverlap="1" wp14:anchorId="421B4C1F" wp14:editId="14207735">
                <wp:simplePos x="0" y="0"/>
                <wp:positionH relativeFrom="column">
                  <wp:posOffset>869003</wp:posOffset>
                </wp:positionH>
                <wp:positionV relativeFrom="paragraph">
                  <wp:posOffset>10606</wp:posOffset>
                </wp:positionV>
                <wp:extent cx="4448783" cy="0"/>
                <wp:effectExtent l="0" t="0" r="0" b="0"/>
                <wp:wrapNone/>
                <wp:docPr id="1635917002" name="Straight Connector 7"/>
                <wp:cNvGraphicFramePr/>
                <a:graphic xmlns:a="http://schemas.openxmlformats.org/drawingml/2006/main">
                  <a:graphicData uri="http://schemas.microsoft.com/office/word/2010/wordprocessingShape">
                    <wps:wsp>
                      <wps:cNvCnPr/>
                      <wps:spPr>
                        <a:xfrm>
                          <a:off x="0" y="0"/>
                          <a:ext cx="444878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B81C0" id="Straight Connector 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68.45pt,.85pt" to="418.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" strokecolor="#4472c4 [3204]" strokeweight=".5pt">
                <v:stroke joinstyle="miter"/>
              </v:line>
            </w:pict>
          </mc:Fallback>
        </mc:AlternateContent>
      </w:r>
    </w:p>
    <w:p w14:paraId="30C19D9E" w14:textId="3428B1FE" w:rsidR="00264442" w:rsidRPr="000C638C" w:rsidRDefault="008C717C" w:rsidP="00153200">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84864" behindDoc="0" locked="0" layoutInCell="1" allowOverlap="1" wp14:anchorId="1EB7BC79" wp14:editId="59F58E26">
                <wp:simplePos x="0" y="0"/>
                <wp:positionH relativeFrom="column">
                  <wp:posOffset>1609225</wp:posOffset>
                </wp:positionH>
                <wp:positionV relativeFrom="paragraph">
                  <wp:posOffset>184150</wp:posOffset>
                </wp:positionV>
                <wp:extent cx="2905327" cy="514350"/>
                <wp:effectExtent l="0" t="0" r="28575" b="19050"/>
                <wp:wrapNone/>
                <wp:docPr id="1682749431" name="Rectangle 1"/>
                <wp:cNvGraphicFramePr/>
                <a:graphic xmlns:a="http://schemas.openxmlformats.org/drawingml/2006/main">
                  <a:graphicData uri="http://schemas.microsoft.com/office/word/2010/wordprocessingShape">
                    <wps:wsp>
                      <wps:cNvSpPr/>
                      <wps:spPr>
                        <a:xfrm>
                          <a:off x="0" y="0"/>
                          <a:ext cx="2905327" cy="514350"/>
                        </a:xfrm>
                        <a:prstGeom prst="rect">
                          <a:avLst/>
                        </a:prstGeom>
                        <a:solidFill>
                          <a:schemeClr val="accent1">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9950D4" w14:textId="00BD52F4" w:rsidR="008C717C" w:rsidRDefault="008C717C" w:rsidP="008C717C">
                            <w:pPr>
                              <w:spacing w:after="0" w:line="240" w:lineRule="auto"/>
                              <w:jc w:val="center"/>
                              <w:rPr>
                                <w:b/>
                                <w:bCs/>
                                <w:sz w:val="22"/>
                                <w:szCs w:val="22"/>
                              </w:rPr>
                            </w:pPr>
                            <w:r>
                              <w:rPr>
                                <w:b/>
                                <w:bCs/>
                                <w:sz w:val="22"/>
                                <w:szCs w:val="22"/>
                              </w:rPr>
                              <w:t>TECHNONOLOGICAL GOVERNANCE</w:t>
                            </w:r>
                          </w:p>
                          <w:p w14:paraId="53A8ED4C" w14:textId="6B0ADEEA" w:rsidR="008C717C" w:rsidRPr="008C717C" w:rsidRDefault="008C717C" w:rsidP="008C717C">
                            <w:pPr>
                              <w:spacing w:after="0" w:line="240" w:lineRule="auto"/>
                              <w:jc w:val="center"/>
                              <w:rPr>
                                <w:sz w:val="22"/>
                                <w:szCs w:val="22"/>
                              </w:rPr>
                            </w:pPr>
                            <w:r w:rsidRPr="008C717C">
                              <w:rPr>
                                <w:sz w:val="22"/>
                                <w:szCs w:val="22"/>
                              </w:rPr>
                              <w:t>Institutional application of three concepts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7BC79" id="_x0000_s1030" style="position:absolute;left:0;text-align:left;margin-left:126.7pt;margin-top:14.5pt;width:228.75pt;height: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" fillcolor="#2f5496 [2404]" strokecolor="#09101d [484]" strokeweight="1pt">
                <v:textbox>
                  <w:txbxContent>
                    <w:p w14:paraId="599950D4" w14:textId="00BD52F4" w:rsidR="008C717C" w:rsidRDefault="008C717C" w:rsidP="008C717C">
                      <w:pPr>
                        <w:spacing w:after="0" w:line="240" w:lineRule="auto"/>
                        <w:jc w:val="center"/>
                        <w:rPr>
                          <w:b/>
                          <w:bCs/>
                          <w:sz w:val="22"/>
                          <w:szCs w:val="22"/>
                        </w:rPr>
                      </w:pPr>
                      <w:r>
                        <w:rPr>
                          <w:b/>
                          <w:bCs/>
                          <w:sz w:val="22"/>
                          <w:szCs w:val="22"/>
                        </w:rPr>
                        <w:t>TECHNONOLOGICAL GOVERNANCE</w:t>
                      </w:r>
                    </w:p>
                    <w:p w14:paraId="53A8ED4C" w14:textId="6B0ADEEA" w:rsidR="008C717C" w:rsidRPr="008C717C" w:rsidRDefault="008C717C" w:rsidP="008C717C">
                      <w:pPr>
                        <w:spacing w:after="0" w:line="240" w:lineRule="auto"/>
                        <w:jc w:val="center"/>
                        <w:rPr>
                          <w:sz w:val="22"/>
                          <w:szCs w:val="22"/>
                        </w:rPr>
                      </w:pPr>
                      <w:r w:rsidRPr="008C717C">
                        <w:rPr>
                          <w:sz w:val="22"/>
                          <w:szCs w:val="22"/>
                        </w:rPr>
                        <w:t>Institutional application of three concepts</w:t>
                      </w:r>
                    </w:p>
                  </w:txbxContent>
                </v:textbox>
              </v:rect>
            </w:pict>
          </mc:Fallback>
        </mc:AlternateContent>
      </w:r>
    </w:p>
    <w:p w14:paraId="6B244A71" w14:textId="03822DEE" w:rsidR="00264442" w:rsidRPr="000C638C" w:rsidRDefault="00264442" w:rsidP="00153200">
      <w:pPr>
        <w:tabs>
          <w:tab w:val="left" w:pos="900"/>
        </w:tabs>
        <w:spacing w:after="0"/>
        <w:ind w:left="360"/>
        <w:jc w:val="both"/>
        <w:rPr>
          <w:rFonts w:cstheme="minorHAnsi"/>
          <w:b/>
          <w:bCs/>
          <w:sz w:val="22"/>
          <w:szCs w:val="22"/>
        </w:rPr>
      </w:pPr>
    </w:p>
    <w:p w14:paraId="3282183B" w14:textId="042711B2" w:rsidR="008C717C" w:rsidRPr="000C638C" w:rsidRDefault="008C717C" w:rsidP="00153200">
      <w:pPr>
        <w:tabs>
          <w:tab w:val="left" w:pos="900"/>
        </w:tabs>
        <w:spacing w:after="0"/>
        <w:ind w:left="360"/>
        <w:jc w:val="both"/>
        <w:rPr>
          <w:rFonts w:cstheme="minorHAnsi"/>
          <w:b/>
          <w:bCs/>
          <w:sz w:val="22"/>
          <w:szCs w:val="22"/>
        </w:rPr>
      </w:pPr>
    </w:p>
    <w:p w14:paraId="64FB842F" w14:textId="3A774BD0" w:rsidR="008C717C" w:rsidRPr="000C638C" w:rsidRDefault="003A73F6" w:rsidP="00153200">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88960" behindDoc="0" locked="0" layoutInCell="1" allowOverlap="1" wp14:anchorId="32E639E1" wp14:editId="718B547E">
                <wp:simplePos x="0" y="0"/>
                <wp:positionH relativeFrom="column">
                  <wp:posOffset>3048000</wp:posOffset>
                </wp:positionH>
                <wp:positionV relativeFrom="paragraph">
                  <wp:posOffset>7742</wp:posOffset>
                </wp:positionV>
                <wp:extent cx="0" cy="723900"/>
                <wp:effectExtent l="76200" t="0" r="57150" b="57150"/>
                <wp:wrapNone/>
                <wp:docPr id="1306465642" name="Straight Arrow Connector 5"/>
                <wp:cNvGraphicFramePr/>
                <a:graphic xmlns:a="http://schemas.openxmlformats.org/drawingml/2006/main">
                  <a:graphicData uri="http://schemas.microsoft.com/office/word/2010/wordprocessingShape">
                    <wps:wsp>
                      <wps:cNvCnPr/>
                      <wps:spPr>
                        <a:xfrm>
                          <a:off x="0" y="0"/>
                          <a:ext cx="0"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406D01" id="Straight Arrow Connector 5" o:spid="_x0000_s1026" type="#_x0000_t32" style="position:absolute;margin-left:240pt;margin-top:.6pt;width:0;height:57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" strokecolor="#4472c4 [3204]" strokeweight=".5pt">
                <v:stroke endarrow="block" joinstyle="miter"/>
              </v:shape>
            </w:pict>
          </mc:Fallback>
        </mc:AlternateContent>
      </w:r>
    </w:p>
    <w:p w14:paraId="5F57EAD4" w14:textId="593752FB" w:rsidR="008C717C" w:rsidRPr="000C638C" w:rsidRDefault="008C717C" w:rsidP="00153200">
      <w:pPr>
        <w:tabs>
          <w:tab w:val="left" w:pos="900"/>
        </w:tabs>
        <w:spacing w:after="0"/>
        <w:ind w:left="360"/>
        <w:jc w:val="both"/>
        <w:rPr>
          <w:rFonts w:cstheme="minorHAnsi"/>
          <w:b/>
          <w:bCs/>
          <w:sz w:val="22"/>
          <w:szCs w:val="22"/>
        </w:rPr>
      </w:pPr>
    </w:p>
    <w:p w14:paraId="75043331" w14:textId="77777777" w:rsidR="008C717C" w:rsidRPr="000C638C" w:rsidRDefault="008C717C" w:rsidP="00153200">
      <w:pPr>
        <w:tabs>
          <w:tab w:val="left" w:pos="900"/>
        </w:tabs>
        <w:spacing w:after="0"/>
        <w:ind w:left="360"/>
        <w:jc w:val="both"/>
        <w:rPr>
          <w:rFonts w:cstheme="minorHAnsi"/>
          <w:b/>
          <w:bCs/>
          <w:sz w:val="22"/>
          <w:szCs w:val="22"/>
        </w:rPr>
      </w:pPr>
    </w:p>
    <w:p w14:paraId="01C7F375" w14:textId="47F49935" w:rsidR="00264442" w:rsidRPr="000C638C" w:rsidRDefault="008C717C" w:rsidP="00153200">
      <w:pPr>
        <w:tabs>
          <w:tab w:val="left" w:pos="900"/>
        </w:tabs>
        <w:spacing w:after="0"/>
        <w:ind w:left="36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86912" behindDoc="0" locked="0" layoutInCell="1" allowOverlap="1" wp14:anchorId="59CA0D98" wp14:editId="12175814">
                <wp:simplePos x="0" y="0"/>
                <wp:positionH relativeFrom="column">
                  <wp:posOffset>1132340</wp:posOffset>
                </wp:positionH>
                <wp:positionV relativeFrom="paragraph">
                  <wp:posOffset>58420</wp:posOffset>
                </wp:positionV>
                <wp:extent cx="3826213" cy="514350"/>
                <wp:effectExtent l="0" t="0" r="22225" b="19050"/>
                <wp:wrapNone/>
                <wp:docPr id="1568071319" name="Rectangle 1"/>
                <wp:cNvGraphicFramePr/>
                <a:graphic xmlns:a="http://schemas.openxmlformats.org/drawingml/2006/main">
                  <a:graphicData uri="http://schemas.microsoft.com/office/word/2010/wordprocessingShape">
                    <wps:wsp>
                      <wps:cNvSpPr/>
                      <wps:spPr>
                        <a:xfrm>
                          <a:off x="0" y="0"/>
                          <a:ext cx="3826213" cy="5143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8A391BF" w14:textId="3FA53C6C" w:rsidR="008C717C" w:rsidRDefault="008C717C" w:rsidP="008C717C">
                            <w:pPr>
                              <w:spacing w:after="0" w:line="240" w:lineRule="auto"/>
                              <w:jc w:val="center"/>
                              <w:rPr>
                                <w:b/>
                                <w:bCs/>
                                <w:sz w:val="22"/>
                                <w:szCs w:val="22"/>
                              </w:rPr>
                            </w:pPr>
                            <w:r>
                              <w:rPr>
                                <w:b/>
                                <w:bCs/>
                                <w:sz w:val="22"/>
                                <w:szCs w:val="22"/>
                              </w:rPr>
                              <w:t>Human Centered Society 5.0</w:t>
                            </w:r>
                          </w:p>
                          <w:p w14:paraId="7B146CF0" w14:textId="60A43761" w:rsidR="008C717C" w:rsidRPr="008C717C" w:rsidRDefault="008C717C" w:rsidP="008C717C">
                            <w:pPr>
                              <w:spacing w:after="0" w:line="240" w:lineRule="auto"/>
                              <w:jc w:val="center"/>
                              <w:rPr>
                                <w:sz w:val="22"/>
                                <w:szCs w:val="22"/>
                              </w:rPr>
                            </w:pPr>
                            <w:r>
                              <w:rPr>
                                <w:b/>
                                <w:bCs/>
                                <w:sz w:val="22"/>
                                <w:szCs w:val="22"/>
                              </w:rPr>
                              <w:t xml:space="preserve">Technology </w:t>
                            </w:r>
                            <w:r w:rsidR="003A73F6">
                              <w:rPr>
                                <w:b/>
                                <w:bCs/>
                                <w:sz w:val="22"/>
                                <w:szCs w:val="22"/>
                              </w:rPr>
                              <w:t>enhances existence rather than substitute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A0D98" id="_x0000_s1031" style="position:absolute;left:0;text-align:left;margin-left:89.15pt;margin-top:4.6pt;width:301.3pt;height: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" fillcolor="white [3201]" strokecolor="#4472c4 [3204]" strokeweight="1pt">
                <v:textbox>
                  <w:txbxContent>
                    <w:p w14:paraId="18A391BF" w14:textId="3FA53C6C" w:rsidR="008C717C" w:rsidRDefault="008C717C" w:rsidP="008C717C">
                      <w:pPr>
                        <w:spacing w:after="0" w:line="240" w:lineRule="auto"/>
                        <w:jc w:val="center"/>
                        <w:rPr>
                          <w:b/>
                          <w:bCs/>
                          <w:sz w:val="22"/>
                          <w:szCs w:val="22"/>
                        </w:rPr>
                      </w:pPr>
                      <w:r>
                        <w:rPr>
                          <w:b/>
                          <w:bCs/>
                          <w:sz w:val="22"/>
                          <w:szCs w:val="22"/>
                        </w:rPr>
                        <w:t>Human Centered Society 5.0</w:t>
                      </w:r>
                    </w:p>
                    <w:p w14:paraId="7B146CF0" w14:textId="60A43761" w:rsidR="008C717C" w:rsidRPr="008C717C" w:rsidRDefault="008C717C" w:rsidP="008C717C">
                      <w:pPr>
                        <w:spacing w:after="0" w:line="240" w:lineRule="auto"/>
                        <w:jc w:val="center"/>
                        <w:rPr>
                          <w:sz w:val="22"/>
                          <w:szCs w:val="22"/>
                        </w:rPr>
                      </w:pPr>
                      <w:r>
                        <w:rPr>
                          <w:b/>
                          <w:bCs/>
                          <w:sz w:val="22"/>
                          <w:szCs w:val="22"/>
                        </w:rPr>
                        <w:t xml:space="preserve">Technology </w:t>
                      </w:r>
                      <w:r w:rsidR="003A73F6">
                        <w:rPr>
                          <w:b/>
                          <w:bCs/>
                          <w:sz w:val="22"/>
                          <w:szCs w:val="22"/>
                        </w:rPr>
                        <w:t>enhances existence rather than substitute it</w:t>
                      </w:r>
                    </w:p>
                  </w:txbxContent>
                </v:textbox>
              </v:rect>
            </w:pict>
          </mc:Fallback>
        </mc:AlternateContent>
      </w:r>
    </w:p>
    <w:p w14:paraId="12796256" w14:textId="2BD93C8C" w:rsidR="008C717C" w:rsidRPr="000C638C" w:rsidRDefault="008C717C" w:rsidP="00153200">
      <w:pPr>
        <w:tabs>
          <w:tab w:val="left" w:pos="900"/>
        </w:tabs>
        <w:spacing w:after="0"/>
        <w:ind w:left="360"/>
        <w:jc w:val="both"/>
        <w:rPr>
          <w:rFonts w:cstheme="minorHAnsi"/>
          <w:b/>
          <w:bCs/>
          <w:sz w:val="22"/>
          <w:szCs w:val="22"/>
        </w:rPr>
      </w:pPr>
    </w:p>
    <w:p w14:paraId="7D7987D7" w14:textId="77777777" w:rsidR="008C717C" w:rsidRPr="000C638C" w:rsidRDefault="008C717C" w:rsidP="00153200">
      <w:pPr>
        <w:tabs>
          <w:tab w:val="left" w:pos="900"/>
        </w:tabs>
        <w:spacing w:after="0"/>
        <w:ind w:left="360"/>
        <w:jc w:val="both"/>
        <w:rPr>
          <w:rFonts w:cstheme="minorHAnsi"/>
          <w:b/>
          <w:bCs/>
          <w:sz w:val="22"/>
          <w:szCs w:val="22"/>
        </w:rPr>
      </w:pPr>
    </w:p>
    <w:p w14:paraId="23D2A324" w14:textId="5B85EBAB" w:rsidR="008C717C" w:rsidRPr="000C638C" w:rsidRDefault="00974958" w:rsidP="00974958">
      <w:pPr>
        <w:tabs>
          <w:tab w:val="left" w:pos="900"/>
        </w:tabs>
        <w:spacing w:after="0"/>
        <w:ind w:left="360"/>
        <w:jc w:val="center"/>
        <w:rPr>
          <w:rFonts w:cstheme="minorHAnsi"/>
          <w:i/>
          <w:iCs/>
          <w:sz w:val="16"/>
          <w:szCs w:val="16"/>
        </w:rPr>
      </w:pPr>
      <w:r w:rsidRPr="000C638C">
        <w:rPr>
          <w:rFonts w:cstheme="minorHAnsi"/>
          <w:i/>
          <w:iCs/>
          <w:sz w:val="16"/>
          <w:szCs w:val="16"/>
        </w:rPr>
        <w:t>Note. Developed by the author to depict the argument set out in Section 4.3. Arrows denote the direction of normative derivation, not causal or temporal sequence</w:t>
      </w:r>
    </w:p>
    <w:p w14:paraId="5E289B48" w14:textId="77777777" w:rsidR="00974958" w:rsidRPr="000C638C" w:rsidRDefault="00974958" w:rsidP="00153200">
      <w:pPr>
        <w:tabs>
          <w:tab w:val="left" w:pos="900"/>
        </w:tabs>
        <w:spacing w:after="0"/>
        <w:ind w:left="360"/>
        <w:jc w:val="both"/>
        <w:rPr>
          <w:rFonts w:cstheme="minorHAnsi"/>
          <w:b/>
          <w:bCs/>
          <w:sz w:val="22"/>
          <w:szCs w:val="22"/>
        </w:rPr>
      </w:pPr>
    </w:p>
    <w:p w14:paraId="039F230D" w14:textId="77777777" w:rsidR="00974958" w:rsidRPr="000C638C" w:rsidRDefault="00974958" w:rsidP="00153200">
      <w:pPr>
        <w:tabs>
          <w:tab w:val="left" w:pos="900"/>
        </w:tabs>
        <w:spacing w:after="0"/>
        <w:ind w:left="360"/>
        <w:jc w:val="both"/>
        <w:rPr>
          <w:rFonts w:cstheme="minorHAnsi"/>
          <w:b/>
          <w:bCs/>
          <w:sz w:val="22"/>
          <w:szCs w:val="22"/>
        </w:rPr>
      </w:pPr>
    </w:p>
    <w:p w14:paraId="05B1C8F2" w14:textId="543CEFA6" w:rsidR="005D1EC0" w:rsidRPr="000C638C" w:rsidRDefault="005D1EC0" w:rsidP="00741803">
      <w:pPr>
        <w:tabs>
          <w:tab w:val="left" w:pos="1815"/>
        </w:tabs>
        <w:spacing w:after="0"/>
        <w:ind w:left="900" w:firstLine="450"/>
        <w:jc w:val="both"/>
        <w:rPr>
          <w:rFonts w:cstheme="minorHAnsi"/>
          <w:sz w:val="22"/>
          <w:szCs w:val="22"/>
        </w:rPr>
      </w:pPr>
      <w:r w:rsidRPr="000C638C">
        <w:rPr>
          <w:rFonts w:cstheme="minorHAnsi"/>
          <w:sz w:val="22"/>
          <w:szCs w:val="22"/>
        </w:rPr>
        <w:t>Figure 1 depicts the Internal Structure of Prophetic Legal Epistemology (PLE). Here, Transcendence is the highest source of normative authority. It guides legal reasoning that is not merely bound by the law. Legal reasoning then applies three interrelated concepts: humanization, liberation, and accountability. Together, these concepts determine technological governance</w:t>
      </w:r>
      <w:r w:rsidR="00153200" w:rsidRPr="000C638C">
        <w:rPr>
          <w:rFonts w:cstheme="minorHAnsi"/>
          <w:sz w:val="22"/>
          <w:szCs w:val="22"/>
        </w:rPr>
        <w:t>, in which control of technology and ethical, responsible governance</w:t>
      </w:r>
      <w:r w:rsidRPr="000C638C">
        <w:rPr>
          <w:rFonts w:cstheme="minorHAnsi"/>
          <w:sz w:val="22"/>
          <w:szCs w:val="22"/>
        </w:rPr>
        <w:t xml:space="preserve"> safeguard human dignity. The overarching aim is t</w:t>
      </w:r>
      <w:r w:rsidR="000E7B2E" w:rsidRPr="000C638C">
        <w:rPr>
          <w:rFonts w:cstheme="minorHAnsi"/>
          <w:sz w:val="22"/>
          <w:szCs w:val="22"/>
        </w:rPr>
        <w:t>o achieve a genuinely human-centered Society 5.0 in which technology enhances human existence rather than replacing</w:t>
      </w:r>
      <w:r w:rsidRPr="000C638C">
        <w:rPr>
          <w:rFonts w:cstheme="minorHAnsi"/>
          <w:sz w:val="22"/>
          <w:szCs w:val="22"/>
        </w:rPr>
        <w:t xml:space="preserve"> it.</w:t>
      </w:r>
    </w:p>
    <w:p w14:paraId="3F2561CB" w14:textId="0E7EA64D" w:rsidR="000C638C" w:rsidRPr="000C638C" w:rsidRDefault="00153200" w:rsidP="00832731">
      <w:pPr>
        <w:spacing w:after="0"/>
        <w:ind w:left="900" w:firstLine="450"/>
        <w:jc w:val="both"/>
        <w:rPr>
          <w:rFonts w:cstheme="minorHAnsi"/>
          <w:sz w:val="22"/>
          <w:szCs w:val="22"/>
        </w:rPr>
      </w:pPr>
      <w:r w:rsidRPr="000C638C">
        <w:rPr>
          <w:rFonts w:cstheme="minorHAnsi"/>
          <w:sz w:val="22"/>
          <w:szCs w:val="22"/>
        </w:rPr>
        <w:t>Building on Kuntowijoyo's ideas, this research extends Prophetic Legal Epistemology as a framework for</w:t>
      </w:r>
      <w:r w:rsidR="005D1EC0" w:rsidRPr="000C638C">
        <w:rPr>
          <w:rFonts w:cstheme="minorHAnsi"/>
          <w:sz w:val="22"/>
          <w:szCs w:val="22"/>
        </w:rPr>
        <w:t xml:space="preserve"> legal philosophy to respond to the normative demands of Society 5.0. This </w:t>
      </w:r>
      <w:r w:rsidR="005D1EC0" w:rsidRPr="000C638C">
        <w:rPr>
          <w:rFonts w:cstheme="minorHAnsi"/>
          <w:sz w:val="22"/>
          <w:szCs w:val="22"/>
        </w:rPr>
        <w:lastRenderedPageBreak/>
        <w:t xml:space="preserve">framework </w:t>
      </w:r>
      <w:r w:rsidRPr="000C638C">
        <w:rPr>
          <w:rFonts w:cstheme="minorHAnsi"/>
          <w:sz w:val="22"/>
          <w:szCs w:val="22"/>
        </w:rPr>
        <w:t>comprises</w:t>
      </w:r>
      <w:r w:rsidR="005D1EC0" w:rsidRPr="000C638C">
        <w:rPr>
          <w:rFonts w:cstheme="minorHAnsi"/>
          <w:sz w:val="22"/>
          <w:szCs w:val="22"/>
        </w:rPr>
        <w:t xml:space="preserve"> four interrelated components that enable legal reasoning and </w:t>
      </w:r>
      <w:r w:rsidR="000E7B2E" w:rsidRPr="000C638C">
        <w:rPr>
          <w:rFonts w:cstheme="minorHAnsi"/>
          <w:sz w:val="22"/>
          <w:szCs w:val="22"/>
        </w:rPr>
        <w:t>governance of technology</w:t>
      </w:r>
      <w:r w:rsidR="005D1EC0" w:rsidRPr="000C638C">
        <w:rPr>
          <w:rFonts w:cstheme="minorHAnsi"/>
          <w:sz w:val="22"/>
          <w:szCs w:val="22"/>
        </w:rPr>
        <w:t>.</w:t>
      </w:r>
    </w:p>
    <w:p w14:paraId="730D61D7" w14:textId="494C7922"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Transcendence as the Highest Source of Normative Authority</w:t>
      </w:r>
    </w:p>
    <w:p w14:paraId="4575AF23" w14:textId="2FD69D00" w:rsidR="005D1EC0" w:rsidRPr="000C638C" w:rsidRDefault="005D1EC0" w:rsidP="00153200">
      <w:pPr>
        <w:spacing w:after="0"/>
        <w:ind w:left="900"/>
        <w:jc w:val="both"/>
        <w:rPr>
          <w:rFonts w:cstheme="minorHAnsi"/>
          <w:sz w:val="22"/>
          <w:szCs w:val="22"/>
        </w:rPr>
      </w:pPr>
      <w:r w:rsidRPr="000C638C">
        <w:rPr>
          <w:rFonts w:cstheme="minorHAnsi"/>
          <w:sz w:val="22"/>
          <w:szCs w:val="22"/>
        </w:rPr>
        <w:t>The first component is Transcendence. In contrast to secular philosophies that derive legitimacy from social or institutional consensus, prophetic legal epistemology posits that transcendental principles are the highest source of normative authority. Transcendence offers an ethical demarcation for assessing legal and technological norms.</w:t>
      </w:r>
    </w:p>
    <w:p w14:paraId="1C45DF1D" w14:textId="15CFEEFC"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Humanization as the Goal of Law</w:t>
      </w:r>
    </w:p>
    <w:p w14:paraId="2570EAA1" w14:textId="62CAF0CB" w:rsidR="005D1EC0" w:rsidRPr="000C638C" w:rsidRDefault="005D1EC0" w:rsidP="00153200">
      <w:pPr>
        <w:spacing w:after="0"/>
        <w:ind w:left="900"/>
        <w:jc w:val="both"/>
        <w:rPr>
          <w:rFonts w:cstheme="minorHAnsi"/>
          <w:sz w:val="22"/>
          <w:szCs w:val="22"/>
        </w:rPr>
      </w:pPr>
      <w:r w:rsidRPr="000C638C">
        <w:rPr>
          <w:rFonts w:cstheme="minorHAnsi"/>
          <w:sz w:val="22"/>
          <w:szCs w:val="22"/>
        </w:rPr>
        <w:t>The second component is humanization. Rather than being an external objective of policies, the protection of human dignity must be the aim of the legal system. Hence, the legal</w:t>
      </w:r>
      <w:r w:rsidR="00153200" w:rsidRPr="000C638C">
        <w:rPr>
          <w:rFonts w:cstheme="minorHAnsi"/>
          <w:sz w:val="22"/>
          <w:szCs w:val="22"/>
        </w:rPr>
        <w:t>, technological</w:t>
      </w:r>
      <w:r w:rsidR="00A50552">
        <w:rPr>
          <w:rFonts w:cstheme="minorHAnsi"/>
          <w:sz w:val="22"/>
          <w:szCs w:val="22"/>
        </w:rPr>
        <w:t>,</w:t>
      </w:r>
      <w:r w:rsidR="00153200" w:rsidRPr="000C638C">
        <w:rPr>
          <w:rFonts w:cstheme="minorHAnsi"/>
          <w:sz w:val="22"/>
          <w:szCs w:val="22"/>
        </w:rPr>
        <w:t xml:space="preserve"> and governance systems</w:t>
      </w:r>
      <w:r w:rsidRPr="000C638C">
        <w:rPr>
          <w:rFonts w:cstheme="minorHAnsi"/>
          <w:sz w:val="22"/>
          <w:szCs w:val="22"/>
        </w:rPr>
        <w:t xml:space="preserve"> must be evaluated based on their potential to promote human dignity.</w:t>
      </w:r>
    </w:p>
    <w:p w14:paraId="4A2B356D" w14:textId="65100705"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Liberation as a Corrective Principle</w:t>
      </w:r>
    </w:p>
    <w:p w14:paraId="746F24FF" w14:textId="7BD6FF82" w:rsidR="005D1EC0" w:rsidRPr="000C638C" w:rsidRDefault="005D1EC0" w:rsidP="00153200">
      <w:pPr>
        <w:spacing w:after="0"/>
        <w:ind w:left="900"/>
        <w:jc w:val="both"/>
        <w:rPr>
          <w:rFonts w:cstheme="minorHAnsi"/>
          <w:b/>
          <w:bCs/>
          <w:sz w:val="22"/>
          <w:szCs w:val="22"/>
        </w:rPr>
      </w:pPr>
      <w:r w:rsidRPr="000C638C">
        <w:rPr>
          <w:rFonts w:cstheme="minorHAnsi"/>
          <w:sz w:val="22"/>
          <w:szCs w:val="22"/>
        </w:rPr>
        <w:t>The third aspect is liberation. Legal systems should monitor for forms of domination, exclusion, and inequality that may arise through the governance of technology. Liberation serves as an important tool in law’s identification and rectification of algorithmic injustice.</w:t>
      </w:r>
    </w:p>
    <w:p w14:paraId="6C4F6417" w14:textId="32EA43FA"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Technological Governance as Institutional Application</w:t>
      </w:r>
    </w:p>
    <w:p w14:paraId="17A0BB82" w14:textId="11F0569B" w:rsidR="00175614" w:rsidRPr="000C638C" w:rsidRDefault="005D1EC0" w:rsidP="00153200">
      <w:pPr>
        <w:spacing w:after="0"/>
        <w:ind w:left="900"/>
        <w:jc w:val="both"/>
        <w:rPr>
          <w:rFonts w:cstheme="minorHAnsi"/>
          <w:sz w:val="22"/>
          <w:szCs w:val="22"/>
        </w:rPr>
      </w:pPr>
      <w:r w:rsidRPr="000C638C">
        <w:rPr>
          <w:rFonts w:cstheme="minorHAnsi"/>
          <w:sz w:val="22"/>
          <w:szCs w:val="22"/>
        </w:rPr>
        <w:t>The fourth aspect is t</w:t>
      </w:r>
      <w:r w:rsidR="00153200" w:rsidRPr="000C638C">
        <w:rPr>
          <w:rFonts w:cstheme="minorHAnsi"/>
          <w:sz w:val="22"/>
          <w:szCs w:val="22"/>
        </w:rPr>
        <w:t>echnology governance</w:t>
      </w:r>
      <w:r w:rsidRPr="000C638C">
        <w:rPr>
          <w:rFonts w:cstheme="minorHAnsi"/>
          <w:sz w:val="22"/>
          <w:szCs w:val="22"/>
        </w:rPr>
        <w:t>. Within prophetic legal epistemology, there is no aversion to t</w:t>
      </w:r>
      <w:r w:rsidR="00153200" w:rsidRPr="000C638C">
        <w:rPr>
          <w:rFonts w:cstheme="minorHAnsi"/>
          <w:sz w:val="22"/>
          <w:szCs w:val="22"/>
        </w:rPr>
        <w:t>echnological innovation</w:t>
      </w:r>
      <w:r w:rsidRPr="000C638C">
        <w:rPr>
          <w:rFonts w:cstheme="minorHAnsi"/>
          <w:sz w:val="22"/>
          <w:szCs w:val="22"/>
        </w:rPr>
        <w:t>. The goal is to position technological governance in the service of superior values and goals that center on humanity. This p</w:t>
      </w:r>
      <w:r w:rsidR="00153200" w:rsidRPr="000C638C">
        <w:rPr>
          <w:rFonts w:cstheme="minorHAnsi"/>
          <w:sz w:val="22"/>
          <w:szCs w:val="22"/>
        </w:rPr>
        <w:t xml:space="preserve">ositions technology as a means of achieving </w:t>
      </w:r>
      <w:r w:rsidR="009E6E15" w:rsidRPr="000C638C">
        <w:rPr>
          <w:rFonts w:cstheme="minorHAnsi"/>
          <w:sz w:val="22"/>
          <w:szCs w:val="22"/>
        </w:rPr>
        <w:t>humanity's flourishing</w:t>
      </w:r>
      <w:r w:rsidR="00153200" w:rsidRPr="000C638C">
        <w:rPr>
          <w:rFonts w:cstheme="minorHAnsi"/>
          <w:sz w:val="22"/>
          <w:szCs w:val="22"/>
        </w:rPr>
        <w:t>, rather than as</w:t>
      </w:r>
      <w:r w:rsidRPr="000C638C">
        <w:rPr>
          <w:rFonts w:cstheme="minorHAnsi"/>
          <w:sz w:val="22"/>
          <w:szCs w:val="22"/>
        </w:rPr>
        <w:t xml:space="preserve"> a source of governance and control.</w:t>
      </w:r>
      <w:r w:rsidR="00153200" w:rsidRPr="000C638C">
        <w:rPr>
          <w:rFonts w:cstheme="minorHAnsi"/>
          <w:sz w:val="22"/>
          <w:szCs w:val="22"/>
        </w:rPr>
        <w:t xml:space="preserve"> </w:t>
      </w:r>
      <w:r w:rsidRPr="000C638C">
        <w:rPr>
          <w:rFonts w:cstheme="minorHAnsi"/>
          <w:sz w:val="22"/>
          <w:szCs w:val="22"/>
        </w:rPr>
        <w:t xml:space="preserve">When viewed collectively, they form a cohesive structure of legal thought that </w:t>
      </w:r>
      <w:r w:rsidR="009E6E15" w:rsidRPr="000C638C">
        <w:rPr>
          <w:rFonts w:cstheme="minorHAnsi"/>
          <w:sz w:val="22"/>
          <w:szCs w:val="22"/>
        </w:rPr>
        <w:t>integrates law, ethics, and technology into a single</w:t>
      </w:r>
      <w:r w:rsidRPr="000C638C">
        <w:rPr>
          <w:rFonts w:cstheme="minorHAnsi"/>
          <w:sz w:val="22"/>
          <w:szCs w:val="22"/>
        </w:rPr>
        <w:t xml:space="preserve"> system.</w:t>
      </w:r>
    </w:p>
    <w:p w14:paraId="432AF3D2" w14:textId="77777777" w:rsidR="005D1EC0" w:rsidRPr="000C638C" w:rsidRDefault="005D1EC0" w:rsidP="005D1EC0">
      <w:pPr>
        <w:spacing w:after="0"/>
        <w:jc w:val="both"/>
        <w:rPr>
          <w:rFonts w:cstheme="minorHAnsi"/>
          <w:sz w:val="22"/>
          <w:szCs w:val="22"/>
        </w:rPr>
      </w:pPr>
    </w:p>
    <w:p w14:paraId="05705186" w14:textId="5E4E64B9" w:rsidR="00830D40" w:rsidRPr="000C638C" w:rsidRDefault="00830D40"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4.4. </w:t>
      </w:r>
      <w:r w:rsidR="00153200" w:rsidRPr="000C638C">
        <w:rPr>
          <w:rFonts w:cstheme="minorHAnsi"/>
          <w:b/>
          <w:bCs/>
          <w:sz w:val="22"/>
          <w:szCs w:val="22"/>
        </w:rPr>
        <w:tab/>
      </w:r>
      <w:r w:rsidRPr="000C638C">
        <w:rPr>
          <w:rFonts w:cstheme="minorHAnsi"/>
          <w:b/>
          <w:bCs/>
          <w:sz w:val="22"/>
          <w:szCs w:val="22"/>
        </w:rPr>
        <w:t>The Three Propositions of Prophetic Legal Epistemology</w:t>
      </w:r>
    </w:p>
    <w:p w14:paraId="423D1E35" w14:textId="35B7EF11" w:rsidR="005D1EC0" w:rsidRPr="000C638C" w:rsidRDefault="005D1EC0" w:rsidP="00153200">
      <w:pPr>
        <w:spacing w:after="0"/>
        <w:ind w:left="900"/>
        <w:jc w:val="both"/>
        <w:rPr>
          <w:rFonts w:cstheme="minorHAnsi"/>
          <w:sz w:val="22"/>
          <w:szCs w:val="22"/>
        </w:rPr>
      </w:pPr>
      <w:r w:rsidRPr="000C638C">
        <w:rPr>
          <w:rFonts w:cstheme="minorHAnsi"/>
          <w:sz w:val="22"/>
          <w:szCs w:val="22"/>
        </w:rPr>
        <w:t xml:space="preserve">The study presents a theoretical reconstruction that </w:t>
      </w:r>
      <w:r w:rsidR="00153200" w:rsidRPr="000C638C">
        <w:rPr>
          <w:rFonts w:cstheme="minorHAnsi"/>
          <w:sz w:val="22"/>
          <w:szCs w:val="22"/>
        </w:rPr>
        <w:t>yields three propositions regarding</w:t>
      </w:r>
      <w:r w:rsidRPr="000C638C">
        <w:rPr>
          <w:rFonts w:cstheme="minorHAnsi"/>
          <w:sz w:val="22"/>
          <w:szCs w:val="22"/>
        </w:rPr>
        <w:t xml:space="preserve"> Prophetic Legal Epistemology.</w:t>
      </w:r>
    </w:p>
    <w:p w14:paraId="0A41BEA3" w14:textId="1708CE8F"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Proposition 1</w:t>
      </w:r>
    </w:p>
    <w:p w14:paraId="69C69162" w14:textId="52DF59BA"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Legal validity in algorithmic governance requires both procedural legality and transcendental legitimacy.</w:t>
      </w:r>
    </w:p>
    <w:p w14:paraId="68B64411" w14:textId="7EDC0B55" w:rsidR="00974958" w:rsidRPr="000C638C" w:rsidRDefault="005D1EC0" w:rsidP="00741803">
      <w:pPr>
        <w:spacing w:after="0"/>
        <w:ind w:left="900"/>
        <w:jc w:val="both"/>
        <w:rPr>
          <w:rFonts w:cstheme="minorHAnsi"/>
          <w:sz w:val="22"/>
          <w:szCs w:val="22"/>
        </w:rPr>
      </w:pPr>
      <w:r w:rsidRPr="000C638C">
        <w:rPr>
          <w:rFonts w:cstheme="minorHAnsi"/>
          <w:sz w:val="22"/>
          <w:szCs w:val="22"/>
        </w:rPr>
        <w:t>This proposition refutes the argument that legal legitimacy can be derived solely from procedural law. In contextually mediated technological environments, law can be supplemented by a value judgment grounded in dignity and an ethics of care.</w:t>
      </w:r>
    </w:p>
    <w:p w14:paraId="1DA9086D" w14:textId="1DF657DA"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Proposition 2</w:t>
      </w:r>
    </w:p>
    <w:p w14:paraId="37EF4918" w14:textId="77777777"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Human dignity functions as a constitutive condition of legal authority rather than a supplementary ethical consideration.</w:t>
      </w:r>
    </w:p>
    <w:p w14:paraId="14D86FDE" w14:textId="28492447" w:rsidR="005D1EC0" w:rsidRPr="000C638C" w:rsidRDefault="00164149" w:rsidP="00153200">
      <w:pPr>
        <w:spacing w:after="0"/>
        <w:ind w:left="900"/>
        <w:jc w:val="both"/>
        <w:rPr>
          <w:rFonts w:cstheme="minorHAnsi"/>
          <w:sz w:val="22"/>
          <w:szCs w:val="22"/>
        </w:rPr>
      </w:pPr>
      <w:r w:rsidRPr="000C638C">
        <w:rPr>
          <w:rFonts w:cstheme="minorHAnsi"/>
          <w:sz w:val="22"/>
          <w:szCs w:val="22"/>
        </w:rPr>
        <w:t>In most contemporary governance systems, human dignity is regarded as an external value that constrains</w:t>
      </w:r>
      <w:r w:rsidR="005D1EC0" w:rsidRPr="000C638C">
        <w:rPr>
          <w:rFonts w:cstheme="minorHAnsi"/>
          <w:sz w:val="22"/>
          <w:szCs w:val="22"/>
        </w:rPr>
        <w:t xml:space="preserve"> legal systems. Conversely, Prophetic Legal Epistemology </w:t>
      </w:r>
      <w:r w:rsidR="009E6E15" w:rsidRPr="000C638C">
        <w:rPr>
          <w:rFonts w:cstheme="minorHAnsi"/>
          <w:sz w:val="22"/>
          <w:szCs w:val="22"/>
        </w:rPr>
        <w:t>holds that human dignity is</w:t>
      </w:r>
      <w:r w:rsidR="005D1EC0" w:rsidRPr="000C638C">
        <w:rPr>
          <w:rFonts w:cstheme="minorHAnsi"/>
          <w:sz w:val="22"/>
          <w:szCs w:val="22"/>
        </w:rPr>
        <w:t xml:space="preserve"> </w:t>
      </w:r>
      <w:r w:rsidR="00153200" w:rsidRPr="000C638C">
        <w:rPr>
          <w:rFonts w:cstheme="minorHAnsi"/>
          <w:sz w:val="22"/>
          <w:szCs w:val="22"/>
        </w:rPr>
        <w:t>the fundamental criterion for assessing</w:t>
      </w:r>
      <w:r w:rsidR="005D1EC0" w:rsidRPr="000C638C">
        <w:rPr>
          <w:rFonts w:cstheme="minorHAnsi"/>
          <w:sz w:val="22"/>
          <w:szCs w:val="22"/>
        </w:rPr>
        <w:t xml:space="preserve"> legal authority.</w:t>
      </w:r>
    </w:p>
    <w:p w14:paraId="4967FA6A" w14:textId="31269292"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Proposition 3</w:t>
      </w:r>
    </w:p>
    <w:p w14:paraId="65495D62" w14:textId="77777777" w:rsidR="005D1EC0" w:rsidRPr="000C638C" w:rsidRDefault="005D1EC0" w:rsidP="00153200">
      <w:pPr>
        <w:spacing w:after="0"/>
        <w:ind w:left="900"/>
        <w:jc w:val="both"/>
        <w:rPr>
          <w:rFonts w:cstheme="minorHAnsi"/>
          <w:b/>
          <w:bCs/>
          <w:sz w:val="22"/>
          <w:szCs w:val="22"/>
        </w:rPr>
      </w:pPr>
      <w:r w:rsidRPr="000C638C">
        <w:rPr>
          <w:rFonts w:cstheme="minorHAnsi"/>
          <w:b/>
          <w:bCs/>
          <w:sz w:val="22"/>
          <w:szCs w:val="22"/>
        </w:rPr>
        <w:t>Algorithmic governance should remain normatively subordinate to transcendental and human-centered legal values.</w:t>
      </w:r>
    </w:p>
    <w:p w14:paraId="35DD7B1E" w14:textId="04026135" w:rsidR="005D1EC0" w:rsidRPr="000C638C" w:rsidRDefault="005D1EC0" w:rsidP="00153200">
      <w:pPr>
        <w:spacing w:after="0"/>
        <w:ind w:left="900"/>
        <w:jc w:val="both"/>
        <w:rPr>
          <w:rFonts w:cstheme="minorHAnsi"/>
          <w:sz w:val="22"/>
          <w:szCs w:val="22"/>
        </w:rPr>
      </w:pPr>
      <w:r w:rsidRPr="000C638C">
        <w:rPr>
          <w:rFonts w:cstheme="minorHAnsi"/>
          <w:sz w:val="22"/>
          <w:szCs w:val="22"/>
        </w:rPr>
        <w:lastRenderedPageBreak/>
        <w:t xml:space="preserve">While technological systems </w:t>
      </w:r>
      <w:r w:rsidR="00153200" w:rsidRPr="000C638C">
        <w:rPr>
          <w:rFonts w:cstheme="minorHAnsi"/>
          <w:sz w:val="22"/>
          <w:szCs w:val="22"/>
        </w:rPr>
        <w:t>exercise significant</w:t>
      </w:r>
      <w:r w:rsidRPr="000C638C">
        <w:rPr>
          <w:rFonts w:cstheme="minorHAnsi"/>
          <w:sz w:val="22"/>
          <w:szCs w:val="22"/>
        </w:rPr>
        <w:t xml:space="preserve"> control over decision-making, they are not, at their core, morally autonomous. Therefore, governance systems must ensure that algorithmic processes are bound to a legal and ethical order that prioritizes human well-being.</w:t>
      </w:r>
    </w:p>
    <w:p w14:paraId="0894EC61" w14:textId="2BBEA094" w:rsidR="00741803" w:rsidRPr="000C638C" w:rsidRDefault="005D1EC0" w:rsidP="00832731">
      <w:pPr>
        <w:spacing w:after="0"/>
        <w:ind w:left="900"/>
        <w:jc w:val="both"/>
        <w:rPr>
          <w:rFonts w:cstheme="minorHAnsi"/>
          <w:sz w:val="22"/>
          <w:szCs w:val="22"/>
        </w:rPr>
      </w:pPr>
      <w:r w:rsidRPr="000C638C">
        <w:rPr>
          <w:rFonts w:cstheme="minorHAnsi"/>
          <w:sz w:val="22"/>
          <w:szCs w:val="22"/>
        </w:rPr>
        <w:t>These propositions provide the foundational elements of an innovative legal theory for Society 5.0.</w:t>
      </w:r>
    </w:p>
    <w:p w14:paraId="5F4227DE" w14:textId="266BBCBE" w:rsidR="00830D40" w:rsidRPr="000C638C" w:rsidRDefault="00830D40"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4.5. </w:t>
      </w:r>
      <w:r w:rsidR="00153200" w:rsidRPr="000C638C">
        <w:rPr>
          <w:rFonts w:cstheme="minorHAnsi"/>
          <w:b/>
          <w:bCs/>
          <w:sz w:val="22"/>
          <w:szCs w:val="22"/>
        </w:rPr>
        <w:tab/>
      </w:r>
      <w:r w:rsidRPr="000C638C">
        <w:rPr>
          <w:rFonts w:cstheme="minorHAnsi"/>
          <w:b/>
          <w:bCs/>
          <w:sz w:val="22"/>
          <w:szCs w:val="22"/>
        </w:rPr>
        <w:t>A Prophetic Model of AI Governance</w:t>
      </w:r>
    </w:p>
    <w:p w14:paraId="4D5B61B1" w14:textId="77777777" w:rsidR="00830D40" w:rsidRPr="000C638C" w:rsidRDefault="00830D40" w:rsidP="00830D40">
      <w:pPr>
        <w:spacing w:after="0"/>
        <w:jc w:val="both"/>
        <w:rPr>
          <w:rFonts w:cstheme="minorHAnsi"/>
          <w:b/>
          <w:bCs/>
          <w:sz w:val="22"/>
          <w:szCs w:val="22"/>
        </w:rPr>
      </w:pPr>
    </w:p>
    <w:p w14:paraId="5A099417" w14:textId="5E37F849" w:rsidR="00974958" w:rsidRPr="000C638C" w:rsidRDefault="00974958" w:rsidP="00974958">
      <w:pPr>
        <w:spacing w:after="0"/>
        <w:jc w:val="center"/>
        <w:rPr>
          <w:rFonts w:cstheme="minorHAnsi"/>
          <w:b/>
          <w:bCs/>
          <w:sz w:val="22"/>
          <w:szCs w:val="22"/>
        </w:rPr>
      </w:pPr>
      <w:r w:rsidRPr="000C638C">
        <w:rPr>
          <w:rFonts w:cstheme="minorHAnsi"/>
          <w:b/>
          <w:bCs/>
          <w:sz w:val="22"/>
          <w:szCs w:val="22"/>
        </w:rPr>
        <w:t>Figure 2</w:t>
      </w:r>
    </w:p>
    <w:p w14:paraId="51C9F24E" w14:textId="17120971" w:rsidR="00974958" w:rsidRPr="000C638C" w:rsidRDefault="00974958" w:rsidP="00974958">
      <w:pPr>
        <w:spacing w:after="0"/>
        <w:jc w:val="center"/>
        <w:rPr>
          <w:rFonts w:cstheme="minorHAnsi"/>
          <w:b/>
          <w:bCs/>
          <w:sz w:val="22"/>
          <w:szCs w:val="22"/>
        </w:rPr>
      </w:pPr>
      <w:r w:rsidRPr="000C638C">
        <w:rPr>
          <w:rFonts w:cstheme="minorHAnsi"/>
          <w:b/>
          <w:bCs/>
          <w:sz w:val="22"/>
          <w:szCs w:val="22"/>
        </w:rPr>
        <w:t>A Prophetic Model of AI Governance</w:t>
      </w:r>
    </w:p>
    <w:p w14:paraId="0273B88D" w14:textId="3AB2E5BC" w:rsidR="00974958" w:rsidRPr="000C638C" w:rsidRDefault="00974958" w:rsidP="00974958">
      <w:pPr>
        <w:spacing w:after="0"/>
        <w:jc w:val="center"/>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89984" behindDoc="0" locked="0" layoutInCell="1" allowOverlap="1" wp14:anchorId="7C243615" wp14:editId="16BBA556">
                <wp:simplePos x="0" y="0"/>
                <wp:positionH relativeFrom="column">
                  <wp:posOffset>1813686</wp:posOffset>
                </wp:positionH>
                <wp:positionV relativeFrom="paragraph">
                  <wp:posOffset>88443</wp:posOffset>
                </wp:positionV>
                <wp:extent cx="2569388" cy="476093"/>
                <wp:effectExtent l="0" t="0" r="21590" b="19685"/>
                <wp:wrapNone/>
                <wp:docPr id="2035167718" name="Rectangle: Rounded Corners 8"/>
                <wp:cNvGraphicFramePr/>
                <a:graphic xmlns:a="http://schemas.openxmlformats.org/drawingml/2006/main">
                  <a:graphicData uri="http://schemas.microsoft.com/office/word/2010/wordprocessingShape">
                    <wps:wsp>
                      <wps:cNvSpPr/>
                      <wps:spPr>
                        <a:xfrm>
                          <a:off x="0" y="0"/>
                          <a:ext cx="2569388" cy="476093"/>
                        </a:xfrm>
                        <a:prstGeom prst="roundRect">
                          <a:avLst/>
                        </a:prstGeom>
                        <a:solidFill>
                          <a:schemeClr val="accent5">
                            <a:lumMod val="40000"/>
                            <a:lumOff val="6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412694" w14:textId="002915FD" w:rsidR="00204CC0" w:rsidRPr="00204CC0" w:rsidRDefault="00204CC0" w:rsidP="00204CC0">
                            <w:pPr>
                              <w:jc w:val="center"/>
                              <w:rPr>
                                <w:b/>
                                <w:bCs/>
                                <w:color w:val="000000" w:themeColor="text1"/>
                              </w:rPr>
                            </w:pPr>
                            <w:r w:rsidRPr="00204CC0">
                              <w:rPr>
                                <w:b/>
                                <w:bCs/>
                                <w:color w:val="000000" w:themeColor="text1"/>
                              </w:rPr>
                              <w:t>Algorithmic System Output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243615" id="Rectangle: Rounded Corners 8" o:spid="_x0000_s1032" style="position:absolute;left:0;text-align:left;margin-left:142.8pt;margin-top:6.95pt;width:202.3pt;height:37.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" fillcolor="#bdd6ee [1304]" strokecolor="#d9e2f3 [660]" strokeweight="1pt">
                <v:stroke joinstyle="miter"/>
                <v:textbox>
                  <w:txbxContent>
                    <w:p w14:paraId="18412694" w14:textId="002915FD" w:rsidR="00204CC0" w:rsidRPr="00204CC0" w:rsidRDefault="00204CC0" w:rsidP="00204CC0">
                      <w:pPr>
                        <w:jc w:val="center"/>
                        <w:rPr>
                          <w:b/>
                          <w:bCs/>
                          <w:color w:val="000000" w:themeColor="text1"/>
                        </w:rPr>
                      </w:pPr>
                      <w:r w:rsidRPr="00204CC0">
                        <w:rPr>
                          <w:b/>
                          <w:bCs/>
                          <w:color w:val="000000" w:themeColor="text1"/>
                        </w:rPr>
                        <w:t>Algorithmic System Output</w:t>
                      </w:r>
                    </w:p>
                  </w:txbxContent>
                </v:textbox>
              </v:roundrect>
            </w:pict>
          </mc:Fallback>
        </mc:AlternateContent>
      </w:r>
    </w:p>
    <w:p w14:paraId="202FBA1C" w14:textId="77777777" w:rsidR="00974958" w:rsidRPr="000C638C" w:rsidRDefault="00974958" w:rsidP="00974958">
      <w:pPr>
        <w:spacing w:after="0"/>
        <w:jc w:val="center"/>
        <w:rPr>
          <w:rFonts w:cstheme="minorHAnsi"/>
          <w:b/>
          <w:bCs/>
          <w:sz w:val="22"/>
          <w:szCs w:val="22"/>
        </w:rPr>
      </w:pPr>
    </w:p>
    <w:p w14:paraId="5833C7C3" w14:textId="3D2DEBE5" w:rsidR="00974958" w:rsidRPr="000C638C" w:rsidRDefault="00204CC0" w:rsidP="00974958">
      <w:pPr>
        <w:spacing w:after="0"/>
        <w:jc w:val="center"/>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91008" behindDoc="0" locked="0" layoutInCell="1" allowOverlap="1" wp14:anchorId="25BF8948" wp14:editId="770632C9">
                <wp:simplePos x="0" y="0"/>
                <wp:positionH relativeFrom="column">
                  <wp:posOffset>1153732</wp:posOffset>
                </wp:positionH>
                <wp:positionV relativeFrom="paragraph">
                  <wp:posOffset>64770</wp:posOffset>
                </wp:positionV>
                <wp:extent cx="3861640" cy="823715"/>
                <wp:effectExtent l="0" t="0" r="24765" b="14605"/>
                <wp:wrapNone/>
                <wp:docPr id="1996606808" name="Rectangle 9"/>
                <wp:cNvGraphicFramePr/>
                <a:graphic xmlns:a="http://schemas.openxmlformats.org/drawingml/2006/main">
                  <a:graphicData uri="http://schemas.microsoft.com/office/word/2010/wordprocessingShape">
                    <wps:wsp>
                      <wps:cNvSpPr/>
                      <wps:spPr>
                        <a:xfrm>
                          <a:off x="0" y="0"/>
                          <a:ext cx="3861640" cy="82371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306817B" w14:textId="109CF326" w:rsidR="00204CC0" w:rsidRDefault="00204CC0" w:rsidP="00204CC0">
                            <w:pPr>
                              <w:spacing w:after="0" w:line="240" w:lineRule="auto"/>
                              <w:jc w:val="center"/>
                              <w:rPr>
                                <w:b/>
                                <w:bCs/>
                              </w:rPr>
                            </w:pPr>
                            <w:r w:rsidRPr="00204CC0">
                              <w:rPr>
                                <w:b/>
                                <w:bCs/>
                              </w:rPr>
                              <w:t>FILTER 1 – Transcendence Review</w:t>
                            </w:r>
                          </w:p>
                          <w:p w14:paraId="68326225" w14:textId="77777777" w:rsidR="00204CC0" w:rsidRDefault="00204CC0" w:rsidP="00204CC0">
                            <w:pPr>
                              <w:spacing w:after="0" w:line="240" w:lineRule="auto"/>
                              <w:jc w:val="center"/>
                              <w:rPr>
                                <w:b/>
                                <w:bCs/>
                              </w:rPr>
                            </w:pPr>
                          </w:p>
                          <w:p w14:paraId="673D2B99" w14:textId="3329726D" w:rsidR="00204CC0" w:rsidRPr="00204CC0" w:rsidRDefault="00204CC0" w:rsidP="00204CC0">
                            <w:pPr>
                              <w:spacing w:after="0" w:line="240" w:lineRule="auto"/>
                              <w:jc w:val="center"/>
                              <w:rPr>
                                <w:b/>
                                <w:bCs/>
                              </w:rPr>
                            </w:pPr>
                            <w:r>
                              <w:rPr>
                                <w:b/>
                                <w:bCs/>
                              </w:rPr>
                              <w:t>Does the system’s objective and operational logic align with fundamental ethical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F8948" id="Rectangle 9" o:spid="_x0000_s1033" style="position:absolute;left:0;text-align:left;margin-left:90.85pt;margin-top:5.1pt;width:304.05pt;height:64.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" fillcolor="#4472c4 [3204]" strokecolor="#09101d [484]" strokeweight="1pt">
                <v:textbox>
                  <w:txbxContent>
                    <w:p w14:paraId="4306817B" w14:textId="109CF326" w:rsidR="00204CC0" w:rsidRDefault="00204CC0" w:rsidP="00204CC0">
                      <w:pPr>
                        <w:spacing w:after="0" w:line="240" w:lineRule="auto"/>
                        <w:jc w:val="center"/>
                        <w:rPr>
                          <w:b/>
                          <w:bCs/>
                        </w:rPr>
                      </w:pPr>
                      <w:r w:rsidRPr="00204CC0">
                        <w:rPr>
                          <w:b/>
                          <w:bCs/>
                        </w:rPr>
                        <w:t>FILTER 1 – Transcendence Review</w:t>
                      </w:r>
                    </w:p>
                    <w:p w14:paraId="68326225" w14:textId="77777777" w:rsidR="00204CC0" w:rsidRDefault="00204CC0" w:rsidP="00204CC0">
                      <w:pPr>
                        <w:spacing w:after="0" w:line="240" w:lineRule="auto"/>
                        <w:jc w:val="center"/>
                        <w:rPr>
                          <w:b/>
                          <w:bCs/>
                        </w:rPr>
                      </w:pPr>
                    </w:p>
                    <w:p w14:paraId="673D2B99" w14:textId="3329726D" w:rsidR="00204CC0" w:rsidRPr="00204CC0" w:rsidRDefault="00204CC0" w:rsidP="00204CC0">
                      <w:pPr>
                        <w:spacing w:after="0" w:line="240" w:lineRule="auto"/>
                        <w:jc w:val="center"/>
                        <w:rPr>
                          <w:b/>
                          <w:bCs/>
                        </w:rPr>
                      </w:pPr>
                      <w:r>
                        <w:rPr>
                          <w:b/>
                          <w:bCs/>
                        </w:rPr>
                        <w:t>Does the system’s objective and operational logic align with fundamental ethical values?</w:t>
                      </w:r>
                    </w:p>
                  </w:txbxContent>
                </v:textbox>
              </v:rect>
            </w:pict>
          </mc:Fallback>
        </mc:AlternateContent>
      </w:r>
    </w:p>
    <w:p w14:paraId="6280A54F" w14:textId="77777777" w:rsidR="00830D40" w:rsidRPr="000C638C" w:rsidRDefault="00830D40" w:rsidP="00830D40">
      <w:pPr>
        <w:spacing w:after="0"/>
        <w:jc w:val="both"/>
        <w:rPr>
          <w:rFonts w:cstheme="minorHAnsi"/>
          <w:b/>
          <w:bCs/>
          <w:sz w:val="22"/>
          <w:szCs w:val="22"/>
        </w:rPr>
      </w:pPr>
    </w:p>
    <w:p w14:paraId="0C89F496" w14:textId="77777777" w:rsidR="00830D40" w:rsidRPr="000C638C" w:rsidRDefault="00830D40" w:rsidP="00830D40">
      <w:pPr>
        <w:spacing w:after="0"/>
        <w:jc w:val="both"/>
        <w:rPr>
          <w:rFonts w:cstheme="minorHAnsi"/>
          <w:b/>
          <w:bCs/>
          <w:sz w:val="22"/>
          <w:szCs w:val="22"/>
        </w:rPr>
      </w:pPr>
    </w:p>
    <w:p w14:paraId="514A7E2A" w14:textId="08AFCBDD" w:rsidR="00204CC0" w:rsidRPr="000C638C" w:rsidRDefault="00204CC0" w:rsidP="00830D40">
      <w:pPr>
        <w:spacing w:after="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92032" behindDoc="0" locked="0" layoutInCell="1" allowOverlap="1" wp14:anchorId="02880AAD" wp14:editId="51ABF084">
                <wp:simplePos x="0" y="0"/>
                <wp:positionH relativeFrom="column">
                  <wp:posOffset>2983293</wp:posOffset>
                </wp:positionH>
                <wp:positionV relativeFrom="paragraph">
                  <wp:posOffset>203200</wp:posOffset>
                </wp:positionV>
                <wp:extent cx="0" cy="324485"/>
                <wp:effectExtent l="76200" t="0" r="76200" b="56515"/>
                <wp:wrapNone/>
                <wp:docPr id="408156454" name="Straight Arrow Connector 10"/>
                <wp:cNvGraphicFramePr/>
                <a:graphic xmlns:a="http://schemas.openxmlformats.org/drawingml/2006/main">
                  <a:graphicData uri="http://schemas.microsoft.com/office/word/2010/wordprocessingShape">
                    <wps:wsp>
                      <wps:cNvCnPr/>
                      <wps:spPr>
                        <a:xfrm>
                          <a:off x="0" y="0"/>
                          <a:ext cx="0" cy="3244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BA3E8E" id="Straight Arrow Connector 10" o:spid="_x0000_s1026" type="#_x0000_t32" style="position:absolute;margin-left:234.9pt;margin-top:16pt;width:0;height:25.5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" strokecolor="#4472c4 [3204]" strokeweight=".5pt">
                <v:stroke endarrow="block" joinstyle="miter"/>
              </v:shape>
            </w:pict>
          </mc:Fallback>
        </mc:AlternateContent>
      </w:r>
    </w:p>
    <w:p w14:paraId="1EA3DD22" w14:textId="4E4358BB" w:rsidR="00204CC0" w:rsidRPr="000C638C" w:rsidRDefault="00204CC0" w:rsidP="00830D40">
      <w:pPr>
        <w:spacing w:after="0"/>
        <w:jc w:val="both"/>
        <w:rPr>
          <w:rFonts w:cstheme="minorHAnsi"/>
          <w:b/>
          <w:bCs/>
          <w:sz w:val="22"/>
          <w:szCs w:val="22"/>
        </w:rPr>
      </w:pPr>
    </w:p>
    <w:p w14:paraId="0393784A" w14:textId="19D115EF" w:rsidR="00204CC0" w:rsidRPr="000C638C" w:rsidRDefault="00204CC0" w:rsidP="00830D40">
      <w:pPr>
        <w:spacing w:after="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94080" behindDoc="0" locked="0" layoutInCell="1" allowOverlap="1" wp14:anchorId="3DC5FD19" wp14:editId="353A5C47">
                <wp:simplePos x="0" y="0"/>
                <wp:positionH relativeFrom="column">
                  <wp:posOffset>1146810</wp:posOffset>
                </wp:positionH>
                <wp:positionV relativeFrom="paragraph">
                  <wp:posOffset>104203</wp:posOffset>
                </wp:positionV>
                <wp:extent cx="3861435" cy="815975"/>
                <wp:effectExtent l="0" t="0" r="24765" b="22225"/>
                <wp:wrapNone/>
                <wp:docPr id="1157320340" name="Rectangle 9"/>
                <wp:cNvGraphicFramePr/>
                <a:graphic xmlns:a="http://schemas.openxmlformats.org/drawingml/2006/main">
                  <a:graphicData uri="http://schemas.microsoft.com/office/word/2010/wordprocessingShape">
                    <wps:wsp>
                      <wps:cNvSpPr/>
                      <wps:spPr>
                        <a:xfrm>
                          <a:off x="0" y="0"/>
                          <a:ext cx="3861435" cy="815975"/>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1E7C3EF2" w14:textId="24D9008E" w:rsidR="00204CC0" w:rsidRDefault="00204CC0" w:rsidP="00204CC0">
                            <w:pPr>
                              <w:spacing w:after="0" w:line="240" w:lineRule="auto"/>
                              <w:jc w:val="center"/>
                              <w:rPr>
                                <w:b/>
                                <w:bCs/>
                              </w:rPr>
                            </w:pPr>
                            <w:r w:rsidRPr="00204CC0">
                              <w:rPr>
                                <w:b/>
                                <w:bCs/>
                              </w:rPr>
                              <w:t xml:space="preserve">FILTER </w:t>
                            </w:r>
                            <w:r>
                              <w:rPr>
                                <w:b/>
                                <w:bCs/>
                              </w:rPr>
                              <w:t>2 – Human Dignity Assessment</w:t>
                            </w:r>
                          </w:p>
                          <w:p w14:paraId="33FA0A64" w14:textId="77777777" w:rsidR="00204CC0" w:rsidRDefault="00204CC0" w:rsidP="00204CC0">
                            <w:pPr>
                              <w:spacing w:after="0" w:line="240" w:lineRule="auto"/>
                              <w:jc w:val="center"/>
                              <w:rPr>
                                <w:b/>
                                <w:bCs/>
                              </w:rPr>
                            </w:pPr>
                          </w:p>
                          <w:p w14:paraId="28885E44" w14:textId="2C1DC965" w:rsidR="00204CC0" w:rsidRPr="00204CC0" w:rsidRDefault="00204CC0" w:rsidP="00204CC0">
                            <w:pPr>
                              <w:spacing w:after="0" w:line="240" w:lineRule="auto"/>
                              <w:jc w:val="center"/>
                              <w:rPr>
                                <w:b/>
                                <w:bCs/>
                              </w:rPr>
                            </w:pPr>
                            <w:r>
                              <w:rPr>
                                <w:b/>
                                <w:bCs/>
                              </w:rPr>
                              <w:t>What is the impact on autonomy, equality, privacy, and human flourishing?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5FD19" id="_x0000_s1034" style="position:absolute;left:0;text-align:left;margin-left:90.3pt;margin-top:8.2pt;width:304.05pt;height:6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" fillcolor="#91bce3 [2168]" strokecolor="#5b9bd5 [3208]" strokeweight=".5pt">
                <v:fill color2="#7aaddd [2616]" rotate="t" colors="0 #b1cbe9;.5 #a3c1e5;1 #92b9e4" focus="100%" type="gradient">
                  <o:fill v:ext="view" type="gradientUnscaled"/>
                </v:fill>
                <v:textbox>
                  <w:txbxContent>
                    <w:p w14:paraId="1E7C3EF2" w14:textId="24D9008E" w:rsidR="00204CC0" w:rsidRDefault="00204CC0" w:rsidP="00204CC0">
                      <w:pPr>
                        <w:spacing w:after="0" w:line="240" w:lineRule="auto"/>
                        <w:jc w:val="center"/>
                        <w:rPr>
                          <w:b/>
                          <w:bCs/>
                        </w:rPr>
                      </w:pPr>
                      <w:r w:rsidRPr="00204CC0">
                        <w:rPr>
                          <w:b/>
                          <w:bCs/>
                        </w:rPr>
                        <w:t xml:space="preserve">FILTER </w:t>
                      </w:r>
                      <w:r>
                        <w:rPr>
                          <w:b/>
                          <w:bCs/>
                        </w:rPr>
                        <w:t>2 – Human Dignity Assessment</w:t>
                      </w:r>
                    </w:p>
                    <w:p w14:paraId="33FA0A64" w14:textId="77777777" w:rsidR="00204CC0" w:rsidRDefault="00204CC0" w:rsidP="00204CC0">
                      <w:pPr>
                        <w:spacing w:after="0" w:line="240" w:lineRule="auto"/>
                        <w:jc w:val="center"/>
                        <w:rPr>
                          <w:b/>
                          <w:bCs/>
                        </w:rPr>
                      </w:pPr>
                    </w:p>
                    <w:p w14:paraId="28885E44" w14:textId="2C1DC965" w:rsidR="00204CC0" w:rsidRPr="00204CC0" w:rsidRDefault="00204CC0" w:rsidP="00204CC0">
                      <w:pPr>
                        <w:spacing w:after="0" w:line="240" w:lineRule="auto"/>
                        <w:jc w:val="center"/>
                        <w:rPr>
                          <w:b/>
                          <w:bCs/>
                        </w:rPr>
                      </w:pPr>
                      <w:r>
                        <w:rPr>
                          <w:b/>
                          <w:bCs/>
                        </w:rPr>
                        <w:t>What is the impact on autonomy, equality, privacy, and human flourishing?</w:t>
                      </w:r>
                    </w:p>
                  </w:txbxContent>
                </v:textbox>
              </v:rect>
            </w:pict>
          </mc:Fallback>
        </mc:AlternateContent>
      </w:r>
    </w:p>
    <w:p w14:paraId="337D99AD" w14:textId="3DB6686E" w:rsidR="00204CC0" w:rsidRPr="000C638C" w:rsidRDefault="00204CC0" w:rsidP="00830D40">
      <w:pPr>
        <w:spacing w:after="0"/>
        <w:jc w:val="both"/>
        <w:rPr>
          <w:rFonts w:cstheme="minorHAnsi"/>
          <w:b/>
          <w:bCs/>
          <w:sz w:val="22"/>
          <w:szCs w:val="22"/>
        </w:rPr>
      </w:pPr>
    </w:p>
    <w:p w14:paraId="096F7263" w14:textId="15CEE2D4" w:rsidR="00204CC0" w:rsidRPr="000C638C" w:rsidRDefault="00204CC0" w:rsidP="00830D40">
      <w:pPr>
        <w:spacing w:after="0"/>
        <w:jc w:val="both"/>
        <w:rPr>
          <w:rFonts w:cstheme="minorHAnsi"/>
          <w:b/>
          <w:bCs/>
          <w:sz w:val="22"/>
          <w:szCs w:val="22"/>
        </w:rPr>
      </w:pPr>
    </w:p>
    <w:p w14:paraId="491BFC57" w14:textId="79582989" w:rsidR="00204CC0" w:rsidRPr="000C638C" w:rsidRDefault="00204CC0" w:rsidP="00830D40">
      <w:pPr>
        <w:spacing w:after="0"/>
        <w:jc w:val="both"/>
        <w:rPr>
          <w:rFonts w:cstheme="minorHAnsi"/>
          <w:b/>
          <w:bCs/>
          <w:sz w:val="22"/>
          <w:szCs w:val="22"/>
        </w:rPr>
      </w:pPr>
    </w:p>
    <w:p w14:paraId="510AEEF1" w14:textId="18257660" w:rsidR="00741803" w:rsidRPr="000C638C" w:rsidRDefault="00204CC0" w:rsidP="000C638C">
      <w:pPr>
        <w:spacing w:after="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96128" behindDoc="0" locked="0" layoutInCell="1" allowOverlap="1" wp14:anchorId="7647F548" wp14:editId="0B7982A7">
                <wp:simplePos x="0" y="0"/>
                <wp:positionH relativeFrom="margin">
                  <wp:posOffset>2971800</wp:posOffset>
                </wp:positionH>
                <wp:positionV relativeFrom="paragraph">
                  <wp:posOffset>53912</wp:posOffset>
                </wp:positionV>
                <wp:extent cx="0" cy="324485"/>
                <wp:effectExtent l="76200" t="0" r="76200" b="56515"/>
                <wp:wrapNone/>
                <wp:docPr id="728772144" name="Straight Arrow Connector 10"/>
                <wp:cNvGraphicFramePr/>
                <a:graphic xmlns:a="http://schemas.openxmlformats.org/drawingml/2006/main">
                  <a:graphicData uri="http://schemas.microsoft.com/office/word/2010/wordprocessingShape">
                    <wps:wsp>
                      <wps:cNvCnPr/>
                      <wps:spPr>
                        <a:xfrm>
                          <a:off x="0" y="0"/>
                          <a:ext cx="0" cy="3244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ACE94F" id="Straight Arrow Connector 10" o:spid="_x0000_s1026" type="#_x0000_t32" style="position:absolute;margin-left:234pt;margin-top:4.25pt;width:0;height:25.55pt;z-index:25169612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" strokecolor="#4472c4 [3204]" strokeweight=".5pt">
                <v:stroke endarrow="block" joinstyle="miter"/>
                <w10:wrap anchorx="margin"/>
              </v:shape>
            </w:pict>
          </mc:Fallback>
        </mc:AlternateContent>
      </w:r>
    </w:p>
    <w:p w14:paraId="60405062" w14:textId="6D3CD02B" w:rsidR="00204CC0" w:rsidRPr="000C638C" w:rsidRDefault="00204CC0" w:rsidP="00830D40">
      <w:pPr>
        <w:spacing w:after="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698176" behindDoc="0" locked="0" layoutInCell="1" allowOverlap="1" wp14:anchorId="42472BBC" wp14:editId="439686B9">
                <wp:simplePos x="0" y="0"/>
                <wp:positionH relativeFrom="column">
                  <wp:posOffset>1163782</wp:posOffset>
                </wp:positionH>
                <wp:positionV relativeFrom="paragraph">
                  <wp:posOffset>166464</wp:posOffset>
                </wp:positionV>
                <wp:extent cx="3861435" cy="891729"/>
                <wp:effectExtent l="0" t="0" r="24765" b="22860"/>
                <wp:wrapNone/>
                <wp:docPr id="955272352" name="Rectangle 9"/>
                <wp:cNvGraphicFramePr/>
                <a:graphic xmlns:a="http://schemas.openxmlformats.org/drawingml/2006/main">
                  <a:graphicData uri="http://schemas.microsoft.com/office/word/2010/wordprocessingShape">
                    <wps:wsp>
                      <wps:cNvSpPr/>
                      <wps:spPr>
                        <a:xfrm>
                          <a:off x="0" y="0"/>
                          <a:ext cx="3861435" cy="891729"/>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8D6C3E6" w14:textId="3C49CC8C" w:rsidR="00204CC0" w:rsidRDefault="00204CC0" w:rsidP="00204CC0">
                            <w:pPr>
                              <w:spacing w:after="0" w:line="240" w:lineRule="auto"/>
                              <w:jc w:val="center"/>
                              <w:rPr>
                                <w:b/>
                                <w:bCs/>
                              </w:rPr>
                            </w:pPr>
                            <w:r w:rsidRPr="00204CC0">
                              <w:rPr>
                                <w:b/>
                                <w:bCs/>
                              </w:rPr>
                              <w:t xml:space="preserve">FILTER </w:t>
                            </w:r>
                            <w:r>
                              <w:rPr>
                                <w:b/>
                                <w:bCs/>
                              </w:rPr>
                              <w:t>3 – Liberation Test</w:t>
                            </w:r>
                          </w:p>
                          <w:p w14:paraId="52260CE5" w14:textId="77777777" w:rsidR="00204CC0" w:rsidRDefault="00204CC0" w:rsidP="00204CC0">
                            <w:pPr>
                              <w:spacing w:after="0" w:line="240" w:lineRule="auto"/>
                              <w:jc w:val="center"/>
                              <w:rPr>
                                <w:b/>
                                <w:bCs/>
                              </w:rPr>
                            </w:pPr>
                          </w:p>
                          <w:p w14:paraId="18C98BD4" w14:textId="0A9B68A2" w:rsidR="00204CC0" w:rsidRPr="00204CC0" w:rsidRDefault="00204CC0" w:rsidP="00204CC0">
                            <w:pPr>
                              <w:spacing w:after="0" w:line="240" w:lineRule="auto"/>
                              <w:jc w:val="center"/>
                              <w:rPr>
                                <w:b/>
                                <w:bCs/>
                              </w:rPr>
                            </w:pPr>
                            <w:r>
                              <w:rPr>
                                <w:b/>
                                <w:bCs/>
                              </w:rPr>
                              <w:t>Does the system reinforce or challenge domination, discrimination, or 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72BBC" id="_x0000_s1035" style="position:absolute;left:0;text-align:left;margin-left:91.65pt;margin-top:13.1pt;width:304.05pt;height:70.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" fillcolor="#91bce3 [2168]" strokecolor="#5b9bd5 [3208]" strokeweight=".5pt">
                <v:fill color2="#7aaddd [2616]" rotate="t" colors="0 #b1cbe9;.5 #a3c1e5;1 #92b9e4" focus="100%" type="gradient">
                  <o:fill v:ext="view" type="gradientUnscaled"/>
                </v:fill>
                <v:textbox>
                  <w:txbxContent>
                    <w:p w14:paraId="28D6C3E6" w14:textId="3C49CC8C" w:rsidR="00204CC0" w:rsidRDefault="00204CC0" w:rsidP="00204CC0">
                      <w:pPr>
                        <w:spacing w:after="0" w:line="240" w:lineRule="auto"/>
                        <w:jc w:val="center"/>
                        <w:rPr>
                          <w:b/>
                          <w:bCs/>
                        </w:rPr>
                      </w:pPr>
                      <w:r w:rsidRPr="00204CC0">
                        <w:rPr>
                          <w:b/>
                          <w:bCs/>
                        </w:rPr>
                        <w:t xml:space="preserve">FILTER </w:t>
                      </w:r>
                      <w:r>
                        <w:rPr>
                          <w:b/>
                          <w:bCs/>
                        </w:rPr>
                        <w:t>3 – Liberation Test</w:t>
                      </w:r>
                    </w:p>
                    <w:p w14:paraId="52260CE5" w14:textId="77777777" w:rsidR="00204CC0" w:rsidRDefault="00204CC0" w:rsidP="00204CC0">
                      <w:pPr>
                        <w:spacing w:after="0" w:line="240" w:lineRule="auto"/>
                        <w:jc w:val="center"/>
                        <w:rPr>
                          <w:b/>
                          <w:bCs/>
                        </w:rPr>
                      </w:pPr>
                    </w:p>
                    <w:p w14:paraId="18C98BD4" w14:textId="0A9B68A2" w:rsidR="00204CC0" w:rsidRPr="00204CC0" w:rsidRDefault="00204CC0" w:rsidP="00204CC0">
                      <w:pPr>
                        <w:spacing w:after="0" w:line="240" w:lineRule="auto"/>
                        <w:jc w:val="center"/>
                        <w:rPr>
                          <w:b/>
                          <w:bCs/>
                        </w:rPr>
                      </w:pPr>
                      <w:r>
                        <w:rPr>
                          <w:b/>
                          <w:bCs/>
                        </w:rPr>
                        <w:t>Does the system reinforce or challenge domination, discrimination, or exclusion</w:t>
                      </w:r>
                    </w:p>
                  </w:txbxContent>
                </v:textbox>
              </v:rect>
            </w:pict>
          </mc:Fallback>
        </mc:AlternateContent>
      </w:r>
    </w:p>
    <w:p w14:paraId="4AC675E8" w14:textId="496BAA1C" w:rsidR="00204CC0" w:rsidRPr="000C638C" w:rsidRDefault="00204CC0" w:rsidP="00830D40">
      <w:pPr>
        <w:spacing w:after="0"/>
        <w:jc w:val="both"/>
        <w:rPr>
          <w:rFonts w:cstheme="minorHAnsi"/>
          <w:b/>
          <w:bCs/>
          <w:sz w:val="22"/>
          <w:szCs w:val="22"/>
        </w:rPr>
      </w:pPr>
    </w:p>
    <w:p w14:paraId="154094B1" w14:textId="03CC6CFC" w:rsidR="00204CC0" w:rsidRPr="000C638C" w:rsidRDefault="00204CC0" w:rsidP="00830D40">
      <w:pPr>
        <w:spacing w:after="0"/>
        <w:jc w:val="both"/>
        <w:rPr>
          <w:rFonts w:cstheme="minorHAnsi"/>
          <w:b/>
          <w:bCs/>
          <w:sz w:val="22"/>
          <w:szCs w:val="22"/>
        </w:rPr>
      </w:pPr>
    </w:p>
    <w:p w14:paraId="649995B3" w14:textId="77777777" w:rsidR="00204CC0" w:rsidRPr="000C638C" w:rsidRDefault="00204CC0" w:rsidP="00830D40">
      <w:pPr>
        <w:spacing w:after="0"/>
        <w:jc w:val="both"/>
        <w:rPr>
          <w:rFonts w:cstheme="minorHAnsi"/>
          <w:b/>
          <w:bCs/>
          <w:sz w:val="22"/>
          <w:szCs w:val="22"/>
        </w:rPr>
      </w:pPr>
    </w:p>
    <w:p w14:paraId="1CB2BFA8" w14:textId="77777777" w:rsidR="00204CC0" w:rsidRPr="000C638C" w:rsidRDefault="00204CC0" w:rsidP="00830D40">
      <w:pPr>
        <w:spacing w:after="0"/>
        <w:jc w:val="both"/>
        <w:rPr>
          <w:rFonts w:cstheme="minorHAnsi"/>
          <w:b/>
          <w:bCs/>
          <w:sz w:val="22"/>
          <w:szCs w:val="22"/>
        </w:rPr>
      </w:pPr>
    </w:p>
    <w:p w14:paraId="7A5F1E95" w14:textId="29394EFB" w:rsidR="00204CC0" w:rsidRPr="000C638C" w:rsidRDefault="00204CC0" w:rsidP="00830D40">
      <w:pPr>
        <w:spacing w:after="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700224" behindDoc="0" locked="0" layoutInCell="1" allowOverlap="1" wp14:anchorId="1697C11D" wp14:editId="7B32E2B8">
                <wp:simplePos x="0" y="0"/>
                <wp:positionH relativeFrom="margin">
                  <wp:align>center</wp:align>
                </wp:positionH>
                <wp:positionV relativeFrom="paragraph">
                  <wp:posOffset>15114</wp:posOffset>
                </wp:positionV>
                <wp:extent cx="0" cy="324485"/>
                <wp:effectExtent l="76200" t="0" r="76200" b="56515"/>
                <wp:wrapNone/>
                <wp:docPr id="823463134" name="Straight Arrow Connector 10"/>
                <wp:cNvGraphicFramePr/>
                <a:graphic xmlns:a="http://schemas.openxmlformats.org/drawingml/2006/main">
                  <a:graphicData uri="http://schemas.microsoft.com/office/word/2010/wordprocessingShape">
                    <wps:wsp>
                      <wps:cNvCnPr/>
                      <wps:spPr>
                        <a:xfrm>
                          <a:off x="0" y="0"/>
                          <a:ext cx="0" cy="3244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E6CA96" id="Straight Arrow Connector 10" o:spid="_x0000_s1026" type="#_x0000_t32" style="position:absolute;margin-left:0;margin-top:1.2pt;width:0;height:25.55pt;z-index:25170022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" strokecolor="#4472c4 [3204]" strokeweight=".5pt">
                <v:stroke endarrow="block" joinstyle="miter"/>
                <w10:wrap anchorx="margin"/>
              </v:shape>
            </w:pict>
          </mc:Fallback>
        </mc:AlternateContent>
      </w:r>
    </w:p>
    <w:p w14:paraId="63D00105" w14:textId="3DB2716E" w:rsidR="00204CC0" w:rsidRPr="000C638C" w:rsidRDefault="00204CC0" w:rsidP="00830D40">
      <w:pPr>
        <w:spacing w:after="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701248" behindDoc="0" locked="0" layoutInCell="1" allowOverlap="1" wp14:anchorId="01B662E1" wp14:editId="6B090345">
                <wp:simplePos x="0" y="0"/>
                <wp:positionH relativeFrom="column">
                  <wp:posOffset>1564005</wp:posOffset>
                </wp:positionH>
                <wp:positionV relativeFrom="paragraph">
                  <wp:posOffset>131508</wp:posOffset>
                </wp:positionV>
                <wp:extent cx="2841441" cy="370295"/>
                <wp:effectExtent l="0" t="0" r="16510" b="10795"/>
                <wp:wrapNone/>
                <wp:docPr id="753217681" name="Rectangle: Rounded Corners 11"/>
                <wp:cNvGraphicFramePr/>
                <a:graphic xmlns:a="http://schemas.openxmlformats.org/drawingml/2006/main">
                  <a:graphicData uri="http://schemas.microsoft.com/office/word/2010/wordprocessingShape">
                    <wps:wsp>
                      <wps:cNvSpPr/>
                      <wps:spPr>
                        <a:xfrm>
                          <a:off x="0" y="0"/>
                          <a:ext cx="2841441" cy="370295"/>
                        </a:xfrm>
                        <a:prstGeom prst="roundRect">
                          <a:avLst/>
                        </a:prstGeom>
                        <a:solidFill>
                          <a:schemeClr val="accent5">
                            <a:lumMod val="40000"/>
                            <a:lumOff val="6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2386AC" w14:textId="53CF5D7C" w:rsidR="00204CC0" w:rsidRPr="00204CC0" w:rsidRDefault="00204CC0" w:rsidP="00204CC0">
                            <w:pPr>
                              <w:jc w:val="center"/>
                              <w:rPr>
                                <w:color w:val="000000" w:themeColor="text1"/>
                              </w:rPr>
                            </w:pPr>
                            <w:r w:rsidRPr="00204CC0">
                              <w:rPr>
                                <w:color w:val="000000" w:themeColor="text1"/>
                              </w:rPr>
                              <w:t>Passed all three filters?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B662E1" id="Rectangle: Rounded Corners 11" o:spid="_x0000_s1036" style="position:absolute;left:0;text-align:left;margin-left:123.15pt;margin-top:10.35pt;width:223.75pt;height:29.15pt;z-index:251701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" fillcolor="#bdd6ee [1304]" strokecolor="#d9e2f3 [660]" strokeweight="1pt">
                <v:stroke joinstyle="miter"/>
                <v:textbox>
                  <w:txbxContent>
                    <w:p w14:paraId="0A2386AC" w14:textId="53CF5D7C" w:rsidR="00204CC0" w:rsidRPr="00204CC0" w:rsidRDefault="00204CC0" w:rsidP="00204CC0">
                      <w:pPr>
                        <w:jc w:val="center"/>
                        <w:rPr>
                          <w:color w:val="000000" w:themeColor="text1"/>
                        </w:rPr>
                      </w:pPr>
                      <w:r w:rsidRPr="00204CC0">
                        <w:rPr>
                          <w:color w:val="000000" w:themeColor="text1"/>
                        </w:rPr>
                        <w:t>Passed all three filters?</w:t>
                      </w:r>
                    </w:p>
                  </w:txbxContent>
                </v:textbox>
              </v:roundrect>
            </w:pict>
          </mc:Fallback>
        </mc:AlternateContent>
      </w:r>
    </w:p>
    <w:p w14:paraId="26BCC473" w14:textId="77777777" w:rsidR="00204CC0" w:rsidRPr="000C638C" w:rsidRDefault="00204CC0" w:rsidP="00830D40">
      <w:pPr>
        <w:spacing w:after="0"/>
        <w:jc w:val="both"/>
        <w:rPr>
          <w:rFonts w:cstheme="minorHAnsi"/>
          <w:b/>
          <w:bCs/>
          <w:sz w:val="22"/>
          <w:szCs w:val="22"/>
        </w:rPr>
      </w:pPr>
    </w:p>
    <w:p w14:paraId="6AD89515" w14:textId="35846E26" w:rsidR="00204CC0" w:rsidRPr="000C638C" w:rsidRDefault="00E0648F" w:rsidP="00830D40">
      <w:pPr>
        <w:spacing w:after="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703296" behindDoc="0" locked="0" layoutInCell="1" allowOverlap="1" wp14:anchorId="3915603C" wp14:editId="19D2DE1A">
                <wp:simplePos x="0" y="0"/>
                <wp:positionH relativeFrom="margin">
                  <wp:posOffset>2967355</wp:posOffset>
                </wp:positionH>
                <wp:positionV relativeFrom="paragraph">
                  <wp:posOffset>55308</wp:posOffset>
                </wp:positionV>
                <wp:extent cx="0" cy="324485"/>
                <wp:effectExtent l="76200" t="0" r="76200" b="56515"/>
                <wp:wrapNone/>
                <wp:docPr id="332334460" name="Straight Arrow Connector 10"/>
                <wp:cNvGraphicFramePr/>
                <a:graphic xmlns:a="http://schemas.openxmlformats.org/drawingml/2006/main">
                  <a:graphicData uri="http://schemas.microsoft.com/office/word/2010/wordprocessingShape">
                    <wps:wsp>
                      <wps:cNvCnPr/>
                      <wps:spPr>
                        <a:xfrm>
                          <a:off x="0" y="0"/>
                          <a:ext cx="0" cy="3244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AE40E7" id="Straight Arrow Connector 10" o:spid="_x0000_s1026" type="#_x0000_t32" style="position:absolute;margin-left:233.65pt;margin-top:4.35pt;width:0;height:25.55pt;z-index:25170329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" strokecolor="#4472c4 [3204]" strokeweight=".5pt">
                <v:stroke endarrow="block" joinstyle="miter"/>
                <w10:wrap anchorx="margin"/>
              </v:shape>
            </w:pict>
          </mc:Fallback>
        </mc:AlternateContent>
      </w:r>
    </w:p>
    <w:p w14:paraId="48DE5EFD" w14:textId="111640DC" w:rsidR="00204CC0" w:rsidRPr="000C638C" w:rsidRDefault="00E0648F" w:rsidP="00830D40">
      <w:pPr>
        <w:spacing w:after="0"/>
        <w:jc w:val="both"/>
        <w:rPr>
          <w:rFonts w:cstheme="minorHAnsi"/>
          <w:b/>
          <w:bCs/>
          <w:sz w:val="22"/>
          <w:szCs w:val="22"/>
        </w:rPr>
      </w:pPr>
      <w:r w:rsidRPr="000C638C">
        <w:rPr>
          <w:rFonts w:cstheme="minorHAnsi"/>
          <w:b/>
          <w:bCs/>
          <w:noProof/>
          <w:sz w:val="22"/>
          <w:szCs w:val="22"/>
        </w:rPr>
        <mc:AlternateContent>
          <mc:Choice Requires="wps">
            <w:drawing>
              <wp:anchor distT="0" distB="0" distL="114300" distR="114300" simplePos="0" relativeHeight="251705344" behindDoc="0" locked="0" layoutInCell="1" allowOverlap="1" wp14:anchorId="266B3F00" wp14:editId="773BC3BB">
                <wp:simplePos x="0" y="0"/>
                <wp:positionH relativeFrom="margin">
                  <wp:posOffset>1070610</wp:posOffset>
                </wp:positionH>
                <wp:positionV relativeFrom="paragraph">
                  <wp:posOffset>165798</wp:posOffset>
                </wp:positionV>
                <wp:extent cx="3861435" cy="649605"/>
                <wp:effectExtent l="0" t="0" r="24765" b="17145"/>
                <wp:wrapNone/>
                <wp:docPr id="1271042203" name="Rectangle 9"/>
                <wp:cNvGraphicFramePr/>
                <a:graphic xmlns:a="http://schemas.openxmlformats.org/drawingml/2006/main">
                  <a:graphicData uri="http://schemas.microsoft.com/office/word/2010/wordprocessingShape">
                    <wps:wsp>
                      <wps:cNvSpPr/>
                      <wps:spPr>
                        <a:xfrm>
                          <a:off x="0" y="0"/>
                          <a:ext cx="3861435" cy="649605"/>
                        </a:xfrm>
                        <a:prstGeom prst="rect">
                          <a:avLst/>
                        </a:prstGeom>
                      </wps:spPr>
                      <wps:style>
                        <a:lnRef idx="2">
                          <a:schemeClr val="dk1"/>
                        </a:lnRef>
                        <a:fillRef idx="1">
                          <a:schemeClr val="lt1"/>
                        </a:fillRef>
                        <a:effectRef idx="0">
                          <a:schemeClr val="dk1"/>
                        </a:effectRef>
                        <a:fontRef idx="minor">
                          <a:schemeClr val="dk1"/>
                        </a:fontRef>
                      </wps:style>
                      <wps:txbx>
                        <w:txbxContent>
                          <w:p w14:paraId="3DAD24C9" w14:textId="19BAC0E6" w:rsidR="00E0648F" w:rsidRPr="00204CC0" w:rsidRDefault="00E0648F" w:rsidP="00E0648F">
                            <w:pPr>
                              <w:spacing w:after="0" w:line="240" w:lineRule="auto"/>
                              <w:jc w:val="center"/>
                              <w:rPr>
                                <w:b/>
                                <w:bCs/>
                              </w:rPr>
                            </w:pPr>
                            <w:r>
                              <w:rPr>
                                <w:b/>
                                <w:bCs/>
                              </w:rPr>
                              <w:t>Legal Validation and implementation Outcome granted legal status and governance authority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B3F00" id="_x0000_s1037" style="position:absolute;left:0;text-align:left;margin-left:84.3pt;margin-top:13.05pt;width:304.05pt;height:51.1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" fillcolor="white [3201]" strokecolor="black [3200]" strokeweight="1pt">
                <v:textbox>
                  <w:txbxContent>
                    <w:p w14:paraId="3DAD24C9" w14:textId="19BAC0E6" w:rsidR="00E0648F" w:rsidRPr="00204CC0" w:rsidRDefault="00E0648F" w:rsidP="00E0648F">
                      <w:pPr>
                        <w:spacing w:after="0" w:line="240" w:lineRule="auto"/>
                        <w:jc w:val="center"/>
                        <w:rPr>
                          <w:b/>
                          <w:bCs/>
                        </w:rPr>
                      </w:pPr>
                      <w:r>
                        <w:rPr>
                          <w:b/>
                          <w:bCs/>
                        </w:rPr>
                        <w:t>Legal Validation and implementation Outcome granted legal status and governance authority</w:t>
                      </w:r>
                    </w:p>
                  </w:txbxContent>
                </v:textbox>
                <w10:wrap anchorx="margin"/>
              </v:rect>
            </w:pict>
          </mc:Fallback>
        </mc:AlternateContent>
      </w:r>
    </w:p>
    <w:p w14:paraId="0850EA86" w14:textId="2633176C" w:rsidR="00204CC0" w:rsidRPr="000C638C" w:rsidRDefault="00204CC0" w:rsidP="00830D40">
      <w:pPr>
        <w:spacing w:after="0"/>
        <w:jc w:val="both"/>
        <w:rPr>
          <w:rFonts w:cstheme="minorHAnsi"/>
          <w:b/>
          <w:bCs/>
          <w:sz w:val="22"/>
          <w:szCs w:val="22"/>
        </w:rPr>
      </w:pPr>
    </w:p>
    <w:p w14:paraId="2C37A640" w14:textId="77777777" w:rsidR="00204CC0" w:rsidRPr="000C638C" w:rsidRDefault="00204CC0" w:rsidP="00830D40">
      <w:pPr>
        <w:spacing w:after="0"/>
        <w:jc w:val="both"/>
        <w:rPr>
          <w:rFonts w:cstheme="minorHAnsi"/>
          <w:b/>
          <w:bCs/>
          <w:sz w:val="22"/>
          <w:szCs w:val="22"/>
        </w:rPr>
      </w:pPr>
    </w:p>
    <w:p w14:paraId="6C28DEF3" w14:textId="59D1A0FF" w:rsidR="00204CC0" w:rsidRPr="000C638C" w:rsidRDefault="00204CC0" w:rsidP="00830D40">
      <w:pPr>
        <w:spacing w:after="0"/>
        <w:jc w:val="both"/>
        <w:rPr>
          <w:rFonts w:cstheme="minorHAnsi"/>
          <w:b/>
          <w:bCs/>
          <w:sz w:val="22"/>
          <w:szCs w:val="22"/>
        </w:rPr>
      </w:pPr>
    </w:p>
    <w:p w14:paraId="0B01D97D" w14:textId="1A12D215" w:rsidR="00204CC0" w:rsidRPr="000C638C" w:rsidRDefault="00E0648F" w:rsidP="00E0648F">
      <w:pPr>
        <w:spacing w:after="0"/>
        <w:jc w:val="center"/>
        <w:rPr>
          <w:rFonts w:cstheme="minorHAnsi"/>
          <w:i/>
          <w:iCs/>
          <w:sz w:val="22"/>
          <w:szCs w:val="22"/>
        </w:rPr>
      </w:pPr>
      <w:r w:rsidRPr="000C638C">
        <w:rPr>
          <w:rFonts w:cstheme="minorHAnsi"/>
          <w:i/>
          <w:iCs/>
          <w:sz w:val="16"/>
          <w:szCs w:val="16"/>
        </w:rPr>
        <w:t>Note. Developed by the author to depict the sequential filter structure set out in Section 4.5. A negative result at any filter returns the system for redesign rather than proceeding to validation</w:t>
      </w:r>
      <w:r w:rsidRPr="000C638C">
        <w:rPr>
          <w:rFonts w:cstheme="minorHAnsi"/>
          <w:i/>
          <w:iCs/>
          <w:sz w:val="22"/>
          <w:szCs w:val="22"/>
        </w:rPr>
        <w:t>.</w:t>
      </w:r>
    </w:p>
    <w:p w14:paraId="44205973" w14:textId="77777777" w:rsidR="00E0648F" w:rsidRPr="000C638C" w:rsidRDefault="00E0648F" w:rsidP="00E0648F">
      <w:pPr>
        <w:spacing w:after="0"/>
        <w:jc w:val="center"/>
        <w:rPr>
          <w:rFonts w:cstheme="minorHAnsi"/>
          <w:i/>
          <w:iCs/>
          <w:sz w:val="22"/>
          <w:szCs w:val="22"/>
        </w:rPr>
      </w:pPr>
    </w:p>
    <w:p w14:paraId="3156AC10" w14:textId="77777777" w:rsidR="00E0648F" w:rsidRPr="000C638C" w:rsidRDefault="00E0648F" w:rsidP="00E0648F">
      <w:pPr>
        <w:spacing w:after="0"/>
        <w:jc w:val="center"/>
        <w:rPr>
          <w:rFonts w:cstheme="minorHAnsi"/>
          <w:sz w:val="22"/>
          <w:szCs w:val="22"/>
        </w:rPr>
      </w:pPr>
    </w:p>
    <w:p w14:paraId="3425C7B6" w14:textId="5B89DDD6" w:rsidR="00E0648F" w:rsidRPr="000C638C" w:rsidRDefault="00AB43FC" w:rsidP="00E0648F">
      <w:pPr>
        <w:spacing w:after="0"/>
        <w:ind w:left="900" w:firstLine="540"/>
        <w:jc w:val="both"/>
        <w:rPr>
          <w:rFonts w:cstheme="minorHAnsi"/>
          <w:sz w:val="22"/>
          <w:szCs w:val="22"/>
        </w:rPr>
      </w:pPr>
      <w:r w:rsidRPr="000C638C">
        <w:rPr>
          <w:rFonts w:cstheme="minorHAnsi"/>
          <w:sz w:val="22"/>
          <w:szCs w:val="22"/>
        </w:rPr>
        <w:t xml:space="preserve">Figure 2 illustrates a Prophetic Model of AI Governance. </w:t>
      </w:r>
      <w:r w:rsidR="00F81B40" w:rsidRPr="000C638C">
        <w:rPr>
          <w:rFonts w:cstheme="minorHAnsi"/>
          <w:sz w:val="22"/>
          <w:szCs w:val="22"/>
          <w:shd w:val="clear" w:color="auto" w:fill="FFFFFF"/>
        </w:rPr>
        <w:t xml:space="preserve"> Standard governance models focus primarily on compliance, transparency, and risk management. The Prophetic Model, by contrast, requires three normative filters before legal validation. The first filter </w:t>
      </w:r>
      <w:r w:rsidR="00DB6F9C" w:rsidRPr="000C638C">
        <w:rPr>
          <w:rFonts w:cstheme="minorHAnsi"/>
          <w:sz w:val="22"/>
          <w:szCs w:val="22"/>
          <w:shd w:val="clear" w:color="auto" w:fill="FFFFFF"/>
        </w:rPr>
        <w:t xml:space="preserve">concerns whether </w:t>
      </w:r>
      <w:r w:rsidR="00F81B40" w:rsidRPr="000C638C">
        <w:rPr>
          <w:rFonts w:cstheme="minorHAnsi"/>
          <w:sz w:val="22"/>
          <w:szCs w:val="22"/>
          <w:shd w:val="clear" w:color="auto" w:fill="FFFFFF"/>
        </w:rPr>
        <w:t xml:space="preserve">the outcome is legitimate. The second filter is concerned with the outcome’s possible </w:t>
      </w:r>
      <w:r w:rsidR="00F81B40" w:rsidRPr="000C638C">
        <w:rPr>
          <w:rFonts w:cstheme="minorHAnsi"/>
          <w:sz w:val="22"/>
          <w:szCs w:val="22"/>
          <w:shd w:val="clear" w:color="auto" w:fill="FFFFFF"/>
        </w:rPr>
        <w:lastRenderedPageBreak/>
        <w:t xml:space="preserve">impacts on human dignity. The third filter </w:t>
      </w:r>
      <w:r w:rsidR="00DB6F9C" w:rsidRPr="000C638C">
        <w:rPr>
          <w:rFonts w:cstheme="minorHAnsi"/>
          <w:sz w:val="22"/>
          <w:szCs w:val="22"/>
          <w:shd w:val="clear" w:color="auto" w:fill="FFFFFF"/>
        </w:rPr>
        <w:t>concerns</w:t>
      </w:r>
      <w:r w:rsidR="00F81B40" w:rsidRPr="000C638C">
        <w:rPr>
          <w:rFonts w:cstheme="minorHAnsi"/>
          <w:sz w:val="22"/>
          <w:szCs w:val="22"/>
          <w:shd w:val="clear" w:color="auto" w:fill="FFFFFF"/>
        </w:rPr>
        <w:t xml:space="preserve"> whether the outcome will strengthen systems of domination and exclusion. The outcomes of algorithms may be assigned legal and governance frameworks only after the three filters have been applied. The Prophetic Model is an improvement within the fragmented approaches to AI governance. The existing models of AI governance are inadequate, primarily because </w:t>
      </w:r>
      <w:r w:rsidR="00DB6F9C" w:rsidRPr="000C638C">
        <w:rPr>
          <w:rFonts w:cstheme="minorHAnsi"/>
          <w:sz w:val="22"/>
          <w:szCs w:val="22"/>
          <w:shd w:val="clear" w:color="auto" w:fill="FFFFFF"/>
        </w:rPr>
        <w:t>they fail</w:t>
      </w:r>
      <w:r w:rsidR="00F81B40" w:rsidRPr="000C638C">
        <w:rPr>
          <w:rFonts w:cstheme="minorHAnsi"/>
          <w:sz w:val="22"/>
          <w:szCs w:val="22"/>
          <w:shd w:val="clear" w:color="auto" w:fill="FFFFFF"/>
        </w:rPr>
        <w:t xml:space="preserve"> to incorporate the fundamental principles of law.</w:t>
      </w:r>
    </w:p>
    <w:p w14:paraId="21DEA45D" w14:textId="170C6747" w:rsidR="00E0648F" w:rsidRPr="000C638C" w:rsidRDefault="00F81B40" w:rsidP="00F81B40">
      <w:pPr>
        <w:spacing w:after="0"/>
        <w:ind w:left="900" w:firstLine="540"/>
        <w:jc w:val="both"/>
        <w:rPr>
          <w:rFonts w:cstheme="minorHAnsi"/>
          <w:sz w:val="22"/>
          <w:szCs w:val="22"/>
        </w:rPr>
      </w:pPr>
      <w:r w:rsidRPr="000C638C">
        <w:rPr>
          <w:rFonts w:cstheme="minorHAnsi"/>
          <w:sz w:val="22"/>
          <w:szCs w:val="22"/>
        </w:rPr>
        <w:t xml:space="preserve">In the model proposed here, three normative filters </w:t>
      </w:r>
      <w:r w:rsidR="00DB6F9C" w:rsidRPr="000C638C">
        <w:rPr>
          <w:rFonts w:cstheme="minorHAnsi"/>
          <w:sz w:val="22"/>
          <w:szCs w:val="22"/>
        </w:rPr>
        <w:t>must be applied before the legal implications of algorithms can</w:t>
      </w:r>
      <w:r w:rsidRPr="000C638C">
        <w:rPr>
          <w:rFonts w:cstheme="minorHAnsi"/>
          <w:sz w:val="22"/>
          <w:szCs w:val="22"/>
        </w:rPr>
        <w:t xml:space="preserve"> be assessed. The first of these is a </w:t>
      </w:r>
      <w:r w:rsidRPr="000C638C">
        <w:rPr>
          <w:rFonts w:cstheme="minorHAnsi"/>
          <w:b/>
          <w:sz w:val="22"/>
          <w:szCs w:val="22"/>
        </w:rPr>
        <w:t>Transcendence Review</w:t>
      </w:r>
      <w:r w:rsidRPr="000C638C">
        <w:rPr>
          <w:rFonts w:cstheme="minorHAnsi"/>
          <w:sz w:val="22"/>
          <w:szCs w:val="22"/>
        </w:rPr>
        <w:t xml:space="preserve">. This type of review asks whether the </w:t>
      </w:r>
      <w:r w:rsidR="000C638C" w:rsidRPr="000C638C">
        <w:rPr>
          <w:rFonts w:cstheme="minorHAnsi"/>
          <w:sz w:val="22"/>
          <w:szCs w:val="22"/>
        </w:rPr>
        <w:t xml:space="preserve">system's goals and logic </w:t>
      </w:r>
      <w:r w:rsidR="00DB6F9C" w:rsidRPr="000C638C">
        <w:rPr>
          <w:rFonts w:cstheme="minorHAnsi"/>
          <w:sz w:val="22"/>
          <w:szCs w:val="22"/>
        </w:rPr>
        <w:t>align</w:t>
      </w:r>
      <w:r w:rsidRPr="000C638C">
        <w:rPr>
          <w:rFonts w:cstheme="minorHAnsi"/>
          <w:sz w:val="22"/>
          <w:szCs w:val="22"/>
        </w:rPr>
        <w:t xml:space="preserve"> with fundamental ethical values. The second is a </w:t>
      </w:r>
      <w:r w:rsidRPr="000C638C">
        <w:rPr>
          <w:rFonts w:cstheme="minorHAnsi"/>
          <w:b/>
          <w:sz w:val="22"/>
          <w:szCs w:val="22"/>
        </w:rPr>
        <w:t>Human Dignity Assessment</w:t>
      </w:r>
      <w:r w:rsidRPr="000C638C">
        <w:rPr>
          <w:rFonts w:cstheme="minorHAnsi"/>
          <w:sz w:val="22"/>
          <w:szCs w:val="22"/>
        </w:rPr>
        <w:t>. This type of assessment considers the impact of algorithmic decisions on dignity</w:t>
      </w:r>
      <w:r w:rsidR="00A50552">
        <w:rPr>
          <w:rFonts w:cstheme="minorHAnsi"/>
          <w:sz w:val="22"/>
          <w:szCs w:val="22"/>
        </w:rPr>
        <w:t>, human rights, and ethical concepts such as</w:t>
      </w:r>
      <w:r w:rsidR="00DB6F9C" w:rsidRPr="000C638C">
        <w:rPr>
          <w:rFonts w:cstheme="minorHAnsi"/>
          <w:sz w:val="22"/>
          <w:szCs w:val="22"/>
        </w:rPr>
        <w:t xml:space="preserve"> autonomy, equality, and privacy, as well as </w:t>
      </w:r>
      <w:r w:rsidRPr="000C638C">
        <w:rPr>
          <w:rFonts w:cstheme="minorHAnsi"/>
          <w:sz w:val="22"/>
          <w:szCs w:val="22"/>
        </w:rPr>
        <w:t xml:space="preserve">on human flourishing. The third is a </w:t>
      </w:r>
      <w:r w:rsidRPr="000C638C">
        <w:rPr>
          <w:rFonts w:cstheme="minorHAnsi"/>
          <w:b/>
          <w:sz w:val="22"/>
          <w:szCs w:val="22"/>
        </w:rPr>
        <w:t>Liberation Test</w:t>
      </w:r>
      <w:r w:rsidRPr="000C638C">
        <w:rPr>
          <w:rFonts w:cstheme="minorHAnsi"/>
          <w:sz w:val="22"/>
          <w:szCs w:val="22"/>
        </w:rPr>
        <w:t xml:space="preserve">. This type of review asks whether the technological systems uphold or challenge the prevailing systems of domination, discrimination, and exclusion. </w:t>
      </w:r>
      <w:r w:rsidR="000C638C" w:rsidRPr="000C638C">
        <w:rPr>
          <w:rFonts w:cstheme="minorHAnsi"/>
          <w:sz w:val="22"/>
          <w:szCs w:val="22"/>
        </w:rPr>
        <w:t xml:space="preserve">Only after these reviews and assessments have been completed may the system </w:t>
      </w:r>
      <w:r w:rsidRPr="000C638C">
        <w:rPr>
          <w:rFonts w:cstheme="minorHAnsi"/>
          <w:sz w:val="22"/>
          <w:szCs w:val="22"/>
        </w:rPr>
        <w:t xml:space="preserve">be subject to legal validation and implementation. The proposed Model, </w:t>
      </w:r>
      <w:r w:rsidR="00A50552">
        <w:rPr>
          <w:rFonts w:cstheme="minorHAnsi"/>
          <w:sz w:val="22"/>
          <w:szCs w:val="22"/>
        </w:rPr>
        <w:t>among the available AI governance models, is unique in providing an integrated approach to ethical, legal, and transcendental accountability within a single governance framework</w:t>
      </w:r>
      <w:r w:rsidRPr="000C638C">
        <w:rPr>
          <w:rFonts w:cstheme="minorHAnsi"/>
          <w:sz w:val="22"/>
          <w:szCs w:val="22"/>
        </w:rPr>
        <w:t xml:space="preserve">. It prioritizes human dignity </w:t>
      </w:r>
      <w:r w:rsidR="00A50552">
        <w:rPr>
          <w:rFonts w:cstheme="minorHAnsi"/>
          <w:sz w:val="22"/>
          <w:szCs w:val="22"/>
        </w:rPr>
        <w:t>in governing technology over</w:t>
      </w:r>
      <w:r w:rsidRPr="000C638C">
        <w:rPr>
          <w:rFonts w:cstheme="minorHAnsi"/>
          <w:sz w:val="22"/>
          <w:szCs w:val="22"/>
        </w:rPr>
        <w:t xml:space="preserve"> ethical efficiency.</w:t>
      </w:r>
    </w:p>
    <w:p w14:paraId="01119795" w14:textId="77777777" w:rsidR="00AB43FC" w:rsidRPr="000C638C" w:rsidRDefault="00AB43FC" w:rsidP="00AB43FC">
      <w:pPr>
        <w:spacing w:after="0"/>
        <w:jc w:val="both"/>
        <w:rPr>
          <w:rFonts w:cstheme="minorHAnsi"/>
          <w:sz w:val="22"/>
          <w:szCs w:val="22"/>
        </w:rPr>
      </w:pPr>
    </w:p>
    <w:p w14:paraId="25688FD3" w14:textId="61A6D7E2" w:rsidR="00830D40" w:rsidRPr="000C638C" w:rsidRDefault="00830D40"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4.6. </w:t>
      </w:r>
      <w:r w:rsidR="00153200" w:rsidRPr="000C638C">
        <w:rPr>
          <w:rFonts w:cstheme="minorHAnsi"/>
          <w:b/>
          <w:bCs/>
          <w:sz w:val="22"/>
          <w:szCs w:val="22"/>
        </w:rPr>
        <w:tab/>
      </w:r>
      <w:r w:rsidRPr="000C638C">
        <w:rPr>
          <w:rFonts w:cstheme="minorHAnsi"/>
          <w:b/>
          <w:bCs/>
          <w:sz w:val="22"/>
          <w:szCs w:val="22"/>
        </w:rPr>
        <w:t>Comparative Discussion with Existing Jurisprudential Frameworks</w:t>
      </w:r>
    </w:p>
    <w:p w14:paraId="7269FAC2" w14:textId="3FB4DE19" w:rsidR="00AB43FC" w:rsidRPr="000C638C" w:rsidRDefault="00AB43FC" w:rsidP="00153200">
      <w:pPr>
        <w:tabs>
          <w:tab w:val="left" w:pos="1350"/>
        </w:tabs>
        <w:spacing w:after="0"/>
        <w:ind w:left="900" w:firstLine="450"/>
        <w:jc w:val="both"/>
        <w:rPr>
          <w:rFonts w:cstheme="minorHAnsi"/>
          <w:sz w:val="22"/>
          <w:szCs w:val="22"/>
        </w:rPr>
      </w:pPr>
      <w:r w:rsidRPr="000C638C">
        <w:rPr>
          <w:rFonts w:cstheme="minorHAnsi"/>
          <w:sz w:val="22"/>
          <w:szCs w:val="22"/>
        </w:rPr>
        <w:t>The uniqueness of Prophetic Legal Epistemology becomes evident in comparative studies. Legal positivism brings accuracy to legal processes</w:t>
      </w:r>
      <w:r w:rsidR="00153200" w:rsidRPr="000C638C">
        <w:rPr>
          <w:rFonts w:cstheme="minorHAnsi"/>
          <w:sz w:val="22"/>
          <w:szCs w:val="22"/>
        </w:rPr>
        <w:t xml:space="preserve"> but offers little in</w:t>
      </w:r>
      <w:r w:rsidRPr="000C638C">
        <w:rPr>
          <w:rFonts w:cstheme="minorHAnsi"/>
          <w:sz w:val="22"/>
          <w:szCs w:val="22"/>
        </w:rPr>
        <w:t xml:space="preserve"> assessing the balance against technological domination. While Natural Law has a more developed moral framework, it does not adequately address the challenges presented by algorithmic domination. Although Digital Constitutionalism protects rights and limits digital domination, it is more concerned with Agency within Systems. While there is value in AI ethics and governance, they</w:t>
      </w:r>
      <w:r w:rsidR="00153200" w:rsidRPr="000C638C">
        <w:rPr>
          <w:rFonts w:cstheme="minorHAnsi"/>
          <w:sz w:val="22"/>
          <w:szCs w:val="22"/>
        </w:rPr>
        <w:t>, too, lack a well-developed legal foundation</w:t>
      </w:r>
      <w:r w:rsidRPr="000C638C">
        <w:rPr>
          <w:rFonts w:cstheme="minorHAnsi"/>
          <w:sz w:val="22"/>
          <w:szCs w:val="22"/>
        </w:rPr>
        <w:t>.</w:t>
      </w:r>
    </w:p>
    <w:p w14:paraId="3F922A0F" w14:textId="1299C8AE" w:rsidR="00AB43FC" w:rsidRPr="000C638C" w:rsidRDefault="00AB43FC" w:rsidP="00153200">
      <w:pPr>
        <w:tabs>
          <w:tab w:val="left" w:pos="1350"/>
        </w:tabs>
        <w:spacing w:after="0"/>
        <w:ind w:left="900" w:firstLine="450"/>
        <w:jc w:val="both"/>
        <w:rPr>
          <w:rFonts w:cstheme="minorHAnsi"/>
          <w:sz w:val="22"/>
          <w:szCs w:val="22"/>
        </w:rPr>
      </w:pPr>
      <w:r w:rsidRPr="000C638C">
        <w:rPr>
          <w:rFonts w:cstheme="minorHAnsi"/>
          <w:sz w:val="22"/>
          <w:szCs w:val="22"/>
        </w:rPr>
        <w:t xml:space="preserve">Prophetic Legal Epistemology aims to complement these frameworks. It includes </w:t>
      </w:r>
      <w:r w:rsidR="00164149" w:rsidRPr="000C638C">
        <w:rPr>
          <w:rFonts w:cstheme="minorHAnsi"/>
          <w:sz w:val="22"/>
          <w:szCs w:val="22"/>
        </w:rPr>
        <w:t xml:space="preserve">what </w:t>
      </w:r>
      <w:r w:rsidR="000E7B2E" w:rsidRPr="000C638C">
        <w:rPr>
          <w:rFonts w:cstheme="minorHAnsi"/>
          <w:sz w:val="22"/>
          <w:szCs w:val="22"/>
        </w:rPr>
        <w:t>Legal Positivism lacks</w:t>
      </w:r>
      <w:r w:rsidR="00164149" w:rsidRPr="000C638C">
        <w:rPr>
          <w:rFonts w:cstheme="minorHAnsi"/>
          <w:sz w:val="22"/>
          <w:szCs w:val="22"/>
        </w:rPr>
        <w:t>:</w:t>
      </w:r>
      <w:r w:rsidRPr="000C638C">
        <w:rPr>
          <w:rFonts w:cstheme="minorHAnsi"/>
          <w:sz w:val="22"/>
          <w:szCs w:val="22"/>
        </w:rPr>
        <w:t xml:space="preserve"> morality. Responding to Natural Law, it focuses on the implications of governance </w:t>
      </w:r>
      <w:r w:rsidR="00164149" w:rsidRPr="000C638C">
        <w:rPr>
          <w:rFonts w:cstheme="minorHAnsi"/>
          <w:sz w:val="22"/>
          <w:szCs w:val="22"/>
        </w:rPr>
        <w:t>for</w:t>
      </w:r>
      <w:r w:rsidRPr="000C638C">
        <w:rPr>
          <w:rFonts w:cstheme="minorHAnsi"/>
          <w:sz w:val="22"/>
          <w:szCs w:val="22"/>
        </w:rPr>
        <w:t xml:space="preserve"> technology. Differing from Digital Constitutionalism, it accommodates Transcendence. Addressing AI ethics</w:t>
      </w:r>
      <w:r w:rsidR="00153200" w:rsidRPr="000C638C">
        <w:rPr>
          <w:rFonts w:cstheme="minorHAnsi"/>
          <w:sz w:val="22"/>
          <w:szCs w:val="22"/>
        </w:rPr>
        <w:t xml:space="preserve"> means placing</w:t>
      </w:r>
      <w:r w:rsidRPr="000C638C">
        <w:rPr>
          <w:rFonts w:cstheme="minorHAnsi"/>
          <w:sz w:val="22"/>
          <w:szCs w:val="22"/>
        </w:rPr>
        <w:t xml:space="preserve"> ethics within the legal framework.</w:t>
      </w:r>
      <w:r w:rsidR="00153200" w:rsidRPr="000C638C">
        <w:rPr>
          <w:rFonts w:cstheme="minorHAnsi"/>
          <w:sz w:val="22"/>
          <w:szCs w:val="22"/>
        </w:rPr>
        <w:t xml:space="preserve"> </w:t>
      </w:r>
      <w:r w:rsidRPr="000C638C">
        <w:rPr>
          <w:rFonts w:cstheme="minorHAnsi"/>
          <w:sz w:val="22"/>
          <w:szCs w:val="22"/>
        </w:rPr>
        <w:t>Within this context, Prophetic Legal Epistemology moves beyond an ethics framework and offers a sophisticated theory of legal legitimacy in technologically mediated societies.</w:t>
      </w:r>
    </w:p>
    <w:p w14:paraId="34487260" w14:textId="77777777" w:rsidR="00AB43FC" w:rsidRPr="000C638C" w:rsidRDefault="00AB43FC" w:rsidP="00AB43FC">
      <w:pPr>
        <w:spacing w:after="0"/>
        <w:jc w:val="both"/>
        <w:rPr>
          <w:rFonts w:cstheme="minorHAnsi"/>
          <w:sz w:val="22"/>
          <w:szCs w:val="22"/>
        </w:rPr>
      </w:pPr>
    </w:p>
    <w:p w14:paraId="3BDA1D44" w14:textId="06077195" w:rsidR="00830D40" w:rsidRPr="000C638C" w:rsidRDefault="00830D40" w:rsidP="00153200">
      <w:pPr>
        <w:tabs>
          <w:tab w:val="left" w:pos="900"/>
        </w:tabs>
        <w:spacing w:after="0"/>
        <w:ind w:left="360"/>
        <w:jc w:val="both"/>
        <w:rPr>
          <w:rFonts w:cstheme="minorHAnsi"/>
          <w:b/>
          <w:bCs/>
          <w:sz w:val="22"/>
          <w:szCs w:val="22"/>
        </w:rPr>
      </w:pPr>
      <w:r w:rsidRPr="000C638C">
        <w:rPr>
          <w:rFonts w:cstheme="minorHAnsi"/>
          <w:b/>
          <w:bCs/>
          <w:sz w:val="22"/>
          <w:szCs w:val="22"/>
        </w:rPr>
        <w:t xml:space="preserve">4.7. </w:t>
      </w:r>
      <w:r w:rsidR="00153200" w:rsidRPr="000C638C">
        <w:rPr>
          <w:rFonts w:cstheme="minorHAnsi"/>
          <w:b/>
          <w:bCs/>
          <w:sz w:val="22"/>
          <w:szCs w:val="22"/>
        </w:rPr>
        <w:tab/>
      </w:r>
      <w:r w:rsidRPr="000C638C">
        <w:rPr>
          <w:rFonts w:cstheme="minorHAnsi"/>
          <w:b/>
          <w:bCs/>
          <w:sz w:val="22"/>
          <w:szCs w:val="22"/>
        </w:rPr>
        <w:t>Theoretical and Regulatory Implications for Society 5.0</w:t>
      </w:r>
    </w:p>
    <w:p w14:paraId="39A17BCA" w14:textId="77777777" w:rsidR="00830D40" w:rsidRPr="000C638C" w:rsidRDefault="00830D40" w:rsidP="00153200">
      <w:pPr>
        <w:spacing w:after="0"/>
        <w:ind w:left="900"/>
        <w:jc w:val="both"/>
        <w:rPr>
          <w:rFonts w:cstheme="minorHAnsi"/>
          <w:sz w:val="22"/>
          <w:szCs w:val="22"/>
        </w:rPr>
      </w:pPr>
      <w:r w:rsidRPr="000C638C">
        <w:rPr>
          <w:rFonts w:cstheme="minorHAnsi"/>
          <w:sz w:val="22"/>
          <w:szCs w:val="22"/>
        </w:rPr>
        <w:t>The findings of this study generate important implications for legal theory and public policy.</w:t>
      </w:r>
    </w:p>
    <w:p w14:paraId="7766A19B" w14:textId="2F58D490" w:rsidR="00AB43FC" w:rsidRPr="000C638C" w:rsidRDefault="00AB43FC" w:rsidP="00153200">
      <w:pPr>
        <w:spacing w:after="0"/>
        <w:ind w:left="900"/>
        <w:jc w:val="both"/>
        <w:rPr>
          <w:rFonts w:cstheme="minorHAnsi"/>
          <w:b/>
          <w:bCs/>
          <w:sz w:val="22"/>
          <w:szCs w:val="22"/>
        </w:rPr>
      </w:pPr>
      <w:r w:rsidRPr="000C638C">
        <w:rPr>
          <w:rFonts w:cstheme="minorHAnsi"/>
          <w:b/>
          <w:bCs/>
          <w:sz w:val="22"/>
          <w:szCs w:val="22"/>
        </w:rPr>
        <w:t>Theoretical Contributions</w:t>
      </w:r>
    </w:p>
    <w:p w14:paraId="788B2E9C" w14:textId="75DA9EC2" w:rsidR="00AB43FC" w:rsidRPr="000C638C" w:rsidRDefault="00AB43FC" w:rsidP="00153200">
      <w:pPr>
        <w:spacing w:after="0"/>
        <w:ind w:left="900"/>
        <w:jc w:val="both"/>
        <w:rPr>
          <w:rFonts w:cstheme="minorHAnsi"/>
          <w:b/>
          <w:bCs/>
          <w:sz w:val="22"/>
          <w:szCs w:val="22"/>
        </w:rPr>
      </w:pPr>
      <w:r w:rsidRPr="000C638C">
        <w:rPr>
          <w:rFonts w:cstheme="minorHAnsi"/>
          <w:sz w:val="22"/>
          <w:szCs w:val="22"/>
        </w:rPr>
        <w:t xml:space="preserve">This research moves contemporary legal theory beyond the conventional views of legal positivism and natural law. Through the </w:t>
      </w:r>
      <w:r w:rsidR="00153200" w:rsidRPr="000C638C">
        <w:rPr>
          <w:rFonts w:cstheme="minorHAnsi"/>
          <w:sz w:val="22"/>
          <w:szCs w:val="22"/>
        </w:rPr>
        <w:t>concepts of transcendence, humanization, and liberation, this research creates a pathway to articulate legal legitimacy in the context</w:t>
      </w:r>
      <w:r w:rsidRPr="000C638C">
        <w:rPr>
          <w:rFonts w:cstheme="minorHAnsi"/>
          <w:sz w:val="22"/>
          <w:szCs w:val="22"/>
        </w:rPr>
        <w:t xml:space="preserve"> of advanced technology. This research also applies Kuntowijoyo’s prophetic social science </w:t>
      </w:r>
      <w:r w:rsidR="00153200" w:rsidRPr="000C638C">
        <w:rPr>
          <w:rFonts w:cstheme="minorHAnsi"/>
          <w:sz w:val="22"/>
          <w:szCs w:val="22"/>
        </w:rPr>
        <w:t xml:space="preserve">to </w:t>
      </w:r>
      <w:r w:rsidR="00164149" w:rsidRPr="000C638C">
        <w:rPr>
          <w:rFonts w:cstheme="minorHAnsi"/>
          <w:sz w:val="22"/>
          <w:szCs w:val="22"/>
        </w:rPr>
        <w:t xml:space="preserve">legal </w:t>
      </w:r>
      <w:r w:rsidR="00164149" w:rsidRPr="000C638C">
        <w:rPr>
          <w:rFonts w:cstheme="minorHAnsi"/>
          <w:sz w:val="22"/>
          <w:szCs w:val="22"/>
        </w:rPr>
        <w:lastRenderedPageBreak/>
        <w:t>theory, thereby laying the</w:t>
      </w:r>
      <w:r w:rsidRPr="000C638C">
        <w:rPr>
          <w:rFonts w:cstheme="minorHAnsi"/>
          <w:sz w:val="22"/>
          <w:szCs w:val="22"/>
        </w:rPr>
        <w:t xml:space="preserve"> foundation for non-Western legal theory within the context of global legal theory.</w:t>
      </w:r>
    </w:p>
    <w:p w14:paraId="1674FA9B" w14:textId="753FE59E" w:rsidR="00AB43FC" w:rsidRPr="000C638C" w:rsidRDefault="00AB43FC" w:rsidP="00153200">
      <w:pPr>
        <w:spacing w:after="0"/>
        <w:ind w:left="900"/>
        <w:jc w:val="both"/>
        <w:rPr>
          <w:rFonts w:cstheme="minorHAnsi"/>
          <w:b/>
          <w:bCs/>
          <w:sz w:val="22"/>
          <w:szCs w:val="22"/>
        </w:rPr>
      </w:pPr>
      <w:r w:rsidRPr="000C638C">
        <w:rPr>
          <w:rFonts w:cstheme="minorHAnsi"/>
          <w:b/>
          <w:bCs/>
          <w:sz w:val="22"/>
          <w:szCs w:val="22"/>
        </w:rPr>
        <w:t>Regulatory Contributions</w:t>
      </w:r>
    </w:p>
    <w:p w14:paraId="7E3720F1" w14:textId="4B2327FB" w:rsidR="006E4FD2" w:rsidRPr="00832731" w:rsidRDefault="00AB43FC" w:rsidP="00832731">
      <w:pPr>
        <w:spacing w:after="0"/>
        <w:ind w:left="900"/>
        <w:jc w:val="both"/>
        <w:rPr>
          <w:rFonts w:cstheme="minorHAnsi"/>
          <w:sz w:val="22"/>
          <w:szCs w:val="22"/>
        </w:rPr>
      </w:pPr>
      <w:r w:rsidRPr="000C638C">
        <w:rPr>
          <w:rFonts w:cstheme="minorHAnsi"/>
          <w:sz w:val="22"/>
          <w:szCs w:val="22"/>
        </w:rPr>
        <w:t xml:space="preserve">The new pathway creates an opportunity to develop a regulatory framework for artificial intelligence, automated and algorithmic systems, and the governance of Smart Cities. The ideas of transcendence, humanization, and liberation could also </w:t>
      </w:r>
      <w:r w:rsidR="009E6E15" w:rsidRPr="000C638C">
        <w:rPr>
          <w:rFonts w:cstheme="minorHAnsi"/>
          <w:sz w:val="22"/>
          <w:szCs w:val="22"/>
        </w:rPr>
        <w:t>help policymakers</w:t>
      </w:r>
      <w:r w:rsidRPr="000C638C">
        <w:rPr>
          <w:rFonts w:cstheme="minorHAnsi"/>
          <w:sz w:val="22"/>
          <w:szCs w:val="22"/>
        </w:rPr>
        <w:t xml:space="preserve"> formulate protective legal frameworks to address the challenges posed by new and emerging technologies.</w:t>
      </w:r>
    </w:p>
    <w:p w14:paraId="2806A559" w14:textId="27B56712" w:rsidR="00AB43FC" w:rsidRPr="000C638C" w:rsidRDefault="00AB43FC" w:rsidP="00153200">
      <w:pPr>
        <w:spacing w:after="0"/>
        <w:ind w:left="900"/>
        <w:jc w:val="both"/>
        <w:rPr>
          <w:rFonts w:cstheme="minorHAnsi"/>
          <w:b/>
          <w:bCs/>
          <w:sz w:val="22"/>
          <w:szCs w:val="22"/>
        </w:rPr>
      </w:pPr>
      <w:r w:rsidRPr="000C638C">
        <w:rPr>
          <w:rFonts w:cstheme="minorHAnsi"/>
          <w:b/>
          <w:bCs/>
          <w:sz w:val="22"/>
          <w:szCs w:val="22"/>
        </w:rPr>
        <w:t>Social Contributions</w:t>
      </w:r>
    </w:p>
    <w:p w14:paraId="4472212B" w14:textId="07DDAEC1" w:rsidR="00AB43FC" w:rsidRPr="000C638C" w:rsidRDefault="00AB43FC" w:rsidP="00153200">
      <w:pPr>
        <w:spacing w:after="0"/>
        <w:ind w:left="900"/>
        <w:jc w:val="both"/>
        <w:rPr>
          <w:rFonts w:cstheme="minorHAnsi"/>
          <w:sz w:val="22"/>
          <w:szCs w:val="22"/>
        </w:rPr>
      </w:pPr>
      <w:r w:rsidRPr="000C638C">
        <w:rPr>
          <w:rFonts w:cstheme="minorHAnsi"/>
          <w:sz w:val="22"/>
          <w:szCs w:val="22"/>
        </w:rPr>
        <w:t>The new pathway re</w:t>
      </w:r>
      <w:r w:rsidR="00F440D7" w:rsidRPr="000C638C">
        <w:rPr>
          <w:rFonts w:cstheme="minorHAnsi"/>
          <w:sz w:val="22"/>
          <w:szCs w:val="22"/>
        </w:rPr>
        <w:t>-</w:t>
      </w:r>
      <w:r w:rsidRPr="000C638C">
        <w:rPr>
          <w:rFonts w:cstheme="minorHAnsi"/>
          <w:sz w:val="22"/>
          <w:szCs w:val="22"/>
        </w:rPr>
        <w:t>establishes the original vision of Society 5.0</w:t>
      </w:r>
      <w:r w:rsidR="00164149" w:rsidRPr="000C638C">
        <w:rPr>
          <w:rFonts w:cstheme="minorHAnsi"/>
          <w:sz w:val="22"/>
          <w:szCs w:val="22"/>
        </w:rPr>
        <w:t>:</w:t>
      </w:r>
      <w:r w:rsidRPr="000C638C">
        <w:rPr>
          <w:rFonts w:cstheme="minorHAnsi"/>
          <w:sz w:val="22"/>
          <w:szCs w:val="22"/>
        </w:rPr>
        <w:t xml:space="preserve"> a truly human-centered society. The logic of technological advancement should not reconceptualize human beings in the frameworks of efficiency and optimization. Legal systems that uphold human dignity and </w:t>
      </w:r>
      <w:r w:rsidR="00153200" w:rsidRPr="000C638C">
        <w:rPr>
          <w:rFonts w:cstheme="minorHAnsi"/>
          <w:sz w:val="22"/>
          <w:szCs w:val="22"/>
        </w:rPr>
        <w:t>foster the flourishing of persons and communities must assume</w:t>
      </w:r>
      <w:r w:rsidRPr="000C638C">
        <w:rPr>
          <w:rFonts w:cstheme="minorHAnsi"/>
          <w:sz w:val="22"/>
          <w:szCs w:val="22"/>
        </w:rPr>
        <w:t xml:space="preserve"> this responsibility.</w:t>
      </w:r>
    </w:p>
    <w:p w14:paraId="1800C0ED" w14:textId="3DBD8E3A" w:rsidR="00AB43FC" w:rsidRPr="000C638C" w:rsidRDefault="00AB43FC" w:rsidP="00153200">
      <w:pPr>
        <w:spacing w:after="0"/>
        <w:ind w:left="900"/>
        <w:jc w:val="both"/>
        <w:rPr>
          <w:rFonts w:cstheme="minorHAnsi"/>
          <w:sz w:val="22"/>
          <w:szCs w:val="22"/>
          <w:lang w:val="en-ID"/>
        </w:rPr>
      </w:pPr>
      <w:r w:rsidRPr="000C638C">
        <w:rPr>
          <w:rFonts w:cstheme="minorHAnsi"/>
          <w:sz w:val="22"/>
          <w:szCs w:val="22"/>
          <w:lang w:val="en-ID"/>
        </w:rPr>
        <w:t xml:space="preserve">Therefore, within the context of Society 5.0, Prophetic Legal Epistemology affirms a human-centered orientation while </w:t>
      </w:r>
      <w:r w:rsidR="00153200" w:rsidRPr="000C638C">
        <w:rPr>
          <w:rFonts w:cstheme="minorHAnsi"/>
          <w:sz w:val="22"/>
          <w:szCs w:val="22"/>
          <w:lang w:val="en-ID"/>
        </w:rPr>
        <w:t>embracing</w:t>
      </w:r>
      <w:r w:rsidRPr="000C638C">
        <w:rPr>
          <w:rFonts w:cstheme="minorHAnsi"/>
          <w:sz w:val="22"/>
          <w:szCs w:val="22"/>
          <w:lang w:val="en-ID"/>
        </w:rPr>
        <w:t xml:space="preserve"> the gifts of technological advancement.</w:t>
      </w:r>
    </w:p>
    <w:p w14:paraId="4C1DA0FA" w14:textId="77777777" w:rsidR="00AB43FC" w:rsidRPr="000C638C" w:rsidRDefault="00AB43FC" w:rsidP="00153200">
      <w:pPr>
        <w:spacing w:after="0"/>
        <w:ind w:left="900"/>
        <w:jc w:val="both"/>
        <w:rPr>
          <w:rFonts w:cstheme="minorHAnsi"/>
          <w:sz w:val="22"/>
          <w:szCs w:val="22"/>
        </w:rPr>
      </w:pPr>
    </w:p>
    <w:p w14:paraId="08150326" w14:textId="20FA5ED0" w:rsidR="00830D40" w:rsidRPr="000C638C" w:rsidRDefault="00830D40" w:rsidP="00153200">
      <w:pPr>
        <w:tabs>
          <w:tab w:val="left" w:pos="360"/>
        </w:tabs>
        <w:spacing w:after="0"/>
        <w:jc w:val="both"/>
        <w:rPr>
          <w:rFonts w:cstheme="minorHAnsi"/>
          <w:b/>
          <w:bCs/>
          <w:sz w:val="22"/>
          <w:szCs w:val="22"/>
        </w:rPr>
      </w:pPr>
      <w:r w:rsidRPr="000C638C">
        <w:rPr>
          <w:rFonts w:cstheme="minorHAnsi"/>
          <w:b/>
          <w:bCs/>
          <w:sz w:val="22"/>
          <w:szCs w:val="22"/>
        </w:rPr>
        <w:t xml:space="preserve">5. </w:t>
      </w:r>
      <w:r w:rsidR="00153200" w:rsidRPr="000C638C">
        <w:rPr>
          <w:rFonts w:cstheme="minorHAnsi"/>
          <w:b/>
          <w:bCs/>
          <w:sz w:val="22"/>
          <w:szCs w:val="22"/>
        </w:rPr>
        <w:tab/>
      </w:r>
      <w:r w:rsidRPr="000C638C">
        <w:rPr>
          <w:rFonts w:cstheme="minorHAnsi"/>
          <w:b/>
          <w:bCs/>
          <w:sz w:val="22"/>
          <w:szCs w:val="22"/>
        </w:rPr>
        <w:t>Conclusion</w:t>
      </w:r>
    </w:p>
    <w:p w14:paraId="50CE2472" w14:textId="77777777" w:rsidR="00153200" w:rsidRPr="000C638C" w:rsidRDefault="00AB43FC" w:rsidP="00153200">
      <w:pPr>
        <w:spacing w:after="0"/>
        <w:ind w:left="360" w:firstLine="450"/>
        <w:jc w:val="both"/>
        <w:rPr>
          <w:rFonts w:cstheme="minorHAnsi"/>
          <w:sz w:val="22"/>
          <w:szCs w:val="22"/>
        </w:rPr>
      </w:pPr>
      <w:r w:rsidRPr="000C638C">
        <w:rPr>
          <w:rFonts w:cstheme="minorHAnsi"/>
          <w:sz w:val="22"/>
          <w:szCs w:val="22"/>
        </w:rPr>
        <w:t xml:space="preserve">Society 5.0 brings unprecedented complexities that challenge existing legal frameworks regarding the role of algorithms in society. </w:t>
      </w:r>
      <w:r w:rsidR="00153200" w:rsidRPr="000C638C">
        <w:rPr>
          <w:rFonts w:cstheme="minorHAnsi"/>
          <w:sz w:val="22"/>
          <w:szCs w:val="22"/>
        </w:rPr>
        <w:t>The growth of digital technologies and related phenomena demands</w:t>
      </w:r>
      <w:r w:rsidRPr="000C638C">
        <w:rPr>
          <w:rFonts w:cstheme="minorHAnsi"/>
          <w:sz w:val="22"/>
          <w:szCs w:val="22"/>
        </w:rPr>
        <w:t xml:space="preserve"> new synergistic legal frameworks. In this article, I argue that legal positivism, digital constitutionalism, and AI ethics and governance approaches shed light on multiple components of rights, legality, and accountability. However, none of the approaches described amply incorporate transcendence and dignity, nor does any attempt to integrate algorithmic governance within the bounds of a singular theory of legal legitimacy.</w:t>
      </w:r>
      <w:r w:rsidR="00153200" w:rsidRPr="000C638C">
        <w:rPr>
          <w:rFonts w:cstheme="minorHAnsi"/>
          <w:sz w:val="22"/>
          <w:szCs w:val="22"/>
        </w:rPr>
        <w:t xml:space="preserve"> </w:t>
      </w:r>
    </w:p>
    <w:p w14:paraId="63F05318" w14:textId="77777777" w:rsidR="00153200" w:rsidRPr="000C638C" w:rsidRDefault="00AB43FC" w:rsidP="00153200">
      <w:pPr>
        <w:spacing w:after="0"/>
        <w:ind w:left="360" w:firstLine="450"/>
        <w:jc w:val="both"/>
        <w:rPr>
          <w:rFonts w:cstheme="minorHAnsi"/>
          <w:sz w:val="22"/>
          <w:szCs w:val="22"/>
        </w:rPr>
      </w:pPr>
      <w:r w:rsidRPr="000C638C">
        <w:rPr>
          <w:rFonts w:cstheme="minorHAnsi"/>
          <w:sz w:val="22"/>
          <w:szCs w:val="22"/>
        </w:rPr>
        <w:t>In this article, I push the boundaries of Prophetic Legal Epistemology. I build on Kuntowijoyo's vision of an integrated framework of prophetic social science. I contend that in the context of technologically mediated societies, legal legitimacy cannot be confined to procedural legality. Rather, it must embrace transcendental legitimacy. In this context, human dignity is not positioned as an external controlling ethical principle, but rather as a foundational condition of legal authority. In this perspective, algorithmic governance is substantially controlled by human legal values.</w:t>
      </w:r>
    </w:p>
    <w:p w14:paraId="452C86E5" w14:textId="4FC46F00" w:rsidR="00153200" w:rsidRPr="000C638C" w:rsidRDefault="00AB43FC" w:rsidP="00153200">
      <w:pPr>
        <w:spacing w:after="0"/>
        <w:ind w:left="360" w:firstLine="450"/>
        <w:jc w:val="both"/>
        <w:rPr>
          <w:rFonts w:cstheme="minorHAnsi"/>
          <w:sz w:val="22"/>
          <w:szCs w:val="22"/>
        </w:rPr>
      </w:pPr>
      <w:r w:rsidRPr="000C638C">
        <w:rPr>
          <w:rFonts w:cstheme="minorHAnsi"/>
          <w:sz w:val="22"/>
          <w:szCs w:val="22"/>
        </w:rPr>
        <w:t xml:space="preserve">The article has three main objectives. First, I develop a systematic model of Prophetic Legal Epistemology as an extension of Kuntowijoyo's </w:t>
      </w:r>
      <w:r w:rsidR="00153200" w:rsidRPr="000C638C">
        <w:rPr>
          <w:rFonts w:cstheme="minorHAnsi"/>
          <w:sz w:val="22"/>
          <w:szCs w:val="22"/>
        </w:rPr>
        <w:t>prophetic social science in</w:t>
      </w:r>
      <w:r w:rsidRPr="000C638C">
        <w:rPr>
          <w:rFonts w:cstheme="minorHAnsi"/>
          <w:sz w:val="22"/>
          <w:szCs w:val="22"/>
        </w:rPr>
        <w:t xml:space="preserve"> jurisprudence. Second, I integrate the concepts of procedural legality and transcendental accountability to reconceptualize legal legitimacy. Finally, I present a Prophetic Model of AI Governance </w:t>
      </w:r>
      <w:r w:rsidR="00164149" w:rsidRPr="000C638C">
        <w:rPr>
          <w:rFonts w:cstheme="minorHAnsi"/>
          <w:sz w:val="22"/>
          <w:szCs w:val="22"/>
        </w:rPr>
        <w:t>that provides a structure and guidelines for governing</w:t>
      </w:r>
      <w:r w:rsidRPr="000C638C">
        <w:rPr>
          <w:rFonts w:cstheme="minorHAnsi"/>
          <w:sz w:val="22"/>
          <w:szCs w:val="22"/>
        </w:rPr>
        <w:t xml:space="preserve"> algorithms in Society 5.0.</w:t>
      </w:r>
    </w:p>
    <w:p w14:paraId="1A32C576" w14:textId="51E2D06F" w:rsidR="00830D40" w:rsidRPr="000C638C" w:rsidRDefault="00AB43FC" w:rsidP="00153200">
      <w:pPr>
        <w:spacing w:after="0"/>
        <w:ind w:left="360" w:firstLine="450"/>
        <w:jc w:val="both"/>
        <w:rPr>
          <w:rFonts w:cstheme="minorHAnsi"/>
          <w:sz w:val="22"/>
          <w:szCs w:val="22"/>
        </w:rPr>
      </w:pPr>
      <w:r w:rsidRPr="000C638C">
        <w:rPr>
          <w:rFonts w:cstheme="minorHAnsi"/>
          <w:sz w:val="22"/>
          <w:szCs w:val="22"/>
        </w:rPr>
        <w:t xml:space="preserve">This study demonstrates that more advanced technologies are not the only determining factor in the future of legal governance. Our ability to integrate complex technologies will depend heavily on the </w:t>
      </w:r>
      <w:r w:rsidR="00153200" w:rsidRPr="000C638C">
        <w:rPr>
          <w:rFonts w:cstheme="minorHAnsi"/>
          <w:sz w:val="22"/>
          <w:szCs w:val="22"/>
        </w:rPr>
        <w:t>moral, ethical, and just constructs of legal system</w:t>
      </w:r>
      <w:r w:rsidRPr="000C638C">
        <w:rPr>
          <w:rFonts w:cstheme="minorHAnsi"/>
          <w:sz w:val="22"/>
          <w:szCs w:val="22"/>
        </w:rPr>
        <w:t xml:space="preserve">s. As such, this study aims to enrich the existing literature </w:t>
      </w:r>
      <w:r w:rsidR="00153200" w:rsidRPr="000C638C">
        <w:rPr>
          <w:rFonts w:cstheme="minorHAnsi"/>
          <w:sz w:val="22"/>
          <w:szCs w:val="22"/>
        </w:rPr>
        <w:t>on</w:t>
      </w:r>
      <w:r w:rsidRPr="000C638C">
        <w:rPr>
          <w:rFonts w:cstheme="minorHAnsi"/>
          <w:sz w:val="22"/>
          <w:szCs w:val="22"/>
        </w:rPr>
        <w:t xml:space="preserve"> law, technology, and human flourishing. It seeks to do </w:t>
      </w:r>
      <w:r w:rsidR="009E6E15" w:rsidRPr="000C638C">
        <w:rPr>
          <w:rFonts w:cstheme="minorHAnsi"/>
          <w:sz w:val="22"/>
          <w:szCs w:val="22"/>
        </w:rPr>
        <w:t>so by demonstrating that upholding human dignity and justice is an ethical imperative for the legal framework governing</w:t>
      </w:r>
      <w:r w:rsidRPr="000C638C">
        <w:rPr>
          <w:rFonts w:cstheme="minorHAnsi"/>
          <w:sz w:val="22"/>
          <w:szCs w:val="22"/>
        </w:rPr>
        <w:t xml:space="preserve"> technology. Future studies may seek to concretize the tenets of Prophetic Legal Epistemology</w:t>
      </w:r>
      <w:r w:rsidR="00153200" w:rsidRPr="000C638C">
        <w:rPr>
          <w:rFonts w:cstheme="minorHAnsi"/>
          <w:sz w:val="22"/>
          <w:szCs w:val="22"/>
        </w:rPr>
        <w:t>, AI governance</w:t>
      </w:r>
      <w:r w:rsidR="00A50552">
        <w:rPr>
          <w:rFonts w:cstheme="minorHAnsi"/>
          <w:sz w:val="22"/>
          <w:szCs w:val="22"/>
        </w:rPr>
        <w:t>,</w:t>
      </w:r>
      <w:r w:rsidRPr="000C638C">
        <w:rPr>
          <w:rFonts w:cstheme="minorHAnsi"/>
          <w:sz w:val="22"/>
          <w:szCs w:val="22"/>
        </w:rPr>
        <w:t xml:space="preserve"> and </w:t>
      </w:r>
      <w:r w:rsidR="009E6E15" w:rsidRPr="000C638C">
        <w:rPr>
          <w:rFonts w:cstheme="minorHAnsi"/>
          <w:sz w:val="22"/>
          <w:szCs w:val="22"/>
        </w:rPr>
        <w:t>the regulation of digital and technology systems</w:t>
      </w:r>
      <w:r w:rsidRPr="000C638C">
        <w:rPr>
          <w:rFonts w:cstheme="minorHAnsi"/>
          <w:sz w:val="22"/>
          <w:szCs w:val="22"/>
        </w:rPr>
        <w:t>.</w:t>
      </w:r>
    </w:p>
    <w:p w14:paraId="18AEFF3D" w14:textId="77777777" w:rsidR="00D46CFF" w:rsidRPr="000C638C" w:rsidRDefault="00D46CFF" w:rsidP="00D46CFF">
      <w:pPr>
        <w:spacing w:after="0"/>
        <w:jc w:val="both"/>
        <w:rPr>
          <w:rFonts w:cstheme="minorHAnsi"/>
          <w:b/>
          <w:bCs/>
          <w:sz w:val="22"/>
          <w:szCs w:val="22"/>
        </w:rPr>
      </w:pPr>
    </w:p>
    <w:p w14:paraId="6C49595C" w14:textId="77777777" w:rsidR="000C638C" w:rsidRDefault="000C638C" w:rsidP="00D46CFF">
      <w:pPr>
        <w:spacing w:after="0"/>
        <w:jc w:val="both"/>
        <w:rPr>
          <w:rFonts w:cstheme="minorHAnsi"/>
          <w:b/>
          <w:bCs/>
          <w:sz w:val="22"/>
          <w:szCs w:val="22"/>
        </w:rPr>
      </w:pPr>
    </w:p>
    <w:p w14:paraId="03B12608" w14:textId="77777777" w:rsidR="00832731" w:rsidRPr="000C638C" w:rsidRDefault="00832731" w:rsidP="00D46CFF">
      <w:pPr>
        <w:spacing w:after="0"/>
        <w:jc w:val="both"/>
        <w:rPr>
          <w:rFonts w:cstheme="minorHAnsi"/>
          <w:b/>
          <w:bCs/>
          <w:sz w:val="22"/>
          <w:szCs w:val="22"/>
        </w:rPr>
      </w:pPr>
    </w:p>
    <w:p w14:paraId="0EAABDC2" w14:textId="1C44DBBF" w:rsidR="00D46CFF" w:rsidRPr="000C638C" w:rsidRDefault="00D46CFF" w:rsidP="00D46CFF">
      <w:pPr>
        <w:spacing w:after="0"/>
        <w:jc w:val="both"/>
        <w:rPr>
          <w:rFonts w:cstheme="minorHAnsi"/>
          <w:b/>
          <w:bCs/>
          <w:sz w:val="22"/>
          <w:szCs w:val="22"/>
        </w:rPr>
      </w:pPr>
      <w:r w:rsidRPr="000C638C">
        <w:rPr>
          <w:rFonts w:cstheme="minorHAnsi"/>
          <w:b/>
          <w:bCs/>
          <w:sz w:val="22"/>
          <w:szCs w:val="22"/>
        </w:rPr>
        <w:t>Declarations</w:t>
      </w:r>
    </w:p>
    <w:p w14:paraId="473E8222" w14:textId="77777777" w:rsidR="00D46CFF" w:rsidRPr="000C638C" w:rsidRDefault="00D46CFF" w:rsidP="00D46CFF">
      <w:pPr>
        <w:spacing w:after="0"/>
        <w:ind w:firstLine="450"/>
        <w:jc w:val="both"/>
        <w:rPr>
          <w:rFonts w:cstheme="minorHAnsi"/>
          <w:sz w:val="22"/>
          <w:szCs w:val="22"/>
        </w:rPr>
      </w:pPr>
      <w:r w:rsidRPr="000C638C">
        <w:rPr>
          <w:rFonts w:cstheme="minorHAnsi"/>
          <w:b/>
          <w:bCs/>
          <w:i/>
          <w:iCs/>
          <w:sz w:val="22"/>
          <w:szCs w:val="22"/>
        </w:rPr>
        <w:t xml:space="preserve">Author Contributions. </w:t>
      </w:r>
      <w:r w:rsidRPr="000C638C">
        <w:rPr>
          <w:rFonts w:cstheme="minorHAnsi"/>
          <w:sz w:val="22"/>
          <w:szCs w:val="22"/>
        </w:rPr>
        <w:t>[Author placeholder – confirm before submission] R.C.R.: conceptualization, literature review, theoretical development, writing – original draft. D.D.: supervision, critical revision, validation of the doctrinal analysis. Both authors read and approved the final manuscript.</w:t>
      </w:r>
    </w:p>
    <w:p w14:paraId="44133735" w14:textId="77777777" w:rsidR="00D46CFF" w:rsidRPr="000C638C" w:rsidRDefault="00D46CFF" w:rsidP="00D46CFF">
      <w:pPr>
        <w:spacing w:after="0"/>
        <w:ind w:firstLine="450"/>
        <w:jc w:val="both"/>
        <w:rPr>
          <w:rFonts w:cstheme="minorHAnsi"/>
          <w:sz w:val="22"/>
          <w:szCs w:val="22"/>
        </w:rPr>
      </w:pPr>
      <w:r w:rsidRPr="000C638C">
        <w:rPr>
          <w:rFonts w:cstheme="minorHAnsi"/>
          <w:b/>
          <w:bCs/>
          <w:i/>
          <w:iCs/>
          <w:sz w:val="22"/>
          <w:szCs w:val="22"/>
        </w:rPr>
        <w:t xml:space="preserve">Funding. </w:t>
      </w:r>
      <w:r w:rsidRPr="000C638C">
        <w:rPr>
          <w:rFonts w:cstheme="minorHAnsi"/>
          <w:sz w:val="22"/>
          <w:szCs w:val="22"/>
        </w:rPr>
        <w:t xml:space="preserve">[Author placeholder – confirm before submission] This research received no external funding. </w:t>
      </w:r>
    </w:p>
    <w:p w14:paraId="3039B277" w14:textId="77777777" w:rsidR="00D46CFF" w:rsidRPr="000C638C" w:rsidRDefault="00D46CFF" w:rsidP="00D46CFF">
      <w:pPr>
        <w:spacing w:after="0"/>
        <w:ind w:firstLine="450"/>
        <w:jc w:val="both"/>
        <w:rPr>
          <w:rFonts w:cstheme="minorHAnsi"/>
          <w:sz w:val="22"/>
          <w:szCs w:val="22"/>
        </w:rPr>
      </w:pPr>
      <w:r w:rsidRPr="000C638C">
        <w:rPr>
          <w:rFonts w:cstheme="minorHAnsi"/>
          <w:b/>
          <w:bCs/>
          <w:i/>
          <w:iCs/>
          <w:sz w:val="22"/>
          <w:szCs w:val="22"/>
        </w:rPr>
        <w:t xml:space="preserve">Conflicts of Interest. </w:t>
      </w:r>
      <w:r w:rsidRPr="000C638C">
        <w:rPr>
          <w:rFonts w:cstheme="minorHAnsi"/>
          <w:sz w:val="22"/>
          <w:szCs w:val="22"/>
        </w:rPr>
        <w:t>The authors declare no conflict of interest.</w:t>
      </w:r>
    </w:p>
    <w:p w14:paraId="30803A46" w14:textId="77777777" w:rsidR="00D46CFF" w:rsidRPr="000C638C" w:rsidRDefault="00D46CFF" w:rsidP="00D46CFF">
      <w:pPr>
        <w:spacing w:after="0"/>
        <w:ind w:firstLine="450"/>
        <w:jc w:val="both"/>
        <w:rPr>
          <w:rFonts w:cstheme="minorHAnsi"/>
          <w:sz w:val="22"/>
          <w:szCs w:val="22"/>
        </w:rPr>
      </w:pPr>
      <w:r w:rsidRPr="000C638C">
        <w:rPr>
          <w:rFonts w:cstheme="minorHAnsi"/>
          <w:b/>
          <w:bCs/>
          <w:i/>
          <w:iCs/>
          <w:sz w:val="22"/>
          <w:szCs w:val="22"/>
        </w:rPr>
        <w:t xml:space="preserve">Data Availability. </w:t>
      </w:r>
      <w:r w:rsidRPr="000C638C">
        <w:rPr>
          <w:rFonts w:cstheme="minorHAnsi"/>
          <w:sz w:val="22"/>
          <w:szCs w:val="22"/>
        </w:rPr>
        <w:t>No new empirical data were generated or analyzed in this study. This is a work of conceptual and doctrinal jurisprudence; all primary and secondary sources examined are listed in the References section below.</w:t>
      </w:r>
    </w:p>
    <w:p w14:paraId="5F8C5E80" w14:textId="77777777" w:rsidR="00741803" w:rsidRPr="000C638C" w:rsidRDefault="00741803" w:rsidP="00741803">
      <w:pPr>
        <w:spacing w:after="0"/>
        <w:jc w:val="both"/>
        <w:rPr>
          <w:rFonts w:cstheme="minorHAnsi"/>
          <w:sz w:val="22"/>
          <w:szCs w:val="22"/>
        </w:rPr>
      </w:pPr>
    </w:p>
    <w:p w14:paraId="0290AE5D" w14:textId="2DD3F1D7" w:rsidR="00741803" w:rsidRPr="000C638C" w:rsidRDefault="00741803" w:rsidP="00741803">
      <w:pPr>
        <w:spacing w:after="0"/>
        <w:jc w:val="both"/>
        <w:rPr>
          <w:rFonts w:cstheme="minorHAnsi"/>
          <w:b/>
          <w:bCs/>
          <w:sz w:val="22"/>
          <w:szCs w:val="22"/>
        </w:rPr>
      </w:pPr>
      <w:r w:rsidRPr="000C638C">
        <w:rPr>
          <w:rFonts w:cstheme="minorHAnsi"/>
          <w:b/>
          <w:bCs/>
          <w:sz w:val="22"/>
          <w:szCs w:val="22"/>
        </w:rPr>
        <w:t>References</w:t>
      </w:r>
    </w:p>
    <w:p w14:paraId="60921B8D" w14:textId="1DBA0BA7" w:rsidR="00A50552" w:rsidRPr="00A50552" w:rsidRDefault="00741803" w:rsidP="00A50552">
      <w:pPr>
        <w:widowControl w:val="0"/>
        <w:autoSpaceDE w:val="0"/>
        <w:autoSpaceDN w:val="0"/>
        <w:adjustRightInd w:val="0"/>
        <w:spacing w:after="0" w:line="240" w:lineRule="auto"/>
        <w:ind w:left="480" w:hanging="480"/>
        <w:rPr>
          <w:rFonts w:ascii="Calibri" w:hAnsi="Calibri" w:cs="Calibri"/>
          <w:noProof/>
          <w:kern w:val="0"/>
          <w:sz w:val="22"/>
        </w:rPr>
      </w:pPr>
      <w:r w:rsidRPr="000C638C">
        <w:rPr>
          <w:rFonts w:cstheme="minorHAnsi"/>
          <w:sz w:val="22"/>
          <w:szCs w:val="22"/>
        </w:rPr>
        <w:fldChar w:fldCharType="begin" w:fldLock="1"/>
      </w:r>
      <w:r w:rsidRPr="000C638C">
        <w:rPr>
          <w:rFonts w:cstheme="minorHAnsi"/>
          <w:sz w:val="22"/>
          <w:szCs w:val="22"/>
        </w:rPr>
        <w:instrText xml:space="preserve">ADDIN Mendeley Bibliography CSL_BIBLIOGRAPHY </w:instrText>
      </w:r>
      <w:r w:rsidRPr="000C638C">
        <w:rPr>
          <w:rFonts w:cstheme="minorHAnsi"/>
          <w:sz w:val="22"/>
          <w:szCs w:val="22"/>
        </w:rPr>
        <w:fldChar w:fldCharType="separate"/>
      </w:r>
      <w:r w:rsidR="00A50552" w:rsidRPr="00A50552">
        <w:rPr>
          <w:rFonts w:ascii="Calibri" w:hAnsi="Calibri" w:cs="Calibri"/>
          <w:noProof/>
          <w:kern w:val="0"/>
          <w:sz w:val="22"/>
        </w:rPr>
        <w:t xml:space="preserve">Brownsword, R. (2022). </w:t>
      </w:r>
      <w:r w:rsidR="00A50552" w:rsidRPr="00A50552">
        <w:rPr>
          <w:rFonts w:ascii="Calibri" w:hAnsi="Calibri" w:cs="Calibri"/>
          <w:i/>
          <w:iCs/>
          <w:noProof/>
          <w:kern w:val="0"/>
          <w:sz w:val="22"/>
        </w:rPr>
        <w:t>Rethinking Law, Regulation, and Technology</w:t>
      </w:r>
      <w:r w:rsidR="00A50552" w:rsidRPr="00A50552">
        <w:rPr>
          <w:rFonts w:ascii="Calibri" w:hAnsi="Calibri" w:cs="Calibri"/>
          <w:noProof/>
          <w:kern w:val="0"/>
          <w:sz w:val="22"/>
        </w:rPr>
        <w:t>. Edward Elgar Publishing. https://doi.org/10.4337/9781800886476</w:t>
      </w:r>
    </w:p>
    <w:p w14:paraId="6037D945"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Canalli, R. L. (2023). Artificial intelligence and the model of rules: better than us? </w:t>
      </w:r>
      <w:r w:rsidRPr="00A50552">
        <w:rPr>
          <w:rFonts w:ascii="Calibri" w:hAnsi="Calibri" w:cs="Calibri"/>
          <w:i/>
          <w:iCs/>
          <w:noProof/>
          <w:kern w:val="0"/>
          <w:sz w:val="22"/>
        </w:rPr>
        <w:t>AI and Ethics</w:t>
      </w:r>
      <w:r w:rsidRPr="00A50552">
        <w:rPr>
          <w:rFonts w:ascii="Calibri" w:hAnsi="Calibri" w:cs="Calibri"/>
          <w:noProof/>
          <w:kern w:val="0"/>
          <w:sz w:val="22"/>
        </w:rPr>
        <w:t xml:space="preserve">, </w:t>
      </w:r>
      <w:r w:rsidRPr="00A50552">
        <w:rPr>
          <w:rFonts w:ascii="Calibri" w:hAnsi="Calibri" w:cs="Calibri"/>
          <w:i/>
          <w:iCs/>
          <w:noProof/>
          <w:kern w:val="0"/>
          <w:sz w:val="22"/>
        </w:rPr>
        <w:t>3</w:t>
      </w:r>
      <w:r w:rsidRPr="00A50552">
        <w:rPr>
          <w:rFonts w:ascii="Calibri" w:hAnsi="Calibri" w:cs="Calibri"/>
          <w:noProof/>
          <w:kern w:val="0"/>
          <w:sz w:val="22"/>
        </w:rPr>
        <w:t>(3), 879–885. https://doi.org/10.1007/s43681-022-00210-3</w:t>
      </w:r>
    </w:p>
    <w:p w14:paraId="59971F3B"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Carayannis, E. G., Dezi, L., Gregori, G., &amp; Calo, E. (2022). Smart Environments and Techno-centric and Human-Centric Innovations for Industry and Society 5.0: A Quintuple Helix Innovation System View Towards Smart, Sustainable, and Inclusive Solutions. </w:t>
      </w:r>
      <w:r w:rsidRPr="00A50552">
        <w:rPr>
          <w:rFonts w:ascii="Calibri" w:hAnsi="Calibri" w:cs="Calibri"/>
          <w:i/>
          <w:iCs/>
          <w:noProof/>
          <w:kern w:val="0"/>
          <w:sz w:val="22"/>
        </w:rPr>
        <w:t>Journal of the Knowledge Economy</w:t>
      </w:r>
      <w:r w:rsidRPr="00A50552">
        <w:rPr>
          <w:rFonts w:ascii="Calibri" w:hAnsi="Calibri" w:cs="Calibri"/>
          <w:noProof/>
          <w:kern w:val="0"/>
          <w:sz w:val="22"/>
        </w:rPr>
        <w:t xml:space="preserve">, </w:t>
      </w:r>
      <w:r w:rsidRPr="00A50552">
        <w:rPr>
          <w:rFonts w:ascii="Calibri" w:hAnsi="Calibri" w:cs="Calibri"/>
          <w:i/>
          <w:iCs/>
          <w:noProof/>
          <w:kern w:val="0"/>
          <w:sz w:val="22"/>
        </w:rPr>
        <w:t>13</w:t>
      </w:r>
      <w:r w:rsidRPr="00A50552">
        <w:rPr>
          <w:rFonts w:ascii="Calibri" w:hAnsi="Calibri" w:cs="Calibri"/>
          <w:noProof/>
          <w:kern w:val="0"/>
          <w:sz w:val="22"/>
        </w:rPr>
        <w:t>(2), 926–955. https://doi.org/10.1007/s13132-021-00763-4</w:t>
      </w:r>
    </w:p>
    <w:p w14:paraId="1595FB3E"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Celeste, E. (2022). </w:t>
      </w:r>
      <w:r w:rsidRPr="00A50552">
        <w:rPr>
          <w:rFonts w:ascii="Calibri" w:hAnsi="Calibri" w:cs="Calibri"/>
          <w:i/>
          <w:iCs/>
          <w:noProof/>
          <w:kern w:val="0"/>
          <w:sz w:val="22"/>
        </w:rPr>
        <w:t>Digital Constitutionalism</w:t>
      </w:r>
      <w:r w:rsidRPr="00A50552">
        <w:rPr>
          <w:rFonts w:ascii="Calibri" w:hAnsi="Calibri" w:cs="Calibri"/>
          <w:noProof/>
          <w:kern w:val="0"/>
          <w:sz w:val="22"/>
        </w:rPr>
        <w:t>. Routledge. https://doi.org/10.4324/9781003256908</w:t>
      </w:r>
    </w:p>
    <w:p w14:paraId="35D44713"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Chaudhary, G. (2024). UNVEILING THE BLACK BOX: BRINGING ALGORITHMIC TRANSPARENCY TO AI. </w:t>
      </w:r>
      <w:r w:rsidRPr="00A50552">
        <w:rPr>
          <w:rFonts w:ascii="Calibri" w:hAnsi="Calibri" w:cs="Calibri"/>
          <w:i/>
          <w:iCs/>
          <w:noProof/>
          <w:kern w:val="0"/>
          <w:sz w:val="22"/>
        </w:rPr>
        <w:t>Masaryk University Journal of Law and Technology</w:t>
      </w:r>
      <w:r w:rsidRPr="00A50552">
        <w:rPr>
          <w:rFonts w:ascii="Calibri" w:hAnsi="Calibri" w:cs="Calibri"/>
          <w:noProof/>
          <w:kern w:val="0"/>
          <w:sz w:val="22"/>
        </w:rPr>
        <w:t xml:space="preserve">, </w:t>
      </w:r>
      <w:r w:rsidRPr="00A50552">
        <w:rPr>
          <w:rFonts w:ascii="Calibri" w:hAnsi="Calibri" w:cs="Calibri"/>
          <w:i/>
          <w:iCs/>
          <w:noProof/>
          <w:kern w:val="0"/>
          <w:sz w:val="22"/>
        </w:rPr>
        <w:t>18</w:t>
      </w:r>
      <w:r w:rsidRPr="00A50552">
        <w:rPr>
          <w:rFonts w:ascii="Calibri" w:hAnsi="Calibri" w:cs="Calibri"/>
          <w:noProof/>
          <w:kern w:val="0"/>
          <w:sz w:val="22"/>
        </w:rPr>
        <w:t>(1), 93–122. https://doi.org/10.5817/MUJLT2024-1-4</w:t>
      </w:r>
    </w:p>
    <w:p w14:paraId="2BB77DAB"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De Gregorio, G. (2022). </w:t>
      </w:r>
      <w:r w:rsidRPr="00A50552">
        <w:rPr>
          <w:rFonts w:ascii="Calibri" w:hAnsi="Calibri" w:cs="Calibri"/>
          <w:i/>
          <w:iCs/>
          <w:noProof/>
          <w:kern w:val="0"/>
          <w:sz w:val="22"/>
        </w:rPr>
        <w:t>Digital Constitutionalism in Europe</w:t>
      </w:r>
      <w:r w:rsidRPr="00A50552">
        <w:rPr>
          <w:rFonts w:ascii="Calibri" w:hAnsi="Calibri" w:cs="Calibri"/>
          <w:noProof/>
          <w:kern w:val="0"/>
          <w:sz w:val="22"/>
        </w:rPr>
        <w:t>. Cambridge University Press. https://doi.org/10.1017/9781009071215</w:t>
      </w:r>
    </w:p>
    <w:p w14:paraId="395CD3D3"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Dimyati, K., Nashir, H., Elviandri, E., Absori, A., Wardiono, K., &amp; Budiono, A. (2021). Indonesia as a legal welfare state: A prophetic-transcendental basis. </w:t>
      </w:r>
      <w:r w:rsidRPr="00A50552">
        <w:rPr>
          <w:rFonts w:ascii="Calibri" w:hAnsi="Calibri" w:cs="Calibri"/>
          <w:i/>
          <w:iCs/>
          <w:noProof/>
          <w:kern w:val="0"/>
          <w:sz w:val="22"/>
        </w:rPr>
        <w:t>Heliyon</w:t>
      </w:r>
      <w:r w:rsidRPr="00A50552">
        <w:rPr>
          <w:rFonts w:ascii="Calibri" w:hAnsi="Calibri" w:cs="Calibri"/>
          <w:noProof/>
          <w:kern w:val="0"/>
          <w:sz w:val="22"/>
        </w:rPr>
        <w:t xml:space="preserve">, </w:t>
      </w:r>
      <w:r w:rsidRPr="00A50552">
        <w:rPr>
          <w:rFonts w:ascii="Calibri" w:hAnsi="Calibri" w:cs="Calibri"/>
          <w:i/>
          <w:iCs/>
          <w:noProof/>
          <w:kern w:val="0"/>
          <w:sz w:val="22"/>
        </w:rPr>
        <w:t>7</w:t>
      </w:r>
      <w:r w:rsidRPr="00A50552">
        <w:rPr>
          <w:rFonts w:ascii="Calibri" w:hAnsi="Calibri" w:cs="Calibri"/>
          <w:noProof/>
          <w:kern w:val="0"/>
          <w:sz w:val="22"/>
        </w:rPr>
        <w:t>(8), e07865. https://doi.org/10.1016/j.heliyon.2021.e07865</w:t>
      </w:r>
    </w:p>
    <w:p w14:paraId="3937232A"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Frost, N. (2024). The Impoverished Publicness of Algorithmic Decision Making. </w:t>
      </w:r>
      <w:r w:rsidRPr="00A50552">
        <w:rPr>
          <w:rFonts w:ascii="Calibri" w:hAnsi="Calibri" w:cs="Calibri"/>
          <w:i/>
          <w:iCs/>
          <w:noProof/>
          <w:kern w:val="0"/>
          <w:sz w:val="22"/>
        </w:rPr>
        <w:t>Oxford Journal of Legal Studies</w:t>
      </w:r>
      <w:r w:rsidRPr="00A50552">
        <w:rPr>
          <w:rFonts w:ascii="Calibri" w:hAnsi="Calibri" w:cs="Calibri"/>
          <w:noProof/>
          <w:kern w:val="0"/>
          <w:sz w:val="22"/>
        </w:rPr>
        <w:t xml:space="preserve">, </w:t>
      </w:r>
      <w:r w:rsidRPr="00A50552">
        <w:rPr>
          <w:rFonts w:ascii="Calibri" w:hAnsi="Calibri" w:cs="Calibri"/>
          <w:i/>
          <w:iCs/>
          <w:noProof/>
          <w:kern w:val="0"/>
          <w:sz w:val="22"/>
        </w:rPr>
        <w:t>44</w:t>
      </w:r>
      <w:r w:rsidRPr="00A50552">
        <w:rPr>
          <w:rFonts w:ascii="Calibri" w:hAnsi="Calibri" w:cs="Calibri"/>
          <w:noProof/>
          <w:kern w:val="0"/>
          <w:sz w:val="22"/>
        </w:rPr>
        <w:t>(4), 780–807. https://doi.org/10.1093/ojls/gqae027</w:t>
      </w:r>
    </w:p>
    <w:p w14:paraId="134CD01D"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Fukuda, K. (2020). Science, technology and innovation ecosystem transformation toward society 5.0. </w:t>
      </w:r>
      <w:r w:rsidRPr="00A50552">
        <w:rPr>
          <w:rFonts w:ascii="Calibri" w:hAnsi="Calibri" w:cs="Calibri"/>
          <w:i/>
          <w:iCs/>
          <w:noProof/>
          <w:kern w:val="0"/>
          <w:sz w:val="22"/>
        </w:rPr>
        <w:t>International Journal of Production Economics</w:t>
      </w:r>
      <w:r w:rsidRPr="00A50552">
        <w:rPr>
          <w:rFonts w:ascii="Calibri" w:hAnsi="Calibri" w:cs="Calibri"/>
          <w:noProof/>
          <w:kern w:val="0"/>
          <w:sz w:val="22"/>
        </w:rPr>
        <w:t xml:space="preserve">, </w:t>
      </w:r>
      <w:r w:rsidRPr="00A50552">
        <w:rPr>
          <w:rFonts w:ascii="Calibri" w:hAnsi="Calibri" w:cs="Calibri"/>
          <w:i/>
          <w:iCs/>
          <w:noProof/>
          <w:kern w:val="0"/>
          <w:sz w:val="22"/>
        </w:rPr>
        <w:t>220</w:t>
      </w:r>
      <w:r w:rsidRPr="00A50552">
        <w:rPr>
          <w:rFonts w:ascii="Calibri" w:hAnsi="Calibri" w:cs="Calibri"/>
          <w:noProof/>
          <w:kern w:val="0"/>
          <w:sz w:val="22"/>
        </w:rPr>
        <w:t>, 107460. https://doi.org/10.1016/J.IJPE.2019.07.033</w:t>
      </w:r>
    </w:p>
    <w:p w14:paraId="04D89173"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Gamerdinger, A., &amp; Willers, J. O. (2025). Solving AI ethics? Hybrid expertise and professional power in EU ethics governance. </w:t>
      </w:r>
      <w:r w:rsidRPr="00A50552">
        <w:rPr>
          <w:rFonts w:ascii="Calibri" w:hAnsi="Calibri" w:cs="Calibri"/>
          <w:i/>
          <w:iCs/>
          <w:noProof/>
          <w:kern w:val="0"/>
          <w:sz w:val="22"/>
        </w:rPr>
        <w:t>Journal of European Public Policy</w:t>
      </w:r>
      <w:r w:rsidRPr="00A50552">
        <w:rPr>
          <w:rFonts w:ascii="Calibri" w:hAnsi="Calibri" w:cs="Calibri"/>
          <w:noProof/>
          <w:kern w:val="0"/>
          <w:sz w:val="22"/>
        </w:rPr>
        <w:t>, 1–28. https://doi.org/10.1080/13501763.2025.2499113</w:t>
      </w:r>
    </w:p>
    <w:p w14:paraId="0350A300"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Grimmelikhuijsen, S., &amp; Meijer, A. (2022). Legitimacy of Algorithmic Decision-Making: Six Threats and the Need for a Calibrated Institutional Response. </w:t>
      </w:r>
      <w:r w:rsidRPr="00A50552">
        <w:rPr>
          <w:rFonts w:ascii="Calibri" w:hAnsi="Calibri" w:cs="Calibri"/>
          <w:i/>
          <w:iCs/>
          <w:noProof/>
          <w:kern w:val="0"/>
          <w:sz w:val="22"/>
        </w:rPr>
        <w:t>Perspectives on Public Management and Governance</w:t>
      </w:r>
      <w:r w:rsidRPr="00A50552">
        <w:rPr>
          <w:rFonts w:ascii="Calibri" w:hAnsi="Calibri" w:cs="Calibri"/>
          <w:noProof/>
          <w:kern w:val="0"/>
          <w:sz w:val="22"/>
        </w:rPr>
        <w:t xml:space="preserve">, </w:t>
      </w:r>
      <w:r w:rsidRPr="00A50552">
        <w:rPr>
          <w:rFonts w:ascii="Calibri" w:hAnsi="Calibri" w:cs="Calibri"/>
          <w:i/>
          <w:iCs/>
          <w:noProof/>
          <w:kern w:val="0"/>
          <w:sz w:val="22"/>
        </w:rPr>
        <w:t>5</w:t>
      </w:r>
      <w:r w:rsidRPr="00A50552">
        <w:rPr>
          <w:rFonts w:ascii="Calibri" w:hAnsi="Calibri" w:cs="Calibri"/>
          <w:noProof/>
          <w:kern w:val="0"/>
          <w:sz w:val="22"/>
        </w:rPr>
        <w:t>(3), 232–242. https://doi.org/10.1093/ppmgov/gvac008</w:t>
      </w:r>
    </w:p>
    <w:p w14:paraId="4789EFA5"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Jowitt, J. (2021). Assessing contemporary legislative proposals for their compatibility with a natural law case for AI legal personhood. </w:t>
      </w:r>
      <w:r w:rsidRPr="00A50552">
        <w:rPr>
          <w:rFonts w:ascii="Calibri" w:hAnsi="Calibri" w:cs="Calibri"/>
          <w:i/>
          <w:iCs/>
          <w:noProof/>
          <w:kern w:val="0"/>
          <w:sz w:val="22"/>
        </w:rPr>
        <w:t>AI &amp; SOCIETY</w:t>
      </w:r>
      <w:r w:rsidRPr="00A50552">
        <w:rPr>
          <w:rFonts w:ascii="Calibri" w:hAnsi="Calibri" w:cs="Calibri"/>
          <w:noProof/>
          <w:kern w:val="0"/>
          <w:sz w:val="22"/>
        </w:rPr>
        <w:t xml:space="preserve">, </w:t>
      </w:r>
      <w:r w:rsidRPr="00A50552">
        <w:rPr>
          <w:rFonts w:ascii="Calibri" w:hAnsi="Calibri" w:cs="Calibri"/>
          <w:i/>
          <w:iCs/>
          <w:noProof/>
          <w:kern w:val="0"/>
          <w:sz w:val="22"/>
        </w:rPr>
        <w:t>36</w:t>
      </w:r>
      <w:r w:rsidRPr="00A50552">
        <w:rPr>
          <w:rFonts w:ascii="Calibri" w:hAnsi="Calibri" w:cs="Calibri"/>
          <w:noProof/>
          <w:kern w:val="0"/>
          <w:sz w:val="22"/>
        </w:rPr>
        <w:t>(2), 499–508. https://doi.org/10.1007/s00146-020-</w:t>
      </w:r>
      <w:r w:rsidRPr="00A50552">
        <w:rPr>
          <w:rFonts w:ascii="Calibri" w:hAnsi="Calibri" w:cs="Calibri"/>
          <w:noProof/>
          <w:kern w:val="0"/>
          <w:sz w:val="22"/>
        </w:rPr>
        <w:lastRenderedPageBreak/>
        <w:t>00979-z</w:t>
      </w:r>
    </w:p>
    <w:p w14:paraId="11BB7313"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Kelik Wardiono. (2020). </w:t>
      </w:r>
      <w:r w:rsidRPr="00A50552">
        <w:rPr>
          <w:rFonts w:ascii="Calibri" w:hAnsi="Calibri" w:cs="Calibri"/>
          <w:i/>
          <w:iCs/>
          <w:noProof/>
          <w:kern w:val="0"/>
          <w:sz w:val="22"/>
        </w:rPr>
        <w:t>Ilmu Hukum Profetik Hampiran Basis Epistemologi Paradigmatik</w:t>
      </w:r>
      <w:r w:rsidRPr="00A50552">
        <w:rPr>
          <w:rFonts w:ascii="Calibri" w:hAnsi="Calibri" w:cs="Calibri"/>
          <w:noProof/>
          <w:kern w:val="0"/>
          <w:sz w:val="22"/>
        </w:rPr>
        <w:t>. MUP.</w:t>
      </w:r>
    </w:p>
    <w:p w14:paraId="5F3A5A1F"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Kelsen, H., &amp; Los, B. A. (1967). </w:t>
      </w:r>
      <w:r w:rsidRPr="00A50552">
        <w:rPr>
          <w:rFonts w:ascii="Calibri" w:hAnsi="Calibri" w:cs="Calibri"/>
          <w:i/>
          <w:iCs/>
          <w:noProof/>
          <w:kern w:val="0"/>
          <w:sz w:val="22"/>
        </w:rPr>
        <w:t>PURE THEORY OF LAW Translation from the Second (Revised and Enlarged) German Edition by MAX KNIGHT UNIVERSITY OF CALIFORNIA PRESS</w:t>
      </w:r>
      <w:r w:rsidRPr="00A50552">
        <w:rPr>
          <w:rFonts w:ascii="Calibri" w:hAnsi="Calibri" w:cs="Calibri"/>
          <w:noProof/>
          <w:kern w:val="0"/>
          <w:sz w:val="22"/>
        </w:rPr>
        <w:t>.</w:t>
      </w:r>
    </w:p>
    <w:p w14:paraId="5CA03645"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Köchling, A., &amp; Wehner, M. C. (2020). Discriminated by an algorithm: a systematic review of discrimination and fairness by algorithmic decision-making in the context of HR recruitment and HR development. </w:t>
      </w:r>
      <w:r w:rsidRPr="00A50552">
        <w:rPr>
          <w:rFonts w:ascii="Calibri" w:hAnsi="Calibri" w:cs="Calibri"/>
          <w:i/>
          <w:iCs/>
          <w:noProof/>
          <w:kern w:val="0"/>
          <w:sz w:val="22"/>
        </w:rPr>
        <w:t>Business Research</w:t>
      </w:r>
      <w:r w:rsidRPr="00A50552">
        <w:rPr>
          <w:rFonts w:ascii="Calibri" w:hAnsi="Calibri" w:cs="Calibri"/>
          <w:noProof/>
          <w:kern w:val="0"/>
          <w:sz w:val="22"/>
        </w:rPr>
        <w:t xml:space="preserve">, </w:t>
      </w:r>
      <w:r w:rsidRPr="00A50552">
        <w:rPr>
          <w:rFonts w:ascii="Calibri" w:hAnsi="Calibri" w:cs="Calibri"/>
          <w:i/>
          <w:iCs/>
          <w:noProof/>
          <w:kern w:val="0"/>
          <w:sz w:val="22"/>
        </w:rPr>
        <w:t>13</w:t>
      </w:r>
      <w:r w:rsidRPr="00A50552">
        <w:rPr>
          <w:rFonts w:ascii="Calibri" w:hAnsi="Calibri" w:cs="Calibri"/>
          <w:noProof/>
          <w:kern w:val="0"/>
          <w:sz w:val="22"/>
        </w:rPr>
        <w:t>(3), 795–848. https://doi.org/10.1007/s40685-020-00134-w</w:t>
      </w:r>
    </w:p>
    <w:p w14:paraId="094EDB33"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kuntowijoyo. (2006). </w:t>
      </w:r>
      <w:r w:rsidRPr="00A50552">
        <w:rPr>
          <w:rFonts w:ascii="Calibri" w:hAnsi="Calibri" w:cs="Calibri"/>
          <w:i/>
          <w:iCs/>
          <w:noProof/>
          <w:kern w:val="0"/>
          <w:sz w:val="22"/>
        </w:rPr>
        <w:t>Islam sebagai Ilmu: epistemologi, metodologi, dan etika</w:t>
      </w:r>
      <w:r w:rsidRPr="00A50552">
        <w:rPr>
          <w:rFonts w:ascii="Calibri" w:hAnsi="Calibri" w:cs="Calibri"/>
          <w:noProof/>
          <w:kern w:val="0"/>
          <w:sz w:val="22"/>
        </w:rPr>
        <w:t>. Tiara Wacana.</w:t>
      </w:r>
    </w:p>
    <w:p w14:paraId="313BD6BF"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Nicolas P.Suzor. (2019). </w:t>
      </w:r>
      <w:r w:rsidRPr="00A50552">
        <w:rPr>
          <w:rFonts w:ascii="Calibri" w:hAnsi="Calibri" w:cs="Calibri"/>
          <w:i/>
          <w:iCs/>
          <w:noProof/>
          <w:kern w:val="0"/>
          <w:sz w:val="22"/>
        </w:rPr>
        <w:t>Lawless The Secret Rules That Govern our Digital Lives</w:t>
      </w:r>
      <w:r w:rsidRPr="00A50552">
        <w:rPr>
          <w:rFonts w:ascii="Calibri" w:hAnsi="Calibri" w:cs="Calibri"/>
          <w:noProof/>
          <w:kern w:val="0"/>
          <w:sz w:val="22"/>
        </w:rPr>
        <w:t>. Cambridge University Press.</w:t>
      </w:r>
    </w:p>
    <w:p w14:paraId="5FAA1F19"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Perboli, G., Simionato, N., &amp; Pratali, S. (2025). Navigating the AI regulatory landscape: Balancing innovation, ethics, and global governance. </w:t>
      </w:r>
      <w:r w:rsidRPr="00A50552">
        <w:rPr>
          <w:rFonts w:ascii="Calibri" w:hAnsi="Calibri" w:cs="Calibri"/>
          <w:i/>
          <w:iCs/>
          <w:noProof/>
          <w:kern w:val="0"/>
          <w:sz w:val="22"/>
        </w:rPr>
        <w:t>Economic and Political Studies</w:t>
      </w:r>
      <w:r w:rsidRPr="00A50552">
        <w:rPr>
          <w:rFonts w:ascii="Calibri" w:hAnsi="Calibri" w:cs="Calibri"/>
          <w:noProof/>
          <w:kern w:val="0"/>
          <w:sz w:val="22"/>
        </w:rPr>
        <w:t xml:space="preserve">, </w:t>
      </w:r>
      <w:r w:rsidRPr="00A50552">
        <w:rPr>
          <w:rFonts w:ascii="Calibri" w:hAnsi="Calibri" w:cs="Calibri"/>
          <w:i/>
          <w:iCs/>
          <w:noProof/>
          <w:kern w:val="0"/>
          <w:sz w:val="22"/>
        </w:rPr>
        <w:t>13</w:t>
      </w:r>
      <w:r w:rsidRPr="00A50552">
        <w:rPr>
          <w:rFonts w:ascii="Calibri" w:hAnsi="Calibri" w:cs="Calibri"/>
          <w:noProof/>
          <w:kern w:val="0"/>
          <w:sz w:val="22"/>
        </w:rPr>
        <w:t>(4), 367–397. https://doi.org/10.1080/20954816.2025.2569584</w:t>
      </w:r>
    </w:p>
    <w:p w14:paraId="1C77E763"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Raz, J. (1979). </w:t>
      </w:r>
      <w:r w:rsidRPr="00A50552">
        <w:rPr>
          <w:rFonts w:ascii="Calibri" w:hAnsi="Calibri" w:cs="Calibri"/>
          <w:i/>
          <w:iCs/>
          <w:noProof/>
          <w:kern w:val="0"/>
          <w:sz w:val="22"/>
        </w:rPr>
        <w:t>The Authority of Law</w:t>
      </w:r>
      <w:r w:rsidRPr="00A50552">
        <w:rPr>
          <w:rFonts w:ascii="Calibri" w:hAnsi="Calibri" w:cs="Calibri"/>
          <w:noProof/>
          <w:kern w:val="0"/>
          <w:sz w:val="22"/>
        </w:rPr>
        <w:t xml:space="preserve"> (2nd ed.). Oxford University Press.</w:t>
      </w:r>
    </w:p>
    <w:p w14:paraId="3EF48A9F"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Sargeant, H. (2023). Algorithmic decision-making in financial services: economic and normative outcomes in consumer credit. </w:t>
      </w:r>
      <w:r w:rsidRPr="00A50552">
        <w:rPr>
          <w:rFonts w:ascii="Calibri" w:hAnsi="Calibri" w:cs="Calibri"/>
          <w:i/>
          <w:iCs/>
          <w:noProof/>
          <w:kern w:val="0"/>
          <w:sz w:val="22"/>
        </w:rPr>
        <w:t>AI and Ethics</w:t>
      </w:r>
      <w:r w:rsidRPr="00A50552">
        <w:rPr>
          <w:rFonts w:ascii="Calibri" w:hAnsi="Calibri" w:cs="Calibri"/>
          <w:noProof/>
          <w:kern w:val="0"/>
          <w:sz w:val="22"/>
        </w:rPr>
        <w:t xml:space="preserve">, </w:t>
      </w:r>
      <w:r w:rsidRPr="00A50552">
        <w:rPr>
          <w:rFonts w:ascii="Calibri" w:hAnsi="Calibri" w:cs="Calibri"/>
          <w:i/>
          <w:iCs/>
          <w:noProof/>
          <w:kern w:val="0"/>
          <w:sz w:val="22"/>
        </w:rPr>
        <w:t>3</w:t>
      </w:r>
      <w:r w:rsidRPr="00A50552">
        <w:rPr>
          <w:rFonts w:ascii="Calibri" w:hAnsi="Calibri" w:cs="Calibri"/>
          <w:noProof/>
          <w:kern w:val="0"/>
          <w:sz w:val="22"/>
        </w:rPr>
        <w:t>(4), 1295–1311. https://doi.org/10.1007/s43681-022-00236-7</w:t>
      </w:r>
    </w:p>
    <w:p w14:paraId="4676BE71"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Schultz, M. D., Conti, L. G., &amp; Seele, P. (2025). Digital ethicswashing: a systematic review and a process-perception-outcome framework. </w:t>
      </w:r>
      <w:r w:rsidRPr="00A50552">
        <w:rPr>
          <w:rFonts w:ascii="Calibri" w:hAnsi="Calibri" w:cs="Calibri"/>
          <w:i/>
          <w:iCs/>
          <w:noProof/>
          <w:kern w:val="0"/>
          <w:sz w:val="22"/>
        </w:rPr>
        <w:t>AI and Ethics</w:t>
      </w:r>
      <w:r w:rsidRPr="00A50552">
        <w:rPr>
          <w:rFonts w:ascii="Calibri" w:hAnsi="Calibri" w:cs="Calibri"/>
          <w:noProof/>
          <w:kern w:val="0"/>
          <w:sz w:val="22"/>
        </w:rPr>
        <w:t xml:space="preserve">, </w:t>
      </w:r>
      <w:r w:rsidRPr="00A50552">
        <w:rPr>
          <w:rFonts w:ascii="Calibri" w:hAnsi="Calibri" w:cs="Calibri"/>
          <w:i/>
          <w:iCs/>
          <w:noProof/>
          <w:kern w:val="0"/>
          <w:sz w:val="22"/>
        </w:rPr>
        <w:t>5</w:t>
      </w:r>
      <w:r w:rsidRPr="00A50552">
        <w:rPr>
          <w:rFonts w:ascii="Calibri" w:hAnsi="Calibri" w:cs="Calibri"/>
          <w:noProof/>
          <w:kern w:val="0"/>
          <w:sz w:val="22"/>
        </w:rPr>
        <w:t>(2), 805–818. https://doi.org/10.1007/s43681-024-00430-9</w:t>
      </w:r>
    </w:p>
    <w:p w14:paraId="5474D63B"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Shiroishi, Y., Uchiyama, K., &amp; Suzuki, N. (2018). Society 5.0: For Human Security and Well-Being. </w:t>
      </w:r>
      <w:r w:rsidRPr="00A50552">
        <w:rPr>
          <w:rFonts w:ascii="Calibri" w:hAnsi="Calibri" w:cs="Calibri"/>
          <w:i/>
          <w:iCs/>
          <w:noProof/>
          <w:kern w:val="0"/>
          <w:sz w:val="22"/>
        </w:rPr>
        <w:t>Computer</w:t>
      </w:r>
      <w:r w:rsidRPr="00A50552">
        <w:rPr>
          <w:rFonts w:ascii="Calibri" w:hAnsi="Calibri" w:cs="Calibri"/>
          <w:noProof/>
          <w:kern w:val="0"/>
          <w:sz w:val="22"/>
        </w:rPr>
        <w:t xml:space="preserve">, </w:t>
      </w:r>
      <w:r w:rsidRPr="00A50552">
        <w:rPr>
          <w:rFonts w:ascii="Calibri" w:hAnsi="Calibri" w:cs="Calibri"/>
          <w:i/>
          <w:iCs/>
          <w:noProof/>
          <w:kern w:val="0"/>
          <w:sz w:val="22"/>
        </w:rPr>
        <w:t>51</w:t>
      </w:r>
      <w:r w:rsidRPr="00A50552">
        <w:rPr>
          <w:rFonts w:ascii="Calibri" w:hAnsi="Calibri" w:cs="Calibri"/>
          <w:noProof/>
          <w:kern w:val="0"/>
          <w:sz w:val="22"/>
        </w:rPr>
        <w:t>(7), 91–95. https://doi.org/10.1109/MC.2018.3011041</w:t>
      </w:r>
    </w:p>
    <w:p w14:paraId="214B85D4"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Stahl, B. C., Andreou, A., Brey, P., Hatzakis, T., Kirichenko, A., Macnish, K., Laulhé Shaelou, S., Patel, A., Ryan, M., &amp; Wright, D. (2021). Artificial intelligence for human flourishing – Beyond principles for machine learning. </w:t>
      </w:r>
      <w:r w:rsidRPr="00A50552">
        <w:rPr>
          <w:rFonts w:ascii="Calibri" w:hAnsi="Calibri" w:cs="Calibri"/>
          <w:i/>
          <w:iCs/>
          <w:noProof/>
          <w:kern w:val="0"/>
          <w:sz w:val="22"/>
        </w:rPr>
        <w:t>Journal of Business Research</w:t>
      </w:r>
      <w:r w:rsidRPr="00A50552">
        <w:rPr>
          <w:rFonts w:ascii="Calibri" w:hAnsi="Calibri" w:cs="Calibri"/>
          <w:noProof/>
          <w:kern w:val="0"/>
          <w:sz w:val="22"/>
        </w:rPr>
        <w:t xml:space="preserve">, </w:t>
      </w:r>
      <w:r w:rsidRPr="00A50552">
        <w:rPr>
          <w:rFonts w:ascii="Calibri" w:hAnsi="Calibri" w:cs="Calibri"/>
          <w:i/>
          <w:iCs/>
          <w:noProof/>
          <w:kern w:val="0"/>
          <w:sz w:val="22"/>
        </w:rPr>
        <w:t>124</w:t>
      </w:r>
      <w:r w:rsidRPr="00A50552">
        <w:rPr>
          <w:rFonts w:ascii="Calibri" w:hAnsi="Calibri" w:cs="Calibri"/>
          <w:noProof/>
          <w:kern w:val="0"/>
          <w:sz w:val="22"/>
        </w:rPr>
        <w:t>, 374–388. https://doi.org/10.1016/j.jbusres.2020.11.030</w:t>
      </w:r>
    </w:p>
    <w:p w14:paraId="6959DB2C"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Waldman, A., &amp; Martin, K. (2022). Governing algorithmic decisions: The role of decision importance and governance on perceived legitimacy of algorithmic decisions. </w:t>
      </w:r>
      <w:r w:rsidRPr="00A50552">
        <w:rPr>
          <w:rFonts w:ascii="Calibri" w:hAnsi="Calibri" w:cs="Calibri"/>
          <w:i/>
          <w:iCs/>
          <w:noProof/>
          <w:kern w:val="0"/>
          <w:sz w:val="22"/>
        </w:rPr>
        <w:t>Big Data &amp; Society</w:t>
      </w:r>
      <w:r w:rsidRPr="00A50552">
        <w:rPr>
          <w:rFonts w:ascii="Calibri" w:hAnsi="Calibri" w:cs="Calibri"/>
          <w:noProof/>
          <w:kern w:val="0"/>
          <w:sz w:val="22"/>
        </w:rPr>
        <w:t xml:space="preserve">, </w:t>
      </w:r>
      <w:r w:rsidRPr="00A50552">
        <w:rPr>
          <w:rFonts w:ascii="Calibri" w:hAnsi="Calibri" w:cs="Calibri"/>
          <w:i/>
          <w:iCs/>
          <w:noProof/>
          <w:kern w:val="0"/>
          <w:sz w:val="22"/>
        </w:rPr>
        <w:t>9</w:t>
      </w:r>
      <w:r w:rsidRPr="00A50552">
        <w:rPr>
          <w:rFonts w:ascii="Calibri" w:hAnsi="Calibri" w:cs="Calibri"/>
          <w:noProof/>
          <w:kern w:val="0"/>
          <w:sz w:val="22"/>
        </w:rPr>
        <w:t>(1). https://doi.org/10.1177/20539517221100449</w:t>
      </w:r>
    </w:p>
    <w:p w14:paraId="373A19ED"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kern w:val="0"/>
          <w:sz w:val="22"/>
        </w:rPr>
      </w:pPr>
      <w:r w:rsidRPr="00A50552">
        <w:rPr>
          <w:rFonts w:ascii="Calibri" w:hAnsi="Calibri" w:cs="Calibri"/>
          <w:noProof/>
          <w:kern w:val="0"/>
          <w:sz w:val="22"/>
        </w:rPr>
        <w:t xml:space="preserve">Wardiono, K. (2019). Prophetic : An Epistemological Offer for Legal Studies. </w:t>
      </w:r>
      <w:r w:rsidRPr="00A50552">
        <w:rPr>
          <w:rFonts w:ascii="Calibri" w:hAnsi="Calibri" w:cs="Calibri"/>
          <w:i/>
          <w:iCs/>
          <w:noProof/>
          <w:kern w:val="0"/>
          <w:sz w:val="22"/>
        </w:rPr>
        <w:t>Journal of Transcendental Law</w:t>
      </w:r>
      <w:r w:rsidRPr="00A50552">
        <w:rPr>
          <w:rFonts w:ascii="Calibri" w:hAnsi="Calibri" w:cs="Calibri"/>
          <w:noProof/>
          <w:kern w:val="0"/>
          <w:sz w:val="22"/>
        </w:rPr>
        <w:t xml:space="preserve">, </w:t>
      </w:r>
      <w:r w:rsidRPr="00A50552">
        <w:rPr>
          <w:rFonts w:ascii="Calibri" w:hAnsi="Calibri" w:cs="Calibri"/>
          <w:i/>
          <w:iCs/>
          <w:noProof/>
          <w:kern w:val="0"/>
          <w:sz w:val="22"/>
        </w:rPr>
        <w:t>1</w:t>
      </w:r>
      <w:r w:rsidRPr="00A50552">
        <w:rPr>
          <w:rFonts w:ascii="Calibri" w:hAnsi="Calibri" w:cs="Calibri"/>
          <w:noProof/>
          <w:kern w:val="0"/>
          <w:sz w:val="22"/>
        </w:rPr>
        <w:t>(1), 17–41. https://doi.org/10.23917/jtl.v1i1.8797</w:t>
      </w:r>
    </w:p>
    <w:p w14:paraId="4B016500" w14:textId="77777777" w:rsidR="00A50552" w:rsidRPr="00A50552" w:rsidRDefault="00A50552" w:rsidP="00A50552">
      <w:pPr>
        <w:widowControl w:val="0"/>
        <w:autoSpaceDE w:val="0"/>
        <w:autoSpaceDN w:val="0"/>
        <w:adjustRightInd w:val="0"/>
        <w:spacing w:after="0" w:line="240" w:lineRule="auto"/>
        <w:ind w:left="480" w:hanging="480"/>
        <w:rPr>
          <w:rFonts w:ascii="Calibri" w:hAnsi="Calibri" w:cs="Calibri"/>
          <w:noProof/>
          <w:sz w:val="22"/>
        </w:rPr>
      </w:pPr>
      <w:r w:rsidRPr="00A50552">
        <w:rPr>
          <w:rFonts w:ascii="Calibri" w:hAnsi="Calibri" w:cs="Calibri"/>
          <w:noProof/>
          <w:kern w:val="0"/>
          <w:sz w:val="22"/>
        </w:rPr>
        <w:t xml:space="preserve">Zheng, H. (2026). The Epistemological Dilemma of Algorithmic Justice: What is Lost When Law Becomes ‘Computable’? </w:t>
      </w:r>
      <w:r w:rsidRPr="00A50552">
        <w:rPr>
          <w:rFonts w:ascii="Calibri" w:hAnsi="Calibri" w:cs="Calibri"/>
          <w:i/>
          <w:iCs/>
          <w:noProof/>
          <w:kern w:val="0"/>
          <w:sz w:val="22"/>
        </w:rPr>
        <w:t>Law and Philosophy</w:t>
      </w:r>
      <w:r w:rsidRPr="00A50552">
        <w:rPr>
          <w:rFonts w:ascii="Calibri" w:hAnsi="Calibri" w:cs="Calibri"/>
          <w:noProof/>
          <w:kern w:val="0"/>
          <w:sz w:val="22"/>
        </w:rPr>
        <w:t>. https://doi.org/10.1007/s10982-026-09564-9</w:t>
      </w:r>
    </w:p>
    <w:p w14:paraId="6A8EA812" w14:textId="437592C9" w:rsidR="00741803" w:rsidRPr="000C638C" w:rsidRDefault="00741803" w:rsidP="00832731">
      <w:pPr>
        <w:spacing w:after="0"/>
        <w:jc w:val="both"/>
        <w:rPr>
          <w:rFonts w:cstheme="minorHAnsi"/>
          <w:sz w:val="22"/>
          <w:szCs w:val="22"/>
        </w:rPr>
      </w:pPr>
      <w:r w:rsidRPr="000C638C">
        <w:rPr>
          <w:rFonts w:cstheme="minorHAnsi"/>
          <w:sz w:val="22"/>
          <w:szCs w:val="22"/>
        </w:rPr>
        <w:fldChar w:fldCharType="end"/>
      </w:r>
    </w:p>
    <w:sectPr w:rsidR="00741803" w:rsidRPr="000C63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C4E83" w14:textId="77777777" w:rsidR="007551F9" w:rsidRDefault="007551F9" w:rsidP="005F5BF0">
      <w:pPr>
        <w:spacing w:after="0" w:line="240" w:lineRule="auto"/>
      </w:pPr>
      <w:r>
        <w:separator/>
      </w:r>
    </w:p>
  </w:endnote>
  <w:endnote w:type="continuationSeparator" w:id="0">
    <w:p w14:paraId="335CB5EC" w14:textId="77777777" w:rsidR="007551F9" w:rsidRDefault="007551F9" w:rsidP="005F5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1AAC0" w14:textId="77777777" w:rsidR="007551F9" w:rsidRDefault="007551F9" w:rsidP="005F5BF0">
      <w:pPr>
        <w:spacing w:after="0" w:line="240" w:lineRule="auto"/>
      </w:pPr>
      <w:r>
        <w:separator/>
      </w:r>
    </w:p>
  </w:footnote>
  <w:footnote w:type="continuationSeparator" w:id="0">
    <w:p w14:paraId="1FF3D82E" w14:textId="77777777" w:rsidR="007551F9" w:rsidRDefault="007551F9" w:rsidP="005F5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673A"/>
    <w:multiLevelType w:val="hybridMultilevel"/>
    <w:tmpl w:val="905C95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637B7D"/>
    <w:multiLevelType w:val="hybridMultilevel"/>
    <w:tmpl w:val="E9608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F53A55"/>
    <w:multiLevelType w:val="hybridMultilevel"/>
    <w:tmpl w:val="0CC8B0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7846752">
    <w:abstractNumId w:val="0"/>
  </w:num>
  <w:num w:numId="2" w16cid:durableId="2096049912">
    <w:abstractNumId w:val="2"/>
  </w:num>
  <w:num w:numId="3" w16cid:durableId="591359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M3NTI2tzA1NTMwNjBV0lEKTi0uzszPAymwqAUARsY2cCwAAAA="/>
  </w:docVars>
  <w:rsids>
    <w:rsidRoot w:val="00466318"/>
    <w:rsid w:val="000357C8"/>
    <w:rsid w:val="00040C00"/>
    <w:rsid w:val="00064587"/>
    <w:rsid w:val="000C638C"/>
    <w:rsid w:val="000E7B2E"/>
    <w:rsid w:val="00126C76"/>
    <w:rsid w:val="00135C28"/>
    <w:rsid w:val="00153200"/>
    <w:rsid w:val="00164149"/>
    <w:rsid w:val="00175614"/>
    <w:rsid w:val="00195932"/>
    <w:rsid w:val="001B0B3F"/>
    <w:rsid w:val="00204CC0"/>
    <w:rsid w:val="0021570A"/>
    <w:rsid w:val="002165C3"/>
    <w:rsid w:val="002342F3"/>
    <w:rsid w:val="00256BDF"/>
    <w:rsid w:val="00264442"/>
    <w:rsid w:val="00280108"/>
    <w:rsid w:val="0029650D"/>
    <w:rsid w:val="00297476"/>
    <w:rsid w:val="002A0AEF"/>
    <w:rsid w:val="002A1C0C"/>
    <w:rsid w:val="003019B0"/>
    <w:rsid w:val="0030325C"/>
    <w:rsid w:val="003A73F6"/>
    <w:rsid w:val="00466318"/>
    <w:rsid w:val="00467D53"/>
    <w:rsid w:val="004703DE"/>
    <w:rsid w:val="00474C89"/>
    <w:rsid w:val="00515137"/>
    <w:rsid w:val="005D1EC0"/>
    <w:rsid w:val="005F5BF0"/>
    <w:rsid w:val="00622C44"/>
    <w:rsid w:val="006D5FE4"/>
    <w:rsid w:val="006E4FD2"/>
    <w:rsid w:val="00741803"/>
    <w:rsid w:val="007551F9"/>
    <w:rsid w:val="00783F68"/>
    <w:rsid w:val="007933A4"/>
    <w:rsid w:val="00823EE3"/>
    <w:rsid w:val="00830D40"/>
    <w:rsid w:val="00832731"/>
    <w:rsid w:val="008B43E9"/>
    <w:rsid w:val="008C717C"/>
    <w:rsid w:val="00974958"/>
    <w:rsid w:val="009C13F0"/>
    <w:rsid w:val="009E6AEE"/>
    <w:rsid w:val="009E6E15"/>
    <w:rsid w:val="00A31B52"/>
    <w:rsid w:val="00A50552"/>
    <w:rsid w:val="00A6277B"/>
    <w:rsid w:val="00AB43FC"/>
    <w:rsid w:val="00AC7FF7"/>
    <w:rsid w:val="00AE44B4"/>
    <w:rsid w:val="00AF48AD"/>
    <w:rsid w:val="00AF48DE"/>
    <w:rsid w:val="00B35A09"/>
    <w:rsid w:val="00B9565D"/>
    <w:rsid w:val="00C4103D"/>
    <w:rsid w:val="00C6383B"/>
    <w:rsid w:val="00C958DE"/>
    <w:rsid w:val="00C96760"/>
    <w:rsid w:val="00CB2B44"/>
    <w:rsid w:val="00D0675F"/>
    <w:rsid w:val="00D17473"/>
    <w:rsid w:val="00D23A2E"/>
    <w:rsid w:val="00D46CFF"/>
    <w:rsid w:val="00DA604B"/>
    <w:rsid w:val="00DB4207"/>
    <w:rsid w:val="00DB6F9C"/>
    <w:rsid w:val="00E0648F"/>
    <w:rsid w:val="00E424B0"/>
    <w:rsid w:val="00E56E94"/>
    <w:rsid w:val="00E667D5"/>
    <w:rsid w:val="00E70B28"/>
    <w:rsid w:val="00E7404F"/>
    <w:rsid w:val="00F078E7"/>
    <w:rsid w:val="00F440D7"/>
    <w:rsid w:val="00F46338"/>
    <w:rsid w:val="00F46EB0"/>
    <w:rsid w:val="00F50B8C"/>
    <w:rsid w:val="00F81B40"/>
    <w:rsid w:val="00FD5B60"/>
    <w:rsid w:val="00FE5264"/>
    <w:rsid w:val="00FE5444"/>
    <w:rsid w:val="00FF55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235F1"/>
  <w15:chartTrackingRefBased/>
  <w15:docId w15:val="{B1F84306-0445-4594-84A9-D8822EF2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63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63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63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63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63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63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3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3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3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3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63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63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63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63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6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318"/>
    <w:rPr>
      <w:rFonts w:eastAsiaTheme="majorEastAsia" w:cstheme="majorBidi"/>
      <w:color w:val="272727" w:themeColor="text1" w:themeTint="D8"/>
    </w:rPr>
  </w:style>
  <w:style w:type="paragraph" w:styleId="Title">
    <w:name w:val="Title"/>
    <w:basedOn w:val="Normal"/>
    <w:next w:val="Normal"/>
    <w:link w:val="TitleChar"/>
    <w:uiPriority w:val="10"/>
    <w:qFormat/>
    <w:rsid w:val="00466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3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318"/>
    <w:pPr>
      <w:spacing w:before="160"/>
      <w:jc w:val="center"/>
    </w:pPr>
    <w:rPr>
      <w:i/>
      <w:iCs/>
      <w:color w:val="404040" w:themeColor="text1" w:themeTint="BF"/>
    </w:rPr>
  </w:style>
  <w:style w:type="character" w:customStyle="1" w:styleId="QuoteChar">
    <w:name w:val="Quote Char"/>
    <w:basedOn w:val="DefaultParagraphFont"/>
    <w:link w:val="Quote"/>
    <w:uiPriority w:val="29"/>
    <w:rsid w:val="00466318"/>
    <w:rPr>
      <w:i/>
      <w:iCs/>
      <w:color w:val="404040" w:themeColor="text1" w:themeTint="BF"/>
    </w:rPr>
  </w:style>
  <w:style w:type="paragraph" w:styleId="ListParagraph">
    <w:name w:val="List Paragraph"/>
    <w:basedOn w:val="Normal"/>
    <w:uiPriority w:val="34"/>
    <w:qFormat/>
    <w:rsid w:val="00466318"/>
    <w:pPr>
      <w:ind w:left="720"/>
      <w:contextualSpacing/>
    </w:pPr>
  </w:style>
  <w:style w:type="character" w:styleId="IntenseEmphasis">
    <w:name w:val="Intense Emphasis"/>
    <w:basedOn w:val="DefaultParagraphFont"/>
    <w:uiPriority w:val="21"/>
    <w:qFormat/>
    <w:rsid w:val="00466318"/>
    <w:rPr>
      <w:i/>
      <w:iCs/>
      <w:color w:val="2F5496" w:themeColor="accent1" w:themeShade="BF"/>
    </w:rPr>
  </w:style>
  <w:style w:type="paragraph" w:styleId="IntenseQuote">
    <w:name w:val="Intense Quote"/>
    <w:basedOn w:val="Normal"/>
    <w:next w:val="Normal"/>
    <w:link w:val="IntenseQuoteChar"/>
    <w:uiPriority w:val="30"/>
    <w:qFormat/>
    <w:rsid w:val="00466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6318"/>
    <w:rPr>
      <w:i/>
      <w:iCs/>
      <w:color w:val="2F5496" w:themeColor="accent1" w:themeShade="BF"/>
    </w:rPr>
  </w:style>
  <w:style w:type="character" w:styleId="IntenseReference">
    <w:name w:val="Intense Reference"/>
    <w:basedOn w:val="DefaultParagraphFont"/>
    <w:uiPriority w:val="32"/>
    <w:qFormat/>
    <w:rsid w:val="00466318"/>
    <w:rPr>
      <w:b/>
      <w:bCs/>
      <w:smallCaps/>
      <w:color w:val="2F5496" w:themeColor="accent1" w:themeShade="BF"/>
      <w:spacing w:val="5"/>
    </w:rPr>
  </w:style>
  <w:style w:type="paragraph" w:styleId="FootnoteText">
    <w:name w:val="footnote text"/>
    <w:basedOn w:val="Normal"/>
    <w:link w:val="FootnoteTextChar"/>
    <w:uiPriority w:val="99"/>
    <w:semiHidden/>
    <w:unhideWhenUsed/>
    <w:rsid w:val="005F5B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BF0"/>
    <w:rPr>
      <w:sz w:val="20"/>
      <w:szCs w:val="20"/>
    </w:rPr>
  </w:style>
  <w:style w:type="character" w:styleId="FootnoteReference">
    <w:name w:val="footnote reference"/>
    <w:basedOn w:val="DefaultParagraphFont"/>
    <w:uiPriority w:val="99"/>
    <w:semiHidden/>
    <w:unhideWhenUsed/>
    <w:rsid w:val="005F5BF0"/>
    <w:rPr>
      <w:vertAlign w:val="superscript"/>
    </w:rPr>
  </w:style>
  <w:style w:type="table" w:styleId="TableGrid">
    <w:name w:val="Table Grid"/>
    <w:basedOn w:val="TableNormal"/>
    <w:uiPriority w:val="39"/>
    <w:rsid w:val="005F5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5FE4"/>
    <w:rPr>
      <w:color w:val="0563C1" w:themeColor="hyperlink"/>
      <w:u w:val="single"/>
    </w:rPr>
  </w:style>
  <w:style w:type="character" w:styleId="UnresolvedMention">
    <w:name w:val="Unresolved Mention"/>
    <w:basedOn w:val="DefaultParagraphFont"/>
    <w:uiPriority w:val="99"/>
    <w:semiHidden/>
    <w:unhideWhenUsed/>
    <w:rsid w:val="006D5FE4"/>
    <w:rPr>
      <w:color w:val="605E5C"/>
      <w:shd w:val="clear" w:color="auto" w:fill="E1DFDD"/>
    </w:rPr>
  </w:style>
  <w:style w:type="paragraph" w:styleId="NormalWeb">
    <w:name w:val="Normal (Web)"/>
    <w:basedOn w:val="Normal"/>
    <w:uiPriority w:val="99"/>
    <w:unhideWhenUsed/>
    <w:rsid w:val="0021570A"/>
    <w:pPr>
      <w:spacing w:before="100" w:beforeAutospacing="1" w:after="100" w:afterAutospacing="1" w:line="240" w:lineRule="auto"/>
    </w:pPr>
    <w:rPr>
      <w:rFonts w:ascii="Times New Roman" w:eastAsia="Times New Roman" w:hAnsi="Times New Roman" w:cs="Times New Roman"/>
      <w:kern w:val="0"/>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021871">
      <w:bodyDiv w:val="1"/>
      <w:marLeft w:val="0"/>
      <w:marRight w:val="0"/>
      <w:marTop w:val="0"/>
      <w:marBottom w:val="0"/>
      <w:divBdr>
        <w:top w:val="none" w:sz="0" w:space="0" w:color="auto"/>
        <w:left w:val="none" w:sz="0" w:space="0" w:color="auto"/>
        <w:bottom w:val="none" w:sz="0" w:space="0" w:color="auto"/>
        <w:right w:val="none" w:sz="0" w:space="0" w:color="auto"/>
      </w:divBdr>
    </w:div>
    <w:div w:id="1022702229">
      <w:bodyDiv w:val="1"/>
      <w:marLeft w:val="0"/>
      <w:marRight w:val="0"/>
      <w:marTop w:val="0"/>
      <w:marBottom w:val="0"/>
      <w:divBdr>
        <w:top w:val="none" w:sz="0" w:space="0" w:color="auto"/>
        <w:left w:val="none" w:sz="0" w:space="0" w:color="auto"/>
        <w:bottom w:val="none" w:sz="0" w:space="0" w:color="auto"/>
        <w:right w:val="none" w:sz="0" w:space="0" w:color="auto"/>
      </w:divBdr>
    </w:div>
    <w:div w:id="1201742180">
      <w:bodyDiv w:val="1"/>
      <w:marLeft w:val="0"/>
      <w:marRight w:val="0"/>
      <w:marTop w:val="0"/>
      <w:marBottom w:val="0"/>
      <w:divBdr>
        <w:top w:val="none" w:sz="0" w:space="0" w:color="auto"/>
        <w:left w:val="none" w:sz="0" w:space="0" w:color="auto"/>
        <w:bottom w:val="none" w:sz="0" w:space="0" w:color="auto"/>
        <w:right w:val="none" w:sz="0" w:space="0" w:color="auto"/>
      </w:divBdr>
      <w:divsChild>
        <w:div w:id="928202014">
          <w:marLeft w:val="0"/>
          <w:marRight w:val="0"/>
          <w:marTop w:val="0"/>
          <w:marBottom w:val="0"/>
          <w:divBdr>
            <w:top w:val="single" w:sz="2" w:space="0" w:color="auto"/>
            <w:left w:val="single" w:sz="2" w:space="0" w:color="auto"/>
            <w:bottom w:val="single" w:sz="2" w:space="0" w:color="auto"/>
            <w:right w:val="single" w:sz="2" w:space="0" w:color="auto"/>
          </w:divBdr>
          <w:divsChild>
            <w:div w:id="16354515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200250014@student.ums.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BC6E2-3715-465F-BD9A-B0E5C3C5D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17</Pages>
  <Words>16784</Words>
  <Characters>95669</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 charka</dc:creator>
  <cp:keywords/>
  <dc:description/>
  <cp:lastModifiedBy>rahma charka</cp:lastModifiedBy>
  <cp:revision>42</cp:revision>
  <dcterms:created xsi:type="dcterms:W3CDTF">2026-06-24T05:24:00Z</dcterms:created>
  <dcterms:modified xsi:type="dcterms:W3CDTF">2026-07-06T08:23:00Z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432cf8f3-a4db-43cb-81f8-febbac964203</vt:lpwstr>
  </property>
  <property fmtid="{D5CDD505-2E9C-101B-9397-08002B2CF9AE}" pid="3" name="Mendeley Document_1">
    <vt:lpwstr>True</vt:lpwstr>
  </property>
  <property fmtid="{D5CDD505-2E9C-101B-9397-08002B2CF9AE}" pid="4" name="Mendeley Unique User Id_1">
    <vt:lpwstr>6732e15b-bbe0-36ef-8783-6846ed185ba7</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http://www.zotero.org/styles/chicago-fullnote-bibliography</vt:lpwstr>
  </property>
  <property fmtid="{D5CDD505-2E9C-101B-9397-08002B2CF9AE}" pid="17" name="Mendeley Recent Style Name 5_1">
    <vt:lpwstr>Chicago Manual of Style 17th edition (full note)</vt:lpwstr>
  </property>
  <property fmtid="{D5CDD505-2E9C-101B-9397-08002B2CF9AE}" pid="18" name="Mendeley Recent Style Id 6_1">
    <vt:lpwstr>http://www.zotero.org/styles/harvard-cite-them-right</vt:lpwstr>
  </property>
  <property fmtid="{D5CDD505-2E9C-101B-9397-08002B2CF9AE}" pid="19" name="Mendeley Recent Style Name 6_1">
    <vt:lpwstr>Cite Them Right 10th edition - Harvard</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