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6E57C" w14:textId="71D2B8ED" w:rsidR="007A4E3F" w:rsidRDefault="004020A8" w:rsidP="007A4E3F">
      <w:pPr>
        <w:pStyle w:val="Articletitle"/>
      </w:pPr>
      <w:r>
        <w:t>‘</w:t>
      </w:r>
      <w:r w:rsidR="000579D2" w:rsidRPr="000579D2">
        <w:t>Our lessons used to be so boring</w:t>
      </w:r>
      <w:r>
        <w:t>’</w:t>
      </w:r>
      <w:r w:rsidR="000579D2" w:rsidRPr="000579D2">
        <w:t>: Narrative resilience from remote language teaching in Indonesian Islamic schools</w:t>
      </w:r>
    </w:p>
    <w:p w14:paraId="44EEAC2D" w14:textId="77777777" w:rsidR="007A4E3F" w:rsidRDefault="007A4E3F" w:rsidP="007A4E3F">
      <w:pPr>
        <w:pStyle w:val="Authornames"/>
      </w:pPr>
      <w:r>
        <w:t>Rohib Adrianto Sangia</w:t>
      </w:r>
      <w:r>
        <w:rPr>
          <w:vertAlign w:val="superscript"/>
        </w:rPr>
        <w:t>a</w:t>
      </w:r>
      <w:r>
        <w:t>* and La Rajab</w:t>
      </w:r>
      <w:r>
        <w:rPr>
          <w:vertAlign w:val="superscript"/>
        </w:rPr>
        <w:t>b</w:t>
      </w:r>
    </w:p>
    <w:p w14:paraId="13500401" w14:textId="4E416EF6" w:rsidR="007A4E3F" w:rsidRDefault="007A4E3F" w:rsidP="007A4E3F">
      <w:pPr>
        <w:pStyle w:val="Affiliation"/>
      </w:pPr>
      <w:r>
        <w:rPr>
          <w:vertAlign w:val="superscript"/>
        </w:rPr>
        <w:t>a</w:t>
      </w:r>
      <w:r>
        <w:t xml:space="preserve">Scholl of LLMVC, University of Aberdeen, Aberdeen, UK; </w:t>
      </w:r>
      <w:r>
        <w:rPr>
          <w:vertAlign w:val="superscript"/>
        </w:rPr>
        <w:t>b</w:t>
      </w:r>
      <w:r w:rsidR="00CF74AD" w:rsidRPr="00CF74AD">
        <w:t>Faculty of Education</w:t>
      </w:r>
      <w:r>
        <w:t>, AM. Sangadji State Islamic University, Ambon, Indonesia</w:t>
      </w:r>
    </w:p>
    <w:p w14:paraId="7FB6630A" w14:textId="77777777" w:rsidR="007A4E3F" w:rsidRDefault="007A4E3F" w:rsidP="007A4E3F">
      <w:pPr>
        <w:pStyle w:val="Correspondencedetails"/>
      </w:pPr>
      <w:r>
        <w:t>r.sangia.22@abdn.ac.uk</w:t>
      </w:r>
    </w:p>
    <w:p w14:paraId="13027E2E" w14:textId="12DD7185" w:rsidR="007A4E3F" w:rsidRDefault="007A4E3F" w:rsidP="007A4E3F">
      <w:pPr>
        <w:pStyle w:val="Notesoncontributors"/>
        <w:jc w:val="both"/>
      </w:pPr>
      <w:r>
        <w:rPr>
          <w:b/>
          <w:bCs/>
        </w:rPr>
        <w:t>Rohib Adrianto Sangia</w:t>
      </w:r>
      <w:r>
        <w:t xml:space="preserve"> is a </w:t>
      </w:r>
      <w:r w:rsidR="00FD4308">
        <w:t>research student</w:t>
      </w:r>
      <w:r>
        <w:t xml:space="preserve"> at the University of Aberdeen, School of Language, Literature, Music, and Visual Culture. Prior to his doctoral studies, he maintained an extensive pedagogical career spanning nearly two decades as an English language educator within Indonesian Islamic educational institutions. Concurrently, the author serves as a professional linguist at Dee Discourse Limited (https://dee.scot), specialising in Bahasa Indonesia, the 10</w:t>
      </w:r>
      <w:r>
        <w:rPr>
          <w:vertAlign w:val="superscript"/>
        </w:rPr>
        <w:t>th</w:t>
      </w:r>
      <w:r>
        <w:t xml:space="preserve"> UNESCO-recognised official modern language.</w:t>
      </w:r>
    </w:p>
    <w:p w14:paraId="61AF74D0" w14:textId="6BCDD803" w:rsidR="007A4E3F" w:rsidRDefault="007A4E3F" w:rsidP="007A4E3F">
      <w:pPr>
        <w:pStyle w:val="Notesoncontributors"/>
        <w:jc w:val="both"/>
      </w:pPr>
      <w:r>
        <w:rPr>
          <w:b/>
          <w:bCs/>
        </w:rPr>
        <w:t xml:space="preserve"> La Rajab</w:t>
      </w:r>
      <w:r>
        <w:t xml:space="preserve"> serves as an Associate Professor at AM. Sangadji State Islamic University, holding a senior lecturer position within the Islamic Educational Management Programme at the Faculty of Education. With over two decades of professional experience, he also established and directs the Iftitah Al-Ikhlas Maluku Foundation, which focuses specifically on providing Early Childhood Islamic Education across the Maluku region.</w:t>
      </w:r>
    </w:p>
    <w:p w14:paraId="3A2C65F1" w14:textId="77777777" w:rsidR="007A4E3F" w:rsidRDefault="007A4E3F" w:rsidP="009B24B5">
      <w:pPr>
        <w:pStyle w:val="Articletitle"/>
      </w:pPr>
    </w:p>
    <w:p w14:paraId="1596A455" w14:textId="77777777" w:rsidR="007A4E3F" w:rsidRDefault="007A4E3F" w:rsidP="007A4E3F"/>
    <w:p w14:paraId="3F0E1758" w14:textId="77777777" w:rsidR="007A4E3F" w:rsidRDefault="007A4E3F" w:rsidP="007A4E3F"/>
    <w:p w14:paraId="63BD0277" w14:textId="77777777" w:rsidR="007A4E3F" w:rsidRDefault="007A4E3F" w:rsidP="007A4E3F"/>
    <w:p w14:paraId="5B1848D2" w14:textId="77777777" w:rsidR="007A4E3F" w:rsidRDefault="007A4E3F" w:rsidP="007A4E3F"/>
    <w:p w14:paraId="3D64498F" w14:textId="77777777" w:rsidR="007A4E3F" w:rsidRDefault="007A4E3F" w:rsidP="007A4E3F"/>
    <w:p w14:paraId="43D93B63" w14:textId="77777777" w:rsidR="007A4E3F" w:rsidRDefault="007A4E3F" w:rsidP="007A4E3F"/>
    <w:p w14:paraId="3D3860A7" w14:textId="77777777" w:rsidR="007A4E3F" w:rsidRDefault="007A4E3F" w:rsidP="007A4E3F"/>
    <w:p w14:paraId="665497C2" w14:textId="77777777" w:rsidR="007A4E3F" w:rsidRPr="007A4E3F" w:rsidRDefault="007A4E3F" w:rsidP="007A4E3F"/>
    <w:p w14:paraId="0BC2DB1F" w14:textId="77777777" w:rsidR="007A4E3F" w:rsidRDefault="007A4E3F" w:rsidP="009B24B5">
      <w:pPr>
        <w:pStyle w:val="Articletitle"/>
      </w:pPr>
    </w:p>
    <w:p w14:paraId="523EFD05" w14:textId="77777777" w:rsidR="00F72780" w:rsidRDefault="00F72780" w:rsidP="00F72780"/>
    <w:p w14:paraId="46FC736B" w14:textId="16618E85" w:rsidR="00F72780" w:rsidRDefault="00D33A40" w:rsidP="00F72780">
      <w:pPr>
        <w:pStyle w:val="Articletitle"/>
      </w:pPr>
      <w:r>
        <w:lastRenderedPageBreak/>
        <w:t>‘</w:t>
      </w:r>
      <w:r w:rsidR="00F72780">
        <w:t>Our lessons used to be so boring</w:t>
      </w:r>
      <w:r>
        <w:t>’</w:t>
      </w:r>
      <w:r w:rsidR="00F72780">
        <w:t>: Narrative resilience from remote language teaching in Indonesian Islamic schools</w:t>
      </w:r>
    </w:p>
    <w:p w14:paraId="5DE4A9DC" w14:textId="77777777" w:rsidR="00F72780" w:rsidRDefault="00F72780" w:rsidP="00F72780">
      <w:pPr>
        <w:pStyle w:val="Abstract"/>
        <w:jc w:val="both"/>
      </w:pPr>
      <w:r>
        <w:t>The present study examines how English teachers in Indonesian Madrasah Tsanawiyah coped with emergency remote teaching. It employs Clandinin’s three-dimensional narrative inquiry, which examines time, relationships, and place. Evidence comes from teachers’ diaries, short essays, and public commentaries posted on a national platform. The results indicate that resilience is not a fixed trait. It grows and changes through personal effort, support from others, and the limits of the local context. Through temporality, we see teachers move from early confusion to planned routines. Trial and error parcel out way to clearer methods, including simple hybrid timetables. Through sociality, peer mentoring, help from parents, and patient students keep lessons going and reduce tiredness and stress. Through place, teachers design solutions that fit their context. In areas with weak Internet, many teachers exploit familiar tools, such as voice messages, to reach learners. By focusing on non-Western, religious-based schools during a crisis, the study widens how narrative inquiry is used and shows that resilience is tied to time, people, and setting. It recommends that training and policy should follow the daily realities of teachers and learners in schools with limited resources. Future work should track these strategies after schools return to regular schedules.</w:t>
      </w:r>
    </w:p>
    <w:p w14:paraId="28553C88" w14:textId="77777777" w:rsidR="00F72780" w:rsidRDefault="00F72780" w:rsidP="00F72780">
      <w:pPr>
        <w:pStyle w:val="Keywords"/>
        <w:jc w:val="both"/>
      </w:pPr>
      <w:r>
        <w:t>Keywords: teacher resilience; language teaching; remote learning; madrasah; narrative inquiry.</w:t>
      </w:r>
    </w:p>
    <w:p w14:paraId="68FFFE8D" w14:textId="77777777" w:rsidR="00F72780" w:rsidRDefault="00F72780" w:rsidP="00F72780">
      <w:pPr>
        <w:pStyle w:val="Paragraph"/>
      </w:pPr>
    </w:p>
    <w:p w14:paraId="3FD55C90" w14:textId="77777777" w:rsidR="00F72780" w:rsidRDefault="00F72780" w:rsidP="00F72780">
      <w:pPr>
        <w:pStyle w:val="Heading1"/>
      </w:pPr>
      <w:r>
        <w:t>Introduction</w:t>
      </w:r>
    </w:p>
    <w:p w14:paraId="774CC505" w14:textId="77777777" w:rsidR="00F72780" w:rsidRDefault="00F72780" w:rsidP="00F72780">
      <w:pPr>
        <w:pStyle w:val="Paragraph"/>
        <w:jc w:val="both"/>
      </w:pPr>
      <w:r>
        <w:t>The pandemic crisis has sparked the development of new strategies for managing classrooms and assessing students’ performance. Despite these innovations, the effectiveness of remote teaching is significantly affected by notable socioeconomic disparities and varying levels of access to digital infrastructure across regions. As highlighted in studies by Cahyadi et al. (2022). Teaching languages relies heavily on interaction and communication between people. However, this kind of teaching faces significant challenges due to problems such as unstable Internet connections and insufficient digital tools. These issues disrupted the typical teaching methods of teachers (Cahyadi et al., 2022; Juárez-Díaz &amp; Perales, 2021). However, empirical studies have found that English teachers in Indonesia are remarkably adaptive. They use widely available platforms such as WhatsApp, YouTube, and Google Forms. These efforts aim to keep students engaged. This trend is well documented by Kusuma (2022) and supported by Sumardi and Nugrahani (2021). It has been observed that those with prior experience in digital pedagogy or a more initiative-taking attitude towards technology tended to cope more effectively, demonstrating resilience and a willingness to explore new tools despite ongoing technical obstacles (Muhaji et al., 2023; Weidlich &amp; Kalz, 2021). The recent crisis has sparked the development of new strategies for managing classrooms and assessing students. Despite these innovations, the effectiveness of remote teaching is significantly affected by notable socioeconomic disparities and varying levels of access to digital infrastructure across different regions, as underscored in studies conducted by Cahyadi et al. (2022) and Muhaji et al. (2023). These findings highlight the complexity of teacher resilience during the pandemic, influenced by institutional support and personal motivation, as noted by Juárez-Díaz and Perales (2021) and Tao and Gao (2022). Eventually, the pandemic illuminated the delicate balance between individual agency and systemic realities in sustaining effective language instruction under extraordinary circumstances.</w:t>
      </w:r>
    </w:p>
    <w:p w14:paraId="572F404F" w14:textId="77777777" w:rsidR="00F72780" w:rsidRDefault="00F72780" w:rsidP="00F72780">
      <w:pPr>
        <w:pStyle w:val="Newparagraph"/>
        <w:jc w:val="both"/>
      </w:pPr>
      <w:r>
        <w:t>The three-dimensional narrative enquiry framework of Clandinin (2006) provides insights into language teachers’ experiences during the pandemic, focusing on temporality, sociality, and place. In the first dimension, temporality highlights the evolution of these experiences concerning past practices, current challenges, and future aspirations. It significantly influences how teachers adapt to rapidly changing circumstances while upholding their professional duties (Fortunado &amp; Canoy, 2021; Gillan et al., 2021). Second, sociality focuses on the connections in teaching and examines how teachers interact with students, parents, and other teachers. These relationships significantly shape teachers’ sense of purpose and resilience. Greenberger et al. (2022) assert that the robustness and quality of these connections affected teachers’ ability to manage the pressures of the pandemic. The third dimension examines the physical spaces and social cultures in which teaching occurs. The contextual setting notably influenced pedagogical approaches and individual well-being outcomes, particularly when contrasting urban environments with stable Internet access and rural regions facing infrastructural challenges. As demonstrated by Gillan et al. (2021) and Savage (2020), the concept of place is especially crucial in understanding how remote teaching affects the delivery of character and religious Education. Remote teaching disrupted traditional methods in Indonesian Islamic schools or madrasah, challenging teachers to maintain core values (Habibi et al., 2021; Hasbiyallah et al., 2023). These dimensions showcase how language teachers adapt to uncertainty while prioritising student learning. Rasmitadila et al. (2020) and Fortunado and Canoy (2021) argue that such an integrative approach deepens our appreciation of teachers’ resilience, adaptability, and enduring commitment during this extraordinary period.</w:t>
      </w:r>
    </w:p>
    <w:p w14:paraId="4AC2FB54" w14:textId="77777777" w:rsidR="00F72780" w:rsidRDefault="00F72780" w:rsidP="00F72780">
      <w:pPr>
        <w:pStyle w:val="Newparagraph"/>
        <w:jc w:val="both"/>
      </w:pPr>
      <w:r>
        <w:t>This study examines how English language teachers in Madrasah Tsanawiyah (MTS), Islamic educational institutions equivalent to lower secondary schools in academic level, crafted narratives of resilience during emergency remote teaching across Indonesia’s varied regions. Drawing on a narrative enquiry framework from Clandinin (2006), this research moves beyond surface-level accounts of struggle. The study reveals how they adapted their methods to changing obstacles, collaborative networks, and the distinct cultural and social environments of their institutions. This approach not only documents what resilience looked like but also unpacks how it unfolded: juggling long-held teaching beliefs, reshaping professional roles, and redefining virtual classrooms amid a prolonged disruption. The central research questions are as follows:</w:t>
      </w:r>
    </w:p>
    <w:p w14:paraId="35309D2F" w14:textId="77777777" w:rsidR="00F72780" w:rsidRDefault="00F72780" w:rsidP="00F72780">
      <w:pPr>
        <w:pStyle w:val="Numberedlist"/>
        <w:numPr>
          <w:ilvl w:val="0"/>
          <w:numId w:val="38"/>
        </w:numPr>
        <w:jc w:val="both"/>
      </w:pPr>
      <w:r>
        <w:t>How do language teachers narrate their experiences of resilience during remote teaching?</w:t>
      </w:r>
    </w:p>
    <w:p w14:paraId="250ADB7C" w14:textId="77777777" w:rsidR="00F72780" w:rsidRDefault="00F72780" w:rsidP="00F72780">
      <w:pPr>
        <w:pStyle w:val="Numberedlist"/>
        <w:numPr>
          <w:ilvl w:val="0"/>
          <w:numId w:val="38"/>
        </w:numPr>
        <w:jc w:val="both"/>
      </w:pPr>
      <w:r>
        <w:t>How did these experiences unfold over time (temporality), relationships (sociality), and context (place)?</w:t>
      </w:r>
    </w:p>
    <w:p w14:paraId="2C92DB7F" w14:textId="77777777" w:rsidR="00F72780" w:rsidRDefault="00F72780" w:rsidP="00F72780">
      <w:pPr>
        <w:pStyle w:val="Heading1"/>
      </w:pPr>
      <w:r>
        <w:t>Literature Review</w:t>
      </w:r>
    </w:p>
    <w:p w14:paraId="18FB5A80" w14:textId="77777777" w:rsidR="00F72780" w:rsidRDefault="00F72780" w:rsidP="00F72780">
      <w:pPr>
        <w:pStyle w:val="Heading2"/>
      </w:pPr>
      <w:r>
        <w:t>Teacher Resilience in Crisis Contexts</w:t>
      </w:r>
    </w:p>
    <w:p w14:paraId="7DCB9F49" w14:textId="77777777" w:rsidR="00F72780" w:rsidRDefault="00F72780" w:rsidP="00F72780">
      <w:pPr>
        <w:pStyle w:val="Paragraph"/>
        <w:jc w:val="both"/>
      </w:pPr>
      <w:r>
        <w:t>Teacher resilience, as highlighted by Zhang and Luo (2023), is fundamentally defined as the ability to recover from setbacks and adapt to new or challenging circumstances in the teaching environment. This quality empowers teachers to effectively navigate the difficulties they encounter in their profession while safeguarding their mental and emotional well-being. Furthermore, it enables them to maintain a high level of professional performance, ensuring they continue to inspire and support their students, even in the face of adversity. This construct merges psychological factors and workplace elements and involves self-efficacy and empathy, boosting teachers’ adaptability and enabling them to navigate crises such as the COVID-19 pandemic, manage workloads, and foster student engagement (Baguri et al., 2022; Zhang &amp; Luo, 2023). Rodríguez-Hidalgo et al. (2024) demonstrated that resilient teachers are crucial for effective teaching. They deliver high-quality instruction, regulate their emotions, and maintain a cheerful outlook, all of which reduce burnout and foster commitment to Education. Resilience fosters pedagogical innovation and meaningful relationships, even in unstable institutions (Beauchamp et al., 2021; Clum et al., 2022). Fu and Zhang (2024) argue that resilience supports the stability and continuity of teaching activities during crises, ensuring academic outcomes, and fostering community resilience. Resilience in high-pressure environments necessitates professional development programs, collaborative networks, and empathetic leadership, which are influenced by psychological, institutional, and personal factors (Weidlich &amp; Kalz, 2021). Meeting individual and organisational needs enables teachers to manage disruptions, safeguard their mental health, and maintain educational quality. Enhancing teacher resilience is crucial for creating adaptable and empathetic educational environments that can thrive in unpredictable landscapes.</w:t>
      </w:r>
    </w:p>
    <w:p w14:paraId="07AABBF8" w14:textId="77777777" w:rsidR="00F72780" w:rsidRDefault="00F72780" w:rsidP="00F72780">
      <w:pPr>
        <w:pStyle w:val="Heading2"/>
      </w:pPr>
      <w:r>
        <w:t>From Distance Learning to Emergency Remote Teaching</w:t>
      </w:r>
    </w:p>
    <w:p w14:paraId="3BF9C3BB" w14:textId="77777777" w:rsidR="00F72780" w:rsidRDefault="00F72780" w:rsidP="00F72780">
      <w:pPr>
        <w:pStyle w:val="Paragraph"/>
        <w:jc w:val="both"/>
      </w:pPr>
      <w:r>
        <w:t>Distance learning, a pedagogical approach with historical roots spanning nearly three centuries, traces its origins to early correspondence courses, as documented by Holmberg (1995), who recognised an advertisement from 1728 by Caleb Philips in the Boston Gazette as its first recorded instance, later expanded by Anne Ticknor’s “The Silent University” in 1873 (Bergmann, 2001). Communication has evolved from print-based to Internet-based methods owing to technological innovations. Scholars have noted that this transformation has boosted e-learning, making digital platforms central to modern Education (Moore et al., 2011; Perraton, 2012). Moore et al. (2011) define distance learning as a structured educational framework where teachers and students are separated by time and space. Simonson et al. (2019) posit that interactive telecommunication systems unite students, teachers, and learning materials in the model’s institutional foundation. Shearer and Park (2019) add that knowledge acquisition depends on student autonomy, peer interaction, and access to external resources. Hence, academic self-direction requires students to leverage collaborative networks and external resources to resolve problems. Structured flexibility underpins this model, empowering institutions to surmount spatial and temporal restrictions while preserving social connections.</w:t>
      </w:r>
    </w:p>
    <w:p w14:paraId="77D69DF8" w14:textId="77777777" w:rsidR="00F72780" w:rsidRDefault="00F72780" w:rsidP="00F72780">
      <w:pPr>
        <w:pStyle w:val="Newparagraph"/>
        <w:jc w:val="both"/>
      </w:pPr>
      <w:r>
        <w:t>The COVID-19 pandemic introduced the concept of Emergency Remote Teaching, a term coined by Hodges and Fowler (2020) to describe the rapid, crisis-driven shift to online instruction. Unlike distance learning, which is systematically designed and iteratively refined, Emergency Remote Teaching is characterised as provisional and reactive, often lacking the intentional pedagogical frameworks that define the former (Aguliera &amp; Nightengale-Lee, 2020; Whittle et al., 2020). Bozkurt and Sharma (2020) cautioned against conflating Emergency Remote Teaching with distance learning. However, this analysis argues that Emergency Remote Teaching is a functional extension of traditional teaching. Emergency Remote Teaching maintains principles such as student flexibility, mediated engagement, and agency, even in its improvisational form. The shift to distance education during crises highlights its enduring robustness. While distinct in theory, both methodologies leverage technology to overcome educational barriers, binding their history to modern teaching practices. The rapid uptake of Emergency Remote Teaching amid global upheavals has propelled digital tools into the academic mainstream, driving the advancement of distance learning.</w:t>
      </w:r>
    </w:p>
    <w:p w14:paraId="7F772668" w14:textId="77777777" w:rsidR="00F72780" w:rsidRDefault="00F72780" w:rsidP="00F72780">
      <w:pPr>
        <w:pStyle w:val="Heading2"/>
      </w:pPr>
      <w:r>
        <w:t>Challenges of Remote Teaching in EFL Contexts</w:t>
      </w:r>
    </w:p>
    <w:p w14:paraId="1909529A" w14:textId="77777777" w:rsidR="00F72780" w:rsidRDefault="00F72780" w:rsidP="00F72780">
      <w:pPr>
        <w:pStyle w:val="Paragraph"/>
        <w:jc w:val="both"/>
      </w:pPr>
      <w:r>
        <w:t>The multifaceted challenges of English as a Foreign Language (EFL) instruction during the COVID-19 pandemic were starkly illuminated in Indonesia, where systemic disparities and pedagogical constraints were laid bare. Among the foremost obstacles are technological and infrastructural deficiencies, with unreliable Internet access and limited availability of digital devices impeding instruction, especially in remote or underresourced regions (Cahyadi et al., 2022). Even in more developed areas, unstable connectivity and inadequate digital materials hamper the delivery of practical lessons, thereby reinforcing educational disparities. Pedagogically, EFL teachers are compelled to redesign curricula without sufficient training or preparation, resulting in non-standardised instruction and difficulties in fostering student engagement and communicative competence (Can &amp; Silman-Karanfil, 2021; Tulaskar &amp; Turunen, 2022). Teachers and students face rising stress, emotional exhaustion, and eroded motivation amid socioemotional challenges, compounded by the deterioration of supportive ties through limited physical interaction (Misirli &amp; Ergulec, 2021). Valsaraj et al. (2021) posit that schools’ ineffective crisis-response practices reflect deeper organisational resilience and digital preparedness issues. In addition, domestic circumstances are essential to remote teaching effectiveness, as parental strain in families without academic or technological support disproportionately affects younger and special-education students.</w:t>
      </w:r>
    </w:p>
    <w:p w14:paraId="15B2AA4D" w14:textId="77777777" w:rsidR="00F72780" w:rsidRDefault="00F72780" w:rsidP="00F72780">
      <w:pPr>
        <w:pStyle w:val="Newparagraph"/>
        <w:jc w:val="both"/>
      </w:pPr>
      <w:r>
        <w:t>Despite Indonesia’s policy framework legally authorising distance education at all levels, its real-world application has been fragmented and inconsistent (Yusuf et al., 2024). Despite regulatory endorsement, distance learning infrastructure remains underdeveloped in primary and secondary Education, hindered by limited resources, insufficient models, and predominant reliance on teacher-centred approaches that fail to engage students (Azhari &amp; Fajri, 2022). Although distance learning does not necessitate advanced technology—basic tools such as letters, radio, and simple telecommunications can suffice—the widespread use of smartphones and social media in Indonesia has not translated into pedagogically effective digital-learning strategies. Most teachers rely on conventional methods such as lecturing and rote memorisation, with minimal interactive digital media, due to limited digital proficiency (Althubyani, 2024). Persistent PowerPoint use in urban schools reflects teachers’ discomfort with technology-integrated student-centred teaching. Remote EFL teaching has exposed systemic inequities, demanding an education redesign centred on innovation, resilience, and inclusion.</w:t>
      </w:r>
    </w:p>
    <w:p w14:paraId="023C02F9" w14:textId="77777777" w:rsidR="00F72780" w:rsidRDefault="00F72780" w:rsidP="00F72780">
      <w:pPr>
        <w:pStyle w:val="Heading2"/>
      </w:pPr>
      <w:r>
        <w:t>Narrative Enquiry in Educational Research</w:t>
      </w:r>
    </w:p>
    <w:p w14:paraId="534ACA5F" w14:textId="77777777" w:rsidR="00F72780" w:rsidRDefault="00F72780" w:rsidP="00F72780">
      <w:pPr>
        <w:pStyle w:val="Paragraph"/>
        <w:jc w:val="both"/>
      </w:pPr>
      <w:r>
        <w:t>Narrative enquiry, a qualitative methodology deeply rooted in educational research, prioritizes the exploration and interpretation of lived experiences by collecting and analyzing personal stories, as emphasized by Barkhuizen et al. (2024). This approach situates participants’ narratives at its core, generating rich, nuanced accounts of their professional and personal trajectories within educational settings, thereby illuminating the intricate interplay of context, complexity, and meaning that define these experiences (Howe, 2022; Wei, 2021). As Golombek and Johnson (2021) have outlined, narrative enquiry revolves around collaboratively reinterpreting experiences to co-construct meanings. Pratt and Rosiek (2021) stressed its transformative potential. This methodology criticises the sociocultural and institutional frameworks that inform storytelling, as Benson (2021) and Wei (2021) connect identity and educational practices. Narrative enquiry challenges traditional research paradigms that often silence such perspectives by centring marginalised voices, such as those of teachers and students navigating inequitable systems, a point stressed by Howe (2022) and Pratt and Rosiek (2021). Its utility extends to examining multifaceted issues, such as curriculum design, identity negotiation, and social justice, offering layered analyses of how individuals confront and make sense of educational challenges, as demonstrated in studies by Schlein et al. (2019) and Wei (2021). Through its contextual sensitivity and emphasis on lived experiences, narrative enquiry has emerged as a transformative tool for capturing the dynamic, situated realities of teaching and learning, bridging individual stories with broader systemic implications.</w:t>
      </w:r>
    </w:p>
    <w:p w14:paraId="77427607" w14:textId="77777777" w:rsidR="00F72780" w:rsidRDefault="00F72780" w:rsidP="00F72780">
      <w:pPr>
        <w:pStyle w:val="Heading1"/>
      </w:pPr>
      <w:r>
        <w:t>Research Methodology</w:t>
      </w:r>
    </w:p>
    <w:p w14:paraId="4BB6E161" w14:textId="77777777" w:rsidR="00F72780" w:rsidRDefault="00F72780" w:rsidP="00F72780">
      <w:pPr>
        <w:pStyle w:val="Heading2"/>
      </w:pPr>
      <w:r>
        <w:t>Framework</w:t>
      </w:r>
    </w:p>
    <w:p w14:paraId="41F12360" w14:textId="77777777" w:rsidR="00F72780" w:rsidRDefault="00F72780" w:rsidP="00F72780">
      <w:pPr>
        <w:pStyle w:val="Paragraph"/>
        <w:jc w:val="both"/>
      </w:pPr>
      <w:r>
        <w:t>This study adopts a three-dimensional narrative enquiry framework (Clandinin, 2006) that examines experiences through the interconnected dimensions of temporality, sociality, and place. They refer to how experiences evolve, the personal and social conditions (including relationships and emotions) that shape those experiences, and the specific physical and situational contexts in which they occur (Nguyen et al., 2023). The framework shapes data collection and analysis, enabling a comprehensive exploration of the lived experiences of teachers. Narrative enquiry was used to unpack resilience as a relational context-sensitive trait. Personal histories reveal how professional journeys, social exchanges, and educational settings collectively forge EFL teachers’ strategies for managing adversity. This approach prioritises the authenticity of teachers’ voices, offering empirically grounded insights into pedagogical endurance during upheaval.</w:t>
      </w:r>
    </w:p>
    <w:p w14:paraId="5AE6EB3F" w14:textId="77777777" w:rsidR="00F72780" w:rsidRDefault="00F72780" w:rsidP="00F72780">
      <w:pPr>
        <w:pStyle w:val="Heading2"/>
      </w:pPr>
      <w:r>
        <w:t>Participant and Context</w:t>
      </w:r>
    </w:p>
    <w:p w14:paraId="67DBB3C4" w14:textId="77777777" w:rsidR="00F72780" w:rsidRDefault="00F72780" w:rsidP="00F72780">
      <w:pPr>
        <w:pStyle w:val="Paragraph"/>
        <w:jc w:val="both"/>
      </w:pPr>
      <w:r>
        <w:t>This study focuses on the experiences of five English language teachers (all pseudonyms), who shared their firsthand accounts of teaching during the pandemic. All participants were teaching in Mts in various parts of Indonesia, providing significant insights into resilience and adaptation in remote teaching settings. Routine ethical procedures were followed throughout the study. All participants provided informed consent before the study began.</w:t>
      </w:r>
    </w:p>
    <w:p w14:paraId="728C44E9" w14:textId="77777777" w:rsidR="00F72780" w:rsidRDefault="00F72780" w:rsidP="00F72780">
      <w:pPr>
        <w:pStyle w:val="Numberedlist"/>
        <w:numPr>
          <w:ilvl w:val="0"/>
          <w:numId w:val="39"/>
        </w:numPr>
        <w:jc w:val="both"/>
      </w:pPr>
      <w:r>
        <w:t>Teacher 1 (T1) teaches in Surabaya, East Java, an urban centre with a strong digital infrastructure and institutional support, enabling seamless technology integration in teaching. This context reflects the systemic advantages that facilitate digital transformation and professional growth.</w:t>
      </w:r>
    </w:p>
    <w:p w14:paraId="0A3C8F44" w14:textId="77777777" w:rsidR="00F72780" w:rsidRDefault="00F72780" w:rsidP="00F72780">
      <w:pPr>
        <w:pStyle w:val="Numberedlist"/>
        <w:numPr>
          <w:ilvl w:val="0"/>
          <w:numId w:val="39"/>
        </w:numPr>
        <w:jc w:val="both"/>
      </w:pPr>
      <w:r>
        <w:t>Teacher 2 (T2) teaches in Curup, Bengkulu, a suburban community marked by socioeconomic disparities and inconsistent digital access. T2 emphasises adaptability and community collaboration to ensure equitable Education in the region.</w:t>
      </w:r>
    </w:p>
    <w:p w14:paraId="5050D77A" w14:textId="77777777" w:rsidR="00F72780" w:rsidRDefault="00F72780" w:rsidP="00F72780">
      <w:pPr>
        <w:pStyle w:val="Numberedlist"/>
        <w:numPr>
          <w:ilvl w:val="0"/>
          <w:numId w:val="39"/>
        </w:numPr>
        <w:jc w:val="both"/>
      </w:pPr>
      <w:r>
        <w:t>Teacher 3 (T3) works in Bantul, Yogyakarta, a semi-urban environment where traditional customs coexist with gradual digital adoption. This blended context enables incremental technology integration while upholding robust family- and community-centred educational values.</w:t>
      </w:r>
    </w:p>
    <w:p w14:paraId="486750DE" w14:textId="77777777" w:rsidR="00F72780" w:rsidRDefault="00F72780" w:rsidP="00F72780">
      <w:pPr>
        <w:pStyle w:val="Numberedlist"/>
        <w:numPr>
          <w:ilvl w:val="0"/>
          <w:numId w:val="39"/>
        </w:numPr>
        <w:jc w:val="both"/>
      </w:pPr>
      <w:r>
        <w:t>Teacher 4 (T4) teaches in Palopo, South Sulawesi, where basic infrastructure and limited connectivity necessitate flexible, student-centered approaches tailored to students’ economic and social circumstances.</w:t>
      </w:r>
    </w:p>
    <w:p w14:paraId="3E961D8E" w14:textId="77777777" w:rsidR="00F72780" w:rsidRDefault="00F72780" w:rsidP="00F72780">
      <w:pPr>
        <w:pStyle w:val="Numberedlist"/>
        <w:numPr>
          <w:ilvl w:val="0"/>
          <w:numId w:val="39"/>
        </w:numPr>
        <w:jc w:val="both"/>
      </w:pPr>
      <w:r>
        <w:t>Teacher 5 (T5), a teacher staff member at an MTS in Masohi, Central Maluku, specialises in educational technology. T5’s participation in workshops and teacher union campaigns reflects T5’s commitment to Education and student welfare. By leveraging community collaboration, T5 overcame limited Internet access to support student learning.</w:t>
      </w:r>
    </w:p>
    <w:p w14:paraId="1FF8A050" w14:textId="77777777" w:rsidR="00F72780" w:rsidRDefault="00F72780" w:rsidP="00F72780">
      <w:pPr>
        <w:pStyle w:val="Heading2"/>
      </w:pPr>
      <w:r>
        <w:t>Data Collection and Analysis</w:t>
      </w:r>
    </w:p>
    <w:p w14:paraId="202ADABB" w14:textId="77777777" w:rsidR="00F72780" w:rsidRDefault="00F72780" w:rsidP="00F72780">
      <w:pPr>
        <w:pStyle w:val="Paragraph"/>
        <w:jc w:val="both"/>
      </w:pPr>
      <w:r>
        <w:t>This study investigates the shift to remote teaching in Mts in Indonesia by teachers’ diaries, essays, and commentaries shared by language teachers on a national digital platform during the mid-pandemic period. Using a narrative enquiry framework (Clandinin, 2006), this study centres on the dimensions of temporality, sociality, and place. This lens facilitated an in-depth examination of how teachers crafted personal and professional identities through unstructured narrative accounts, positioning the spatial context not merely as a setting but as integral to meaning-making (Barkhuizen et al., 2024). Content posts and comments capture a pivotal aspect of the remote teaching transition: when and how it began, the evolution of instructional strategies, adjustments to routines, and the integration of digital tools. Teachers also recounted broader concerns, such as sustaining student engagement, involving parents, building peer support systems, and navigating disparities in access shaped by diverse home contexts. As curated, publicly shared narratives, these postings, as narrative artefacts, offered detailed, localised insight into pedagogical responses and emotional strain during the pandemic. Through this narrative approach, the study reveals how teachers reconfigured their roles, responded creatively to technological and logistical constraints, and mobilised both individual and collective resources to ensure the continuity of learning in times of crisis.</w:t>
      </w:r>
    </w:p>
    <w:p w14:paraId="2715FE38" w14:textId="77777777" w:rsidR="00F72780" w:rsidRDefault="00F72780" w:rsidP="00F72780">
      <w:pPr>
        <w:pStyle w:val="Newparagraph"/>
        <w:jc w:val="both"/>
      </w:pPr>
      <w:r>
        <w:t>Data analysis followed a narrative enquiry process guided by interconnected dimensions of time, relationships, and place, aiming to understand how teachers interpreted their remote teaching experiences (Golombek &amp; Johnson, 2021; Wei, 2021). The posting materials and comments were first analysed using open coding to identify recurring themes, which were then woven into coherent storylines reflecting the individual journeys of adaptation and resilience. Particular attention was paid to how teachers responded to challenges related to digital access, student motivation, and instructional continuity in the sociocultural context of the madrasah. Thematic elements included flexible scheduling, imaginative application of low-bandwidth tools such as WhatsApp, collaboration with guardians, and peer-led instructional approaches. These narratives were interpreted through a resilience lens to reveal how teachers adapted to disruptions and how their professional identities evolved (De Costa et al., 2021; Barkhuizen &amp; Consoli, 2021). Emphasising personal agency, community support, and contextual factors, the findings offer valuable insights into the multifaceted nature of teacher resilience during emergency remote teaching in resource-constrained settings.</w:t>
      </w:r>
    </w:p>
    <w:p w14:paraId="11C66C5C" w14:textId="77777777" w:rsidR="00F72780" w:rsidRDefault="00F72780" w:rsidP="00F72780">
      <w:pPr>
        <w:pStyle w:val="Heading1"/>
      </w:pPr>
      <w:r>
        <w:t>Findings and Discussions</w:t>
      </w:r>
    </w:p>
    <w:p w14:paraId="0437B9E0" w14:textId="77777777" w:rsidR="00F72780" w:rsidRDefault="00F72780" w:rsidP="00F72780">
      <w:pPr>
        <w:pStyle w:val="Heading2"/>
      </w:pPr>
      <w:r>
        <w:t>Temporality – Resilience Through Time</w:t>
      </w:r>
    </w:p>
    <w:p w14:paraId="68E27F8B" w14:textId="77777777" w:rsidR="00F72780" w:rsidRDefault="00F72780" w:rsidP="00F72780">
      <w:pPr>
        <w:pStyle w:val="Paragraph"/>
        <w:jc w:val="both"/>
      </w:pPr>
      <w:r>
        <w:t>During the initial phase of the pandemic, language teaching in Mts faced unparalleled upheaval as teachers dealt with unexpected shutdowns and a rapid move to online instruction. For many, this period was marked by confusion, anxiety, and a steep learning curve, as they struggled to transition from face-to-face classrooms to virtual environments without prior training or institutional support. T5 from Maluku described how T5 had to quickly abandon T5’s traditional lecture-based approach and experiment with voice-based applications like Handy Talky to maintain interaction with students who did not have stable Internet access. Simultaneously, T2 from Bengkulu uploaded short instructional videos on YouTube to simulate real-time explanations that students had previously received in class. Despite these new challenges, teachers have improved their digital skills through online resources, peer exchanges, and experiments. T4’s transition from struggling with the Google Classroom interface to effectively using it in lessons illustrates this progression. T4 later adopted it to circulate instructional content, coordinate scholarly discussions, and consolidate assessment deliverables.</w:t>
      </w:r>
    </w:p>
    <w:p w14:paraId="5443E80A" w14:textId="77777777" w:rsidR="00F72780" w:rsidRDefault="00F72780" w:rsidP="00F72780">
      <w:pPr>
        <w:pStyle w:val="Newparagraph"/>
        <w:jc w:val="both"/>
      </w:pPr>
      <w:r>
        <w:t>Over time, planning routines have evolved from reactive and chaotic attempts to more structured and intentional approaches, with teachers developing weekly schedules, recording reusable instructional content, and creating asynchronous activities that allow flexibility for students to face connectivity issues. T1 from Surabaya restructured T1’s lesson pacing to include shorter video lectures followed by guided practice tasks, recognising that prolonged synchronous sessions were neither feasible nor effective given the varied home conditions of T1’s students. Teaching methods became more varied as teachers adopted multimedia platforms such as TikTok, YouTube Shorts, and Facebook Videos, encouraging students to create content that boosted their language skills and creative expression. T2 observed that T2’s students thrived when producing instructional videos on daily chores using straightforward English to improve verbal communication and self-reliance. As weeks turned into months, teachers noted a transformative evolution in their identities, moving beyond knowledge dissemination to become guides for autonomous learning and emotional support. T5 argued that overcoming obstacles deepened T5’s sense of compassion, reaffirming the critical role of interpersonal ties in virtual spaces. T2 confirmed T2’s improved steadiness in ambiguous scenarios and an advanced aptitude for directing diverse classroom interactions in T2’s self-reflection. These personal and professional evolutions underscored the resilience embedded in their narratives, revealing how the passage of time played a crucial role in shaping not only their teaching practices but also their perceptions of what it meant to be a language teacher in crisis contexts.</w:t>
      </w:r>
    </w:p>
    <w:p w14:paraId="4C299ABA" w14:textId="77777777" w:rsidR="00F72780" w:rsidRDefault="00F72780" w:rsidP="00F72780">
      <w:pPr>
        <w:pStyle w:val="Newparagraph"/>
        <w:jc w:val="both"/>
      </w:pPr>
      <w:r>
        <w:t>As the crisis phase of remote teaching transitioned into a sustained remote teaching framework, teachers refined their methods and became unconsciously competent by integrating student and parental feedback to enhance their engagement and accessibility. T1 formulated a flexible educational framework that displaces traditional timetables with a blend of independent offline coursework and a live digital pedagogy. It ensured structured flexibility, prioritising inclusivity for students with unreliable Internet access. This adaptation was echoed by T4, who developed a system of staggered submissions and flexible deadlines to accommodate varying levels of digital literacy among T4’s students and their families. The evolution of instructional strategies has become increasingly sophisticated, with teachers experimenting with interactive tools such as Google Forms for quizzes, WhatsApp voice notes for oral assessments, and even printed materials for students who could not engage digitally. T2 recognised that not all students had access to smartphones and designed alternative assessment formats, such as audio recordings and written reflections, which could be submitted via multiple channels. This growing responsiveness to diverse student needs was accompanied by a deeper awareness of the sociocultural dimensions of teaching, particularly in madrasah, where character education and community values are central to the curriculum.</w:t>
      </w:r>
    </w:p>
    <w:p w14:paraId="7321BC44" w14:textId="77777777" w:rsidR="00F72780" w:rsidRDefault="00F72780" w:rsidP="00F72780">
      <w:pPr>
        <w:pStyle w:val="Newparagraph"/>
        <w:jc w:val="both"/>
      </w:pPr>
      <w:r>
        <w:t>T5 emphasised how T5 intentionally wove themes of resilience, patience, and gratitude into T5’s lessons, aligning them with the broader educational mission of T5’s institution while also addressing the emotional toll of isolation and uncertainty. Teachers have observed a progressive transformation from perceiving remote teaching as a transient inconvenience to embracing it as a catalyst for pedagogical innovation and sustained professional growth. T4, formerly sceptical about technological integration, proactively investigated blended learning frameworks, asserting that the adaptability and digital proficiency cultivated during this period will yield enduring benefits for teachers and students in post-pandemic contexts. Their reflections revealed a complex interplay between past experiences, present adaptations, and future aspirations, demonstrating how time shaped instructional resilience and an evolving sense of purpose.</w:t>
      </w:r>
    </w:p>
    <w:p w14:paraId="70406FB7" w14:textId="77777777" w:rsidR="00F72780" w:rsidRDefault="00F72780" w:rsidP="00F72780">
      <w:pPr>
        <w:pStyle w:val="Displayedquotation"/>
        <w:jc w:val="both"/>
      </w:pPr>
      <w:r>
        <w:t>Distance learning was incredibly boring, with everyone just staring at screens and barely speaking. But then, I had a simple idea to use a handy talky app, which completely changed everything for us. Suddenly, we were all actually talking and listening to each other again, making learning fun even when we were still stuck at home (T5).</w:t>
      </w:r>
    </w:p>
    <w:p w14:paraId="730AB8C9" w14:textId="77777777" w:rsidR="00F72780" w:rsidRDefault="00F72780" w:rsidP="00F72780">
      <w:pPr>
        <w:pStyle w:val="Newparagraph"/>
        <w:jc w:val="both"/>
      </w:pPr>
      <w:r>
        <w:t>T5 expressed pride in discovering new ways to reach students, despite the limited resources available. T2 recognised that the experience had irrevocably transformed T2’s perspective on T2’s professional role, fostering greater reflexivity, adaptability, and a focus on student needs. The temporal dimension of these resilience narratives underscores how perseverance, critical reflection, and gradual progress culminate in a reinvigorated sense of agency and professional identity, demonstrating that growth remains attainable for teachers navigating adversity when institutional support is available.</w:t>
      </w:r>
    </w:p>
    <w:p w14:paraId="7D5FFA37" w14:textId="77777777" w:rsidR="00F72780" w:rsidRDefault="00F72780" w:rsidP="00F72780">
      <w:pPr>
        <w:pStyle w:val="Heading2"/>
      </w:pPr>
      <w:r>
        <w:t>Sociality – Relationships That Sustained Teaching</w:t>
      </w:r>
    </w:p>
    <w:p w14:paraId="660F1247" w14:textId="77777777" w:rsidR="00F72780" w:rsidRDefault="00F72780" w:rsidP="00F72780">
      <w:pPr>
        <w:pStyle w:val="Paragraph"/>
        <w:jc w:val="both"/>
      </w:pPr>
      <w:r>
        <w:t>The transition to remote teaching placed immense pressure on teacher-student interactions, as maintaining meaningful engagement became a central challenge in the absence of in-person communication. Faced with these restrictions, Indonesian language teachers turned to digital platforms such as WhatsApp, Google Classroom, and YouTube, employing asynchronous and synchronous communication tools to mimic the immediacy of conventional classrooms and preserve student engagement in the learning process. T1, in the first place, utilised Microsoft Teams not only for live lessons but also to foster collaborative learning, while using WhatsApp to maintain informal contact with T1’s students, creating a sense of continuity and familiarity. Beyond academic rigour, T2 endorses emotional connectivity by addressing students’ aspirational trajectories and psychosocial needs through dialogue.</w:t>
      </w:r>
    </w:p>
    <w:p w14:paraId="6B3D2933" w14:textId="77777777" w:rsidR="00F72780" w:rsidRDefault="00F72780" w:rsidP="00F72780">
      <w:pPr>
        <w:pStyle w:val="Newparagraph"/>
        <w:jc w:val="both"/>
      </w:pPr>
      <w:r>
        <w:t>It helped alleviate the isolation experienced by many students during the lockdown. To address connectivity barriers, T5 engineered a voice-based system that mirrored walkie-talkie interactions, offering a low-bandwidth solution that enhanced engagement among students struggling with video conferencing. This approach not only improved accessibility but also strengthened the affective dimension of teaching, reinforcing student motivation through personalised real-time feedback. Cross-regional pedagogical reports underscore the criticality of frequent empathic interaction in fostering sustained academic interest and task accountability, especially for students from underprivileged demographics or those subjected to limited guardianship. In this context, sociality emerged not merely as a pedagogical strategy but also as a lifeline—an essential mechanism through which teachers sustained both instructional quality and emotional connection in an otherwise impersonal digital landscape.</w:t>
      </w:r>
    </w:p>
    <w:p w14:paraId="24626996" w14:textId="77777777" w:rsidR="00F72780" w:rsidRDefault="00F72780" w:rsidP="00F72780">
      <w:pPr>
        <w:pStyle w:val="Newparagraph"/>
        <w:jc w:val="both"/>
      </w:pPr>
      <w:r>
        <w:t>Collaboration between parents and school communities is pivotal in bridging the gap between home and school, particularly when students are expected to manage their learning without direct supervision. Valuing collaborative partnerships with parents, T2 ensured regular correspondence on students’ scholastic achievements while endorsing organised learning methodologies within home contexts. T2 maintained consistent contact with families via WhatsApp groups, sending reminders about assignment deadlines and offering guidance on how parents could effectively support their children’s learning. To mitigate the psychological strain of remote teaching, T5 augmented collaborative efforts through virtual parent-teacher meetings, prioritising academic achievement and students’ emotional well-being.</w:t>
      </w:r>
    </w:p>
    <w:p w14:paraId="6E79743C" w14:textId="77777777" w:rsidR="00F72780" w:rsidRDefault="00F72780" w:rsidP="00F72780">
      <w:pPr>
        <w:pStyle w:val="Newparagraph"/>
        <w:jc w:val="both"/>
      </w:pPr>
      <w:r>
        <w:t>Parental facilitation of peer group dialogue was observed in contexts such as those created by T4, wherein children were encouraged to collaborate on shared objectives and group assignments despite spatial constraints. The success of these efforts depended on the strength of relationships built before the pandemic, as teachers with established trust and open lines of communication found it easier to mobilise parental support during remote teaching. School authorities have championed initiatives to foster a cohesive learning environment, including timetabling coordination, strategic distribution of printed resources, and structured follow-ups to mitigate student disengagement. These interwoven layers of collaboration between teachers, parents, and school leaders highlight the importance of social networks in sustaining educational continuity, demonstrating that resilience in remote teaching is not solely an individual endeavour but a collective achievement rooted in mutual support and shared responsibility.</w:t>
      </w:r>
    </w:p>
    <w:p w14:paraId="446D0C58" w14:textId="77777777" w:rsidR="00F72780" w:rsidRDefault="00F72780" w:rsidP="00F72780">
      <w:pPr>
        <w:pStyle w:val="Displayedquotation"/>
        <w:jc w:val="both"/>
      </w:pPr>
      <w:r>
        <w:t>Little we did know, the Local Education Agency had been quietly training our teachers for months on how to use Office 365, getting us ready for a crisis we could not have predicted. On March 16, 2020, the city’s social distancing policy was put in place, and the world changed overnight. Thanks to that early training, however, our lessons did not have to stop, and we could continue learning online from home (T1).</w:t>
      </w:r>
    </w:p>
    <w:p w14:paraId="267F7133" w14:textId="77777777" w:rsidR="00F72780" w:rsidRDefault="00F72780" w:rsidP="00F72780">
      <w:pPr>
        <w:pStyle w:val="Newparagraph"/>
        <w:jc w:val="both"/>
      </w:pPr>
      <w:r>
        <w:t>Peer support among teachers and mentorship networks proved to be another vital dimension of sociality, significantly influencing the effectiveness of remote language teaching during the pandemic. Teachers increasingly recognised peer collaboration as an essential, informal support mechanism for navigating professional and emotional challenges during unstructured technological shifts during the crisis. Colleagues used online forums and WhatsApp groups in which T1 participated to exchange resources, deliberate on pedagogical strategies, and share technical insights, thereby reflecting the organic formation of self-initiated professional learning communities across the sector. In Surabaya, a city where the local government had already introduced Office 365 before the pandemic, veteran teachers mentored their newer colleagues on integrating Office 365 effectively into instruction, demonstrating how pre-existing institutional frameworks facilitated a smoother transition to remote teaching.</w:t>
      </w:r>
    </w:p>
    <w:p w14:paraId="02267438" w14:textId="77777777" w:rsidR="00F72780" w:rsidRDefault="00F72780" w:rsidP="00F72780">
      <w:pPr>
        <w:pStyle w:val="Newparagraph"/>
        <w:jc w:val="both"/>
      </w:pPr>
      <w:r>
        <w:t>Mentorship further extended beyond the scope of individual schools, with centrally coordinated initiatives and benchmarking practices establishing a standardized knowledge corpus that enhanced teaching capabilities across diverse educational landscapes. T3 documented and disseminated T3’s experiences via official platforms, including webinars hosted by the Indonesian Teachers Association (IGI), enriching a growing repository of localised innovations in distance language education. Emotional resilience was strengthened via collaborative networks, as teachers expressed solidarity in mutual support during remote teaching, culminating in a professional identity of perseverance and agility. In the context of disruption, the resilience of language education systems hinged on collaborative networks binding students, caregivers, classmates, and teachers, whose relational interplay constituted a foundational social framework for sustaining meaningful instructional practices.</w:t>
      </w:r>
    </w:p>
    <w:p w14:paraId="18452EC9" w14:textId="77777777" w:rsidR="00F72780" w:rsidRDefault="00F72780" w:rsidP="00F72780">
      <w:pPr>
        <w:pStyle w:val="Heading2"/>
      </w:pPr>
      <w:r>
        <w:t>Place – Contextual Realities Shaping Resilience</w:t>
      </w:r>
    </w:p>
    <w:p w14:paraId="31208F78" w14:textId="77777777" w:rsidR="00F72780" w:rsidRDefault="00F72780" w:rsidP="00F72780">
      <w:pPr>
        <w:pStyle w:val="Paragraph"/>
        <w:jc w:val="both"/>
      </w:pPr>
      <w:r>
        <w:t>In remote language teaching in Indonesian Madrasah, the theme of place emerged as a critical factor shaping teachers’ resilience, particularly because of the geographical and infrastructural disparities that define their environments. T5 from Masohi, Maluku, operated in regions where stable Internet connectivity was a luxury, with many students relying on patchy 3G signals or intermittent electricity, making synchronous learning almost impossible. Rather than allowing these limitations to hinder instruction, T5 creatively used voice-based applications such as Handy Talky, a walkie-talkie-style tool that mimicked real-time conversation without consuming substantial amounts of data. This adaptation addressed technological constraints and transformed the way interaction occurred, fostering a sense of immediacy and engagement that text-based platforms, such as WhatsApp, cannot provide, thus demonstrating how place-bound realities spurred innovation in pedagogical design.</w:t>
      </w:r>
    </w:p>
    <w:p w14:paraId="492CACC9" w14:textId="77777777" w:rsidR="00F72780" w:rsidRDefault="00F72780" w:rsidP="00F72780">
      <w:pPr>
        <w:pStyle w:val="Newparagraph"/>
        <w:jc w:val="both"/>
      </w:pPr>
      <w:r>
        <w:t>Similarly, T1 faced challenges related to student familiarity with digital tools, especially Google Classroom, which many students had never used before the pandemic. To bridge this gap, T1 provided step-by-step tutorials and relied heavily on WhatsApp for communication, recognising that the platform’s widespread use among students made it a more accessible entry point for online learning. In Curup, T2 encountered additional obstacles, including limited parental involvement and inconsistent access to smartphones, prompting T2 to diversify T2’s instructional strategies by combining YouTube videos for content delivery, WhatsApp for coordination, and Google Classroom for interactive discussions. Each decision was deeply influenced by the socio-technical landscape in which the students lived. These examples illustrate how the physical and digital geography of each teacher’s location directly informed their instructional choices, revealing a pattern of resilience rooted in contextual awareness and adaptive flexibility. Furthermore, institutional expectations within Madrasah environments added another layer of complexity, as many teachers felt an added responsibility to uphold religious values and character education while navigating remote settings, often integrating moral lessons into language tasks to maintain alignment with the school’s mission.</w:t>
      </w:r>
    </w:p>
    <w:p w14:paraId="51ED6BB7" w14:textId="77777777" w:rsidR="00F72780" w:rsidRDefault="00F72780" w:rsidP="00F72780">
      <w:pPr>
        <w:pStyle w:val="Newparagraph"/>
        <w:jc w:val="both"/>
      </w:pPr>
      <w:r>
        <w:t>The home environment has become a new and unpredictable learning space for teachers and students, further complicating the implementation of effective remote teaching methods. T4 observed that many of T4’s students came from low-income households where multiple siblings shared a single smartphone, forcing him to rethink assignment formats and submission deadlines to accommodate asynchronous learning. T4 allowed students to submit written work via photos or voice notes, understanding that rigid digital requirements would exclude students with limited resources. Additionally, teachers themselves were not immune to these domestic challenges. T1 described having to teach from a small bedroom with family members nearby, often needing pause sessions because of household noise or distractions. However, T1 maintained a structured routine to model discipline for T1’s students, despite the informal setting. Blending personal and professional spaces also affected students’ ability to focus, with many reporting difficulties concentrating due to cramped living conditions or family responsibilities.</w:t>
      </w:r>
    </w:p>
    <w:p w14:paraId="1C4A3D60" w14:textId="77777777" w:rsidR="00F72780" w:rsidRDefault="00F72780" w:rsidP="00F72780">
      <w:pPr>
        <w:pStyle w:val="Displayedquotation"/>
        <w:jc w:val="both"/>
      </w:pPr>
      <w:r>
        <w:t>I was aware that our lessons were so boring that we would completely zone out and lose focus. I noticed that my students were all addicted to watching short, engaging videos online. So, I started making my own lessons, creating incredible, episodic videos that always left us wanting more. I found they were actually excited for the next part of the story, and nobody got bored (T2).</w:t>
      </w:r>
    </w:p>
    <w:p w14:paraId="672142F2" w14:textId="77777777" w:rsidR="00F72780" w:rsidRDefault="00F72780" w:rsidP="00F72780">
      <w:pPr>
        <w:pStyle w:val="Newparagraph"/>
        <w:jc w:val="both"/>
      </w:pPr>
      <w:r>
        <w:t>T2 incorporated short, engaging video lessons instead of long lectures to maintain attention and reduce cognitive fatigue. Moreover, cultural norms in some communities placed higher expectations on children regarding domestic duties, which impacted study time and participation rates, particularly among female students, who were often expected to assist with childcare and housework. Teachers responded by designing flexible task options that could be completed offline and submitted later, acknowledging the varied home dynamics in which they were embedded. These adjustments reflected a deep sensitivity to the lived realities of their students, reinforcing the idea that resilience in remote teaching is not just about adapting to technology but also about understanding and responding to the broader sociocultural contexts that shape learning experiences. Once considered separate from formal Education, the home has become a co-constructed learning space, blurring the traditional boundaries between school and family life, and requiring teachers to navigate new emotional and logistical terrains with empathy and creativity.</w:t>
      </w:r>
    </w:p>
    <w:p w14:paraId="02122B2A" w14:textId="77777777" w:rsidR="00F72780" w:rsidRDefault="00F72780" w:rsidP="00F72780">
      <w:pPr>
        <w:pStyle w:val="Newparagraph"/>
        <w:jc w:val="both"/>
      </w:pPr>
      <w:r>
        <w:t>Furthermore, the availability and familiarity of digital tools played a crucial role in shaping how effectively teachers could implement remote teaching, with platform choice often dictated by accessibility rather than pedagogical idealism. T5’s reliance on voice-based apps stemmed not only from necessity but also from the fact that most students already used similar tools informally, reducing the learning curve and increasing their engagement. Similarly, T1 leveraged WhatsApp’s ubiquity to send reminders, share links, and conduct quick Q&amp;A sessions, knowing that students were more likely to check messages on this platform than on email or learning management systems. In urban centers like Surabaya and Yogyakarta, where digital infrastructure was better, teachers had access to a broader range of tools, such as Office 365, Google Meet, and even quiz-based platforms like Kahoot! and Quizizz, thus enabling the creation of more interactive and gamified learning experiences. However, disparities existed, as not all students had equal access to high-speed Internet or compatible devices, necessitating a hybrid approach that combines synchronous and asynchronous methods of instruction. Teachers consistently demonstrated resilience by innovatively repurposing familiar technologies, for example, using TikTok or Instagram Reels to deliver short grammar explanations or vocabulary lessons, capitalising on students’ existing digital habits to enhance language acquisition. Despite their lack of formal training in distance education, these teachers exhibited remarkable adaptability. They often experimented with different tools until they found what worked best in their context, illustrating how technological resilience is deeply tied to place-based affordances and constraints.</w:t>
      </w:r>
    </w:p>
    <w:p w14:paraId="0E0E974B" w14:textId="77777777" w:rsidR="00F72780" w:rsidRDefault="00F72780" w:rsidP="00F72780">
      <w:pPr>
        <w:pStyle w:val="Newparagraph"/>
        <w:jc w:val="both"/>
      </w:pPr>
      <w:r>
        <w:t>Institutional support varies widely, with some schools providing minimal guidance or technical assistance, leaving teachers to rely on peer networks or self-directed learning to develop their digital skills. Others, such as T1’s school in Surabaya, benefited from local government partnerships with Microsoft, which granted them access to Office 365 licenses and structured digital learning environments that eased the transition to remote teaching. These varying levels of institutional backing further underscored the uneven playing field in which teachers operated, highlighting the intersection of policy, infrastructure, and individual agency in shaping educational outcomes during the pandemic. Ultimately, the theme of place revealed that resilience in remote language teaching cannot be understood in isolation from the physical, social, and technological landscapes in which it occurs; it is a dynamic process shaped by the constant negotiation between available resources, cultural expectations, and the evolving needs of students in crisis.</w:t>
      </w:r>
    </w:p>
    <w:p w14:paraId="60CED217" w14:textId="77777777" w:rsidR="00F72780" w:rsidRDefault="00F72780" w:rsidP="00F72780">
      <w:pPr>
        <w:pStyle w:val="Heading2"/>
      </w:pPr>
      <w:r>
        <w:t>Discussion – Understanding Resilience Through Narrative Lenses</w:t>
      </w:r>
    </w:p>
    <w:p w14:paraId="795EB5E3" w14:textId="77777777" w:rsidR="00F72780" w:rsidRDefault="00F72780" w:rsidP="00F72780">
      <w:pPr>
        <w:pStyle w:val="Paragraph"/>
        <w:jc w:val="both"/>
      </w:pPr>
      <w:r>
        <w:t>The narratives of Indonesian Madrasah teachers during remote teaching reveal resilience as a dynamic, multidimensional construct shaped by the interplay of temporality, sociality, and place, where evolving temporal trajectories (Clandinin, 2006) enable teachers to transition from initial disorientation to structured adaptation, as seen in T5’s shift from traditional lectures to voice-based apps and T2’s YouTube tutorials. This reflects resilience rooted in incremental learning and reflective practices (Cahyadi et al., 2022; Tao &amp; Gao, 2022). Temporality underscored how resilience unfolded over phases: early reactive experimentation gave way to refined strategies, such as hybrid scheduling and staggered deadlines, aligning with Weidlich and Kalz’s (2021) observation that prolonged crisis exposure fosters pedagogical innovation. Teachers like T1 leveraged Google Classroom not only for content delivery but also to nurture collaborative discourse, illustrating how time-catalysed professional identity shifts from knowledge transmitters to facilitators of autonomy. Sociality has emerged as a lifeline, with relational networks—such as peer mentorship, parental collaboration, and student empathy—sustaining engagement amidst isolation. T2’s WhatsApp-based emotional check-ins and T5’s virtual parent-teacher meetings mitigated motivational declines, resonating with ideas from Zhang and Luo (2023), emphasising social support as a buffer against burnout, while institutional voids were bridged through grassroots initiatives such as the Indonesian Teachers Association (IGI) webinars, where teachers co-constructed resilience via shared problem-solving (Barkhuizen &amp; Consoli, 2021).</w:t>
      </w:r>
    </w:p>
    <w:p w14:paraId="4174B722" w14:textId="77777777" w:rsidR="00F72780" w:rsidRDefault="00F72780" w:rsidP="00F72780">
      <w:pPr>
        <w:pStyle w:val="Newparagraph"/>
        <w:jc w:val="both"/>
      </w:pPr>
      <w:r>
        <w:t>Meanwhile, place dictated adaptive agency, as infrastructural disparities compelled context-driven solutions; T5’s Handy Talky in low-connectivity Maluku and T4’s asynchronous photo submissions in Palopo exemplified how teachers repurposed familiar technologies to align with localised realities, echoing the assertion of Juárez-Díaz and Perales (2021) that remote teaching success hinges on contextual responsiveness rather than idealised digital frameworks. The interplay of these dimensions manifests in teachers’ dual roles as innovators and cultural custodians, as Islamic values are woven into lessons on resilience and gratitude, merging pedagogical and moral imperatives (Habibi et al., 2021). Home environments, reconfigured as hybrid learning spaces, demand empathy for students juggling domestic duties, underscoring the sociocultural embeddedness of resilience (Savage, 2020). Comparatively, these findings extend the existing literature by highlighting how relational commitment and contextual improvisation, rather than top-down institutional support, became the primary resilience drivers in resource-constrained settings, diverging from the critique of Bozkurt and Sharma (2020) that remote teaching is pedagogically inferior by demonstrating its potential as an adaptive extension of distance learning traditions. The synthesis of time, relationships, and place illuminates resilience not as static endurance but as a negotiated process of agency, wherein teachers navigated uncertainty through iterative learning, communal solidarity, and place-sensitive pragmatism. It affirms the need for policies that amplify grassroots innovation and equitable resource distribution during future crises (Muhaji et al., 2023; Rasmitadila et al., 2020).</w:t>
      </w:r>
    </w:p>
    <w:p w14:paraId="35A25BF5" w14:textId="77777777" w:rsidR="00F72780" w:rsidRDefault="00F72780" w:rsidP="00F72780">
      <w:pPr>
        <w:pStyle w:val="Heading2"/>
      </w:pPr>
      <w:r>
        <w:t>Implications</w:t>
      </w:r>
    </w:p>
    <w:p w14:paraId="30AEA038" w14:textId="77777777" w:rsidR="00F72780" w:rsidRDefault="00F72780" w:rsidP="00F72780">
      <w:pPr>
        <w:pStyle w:val="Paragraph"/>
        <w:jc w:val="both"/>
      </w:pPr>
      <w:r>
        <w:t>The findings of this study have significant implications for multiple stakeholders in Education, beginning with policymakers, who must prioritise equitable digital infrastructure and robust emergency preparedness frameworks to mitigate the stark disparities in technological access that exacerbated educational inequities during the pandemic, particularly in rural and marginalised regions such as Maluku and South Sulawesi (Cahyadi et al., 2022; Muhaji et al., 2023). For teacher education, the narratives underscore the urgency of integrating digital literacy and crisis-responsive pedagogies into pre-service training programs, as teachers like T5 and T2 rely heavily on self-taught skills and peer mentorship to navigate platforms such as WhatsApp and Google Classroom, highlighting systemic gaps in formal preparation for remote teaching (Weidlich &amp; Kalz, 2021).</w:t>
      </w:r>
    </w:p>
    <w:p w14:paraId="3645527F" w14:textId="77777777" w:rsidR="00F72780" w:rsidRDefault="00F72780" w:rsidP="00F72780">
      <w:pPr>
        <w:pStyle w:val="Newparagraph"/>
        <w:jc w:val="both"/>
      </w:pPr>
      <w:r>
        <w:t>At the school leadership level, fostering collaborative ecosystems, such as peer support networks, structured parental engagement, and institutional partnerships with tech providers, emerges as critical for sustaining teacher well-being and pedagogical innovation, as exemplified by T1’s success in Surabaya, where access to Office 365 and mentorship programs eased the transition to hybrid learning models (Baguri et al., 2022; Rasmitadila et al., 2020). Additionally, the study advocates for future research to expand narrative enquiry methodologies into diverse educational settings, including non-Islamic and secular institutions, to uncover contextual nuances in resilience strategies and challenge the homogenisation of global ERT discourses, thereby enriching our understanding of how place-specific sociocultural and infrastructural factors shape adaptive practices (Barkhuizen and Consoli 2021; Tao and Gao 2022). Collectively, these implications demand a reimagining of education systems as dynamic, interconnected networks in which policy, pedagogy, leadership, and research collaboratively address the compounded challenges of digital divides, teacher agency, and crisis responsiveness, ensuring that resilience is cultivated not merely as an individual trait but as a systemic imperative rooted in equity and solidarity.</w:t>
      </w:r>
    </w:p>
    <w:p w14:paraId="1C7A96EC" w14:textId="77777777" w:rsidR="00F72780" w:rsidRDefault="00F72780" w:rsidP="00F72780">
      <w:pPr>
        <w:pStyle w:val="Heading1"/>
      </w:pPr>
      <w:r>
        <w:t>Conclusion</w:t>
      </w:r>
    </w:p>
    <w:p w14:paraId="25FCABD6" w14:textId="77777777" w:rsidR="00F72780" w:rsidRDefault="00F72780" w:rsidP="00F72780">
      <w:pPr>
        <w:pStyle w:val="Paragraph"/>
        <w:jc w:val="both"/>
      </w:pPr>
      <w:r>
        <w:t>This study aimed to understand how language teachers in Indonesian Islamic secondary schools narrated their experiences of resilience during emergency remote teaching and how these experiences unfolded across time (temporality), relationships (sociality), and context (place). The findings reveal that teacher resilience is not a static trait but a dynamic, evolving process shaped by personal agency, relational support, and contextual constraints. Teachers demonstrated resilience through adaptive instructional strategies, emotional perseverance, and creative problem-solving, often transforming their pedagogical identities in response to the unprecedented demands of remote teaching during the pandemic. Their narratives illustrate a journey from initial uncertainty and resistance to gradual adaptation and, in some cases, innovation, highlighting how the temporal dimension of their experiences influences shifts in mindset, instructional delivery, and professional self-perception.</w:t>
      </w:r>
    </w:p>
    <w:p w14:paraId="6958EAE2" w14:textId="77777777" w:rsidR="00F72780" w:rsidRDefault="00F72780" w:rsidP="00F72780">
      <w:pPr>
        <w:pStyle w:val="Newparagraph"/>
        <w:jc w:val="both"/>
      </w:pPr>
      <w:r>
        <w:t>Furthermore, the analysis showed that these experiences are deeply embedded within social and spatial contexts. Relationships with students, parents, and colleagues are crucial for sustaining motivation and instructional continuity, particularly in environments marked by limited digital access and infrastructure disparities. Teachers navigated these challenges by leveraging familiar communication platforms, designing flexible learning tasks, fostering peer collaboration, and demonstrating an acute awareness of the sociocultural and technological realities in which their students live. Place emerged as a powerful determinant of resilience, with rural-urban divides in Internet connectivity, device availability, and institutional support shaping the feasibility and effectiveness of remote teaching. This study affirms that teacher resilience in crisis contexts is neither individual nor systemic. It is a situated, relational, and temporal phenomenon that requires recognition of the complex, interconnected dimensions in which teachers live and teach. These insights contribute to broader discussions on remote pedagogy, emphasising the need for policies and professional development initiatives responsive to the lived realities of teachers and students in diverse, resource-constrained settings.</w:t>
      </w:r>
    </w:p>
    <w:p w14:paraId="1337DE82" w14:textId="77777777" w:rsidR="00F72780" w:rsidRDefault="00F72780" w:rsidP="00F72780">
      <w:pPr>
        <w:pStyle w:val="Heading1"/>
      </w:pPr>
      <w:r>
        <w:t>Disclosure statement</w:t>
      </w:r>
    </w:p>
    <w:p w14:paraId="615FE51C" w14:textId="77777777" w:rsidR="00F72780" w:rsidRDefault="00F72780" w:rsidP="00CA6C15">
      <w:pPr>
        <w:pStyle w:val="Acknowledgements"/>
        <w:jc w:val="both"/>
      </w:pPr>
      <w:r>
        <w:t>The authors reported no potential conflict of interest.</w:t>
      </w:r>
    </w:p>
    <w:p w14:paraId="6CEE2BF0" w14:textId="5CE3D608" w:rsidR="00194C28" w:rsidRDefault="00194C28" w:rsidP="00194C28">
      <w:pPr>
        <w:pStyle w:val="Heading1"/>
      </w:pPr>
      <w:r w:rsidRPr="00194C28">
        <w:t>Ethical approval</w:t>
      </w:r>
    </w:p>
    <w:p w14:paraId="081889A8" w14:textId="3BFA9DA7" w:rsidR="00194C28" w:rsidRDefault="00194C28" w:rsidP="00CA6C15">
      <w:pPr>
        <w:pStyle w:val="Acknowledgements"/>
        <w:jc w:val="both"/>
      </w:pPr>
      <w:r w:rsidRPr="00194C28">
        <w:t>Ethical approval was obtained from the A.M. Sangadji State Islamic University Ethics Committee. Before taking part, all participants provided written informed consent for data recording and for publication of anonymised findings.</w:t>
      </w:r>
    </w:p>
    <w:p w14:paraId="36E552BE" w14:textId="77777777" w:rsidR="00F72780" w:rsidRDefault="00F72780" w:rsidP="00F72780">
      <w:pPr>
        <w:pStyle w:val="Heading1"/>
      </w:pPr>
      <w:r>
        <w:t>Notes on contributor</w:t>
      </w:r>
    </w:p>
    <w:p w14:paraId="16A40843" w14:textId="77777777" w:rsidR="00F72780" w:rsidRDefault="00F72780" w:rsidP="00F72780">
      <w:pPr>
        <w:pStyle w:val="Notesoncontributors"/>
        <w:jc w:val="both"/>
      </w:pPr>
      <w:r>
        <w:rPr>
          <w:b/>
          <w:bCs/>
          <w:i/>
          <w:iCs/>
        </w:rPr>
        <w:t>Rohib Adrianto Sangia</w:t>
      </w:r>
      <w:r>
        <w:t xml:space="preserve"> is a PhD candidate at the University of Aberdeen, School of Language, Literature, Music, and Visual Culture. Prior to his doctoral studies, he maintained an extensive pedagogical career spanning nearly two decades as an English language educator within Indonesian Islamic educational institutions. Concurrently, the author serves as a professional linguist at Dee Discourse Limited (https://dee.scot), specialising in Bahasa Indonesia, the 10</w:t>
      </w:r>
      <w:r>
        <w:rPr>
          <w:vertAlign w:val="superscript"/>
        </w:rPr>
        <w:t>th</w:t>
      </w:r>
      <w:r>
        <w:t xml:space="preserve"> UNESCO-recognised official modern language.</w:t>
      </w:r>
    </w:p>
    <w:p w14:paraId="2DDD9F86" w14:textId="77777777" w:rsidR="00F72780" w:rsidRDefault="00F72780" w:rsidP="00F72780">
      <w:pPr>
        <w:pStyle w:val="Notesoncontributors"/>
        <w:jc w:val="both"/>
      </w:pPr>
      <w:r>
        <w:t xml:space="preserve"> </w:t>
      </w:r>
      <w:r>
        <w:rPr>
          <w:b/>
          <w:bCs/>
          <w:i/>
          <w:iCs/>
        </w:rPr>
        <w:t>La Rajab</w:t>
      </w:r>
      <w:r>
        <w:t xml:space="preserve"> serves as an Associate Professor at A.M. Sangadji State Islamic University, holding a senior lecturer position within the Islamic Educational Management Programme at the Faculty of Education. With over two decades of professional experience, he also established and directs the Iftitah Al-Ikhlas Maluku Foundation, which focuses specifically on providing Early Childhood Islamic Education across the Maluku region.</w:t>
      </w:r>
    </w:p>
    <w:p w14:paraId="2A3D9F76" w14:textId="77777777" w:rsidR="00F72780" w:rsidRDefault="00F72780" w:rsidP="00F72780">
      <w:pPr>
        <w:pStyle w:val="Heading1"/>
      </w:pPr>
      <w:r>
        <w:t>Orchid</w:t>
      </w:r>
    </w:p>
    <w:p w14:paraId="191B4C29" w14:textId="77777777" w:rsidR="00F72780" w:rsidRDefault="00F72780" w:rsidP="00F72780">
      <w:pPr>
        <w:pStyle w:val="Acknowledgements"/>
      </w:pPr>
      <w:r>
        <w:t xml:space="preserve">Rohib Adrianto Sangia </w:t>
      </w:r>
      <w:hyperlink r:id="rId8" w:history="1">
        <w:r>
          <w:rPr>
            <w:rStyle w:val="Hyperlink"/>
          </w:rPr>
          <w:t>https://orcid.org/0000-0002-4169-9589</w:t>
        </w:r>
      </w:hyperlink>
    </w:p>
    <w:p w14:paraId="47456FA6" w14:textId="77777777" w:rsidR="00F72780" w:rsidRDefault="00F72780" w:rsidP="00F72780">
      <w:pPr>
        <w:pStyle w:val="Heading1"/>
      </w:pPr>
      <w:r>
        <w:t>References</w:t>
      </w:r>
    </w:p>
    <w:p w14:paraId="4DD91A55" w14:textId="77777777" w:rsidR="00F72780" w:rsidRDefault="00F72780" w:rsidP="00F72780">
      <w:pPr>
        <w:pStyle w:val="References"/>
        <w:jc w:val="both"/>
      </w:pPr>
      <w:r>
        <w:t xml:space="preserve">Aguliera, E., &amp; Nightengale-Lee, B. (2020). Emergency Remote Teaching Across Urban and Rural Contexts: Perspectives on Educational Equity. </w:t>
      </w:r>
      <w:r>
        <w:rPr>
          <w:i/>
        </w:rPr>
        <w:t>Information and Learning Science</w:t>
      </w:r>
      <w:r>
        <w:t>,</w:t>
      </w:r>
      <w:r>
        <w:rPr>
          <w:i/>
        </w:rPr>
        <w:t xml:space="preserve"> 121</w:t>
      </w:r>
      <w:r>
        <w:t xml:space="preserve">(5/6), 471-478. </w:t>
      </w:r>
      <w:hyperlink r:id="rId9" w:history="1">
        <w:r>
          <w:rPr>
            <w:rStyle w:val="Hyperlink"/>
            <w:color w:val="0000FF"/>
          </w:rPr>
          <w:t>https://doi.org/10.1108/ILS-04-2020-0100</w:t>
        </w:r>
      </w:hyperlink>
      <w:r>
        <w:rPr>
          <w:color w:val="000000"/>
        </w:rPr>
        <w:t xml:space="preserve"> </w:t>
      </w:r>
    </w:p>
    <w:p w14:paraId="1CD3FF5B" w14:textId="77777777" w:rsidR="00F72780" w:rsidRDefault="00F72780" w:rsidP="00F72780">
      <w:pPr>
        <w:pStyle w:val="References"/>
        <w:jc w:val="both"/>
      </w:pPr>
      <w:r>
        <w:t xml:space="preserve">Althubyani, A. R. (2024). Digital Competence of Teachers and the Factors Affecting Their Competence Level: A Nationwide Mixed-Methods Study. </w:t>
      </w:r>
      <w:r>
        <w:rPr>
          <w:i/>
        </w:rPr>
        <w:t>Sustainability</w:t>
      </w:r>
      <w:r>
        <w:t>,</w:t>
      </w:r>
      <w:r>
        <w:rPr>
          <w:i/>
        </w:rPr>
        <w:t xml:space="preserve"> 16</w:t>
      </w:r>
      <w:r>
        <w:t xml:space="preserve">(7), 2796. </w:t>
      </w:r>
      <w:hyperlink r:id="rId10" w:history="1">
        <w:r>
          <w:rPr>
            <w:rStyle w:val="Hyperlink"/>
            <w:color w:val="0000FF"/>
          </w:rPr>
          <w:t>https://doi.org/10.3390/su16072796</w:t>
        </w:r>
      </w:hyperlink>
      <w:r>
        <w:rPr>
          <w:color w:val="000000"/>
        </w:rPr>
        <w:t xml:space="preserve"> </w:t>
      </w:r>
    </w:p>
    <w:p w14:paraId="0BF7FCAF" w14:textId="77777777" w:rsidR="00F72780" w:rsidRDefault="00F72780" w:rsidP="00F72780">
      <w:pPr>
        <w:pStyle w:val="References"/>
        <w:jc w:val="both"/>
      </w:pPr>
      <w:r>
        <w:t xml:space="preserve">Azhari, B., &amp; Fajri, I. (2022). Distance Learning During the COVID-19 Pandemic: School Closure in Indonesia. </w:t>
      </w:r>
      <w:r>
        <w:rPr>
          <w:i/>
        </w:rPr>
        <w:t>International Journal of Mathematical Education in Science and Technology</w:t>
      </w:r>
      <w:r>
        <w:t>,</w:t>
      </w:r>
      <w:r>
        <w:rPr>
          <w:i/>
        </w:rPr>
        <w:t xml:space="preserve"> 53</w:t>
      </w:r>
      <w:r>
        <w:t xml:space="preserve">(7), 1934-1954. </w:t>
      </w:r>
      <w:hyperlink r:id="rId11" w:history="1">
        <w:r>
          <w:rPr>
            <w:rStyle w:val="Hyperlink"/>
            <w:color w:val="0000FF"/>
          </w:rPr>
          <w:t>https://doi.org/10.1080/0020739X.2021.1875072</w:t>
        </w:r>
      </w:hyperlink>
      <w:r>
        <w:rPr>
          <w:color w:val="000000"/>
        </w:rPr>
        <w:t xml:space="preserve"> </w:t>
      </w:r>
    </w:p>
    <w:p w14:paraId="43A58903" w14:textId="77777777" w:rsidR="00F72780" w:rsidRDefault="00F72780" w:rsidP="00F72780">
      <w:pPr>
        <w:pStyle w:val="References"/>
        <w:jc w:val="both"/>
      </w:pPr>
      <w:r>
        <w:t xml:space="preserve">Baguri, E. M., Roslan, S., Hassan, S. A., Krauss, S. E., &amp; Zaremohzzabieh, Z. (2022). How Do Self-Esteem, Dispositional Hope, Crisis Self-Efficacy, Mattering, and Gender Differences Affect Teacher Resilience during COVID-19 School Closures? </w:t>
      </w:r>
      <w:r>
        <w:rPr>
          <w:i/>
        </w:rPr>
        <w:t>International Journal of Environmental Research and Public Health</w:t>
      </w:r>
      <w:r>
        <w:t>,</w:t>
      </w:r>
      <w:r>
        <w:rPr>
          <w:i/>
        </w:rPr>
        <w:t xml:space="preserve"> 19</w:t>
      </w:r>
      <w:r>
        <w:t xml:space="preserve">(7), 4150. </w:t>
      </w:r>
      <w:hyperlink r:id="rId12" w:history="1">
        <w:r>
          <w:rPr>
            <w:rStyle w:val="Hyperlink"/>
            <w:color w:val="0000FF"/>
          </w:rPr>
          <w:t>https://doi.org/10.3390/ijerph19074150</w:t>
        </w:r>
      </w:hyperlink>
      <w:r>
        <w:rPr>
          <w:color w:val="000000"/>
        </w:rPr>
        <w:t xml:space="preserve"> </w:t>
      </w:r>
    </w:p>
    <w:p w14:paraId="4085FDD9" w14:textId="77777777" w:rsidR="00F72780" w:rsidRDefault="00F72780" w:rsidP="00F72780">
      <w:pPr>
        <w:pStyle w:val="References"/>
        <w:jc w:val="both"/>
      </w:pPr>
      <w:r>
        <w:t xml:space="preserve">Barkhuizen, G., Benson, P., &amp; Chik, A. (2024). </w:t>
      </w:r>
      <w:r>
        <w:rPr>
          <w:i/>
        </w:rPr>
        <w:t>Narrative Inquiry in Language Teaching and Learning Research</w:t>
      </w:r>
      <w:r>
        <w:t xml:space="preserve"> (2nd ed.). Taylor &amp; Francis. </w:t>
      </w:r>
      <w:hyperlink r:id="rId13" w:history="1">
        <w:r>
          <w:rPr>
            <w:rStyle w:val="Hyperlink"/>
            <w:color w:val="0000FF"/>
          </w:rPr>
          <w:t>https://doi.org/10.4324/9781003356394</w:t>
        </w:r>
      </w:hyperlink>
      <w:r>
        <w:rPr>
          <w:color w:val="000000"/>
        </w:rPr>
        <w:t xml:space="preserve"> </w:t>
      </w:r>
    </w:p>
    <w:p w14:paraId="6F684BCA" w14:textId="77777777" w:rsidR="00F72780" w:rsidRDefault="00F72780" w:rsidP="00F72780">
      <w:pPr>
        <w:pStyle w:val="References"/>
        <w:jc w:val="both"/>
      </w:pPr>
      <w:r>
        <w:t xml:space="preserve">Barkhuizen, G., &amp; Consoli, S. (2021). Pushing the Edge in Narrative Inquiry. </w:t>
      </w:r>
      <w:r>
        <w:rPr>
          <w:i/>
        </w:rPr>
        <w:t>System</w:t>
      </w:r>
      <w:r>
        <w:t>,</w:t>
      </w:r>
      <w:r>
        <w:rPr>
          <w:i/>
        </w:rPr>
        <w:t xml:space="preserve"> 102</w:t>
      </w:r>
      <w:r>
        <w:t xml:space="preserve">, 102656. </w:t>
      </w:r>
      <w:hyperlink r:id="rId14" w:history="1">
        <w:r>
          <w:rPr>
            <w:rStyle w:val="Hyperlink"/>
            <w:color w:val="0000FF"/>
          </w:rPr>
          <w:t>https://doi.org/10.1016/j.system.2021.102656</w:t>
        </w:r>
      </w:hyperlink>
      <w:r>
        <w:rPr>
          <w:color w:val="000000"/>
        </w:rPr>
        <w:t xml:space="preserve"> </w:t>
      </w:r>
    </w:p>
    <w:p w14:paraId="0F307C0C" w14:textId="77777777" w:rsidR="00F72780" w:rsidRDefault="00F72780" w:rsidP="00F72780">
      <w:pPr>
        <w:pStyle w:val="References"/>
        <w:jc w:val="both"/>
      </w:pPr>
      <w:r>
        <w:t xml:space="preserve">Beauchamp, G., Hulme, M., Clarke, L., Hamilton, L., &amp; Harvey, J. A. (2021). ‘People miss people’: A Study of School Leadership and Management in the Four Nations of the United Kingdom in the Early Stage of the COVID-19 Pandemic. </w:t>
      </w:r>
      <w:r>
        <w:rPr>
          <w:i/>
        </w:rPr>
        <w:t>Educational Management Administration &amp; Leadership</w:t>
      </w:r>
      <w:r>
        <w:t>,</w:t>
      </w:r>
      <w:r>
        <w:rPr>
          <w:i/>
        </w:rPr>
        <w:t xml:space="preserve"> 49</w:t>
      </w:r>
      <w:r>
        <w:t xml:space="preserve">(3), 375-392. </w:t>
      </w:r>
      <w:hyperlink r:id="rId15" w:history="1">
        <w:r>
          <w:rPr>
            <w:rStyle w:val="Hyperlink"/>
            <w:color w:val="0000FF"/>
          </w:rPr>
          <w:t>https://doi.org/10.1177/1741143220987841</w:t>
        </w:r>
      </w:hyperlink>
      <w:r>
        <w:rPr>
          <w:color w:val="000000"/>
        </w:rPr>
        <w:t xml:space="preserve"> </w:t>
      </w:r>
    </w:p>
    <w:p w14:paraId="52138EFB" w14:textId="77777777" w:rsidR="00F72780" w:rsidRDefault="00F72780" w:rsidP="00F72780">
      <w:pPr>
        <w:pStyle w:val="References"/>
        <w:jc w:val="both"/>
      </w:pPr>
      <w:r>
        <w:t xml:space="preserve">Benson, P. (2021). Space in Narrative Inquiry on Second Language Learning. </w:t>
      </w:r>
      <w:r>
        <w:rPr>
          <w:i/>
        </w:rPr>
        <w:t>System</w:t>
      </w:r>
      <w:r>
        <w:t>,</w:t>
      </w:r>
      <w:r>
        <w:rPr>
          <w:i/>
        </w:rPr>
        <w:t xml:space="preserve"> 102</w:t>
      </w:r>
      <w:r>
        <w:t xml:space="preserve">, 102602. </w:t>
      </w:r>
      <w:hyperlink r:id="rId16" w:history="1">
        <w:r>
          <w:rPr>
            <w:rStyle w:val="Hyperlink"/>
            <w:color w:val="0000FF"/>
          </w:rPr>
          <w:t>https://doi.org/10.1016/j.system.2021.102602</w:t>
        </w:r>
      </w:hyperlink>
      <w:r>
        <w:rPr>
          <w:color w:val="000000"/>
        </w:rPr>
        <w:t xml:space="preserve"> </w:t>
      </w:r>
    </w:p>
    <w:p w14:paraId="53611CFB" w14:textId="77777777" w:rsidR="00F72780" w:rsidRDefault="00F72780" w:rsidP="00F72780">
      <w:pPr>
        <w:pStyle w:val="References"/>
        <w:jc w:val="both"/>
      </w:pPr>
      <w:r>
        <w:t xml:space="preserve">Bergmann, H. F. (2001). “The Silent University”: The Society to Encourage Studies at Home, 1873-1897. </w:t>
      </w:r>
      <w:r>
        <w:rPr>
          <w:i/>
        </w:rPr>
        <w:t>The New England Quarterly</w:t>
      </w:r>
      <w:r>
        <w:t>,</w:t>
      </w:r>
      <w:r>
        <w:rPr>
          <w:i/>
        </w:rPr>
        <w:t xml:space="preserve"> 74</w:t>
      </w:r>
      <w:r>
        <w:t xml:space="preserve">(3), 447-477. </w:t>
      </w:r>
      <w:hyperlink r:id="rId17" w:history="1">
        <w:r>
          <w:rPr>
            <w:rStyle w:val="Hyperlink"/>
            <w:color w:val="0000FF"/>
          </w:rPr>
          <w:t>https://doi.org/10.2307/3185427</w:t>
        </w:r>
      </w:hyperlink>
      <w:r>
        <w:rPr>
          <w:color w:val="000000"/>
        </w:rPr>
        <w:t xml:space="preserve"> </w:t>
      </w:r>
    </w:p>
    <w:p w14:paraId="4FA1B54E" w14:textId="77777777" w:rsidR="00F72780" w:rsidRDefault="00F72780" w:rsidP="00F72780">
      <w:pPr>
        <w:pStyle w:val="References"/>
        <w:jc w:val="both"/>
      </w:pPr>
      <w:r>
        <w:t xml:space="preserve">Bozkurt, A., &amp; Sharma, R. C. (2020). Emergency Remote Teaching in a Time of Global Crisis due to Coronavirus Pandemic. </w:t>
      </w:r>
      <w:r>
        <w:rPr>
          <w:i/>
        </w:rPr>
        <w:t>Asian journal of distance education</w:t>
      </w:r>
      <w:r>
        <w:t>,</w:t>
      </w:r>
      <w:r>
        <w:rPr>
          <w:i/>
        </w:rPr>
        <w:t xml:space="preserve"> 15</w:t>
      </w:r>
      <w:r>
        <w:t xml:space="preserve">(1), i-vi. </w:t>
      </w:r>
      <w:hyperlink r:id="rId18" w:history="1">
        <w:r>
          <w:rPr>
            <w:rStyle w:val="Hyperlink"/>
            <w:color w:val="0000FF"/>
          </w:rPr>
          <w:t>https://doi.org/10.5281/zenodo.3778083</w:t>
        </w:r>
      </w:hyperlink>
      <w:r>
        <w:rPr>
          <w:color w:val="000000"/>
        </w:rPr>
        <w:t xml:space="preserve"> </w:t>
      </w:r>
    </w:p>
    <w:p w14:paraId="09B54F4D" w14:textId="77777777" w:rsidR="00F72780" w:rsidRDefault="00F72780" w:rsidP="00F72780">
      <w:pPr>
        <w:pStyle w:val="References"/>
        <w:jc w:val="both"/>
      </w:pPr>
      <w:r>
        <w:t xml:space="preserve">Cahyadi, A., Hendryadi, Widyastuti, S., &amp; Suryani. (2022). COVID-19, Emergency Remote Teaching Evaluation: the Case of Indonesia. </w:t>
      </w:r>
      <w:r>
        <w:rPr>
          <w:i/>
        </w:rPr>
        <w:t>Education and Information Technologies</w:t>
      </w:r>
      <w:r>
        <w:t>,</w:t>
      </w:r>
      <w:r>
        <w:rPr>
          <w:i/>
        </w:rPr>
        <w:t xml:space="preserve"> 27</w:t>
      </w:r>
      <w:r>
        <w:t xml:space="preserve">(2), 2165-2179. </w:t>
      </w:r>
      <w:hyperlink r:id="rId19" w:history="1">
        <w:r>
          <w:rPr>
            <w:rStyle w:val="Hyperlink"/>
            <w:color w:val="0000FF"/>
          </w:rPr>
          <w:t>https://doi.org/10.1007/s10639-021-10680-3</w:t>
        </w:r>
      </w:hyperlink>
      <w:r>
        <w:rPr>
          <w:color w:val="000000"/>
        </w:rPr>
        <w:t xml:space="preserve"> </w:t>
      </w:r>
    </w:p>
    <w:p w14:paraId="0BAFE7E9" w14:textId="77777777" w:rsidR="00F72780" w:rsidRDefault="00F72780" w:rsidP="00F72780">
      <w:pPr>
        <w:pStyle w:val="References"/>
        <w:jc w:val="both"/>
      </w:pPr>
      <w:r>
        <w:t xml:space="preserve">Can, I., &amp; Silman-Karanfil, L. (2021). Insights into Emergency Remote Teaching in EFL. </w:t>
      </w:r>
      <w:r>
        <w:rPr>
          <w:i/>
        </w:rPr>
        <w:t>ELT journal</w:t>
      </w:r>
      <w:r>
        <w:t>,</w:t>
      </w:r>
      <w:r>
        <w:rPr>
          <w:i/>
        </w:rPr>
        <w:t xml:space="preserve"> 76</w:t>
      </w:r>
      <w:r>
        <w:t xml:space="preserve">(1), 34-43. </w:t>
      </w:r>
      <w:hyperlink r:id="rId20" w:history="1">
        <w:r>
          <w:rPr>
            <w:rStyle w:val="Hyperlink"/>
            <w:color w:val="0000FF"/>
          </w:rPr>
          <w:t>https://doi.org/10.1093/elt/ccab073</w:t>
        </w:r>
      </w:hyperlink>
      <w:r>
        <w:rPr>
          <w:color w:val="000000"/>
        </w:rPr>
        <w:t xml:space="preserve"> </w:t>
      </w:r>
    </w:p>
    <w:p w14:paraId="76608C30" w14:textId="77777777" w:rsidR="00F72780" w:rsidRDefault="00F72780" w:rsidP="00F72780">
      <w:pPr>
        <w:pStyle w:val="References"/>
        <w:jc w:val="both"/>
      </w:pPr>
      <w:r>
        <w:t xml:space="preserve">Clandinin, D. J. (2006). Narrative Inquiry: A Methodology for Studying Lived Experience. </w:t>
      </w:r>
      <w:r>
        <w:rPr>
          <w:i/>
        </w:rPr>
        <w:t>Research Studies in Music Education</w:t>
      </w:r>
      <w:r>
        <w:t>,</w:t>
      </w:r>
      <w:r>
        <w:rPr>
          <w:i/>
        </w:rPr>
        <w:t xml:space="preserve"> 27</w:t>
      </w:r>
      <w:r>
        <w:t xml:space="preserve">(1), 44-54. </w:t>
      </w:r>
      <w:hyperlink r:id="rId21" w:history="1">
        <w:r>
          <w:rPr>
            <w:rStyle w:val="Hyperlink"/>
            <w:color w:val="0000FF"/>
          </w:rPr>
          <w:t>https://doi.org/10.1177/1321103x060270010301</w:t>
        </w:r>
      </w:hyperlink>
      <w:r>
        <w:rPr>
          <w:color w:val="000000"/>
        </w:rPr>
        <w:t xml:space="preserve"> </w:t>
      </w:r>
    </w:p>
    <w:p w14:paraId="70EF16A1" w14:textId="77777777" w:rsidR="00F72780" w:rsidRDefault="00F72780" w:rsidP="00F72780">
      <w:pPr>
        <w:pStyle w:val="References"/>
        <w:jc w:val="both"/>
      </w:pPr>
      <w:r>
        <w:t xml:space="preserve">Clum, K., Ebersole, E., Wicks, D., &amp; Shea, M. (2022). A Case Study Approach to Exploring Resilient Pedagogy During Times of Crisis. </w:t>
      </w:r>
      <w:r>
        <w:rPr>
          <w:i/>
        </w:rPr>
        <w:t>Online Learning</w:t>
      </w:r>
      <w:r>
        <w:t>,</w:t>
      </w:r>
      <w:r>
        <w:rPr>
          <w:i/>
        </w:rPr>
        <w:t xml:space="preserve"> 26</w:t>
      </w:r>
      <w:r>
        <w:t xml:space="preserve">(2). </w:t>
      </w:r>
      <w:hyperlink r:id="rId22" w:history="1">
        <w:r>
          <w:rPr>
            <w:rStyle w:val="Hyperlink"/>
            <w:color w:val="0000FF"/>
          </w:rPr>
          <w:t>https://doi.org/10.24059/olj.v26i2.2695</w:t>
        </w:r>
      </w:hyperlink>
      <w:r>
        <w:rPr>
          <w:color w:val="000000"/>
        </w:rPr>
        <w:t xml:space="preserve"> </w:t>
      </w:r>
    </w:p>
    <w:p w14:paraId="1F440ECF" w14:textId="77777777" w:rsidR="00F72780" w:rsidRDefault="00F72780" w:rsidP="00F72780">
      <w:pPr>
        <w:pStyle w:val="References"/>
        <w:jc w:val="both"/>
      </w:pPr>
      <w:r>
        <w:t xml:space="preserve">De Costa, P. I., Randez, R. A., Her, L., &amp; Green-Eneix, C. A. (2021). Navigating Ethical Challenges in Second Language Narrative Inquiry Research. </w:t>
      </w:r>
      <w:r>
        <w:rPr>
          <w:i/>
        </w:rPr>
        <w:t>System</w:t>
      </w:r>
      <w:r>
        <w:t>,</w:t>
      </w:r>
      <w:r>
        <w:rPr>
          <w:i/>
        </w:rPr>
        <w:t xml:space="preserve"> 102</w:t>
      </w:r>
      <w:r>
        <w:t xml:space="preserve">, 102599. </w:t>
      </w:r>
      <w:hyperlink r:id="rId23" w:history="1">
        <w:r>
          <w:rPr>
            <w:rStyle w:val="Hyperlink"/>
            <w:color w:val="0000FF"/>
          </w:rPr>
          <w:t>https://doi.org/10.1016/j.system.2021.102599</w:t>
        </w:r>
      </w:hyperlink>
      <w:r>
        <w:rPr>
          <w:color w:val="000000"/>
        </w:rPr>
        <w:t xml:space="preserve"> </w:t>
      </w:r>
    </w:p>
    <w:p w14:paraId="10F8D978" w14:textId="77777777" w:rsidR="00F72780" w:rsidRDefault="00F72780" w:rsidP="00F72780">
      <w:pPr>
        <w:pStyle w:val="References"/>
        <w:jc w:val="both"/>
      </w:pPr>
      <w:r>
        <w:t xml:space="preserve">Fortunado, R. L. G., &amp; Canoy, N. A. (2021). Narrative Inquiry on Early-Career Teachers’ Stories of </w:t>
      </w:r>
      <w:r>
        <w:rPr>
          <w:i/>
        </w:rPr>
        <w:t xml:space="preserve">Pagdadala </w:t>
      </w:r>
      <w:r>
        <w:t xml:space="preserve">in Caring for Students in Low-Resource Urban Public Schools. </w:t>
      </w:r>
      <w:r>
        <w:rPr>
          <w:i/>
        </w:rPr>
        <w:t>International Journal of Qualitative Studies on Health and Well-being</w:t>
      </w:r>
      <w:r>
        <w:t>,</w:t>
      </w:r>
      <w:r>
        <w:rPr>
          <w:i/>
        </w:rPr>
        <w:t xml:space="preserve"> 16</w:t>
      </w:r>
      <w:r>
        <w:t xml:space="preserve">(1), 1917881. </w:t>
      </w:r>
      <w:hyperlink r:id="rId24" w:history="1">
        <w:r>
          <w:rPr>
            <w:rStyle w:val="Hyperlink"/>
            <w:color w:val="0000FF"/>
          </w:rPr>
          <w:t>https://doi.org/10.1080/17482631.2021.1917881</w:t>
        </w:r>
      </w:hyperlink>
      <w:r>
        <w:rPr>
          <w:color w:val="000000"/>
        </w:rPr>
        <w:t xml:space="preserve"> </w:t>
      </w:r>
    </w:p>
    <w:p w14:paraId="35BB81E6" w14:textId="77777777" w:rsidR="00F72780" w:rsidRDefault="00F72780" w:rsidP="00F72780">
      <w:pPr>
        <w:pStyle w:val="References"/>
        <w:jc w:val="both"/>
      </w:pPr>
      <w:r>
        <w:t xml:space="preserve">Fu, Q., &amp; Zhang, X. (2024). Promoting Community Resilience Through Disaster Education: Review of Community-Based Interventions With A Focus on Teacher Resilience and Well-Being. </w:t>
      </w:r>
      <w:r>
        <w:rPr>
          <w:i/>
        </w:rPr>
        <w:t>PloS One</w:t>
      </w:r>
      <w:r>
        <w:t>,</w:t>
      </w:r>
      <w:r>
        <w:rPr>
          <w:i/>
        </w:rPr>
        <w:t xml:space="preserve"> 19</w:t>
      </w:r>
      <w:r>
        <w:t xml:space="preserve">(1), e0296393. </w:t>
      </w:r>
      <w:hyperlink r:id="rId25" w:history="1">
        <w:r>
          <w:rPr>
            <w:rStyle w:val="Hyperlink"/>
            <w:color w:val="0000FF"/>
          </w:rPr>
          <w:t>https://doi.org/10.1371/journal.pone.0296393</w:t>
        </w:r>
      </w:hyperlink>
      <w:r>
        <w:rPr>
          <w:color w:val="000000"/>
        </w:rPr>
        <w:t xml:space="preserve"> </w:t>
      </w:r>
    </w:p>
    <w:p w14:paraId="75731BF5" w14:textId="77777777" w:rsidR="00F72780" w:rsidRDefault="00F72780" w:rsidP="00F72780">
      <w:pPr>
        <w:pStyle w:val="References"/>
        <w:jc w:val="both"/>
      </w:pPr>
      <w:r>
        <w:t xml:space="preserve">Gillan, P. C., Jeong, S., &amp; van der Riet, P. (2021). Embodied Good Deaths and Disembodied Bad Deaths: Undergraduate Nursing Students Narratives of Experience. </w:t>
      </w:r>
      <w:r>
        <w:rPr>
          <w:i/>
        </w:rPr>
        <w:t>Nurse Education Today</w:t>
      </w:r>
      <w:r>
        <w:t>,</w:t>
      </w:r>
      <w:r>
        <w:rPr>
          <w:i/>
        </w:rPr>
        <w:t xml:space="preserve"> 97</w:t>
      </w:r>
      <w:r>
        <w:t xml:space="preserve">, 104674. </w:t>
      </w:r>
      <w:hyperlink r:id="rId26" w:history="1">
        <w:r>
          <w:rPr>
            <w:rStyle w:val="Hyperlink"/>
            <w:color w:val="0000FF"/>
          </w:rPr>
          <w:t>https://doi.org/10.1016/j.nedt.2020.104674</w:t>
        </w:r>
      </w:hyperlink>
      <w:r>
        <w:rPr>
          <w:color w:val="000000"/>
        </w:rPr>
        <w:t xml:space="preserve"> </w:t>
      </w:r>
    </w:p>
    <w:p w14:paraId="5C048A2D" w14:textId="77777777" w:rsidR="00F72780" w:rsidRDefault="00F72780" w:rsidP="00F72780">
      <w:pPr>
        <w:pStyle w:val="References"/>
        <w:jc w:val="both"/>
      </w:pPr>
      <w:r>
        <w:t xml:space="preserve">Golombek, P. R., &amp; Johnson, K. E. (2021). Recurrent Restorying Through Language Teacher Narrative Inquiry. </w:t>
      </w:r>
      <w:r>
        <w:rPr>
          <w:i/>
        </w:rPr>
        <w:t>System</w:t>
      </w:r>
      <w:r>
        <w:t>,</w:t>
      </w:r>
      <w:r>
        <w:rPr>
          <w:i/>
        </w:rPr>
        <w:t xml:space="preserve"> 102</w:t>
      </w:r>
      <w:r>
        <w:t xml:space="preserve">, 102601. </w:t>
      </w:r>
      <w:hyperlink r:id="rId27" w:history="1">
        <w:r>
          <w:rPr>
            <w:rStyle w:val="Hyperlink"/>
            <w:color w:val="0000FF"/>
          </w:rPr>
          <w:t>https://doi.org/10.1016/j.system.2021.102601</w:t>
        </w:r>
      </w:hyperlink>
      <w:r>
        <w:rPr>
          <w:color w:val="000000"/>
        </w:rPr>
        <w:t xml:space="preserve"> </w:t>
      </w:r>
    </w:p>
    <w:p w14:paraId="3535CA13" w14:textId="77777777" w:rsidR="00F72780" w:rsidRDefault="00F72780" w:rsidP="00F72780">
      <w:pPr>
        <w:pStyle w:val="References"/>
        <w:jc w:val="both"/>
      </w:pPr>
      <w:r>
        <w:t xml:space="preserve">Greenberger, S. W., R., M. K., L., M. C., E., C. T., &amp; and Delgado, G. (2022). Discovering Reflective-Narrative: Constructing Experience in the Deweyan Guide for Reflective Practice. </w:t>
      </w:r>
      <w:r>
        <w:rPr>
          <w:i/>
        </w:rPr>
        <w:t>Reflective Practice</w:t>
      </w:r>
      <w:r>
        <w:t>,</w:t>
      </w:r>
      <w:r>
        <w:rPr>
          <w:i/>
        </w:rPr>
        <w:t xml:space="preserve"> 23</w:t>
      </w:r>
      <w:r>
        <w:t xml:space="preserve">(2), 147-161. </w:t>
      </w:r>
      <w:hyperlink r:id="rId28" w:history="1">
        <w:r>
          <w:rPr>
            <w:rStyle w:val="Hyperlink"/>
            <w:color w:val="0000FF"/>
          </w:rPr>
          <w:t>https://doi.org/10.1080/14623943.2021.1983423</w:t>
        </w:r>
      </w:hyperlink>
      <w:r>
        <w:rPr>
          <w:color w:val="000000"/>
        </w:rPr>
        <w:t xml:space="preserve"> </w:t>
      </w:r>
    </w:p>
    <w:p w14:paraId="6B95F9B1" w14:textId="77777777" w:rsidR="00F72780" w:rsidRDefault="00F72780" w:rsidP="00F72780">
      <w:pPr>
        <w:pStyle w:val="References"/>
        <w:jc w:val="both"/>
      </w:pPr>
      <w:r>
        <w:t xml:space="preserve">Habibi, A., Mukminin, A., Yaqin, L. N., Parhanuddin, L., Razak, R. A., Nazry, N. N. M., Taridi, M., Karomi, K., &amp; Fathurrijal, F. (2021). Mapping Instructional Barriers during COVID-19 Outbreak: Islamic Education Context. </w:t>
      </w:r>
      <w:r>
        <w:rPr>
          <w:i/>
        </w:rPr>
        <w:t>Religions</w:t>
      </w:r>
      <w:r>
        <w:t>,</w:t>
      </w:r>
      <w:r>
        <w:rPr>
          <w:i/>
        </w:rPr>
        <w:t xml:space="preserve"> 12</w:t>
      </w:r>
      <w:r>
        <w:t xml:space="preserve">(1), 50. </w:t>
      </w:r>
      <w:hyperlink r:id="rId29" w:history="1">
        <w:r>
          <w:rPr>
            <w:rStyle w:val="Hyperlink"/>
            <w:color w:val="0000FF"/>
          </w:rPr>
          <w:t>https://doi.org/10.3390/REL12010050</w:t>
        </w:r>
      </w:hyperlink>
      <w:r>
        <w:rPr>
          <w:color w:val="000000"/>
        </w:rPr>
        <w:t xml:space="preserve"> </w:t>
      </w:r>
    </w:p>
    <w:p w14:paraId="7398DD61" w14:textId="77777777" w:rsidR="00F72780" w:rsidRDefault="00F72780" w:rsidP="00F72780">
      <w:pPr>
        <w:pStyle w:val="References"/>
        <w:jc w:val="both"/>
      </w:pPr>
      <w:r>
        <w:t xml:space="preserve">Hasbiyallah, Munadi, M., &amp; Nurulhaq, D. (2023). Character Education Model for High School Students during the pandemic in terms of Pedagogic Competence and Teacher Personality. </w:t>
      </w:r>
      <w:r>
        <w:rPr>
          <w:i/>
        </w:rPr>
        <w:t>International Journal of Instruction</w:t>
      </w:r>
      <w:r>
        <w:t>,</w:t>
      </w:r>
      <w:r>
        <w:rPr>
          <w:i/>
        </w:rPr>
        <w:t xml:space="preserve"> 16</w:t>
      </w:r>
      <w:r>
        <w:t xml:space="preserve">(2), 1077-1094. </w:t>
      </w:r>
      <w:hyperlink r:id="rId30" w:history="1">
        <w:r>
          <w:rPr>
            <w:rStyle w:val="Hyperlink"/>
            <w:color w:val="0000FF"/>
          </w:rPr>
          <w:t>https://doi.org/10.29333/iji.2023.16257a</w:t>
        </w:r>
      </w:hyperlink>
      <w:r>
        <w:rPr>
          <w:color w:val="000000"/>
        </w:rPr>
        <w:t xml:space="preserve"> </w:t>
      </w:r>
    </w:p>
    <w:p w14:paraId="4A71C999" w14:textId="77777777" w:rsidR="00F72780" w:rsidRDefault="00F72780" w:rsidP="00F72780">
      <w:pPr>
        <w:pStyle w:val="References"/>
        <w:jc w:val="both"/>
      </w:pPr>
      <w:r>
        <w:t xml:space="preserve">Hodges, C., &amp; Fowler, D. (2020). The COVID-19 Crisis and Faculty Members in Higher Education: From Emergency Remote Teaching to Better Teaching through Reflection. </w:t>
      </w:r>
      <w:r>
        <w:rPr>
          <w:i/>
        </w:rPr>
        <w:t>International Journal of Multidisciplinary Perspectives in Higher Education</w:t>
      </w:r>
      <w:r>
        <w:t>,</w:t>
      </w:r>
      <w:r>
        <w:rPr>
          <w:i/>
        </w:rPr>
        <w:t xml:space="preserve"> 5</w:t>
      </w:r>
      <w:r>
        <w:t xml:space="preserve">(1), 118-122. </w:t>
      </w:r>
      <w:hyperlink r:id="rId31" w:history="1">
        <w:r>
          <w:rPr>
            <w:rStyle w:val="Hyperlink"/>
            <w:color w:val="0000FF"/>
          </w:rPr>
          <w:t>https://doi.org/10.32674/jimphe.v5i1.2507</w:t>
        </w:r>
      </w:hyperlink>
      <w:r>
        <w:rPr>
          <w:color w:val="000000"/>
        </w:rPr>
        <w:t xml:space="preserve"> </w:t>
      </w:r>
    </w:p>
    <w:p w14:paraId="0A4FDA10" w14:textId="77777777" w:rsidR="00F72780" w:rsidRDefault="00F72780" w:rsidP="00F72780">
      <w:pPr>
        <w:pStyle w:val="References"/>
        <w:jc w:val="both"/>
      </w:pPr>
      <w:r>
        <w:t xml:space="preserve">Holmberg, B. (1995). The Evolution of the Character and Practice of Distance Education. </w:t>
      </w:r>
      <w:r>
        <w:rPr>
          <w:i/>
        </w:rPr>
        <w:t>Open Learning: The Journal of Open, Distance and e-Learning</w:t>
      </w:r>
      <w:r>
        <w:t>,</w:t>
      </w:r>
      <w:r>
        <w:rPr>
          <w:i/>
        </w:rPr>
        <w:t xml:space="preserve"> 10</w:t>
      </w:r>
      <w:r>
        <w:t xml:space="preserve">(2), 47-53. </w:t>
      </w:r>
      <w:hyperlink r:id="rId32" w:history="1">
        <w:r>
          <w:rPr>
            <w:rStyle w:val="Hyperlink"/>
            <w:color w:val="0000FF"/>
          </w:rPr>
          <w:t>https://doi.org/10.1080/0268051950100207</w:t>
        </w:r>
      </w:hyperlink>
      <w:r>
        <w:rPr>
          <w:color w:val="000000"/>
        </w:rPr>
        <w:t xml:space="preserve"> </w:t>
      </w:r>
    </w:p>
    <w:p w14:paraId="346D455F" w14:textId="77777777" w:rsidR="00F72780" w:rsidRDefault="00F72780" w:rsidP="00F72780">
      <w:pPr>
        <w:pStyle w:val="References"/>
        <w:jc w:val="both"/>
      </w:pPr>
      <w:r>
        <w:t xml:space="preserve">Howe, E. (2022). Music Unites Us: a Teacher Educator and Teacher Candidate Comparative Ethnographic Narrative Inquiry into the Benefits of Music Education. </w:t>
      </w:r>
      <w:r>
        <w:rPr>
          <w:i/>
        </w:rPr>
        <w:t>Journal of Education for Teaching</w:t>
      </w:r>
      <w:r>
        <w:t>,</w:t>
      </w:r>
      <w:r>
        <w:rPr>
          <w:i/>
        </w:rPr>
        <w:t xml:space="preserve"> 48</w:t>
      </w:r>
      <w:r>
        <w:t xml:space="preserve">(1), 115-128. </w:t>
      </w:r>
      <w:hyperlink r:id="rId33" w:history="1">
        <w:r>
          <w:rPr>
            <w:rStyle w:val="Hyperlink"/>
            <w:color w:val="0000FF"/>
          </w:rPr>
          <w:t>https://doi.org/10.1080/02607476.2021.1960152</w:t>
        </w:r>
      </w:hyperlink>
      <w:r>
        <w:rPr>
          <w:color w:val="000000"/>
        </w:rPr>
        <w:t xml:space="preserve"> </w:t>
      </w:r>
    </w:p>
    <w:p w14:paraId="5F0B11C5" w14:textId="77777777" w:rsidR="00F72780" w:rsidRDefault="00F72780" w:rsidP="00F72780">
      <w:pPr>
        <w:pStyle w:val="References"/>
        <w:jc w:val="both"/>
      </w:pPr>
      <w:r>
        <w:t xml:space="preserve">Juárez-Díaz, C., &amp; Perales, M. (2021). Language Teachers’ Emergency Remote Teaching Experiences During the COVID-19 Confinement. </w:t>
      </w:r>
      <w:r>
        <w:rPr>
          <w:i/>
        </w:rPr>
        <w:t>Profile: Issues in Teachers’ Professional Development</w:t>
      </w:r>
      <w:r>
        <w:t>,</w:t>
      </w:r>
      <w:r>
        <w:rPr>
          <w:i/>
        </w:rPr>
        <w:t xml:space="preserve"> 23</w:t>
      </w:r>
      <w:r>
        <w:t xml:space="preserve">(2), 121-135. </w:t>
      </w:r>
      <w:hyperlink r:id="rId34" w:history="1">
        <w:r>
          <w:rPr>
            <w:rStyle w:val="Hyperlink"/>
            <w:color w:val="0000FF"/>
          </w:rPr>
          <w:t>https://doi.org/10.15446/profile.v23n2.90195</w:t>
        </w:r>
      </w:hyperlink>
      <w:r>
        <w:rPr>
          <w:color w:val="000000"/>
        </w:rPr>
        <w:t xml:space="preserve"> </w:t>
      </w:r>
    </w:p>
    <w:p w14:paraId="46B59E9D" w14:textId="77777777" w:rsidR="00F72780" w:rsidRDefault="00F72780" w:rsidP="00F72780">
      <w:pPr>
        <w:pStyle w:val="References"/>
        <w:jc w:val="both"/>
      </w:pPr>
      <w:r>
        <w:t xml:space="preserve">Kusuma, I. P. I. (2022). EFL Pre-service Teachers’ Technology Integration in Managing and Teaching Speaking Skills During Emergency Remote Teaching. </w:t>
      </w:r>
      <w:r>
        <w:rPr>
          <w:i/>
        </w:rPr>
        <w:t>Profile: Issues in Teachers’ Professional Development</w:t>
      </w:r>
      <w:r>
        <w:t>,</w:t>
      </w:r>
      <w:r>
        <w:rPr>
          <w:i/>
        </w:rPr>
        <w:t xml:space="preserve"> 24</w:t>
      </w:r>
      <w:r>
        <w:t xml:space="preserve">(2), 149-165. </w:t>
      </w:r>
      <w:hyperlink r:id="rId35" w:history="1">
        <w:r>
          <w:rPr>
            <w:rStyle w:val="Hyperlink"/>
            <w:color w:val="0000FF"/>
          </w:rPr>
          <w:t>https://doi.org/10.15446/profile.v24n2.97497</w:t>
        </w:r>
      </w:hyperlink>
      <w:r>
        <w:rPr>
          <w:color w:val="000000"/>
        </w:rPr>
        <w:t xml:space="preserve"> </w:t>
      </w:r>
    </w:p>
    <w:p w14:paraId="4092C407" w14:textId="77777777" w:rsidR="00F72780" w:rsidRDefault="00F72780" w:rsidP="00F72780">
      <w:pPr>
        <w:pStyle w:val="References"/>
        <w:jc w:val="both"/>
      </w:pPr>
      <w:r>
        <w:t xml:space="preserve">Misirli, O., &amp; Ergulec, F. (2021). Emergency remote teaching during the COVID-19 pandemic: Parents experiences and perspectives. </w:t>
      </w:r>
      <w:r>
        <w:rPr>
          <w:i/>
        </w:rPr>
        <w:t>Education and Information Technologies</w:t>
      </w:r>
      <w:r>
        <w:t>,</w:t>
      </w:r>
      <w:r>
        <w:rPr>
          <w:i/>
        </w:rPr>
        <w:t xml:space="preserve"> 26</w:t>
      </w:r>
      <w:r>
        <w:t xml:space="preserve">(6), 6699-6718. </w:t>
      </w:r>
      <w:hyperlink r:id="rId36" w:history="1">
        <w:r>
          <w:rPr>
            <w:rStyle w:val="Hyperlink"/>
            <w:color w:val="0000FF"/>
          </w:rPr>
          <w:t>https://doi.org/10.1007/s10639-021-10520-4</w:t>
        </w:r>
      </w:hyperlink>
      <w:r>
        <w:rPr>
          <w:color w:val="000000"/>
        </w:rPr>
        <w:t xml:space="preserve"> </w:t>
      </w:r>
    </w:p>
    <w:p w14:paraId="597715F6" w14:textId="77777777" w:rsidR="00F72780" w:rsidRDefault="00F72780" w:rsidP="00F72780">
      <w:pPr>
        <w:pStyle w:val="References"/>
        <w:jc w:val="both"/>
      </w:pPr>
      <w:r>
        <w:t xml:space="preserve">Moore, J. L., Dickson-Deane, C., &amp; Galyen, K. (2011). E-Learning, Online Learning, and Distance Learning Environments: Are They The Same? </w:t>
      </w:r>
      <w:r>
        <w:rPr>
          <w:i/>
        </w:rPr>
        <w:t>The Internet and Higher Education</w:t>
      </w:r>
      <w:r>
        <w:t>,</w:t>
      </w:r>
      <w:r>
        <w:rPr>
          <w:i/>
        </w:rPr>
        <w:t xml:space="preserve"> 14</w:t>
      </w:r>
      <w:r>
        <w:t xml:space="preserve">(2), 129-135. </w:t>
      </w:r>
      <w:hyperlink r:id="rId37" w:history="1">
        <w:r>
          <w:rPr>
            <w:rStyle w:val="Hyperlink"/>
            <w:color w:val="0000FF"/>
          </w:rPr>
          <w:t>https://doi.org/10.1016/j.iheduc.2010.10.001</w:t>
        </w:r>
      </w:hyperlink>
      <w:r>
        <w:rPr>
          <w:color w:val="000000"/>
        </w:rPr>
        <w:t xml:space="preserve"> </w:t>
      </w:r>
    </w:p>
    <w:p w14:paraId="48925AE7" w14:textId="77777777" w:rsidR="00F72780" w:rsidRDefault="00F72780" w:rsidP="00F72780">
      <w:pPr>
        <w:pStyle w:val="References"/>
        <w:jc w:val="both"/>
      </w:pPr>
      <w:r>
        <w:t xml:space="preserve">Muhaji, U., Suherdi, D., &amp; Purnawarman, P. (2023). Adoption of Online Technologies for Language Teaching During COVID-19 Pandemic in Narrative Frames. </w:t>
      </w:r>
      <w:r>
        <w:rPr>
          <w:i/>
        </w:rPr>
        <w:t>Indonesian Journal of Applied Linguistics</w:t>
      </w:r>
      <w:r>
        <w:t>,</w:t>
      </w:r>
      <w:r>
        <w:rPr>
          <w:i/>
        </w:rPr>
        <w:t xml:space="preserve"> 12</w:t>
      </w:r>
      <w:r>
        <w:t xml:space="preserve">(3), 840-854. </w:t>
      </w:r>
      <w:hyperlink r:id="rId38" w:history="1">
        <w:r>
          <w:rPr>
            <w:rStyle w:val="Hyperlink"/>
            <w:color w:val="0000FF"/>
          </w:rPr>
          <w:t>https://doi.org/10.17509/ijal.v12i3.38930</w:t>
        </w:r>
      </w:hyperlink>
      <w:r>
        <w:rPr>
          <w:color w:val="000000"/>
        </w:rPr>
        <w:t xml:space="preserve"> </w:t>
      </w:r>
    </w:p>
    <w:p w14:paraId="31B63645" w14:textId="77777777" w:rsidR="00F72780" w:rsidRDefault="00F72780" w:rsidP="00F72780">
      <w:pPr>
        <w:pStyle w:val="References"/>
        <w:jc w:val="both"/>
      </w:pPr>
      <w:r>
        <w:t xml:space="preserve">Nguyen, C. D., Trent, J., &amp; Nguyen, T. P. (2023). ‘How Come They Struggle with Such Simple Work?’: Parents’ Perceptions of Language Teacher Identity and Teaching Practice. </w:t>
      </w:r>
      <w:r>
        <w:rPr>
          <w:i/>
        </w:rPr>
        <w:t>Cambridge Journal of Education</w:t>
      </w:r>
      <w:r>
        <w:t>,</w:t>
      </w:r>
      <w:r>
        <w:rPr>
          <w:i/>
        </w:rPr>
        <w:t xml:space="preserve"> 53</w:t>
      </w:r>
      <w:r>
        <w:t xml:space="preserve">(3), 275-292. </w:t>
      </w:r>
      <w:hyperlink r:id="rId39" w:history="1">
        <w:r>
          <w:rPr>
            <w:rStyle w:val="Hyperlink"/>
            <w:color w:val="0000FF"/>
          </w:rPr>
          <w:t>https://doi.org/10.1080/0305764X.2022.2094894</w:t>
        </w:r>
      </w:hyperlink>
      <w:r>
        <w:rPr>
          <w:color w:val="000000"/>
        </w:rPr>
        <w:t xml:space="preserve"> </w:t>
      </w:r>
    </w:p>
    <w:p w14:paraId="364CD38D" w14:textId="77777777" w:rsidR="00F72780" w:rsidRDefault="00F72780" w:rsidP="00F72780">
      <w:pPr>
        <w:pStyle w:val="References"/>
        <w:jc w:val="both"/>
      </w:pPr>
      <w:r>
        <w:t xml:space="preserve">Perraton, H. (2012). </w:t>
      </w:r>
      <w:r>
        <w:rPr>
          <w:i/>
        </w:rPr>
        <w:t>Open and Distance Learning in the Developing World</w:t>
      </w:r>
      <w:r>
        <w:t xml:space="preserve"> (2nd ed.). Routledge. </w:t>
      </w:r>
      <w:hyperlink r:id="rId40" w:history="1">
        <w:r>
          <w:rPr>
            <w:rStyle w:val="Hyperlink"/>
            <w:color w:val="0000FF"/>
          </w:rPr>
          <w:t>https://doi.org/10.4324/9780203965535</w:t>
        </w:r>
      </w:hyperlink>
      <w:r>
        <w:rPr>
          <w:color w:val="000000"/>
        </w:rPr>
        <w:t xml:space="preserve"> </w:t>
      </w:r>
    </w:p>
    <w:p w14:paraId="3C5CA3EF" w14:textId="77777777" w:rsidR="00F72780" w:rsidRDefault="00F72780" w:rsidP="00F72780">
      <w:pPr>
        <w:pStyle w:val="References"/>
        <w:jc w:val="both"/>
      </w:pPr>
      <w:r>
        <w:t xml:space="preserve">Pratt, A. B., &amp; Rosiek, J. L. (2021). Narrative Inquiry and Anti-Racist Teaching: Considering Foundational Questions about (Re)Storying in Struggles for Racial Justice. </w:t>
      </w:r>
      <w:r>
        <w:rPr>
          <w:i/>
        </w:rPr>
        <w:t>Teaching and Teacher Education</w:t>
      </w:r>
      <w:r>
        <w:t>,</w:t>
      </w:r>
      <w:r>
        <w:rPr>
          <w:i/>
        </w:rPr>
        <w:t xml:space="preserve"> 107</w:t>
      </w:r>
      <w:r>
        <w:t xml:space="preserve">, 103487. </w:t>
      </w:r>
      <w:hyperlink r:id="rId41" w:history="1">
        <w:r>
          <w:rPr>
            <w:rStyle w:val="Hyperlink"/>
            <w:color w:val="0000FF"/>
          </w:rPr>
          <w:t>https://doi.org/https://doi.org/10.1016/j.tate.2021.103487</w:t>
        </w:r>
      </w:hyperlink>
      <w:r>
        <w:rPr>
          <w:color w:val="000000"/>
        </w:rPr>
        <w:t xml:space="preserve"> </w:t>
      </w:r>
    </w:p>
    <w:p w14:paraId="4909EE40" w14:textId="77777777" w:rsidR="00F72780" w:rsidRDefault="00F72780" w:rsidP="00F72780">
      <w:pPr>
        <w:pStyle w:val="References"/>
        <w:jc w:val="both"/>
      </w:pPr>
      <w:r>
        <w:t xml:space="preserve">Rasmitadila, R., Aliyyah, R. R., Rachmadtullah, R., Samsudin, A., Syaodih, E., Nurtanto, M., &amp; Tambunan, A. R. S. (2020). The Perceptions of Primary School Teachers of Online Learning during the COVID-19 Pandemic Period: A Case Study in Indonesia. </w:t>
      </w:r>
      <w:r>
        <w:rPr>
          <w:i/>
        </w:rPr>
        <w:t>Journal of Ethnic and Cultural Studies</w:t>
      </w:r>
      <w:r>
        <w:t>,</w:t>
      </w:r>
      <w:r>
        <w:rPr>
          <w:i/>
        </w:rPr>
        <w:t xml:space="preserve"> 7</w:t>
      </w:r>
      <w:r>
        <w:t xml:space="preserve">(2), 90-109. </w:t>
      </w:r>
      <w:hyperlink r:id="rId42" w:history="1">
        <w:r>
          <w:rPr>
            <w:rStyle w:val="Hyperlink"/>
            <w:color w:val="0000FF"/>
          </w:rPr>
          <w:t>https://doi.org/10.29333/ejecs/388</w:t>
        </w:r>
      </w:hyperlink>
      <w:r>
        <w:rPr>
          <w:color w:val="000000"/>
        </w:rPr>
        <w:t xml:space="preserve"> </w:t>
      </w:r>
    </w:p>
    <w:p w14:paraId="1D05F2B5" w14:textId="77777777" w:rsidR="00F72780" w:rsidRDefault="00F72780" w:rsidP="00F72780">
      <w:pPr>
        <w:pStyle w:val="References"/>
        <w:jc w:val="both"/>
      </w:pPr>
      <w:r>
        <w:t xml:space="preserve">Rodríguez-Hidalgo, A. J., Ruiz-Córdoba, E., Ortega-Ruiz, R., Armada-Crespo, J. M., Hurtado-Mellado, A., &amp; Dios, I. (2024). Burnout, Engagement, and Resilience During the COVID-19 Lockdown: Keys to a Model for Teachers’ Self-Efficacy. </w:t>
      </w:r>
      <w:r>
        <w:rPr>
          <w:i/>
        </w:rPr>
        <w:t>Journal of School Health</w:t>
      </w:r>
      <w:r>
        <w:t>,</w:t>
      </w:r>
      <w:r>
        <w:rPr>
          <w:i/>
        </w:rPr>
        <w:t xml:space="preserve"> 94</w:t>
      </w:r>
      <w:r>
        <w:t xml:space="preserve">(9), 800-807. </w:t>
      </w:r>
      <w:hyperlink r:id="rId43" w:history="1">
        <w:r>
          <w:rPr>
            <w:rStyle w:val="Hyperlink"/>
            <w:color w:val="0000FF"/>
          </w:rPr>
          <w:t>https://doi.org/10.1111/josh.13491</w:t>
        </w:r>
      </w:hyperlink>
      <w:r>
        <w:rPr>
          <w:color w:val="000000"/>
        </w:rPr>
        <w:t xml:space="preserve"> </w:t>
      </w:r>
    </w:p>
    <w:p w14:paraId="083CBAFC" w14:textId="77777777" w:rsidR="00F72780" w:rsidRDefault="00F72780" w:rsidP="00F72780">
      <w:pPr>
        <w:pStyle w:val="References"/>
        <w:jc w:val="both"/>
      </w:pPr>
      <w:r>
        <w:t xml:space="preserve">Savage, M. (2020). Young Women Adopted from Foster Care Create Personal Public Service Announcements: Narrative Constructs in Arts-Based Enquiry. </w:t>
      </w:r>
      <w:r>
        <w:rPr>
          <w:i/>
        </w:rPr>
        <w:t>Qualitative Research in Psychology</w:t>
      </w:r>
      <w:r>
        <w:t>,</w:t>
      </w:r>
      <w:r>
        <w:rPr>
          <w:i/>
        </w:rPr>
        <w:t xml:space="preserve"> 17</w:t>
      </w:r>
      <w:r>
        <w:t xml:space="preserve">(2), 204-221. </w:t>
      </w:r>
      <w:hyperlink r:id="rId44" w:history="1">
        <w:r>
          <w:rPr>
            <w:rStyle w:val="Hyperlink"/>
            <w:color w:val="0000FF"/>
          </w:rPr>
          <w:t>https://doi.org/10.1080/14780887.2018.1442692</w:t>
        </w:r>
      </w:hyperlink>
      <w:r>
        <w:rPr>
          <w:color w:val="000000"/>
        </w:rPr>
        <w:t xml:space="preserve"> </w:t>
      </w:r>
    </w:p>
    <w:p w14:paraId="1CDE15FD" w14:textId="77777777" w:rsidR="00F72780" w:rsidRDefault="00F72780" w:rsidP="00F72780">
      <w:pPr>
        <w:pStyle w:val="References"/>
        <w:jc w:val="both"/>
      </w:pPr>
      <w:r>
        <w:t xml:space="preserve">Schlein, C., Smith, D., &amp; Oakley, C. (2019). Narrative Reconsiderations of Teaching as Negotiated Curriculum for Social Justice and Equity. </w:t>
      </w:r>
      <w:r>
        <w:rPr>
          <w:i/>
        </w:rPr>
        <w:t>Frontiers in Education</w:t>
      </w:r>
      <w:r>
        <w:t>,</w:t>
      </w:r>
      <w:r>
        <w:rPr>
          <w:i/>
        </w:rPr>
        <w:t xml:space="preserve"> 4</w:t>
      </w:r>
      <w:r>
        <w:t xml:space="preserve">. </w:t>
      </w:r>
      <w:hyperlink r:id="rId45" w:history="1">
        <w:r>
          <w:rPr>
            <w:rStyle w:val="Hyperlink"/>
            <w:color w:val="0000FF"/>
          </w:rPr>
          <w:t>https://doi.org/10.3389/feduc.2019.00124</w:t>
        </w:r>
      </w:hyperlink>
      <w:r>
        <w:rPr>
          <w:color w:val="000000"/>
        </w:rPr>
        <w:t xml:space="preserve"> </w:t>
      </w:r>
    </w:p>
    <w:p w14:paraId="0EFE467B" w14:textId="77777777" w:rsidR="00F72780" w:rsidRDefault="00F72780" w:rsidP="00F72780">
      <w:pPr>
        <w:pStyle w:val="References"/>
        <w:jc w:val="both"/>
      </w:pPr>
      <w:r>
        <w:t xml:space="preserve">Shearer, R. L., &amp; Park, E. (2019). Theory to Practice in Instructional Design. In M. G. Moore &amp; W. C. Diehl (Eds.), </w:t>
      </w:r>
      <w:r>
        <w:rPr>
          <w:i/>
        </w:rPr>
        <w:t>Handbook of Distance Education</w:t>
      </w:r>
      <w:r>
        <w:t xml:space="preserve">. Routledge. </w:t>
      </w:r>
      <w:hyperlink r:id="rId46" w:history="1">
        <w:r>
          <w:rPr>
            <w:rStyle w:val="Hyperlink"/>
            <w:color w:val="0000FF"/>
          </w:rPr>
          <w:t>https://doi.org/10.4324/9781315296135-21</w:t>
        </w:r>
      </w:hyperlink>
      <w:r>
        <w:rPr>
          <w:color w:val="000000"/>
        </w:rPr>
        <w:t xml:space="preserve"> </w:t>
      </w:r>
    </w:p>
    <w:p w14:paraId="4BE29FAB" w14:textId="77777777" w:rsidR="00F72780" w:rsidRDefault="00F72780" w:rsidP="00F72780">
      <w:pPr>
        <w:pStyle w:val="References"/>
        <w:jc w:val="both"/>
      </w:pPr>
      <w:r>
        <w:t xml:space="preserve">Simonson, M., Zvacek, S. M., &amp; Smaldino, S. (2019). </w:t>
      </w:r>
      <w:r>
        <w:rPr>
          <w:i/>
        </w:rPr>
        <w:t>Teaching and Learning at a Distance: Foundations of Distance Education 7th Edition</w:t>
      </w:r>
      <w:r>
        <w:t xml:space="preserve"> (7th ed.). Information Age Publishing. </w:t>
      </w:r>
    </w:p>
    <w:p w14:paraId="50144BCC" w14:textId="77777777" w:rsidR="00F72780" w:rsidRDefault="00F72780" w:rsidP="00F72780">
      <w:pPr>
        <w:pStyle w:val="References"/>
        <w:jc w:val="both"/>
      </w:pPr>
      <w:r>
        <w:t xml:space="preserve">Sumardi, S., &amp; Nugrahani, D. (2021). Adaptation to Emergency Remote Teaching: Pedagogical Strategy for Pre-Service Language Teachers Amid COVID-19 Pandemic. </w:t>
      </w:r>
      <w:r>
        <w:rPr>
          <w:i/>
        </w:rPr>
        <w:t>Turkish Online Journal of Distance Education</w:t>
      </w:r>
      <w:r>
        <w:t>,</w:t>
      </w:r>
      <w:r>
        <w:rPr>
          <w:i/>
        </w:rPr>
        <w:t xml:space="preserve"> 22</w:t>
      </w:r>
      <w:r>
        <w:t xml:space="preserve">(2), 81-93. </w:t>
      </w:r>
      <w:hyperlink r:id="rId47" w:history="1">
        <w:r>
          <w:rPr>
            <w:rStyle w:val="Hyperlink"/>
            <w:color w:val="0000FF"/>
          </w:rPr>
          <w:t>https://doi.org/10.17718/tojde.906553</w:t>
        </w:r>
      </w:hyperlink>
      <w:r>
        <w:rPr>
          <w:color w:val="000000"/>
        </w:rPr>
        <w:t xml:space="preserve"> </w:t>
      </w:r>
    </w:p>
    <w:p w14:paraId="35ACA16F" w14:textId="77777777" w:rsidR="00F72780" w:rsidRDefault="00F72780" w:rsidP="00F72780">
      <w:pPr>
        <w:pStyle w:val="References"/>
        <w:jc w:val="both"/>
      </w:pPr>
      <w:r>
        <w:t xml:space="preserve">Tao, J., &amp; Gao, X. (2022). Teaching and Learning Languages Online: Challenges and Responses. </w:t>
      </w:r>
      <w:r>
        <w:rPr>
          <w:i/>
        </w:rPr>
        <w:t>System</w:t>
      </w:r>
      <w:r>
        <w:t>,</w:t>
      </w:r>
      <w:r>
        <w:rPr>
          <w:i/>
        </w:rPr>
        <w:t xml:space="preserve"> 107</w:t>
      </w:r>
      <w:r>
        <w:t xml:space="preserve">, 102819. </w:t>
      </w:r>
      <w:hyperlink r:id="rId48" w:history="1">
        <w:r>
          <w:rPr>
            <w:rStyle w:val="Hyperlink"/>
            <w:color w:val="0000FF"/>
          </w:rPr>
          <w:t>https://doi.org/10.1016/j.system.2022.102819</w:t>
        </w:r>
      </w:hyperlink>
      <w:r>
        <w:rPr>
          <w:color w:val="000000"/>
        </w:rPr>
        <w:t xml:space="preserve"> </w:t>
      </w:r>
    </w:p>
    <w:p w14:paraId="3AB9EE60" w14:textId="77777777" w:rsidR="00F72780" w:rsidRDefault="00F72780" w:rsidP="00F72780">
      <w:pPr>
        <w:pStyle w:val="References"/>
        <w:jc w:val="both"/>
      </w:pPr>
      <w:r>
        <w:t xml:space="preserve">Tulaskar, R., &amp; Turunen, M. (2022). What Students Want? Experiences, Challenges, and Engagement During Emergency Remote Learning Amidst COVID-19 Crisis. </w:t>
      </w:r>
      <w:r>
        <w:rPr>
          <w:i/>
        </w:rPr>
        <w:t>Education and Information Technologies</w:t>
      </w:r>
      <w:r>
        <w:t>,</w:t>
      </w:r>
      <w:r>
        <w:rPr>
          <w:i/>
        </w:rPr>
        <w:t xml:space="preserve"> 27</w:t>
      </w:r>
      <w:r>
        <w:t xml:space="preserve">(1), 551-587. </w:t>
      </w:r>
      <w:hyperlink r:id="rId49" w:history="1">
        <w:r>
          <w:rPr>
            <w:rStyle w:val="Hyperlink"/>
            <w:color w:val="0000FF"/>
          </w:rPr>
          <w:t>https://doi.org/10.1007/s10639-021-10747-1</w:t>
        </w:r>
      </w:hyperlink>
      <w:r>
        <w:rPr>
          <w:color w:val="000000"/>
        </w:rPr>
        <w:t xml:space="preserve"> </w:t>
      </w:r>
    </w:p>
    <w:p w14:paraId="09FAA48E" w14:textId="77777777" w:rsidR="00F72780" w:rsidRDefault="00F72780" w:rsidP="00F72780">
      <w:pPr>
        <w:pStyle w:val="References"/>
        <w:jc w:val="both"/>
      </w:pPr>
      <w:r>
        <w:t xml:space="preserve">Valsaraj, B. P., More, B., Biju, S., Payini, V., &amp; Pallath, V. (2021). Faculty Experiences on Emergency Remote Teaching During Covid-19: a Multicentre Qualitative Analysis. </w:t>
      </w:r>
      <w:r>
        <w:rPr>
          <w:i/>
        </w:rPr>
        <w:t>Interactive Technology and Smart Education</w:t>
      </w:r>
      <w:r>
        <w:t>,</w:t>
      </w:r>
      <w:r>
        <w:rPr>
          <w:i/>
        </w:rPr>
        <w:t xml:space="preserve"> 18</w:t>
      </w:r>
      <w:r>
        <w:t xml:space="preserve">(3), 319-344. </w:t>
      </w:r>
      <w:hyperlink r:id="rId50" w:history="1">
        <w:r>
          <w:rPr>
            <w:rStyle w:val="Hyperlink"/>
            <w:color w:val="0000FF"/>
          </w:rPr>
          <w:t>https://doi.org/10.1108/ITSE-09-2020-0198</w:t>
        </w:r>
      </w:hyperlink>
      <w:r>
        <w:rPr>
          <w:color w:val="000000"/>
        </w:rPr>
        <w:t xml:space="preserve"> </w:t>
      </w:r>
    </w:p>
    <w:p w14:paraId="6F87A098" w14:textId="77777777" w:rsidR="00F72780" w:rsidRDefault="00F72780" w:rsidP="00F72780">
      <w:pPr>
        <w:pStyle w:val="References"/>
        <w:jc w:val="both"/>
      </w:pPr>
      <w:r>
        <w:t xml:space="preserve">Wei, G. (2021). Imagined Professional Identity: a Narrative Inquiry into a Chinese Teacher’s Perezhivaniya in Life. </w:t>
      </w:r>
      <w:r>
        <w:rPr>
          <w:i/>
        </w:rPr>
        <w:t>Teaching and Teacher Education</w:t>
      </w:r>
      <w:r>
        <w:t>,</w:t>
      </w:r>
      <w:r>
        <w:rPr>
          <w:i/>
        </w:rPr>
        <w:t xml:space="preserve"> 102</w:t>
      </w:r>
      <w:r>
        <w:t xml:space="preserve">, 103337. </w:t>
      </w:r>
      <w:hyperlink r:id="rId51" w:history="1">
        <w:r>
          <w:rPr>
            <w:rStyle w:val="Hyperlink"/>
            <w:color w:val="0000FF"/>
          </w:rPr>
          <w:t>https://doi.org/10.1016/j.tate.2021.103337</w:t>
        </w:r>
      </w:hyperlink>
      <w:r>
        <w:rPr>
          <w:color w:val="000000"/>
        </w:rPr>
        <w:t xml:space="preserve"> </w:t>
      </w:r>
    </w:p>
    <w:p w14:paraId="4128CC39" w14:textId="77777777" w:rsidR="00F72780" w:rsidRDefault="00F72780" w:rsidP="00F72780">
      <w:pPr>
        <w:pStyle w:val="References"/>
        <w:jc w:val="both"/>
      </w:pPr>
      <w:r>
        <w:t xml:space="preserve">Weidlich, J., &amp; Kalz, M. (2021). Exploring Predictors of Instructional Resilience During Emergency Remote Teaching in Higher Education. </w:t>
      </w:r>
      <w:r>
        <w:rPr>
          <w:i/>
        </w:rPr>
        <w:t>International Journal of Educational Technology in Higher Education</w:t>
      </w:r>
      <w:r>
        <w:t>,</w:t>
      </w:r>
      <w:r>
        <w:rPr>
          <w:i/>
        </w:rPr>
        <w:t xml:space="preserve"> 18</w:t>
      </w:r>
      <w:r>
        <w:t xml:space="preserve">(1), 43. </w:t>
      </w:r>
      <w:hyperlink r:id="rId52" w:history="1">
        <w:r>
          <w:rPr>
            <w:rStyle w:val="Hyperlink"/>
            <w:color w:val="0000FF"/>
          </w:rPr>
          <w:t>https://doi.org/10.1186/s41239-021-00278-7</w:t>
        </w:r>
      </w:hyperlink>
      <w:r>
        <w:rPr>
          <w:color w:val="000000"/>
        </w:rPr>
        <w:t xml:space="preserve"> </w:t>
      </w:r>
    </w:p>
    <w:p w14:paraId="552F7ADA" w14:textId="77777777" w:rsidR="00F72780" w:rsidRDefault="00F72780" w:rsidP="00F72780">
      <w:pPr>
        <w:pStyle w:val="References"/>
        <w:jc w:val="both"/>
      </w:pPr>
      <w:r>
        <w:t xml:space="preserve">Whittle, C., Tiwari, S., Yan, S., &amp; Williams, J. (2020). Emergency remote teaching environment: a conceptual framework for responsive online teaching in crises. </w:t>
      </w:r>
      <w:r>
        <w:rPr>
          <w:i/>
        </w:rPr>
        <w:t>Information and Learning Science</w:t>
      </w:r>
      <w:r>
        <w:t>,</w:t>
      </w:r>
      <w:r>
        <w:rPr>
          <w:i/>
        </w:rPr>
        <w:t xml:space="preserve"> 121</w:t>
      </w:r>
      <w:r>
        <w:t xml:space="preserve">(5/6), 311-319. </w:t>
      </w:r>
      <w:hyperlink r:id="rId53" w:history="1">
        <w:r>
          <w:rPr>
            <w:rStyle w:val="Hyperlink"/>
            <w:color w:val="0000FF"/>
          </w:rPr>
          <w:t>https://doi.org/10.1108/ILS-04-2020-0099</w:t>
        </w:r>
      </w:hyperlink>
      <w:r>
        <w:rPr>
          <w:color w:val="000000"/>
        </w:rPr>
        <w:t xml:space="preserve"> </w:t>
      </w:r>
    </w:p>
    <w:p w14:paraId="1988D65D" w14:textId="77777777" w:rsidR="00F72780" w:rsidRDefault="00F72780" w:rsidP="00F72780">
      <w:pPr>
        <w:pStyle w:val="References"/>
        <w:jc w:val="both"/>
      </w:pPr>
      <w:r>
        <w:t xml:space="preserve">Yusuf, A. A., Toheri, Nahwandi, M. S., &amp; Maryam, A. K. (2024). Distance Learning in a Cyber Islamic University: Best Experience from Indonesia. </w:t>
      </w:r>
      <w:r>
        <w:rPr>
          <w:i/>
        </w:rPr>
        <w:t>Revista de Gestão Social e Ambiental</w:t>
      </w:r>
      <w:r>
        <w:t>,</w:t>
      </w:r>
      <w:r>
        <w:rPr>
          <w:i/>
        </w:rPr>
        <w:t xml:space="preserve"> 18</w:t>
      </w:r>
      <w:r>
        <w:t xml:space="preserve">(5), e06947. </w:t>
      </w:r>
      <w:hyperlink r:id="rId54" w:history="1">
        <w:r>
          <w:rPr>
            <w:rStyle w:val="Hyperlink"/>
            <w:color w:val="0000FF"/>
          </w:rPr>
          <w:t>https://doi.org/10.24857/rgsa.v18n5-148</w:t>
        </w:r>
      </w:hyperlink>
      <w:r>
        <w:rPr>
          <w:color w:val="000000"/>
        </w:rPr>
        <w:t xml:space="preserve"> </w:t>
      </w:r>
    </w:p>
    <w:p w14:paraId="3194671B" w14:textId="77777777" w:rsidR="00F72780" w:rsidRDefault="00F72780" w:rsidP="00F72780">
      <w:pPr>
        <w:pStyle w:val="References"/>
        <w:jc w:val="both"/>
      </w:pPr>
      <w:r>
        <w:t xml:space="preserve">Zhang, S., &amp; Luo, Y. (2023). Review on the Conceptual Framework of Teacher Resilience [Mini Review]. </w:t>
      </w:r>
      <w:r>
        <w:rPr>
          <w:i/>
        </w:rPr>
        <w:t>Frontiers in Psychology</w:t>
      </w:r>
      <w:r>
        <w:t>,</w:t>
      </w:r>
      <w:r>
        <w:rPr>
          <w:i/>
        </w:rPr>
        <w:t xml:space="preserve"> Volume 14 - 2023</w:t>
      </w:r>
      <w:r>
        <w:t xml:space="preserve">. </w:t>
      </w:r>
      <w:hyperlink r:id="rId55" w:history="1">
        <w:r>
          <w:rPr>
            <w:rStyle w:val="Hyperlink"/>
            <w:color w:val="0000FF"/>
          </w:rPr>
          <w:t>https://doi.org/10.3389/fpsyg.2023.1179984</w:t>
        </w:r>
      </w:hyperlink>
      <w:r>
        <w:rPr>
          <w:color w:val="000000"/>
        </w:rPr>
        <w:t xml:space="preserve"> </w:t>
      </w:r>
    </w:p>
    <w:p w14:paraId="25444EED" w14:textId="77777777" w:rsidR="00F72780" w:rsidRDefault="00F72780" w:rsidP="00F72780">
      <w:pPr>
        <w:pStyle w:val="Newparagraph"/>
        <w:ind w:firstLine="0"/>
        <w:jc w:val="both"/>
      </w:pPr>
    </w:p>
    <w:p w14:paraId="4B7A53A9" w14:textId="77777777" w:rsidR="00F72780" w:rsidRPr="00F72780" w:rsidRDefault="00F72780" w:rsidP="00F72780"/>
    <w:sectPr w:rsidR="00F72780" w:rsidRPr="00F72780" w:rsidSect="00074B81">
      <w:headerReference w:type="even" r:id="rId56"/>
      <w:headerReference w:type="default" r:id="rId57"/>
      <w:footerReference w:type="even" r:id="rId58"/>
      <w:footerReference w:type="default" r:id="rId59"/>
      <w:headerReference w:type="first" r:id="rId60"/>
      <w:footerReference w:type="first" r:id="rId61"/>
      <w:pgSz w:w="11901" w:h="16840"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5EAB4" w14:textId="77777777" w:rsidR="002527D3" w:rsidRDefault="002527D3" w:rsidP="00AF2C92">
      <w:r>
        <w:separator/>
      </w:r>
    </w:p>
  </w:endnote>
  <w:endnote w:type="continuationSeparator" w:id="0">
    <w:p w14:paraId="723A6996" w14:textId="77777777" w:rsidR="002527D3" w:rsidRDefault="002527D3" w:rsidP="00AF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324DC" w14:textId="77777777" w:rsidR="002211DD" w:rsidRDefault="002211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E6934" w14:textId="77777777" w:rsidR="002211DD" w:rsidRDefault="00221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E8923" w14:textId="77777777" w:rsidR="002211DD" w:rsidRDefault="00221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B0056" w14:textId="77777777" w:rsidR="002527D3" w:rsidRDefault="002527D3" w:rsidP="00AF2C92">
      <w:r>
        <w:separator/>
      </w:r>
    </w:p>
  </w:footnote>
  <w:footnote w:type="continuationSeparator" w:id="0">
    <w:p w14:paraId="205F22B8" w14:textId="77777777" w:rsidR="002527D3" w:rsidRDefault="002527D3" w:rsidP="00AF2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DBDEF" w14:textId="77777777" w:rsidR="002211DD" w:rsidRDefault="002211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C15C" w14:textId="77777777" w:rsidR="002211DD" w:rsidRDefault="002211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DEF4A" w14:textId="77777777" w:rsidR="002211DD" w:rsidRDefault="00221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5C2357A"/>
    <w:multiLevelType w:val="hybridMultilevel"/>
    <w:tmpl w:val="6C5205EC"/>
    <w:lvl w:ilvl="0" w:tplc="ABBA84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EA81C29"/>
    <w:multiLevelType w:val="hybridMultilevel"/>
    <w:tmpl w:val="0A885674"/>
    <w:lvl w:ilvl="0" w:tplc="42CAD2D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8B81A8A"/>
    <w:multiLevelType w:val="hybridMultilevel"/>
    <w:tmpl w:val="A87411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8800776"/>
    <w:multiLevelType w:val="hybridMultilevel"/>
    <w:tmpl w:val="F5C2C3B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BD96BF8"/>
    <w:multiLevelType w:val="hybridMultilevel"/>
    <w:tmpl w:val="8F4030EC"/>
    <w:lvl w:ilvl="0" w:tplc="0CDA7214">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12200EE"/>
    <w:multiLevelType w:val="hybridMultilevel"/>
    <w:tmpl w:val="99A278CE"/>
    <w:lvl w:ilvl="0" w:tplc="0CDA721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A2C4D18"/>
    <w:multiLevelType w:val="hybridMultilevel"/>
    <w:tmpl w:val="B0265302"/>
    <w:lvl w:ilvl="0" w:tplc="ABBA849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17263599">
    <w:abstractNumId w:val="16"/>
  </w:num>
  <w:num w:numId="2" w16cid:durableId="1252815347">
    <w:abstractNumId w:val="23"/>
  </w:num>
  <w:num w:numId="3" w16cid:durableId="561255498">
    <w:abstractNumId w:val="1"/>
  </w:num>
  <w:num w:numId="4" w16cid:durableId="1325278790">
    <w:abstractNumId w:val="2"/>
  </w:num>
  <w:num w:numId="5" w16cid:durableId="1075007483">
    <w:abstractNumId w:val="3"/>
  </w:num>
  <w:num w:numId="6" w16cid:durableId="1822694114">
    <w:abstractNumId w:val="4"/>
  </w:num>
  <w:num w:numId="7" w16cid:durableId="1633440969">
    <w:abstractNumId w:val="9"/>
  </w:num>
  <w:num w:numId="8" w16cid:durableId="1961715816">
    <w:abstractNumId w:val="5"/>
  </w:num>
  <w:num w:numId="9" w16cid:durableId="1972782613">
    <w:abstractNumId w:val="7"/>
  </w:num>
  <w:num w:numId="10" w16cid:durableId="1519386675">
    <w:abstractNumId w:val="6"/>
  </w:num>
  <w:num w:numId="11" w16cid:durableId="1309824570">
    <w:abstractNumId w:val="10"/>
  </w:num>
  <w:num w:numId="12" w16cid:durableId="2022387407">
    <w:abstractNumId w:val="8"/>
  </w:num>
  <w:num w:numId="13" w16cid:durableId="315837064">
    <w:abstractNumId w:val="20"/>
  </w:num>
  <w:num w:numId="14" w16cid:durableId="356197434">
    <w:abstractNumId w:val="24"/>
  </w:num>
  <w:num w:numId="15" w16cid:durableId="384723342">
    <w:abstractNumId w:val="14"/>
  </w:num>
  <w:num w:numId="16" w16cid:durableId="738795677">
    <w:abstractNumId w:val="18"/>
  </w:num>
  <w:num w:numId="17" w16cid:durableId="1309895259">
    <w:abstractNumId w:val="11"/>
  </w:num>
  <w:num w:numId="18" w16cid:durableId="1857498776">
    <w:abstractNumId w:val="0"/>
  </w:num>
  <w:num w:numId="19" w16cid:durableId="1227230712">
    <w:abstractNumId w:val="12"/>
  </w:num>
  <w:num w:numId="20" w16cid:durableId="638072728">
    <w:abstractNumId w:val="24"/>
  </w:num>
  <w:num w:numId="21" w16cid:durableId="2012180727">
    <w:abstractNumId w:val="24"/>
  </w:num>
  <w:num w:numId="22" w16cid:durableId="1923104272">
    <w:abstractNumId w:val="24"/>
  </w:num>
  <w:num w:numId="23" w16cid:durableId="223419634">
    <w:abstractNumId w:val="24"/>
  </w:num>
  <w:num w:numId="24" w16cid:durableId="1097411846">
    <w:abstractNumId w:val="20"/>
  </w:num>
  <w:num w:numId="25" w16cid:durableId="1098912295">
    <w:abstractNumId w:val="21"/>
  </w:num>
  <w:num w:numId="26" w16cid:durableId="1628777355">
    <w:abstractNumId w:val="25"/>
  </w:num>
  <w:num w:numId="27" w16cid:durableId="51737862">
    <w:abstractNumId w:val="26"/>
  </w:num>
  <w:num w:numId="28" w16cid:durableId="133108387">
    <w:abstractNumId w:val="24"/>
  </w:num>
  <w:num w:numId="29" w16cid:durableId="134492565">
    <w:abstractNumId w:val="13"/>
  </w:num>
  <w:num w:numId="30" w16cid:durableId="922959858">
    <w:abstractNumId w:val="27"/>
  </w:num>
  <w:num w:numId="31" w16cid:durableId="2094665756">
    <w:abstractNumId w:val="19"/>
  </w:num>
  <w:num w:numId="32" w16cid:durableId="2168683">
    <w:abstractNumId w:val="17"/>
  </w:num>
  <w:num w:numId="33" w16cid:durableId="1539244333">
    <w:abstractNumId w:val="22"/>
  </w:num>
  <w:num w:numId="34" w16cid:durableId="1534344985">
    <w:abstractNumId w:val="29"/>
  </w:num>
  <w:num w:numId="35" w16cid:durableId="2078094239">
    <w:abstractNumId w:val="15"/>
  </w:num>
  <w:num w:numId="36" w16cid:durableId="1563909795">
    <w:abstractNumId w:val="28"/>
  </w:num>
  <w:num w:numId="37" w16cid:durableId="732240886">
    <w:abstractNumId w:val="20"/>
    <w:lvlOverride w:ilvl="0">
      <w:startOverride w:val="1"/>
    </w:lvlOverride>
  </w:num>
  <w:num w:numId="38" w16cid:durableId="10279472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219413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tLCwMDI1sjA2NDE0NjJW0lEKTi0uzszPAykwMq4FACeKv+YtAAAA"/>
  </w:docVars>
  <w:rsids>
    <w:rsidRoot w:val="00523E14"/>
    <w:rsid w:val="00001899"/>
    <w:rsid w:val="000049AD"/>
    <w:rsid w:val="0000681B"/>
    <w:rsid w:val="000133C0"/>
    <w:rsid w:val="00014C4E"/>
    <w:rsid w:val="00017107"/>
    <w:rsid w:val="000202E2"/>
    <w:rsid w:val="00022441"/>
    <w:rsid w:val="0002261E"/>
    <w:rsid w:val="00023BA0"/>
    <w:rsid w:val="00024839"/>
    <w:rsid w:val="00026871"/>
    <w:rsid w:val="00037A98"/>
    <w:rsid w:val="000427FB"/>
    <w:rsid w:val="0004455E"/>
    <w:rsid w:val="00047CB5"/>
    <w:rsid w:val="00051FAA"/>
    <w:rsid w:val="000572A9"/>
    <w:rsid w:val="000579D2"/>
    <w:rsid w:val="00061325"/>
    <w:rsid w:val="00063F6D"/>
    <w:rsid w:val="000733AC"/>
    <w:rsid w:val="00074B81"/>
    <w:rsid w:val="00074D22"/>
    <w:rsid w:val="00075081"/>
    <w:rsid w:val="0007528A"/>
    <w:rsid w:val="000811AB"/>
    <w:rsid w:val="00083C5F"/>
    <w:rsid w:val="0009172C"/>
    <w:rsid w:val="000930EC"/>
    <w:rsid w:val="00095E61"/>
    <w:rsid w:val="000966C1"/>
    <w:rsid w:val="000970AC"/>
    <w:rsid w:val="000A1167"/>
    <w:rsid w:val="000A4428"/>
    <w:rsid w:val="000A6D40"/>
    <w:rsid w:val="000A7BC3"/>
    <w:rsid w:val="000B1661"/>
    <w:rsid w:val="000B1F0B"/>
    <w:rsid w:val="000B2E88"/>
    <w:rsid w:val="000B4603"/>
    <w:rsid w:val="000C09BE"/>
    <w:rsid w:val="000C1380"/>
    <w:rsid w:val="000C554F"/>
    <w:rsid w:val="000D0DC5"/>
    <w:rsid w:val="000D15FF"/>
    <w:rsid w:val="000D28DF"/>
    <w:rsid w:val="000D488B"/>
    <w:rsid w:val="000D68DF"/>
    <w:rsid w:val="000E138D"/>
    <w:rsid w:val="000E187A"/>
    <w:rsid w:val="000E2D61"/>
    <w:rsid w:val="000E450E"/>
    <w:rsid w:val="000E6259"/>
    <w:rsid w:val="000F0CFE"/>
    <w:rsid w:val="000F23E3"/>
    <w:rsid w:val="000F4677"/>
    <w:rsid w:val="000F5BE0"/>
    <w:rsid w:val="000F6175"/>
    <w:rsid w:val="000F7711"/>
    <w:rsid w:val="00100587"/>
    <w:rsid w:val="0010284E"/>
    <w:rsid w:val="00103122"/>
    <w:rsid w:val="0010336A"/>
    <w:rsid w:val="001050F1"/>
    <w:rsid w:val="00105AEA"/>
    <w:rsid w:val="00106DAF"/>
    <w:rsid w:val="00113DAE"/>
    <w:rsid w:val="00114ABE"/>
    <w:rsid w:val="00116023"/>
    <w:rsid w:val="00134A51"/>
    <w:rsid w:val="00140727"/>
    <w:rsid w:val="00147258"/>
    <w:rsid w:val="00160628"/>
    <w:rsid w:val="00161344"/>
    <w:rsid w:val="00162195"/>
    <w:rsid w:val="0016322A"/>
    <w:rsid w:val="00165A21"/>
    <w:rsid w:val="001705CE"/>
    <w:rsid w:val="0017322C"/>
    <w:rsid w:val="0017714B"/>
    <w:rsid w:val="001804DF"/>
    <w:rsid w:val="00181BDC"/>
    <w:rsid w:val="00181DB0"/>
    <w:rsid w:val="001829E3"/>
    <w:rsid w:val="00186070"/>
    <w:rsid w:val="00191459"/>
    <w:rsid w:val="001924C0"/>
    <w:rsid w:val="00193641"/>
    <w:rsid w:val="0019459B"/>
    <w:rsid w:val="00194C28"/>
    <w:rsid w:val="0019731E"/>
    <w:rsid w:val="001A09FE"/>
    <w:rsid w:val="001A67C9"/>
    <w:rsid w:val="001A69DE"/>
    <w:rsid w:val="001A713C"/>
    <w:rsid w:val="001B1C7C"/>
    <w:rsid w:val="001B398F"/>
    <w:rsid w:val="001B46C6"/>
    <w:rsid w:val="001B4B48"/>
    <w:rsid w:val="001B4D1F"/>
    <w:rsid w:val="001B7681"/>
    <w:rsid w:val="001B7CAE"/>
    <w:rsid w:val="001C0772"/>
    <w:rsid w:val="001C0D4F"/>
    <w:rsid w:val="001C1BA3"/>
    <w:rsid w:val="001C1DEC"/>
    <w:rsid w:val="001C5736"/>
    <w:rsid w:val="001D647F"/>
    <w:rsid w:val="001D6857"/>
    <w:rsid w:val="001E0572"/>
    <w:rsid w:val="001E0A67"/>
    <w:rsid w:val="001E1028"/>
    <w:rsid w:val="001E14E2"/>
    <w:rsid w:val="001E6302"/>
    <w:rsid w:val="001E7DCB"/>
    <w:rsid w:val="001F3411"/>
    <w:rsid w:val="001F4287"/>
    <w:rsid w:val="001F4DBA"/>
    <w:rsid w:val="001F7EAE"/>
    <w:rsid w:val="0020415E"/>
    <w:rsid w:val="00204FF4"/>
    <w:rsid w:val="0021056E"/>
    <w:rsid w:val="0021075D"/>
    <w:rsid w:val="0021165A"/>
    <w:rsid w:val="00211BC9"/>
    <w:rsid w:val="0021620C"/>
    <w:rsid w:val="00216E78"/>
    <w:rsid w:val="00217275"/>
    <w:rsid w:val="002211DD"/>
    <w:rsid w:val="00236F4B"/>
    <w:rsid w:val="00242B0D"/>
    <w:rsid w:val="002467C6"/>
    <w:rsid w:val="002468E3"/>
    <w:rsid w:val="0024692A"/>
    <w:rsid w:val="002527D3"/>
    <w:rsid w:val="00252BBA"/>
    <w:rsid w:val="00253123"/>
    <w:rsid w:val="00264001"/>
    <w:rsid w:val="00266354"/>
    <w:rsid w:val="00267A18"/>
    <w:rsid w:val="00270F44"/>
    <w:rsid w:val="00273462"/>
    <w:rsid w:val="0027395B"/>
    <w:rsid w:val="00275854"/>
    <w:rsid w:val="00283B41"/>
    <w:rsid w:val="00285F28"/>
    <w:rsid w:val="00286398"/>
    <w:rsid w:val="002A00FE"/>
    <w:rsid w:val="002A3C42"/>
    <w:rsid w:val="002A5D75"/>
    <w:rsid w:val="002B1B1A"/>
    <w:rsid w:val="002B5E02"/>
    <w:rsid w:val="002B7228"/>
    <w:rsid w:val="002C53EE"/>
    <w:rsid w:val="002D11C6"/>
    <w:rsid w:val="002D24F7"/>
    <w:rsid w:val="002D2799"/>
    <w:rsid w:val="002D2CD7"/>
    <w:rsid w:val="002D4DDC"/>
    <w:rsid w:val="002D4F75"/>
    <w:rsid w:val="002D6493"/>
    <w:rsid w:val="002D7AB6"/>
    <w:rsid w:val="002E06D0"/>
    <w:rsid w:val="002E3C27"/>
    <w:rsid w:val="002E403A"/>
    <w:rsid w:val="002E7F3A"/>
    <w:rsid w:val="002F4EDB"/>
    <w:rsid w:val="002F6054"/>
    <w:rsid w:val="00301CC9"/>
    <w:rsid w:val="00305F05"/>
    <w:rsid w:val="00307927"/>
    <w:rsid w:val="00310E13"/>
    <w:rsid w:val="00315713"/>
    <w:rsid w:val="0031686C"/>
    <w:rsid w:val="00316FE0"/>
    <w:rsid w:val="003204D2"/>
    <w:rsid w:val="00322A08"/>
    <w:rsid w:val="0032605E"/>
    <w:rsid w:val="003275D1"/>
    <w:rsid w:val="00330B2A"/>
    <w:rsid w:val="00331E17"/>
    <w:rsid w:val="00333063"/>
    <w:rsid w:val="003408E3"/>
    <w:rsid w:val="00343480"/>
    <w:rsid w:val="00345E89"/>
    <w:rsid w:val="00351146"/>
    <w:rsid w:val="003522A1"/>
    <w:rsid w:val="0035254B"/>
    <w:rsid w:val="00353555"/>
    <w:rsid w:val="003548C9"/>
    <w:rsid w:val="003565D4"/>
    <w:rsid w:val="003607FB"/>
    <w:rsid w:val="00360FD5"/>
    <w:rsid w:val="0036340D"/>
    <w:rsid w:val="003634A5"/>
    <w:rsid w:val="00366868"/>
    <w:rsid w:val="00367506"/>
    <w:rsid w:val="00370085"/>
    <w:rsid w:val="003744A7"/>
    <w:rsid w:val="00376235"/>
    <w:rsid w:val="00376A98"/>
    <w:rsid w:val="00380413"/>
    <w:rsid w:val="00381FB6"/>
    <w:rsid w:val="003836D3"/>
    <w:rsid w:val="00383A52"/>
    <w:rsid w:val="00391652"/>
    <w:rsid w:val="0039507F"/>
    <w:rsid w:val="003A1260"/>
    <w:rsid w:val="003A295F"/>
    <w:rsid w:val="003A41DD"/>
    <w:rsid w:val="003A7033"/>
    <w:rsid w:val="003B3F68"/>
    <w:rsid w:val="003B47FE"/>
    <w:rsid w:val="003B5673"/>
    <w:rsid w:val="003B6287"/>
    <w:rsid w:val="003B62C9"/>
    <w:rsid w:val="003C7176"/>
    <w:rsid w:val="003D0929"/>
    <w:rsid w:val="003D4729"/>
    <w:rsid w:val="003D7DD6"/>
    <w:rsid w:val="003E0874"/>
    <w:rsid w:val="003E5AAF"/>
    <w:rsid w:val="003E600D"/>
    <w:rsid w:val="003E64DF"/>
    <w:rsid w:val="003E6A5D"/>
    <w:rsid w:val="003F193A"/>
    <w:rsid w:val="003F2E89"/>
    <w:rsid w:val="003F4207"/>
    <w:rsid w:val="003F5C46"/>
    <w:rsid w:val="003F7CBB"/>
    <w:rsid w:val="003F7D34"/>
    <w:rsid w:val="004020A8"/>
    <w:rsid w:val="00410971"/>
    <w:rsid w:val="00412C8E"/>
    <w:rsid w:val="0041518D"/>
    <w:rsid w:val="00417663"/>
    <w:rsid w:val="0042221D"/>
    <w:rsid w:val="00424DD3"/>
    <w:rsid w:val="00425784"/>
    <w:rsid w:val="004269C5"/>
    <w:rsid w:val="00435939"/>
    <w:rsid w:val="00437CC7"/>
    <w:rsid w:val="00442B9C"/>
    <w:rsid w:val="00445EFA"/>
    <w:rsid w:val="0044738A"/>
    <w:rsid w:val="004473D3"/>
    <w:rsid w:val="00450908"/>
    <w:rsid w:val="00452231"/>
    <w:rsid w:val="00460C13"/>
    <w:rsid w:val="00463228"/>
    <w:rsid w:val="00463782"/>
    <w:rsid w:val="004667E0"/>
    <w:rsid w:val="0046760E"/>
    <w:rsid w:val="00470046"/>
    <w:rsid w:val="00470E10"/>
    <w:rsid w:val="00477A97"/>
    <w:rsid w:val="00481343"/>
    <w:rsid w:val="0048321A"/>
    <w:rsid w:val="0048549E"/>
    <w:rsid w:val="004930C6"/>
    <w:rsid w:val="00493347"/>
    <w:rsid w:val="00496092"/>
    <w:rsid w:val="004A08DB"/>
    <w:rsid w:val="004A1D8E"/>
    <w:rsid w:val="004A25D0"/>
    <w:rsid w:val="004A37E8"/>
    <w:rsid w:val="004A7549"/>
    <w:rsid w:val="004A7615"/>
    <w:rsid w:val="004B09D4"/>
    <w:rsid w:val="004B309D"/>
    <w:rsid w:val="004B330A"/>
    <w:rsid w:val="004B7C8E"/>
    <w:rsid w:val="004C3D3C"/>
    <w:rsid w:val="004D0EDC"/>
    <w:rsid w:val="004D1220"/>
    <w:rsid w:val="004D14B3"/>
    <w:rsid w:val="004D1529"/>
    <w:rsid w:val="004D2253"/>
    <w:rsid w:val="004D5514"/>
    <w:rsid w:val="004D56C3"/>
    <w:rsid w:val="004E0338"/>
    <w:rsid w:val="004E16A4"/>
    <w:rsid w:val="004E4FF3"/>
    <w:rsid w:val="004E56A8"/>
    <w:rsid w:val="004F2D3D"/>
    <w:rsid w:val="004F3B55"/>
    <w:rsid w:val="004F428E"/>
    <w:rsid w:val="004F4E46"/>
    <w:rsid w:val="004F6B7D"/>
    <w:rsid w:val="005015F6"/>
    <w:rsid w:val="005030C4"/>
    <w:rsid w:val="005031C5"/>
    <w:rsid w:val="00504FDC"/>
    <w:rsid w:val="005120CC"/>
    <w:rsid w:val="00512B33"/>
    <w:rsid w:val="00512B7B"/>
    <w:rsid w:val="00514EA1"/>
    <w:rsid w:val="0051798B"/>
    <w:rsid w:val="00521F5A"/>
    <w:rsid w:val="00523E14"/>
    <w:rsid w:val="00525E06"/>
    <w:rsid w:val="00526454"/>
    <w:rsid w:val="00531823"/>
    <w:rsid w:val="00534ECC"/>
    <w:rsid w:val="0053720D"/>
    <w:rsid w:val="00540EF5"/>
    <w:rsid w:val="00541BF3"/>
    <w:rsid w:val="00541CD3"/>
    <w:rsid w:val="00543E02"/>
    <w:rsid w:val="005460B7"/>
    <w:rsid w:val="005476FA"/>
    <w:rsid w:val="0055595E"/>
    <w:rsid w:val="00557988"/>
    <w:rsid w:val="00562C49"/>
    <w:rsid w:val="00562DEF"/>
    <w:rsid w:val="0056321A"/>
    <w:rsid w:val="00563A35"/>
    <w:rsid w:val="00566596"/>
    <w:rsid w:val="005741E9"/>
    <w:rsid w:val="005748CF"/>
    <w:rsid w:val="00580C1E"/>
    <w:rsid w:val="00584270"/>
    <w:rsid w:val="00584738"/>
    <w:rsid w:val="005920B0"/>
    <w:rsid w:val="0059380D"/>
    <w:rsid w:val="00595A8F"/>
    <w:rsid w:val="005977C2"/>
    <w:rsid w:val="00597BF2"/>
    <w:rsid w:val="005A1F54"/>
    <w:rsid w:val="005A3020"/>
    <w:rsid w:val="005A3D88"/>
    <w:rsid w:val="005B134E"/>
    <w:rsid w:val="005B2039"/>
    <w:rsid w:val="005B344F"/>
    <w:rsid w:val="005B3FBA"/>
    <w:rsid w:val="005B4A1D"/>
    <w:rsid w:val="005B6311"/>
    <w:rsid w:val="005B674D"/>
    <w:rsid w:val="005C056D"/>
    <w:rsid w:val="005C0CBE"/>
    <w:rsid w:val="005C1FCF"/>
    <w:rsid w:val="005C3F41"/>
    <w:rsid w:val="005D1885"/>
    <w:rsid w:val="005D4A38"/>
    <w:rsid w:val="005D5169"/>
    <w:rsid w:val="005E0DF6"/>
    <w:rsid w:val="005E2EEA"/>
    <w:rsid w:val="005E3708"/>
    <w:rsid w:val="005E3CCD"/>
    <w:rsid w:val="005E3D6B"/>
    <w:rsid w:val="005E47DE"/>
    <w:rsid w:val="005E5B55"/>
    <w:rsid w:val="005E5E4A"/>
    <w:rsid w:val="005E693D"/>
    <w:rsid w:val="005E75BF"/>
    <w:rsid w:val="005F1C6B"/>
    <w:rsid w:val="005F4E48"/>
    <w:rsid w:val="005F57BA"/>
    <w:rsid w:val="005F61E6"/>
    <w:rsid w:val="005F6C45"/>
    <w:rsid w:val="00605A69"/>
    <w:rsid w:val="00606C54"/>
    <w:rsid w:val="006125DB"/>
    <w:rsid w:val="00614375"/>
    <w:rsid w:val="00615B0A"/>
    <w:rsid w:val="006163B3"/>
    <w:rsid w:val="006168CF"/>
    <w:rsid w:val="0062011B"/>
    <w:rsid w:val="00626DE0"/>
    <w:rsid w:val="00630901"/>
    <w:rsid w:val="00631F8E"/>
    <w:rsid w:val="00636EE9"/>
    <w:rsid w:val="0064081F"/>
    <w:rsid w:val="00640950"/>
    <w:rsid w:val="00640E79"/>
    <w:rsid w:val="00641AE7"/>
    <w:rsid w:val="00642629"/>
    <w:rsid w:val="0064782B"/>
    <w:rsid w:val="0065293D"/>
    <w:rsid w:val="00653EFC"/>
    <w:rsid w:val="00654021"/>
    <w:rsid w:val="00661045"/>
    <w:rsid w:val="00666DA8"/>
    <w:rsid w:val="00671057"/>
    <w:rsid w:val="006742F2"/>
    <w:rsid w:val="00675AAF"/>
    <w:rsid w:val="0068031A"/>
    <w:rsid w:val="00681B2F"/>
    <w:rsid w:val="0068335F"/>
    <w:rsid w:val="00687217"/>
    <w:rsid w:val="0068754E"/>
    <w:rsid w:val="00693302"/>
    <w:rsid w:val="0069640B"/>
    <w:rsid w:val="006A1B83"/>
    <w:rsid w:val="006A21CD"/>
    <w:rsid w:val="006A5918"/>
    <w:rsid w:val="006B21B2"/>
    <w:rsid w:val="006B4A4A"/>
    <w:rsid w:val="006C19B2"/>
    <w:rsid w:val="006C4409"/>
    <w:rsid w:val="006C5BB8"/>
    <w:rsid w:val="006C6936"/>
    <w:rsid w:val="006C7A6B"/>
    <w:rsid w:val="006C7B01"/>
    <w:rsid w:val="006D0FE8"/>
    <w:rsid w:val="006D4B2B"/>
    <w:rsid w:val="006D4BE7"/>
    <w:rsid w:val="006D4E38"/>
    <w:rsid w:val="006D4F3C"/>
    <w:rsid w:val="006D5C66"/>
    <w:rsid w:val="006D7002"/>
    <w:rsid w:val="006E1B3C"/>
    <w:rsid w:val="006E23FB"/>
    <w:rsid w:val="006E325A"/>
    <w:rsid w:val="006E33EC"/>
    <w:rsid w:val="006E3802"/>
    <w:rsid w:val="006E6C02"/>
    <w:rsid w:val="006F10DD"/>
    <w:rsid w:val="006F231A"/>
    <w:rsid w:val="006F6B55"/>
    <w:rsid w:val="006F788D"/>
    <w:rsid w:val="006F78E1"/>
    <w:rsid w:val="00701072"/>
    <w:rsid w:val="00702054"/>
    <w:rsid w:val="007035A4"/>
    <w:rsid w:val="00703A89"/>
    <w:rsid w:val="00705B2E"/>
    <w:rsid w:val="00711799"/>
    <w:rsid w:val="00712B78"/>
    <w:rsid w:val="0071393B"/>
    <w:rsid w:val="00713EE2"/>
    <w:rsid w:val="007177FC"/>
    <w:rsid w:val="00720C5E"/>
    <w:rsid w:val="00721701"/>
    <w:rsid w:val="00731835"/>
    <w:rsid w:val="007341F8"/>
    <w:rsid w:val="00734372"/>
    <w:rsid w:val="00734EB8"/>
    <w:rsid w:val="00735F8B"/>
    <w:rsid w:val="0074090B"/>
    <w:rsid w:val="00742D1F"/>
    <w:rsid w:val="00743EBA"/>
    <w:rsid w:val="00744C8E"/>
    <w:rsid w:val="00746312"/>
    <w:rsid w:val="0074707E"/>
    <w:rsid w:val="007516DC"/>
    <w:rsid w:val="00752E58"/>
    <w:rsid w:val="00754B80"/>
    <w:rsid w:val="00761918"/>
    <w:rsid w:val="00762F03"/>
    <w:rsid w:val="0076413B"/>
    <w:rsid w:val="007648AE"/>
    <w:rsid w:val="00764BF8"/>
    <w:rsid w:val="0076514D"/>
    <w:rsid w:val="00773D59"/>
    <w:rsid w:val="007749C8"/>
    <w:rsid w:val="00781003"/>
    <w:rsid w:val="007911FD"/>
    <w:rsid w:val="00793930"/>
    <w:rsid w:val="00793DD1"/>
    <w:rsid w:val="00794FEC"/>
    <w:rsid w:val="007A003E"/>
    <w:rsid w:val="007A1965"/>
    <w:rsid w:val="007A2ED1"/>
    <w:rsid w:val="007A4BE6"/>
    <w:rsid w:val="007A4E3F"/>
    <w:rsid w:val="007B0DC6"/>
    <w:rsid w:val="007B1094"/>
    <w:rsid w:val="007B1762"/>
    <w:rsid w:val="007B3320"/>
    <w:rsid w:val="007C301F"/>
    <w:rsid w:val="007C4540"/>
    <w:rsid w:val="007C65AF"/>
    <w:rsid w:val="007D135D"/>
    <w:rsid w:val="007D730F"/>
    <w:rsid w:val="007D7CD8"/>
    <w:rsid w:val="007E0C6D"/>
    <w:rsid w:val="007E3A7B"/>
    <w:rsid w:val="007E3AA7"/>
    <w:rsid w:val="007F737D"/>
    <w:rsid w:val="0080308E"/>
    <w:rsid w:val="00803EDC"/>
    <w:rsid w:val="00805303"/>
    <w:rsid w:val="00806705"/>
    <w:rsid w:val="00806738"/>
    <w:rsid w:val="00807A45"/>
    <w:rsid w:val="008216D5"/>
    <w:rsid w:val="008249CE"/>
    <w:rsid w:val="00831A50"/>
    <w:rsid w:val="00831B3C"/>
    <w:rsid w:val="00831C89"/>
    <w:rsid w:val="00832114"/>
    <w:rsid w:val="00834C46"/>
    <w:rsid w:val="0084093E"/>
    <w:rsid w:val="00841CE1"/>
    <w:rsid w:val="008473D8"/>
    <w:rsid w:val="008528DC"/>
    <w:rsid w:val="00852B8C"/>
    <w:rsid w:val="00854981"/>
    <w:rsid w:val="00864B2E"/>
    <w:rsid w:val="00864DD9"/>
    <w:rsid w:val="00865963"/>
    <w:rsid w:val="00871C1D"/>
    <w:rsid w:val="0087450E"/>
    <w:rsid w:val="00875A82"/>
    <w:rsid w:val="00876CA3"/>
    <w:rsid w:val="008772FE"/>
    <w:rsid w:val="008775F1"/>
    <w:rsid w:val="008821AE"/>
    <w:rsid w:val="00883D3A"/>
    <w:rsid w:val="008854F7"/>
    <w:rsid w:val="00885A9D"/>
    <w:rsid w:val="008929D2"/>
    <w:rsid w:val="00893636"/>
    <w:rsid w:val="00893B94"/>
    <w:rsid w:val="00896E9D"/>
    <w:rsid w:val="00896F11"/>
    <w:rsid w:val="008A1049"/>
    <w:rsid w:val="008A1C98"/>
    <w:rsid w:val="008A322D"/>
    <w:rsid w:val="008A3FA6"/>
    <w:rsid w:val="008A4D72"/>
    <w:rsid w:val="008A6285"/>
    <w:rsid w:val="008A63B2"/>
    <w:rsid w:val="008B345D"/>
    <w:rsid w:val="008C1FC2"/>
    <w:rsid w:val="008C2980"/>
    <w:rsid w:val="008C4DD6"/>
    <w:rsid w:val="008C5AFB"/>
    <w:rsid w:val="008D07FB"/>
    <w:rsid w:val="008D0C02"/>
    <w:rsid w:val="008D357D"/>
    <w:rsid w:val="008D435A"/>
    <w:rsid w:val="008E387B"/>
    <w:rsid w:val="008E6087"/>
    <w:rsid w:val="008E758D"/>
    <w:rsid w:val="008F0151"/>
    <w:rsid w:val="008F10A7"/>
    <w:rsid w:val="008F755D"/>
    <w:rsid w:val="008F7A39"/>
    <w:rsid w:val="009021E8"/>
    <w:rsid w:val="00904677"/>
    <w:rsid w:val="00905EE2"/>
    <w:rsid w:val="00911440"/>
    <w:rsid w:val="00911712"/>
    <w:rsid w:val="00911B27"/>
    <w:rsid w:val="00914B1A"/>
    <w:rsid w:val="00914FCE"/>
    <w:rsid w:val="0091558A"/>
    <w:rsid w:val="00915BB6"/>
    <w:rsid w:val="009170BE"/>
    <w:rsid w:val="00920B55"/>
    <w:rsid w:val="009262C9"/>
    <w:rsid w:val="00930EB9"/>
    <w:rsid w:val="00933DC7"/>
    <w:rsid w:val="009418F4"/>
    <w:rsid w:val="00942BBC"/>
    <w:rsid w:val="00944180"/>
    <w:rsid w:val="00944AA0"/>
    <w:rsid w:val="00947DA2"/>
    <w:rsid w:val="00951177"/>
    <w:rsid w:val="009673E8"/>
    <w:rsid w:val="00974DB8"/>
    <w:rsid w:val="00980661"/>
    <w:rsid w:val="0098093B"/>
    <w:rsid w:val="009814D5"/>
    <w:rsid w:val="009876D4"/>
    <w:rsid w:val="009914A5"/>
    <w:rsid w:val="0099548E"/>
    <w:rsid w:val="00996456"/>
    <w:rsid w:val="00996A12"/>
    <w:rsid w:val="00997B0F"/>
    <w:rsid w:val="009A0CC3"/>
    <w:rsid w:val="009A1CAD"/>
    <w:rsid w:val="009A3440"/>
    <w:rsid w:val="009A5832"/>
    <w:rsid w:val="009A6838"/>
    <w:rsid w:val="009B24B5"/>
    <w:rsid w:val="009B2B39"/>
    <w:rsid w:val="009B4EBC"/>
    <w:rsid w:val="009B5ABB"/>
    <w:rsid w:val="009B73CE"/>
    <w:rsid w:val="009C2461"/>
    <w:rsid w:val="009C5A15"/>
    <w:rsid w:val="009C6FE2"/>
    <w:rsid w:val="009C7674"/>
    <w:rsid w:val="009D004A"/>
    <w:rsid w:val="009D5880"/>
    <w:rsid w:val="009E1FD4"/>
    <w:rsid w:val="009E3B07"/>
    <w:rsid w:val="009E51D1"/>
    <w:rsid w:val="009E5531"/>
    <w:rsid w:val="009F171E"/>
    <w:rsid w:val="009F3D2F"/>
    <w:rsid w:val="009F7052"/>
    <w:rsid w:val="00A02668"/>
    <w:rsid w:val="00A02801"/>
    <w:rsid w:val="00A06A39"/>
    <w:rsid w:val="00A07F58"/>
    <w:rsid w:val="00A131CB"/>
    <w:rsid w:val="00A13684"/>
    <w:rsid w:val="00A14847"/>
    <w:rsid w:val="00A16D6D"/>
    <w:rsid w:val="00A21383"/>
    <w:rsid w:val="00A2199F"/>
    <w:rsid w:val="00A21B31"/>
    <w:rsid w:val="00A2360E"/>
    <w:rsid w:val="00A2367C"/>
    <w:rsid w:val="00A26E0C"/>
    <w:rsid w:val="00A32FCB"/>
    <w:rsid w:val="00A34C25"/>
    <w:rsid w:val="00A3507D"/>
    <w:rsid w:val="00A3717A"/>
    <w:rsid w:val="00A4088C"/>
    <w:rsid w:val="00A4456B"/>
    <w:rsid w:val="00A44589"/>
    <w:rsid w:val="00A448D4"/>
    <w:rsid w:val="00A452E0"/>
    <w:rsid w:val="00A506DF"/>
    <w:rsid w:val="00A51EA5"/>
    <w:rsid w:val="00A53742"/>
    <w:rsid w:val="00A557A1"/>
    <w:rsid w:val="00A63059"/>
    <w:rsid w:val="00A63AE3"/>
    <w:rsid w:val="00A651A4"/>
    <w:rsid w:val="00A66008"/>
    <w:rsid w:val="00A71361"/>
    <w:rsid w:val="00A746E2"/>
    <w:rsid w:val="00A81FF2"/>
    <w:rsid w:val="00A83904"/>
    <w:rsid w:val="00A90A79"/>
    <w:rsid w:val="00A96B30"/>
    <w:rsid w:val="00AA442D"/>
    <w:rsid w:val="00AA59B5"/>
    <w:rsid w:val="00AA7333"/>
    <w:rsid w:val="00AA7777"/>
    <w:rsid w:val="00AA7B84"/>
    <w:rsid w:val="00AC0B4C"/>
    <w:rsid w:val="00AC1164"/>
    <w:rsid w:val="00AC2296"/>
    <w:rsid w:val="00AC2754"/>
    <w:rsid w:val="00AC48B0"/>
    <w:rsid w:val="00AC4ACD"/>
    <w:rsid w:val="00AC5DFB"/>
    <w:rsid w:val="00AD13DC"/>
    <w:rsid w:val="00AD6DE2"/>
    <w:rsid w:val="00AE0A40"/>
    <w:rsid w:val="00AE1ED4"/>
    <w:rsid w:val="00AE21E1"/>
    <w:rsid w:val="00AE2F8D"/>
    <w:rsid w:val="00AE3BAE"/>
    <w:rsid w:val="00AE6A21"/>
    <w:rsid w:val="00AF1C8F"/>
    <w:rsid w:val="00AF2B68"/>
    <w:rsid w:val="00AF2C92"/>
    <w:rsid w:val="00AF3EC1"/>
    <w:rsid w:val="00AF5025"/>
    <w:rsid w:val="00AF519F"/>
    <w:rsid w:val="00AF5387"/>
    <w:rsid w:val="00AF55F5"/>
    <w:rsid w:val="00AF7E86"/>
    <w:rsid w:val="00B024B9"/>
    <w:rsid w:val="00B077FA"/>
    <w:rsid w:val="00B10ABC"/>
    <w:rsid w:val="00B127D7"/>
    <w:rsid w:val="00B13B0C"/>
    <w:rsid w:val="00B14408"/>
    <w:rsid w:val="00B1453A"/>
    <w:rsid w:val="00B20F82"/>
    <w:rsid w:val="00B25BD5"/>
    <w:rsid w:val="00B34079"/>
    <w:rsid w:val="00B3793A"/>
    <w:rsid w:val="00B401BA"/>
    <w:rsid w:val="00B407E4"/>
    <w:rsid w:val="00B425B6"/>
    <w:rsid w:val="00B42A72"/>
    <w:rsid w:val="00B441AE"/>
    <w:rsid w:val="00B45A65"/>
    <w:rsid w:val="00B45F33"/>
    <w:rsid w:val="00B46D50"/>
    <w:rsid w:val="00B53170"/>
    <w:rsid w:val="00B548B9"/>
    <w:rsid w:val="00B56DBE"/>
    <w:rsid w:val="00B62999"/>
    <w:rsid w:val="00B63BE3"/>
    <w:rsid w:val="00B64885"/>
    <w:rsid w:val="00B64FA3"/>
    <w:rsid w:val="00B66810"/>
    <w:rsid w:val="00B72BE3"/>
    <w:rsid w:val="00B73B80"/>
    <w:rsid w:val="00B770C7"/>
    <w:rsid w:val="00B80F26"/>
    <w:rsid w:val="00B822BD"/>
    <w:rsid w:val="00B842F4"/>
    <w:rsid w:val="00B87D76"/>
    <w:rsid w:val="00B91A7B"/>
    <w:rsid w:val="00B929DD"/>
    <w:rsid w:val="00B93AF6"/>
    <w:rsid w:val="00B95405"/>
    <w:rsid w:val="00B963F1"/>
    <w:rsid w:val="00B97C0A"/>
    <w:rsid w:val="00BA020A"/>
    <w:rsid w:val="00BA4285"/>
    <w:rsid w:val="00BA4340"/>
    <w:rsid w:val="00BB025A"/>
    <w:rsid w:val="00BB02A4"/>
    <w:rsid w:val="00BB1270"/>
    <w:rsid w:val="00BB1E44"/>
    <w:rsid w:val="00BB418F"/>
    <w:rsid w:val="00BB5267"/>
    <w:rsid w:val="00BB52B8"/>
    <w:rsid w:val="00BB59D8"/>
    <w:rsid w:val="00BB7E69"/>
    <w:rsid w:val="00BC0E51"/>
    <w:rsid w:val="00BC3C1F"/>
    <w:rsid w:val="00BC7CE7"/>
    <w:rsid w:val="00BD295E"/>
    <w:rsid w:val="00BD4664"/>
    <w:rsid w:val="00BD4D89"/>
    <w:rsid w:val="00BE0560"/>
    <w:rsid w:val="00BE1193"/>
    <w:rsid w:val="00BF4849"/>
    <w:rsid w:val="00BF4EA7"/>
    <w:rsid w:val="00BF6525"/>
    <w:rsid w:val="00C00EDB"/>
    <w:rsid w:val="00C02863"/>
    <w:rsid w:val="00C0383A"/>
    <w:rsid w:val="00C05E16"/>
    <w:rsid w:val="00C067FF"/>
    <w:rsid w:val="00C0782D"/>
    <w:rsid w:val="00C12862"/>
    <w:rsid w:val="00C13D28"/>
    <w:rsid w:val="00C14585"/>
    <w:rsid w:val="00C15E4A"/>
    <w:rsid w:val="00C165A0"/>
    <w:rsid w:val="00C216CE"/>
    <w:rsid w:val="00C2184F"/>
    <w:rsid w:val="00C22A78"/>
    <w:rsid w:val="00C23C7E"/>
    <w:rsid w:val="00C246C5"/>
    <w:rsid w:val="00C25A82"/>
    <w:rsid w:val="00C30A2A"/>
    <w:rsid w:val="00C33993"/>
    <w:rsid w:val="00C4069E"/>
    <w:rsid w:val="00C41ADC"/>
    <w:rsid w:val="00C44149"/>
    <w:rsid w:val="00C44410"/>
    <w:rsid w:val="00C44A15"/>
    <w:rsid w:val="00C4630A"/>
    <w:rsid w:val="00C523F0"/>
    <w:rsid w:val="00C526D2"/>
    <w:rsid w:val="00C53A91"/>
    <w:rsid w:val="00C5794E"/>
    <w:rsid w:val="00C60968"/>
    <w:rsid w:val="00C63D39"/>
    <w:rsid w:val="00C63EDD"/>
    <w:rsid w:val="00C65B36"/>
    <w:rsid w:val="00C7292E"/>
    <w:rsid w:val="00C74E88"/>
    <w:rsid w:val="00C80924"/>
    <w:rsid w:val="00C8286B"/>
    <w:rsid w:val="00C947F8"/>
    <w:rsid w:val="00C9515F"/>
    <w:rsid w:val="00C963C5"/>
    <w:rsid w:val="00CA030C"/>
    <w:rsid w:val="00CA1F41"/>
    <w:rsid w:val="00CA32EE"/>
    <w:rsid w:val="00CA5771"/>
    <w:rsid w:val="00CA6A1A"/>
    <w:rsid w:val="00CA6C15"/>
    <w:rsid w:val="00CC1E75"/>
    <w:rsid w:val="00CC2E0E"/>
    <w:rsid w:val="00CC361C"/>
    <w:rsid w:val="00CC474B"/>
    <w:rsid w:val="00CC658C"/>
    <w:rsid w:val="00CC67BF"/>
    <w:rsid w:val="00CD0843"/>
    <w:rsid w:val="00CD4E31"/>
    <w:rsid w:val="00CD5A78"/>
    <w:rsid w:val="00CD7345"/>
    <w:rsid w:val="00CE372E"/>
    <w:rsid w:val="00CF0A1B"/>
    <w:rsid w:val="00CF19F6"/>
    <w:rsid w:val="00CF2F4F"/>
    <w:rsid w:val="00CF536D"/>
    <w:rsid w:val="00CF74AD"/>
    <w:rsid w:val="00D02E9D"/>
    <w:rsid w:val="00D037B4"/>
    <w:rsid w:val="00D03F4B"/>
    <w:rsid w:val="00D10CB8"/>
    <w:rsid w:val="00D12806"/>
    <w:rsid w:val="00D12D44"/>
    <w:rsid w:val="00D15018"/>
    <w:rsid w:val="00D151B7"/>
    <w:rsid w:val="00D158AC"/>
    <w:rsid w:val="00D1694C"/>
    <w:rsid w:val="00D20F5E"/>
    <w:rsid w:val="00D22E5D"/>
    <w:rsid w:val="00D23B76"/>
    <w:rsid w:val="00D24B4A"/>
    <w:rsid w:val="00D33A40"/>
    <w:rsid w:val="00D3524E"/>
    <w:rsid w:val="00D379A3"/>
    <w:rsid w:val="00D4216E"/>
    <w:rsid w:val="00D45FF3"/>
    <w:rsid w:val="00D4725F"/>
    <w:rsid w:val="00D512CF"/>
    <w:rsid w:val="00D528B9"/>
    <w:rsid w:val="00D53186"/>
    <w:rsid w:val="00D53461"/>
    <w:rsid w:val="00D5487D"/>
    <w:rsid w:val="00D60140"/>
    <w:rsid w:val="00D6024A"/>
    <w:rsid w:val="00D608B5"/>
    <w:rsid w:val="00D64739"/>
    <w:rsid w:val="00D71F99"/>
    <w:rsid w:val="00D73CA4"/>
    <w:rsid w:val="00D73D71"/>
    <w:rsid w:val="00D742AE"/>
    <w:rsid w:val="00D74396"/>
    <w:rsid w:val="00D80284"/>
    <w:rsid w:val="00D81F71"/>
    <w:rsid w:val="00D8642D"/>
    <w:rsid w:val="00D90A5E"/>
    <w:rsid w:val="00D91A68"/>
    <w:rsid w:val="00D93E85"/>
    <w:rsid w:val="00D95A68"/>
    <w:rsid w:val="00DA17C7"/>
    <w:rsid w:val="00DA3727"/>
    <w:rsid w:val="00DA4B2B"/>
    <w:rsid w:val="00DA6A9A"/>
    <w:rsid w:val="00DB1EFD"/>
    <w:rsid w:val="00DB2F49"/>
    <w:rsid w:val="00DB3EAF"/>
    <w:rsid w:val="00DB3FD3"/>
    <w:rsid w:val="00DB46C6"/>
    <w:rsid w:val="00DC3203"/>
    <w:rsid w:val="00DC3C99"/>
    <w:rsid w:val="00DC52F5"/>
    <w:rsid w:val="00DC5FD0"/>
    <w:rsid w:val="00DD0354"/>
    <w:rsid w:val="00DD2166"/>
    <w:rsid w:val="00DD27D7"/>
    <w:rsid w:val="00DD458C"/>
    <w:rsid w:val="00DD72E9"/>
    <w:rsid w:val="00DD7605"/>
    <w:rsid w:val="00DE2020"/>
    <w:rsid w:val="00DE3476"/>
    <w:rsid w:val="00DE7BEA"/>
    <w:rsid w:val="00DF5B84"/>
    <w:rsid w:val="00DF6D5B"/>
    <w:rsid w:val="00DF771B"/>
    <w:rsid w:val="00DF7EE2"/>
    <w:rsid w:val="00E01BAA"/>
    <w:rsid w:val="00E0282A"/>
    <w:rsid w:val="00E02F9B"/>
    <w:rsid w:val="00E07E14"/>
    <w:rsid w:val="00E14F94"/>
    <w:rsid w:val="00E17336"/>
    <w:rsid w:val="00E17D15"/>
    <w:rsid w:val="00E22B95"/>
    <w:rsid w:val="00E24DBE"/>
    <w:rsid w:val="00E30331"/>
    <w:rsid w:val="00E30BB8"/>
    <w:rsid w:val="00E31F9C"/>
    <w:rsid w:val="00E40488"/>
    <w:rsid w:val="00E50367"/>
    <w:rsid w:val="00E51ABA"/>
    <w:rsid w:val="00E524CB"/>
    <w:rsid w:val="00E61045"/>
    <w:rsid w:val="00E65456"/>
    <w:rsid w:val="00E65A91"/>
    <w:rsid w:val="00E66188"/>
    <w:rsid w:val="00E664FB"/>
    <w:rsid w:val="00E672F0"/>
    <w:rsid w:val="00E70373"/>
    <w:rsid w:val="00E72E40"/>
    <w:rsid w:val="00E73665"/>
    <w:rsid w:val="00E73999"/>
    <w:rsid w:val="00E73BDC"/>
    <w:rsid w:val="00E73E9E"/>
    <w:rsid w:val="00E81660"/>
    <w:rsid w:val="00E854FE"/>
    <w:rsid w:val="00E906CC"/>
    <w:rsid w:val="00E939A0"/>
    <w:rsid w:val="00E97E4E"/>
    <w:rsid w:val="00EA1CC2"/>
    <w:rsid w:val="00EA2D76"/>
    <w:rsid w:val="00EA4644"/>
    <w:rsid w:val="00EA758A"/>
    <w:rsid w:val="00EB096F"/>
    <w:rsid w:val="00EB199F"/>
    <w:rsid w:val="00EB21A4"/>
    <w:rsid w:val="00EB27C4"/>
    <w:rsid w:val="00EB5387"/>
    <w:rsid w:val="00EB5C10"/>
    <w:rsid w:val="00EB6894"/>
    <w:rsid w:val="00EB7322"/>
    <w:rsid w:val="00EC0D48"/>
    <w:rsid w:val="00EC0FE9"/>
    <w:rsid w:val="00EC198B"/>
    <w:rsid w:val="00EC2ADB"/>
    <w:rsid w:val="00EC426D"/>
    <w:rsid w:val="00EC571B"/>
    <w:rsid w:val="00EC57D7"/>
    <w:rsid w:val="00EC6385"/>
    <w:rsid w:val="00ED1DE9"/>
    <w:rsid w:val="00ED23D4"/>
    <w:rsid w:val="00ED5E0B"/>
    <w:rsid w:val="00EE37B6"/>
    <w:rsid w:val="00EF0F45"/>
    <w:rsid w:val="00EF269A"/>
    <w:rsid w:val="00EF7463"/>
    <w:rsid w:val="00EF7971"/>
    <w:rsid w:val="00F002EF"/>
    <w:rsid w:val="00F01EE9"/>
    <w:rsid w:val="00F04900"/>
    <w:rsid w:val="00F065A4"/>
    <w:rsid w:val="00F126B9"/>
    <w:rsid w:val="00F12715"/>
    <w:rsid w:val="00F144D5"/>
    <w:rsid w:val="00F146F0"/>
    <w:rsid w:val="00F15039"/>
    <w:rsid w:val="00F178E9"/>
    <w:rsid w:val="00F20FF3"/>
    <w:rsid w:val="00F2190B"/>
    <w:rsid w:val="00F228B5"/>
    <w:rsid w:val="00F2389C"/>
    <w:rsid w:val="00F24C72"/>
    <w:rsid w:val="00F2578D"/>
    <w:rsid w:val="00F25C67"/>
    <w:rsid w:val="00F26BEF"/>
    <w:rsid w:val="00F30DFF"/>
    <w:rsid w:val="00F32B80"/>
    <w:rsid w:val="00F340EB"/>
    <w:rsid w:val="00F35285"/>
    <w:rsid w:val="00F41BC5"/>
    <w:rsid w:val="00F43B9D"/>
    <w:rsid w:val="00F44D5E"/>
    <w:rsid w:val="00F53A35"/>
    <w:rsid w:val="00F55A3D"/>
    <w:rsid w:val="00F5744B"/>
    <w:rsid w:val="00F61209"/>
    <w:rsid w:val="00F6259E"/>
    <w:rsid w:val="00F63855"/>
    <w:rsid w:val="00F65DD4"/>
    <w:rsid w:val="00F672B2"/>
    <w:rsid w:val="00F72780"/>
    <w:rsid w:val="00F83973"/>
    <w:rsid w:val="00F87798"/>
    <w:rsid w:val="00F87FA3"/>
    <w:rsid w:val="00F93D8C"/>
    <w:rsid w:val="00FA3102"/>
    <w:rsid w:val="00FA48D4"/>
    <w:rsid w:val="00FA54FA"/>
    <w:rsid w:val="00FA6D39"/>
    <w:rsid w:val="00FB227E"/>
    <w:rsid w:val="00FB3D61"/>
    <w:rsid w:val="00FB44CE"/>
    <w:rsid w:val="00FB5009"/>
    <w:rsid w:val="00FB76AB"/>
    <w:rsid w:val="00FC3B2B"/>
    <w:rsid w:val="00FD03FE"/>
    <w:rsid w:val="00FD126E"/>
    <w:rsid w:val="00FD3C36"/>
    <w:rsid w:val="00FD4308"/>
    <w:rsid w:val="00FD4D81"/>
    <w:rsid w:val="00FD7498"/>
    <w:rsid w:val="00FD7FB3"/>
    <w:rsid w:val="00FE4713"/>
    <w:rsid w:val="00FF1F44"/>
    <w:rsid w:val="00FF225E"/>
    <w:rsid w:val="00FF4E59"/>
    <w:rsid w:val="00FF672C"/>
    <w:rsid w:val="00FF6C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E01D3"/>
  <w14:defaultImageDpi w14:val="330"/>
  <w15:docId w15:val="{0B9F935D-1EC2-4739-AD9E-8846B4D52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96F"/>
    <w:pPr>
      <w:spacing w:line="480" w:lineRule="auto"/>
    </w:pPr>
    <w:rPr>
      <w:sz w:val="24"/>
      <w:szCs w:val="24"/>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310E13"/>
    <w:pPr>
      <w:spacing w:before="360" w:after="300" w:line="360" w:lineRule="auto"/>
      <w:ind w:left="720" w:right="567"/>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00681B"/>
  </w:style>
  <w:style w:type="character" w:customStyle="1" w:styleId="Heading2Char">
    <w:name w:val="Heading 2 Char"/>
    <w:basedOn w:val="DefaultParagraphFont"/>
    <w:link w:val="Heading2"/>
    <w:rsid w:val="008D07FB"/>
    <w:rPr>
      <w:rFonts w:cs="Arial"/>
      <w:b/>
      <w:bCs/>
      <w:i/>
      <w:iCs/>
      <w:sz w:val="24"/>
      <w:szCs w:val="28"/>
    </w:rPr>
  </w:style>
  <w:style w:type="character" w:customStyle="1" w:styleId="Heading1Char">
    <w:name w:val="Heading 1 Char"/>
    <w:basedOn w:val="DefaultParagraphFont"/>
    <w:link w:val="Heading1"/>
    <w:rsid w:val="00AE1ED4"/>
    <w:rPr>
      <w:rFonts w:cs="Arial"/>
      <w:b/>
      <w:bCs/>
      <w:kern w:val="32"/>
      <w:sz w:val="24"/>
      <w:szCs w:val="32"/>
    </w:rPr>
  </w:style>
  <w:style w:type="character" w:customStyle="1" w:styleId="Heading3Char">
    <w:name w:val="Heading 3 Char"/>
    <w:basedOn w:val="DefaultParagraphFont"/>
    <w:link w:val="Heading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spacing w:after="240"/>
      <w:contextualSpacing/>
    </w:pPr>
  </w:style>
  <w:style w:type="paragraph" w:styleId="FootnoteText">
    <w:name w:val="footnote text"/>
    <w:basedOn w:val="Normal"/>
    <w:link w:val="FootnoteTextChar"/>
    <w:autoRedefine/>
    <w:rsid w:val="006C19B2"/>
    <w:pPr>
      <w:ind w:left="284" w:hanging="284"/>
    </w:pPr>
    <w:rPr>
      <w:sz w:val="22"/>
      <w:szCs w:val="20"/>
    </w:rPr>
  </w:style>
  <w:style w:type="character" w:customStyle="1" w:styleId="FootnoteTextChar">
    <w:name w:val="Footnote Text Char"/>
    <w:basedOn w:val="DefaultParagraphFont"/>
    <w:link w:val="FootnoteText"/>
    <w:rsid w:val="006C19B2"/>
    <w:rPr>
      <w:sz w:val="22"/>
    </w:rPr>
  </w:style>
  <w:style w:type="character" w:styleId="FootnoteReference">
    <w:name w:val="footnote reference"/>
    <w:basedOn w:val="DefaultParagraphFont"/>
    <w:rsid w:val="00AF2C92"/>
    <w:rPr>
      <w:vertAlign w:val="superscript"/>
    </w:rPr>
  </w:style>
  <w:style w:type="paragraph" w:styleId="EndnoteText">
    <w:name w:val="endnote text"/>
    <w:basedOn w:val="Normal"/>
    <w:link w:val="EndnoteTextChar"/>
    <w:autoRedefine/>
    <w:rsid w:val="006C19B2"/>
    <w:pPr>
      <w:ind w:left="284" w:hanging="284"/>
    </w:pPr>
    <w:rPr>
      <w:sz w:val="22"/>
      <w:szCs w:val="20"/>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rsid w:val="003F193A"/>
    <w:pPr>
      <w:tabs>
        <w:tab w:val="center" w:pos="4320"/>
        <w:tab w:val="right" w:pos="8640"/>
      </w:tabs>
      <w:spacing w:after="120" w:line="240" w:lineRule="auto"/>
      <w:contextualSpacing/>
    </w:pPr>
  </w:style>
  <w:style w:type="character" w:customStyle="1" w:styleId="HeaderChar">
    <w:name w:val="Header Char"/>
    <w:basedOn w:val="DefaultParagraphFont"/>
    <w:link w:val="Header"/>
    <w:rsid w:val="003F193A"/>
    <w:rPr>
      <w:rFonts w:eastAsia="Times New Roman"/>
      <w:sz w:val="24"/>
      <w:szCs w:val="24"/>
      <w:lang w:eastAsia="en-GB"/>
    </w:rPr>
  </w:style>
  <w:style w:type="paragraph" w:styleId="Footer">
    <w:name w:val="footer"/>
    <w:basedOn w:val="Normal"/>
    <w:link w:val="FooterChar"/>
    <w:rsid w:val="00AE6A21"/>
    <w:pPr>
      <w:tabs>
        <w:tab w:val="center" w:pos="4320"/>
        <w:tab w:val="right" w:pos="8640"/>
      </w:tabs>
      <w:spacing w:before="240" w:line="240" w:lineRule="auto"/>
      <w:contextualSpacing/>
    </w:pPr>
  </w:style>
  <w:style w:type="character" w:customStyle="1" w:styleId="FooterChar">
    <w:name w:val="Footer Char"/>
    <w:basedOn w:val="DefaultParagraphFont"/>
    <w:link w:val="Footer"/>
    <w:rsid w:val="00AE6A21"/>
    <w:rPr>
      <w:sz w:val="24"/>
      <w:szCs w:val="24"/>
    </w:rPr>
  </w:style>
  <w:style w:type="paragraph" w:customStyle="1" w:styleId="Heading4Paragraph">
    <w:name w:val="Heading 4 + Paragraph"/>
    <w:basedOn w:val="Paragraph"/>
    <w:next w:val="Newparagraph"/>
    <w:qFormat/>
    <w:rsid w:val="00AE1ED4"/>
    <w:pPr>
      <w:widowControl/>
      <w:spacing w:before="360"/>
    </w:pPr>
  </w:style>
  <w:style w:type="character" w:styleId="Hyperlink">
    <w:name w:val="Hyperlink"/>
    <w:basedOn w:val="DefaultParagraphFont"/>
    <w:unhideWhenUsed/>
    <w:rsid w:val="00351146"/>
    <w:rPr>
      <w:color w:val="0000FF" w:themeColor="hyperlink"/>
      <w:u w:val="single"/>
    </w:rPr>
  </w:style>
  <w:style w:type="character" w:styleId="UnresolvedMention">
    <w:name w:val="Unresolved Mention"/>
    <w:basedOn w:val="DefaultParagraphFont"/>
    <w:uiPriority w:val="99"/>
    <w:semiHidden/>
    <w:unhideWhenUsed/>
    <w:rsid w:val="003511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0289">
      <w:bodyDiv w:val="1"/>
      <w:marLeft w:val="0"/>
      <w:marRight w:val="0"/>
      <w:marTop w:val="0"/>
      <w:marBottom w:val="0"/>
      <w:divBdr>
        <w:top w:val="none" w:sz="0" w:space="0" w:color="auto"/>
        <w:left w:val="none" w:sz="0" w:space="0" w:color="auto"/>
        <w:bottom w:val="none" w:sz="0" w:space="0" w:color="auto"/>
        <w:right w:val="none" w:sz="0" w:space="0" w:color="auto"/>
      </w:divBdr>
    </w:div>
    <w:div w:id="89088099">
      <w:bodyDiv w:val="1"/>
      <w:marLeft w:val="0"/>
      <w:marRight w:val="0"/>
      <w:marTop w:val="0"/>
      <w:marBottom w:val="0"/>
      <w:divBdr>
        <w:top w:val="none" w:sz="0" w:space="0" w:color="auto"/>
        <w:left w:val="none" w:sz="0" w:space="0" w:color="auto"/>
        <w:bottom w:val="none" w:sz="0" w:space="0" w:color="auto"/>
        <w:right w:val="none" w:sz="0" w:space="0" w:color="auto"/>
      </w:divBdr>
    </w:div>
    <w:div w:id="110633862">
      <w:bodyDiv w:val="1"/>
      <w:marLeft w:val="0"/>
      <w:marRight w:val="0"/>
      <w:marTop w:val="0"/>
      <w:marBottom w:val="0"/>
      <w:divBdr>
        <w:top w:val="none" w:sz="0" w:space="0" w:color="auto"/>
        <w:left w:val="none" w:sz="0" w:space="0" w:color="auto"/>
        <w:bottom w:val="none" w:sz="0" w:space="0" w:color="auto"/>
        <w:right w:val="none" w:sz="0" w:space="0" w:color="auto"/>
      </w:divBdr>
    </w:div>
    <w:div w:id="286279709">
      <w:bodyDiv w:val="1"/>
      <w:marLeft w:val="0"/>
      <w:marRight w:val="0"/>
      <w:marTop w:val="0"/>
      <w:marBottom w:val="0"/>
      <w:divBdr>
        <w:top w:val="none" w:sz="0" w:space="0" w:color="auto"/>
        <w:left w:val="none" w:sz="0" w:space="0" w:color="auto"/>
        <w:bottom w:val="none" w:sz="0" w:space="0" w:color="auto"/>
        <w:right w:val="none" w:sz="0" w:space="0" w:color="auto"/>
      </w:divBdr>
    </w:div>
    <w:div w:id="489953131">
      <w:bodyDiv w:val="1"/>
      <w:marLeft w:val="0"/>
      <w:marRight w:val="0"/>
      <w:marTop w:val="0"/>
      <w:marBottom w:val="0"/>
      <w:divBdr>
        <w:top w:val="none" w:sz="0" w:space="0" w:color="auto"/>
        <w:left w:val="none" w:sz="0" w:space="0" w:color="auto"/>
        <w:bottom w:val="none" w:sz="0" w:space="0" w:color="auto"/>
        <w:right w:val="none" w:sz="0" w:space="0" w:color="auto"/>
      </w:divBdr>
    </w:div>
    <w:div w:id="589705846">
      <w:bodyDiv w:val="1"/>
      <w:marLeft w:val="0"/>
      <w:marRight w:val="0"/>
      <w:marTop w:val="0"/>
      <w:marBottom w:val="0"/>
      <w:divBdr>
        <w:top w:val="none" w:sz="0" w:space="0" w:color="auto"/>
        <w:left w:val="none" w:sz="0" w:space="0" w:color="auto"/>
        <w:bottom w:val="none" w:sz="0" w:space="0" w:color="auto"/>
        <w:right w:val="none" w:sz="0" w:space="0" w:color="auto"/>
      </w:divBdr>
    </w:div>
    <w:div w:id="621496142">
      <w:bodyDiv w:val="1"/>
      <w:marLeft w:val="0"/>
      <w:marRight w:val="0"/>
      <w:marTop w:val="0"/>
      <w:marBottom w:val="0"/>
      <w:divBdr>
        <w:top w:val="none" w:sz="0" w:space="0" w:color="auto"/>
        <w:left w:val="none" w:sz="0" w:space="0" w:color="auto"/>
        <w:bottom w:val="none" w:sz="0" w:space="0" w:color="auto"/>
        <w:right w:val="none" w:sz="0" w:space="0" w:color="auto"/>
      </w:divBdr>
    </w:div>
    <w:div w:id="757024783">
      <w:bodyDiv w:val="1"/>
      <w:marLeft w:val="0"/>
      <w:marRight w:val="0"/>
      <w:marTop w:val="0"/>
      <w:marBottom w:val="0"/>
      <w:divBdr>
        <w:top w:val="none" w:sz="0" w:space="0" w:color="auto"/>
        <w:left w:val="none" w:sz="0" w:space="0" w:color="auto"/>
        <w:bottom w:val="none" w:sz="0" w:space="0" w:color="auto"/>
        <w:right w:val="none" w:sz="0" w:space="0" w:color="auto"/>
      </w:divBdr>
    </w:div>
    <w:div w:id="892540984">
      <w:bodyDiv w:val="1"/>
      <w:marLeft w:val="0"/>
      <w:marRight w:val="0"/>
      <w:marTop w:val="0"/>
      <w:marBottom w:val="0"/>
      <w:divBdr>
        <w:top w:val="none" w:sz="0" w:space="0" w:color="auto"/>
        <w:left w:val="none" w:sz="0" w:space="0" w:color="auto"/>
        <w:bottom w:val="none" w:sz="0" w:space="0" w:color="auto"/>
        <w:right w:val="none" w:sz="0" w:space="0" w:color="auto"/>
      </w:divBdr>
    </w:div>
    <w:div w:id="909926053">
      <w:bodyDiv w:val="1"/>
      <w:marLeft w:val="0"/>
      <w:marRight w:val="0"/>
      <w:marTop w:val="0"/>
      <w:marBottom w:val="0"/>
      <w:divBdr>
        <w:top w:val="none" w:sz="0" w:space="0" w:color="auto"/>
        <w:left w:val="none" w:sz="0" w:space="0" w:color="auto"/>
        <w:bottom w:val="none" w:sz="0" w:space="0" w:color="auto"/>
        <w:right w:val="none" w:sz="0" w:space="0" w:color="auto"/>
      </w:divBdr>
    </w:div>
    <w:div w:id="1185826618">
      <w:bodyDiv w:val="1"/>
      <w:marLeft w:val="0"/>
      <w:marRight w:val="0"/>
      <w:marTop w:val="0"/>
      <w:marBottom w:val="0"/>
      <w:divBdr>
        <w:top w:val="none" w:sz="0" w:space="0" w:color="auto"/>
        <w:left w:val="none" w:sz="0" w:space="0" w:color="auto"/>
        <w:bottom w:val="none" w:sz="0" w:space="0" w:color="auto"/>
        <w:right w:val="none" w:sz="0" w:space="0" w:color="auto"/>
      </w:divBdr>
    </w:div>
    <w:div w:id="1491868722">
      <w:bodyDiv w:val="1"/>
      <w:marLeft w:val="0"/>
      <w:marRight w:val="0"/>
      <w:marTop w:val="0"/>
      <w:marBottom w:val="0"/>
      <w:divBdr>
        <w:top w:val="none" w:sz="0" w:space="0" w:color="auto"/>
        <w:left w:val="none" w:sz="0" w:space="0" w:color="auto"/>
        <w:bottom w:val="none" w:sz="0" w:space="0" w:color="auto"/>
        <w:right w:val="none" w:sz="0" w:space="0" w:color="auto"/>
      </w:divBdr>
    </w:div>
    <w:div w:id="1879971919">
      <w:bodyDiv w:val="1"/>
      <w:marLeft w:val="0"/>
      <w:marRight w:val="0"/>
      <w:marTop w:val="0"/>
      <w:marBottom w:val="0"/>
      <w:divBdr>
        <w:top w:val="none" w:sz="0" w:space="0" w:color="auto"/>
        <w:left w:val="none" w:sz="0" w:space="0" w:color="auto"/>
        <w:bottom w:val="none" w:sz="0" w:space="0" w:color="auto"/>
        <w:right w:val="none" w:sz="0" w:space="0" w:color="auto"/>
      </w:divBdr>
    </w:div>
    <w:div w:id="201329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4324/9781003356394" TargetMode="External"/><Relationship Id="rId18" Type="http://schemas.openxmlformats.org/officeDocument/2006/relationships/hyperlink" Target="https://doi.org/10.5281/zenodo.3778083" TargetMode="External"/><Relationship Id="rId26" Type="http://schemas.openxmlformats.org/officeDocument/2006/relationships/hyperlink" Target="https://doi.org/10.1016/j.nedt.2020.104674" TargetMode="External"/><Relationship Id="rId39" Type="http://schemas.openxmlformats.org/officeDocument/2006/relationships/hyperlink" Target="https://doi.org/10.1080/0305764X.2022.2094894" TargetMode="External"/><Relationship Id="rId21" Type="http://schemas.openxmlformats.org/officeDocument/2006/relationships/hyperlink" Target="https://doi.org/10.1177/1321103x060270010301" TargetMode="External"/><Relationship Id="rId34" Type="http://schemas.openxmlformats.org/officeDocument/2006/relationships/hyperlink" Target="https://doi.org/10.15446/profile.v23n2.90195" TargetMode="External"/><Relationship Id="rId42" Type="http://schemas.openxmlformats.org/officeDocument/2006/relationships/hyperlink" Target="https://doi.org/10.29333/ejecs/388" TargetMode="External"/><Relationship Id="rId47" Type="http://schemas.openxmlformats.org/officeDocument/2006/relationships/hyperlink" Target="https://doi.org/10.17718/tojde.906553" TargetMode="External"/><Relationship Id="rId50" Type="http://schemas.openxmlformats.org/officeDocument/2006/relationships/hyperlink" Target="https://doi.org/10.1108/ITSE-09-2020-0198" TargetMode="External"/><Relationship Id="rId55" Type="http://schemas.openxmlformats.org/officeDocument/2006/relationships/hyperlink" Target="https://doi.org/10.3389/fpsyg.2023.1179984"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system.2021.102602" TargetMode="External"/><Relationship Id="rId29" Type="http://schemas.openxmlformats.org/officeDocument/2006/relationships/hyperlink" Target="https://doi.org/10.3390/REL12010050" TargetMode="External"/><Relationship Id="rId11" Type="http://schemas.openxmlformats.org/officeDocument/2006/relationships/hyperlink" Target="https://doi.org/10.1080/0020739X.2021.1875072" TargetMode="External"/><Relationship Id="rId24" Type="http://schemas.openxmlformats.org/officeDocument/2006/relationships/hyperlink" Target="https://doi.org/10.1080/17482631.2021.1917881" TargetMode="External"/><Relationship Id="rId32" Type="http://schemas.openxmlformats.org/officeDocument/2006/relationships/hyperlink" Target="https://doi.org/10.1080/0268051950100207" TargetMode="External"/><Relationship Id="rId37" Type="http://schemas.openxmlformats.org/officeDocument/2006/relationships/hyperlink" Target="https://doi.org/10.1016/j.iheduc.2010.10.001" TargetMode="External"/><Relationship Id="rId40" Type="http://schemas.openxmlformats.org/officeDocument/2006/relationships/hyperlink" Target="https://doi.org/10.4324/9780203965535" TargetMode="External"/><Relationship Id="rId45" Type="http://schemas.openxmlformats.org/officeDocument/2006/relationships/hyperlink" Target="https://doi.org/10.3389/feduc.2019.00124" TargetMode="External"/><Relationship Id="rId53" Type="http://schemas.openxmlformats.org/officeDocument/2006/relationships/hyperlink" Target="https://doi.org/10.1108/ILS-04-2020-0099" TargetMode="External"/><Relationship Id="rId58"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footer" Target="footer3.xml"/><Relationship Id="rId19" Type="http://schemas.openxmlformats.org/officeDocument/2006/relationships/hyperlink" Target="https://doi.org/10.1007/s10639-021-10680-3" TargetMode="External"/><Relationship Id="rId14" Type="http://schemas.openxmlformats.org/officeDocument/2006/relationships/hyperlink" Target="https://doi.org/10.1016/j.system.2021.102656" TargetMode="External"/><Relationship Id="rId22" Type="http://schemas.openxmlformats.org/officeDocument/2006/relationships/hyperlink" Target="https://doi.org/10.24059/olj.v26i2.2695" TargetMode="External"/><Relationship Id="rId27" Type="http://schemas.openxmlformats.org/officeDocument/2006/relationships/hyperlink" Target="https://doi.org/10.1016/j.system.2021.102601" TargetMode="External"/><Relationship Id="rId30" Type="http://schemas.openxmlformats.org/officeDocument/2006/relationships/hyperlink" Target="https://doi.org/10.29333/iji.2023.16257a" TargetMode="External"/><Relationship Id="rId35" Type="http://schemas.openxmlformats.org/officeDocument/2006/relationships/hyperlink" Target="https://doi.org/10.15446/profile.v24n2.97497" TargetMode="External"/><Relationship Id="rId43" Type="http://schemas.openxmlformats.org/officeDocument/2006/relationships/hyperlink" Target="https://doi.org/10.1111/josh.13491" TargetMode="External"/><Relationship Id="rId48" Type="http://schemas.openxmlformats.org/officeDocument/2006/relationships/hyperlink" Target="https://doi.org/10.1016/j.system.2022.102819" TargetMode="External"/><Relationship Id="rId56" Type="http://schemas.openxmlformats.org/officeDocument/2006/relationships/header" Target="header1.xml"/><Relationship Id="rId8" Type="http://schemas.openxmlformats.org/officeDocument/2006/relationships/hyperlink" Target="https://orcid.org/0000-0002-4169-9589" TargetMode="External"/><Relationship Id="rId51" Type="http://schemas.openxmlformats.org/officeDocument/2006/relationships/hyperlink" Target="https://doi.org/10.1016/j.tate.2021.103337" TargetMode="External"/><Relationship Id="rId3" Type="http://schemas.openxmlformats.org/officeDocument/2006/relationships/styles" Target="styles.xml"/><Relationship Id="rId12" Type="http://schemas.openxmlformats.org/officeDocument/2006/relationships/hyperlink" Target="https://doi.org/10.3390/ijerph19074150" TargetMode="External"/><Relationship Id="rId17" Type="http://schemas.openxmlformats.org/officeDocument/2006/relationships/hyperlink" Target="https://doi.org/10.2307/3185427" TargetMode="External"/><Relationship Id="rId25" Type="http://schemas.openxmlformats.org/officeDocument/2006/relationships/hyperlink" Target="https://doi.org/10.1371/journal.pone.0296393" TargetMode="External"/><Relationship Id="rId33" Type="http://schemas.openxmlformats.org/officeDocument/2006/relationships/hyperlink" Target="https://doi.org/10.1080/02607476.2021.1960152" TargetMode="External"/><Relationship Id="rId38" Type="http://schemas.openxmlformats.org/officeDocument/2006/relationships/hyperlink" Target="https://doi.org/10.17509/ijal.v12i3.38930" TargetMode="External"/><Relationship Id="rId46" Type="http://schemas.openxmlformats.org/officeDocument/2006/relationships/hyperlink" Target="https://doi.org/10.4324/9781315296135-21" TargetMode="External"/><Relationship Id="rId59" Type="http://schemas.openxmlformats.org/officeDocument/2006/relationships/footer" Target="footer2.xml"/><Relationship Id="rId20" Type="http://schemas.openxmlformats.org/officeDocument/2006/relationships/hyperlink" Target="https://doi.org/10.1093/elt/ccab073" TargetMode="External"/><Relationship Id="rId41" Type="http://schemas.openxmlformats.org/officeDocument/2006/relationships/hyperlink" Target="https://doi.org/https:/doi.org/10.1016/j.tate.2021.103487" TargetMode="External"/><Relationship Id="rId54" Type="http://schemas.openxmlformats.org/officeDocument/2006/relationships/hyperlink" Target="https://doi.org/10.24857/rgsa.v18n5-148"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177/1741143220987841" TargetMode="External"/><Relationship Id="rId23" Type="http://schemas.openxmlformats.org/officeDocument/2006/relationships/hyperlink" Target="https://doi.org/10.1016/j.system.2021.102599" TargetMode="External"/><Relationship Id="rId28" Type="http://schemas.openxmlformats.org/officeDocument/2006/relationships/hyperlink" Target="https://doi.org/10.1080/14623943.2021.1983423" TargetMode="External"/><Relationship Id="rId36" Type="http://schemas.openxmlformats.org/officeDocument/2006/relationships/hyperlink" Target="https://doi.org/10.1007/s10639-021-10520-4" TargetMode="External"/><Relationship Id="rId49" Type="http://schemas.openxmlformats.org/officeDocument/2006/relationships/hyperlink" Target="https://doi.org/10.1007/s10639-021-10747-1" TargetMode="External"/><Relationship Id="rId57" Type="http://schemas.openxmlformats.org/officeDocument/2006/relationships/header" Target="header2.xml"/><Relationship Id="rId10" Type="http://schemas.openxmlformats.org/officeDocument/2006/relationships/hyperlink" Target="https://doi.org/10.3390/su16072796" TargetMode="External"/><Relationship Id="rId31" Type="http://schemas.openxmlformats.org/officeDocument/2006/relationships/hyperlink" Target="https://doi.org/10.32674/jimphe.v5i1.2507" TargetMode="External"/><Relationship Id="rId44" Type="http://schemas.openxmlformats.org/officeDocument/2006/relationships/hyperlink" Target="https://doi.org/10.1080/14780887.2018.1442692" TargetMode="External"/><Relationship Id="rId52" Type="http://schemas.openxmlformats.org/officeDocument/2006/relationships/hyperlink" Target="https://doi.org/10.1186/s41239-021-00278-7" TargetMode="External"/><Relationship Id="rId6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1108/ILS-04-2020-01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03rs22\AppData\Local\Temp\8ef6b6bf-5ebc-4039-af61-fc4bd821e821_TF_Template_Word_Windows_2016.zip.821\TF_Template_Word_Windows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ED1581-1932-408B-8AE6-36FD1D078B69}">
  <we:reference id="wa200001361" version="2.129.3.0" store="en-US" storeType="OMEX"/>
  <we:alternateReferences>
    <we:reference id="WA200001361" version="2.129.3.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2914E-4C3A-4163-A6C9-332A453E9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TF_Template_Word_Windows_2016</Template>
  <TotalTime>280</TotalTime>
  <Pages>32</Pages>
  <Words>9922</Words>
  <Characters>56558</Characters>
  <Application>Microsoft Office Word</Application>
  <DocSecurity>0</DocSecurity>
  <Lines>471</Lines>
  <Paragraphs>132</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TF_Template_Word_Windows_2016</vt:lpstr>
      <vt:lpstr>Introduction</vt:lpstr>
      <vt:lpstr>Literature Review</vt:lpstr>
      <vt:lpstr>    Teacher Resilience in Crisis Contexts</vt:lpstr>
      <vt:lpstr>    From Distance Learning to Emergency Remote Teaching</vt:lpstr>
      <vt:lpstr>    Challenges of Remote Teaching in EFL Contexts</vt:lpstr>
      <vt:lpstr>    Narrative Enquiry in Educational Research</vt:lpstr>
      <vt:lpstr>Research Methodology</vt:lpstr>
      <vt:lpstr>    Framework</vt:lpstr>
      <vt:lpstr>    Participant and Context</vt:lpstr>
      <vt:lpstr>    Data Collection and Analysis</vt:lpstr>
      <vt:lpstr>Findings and Discussions</vt:lpstr>
      <vt:lpstr>    Heading 2: use this style for level two headings</vt:lpstr>
      <vt:lpstr>    Heading 2: use this style for level two headings</vt:lpstr>
      <vt:lpstr>    Heading 2: use this style for level two headings</vt:lpstr>
      <vt:lpstr>    Heading 2: use this style for level two headings</vt:lpstr>
      <vt:lpstr>Heading 1: use this style for level one headings</vt:lpstr>
      <vt:lpstr>    Heading 2: use this style for level two headings</vt:lpstr>
      <vt:lpstr>        Heading 3: use this style for level three headings</vt:lpstr>
    </vt:vector>
  </TitlesOfParts>
  <Company>Informa Plc</Company>
  <LinksUpToDate>false</LinksUpToDate>
  <CharactersWithSpaces>66348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Resilience in Remote Language Teaching</dc:title>
  <dc:creator>Sangia, Rohib Adrianto</dc:creator>
  <cp:lastModifiedBy>SANGIA, ROHIB ADRIANTO (PGR)</cp:lastModifiedBy>
  <cp:revision>34</cp:revision>
  <cp:lastPrinted>2011-07-22T14:54:00Z</cp:lastPrinted>
  <dcterms:created xsi:type="dcterms:W3CDTF">2025-07-04T18:24:00Z</dcterms:created>
  <dcterms:modified xsi:type="dcterms:W3CDTF">2025-09-09T23:21:00Z</dcterms:modified>
</cp:coreProperties>
</file>