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6D839" w14:textId="6E1EEB8A" w:rsidR="00873C37" w:rsidRPr="00215EC5" w:rsidRDefault="000D2227" w:rsidP="00B959D3">
      <w:pPr>
        <w:spacing w:line="480" w:lineRule="auto"/>
        <w:jc w:val="center"/>
        <w:rPr>
          <w:b/>
          <w:bCs/>
          <w:sz w:val="22"/>
          <w:szCs w:val="22"/>
        </w:rPr>
      </w:pPr>
      <w:r w:rsidRPr="00215EC5">
        <w:rPr>
          <w:b/>
          <w:bCs/>
          <w:sz w:val="22"/>
          <w:szCs w:val="22"/>
        </w:rPr>
        <w:t>EMPOWERING COMMUNITIES THROUGH INDIGENOUS SCHOOLS:</w:t>
      </w:r>
      <w:r w:rsidR="00B959D3">
        <w:rPr>
          <w:b/>
          <w:bCs/>
          <w:sz w:val="22"/>
          <w:szCs w:val="22"/>
        </w:rPr>
        <w:t xml:space="preserve"> </w:t>
      </w:r>
      <w:r w:rsidRPr="00215EC5">
        <w:rPr>
          <w:b/>
          <w:bCs/>
          <w:sz w:val="22"/>
          <w:szCs w:val="22"/>
        </w:rPr>
        <w:t>A SYSTEMATIC</w:t>
      </w:r>
      <w:r w:rsidR="00B959D3">
        <w:rPr>
          <w:b/>
          <w:bCs/>
          <w:sz w:val="22"/>
          <w:szCs w:val="22"/>
        </w:rPr>
        <w:t xml:space="preserve"> </w:t>
      </w:r>
      <w:r w:rsidRPr="00215EC5">
        <w:rPr>
          <w:b/>
          <w:bCs/>
          <w:sz w:val="22"/>
          <w:szCs w:val="22"/>
        </w:rPr>
        <w:t>LITERATURE REVIEW ON ECONOMIC</w:t>
      </w:r>
      <w:r w:rsidR="00B959D3">
        <w:rPr>
          <w:b/>
          <w:bCs/>
          <w:sz w:val="22"/>
          <w:szCs w:val="22"/>
        </w:rPr>
        <w:t xml:space="preserve"> </w:t>
      </w:r>
      <w:r w:rsidRPr="00215EC5">
        <w:rPr>
          <w:b/>
          <w:bCs/>
          <w:sz w:val="22"/>
          <w:szCs w:val="22"/>
        </w:rPr>
        <w:t>AND CULTURAL EDUCATION</w:t>
      </w:r>
    </w:p>
    <w:p w14:paraId="4C7B1A14" w14:textId="77777777" w:rsidR="000D2227" w:rsidRPr="00215EC5" w:rsidRDefault="000D2227" w:rsidP="00215EC5">
      <w:pPr>
        <w:spacing w:line="480" w:lineRule="auto"/>
        <w:jc w:val="center"/>
        <w:rPr>
          <w:b/>
          <w:bCs/>
          <w:sz w:val="22"/>
          <w:szCs w:val="22"/>
        </w:rPr>
      </w:pPr>
    </w:p>
    <w:p w14:paraId="33C6B6E7" w14:textId="77777777" w:rsidR="00873C37" w:rsidRPr="00215EC5" w:rsidRDefault="00873C37" w:rsidP="00215EC5">
      <w:pPr>
        <w:spacing w:line="480" w:lineRule="auto"/>
        <w:jc w:val="center"/>
        <w:rPr>
          <w:b/>
          <w:bCs/>
          <w:sz w:val="22"/>
          <w:szCs w:val="22"/>
        </w:rPr>
      </w:pPr>
      <w:r w:rsidRPr="00215EC5">
        <w:rPr>
          <w:b/>
          <w:bCs/>
          <w:sz w:val="22"/>
          <w:szCs w:val="22"/>
        </w:rPr>
        <w:t>ABSTRACT</w:t>
      </w:r>
    </w:p>
    <w:p w14:paraId="25696BAD" w14:textId="77777777" w:rsidR="00476086" w:rsidRPr="00215EC5" w:rsidRDefault="00476086" w:rsidP="00215EC5">
      <w:pPr>
        <w:spacing w:line="480" w:lineRule="auto"/>
        <w:ind w:firstLine="567"/>
        <w:jc w:val="center"/>
        <w:rPr>
          <w:sz w:val="22"/>
          <w:szCs w:val="22"/>
        </w:rPr>
      </w:pPr>
    </w:p>
    <w:p w14:paraId="41F20850" w14:textId="189334CC" w:rsidR="005830DB" w:rsidRPr="00215EC5" w:rsidRDefault="005830DB" w:rsidP="00215EC5">
      <w:pPr>
        <w:spacing w:line="480" w:lineRule="auto"/>
        <w:jc w:val="both"/>
        <w:rPr>
          <w:rFonts w:eastAsiaTheme="majorEastAsia"/>
          <w:sz w:val="22"/>
          <w:szCs w:val="22"/>
          <w:lang w:eastAsia="id-ID"/>
        </w:rPr>
      </w:pPr>
      <w:r w:rsidRPr="00215EC5">
        <w:rPr>
          <w:rFonts w:eastAsiaTheme="majorEastAsia"/>
          <w:sz w:val="22"/>
          <w:szCs w:val="22"/>
          <w:lang w:eastAsia="id-ID"/>
        </w:rPr>
        <w:t>This systematic literature review aims to examine the contribution of indigenous schools to economic empowerment by analyzing how traditional knowledge and livelihood practices are transmitted through culturally embedded learning. It also seeks to identify the dominant theoretical frameworks and methodological approaches used in studies of indigenous education to inform inclusive and contextually relevant economic learning models.</w:t>
      </w:r>
      <w:r w:rsidR="00B959D3">
        <w:rPr>
          <w:rFonts w:eastAsiaTheme="majorEastAsia"/>
          <w:sz w:val="22"/>
          <w:szCs w:val="22"/>
          <w:lang w:eastAsia="id-ID"/>
        </w:rPr>
        <w:t xml:space="preserve"> </w:t>
      </w:r>
      <w:r w:rsidRPr="00215EC5">
        <w:rPr>
          <w:rFonts w:eastAsiaTheme="majorEastAsia"/>
          <w:sz w:val="22"/>
          <w:szCs w:val="22"/>
          <w:lang w:eastAsia="id-ID"/>
        </w:rPr>
        <w:t>The review followed the PRISMA 2020 protocol and included 60 peer reviewed empirical studies published between 2018 and 2024. Records were retrieved from Scopus, Web of Science, and Google Scholar using Boolean keyword combinations such as indigenous education, economic empowerment, traditional knowledge, and livelihood. After duplicate removal and screening, 60 eligible articles were synthesized. Critical appraisal was conducted using the Quantitative Study Quality Standards Protocol for quantitative and mixed methods, and the Critical Appraisal Skills Programme for qualitative designs. Synthesis involved comparative analysis of study contexts, populations, theoretical orientations, and research methods.</w:t>
      </w:r>
      <w:r w:rsidR="00B959D3">
        <w:rPr>
          <w:rFonts w:eastAsiaTheme="majorEastAsia"/>
          <w:sz w:val="22"/>
          <w:szCs w:val="22"/>
          <w:lang w:eastAsia="id-ID"/>
        </w:rPr>
        <w:t xml:space="preserve"> </w:t>
      </w:r>
      <w:r w:rsidRPr="00215EC5">
        <w:rPr>
          <w:rFonts w:eastAsiaTheme="majorEastAsia"/>
          <w:sz w:val="22"/>
          <w:szCs w:val="22"/>
          <w:lang w:eastAsia="id-ID"/>
        </w:rPr>
        <w:t xml:space="preserve">Indigenous schools play a vital role in empowering marginalized communities through the integration of local economic knowledge into </w:t>
      </w:r>
      <w:proofErr w:type="gramStart"/>
      <w:r w:rsidRPr="00215EC5">
        <w:rPr>
          <w:rFonts w:eastAsiaTheme="majorEastAsia"/>
          <w:sz w:val="22"/>
          <w:szCs w:val="22"/>
          <w:lang w:eastAsia="id-ID"/>
        </w:rPr>
        <w:t>land based</w:t>
      </w:r>
      <w:proofErr w:type="gramEnd"/>
      <w:r w:rsidRPr="00215EC5">
        <w:rPr>
          <w:rFonts w:eastAsiaTheme="majorEastAsia"/>
          <w:sz w:val="22"/>
          <w:szCs w:val="22"/>
          <w:lang w:eastAsia="id-ID"/>
        </w:rPr>
        <w:t xml:space="preserve"> education, cooperative enterprise, and intergenerational learning. Culturally responsive pedagogy enhances economic agency, cultural identity, and social cohesion. Dominant frameworks include </w:t>
      </w:r>
      <w:proofErr w:type="gramStart"/>
      <w:r w:rsidRPr="00215EC5">
        <w:rPr>
          <w:rFonts w:eastAsiaTheme="majorEastAsia"/>
          <w:sz w:val="22"/>
          <w:szCs w:val="22"/>
          <w:lang w:eastAsia="id-ID"/>
        </w:rPr>
        <w:t>place based</w:t>
      </w:r>
      <w:proofErr w:type="gramEnd"/>
      <w:r w:rsidRPr="00215EC5">
        <w:rPr>
          <w:rFonts w:eastAsiaTheme="majorEastAsia"/>
          <w:sz w:val="22"/>
          <w:szCs w:val="22"/>
          <w:lang w:eastAsia="id-ID"/>
        </w:rPr>
        <w:t xml:space="preserve"> education, culturally responsive pedagogy, and indigenous epistemology. Methodologically, qualitative approaches were prevalent, especially ethnographic and participatory action research, while some employed quasi experimental designs and structural equation modeling.</w:t>
      </w:r>
      <w:r w:rsidR="00B959D3">
        <w:rPr>
          <w:rFonts w:eastAsiaTheme="majorEastAsia"/>
          <w:sz w:val="22"/>
          <w:szCs w:val="22"/>
          <w:lang w:eastAsia="id-ID"/>
        </w:rPr>
        <w:t xml:space="preserve"> </w:t>
      </w:r>
      <w:r w:rsidRPr="00215EC5">
        <w:rPr>
          <w:rFonts w:eastAsiaTheme="majorEastAsia"/>
          <w:sz w:val="22"/>
          <w:szCs w:val="22"/>
          <w:lang w:eastAsia="id-ID"/>
        </w:rPr>
        <w:t>Policymakers should integrate indigenous knowledge into curricula, support culturally anchored pedagogy, and train indigenous educators to facilitate transformation in local economies.</w:t>
      </w:r>
    </w:p>
    <w:p w14:paraId="0FF26C3A" w14:textId="68CFA5E4" w:rsidR="005830DB" w:rsidRPr="00215EC5" w:rsidRDefault="005830DB" w:rsidP="00215EC5">
      <w:pPr>
        <w:spacing w:line="480" w:lineRule="auto"/>
        <w:jc w:val="both"/>
        <w:rPr>
          <w:rFonts w:eastAsiaTheme="majorEastAsia"/>
          <w:sz w:val="22"/>
          <w:szCs w:val="22"/>
          <w:lang w:eastAsia="id-ID"/>
        </w:rPr>
      </w:pPr>
      <w:r w:rsidRPr="00215EC5">
        <w:rPr>
          <w:rFonts w:eastAsiaTheme="majorEastAsia"/>
          <w:b/>
          <w:bCs/>
          <w:sz w:val="22"/>
          <w:szCs w:val="22"/>
          <w:lang w:eastAsia="id-ID"/>
        </w:rPr>
        <w:t>Keywords:</w:t>
      </w:r>
      <w:r w:rsidRPr="00215EC5">
        <w:rPr>
          <w:rFonts w:eastAsiaTheme="majorEastAsia"/>
          <w:sz w:val="22"/>
          <w:szCs w:val="22"/>
          <w:lang w:eastAsia="id-ID"/>
        </w:rPr>
        <w:t xml:space="preserve"> </w:t>
      </w:r>
      <w:r w:rsidR="000D79D6" w:rsidRPr="00215EC5">
        <w:rPr>
          <w:rFonts w:eastAsiaTheme="majorEastAsia"/>
          <w:sz w:val="22"/>
          <w:szCs w:val="22"/>
          <w:lang w:eastAsia="id-ID"/>
        </w:rPr>
        <w:t>Culturally Responsive Pedagogy, Economic Empowerment, Indigenous Education, Livelihood Learning, Local Knowledge</w:t>
      </w:r>
    </w:p>
    <w:p w14:paraId="70C6869D" w14:textId="77777777" w:rsidR="005830DB" w:rsidRPr="00215EC5" w:rsidRDefault="005830DB" w:rsidP="00215EC5">
      <w:pPr>
        <w:spacing w:line="480" w:lineRule="auto"/>
        <w:jc w:val="both"/>
        <w:rPr>
          <w:sz w:val="22"/>
          <w:szCs w:val="22"/>
        </w:rPr>
      </w:pPr>
    </w:p>
    <w:p w14:paraId="1E9ECDDA" w14:textId="08CA8E15" w:rsidR="00476086" w:rsidRPr="00215EC5" w:rsidRDefault="00476086" w:rsidP="00E15471">
      <w:pPr>
        <w:pStyle w:val="ListParagraph"/>
        <w:numPr>
          <w:ilvl w:val="0"/>
          <w:numId w:val="33"/>
        </w:numPr>
        <w:spacing w:line="480" w:lineRule="auto"/>
        <w:ind w:left="284" w:hanging="284"/>
        <w:jc w:val="both"/>
        <w:rPr>
          <w:b/>
          <w:bCs/>
          <w:sz w:val="22"/>
          <w:szCs w:val="22"/>
        </w:rPr>
      </w:pPr>
      <w:r w:rsidRPr="00215EC5">
        <w:rPr>
          <w:b/>
          <w:bCs/>
          <w:sz w:val="22"/>
          <w:szCs w:val="22"/>
        </w:rPr>
        <w:lastRenderedPageBreak/>
        <w:t>INTRODUCTION</w:t>
      </w:r>
    </w:p>
    <w:p w14:paraId="0D31B174" w14:textId="5E101C56" w:rsidR="000D2227" w:rsidRPr="00215EC5" w:rsidRDefault="000D2227" w:rsidP="00215EC5">
      <w:pPr>
        <w:spacing w:line="480" w:lineRule="auto"/>
        <w:ind w:firstLine="567"/>
        <w:jc w:val="both"/>
        <w:rPr>
          <w:sz w:val="22"/>
          <w:szCs w:val="22"/>
        </w:rPr>
      </w:pPr>
      <w:r w:rsidRPr="00215EC5">
        <w:rPr>
          <w:sz w:val="22"/>
          <w:szCs w:val="22"/>
        </w:rPr>
        <w:t xml:space="preserve">Indigenous schools in Indonesia, locally referred to as </w:t>
      </w:r>
      <w:r w:rsidRPr="00E15471">
        <w:rPr>
          <w:i/>
          <w:iCs/>
          <w:sz w:val="22"/>
          <w:szCs w:val="22"/>
        </w:rPr>
        <w:t>sekolah adat</w:t>
      </w:r>
      <w:r w:rsidRPr="00215EC5">
        <w:rPr>
          <w:sz w:val="22"/>
          <w:szCs w:val="22"/>
        </w:rPr>
        <w:t xml:space="preserve">, offer a culturally grounded alternative to mainstream education by integrating traditional knowledge, ecological wisdom, and community identity. These schools are designed and governed by local communities and have gained recognition as vital educational models, particularly in marginalized areas where formal schooling often does not reflect the lived realities of learners (RWZ, 2021; Hidayat </w:t>
      </w:r>
      <w:r w:rsidR="00A013D4">
        <w:rPr>
          <w:sz w:val="22"/>
          <w:szCs w:val="22"/>
        </w:rPr>
        <w:t>&amp;</w:t>
      </w:r>
      <w:r w:rsidRPr="00215EC5">
        <w:rPr>
          <w:sz w:val="22"/>
          <w:szCs w:val="22"/>
        </w:rPr>
        <w:t xml:space="preserve"> Minarmi, 2023). Their development represents a shift in educational paradigms that favor local responsiveness and sociocultural relevance over standardized national frameworks.</w:t>
      </w:r>
    </w:p>
    <w:p w14:paraId="46716E3B" w14:textId="6939B741" w:rsidR="000D2227" w:rsidRPr="00215EC5" w:rsidRDefault="000D2227" w:rsidP="00215EC5">
      <w:pPr>
        <w:spacing w:line="480" w:lineRule="auto"/>
        <w:ind w:firstLine="567"/>
        <w:jc w:val="both"/>
        <w:rPr>
          <w:sz w:val="22"/>
          <w:szCs w:val="22"/>
        </w:rPr>
      </w:pPr>
      <w:r w:rsidRPr="00215EC5">
        <w:rPr>
          <w:sz w:val="22"/>
          <w:szCs w:val="22"/>
        </w:rPr>
        <w:t xml:space="preserve">Beyond their cultural function, indigenous schools have emerged as important spaces for economic learning. Within the field of educational economics, these schools are increasingly understood as contributors to sustainable livelihoods. They promote community-based learning that incorporates local resource use, intergenerational knowledge transfer, and practices such as farming, weaving, and environmental stewardship. These approaches have the potential to reinforce economic self-sufficiency while strengthening cultural identity (Yulianti et al., 2022; Wattimena </w:t>
      </w:r>
      <w:r w:rsidR="00A013D4">
        <w:rPr>
          <w:sz w:val="22"/>
          <w:szCs w:val="22"/>
        </w:rPr>
        <w:t>&amp;</w:t>
      </w:r>
      <w:r w:rsidRPr="00215EC5">
        <w:rPr>
          <w:sz w:val="22"/>
          <w:szCs w:val="22"/>
        </w:rPr>
        <w:t xml:space="preserve"> Hattu, 2021; Hasmawati et al., 2022).</w:t>
      </w:r>
    </w:p>
    <w:p w14:paraId="089EA507" w14:textId="7FCED456" w:rsidR="000D2227" w:rsidRPr="00215EC5" w:rsidRDefault="000D2227" w:rsidP="00215EC5">
      <w:pPr>
        <w:spacing w:line="480" w:lineRule="auto"/>
        <w:ind w:firstLine="567"/>
        <w:jc w:val="both"/>
        <w:rPr>
          <w:sz w:val="22"/>
          <w:szCs w:val="22"/>
        </w:rPr>
      </w:pPr>
      <w:r w:rsidRPr="00215EC5">
        <w:rPr>
          <w:sz w:val="22"/>
          <w:szCs w:val="22"/>
        </w:rPr>
        <w:t xml:space="preserve">Nevertheless, most studies on indigenous education remain concentrated on issues such as cultural identity, language revitalization, and pedagogical innovation. The economic implications of indigenous school models are still underexplored (Rosmilawati </w:t>
      </w:r>
      <w:r w:rsidR="00570217">
        <w:rPr>
          <w:sz w:val="22"/>
          <w:szCs w:val="22"/>
        </w:rPr>
        <w:t>&amp;</w:t>
      </w:r>
      <w:r w:rsidRPr="00215EC5">
        <w:rPr>
          <w:sz w:val="22"/>
          <w:szCs w:val="22"/>
        </w:rPr>
        <w:t xml:space="preserve"> Darmawan, 2020; Muttaqin </w:t>
      </w:r>
      <w:r w:rsidR="00570217">
        <w:rPr>
          <w:sz w:val="22"/>
          <w:szCs w:val="22"/>
        </w:rPr>
        <w:t>&amp;</w:t>
      </w:r>
      <w:r w:rsidRPr="00215EC5">
        <w:rPr>
          <w:sz w:val="22"/>
          <w:szCs w:val="22"/>
        </w:rPr>
        <w:t xml:space="preserve"> Maryanti, 2024). Furthermore, the theoretical and methodological frameworks used in these studies vary widely, which limits the coherence and applicability of their findings for educational reform and policy development.</w:t>
      </w:r>
    </w:p>
    <w:p w14:paraId="492DBDFB" w14:textId="6671BA19" w:rsidR="000D2227" w:rsidRPr="00215EC5" w:rsidRDefault="000D2227" w:rsidP="00215EC5">
      <w:pPr>
        <w:spacing w:line="480" w:lineRule="auto"/>
        <w:ind w:firstLine="567"/>
        <w:jc w:val="both"/>
        <w:rPr>
          <w:sz w:val="22"/>
          <w:szCs w:val="22"/>
        </w:rPr>
      </w:pPr>
      <w:r w:rsidRPr="00215EC5">
        <w:rPr>
          <w:sz w:val="22"/>
          <w:szCs w:val="22"/>
        </w:rPr>
        <w:t xml:space="preserve">In the Indonesian context, the </w:t>
      </w:r>
      <w:r w:rsidRPr="00E15471">
        <w:rPr>
          <w:i/>
          <w:iCs/>
          <w:sz w:val="22"/>
          <w:szCs w:val="22"/>
        </w:rPr>
        <w:t>sekolah adat</w:t>
      </w:r>
      <w:r w:rsidRPr="00215EC5">
        <w:rPr>
          <w:sz w:val="22"/>
          <w:szCs w:val="22"/>
        </w:rPr>
        <w:t xml:space="preserve"> movement illustrates efforts to embed education within the values and worldviews of local cultures. For example, the integration of Minangkabau customs into school practices highlights the importance of communal responsibility, harmony with nature, and intergenerational transmission of wisdom (Susilawati et al., 2022; Derson </w:t>
      </w:r>
      <w:r w:rsidR="00062FB0">
        <w:rPr>
          <w:sz w:val="22"/>
          <w:szCs w:val="22"/>
        </w:rPr>
        <w:t>&amp;</w:t>
      </w:r>
      <w:r w:rsidRPr="00215EC5">
        <w:rPr>
          <w:sz w:val="22"/>
          <w:szCs w:val="22"/>
        </w:rPr>
        <w:t xml:space="preserve"> Gunawan, 2021). These values have been shown to enhance students’ sense of belonging and support deeper engagement in learning (Hidayati et al., 2021; Polii </w:t>
      </w:r>
      <w:r w:rsidR="00062FB0">
        <w:rPr>
          <w:sz w:val="22"/>
          <w:szCs w:val="22"/>
        </w:rPr>
        <w:t>&amp;</w:t>
      </w:r>
      <w:r w:rsidRPr="00215EC5">
        <w:rPr>
          <w:sz w:val="22"/>
          <w:szCs w:val="22"/>
        </w:rPr>
        <w:t xml:space="preserve"> Ahmadi, 2024).</w:t>
      </w:r>
    </w:p>
    <w:p w14:paraId="7ADE281D" w14:textId="2E8DF3D5" w:rsidR="000D2227" w:rsidRPr="00215EC5" w:rsidRDefault="000D2227" w:rsidP="00215EC5">
      <w:pPr>
        <w:spacing w:line="480" w:lineRule="auto"/>
        <w:ind w:firstLine="567"/>
        <w:jc w:val="both"/>
        <w:rPr>
          <w:sz w:val="22"/>
          <w:szCs w:val="22"/>
        </w:rPr>
      </w:pPr>
      <w:r w:rsidRPr="00215EC5">
        <w:rPr>
          <w:sz w:val="22"/>
          <w:szCs w:val="22"/>
        </w:rPr>
        <w:lastRenderedPageBreak/>
        <w:t xml:space="preserve">However, these schools must often negotiate tensions between preserving tradition and addressing contemporary needs. They face the dual challenge of honoring cultural practices while equipping students with skills required in modern economies (Ulfah et al., 2023; Mustafa </w:t>
      </w:r>
      <w:r w:rsidR="00062FB0">
        <w:rPr>
          <w:sz w:val="22"/>
          <w:szCs w:val="22"/>
        </w:rPr>
        <w:t>&amp;</w:t>
      </w:r>
      <w:r w:rsidRPr="00215EC5">
        <w:rPr>
          <w:sz w:val="22"/>
          <w:szCs w:val="22"/>
        </w:rPr>
        <w:t xml:space="preserve"> Pasaribu, 2024). In response, some </w:t>
      </w:r>
      <w:r w:rsidRPr="00E15471">
        <w:rPr>
          <w:i/>
          <w:iCs/>
          <w:sz w:val="22"/>
          <w:szCs w:val="22"/>
        </w:rPr>
        <w:t>sekolah adat</w:t>
      </w:r>
      <w:r w:rsidRPr="00215EC5">
        <w:rPr>
          <w:sz w:val="22"/>
          <w:szCs w:val="22"/>
        </w:rPr>
        <w:t xml:space="preserve"> have begun to incorporate economic competencies such as entrepreneurship, cooperative work, and sustainable production into their learning processes (Bele et al., 2021; Fahrudin </w:t>
      </w:r>
      <w:r w:rsidR="00062FB0">
        <w:rPr>
          <w:sz w:val="22"/>
          <w:szCs w:val="22"/>
        </w:rPr>
        <w:t>&amp;</w:t>
      </w:r>
      <w:r w:rsidRPr="00215EC5">
        <w:rPr>
          <w:sz w:val="22"/>
          <w:szCs w:val="22"/>
        </w:rPr>
        <w:t xml:space="preserve"> Maryam, 2022).</w:t>
      </w:r>
    </w:p>
    <w:p w14:paraId="37B5C9E3" w14:textId="5B6F7A00" w:rsidR="000D2227" w:rsidRPr="00215EC5" w:rsidRDefault="000D2227" w:rsidP="00215EC5">
      <w:pPr>
        <w:spacing w:line="480" w:lineRule="auto"/>
        <w:ind w:firstLine="567"/>
        <w:jc w:val="both"/>
        <w:rPr>
          <w:sz w:val="22"/>
          <w:szCs w:val="22"/>
        </w:rPr>
      </w:pPr>
      <w:r w:rsidRPr="00215EC5">
        <w:rPr>
          <w:sz w:val="22"/>
          <w:szCs w:val="22"/>
        </w:rPr>
        <w:t xml:space="preserve">These innovations suggest that indigenous schools can serve as platforms for both cultural resilience and economic empowerment. Several case studies report that students from these schools are more likely to remain in and contribute to their communities, particularly through participation in local enterprises and preservation of traditional livelihoods (Nuraini </w:t>
      </w:r>
      <w:r w:rsidR="00230392">
        <w:rPr>
          <w:sz w:val="22"/>
          <w:szCs w:val="22"/>
        </w:rPr>
        <w:t>&amp;</w:t>
      </w:r>
      <w:r w:rsidRPr="00215EC5">
        <w:rPr>
          <w:sz w:val="22"/>
          <w:szCs w:val="22"/>
        </w:rPr>
        <w:t xml:space="preserve"> Setyowati, 2023). Still, more systematic and interdisciplinary research is needed to explore the scope and mechanisms of these contributions.</w:t>
      </w:r>
    </w:p>
    <w:p w14:paraId="540ECBC7" w14:textId="2D489025" w:rsidR="000D2227" w:rsidRPr="00215EC5" w:rsidRDefault="000D2227" w:rsidP="00215EC5">
      <w:pPr>
        <w:spacing w:line="480" w:lineRule="auto"/>
        <w:ind w:firstLine="567"/>
        <w:jc w:val="both"/>
        <w:rPr>
          <w:sz w:val="22"/>
          <w:szCs w:val="22"/>
        </w:rPr>
      </w:pPr>
      <w:r w:rsidRPr="00215EC5">
        <w:rPr>
          <w:sz w:val="22"/>
          <w:szCs w:val="22"/>
        </w:rPr>
        <w:t xml:space="preserve">Scholars have increasingly called for integrated approaches that draw from education, economics, anthropology, and sociology in assessing the full impact of indigenous schools (Astari </w:t>
      </w:r>
      <w:r w:rsidR="00220225">
        <w:rPr>
          <w:sz w:val="22"/>
          <w:szCs w:val="22"/>
        </w:rPr>
        <w:t>&amp;</w:t>
      </w:r>
      <w:r w:rsidRPr="00215EC5">
        <w:rPr>
          <w:sz w:val="22"/>
          <w:szCs w:val="22"/>
        </w:rPr>
        <w:t xml:space="preserve"> Putra, 2021; Dewi </w:t>
      </w:r>
      <w:r w:rsidR="00220225">
        <w:rPr>
          <w:sz w:val="22"/>
          <w:szCs w:val="22"/>
        </w:rPr>
        <w:t>&amp;</w:t>
      </w:r>
      <w:r w:rsidRPr="00215EC5">
        <w:rPr>
          <w:sz w:val="22"/>
          <w:szCs w:val="22"/>
        </w:rPr>
        <w:t xml:space="preserve"> Hatijah, 2022; Sukmawati et al., 2024). Without such synthesis, the broader significance of these schools in policy, pedagogy, and development may remain underestimated.</w:t>
      </w:r>
    </w:p>
    <w:p w14:paraId="2E29B973" w14:textId="0E68E39F" w:rsidR="000D2227" w:rsidRPr="00215EC5" w:rsidRDefault="000D2227" w:rsidP="0008177C">
      <w:pPr>
        <w:spacing w:line="480" w:lineRule="auto"/>
        <w:ind w:firstLine="567"/>
        <w:jc w:val="both"/>
        <w:rPr>
          <w:sz w:val="22"/>
          <w:szCs w:val="22"/>
        </w:rPr>
      </w:pPr>
      <w:r w:rsidRPr="00215EC5">
        <w:rPr>
          <w:sz w:val="22"/>
          <w:szCs w:val="22"/>
        </w:rPr>
        <w:t xml:space="preserve">Previous studies have pointed out the potential of indigenous education in sustaining both cultural identity and local economies (Dhari, 2021; Dewi et al., 2021; Juardi </w:t>
      </w:r>
      <w:r w:rsidR="0055598F">
        <w:rPr>
          <w:sz w:val="22"/>
          <w:szCs w:val="22"/>
        </w:rPr>
        <w:t>&amp;</w:t>
      </w:r>
      <w:r w:rsidRPr="00215EC5">
        <w:rPr>
          <w:sz w:val="22"/>
          <w:szCs w:val="22"/>
        </w:rPr>
        <w:t xml:space="preserve"> Dewi, 2024; Rohmah et al., 2023; Kusmana et al., 2024; Fahrudin </w:t>
      </w:r>
      <w:r w:rsidR="0055598F">
        <w:rPr>
          <w:sz w:val="22"/>
          <w:szCs w:val="22"/>
        </w:rPr>
        <w:t>&amp;</w:t>
      </w:r>
      <w:r w:rsidRPr="00215EC5">
        <w:rPr>
          <w:sz w:val="22"/>
          <w:szCs w:val="22"/>
        </w:rPr>
        <w:t xml:space="preserve"> Maryam, 2022). However, no systematic literature review to date has consolidated empirical findings and theoretical models that explain how indigenous schools contribute to economic empowerment within the framework of culturally relevant education. This absence of synthesis restricts scholarly understanding and limits the development of coherent, evidence-based policies for integrating indigenous education into national educational agendas.</w:t>
      </w:r>
      <w:r w:rsidR="0008177C">
        <w:rPr>
          <w:sz w:val="22"/>
          <w:szCs w:val="22"/>
        </w:rPr>
        <w:t xml:space="preserve"> </w:t>
      </w:r>
      <w:r w:rsidRPr="00215EC5">
        <w:rPr>
          <w:sz w:val="22"/>
          <w:szCs w:val="22"/>
        </w:rPr>
        <w:t>Given this context, a comprehensive synthesis is needed to clarify the extent, mechanisms, and frameworks through which indigenous schools support economic and educational development.</w:t>
      </w:r>
    </w:p>
    <w:p w14:paraId="11BC3C75" w14:textId="378AD23B" w:rsidR="000D2227" w:rsidRPr="00215EC5" w:rsidRDefault="000D2227" w:rsidP="00215EC5">
      <w:pPr>
        <w:spacing w:line="480" w:lineRule="auto"/>
        <w:ind w:firstLine="567"/>
        <w:jc w:val="both"/>
        <w:rPr>
          <w:sz w:val="22"/>
          <w:szCs w:val="22"/>
        </w:rPr>
      </w:pPr>
      <w:r w:rsidRPr="00215EC5">
        <w:rPr>
          <w:rFonts w:eastAsiaTheme="majorEastAsia"/>
          <w:sz w:val="22"/>
          <w:szCs w:val="22"/>
        </w:rPr>
        <w:t>Accordingly, this study has two main objectives.</w:t>
      </w:r>
      <w:r w:rsidR="007163DB" w:rsidRPr="00215EC5">
        <w:rPr>
          <w:sz w:val="22"/>
          <w:szCs w:val="22"/>
        </w:rPr>
        <w:t xml:space="preserve"> </w:t>
      </w:r>
      <w:r w:rsidRPr="00215EC5">
        <w:rPr>
          <w:sz w:val="22"/>
          <w:szCs w:val="22"/>
        </w:rPr>
        <w:t>First, to critically synthesize how indigenous schools contribute to economic empowerment through the transmission of traditional knowledge and sustainable livelihood practices within marginalized communities.</w:t>
      </w:r>
      <w:r w:rsidR="0055598F">
        <w:rPr>
          <w:sz w:val="22"/>
          <w:szCs w:val="22"/>
        </w:rPr>
        <w:t xml:space="preserve"> </w:t>
      </w:r>
      <w:r w:rsidRPr="00215EC5">
        <w:rPr>
          <w:sz w:val="22"/>
          <w:szCs w:val="22"/>
        </w:rPr>
        <w:t xml:space="preserve">Second, to identify the dominant </w:t>
      </w:r>
      <w:r w:rsidRPr="00215EC5">
        <w:rPr>
          <w:sz w:val="22"/>
          <w:szCs w:val="22"/>
        </w:rPr>
        <w:lastRenderedPageBreak/>
        <w:t>theoretical frameworks and methodological approaches used in the study of indigenous education, with particular emphasis on their implications for inclusive and culturally responsive economic education.</w:t>
      </w:r>
    </w:p>
    <w:p w14:paraId="7D681982" w14:textId="77777777" w:rsidR="000D2227" w:rsidRPr="00215EC5" w:rsidRDefault="000D2227" w:rsidP="00215EC5">
      <w:pPr>
        <w:spacing w:line="480" w:lineRule="auto"/>
        <w:ind w:firstLine="567"/>
        <w:jc w:val="both"/>
        <w:rPr>
          <w:sz w:val="22"/>
          <w:szCs w:val="22"/>
        </w:rPr>
      </w:pPr>
      <w:r w:rsidRPr="00215EC5">
        <w:rPr>
          <w:sz w:val="22"/>
          <w:szCs w:val="22"/>
        </w:rPr>
        <w:t>By achieving these aims, this review provides a comprehensive understanding of how indigenous schools serve as educational spaces that foster both cultural continuity and socioeconomic transformation. The findings are expected to inform future research, support inclusive educational reform, and enhance the visibility of indigenous schools within interdisciplinary development discourse.</w:t>
      </w:r>
    </w:p>
    <w:p w14:paraId="2EDB2003" w14:textId="36363999" w:rsidR="00BF645A" w:rsidRPr="00215EC5" w:rsidRDefault="00BF645A" w:rsidP="00215EC5">
      <w:pPr>
        <w:spacing w:line="480" w:lineRule="auto"/>
        <w:rPr>
          <w:sz w:val="22"/>
          <w:szCs w:val="22"/>
        </w:rPr>
      </w:pPr>
    </w:p>
    <w:p w14:paraId="716BCF63" w14:textId="5E81864E" w:rsidR="00BF645A" w:rsidRPr="00215EC5" w:rsidRDefault="001E0ADC" w:rsidP="0008177C">
      <w:pPr>
        <w:pStyle w:val="ListParagraph"/>
        <w:numPr>
          <w:ilvl w:val="0"/>
          <w:numId w:val="33"/>
        </w:numPr>
        <w:spacing w:line="480" w:lineRule="auto"/>
        <w:ind w:left="284" w:hanging="284"/>
        <w:jc w:val="both"/>
        <w:rPr>
          <w:b/>
          <w:bCs/>
          <w:sz w:val="22"/>
          <w:szCs w:val="22"/>
        </w:rPr>
      </w:pPr>
      <w:r w:rsidRPr="00215EC5">
        <w:rPr>
          <w:b/>
          <w:bCs/>
          <w:sz w:val="22"/>
          <w:szCs w:val="22"/>
        </w:rPr>
        <w:t>MATERIALS AND METHODS</w:t>
      </w:r>
    </w:p>
    <w:p w14:paraId="5DF4C86C" w14:textId="1EC41F83" w:rsidR="00395C58" w:rsidRPr="00215EC5" w:rsidRDefault="00395C58" w:rsidP="00215EC5">
      <w:pPr>
        <w:spacing w:line="480" w:lineRule="auto"/>
        <w:ind w:firstLine="567"/>
        <w:jc w:val="both"/>
        <w:rPr>
          <w:sz w:val="22"/>
          <w:szCs w:val="22"/>
        </w:rPr>
      </w:pPr>
      <w:r w:rsidRPr="00215EC5">
        <w:rPr>
          <w:sz w:val="22"/>
          <w:szCs w:val="22"/>
        </w:rPr>
        <w:t>This systematic literature review employed a structured and evidence-based protocol aligned with the PRISMA 2020 framework to synthesize global empirical research on the role of indigenous education in fostering economic empowerment. A total of 60 peer-reviewed articles published between 2018 and 2024 were included in the synthesis. These studies provided robust empirical insights into how indigenous schooling contributes to culturally responsive and community-driven development, with methodological rigor and thematic clarity underpinning their selection and appraisal. The methodology encompassed three interconnected components: (1) explicit inclusion and exclusion criteria, (2) structured search and selection procedures, and (3) critical appraisal customized to methodological type.</w:t>
      </w:r>
    </w:p>
    <w:p w14:paraId="69C190C0" w14:textId="77777777" w:rsidR="001E0ADC" w:rsidRPr="00215EC5" w:rsidRDefault="001E0ADC" w:rsidP="00215EC5">
      <w:pPr>
        <w:spacing w:line="480" w:lineRule="auto"/>
        <w:jc w:val="both"/>
        <w:rPr>
          <w:b/>
          <w:bCs/>
          <w:sz w:val="22"/>
          <w:szCs w:val="22"/>
        </w:rPr>
      </w:pPr>
    </w:p>
    <w:p w14:paraId="500005A5" w14:textId="6A06A900" w:rsidR="00BF645A" w:rsidRPr="00215EC5" w:rsidRDefault="005830DB" w:rsidP="004827C2">
      <w:pPr>
        <w:spacing w:line="480" w:lineRule="auto"/>
        <w:ind w:left="426" w:hanging="426"/>
        <w:jc w:val="both"/>
        <w:rPr>
          <w:b/>
          <w:bCs/>
          <w:sz w:val="22"/>
          <w:szCs w:val="22"/>
        </w:rPr>
      </w:pPr>
      <w:r w:rsidRPr="00215EC5">
        <w:rPr>
          <w:b/>
          <w:bCs/>
          <w:sz w:val="22"/>
          <w:szCs w:val="22"/>
        </w:rPr>
        <w:t>2.1</w:t>
      </w:r>
      <w:r w:rsidR="0031119A">
        <w:rPr>
          <w:b/>
          <w:bCs/>
          <w:sz w:val="22"/>
          <w:szCs w:val="22"/>
        </w:rPr>
        <w:t xml:space="preserve">. </w:t>
      </w:r>
      <w:r w:rsidR="00BF645A" w:rsidRPr="00215EC5">
        <w:rPr>
          <w:b/>
          <w:bCs/>
          <w:sz w:val="22"/>
          <w:szCs w:val="22"/>
        </w:rPr>
        <w:t>Inclusion and Exclusion Criteria</w:t>
      </w:r>
    </w:p>
    <w:p w14:paraId="42F10AF8" w14:textId="4003DB4F" w:rsidR="00395C58" w:rsidRPr="00215EC5" w:rsidRDefault="00395C58" w:rsidP="00215EC5">
      <w:pPr>
        <w:tabs>
          <w:tab w:val="left" w:pos="567"/>
        </w:tabs>
        <w:spacing w:line="480" w:lineRule="auto"/>
        <w:ind w:firstLine="720"/>
        <w:jc w:val="both"/>
        <w:rPr>
          <w:sz w:val="22"/>
          <w:szCs w:val="22"/>
        </w:rPr>
      </w:pPr>
      <w:r w:rsidRPr="00215EC5">
        <w:rPr>
          <w:sz w:val="22"/>
          <w:szCs w:val="22"/>
        </w:rPr>
        <w:t xml:space="preserve">To ensure thematic precision and methodological credibility, rigorous eligibility parameters were established. Articles qualified for inclusion if they were peer-reviewed, written in English, published between 2018 and 2024, and contained original empirical data directly examining indigenous schooling in connection with economic empowerment. Eligible studies focused on dimensions such as cultural education, land-based pedagogy, livelihood-oriented curricula, cooperative and experiential learning, and the use of traditional knowledge systems to promote economic agency. Contexts spanned formal education settings, primary (n = 16), secondary (n = 14), tertiary/higher education (n = 18) as well as informal and community-based learning environments (n = 12). Studies were geographically </w:t>
      </w:r>
      <w:r w:rsidRPr="00215EC5">
        <w:rPr>
          <w:sz w:val="22"/>
          <w:szCs w:val="22"/>
        </w:rPr>
        <w:lastRenderedPageBreak/>
        <w:t>distributed across Southeast Asia, North and Latin America, Africa, and Oceania. Articles were excluded if they lacked empirical evidence, were purely conceptual or theoretical, existed only as conference abstracts, or made only passing reference to indigenous education or economic outcomes without focused analysis.</w:t>
      </w:r>
    </w:p>
    <w:p w14:paraId="5750C16E" w14:textId="77777777" w:rsidR="001E0ADC" w:rsidRPr="00215EC5" w:rsidRDefault="001E0ADC" w:rsidP="00215EC5">
      <w:pPr>
        <w:spacing w:line="480" w:lineRule="auto"/>
        <w:jc w:val="both"/>
        <w:rPr>
          <w:b/>
          <w:bCs/>
          <w:sz w:val="22"/>
          <w:szCs w:val="22"/>
        </w:rPr>
      </w:pPr>
    </w:p>
    <w:p w14:paraId="7F648D75" w14:textId="15136812" w:rsidR="00BF645A" w:rsidRPr="0031119A" w:rsidRDefault="0031119A" w:rsidP="0031119A">
      <w:pPr>
        <w:spacing w:line="480" w:lineRule="auto"/>
        <w:jc w:val="both"/>
        <w:rPr>
          <w:b/>
          <w:bCs/>
          <w:sz w:val="22"/>
          <w:szCs w:val="22"/>
        </w:rPr>
      </w:pPr>
      <w:r w:rsidRPr="0031119A">
        <w:rPr>
          <w:b/>
          <w:bCs/>
          <w:sz w:val="22"/>
          <w:szCs w:val="22"/>
        </w:rPr>
        <w:t xml:space="preserve">2.2. </w:t>
      </w:r>
      <w:r w:rsidR="00BF645A" w:rsidRPr="0031119A">
        <w:rPr>
          <w:b/>
          <w:bCs/>
          <w:sz w:val="22"/>
          <w:szCs w:val="22"/>
        </w:rPr>
        <w:t>Procedures</w:t>
      </w:r>
    </w:p>
    <w:p w14:paraId="3B51675F" w14:textId="40778C30" w:rsidR="004353D6" w:rsidRPr="00215EC5" w:rsidRDefault="004353D6" w:rsidP="00215EC5">
      <w:pPr>
        <w:spacing w:line="480" w:lineRule="auto"/>
        <w:ind w:firstLine="567"/>
        <w:jc w:val="both"/>
        <w:rPr>
          <w:sz w:val="22"/>
          <w:szCs w:val="22"/>
        </w:rPr>
      </w:pPr>
      <w:r w:rsidRPr="00215EC5">
        <w:rPr>
          <w:sz w:val="22"/>
          <w:szCs w:val="22"/>
        </w:rPr>
        <w:t>Following the PRISMA 2020 guidelines (Page et al., 2021)</w:t>
      </w:r>
      <w:r w:rsidR="005830DB" w:rsidRPr="00215EC5">
        <w:rPr>
          <w:sz w:val="22"/>
          <w:szCs w:val="22"/>
        </w:rPr>
        <w:t xml:space="preserve"> (Figure 1)</w:t>
      </w:r>
      <w:r w:rsidRPr="00215EC5">
        <w:rPr>
          <w:sz w:val="22"/>
          <w:szCs w:val="22"/>
        </w:rPr>
        <w:t>, the review process commenced with a comprehensive identification of 812 records from three databases: Scopus (n = 328), Web of Science (n = 226), and Google Scholar (n = 258). Boolean keyword combinations were applied, including terms such as “indigenous education,” “economic empowerment,” “livelihood,” “traditional knowledge,” and “</w:t>
      </w:r>
      <w:proofErr w:type="gramStart"/>
      <w:r w:rsidRPr="00215EC5">
        <w:rPr>
          <w:sz w:val="22"/>
          <w:szCs w:val="22"/>
        </w:rPr>
        <w:t>community based</w:t>
      </w:r>
      <w:proofErr w:type="gramEnd"/>
      <w:r w:rsidRPr="00215EC5">
        <w:rPr>
          <w:sz w:val="22"/>
          <w:szCs w:val="22"/>
        </w:rPr>
        <w:t xml:space="preserve"> learning.” Prior to screening, 224 records were removed due to duplication (n = 156), incomplete metadata or unreadable files (n = 36), non peer reviewed format (n = 21), or </w:t>
      </w:r>
      <w:proofErr w:type="gramStart"/>
      <w:r w:rsidRPr="00215EC5">
        <w:rPr>
          <w:sz w:val="22"/>
          <w:szCs w:val="22"/>
        </w:rPr>
        <w:t>non English</w:t>
      </w:r>
      <w:proofErr w:type="gramEnd"/>
      <w:r w:rsidRPr="00215EC5">
        <w:rPr>
          <w:sz w:val="22"/>
          <w:szCs w:val="22"/>
        </w:rPr>
        <w:t xml:space="preserve"> language (n = 11).</w:t>
      </w:r>
    </w:p>
    <w:p w14:paraId="799E740E" w14:textId="7B8E9605" w:rsidR="00556500" w:rsidRPr="00215EC5" w:rsidRDefault="004353D6" w:rsidP="00215EC5">
      <w:pPr>
        <w:spacing w:line="480" w:lineRule="auto"/>
        <w:ind w:firstLine="567"/>
        <w:jc w:val="both"/>
        <w:rPr>
          <w:sz w:val="22"/>
          <w:szCs w:val="22"/>
        </w:rPr>
      </w:pPr>
      <w:r w:rsidRPr="00215EC5">
        <w:rPr>
          <w:sz w:val="22"/>
          <w:szCs w:val="22"/>
        </w:rPr>
        <w:t>The remaining 588 unique records underwent a screening process based on title and abstract. During this phase, 410 articles were excluded for reasons such as thematic irrelevance, lack of educational focus, or the absence of empirical content. Subsequently, 178 full text articles were retrieved and evaluated against the eligibility criteria. Of these, 118 were excluded: 42 due to insufficient methodological transparency, 39 for lacking direct relevance to indigenous schooling and economic themes, 19 because of inaccessible or unverifiable data, and 18 for being theoretical without empirical findings.</w:t>
      </w:r>
      <w:r w:rsidR="00215EC5" w:rsidRPr="00215EC5">
        <w:rPr>
          <w:sz w:val="22"/>
          <w:szCs w:val="22"/>
        </w:rPr>
        <w:t xml:space="preserve"> </w:t>
      </w:r>
    </w:p>
    <w:p w14:paraId="05624E3E" w14:textId="77777777" w:rsidR="00215EC5" w:rsidRPr="00215EC5" w:rsidRDefault="00215EC5" w:rsidP="00215EC5">
      <w:pPr>
        <w:spacing w:line="480" w:lineRule="auto"/>
        <w:jc w:val="center"/>
        <w:rPr>
          <w:sz w:val="22"/>
          <w:szCs w:val="22"/>
        </w:rPr>
      </w:pPr>
    </w:p>
    <w:p w14:paraId="371B834F" w14:textId="59C3609D" w:rsidR="00215EC5" w:rsidRPr="00215EC5" w:rsidRDefault="00215EC5" w:rsidP="00215EC5">
      <w:pPr>
        <w:spacing w:line="480" w:lineRule="auto"/>
        <w:jc w:val="center"/>
        <w:rPr>
          <w:sz w:val="22"/>
          <w:szCs w:val="22"/>
        </w:rPr>
      </w:pPr>
      <w:r w:rsidRPr="00215EC5">
        <w:rPr>
          <w:noProof/>
          <w:sz w:val="22"/>
          <w:szCs w:val="22"/>
        </w:rPr>
        <w:lastRenderedPageBreak/>
        <w:drawing>
          <wp:inline distT="0" distB="0" distL="0" distR="0" wp14:anchorId="375E528F" wp14:editId="63E0CE87">
            <wp:extent cx="4686300" cy="6145148"/>
            <wp:effectExtent l="0" t="0" r="0" b="8255"/>
            <wp:docPr id="142649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9089" name=""/>
                    <pic:cNvPicPr/>
                  </pic:nvPicPr>
                  <pic:blipFill>
                    <a:blip r:embed="rId8"/>
                    <a:stretch>
                      <a:fillRect/>
                    </a:stretch>
                  </pic:blipFill>
                  <pic:spPr>
                    <a:xfrm>
                      <a:off x="0" y="0"/>
                      <a:ext cx="4714201" cy="6181735"/>
                    </a:xfrm>
                    <a:prstGeom prst="rect">
                      <a:avLst/>
                    </a:prstGeom>
                  </pic:spPr>
                </pic:pic>
              </a:graphicData>
            </a:graphic>
          </wp:inline>
        </w:drawing>
      </w:r>
    </w:p>
    <w:p w14:paraId="661F98B3" w14:textId="469287D3" w:rsidR="00994A29" w:rsidRPr="00A17E2F" w:rsidRDefault="00994A29" w:rsidP="00215EC5">
      <w:pPr>
        <w:spacing w:line="480" w:lineRule="auto"/>
        <w:jc w:val="center"/>
        <w:rPr>
          <w:b/>
          <w:bCs/>
          <w:sz w:val="22"/>
          <w:szCs w:val="22"/>
        </w:rPr>
      </w:pPr>
      <w:r w:rsidRPr="00A17E2F">
        <w:rPr>
          <w:b/>
          <w:bCs/>
          <w:sz w:val="22"/>
          <w:szCs w:val="22"/>
        </w:rPr>
        <w:t>Figure 1</w:t>
      </w:r>
      <w:r w:rsidR="00A17E2F" w:rsidRPr="00A17E2F">
        <w:rPr>
          <w:b/>
          <w:bCs/>
          <w:sz w:val="22"/>
          <w:szCs w:val="22"/>
        </w:rPr>
        <w:t>.</w:t>
      </w:r>
      <w:r w:rsidRPr="00A17E2F">
        <w:rPr>
          <w:b/>
          <w:bCs/>
          <w:sz w:val="22"/>
          <w:szCs w:val="22"/>
        </w:rPr>
        <w:t xml:space="preserve"> PRISMA Framework</w:t>
      </w:r>
    </w:p>
    <w:p w14:paraId="75D6A55B" w14:textId="77777777" w:rsidR="00A17E2F" w:rsidRPr="00215EC5" w:rsidRDefault="00A17E2F" w:rsidP="00215EC5">
      <w:pPr>
        <w:spacing w:line="480" w:lineRule="auto"/>
        <w:jc w:val="center"/>
        <w:rPr>
          <w:sz w:val="22"/>
          <w:szCs w:val="22"/>
        </w:rPr>
      </w:pPr>
    </w:p>
    <w:p w14:paraId="21F4C193" w14:textId="71075A60" w:rsidR="00556500" w:rsidRPr="00215EC5" w:rsidRDefault="004353D6" w:rsidP="00215EC5">
      <w:pPr>
        <w:spacing w:line="480" w:lineRule="auto"/>
        <w:ind w:firstLine="567"/>
        <w:jc w:val="both"/>
        <w:rPr>
          <w:sz w:val="22"/>
          <w:szCs w:val="22"/>
        </w:rPr>
      </w:pPr>
      <w:r w:rsidRPr="00215EC5">
        <w:rPr>
          <w:sz w:val="22"/>
          <w:szCs w:val="22"/>
        </w:rPr>
        <w:t>Ultimately, 60 articles were retained for full synthesis. These comprised 39 qualitative studies including ethnographic research, participatory action research, case studies, and phenomenology and 21 quantitative or mixed method studies encompassing quasi experimental designs, structured surveys, and structural equation modeling. The participant samples across the studies ranged from 8 to 1200 individuals, involving students, teachers, elders, parents, and local community leaders.</w:t>
      </w:r>
    </w:p>
    <w:p w14:paraId="46A9E2D8" w14:textId="1CBA6EBB" w:rsidR="00B4111D" w:rsidRPr="00215EC5" w:rsidRDefault="00B4111D" w:rsidP="00215EC5">
      <w:pPr>
        <w:spacing w:line="480" w:lineRule="auto"/>
        <w:jc w:val="both"/>
        <w:rPr>
          <w:sz w:val="22"/>
          <w:szCs w:val="22"/>
        </w:rPr>
      </w:pPr>
    </w:p>
    <w:p w14:paraId="1FF80A03" w14:textId="11778802" w:rsidR="00BF645A" w:rsidRPr="00215EC5" w:rsidRDefault="005830DB" w:rsidP="0031119A">
      <w:pPr>
        <w:spacing w:line="480" w:lineRule="auto"/>
        <w:ind w:left="426" w:hanging="426"/>
        <w:rPr>
          <w:sz w:val="22"/>
          <w:szCs w:val="22"/>
        </w:rPr>
      </w:pPr>
      <w:r w:rsidRPr="00215EC5">
        <w:rPr>
          <w:b/>
          <w:bCs/>
          <w:sz w:val="22"/>
          <w:szCs w:val="22"/>
        </w:rPr>
        <w:lastRenderedPageBreak/>
        <w:t>2.3</w:t>
      </w:r>
      <w:r w:rsidR="0031119A">
        <w:rPr>
          <w:b/>
          <w:bCs/>
          <w:sz w:val="22"/>
          <w:szCs w:val="22"/>
        </w:rPr>
        <w:t xml:space="preserve">. </w:t>
      </w:r>
      <w:r w:rsidR="00BF645A" w:rsidRPr="00215EC5">
        <w:rPr>
          <w:b/>
          <w:bCs/>
          <w:sz w:val="22"/>
          <w:szCs w:val="22"/>
        </w:rPr>
        <w:t>Critical Appraisal</w:t>
      </w:r>
    </w:p>
    <w:p w14:paraId="20B75B39" w14:textId="15AE8A9A" w:rsidR="00395C58" w:rsidRPr="00215EC5" w:rsidRDefault="00395C58" w:rsidP="00215EC5">
      <w:pPr>
        <w:spacing w:line="480" w:lineRule="auto"/>
        <w:ind w:firstLine="567"/>
        <w:jc w:val="both"/>
        <w:rPr>
          <w:sz w:val="22"/>
          <w:szCs w:val="22"/>
        </w:rPr>
      </w:pPr>
      <w:r w:rsidRPr="00215EC5">
        <w:rPr>
          <w:sz w:val="22"/>
          <w:szCs w:val="22"/>
        </w:rPr>
        <w:t>To ensure high standards of methodological reliability and analytical validity, all selected studies were subjected to structured critical appraisal using instruments appropriate to their design. The 21 quantitative and mixed-method articles were assessed with the Quantitative Study Quality Standards Protocol (Q-SSP), a 20-item tool that evaluates alignment of research aims with methods, sampling strategies, validity and reliability of instruments, statistical rigor, and ethical transparency. All studies scored between 17 and 20, indicating high methodological quality. For the 39 qualitative studies, the Critical Appraisal Skills Programme (CASP) checklist was employed. This 10-item instrument assesses clarity of research questions, appropriateness of methodology, sampling and data collection strategies, researcher reflexivity, ethics, and trustworthiness of findings. Thirty-four studies attained top scores of 9 or 10, while five studies received scores of 8, confirming overall coherence and trustworthiness.</w:t>
      </w:r>
    </w:p>
    <w:p w14:paraId="353365E9" w14:textId="77777777" w:rsidR="00395C58" w:rsidRPr="00215EC5" w:rsidRDefault="00395C58" w:rsidP="00215EC5">
      <w:pPr>
        <w:spacing w:line="480" w:lineRule="auto"/>
        <w:ind w:firstLine="567"/>
        <w:jc w:val="both"/>
        <w:rPr>
          <w:sz w:val="22"/>
          <w:szCs w:val="22"/>
        </w:rPr>
      </w:pPr>
      <w:r w:rsidRPr="00215EC5">
        <w:rPr>
          <w:sz w:val="22"/>
          <w:szCs w:val="22"/>
        </w:rPr>
        <w:t>Following the appraisal process, studies were categorized based on year of publication, country, educational setting, research design, and thematic focus. This classification informed the structure of the results and discussion sections, enabling systematic cross-regional comparisons and thematic synthesis.</w:t>
      </w:r>
    </w:p>
    <w:p w14:paraId="2812FBE1" w14:textId="77777777" w:rsidR="008D6993" w:rsidRPr="00215EC5" w:rsidRDefault="008D6993" w:rsidP="00215EC5">
      <w:pPr>
        <w:spacing w:line="480" w:lineRule="auto"/>
        <w:jc w:val="both"/>
        <w:rPr>
          <w:sz w:val="22"/>
          <w:szCs w:val="22"/>
        </w:rPr>
      </w:pPr>
    </w:p>
    <w:p w14:paraId="6FB265D9" w14:textId="559DC8C0" w:rsidR="008D6993" w:rsidRPr="00215EC5" w:rsidRDefault="008D6993" w:rsidP="006A0D38">
      <w:pPr>
        <w:pStyle w:val="ListParagraph"/>
        <w:numPr>
          <w:ilvl w:val="0"/>
          <w:numId w:val="33"/>
        </w:numPr>
        <w:spacing w:line="480" w:lineRule="auto"/>
        <w:ind w:left="284" w:hanging="284"/>
        <w:jc w:val="both"/>
        <w:rPr>
          <w:b/>
          <w:bCs/>
          <w:sz w:val="22"/>
          <w:szCs w:val="22"/>
        </w:rPr>
      </w:pPr>
      <w:r w:rsidRPr="00215EC5">
        <w:rPr>
          <w:b/>
          <w:bCs/>
          <w:sz w:val="22"/>
          <w:szCs w:val="22"/>
        </w:rPr>
        <w:t>RESULTS</w:t>
      </w:r>
    </w:p>
    <w:p w14:paraId="29FA397C" w14:textId="42B0523D" w:rsidR="008D6993" w:rsidRPr="00215EC5" w:rsidRDefault="005830DB" w:rsidP="00215EC5">
      <w:pPr>
        <w:spacing w:line="480" w:lineRule="auto"/>
        <w:ind w:left="567" w:hanging="567"/>
        <w:jc w:val="both"/>
        <w:rPr>
          <w:b/>
          <w:bCs/>
          <w:sz w:val="22"/>
          <w:szCs w:val="22"/>
        </w:rPr>
      </w:pPr>
      <w:r w:rsidRPr="00215EC5">
        <w:rPr>
          <w:b/>
          <w:bCs/>
          <w:sz w:val="22"/>
          <w:szCs w:val="22"/>
        </w:rPr>
        <w:t>3.1</w:t>
      </w:r>
      <w:r w:rsidR="006A0D38">
        <w:rPr>
          <w:b/>
          <w:bCs/>
          <w:sz w:val="22"/>
          <w:szCs w:val="22"/>
        </w:rPr>
        <w:t xml:space="preserve">. </w:t>
      </w:r>
      <w:r w:rsidR="008D6993" w:rsidRPr="00215EC5">
        <w:rPr>
          <w:b/>
          <w:bCs/>
          <w:sz w:val="22"/>
          <w:szCs w:val="22"/>
        </w:rPr>
        <w:t>Study Characteristics</w:t>
      </w:r>
    </w:p>
    <w:p w14:paraId="0D22E61C" w14:textId="4059D388" w:rsidR="00FF3475" w:rsidRPr="00215EC5" w:rsidRDefault="00395C58" w:rsidP="00215EC5">
      <w:pPr>
        <w:spacing w:line="480" w:lineRule="auto"/>
        <w:ind w:firstLine="567"/>
        <w:jc w:val="both"/>
        <w:rPr>
          <w:sz w:val="22"/>
          <w:szCs w:val="22"/>
          <w:lang w:eastAsia="id-ID"/>
        </w:rPr>
      </w:pPr>
      <w:r w:rsidRPr="00215EC5">
        <w:rPr>
          <w:sz w:val="22"/>
          <w:szCs w:val="22"/>
          <w:lang w:eastAsia="id-ID"/>
        </w:rPr>
        <w:t xml:space="preserve">A total of 60 peer-reviewed articles were systematically analyzed, revealing a strong concentration of studies conducted in Indonesia (n = 18), followed by Canada (n = 9), the United States (n = 7), and various others across Asia, Africa, Latin America, and Oceania. Most studies were published between 2018 and 2024, demonstrating sustained and growing scholarly interest in culturally grounded and community-driven educational frameworks, particularly in the context of global disruptions and the evolving discourse on decolonized education. Methodologically, qualitative approaches dominated the corpus (n = 39), encompassing ethnographic inquiry, participatory action research, and case study designs. Meanwhile, 21 studies employed quantitative or mixed-method strategies, such as quasi-experimental designs, surveys, and structural equation modeling. The educational settings varied considerably, spanning primary education (n = 16), secondary (n = 14), </w:t>
      </w:r>
      <w:r w:rsidRPr="00215EC5">
        <w:rPr>
          <w:sz w:val="22"/>
          <w:szCs w:val="22"/>
          <w:lang w:eastAsia="id-ID"/>
        </w:rPr>
        <w:lastRenderedPageBreak/>
        <w:t xml:space="preserve">higher education (n = 18), and community-based or non-formal education contexts (n = 12). Participant sizes ranged from 8 to 1,200 individuals, including students, teachers, elders, parents, and policy stakeholders. Thematically, most studies emphasized cultural affirmation, land-based praxis, and indigenous language revitalization as foundational pillars for inclusive economic learning. Several educational interventions were formally integrated into national curricula or localized policy reform, underscoring the alignment of indigenous pedagogy with broader goals of educational sovereignty and social justice (e.g., MacLean et al., 2023; Monchalin et al., 2023; Utami et al., 2021). The global distribution of the selected studies is presented in Figure </w:t>
      </w:r>
      <w:r w:rsidR="005830DB" w:rsidRPr="00215EC5">
        <w:rPr>
          <w:sz w:val="22"/>
          <w:szCs w:val="22"/>
          <w:lang w:eastAsia="id-ID"/>
        </w:rPr>
        <w:t>2</w:t>
      </w:r>
      <w:r w:rsidRPr="00215EC5">
        <w:rPr>
          <w:sz w:val="22"/>
          <w:szCs w:val="22"/>
          <w:lang w:eastAsia="id-ID"/>
        </w:rPr>
        <w:t>.</w:t>
      </w:r>
    </w:p>
    <w:p w14:paraId="1EE06B79" w14:textId="77777777" w:rsidR="00FF3475" w:rsidRPr="00215EC5" w:rsidRDefault="00FF3475" w:rsidP="00215EC5">
      <w:pPr>
        <w:spacing w:line="480" w:lineRule="auto"/>
        <w:jc w:val="both"/>
        <w:rPr>
          <w:b/>
          <w:bCs/>
          <w:sz w:val="22"/>
          <w:szCs w:val="22"/>
          <w:lang w:eastAsia="id-ID"/>
        </w:rPr>
      </w:pPr>
    </w:p>
    <w:p w14:paraId="6F724C04" w14:textId="1B10194E" w:rsidR="00FF3475" w:rsidRPr="00215EC5" w:rsidRDefault="00FF3475" w:rsidP="00215EC5">
      <w:pPr>
        <w:spacing w:line="480" w:lineRule="auto"/>
        <w:jc w:val="both"/>
        <w:rPr>
          <w:b/>
          <w:bCs/>
          <w:sz w:val="22"/>
          <w:szCs w:val="22"/>
          <w:lang w:eastAsia="id-ID"/>
        </w:rPr>
      </w:pPr>
      <w:r w:rsidRPr="00215EC5">
        <w:rPr>
          <w:b/>
          <w:bCs/>
          <w:noProof/>
          <w:sz w:val="22"/>
          <w:szCs w:val="22"/>
          <w:lang w:eastAsia="id-ID"/>
          <w14:ligatures w14:val="standardContextual"/>
        </w:rPr>
        <w:drawing>
          <wp:inline distT="0" distB="0" distL="0" distR="0" wp14:anchorId="5A2C940B" wp14:editId="26377BFC">
            <wp:extent cx="5731510" cy="3179519"/>
            <wp:effectExtent l="0" t="0" r="0" b="0"/>
            <wp:docPr id="47471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13819" name="Picture 474713819"/>
                    <pic:cNvPicPr/>
                  </pic:nvPicPr>
                  <pic:blipFill rotWithShape="1">
                    <a:blip r:embed="rId9" cstate="print">
                      <a:extLst>
                        <a:ext uri="{28A0092B-C50C-407E-A947-70E740481C1C}">
                          <a14:useLocalDpi xmlns:a14="http://schemas.microsoft.com/office/drawing/2010/main" val="0"/>
                        </a:ext>
                      </a:extLst>
                    </a:blip>
                    <a:srcRect t="6845"/>
                    <a:stretch/>
                  </pic:blipFill>
                  <pic:spPr bwMode="auto">
                    <a:xfrm>
                      <a:off x="0" y="0"/>
                      <a:ext cx="5731510" cy="3179519"/>
                    </a:xfrm>
                    <a:prstGeom prst="rect">
                      <a:avLst/>
                    </a:prstGeom>
                    <a:ln>
                      <a:noFill/>
                    </a:ln>
                    <a:extLst>
                      <a:ext uri="{53640926-AAD7-44D8-BBD7-CCE9431645EC}">
                        <a14:shadowObscured xmlns:a14="http://schemas.microsoft.com/office/drawing/2010/main"/>
                      </a:ext>
                    </a:extLst>
                  </pic:spPr>
                </pic:pic>
              </a:graphicData>
            </a:graphic>
          </wp:inline>
        </w:drawing>
      </w:r>
    </w:p>
    <w:p w14:paraId="65BBCD02" w14:textId="49D35861" w:rsidR="00FF3475" w:rsidRPr="00DD1C39" w:rsidRDefault="00FF3475" w:rsidP="00215EC5">
      <w:pPr>
        <w:spacing w:line="480" w:lineRule="auto"/>
        <w:jc w:val="center"/>
        <w:rPr>
          <w:b/>
          <w:bCs/>
          <w:sz w:val="22"/>
          <w:szCs w:val="22"/>
          <w:lang w:eastAsia="id-ID"/>
        </w:rPr>
      </w:pPr>
      <w:r w:rsidRPr="00DD1C39">
        <w:rPr>
          <w:b/>
          <w:bCs/>
          <w:sz w:val="22"/>
          <w:szCs w:val="22"/>
          <w:lang w:eastAsia="id-ID"/>
        </w:rPr>
        <w:t xml:space="preserve">Figure </w:t>
      </w:r>
      <w:r w:rsidR="005830DB" w:rsidRPr="00DD1C39">
        <w:rPr>
          <w:b/>
          <w:bCs/>
          <w:sz w:val="22"/>
          <w:szCs w:val="22"/>
          <w:lang w:eastAsia="id-ID"/>
        </w:rPr>
        <w:t>2.</w:t>
      </w:r>
      <w:r w:rsidRPr="00DD1C39">
        <w:rPr>
          <w:b/>
          <w:bCs/>
          <w:sz w:val="22"/>
          <w:szCs w:val="22"/>
          <w:lang w:eastAsia="id-ID"/>
        </w:rPr>
        <w:t xml:space="preserve"> Distribution of Studies by Region</w:t>
      </w:r>
    </w:p>
    <w:p w14:paraId="35A08AE0" w14:textId="77777777" w:rsidR="00873F5D" w:rsidRPr="00215EC5" w:rsidRDefault="00873F5D" w:rsidP="00215EC5">
      <w:pPr>
        <w:spacing w:line="480" w:lineRule="auto"/>
        <w:jc w:val="both"/>
        <w:rPr>
          <w:b/>
          <w:bCs/>
          <w:sz w:val="22"/>
          <w:szCs w:val="22"/>
        </w:rPr>
      </w:pPr>
    </w:p>
    <w:p w14:paraId="6F617708" w14:textId="656C6F49" w:rsidR="00910F29" w:rsidRPr="00215EC5" w:rsidRDefault="005830DB" w:rsidP="00215EC5">
      <w:pPr>
        <w:spacing w:line="480" w:lineRule="auto"/>
        <w:jc w:val="both"/>
        <w:rPr>
          <w:b/>
          <w:bCs/>
          <w:sz w:val="22"/>
          <w:szCs w:val="22"/>
        </w:rPr>
      </w:pPr>
      <w:r w:rsidRPr="00215EC5">
        <w:rPr>
          <w:b/>
          <w:bCs/>
          <w:sz w:val="22"/>
          <w:szCs w:val="22"/>
        </w:rPr>
        <w:t>3.2.</w:t>
      </w:r>
      <w:r w:rsidR="00DD1C39">
        <w:rPr>
          <w:b/>
          <w:bCs/>
          <w:sz w:val="22"/>
          <w:szCs w:val="22"/>
        </w:rPr>
        <w:t xml:space="preserve"> </w:t>
      </w:r>
      <w:r w:rsidR="00910F29" w:rsidRPr="00215EC5">
        <w:rPr>
          <w:b/>
          <w:bCs/>
          <w:sz w:val="22"/>
          <w:szCs w:val="22"/>
        </w:rPr>
        <w:t>Indigenous Schools and Economic Empowerment in Marginalized Communities</w:t>
      </w:r>
    </w:p>
    <w:p w14:paraId="09206E69" w14:textId="77777777" w:rsidR="00910F29" w:rsidRPr="00215EC5" w:rsidRDefault="00910F29" w:rsidP="00215EC5">
      <w:pPr>
        <w:spacing w:line="480" w:lineRule="auto"/>
        <w:ind w:firstLine="567"/>
        <w:jc w:val="both"/>
        <w:rPr>
          <w:sz w:val="22"/>
          <w:szCs w:val="22"/>
        </w:rPr>
      </w:pPr>
      <w:r w:rsidRPr="00215EC5">
        <w:rPr>
          <w:sz w:val="22"/>
          <w:szCs w:val="22"/>
        </w:rPr>
        <w:t xml:space="preserve">Indigenous schools serve as pivotal sites for the transmission of traditional knowledge (TK) that undergirds sustainable livelihood practices, thereby contributing to the economic empowerment of marginalized communities. Recent literature outlines how TK encapsulates local ecological knowledge, cultural heritage, and practices intimately tied to the environment, which are necessary for navigating challenges such as climate change and biodiversity loss. These challenges are particularly critical in </w:t>
      </w:r>
      <w:r w:rsidRPr="00215EC5">
        <w:rPr>
          <w:sz w:val="22"/>
          <w:szCs w:val="22"/>
        </w:rPr>
        <w:lastRenderedPageBreak/>
        <w:t>rural and Indigenous contexts where education plays a mediating role. For instance, local knowledge systems have been shown to be crucial for sustaining agricultural systems that are economically viable and ecologically resilient, which bolster community livelihoods by ensuring food security and economic stability (Karki et al., 2022; Zubair et al., 2022; Su et al., 2020). Examples from diverse geographical settings indicate that indigenous pedagogies foster communal identity and the holistic transmission of knowledge, thereby enhancing socio-economic development and adaptation strategies in the face of external pressures such as market fluctuations or environmental changes (Motsumi &amp; Nemakonde, 2024; Sarker, 2019; Eid et al., 2023).</w:t>
      </w:r>
    </w:p>
    <w:p w14:paraId="3C387967" w14:textId="77777777" w:rsidR="00910F29" w:rsidRPr="00215EC5" w:rsidRDefault="00910F29" w:rsidP="00215EC5">
      <w:pPr>
        <w:spacing w:line="480" w:lineRule="auto"/>
        <w:ind w:firstLine="567"/>
        <w:jc w:val="both"/>
        <w:rPr>
          <w:sz w:val="22"/>
          <w:szCs w:val="22"/>
        </w:rPr>
      </w:pPr>
      <w:r w:rsidRPr="00215EC5">
        <w:rPr>
          <w:sz w:val="22"/>
          <w:szCs w:val="22"/>
        </w:rPr>
        <w:t>Moreover, the Sustainable Livelihood Framework emphasizes that fostering traditional knowledge can significantly augment community assets, including human, social, natural, and financial capital which lead to improved access to economic opportunities (Astuti et al., 2019; Msemwa et al., 2024). Within indigenous contexts, schools that integrate indigenous knowledge serve not only to preserve these critical systems but also to produce skilled community members who can engage effectively in broader economic systems (Rosyidie et al., 2018; Spring et al., 2018). By empowering individuals through education, these institutions cultivate human capital that is necessary for sustainable economic practices.</w:t>
      </w:r>
    </w:p>
    <w:p w14:paraId="5D96344A" w14:textId="1AEA68BA" w:rsidR="00910F29" w:rsidRPr="00215EC5" w:rsidRDefault="00910F29" w:rsidP="00215EC5">
      <w:pPr>
        <w:spacing w:line="480" w:lineRule="auto"/>
        <w:jc w:val="both"/>
        <w:rPr>
          <w:sz w:val="22"/>
          <w:szCs w:val="22"/>
        </w:rPr>
      </w:pPr>
    </w:p>
    <w:p w14:paraId="6660ECD9" w14:textId="17AC2766" w:rsidR="00910F29" w:rsidRPr="00215EC5" w:rsidRDefault="00514978" w:rsidP="00215EC5">
      <w:pPr>
        <w:spacing w:line="480" w:lineRule="auto"/>
        <w:jc w:val="both"/>
        <w:rPr>
          <w:b/>
          <w:bCs/>
          <w:sz w:val="22"/>
          <w:szCs w:val="22"/>
        </w:rPr>
      </w:pPr>
      <w:r w:rsidRPr="00215EC5">
        <w:rPr>
          <w:b/>
          <w:bCs/>
          <w:sz w:val="22"/>
          <w:szCs w:val="22"/>
        </w:rPr>
        <w:t>3.2.1</w:t>
      </w:r>
      <w:r w:rsidR="00231A53">
        <w:rPr>
          <w:b/>
          <w:bCs/>
          <w:sz w:val="22"/>
          <w:szCs w:val="22"/>
        </w:rPr>
        <w:t>.</w:t>
      </w:r>
      <w:r w:rsidRPr="00215EC5">
        <w:rPr>
          <w:b/>
          <w:bCs/>
          <w:sz w:val="22"/>
          <w:szCs w:val="22"/>
        </w:rPr>
        <w:t xml:space="preserve"> </w:t>
      </w:r>
      <w:r w:rsidR="00910F29" w:rsidRPr="00215EC5">
        <w:rPr>
          <w:b/>
          <w:bCs/>
          <w:sz w:val="22"/>
          <w:szCs w:val="22"/>
        </w:rPr>
        <w:t>Sustainable Livelihood Practices and Economic Resilience</w:t>
      </w:r>
    </w:p>
    <w:p w14:paraId="2F6B253D" w14:textId="77777777" w:rsidR="00910F29" w:rsidRPr="00215EC5" w:rsidRDefault="00910F29" w:rsidP="00215EC5">
      <w:pPr>
        <w:spacing w:line="480" w:lineRule="auto"/>
        <w:ind w:firstLine="567"/>
        <w:jc w:val="both"/>
        <w:rPr>
          <w:sz w:val="22"/>
          <w:szCs w:val="22"/>
        </w:rPr>
      </w:pPr>
      <w:r w:rsidRPr="00215EC5">
        <w:rPr>
          <w:sz w:val="22"/>
          <w:szCs w:val="22"/>
        </w:rPr>
        <w:t>Indigenous schools play a significant role in instilling sustainable livelihood practices that foster economic resilience among marginalized communities. Literature highlights diverse practices such as agroecology, natural resource management, and alternative livelihoods that rely on local biodiversity, which are taught within these educational frameworks (Siddique &amp; Surovi, 2021; Yamin et al., 2023; Barrientos et al., 2018). For example, training in traditional agroecological techniques equips students with skills to adapt to climate variability while promoting food sovereignty and securing local economies (Joachim &amp; Zahor, 2022; Osumanu, 2020; Syaharuddin, 2024). These practices not only empower families economically but also work to regenerate depleted ecosystems, creating a synergy between economic empowerment and environmental sustainability.</w:t>
      </w:r>
    </w:p>
    <w:p w14:paraId="3C8057EC" w14:textId="77777777" w:rsidR="00910F29" w:rsidRPr="00215EC5" w:rsidRDefault="00910F29" w:rsidP="00215EC5">
      <w:pPr>
        <w:spacing w:line="480" w:lineRule="auto"/>
        <w:ind w:firstLine="567"/>
        <w:jc w:val="both"/>
        <w:rPr>
          <w:sz w:val="22"/>
          <w:szCs w:val="22"/>
        </w:rPr>
      </w:pPr>
      <w:r w:rsidRPr="00215EC5">
        <w:rPr>
          <w:sz w:val="22"/>
          <w:szCs w:val="22"/>
        </w:rPr>
        <w:lastRenderedPageBreak/>
        <w:t>Research shows that integrating traditional ecological knowledge into formal education not only preserves cultural heritage but also enhances agricultural productivity and food sovereignty, which are vital for economic resilience (Levers et al., 2021; Dai et al., 2019). The adaptability of traditional practices, when combined with contemporary sustainable practices, creates buffer systems that mitigate socioeconomic risks, particularly in vulnerable populations that are frequently affected by external shocks like climate change (Onsay et al., 2022; Xaba &amp; Adanlawo, 2024; Romano et al., 2022). These schools serve as hubs where community members can learn about sustainable practices and collectively innovate solutions that are context-specific, ensuring the economic viability of their livelihoods.</w:t>
      </w:r>
    </w:p>
    <w:p w14:paraId="22B9CC82" w14:textId="4A7D0C55" w:rsidR="00910F29" w:rsidRPr="00215EC5" w:rsidRDefault="00910F29" w:rsidP="00215EC5">
      <w:pPr>
        <w:spacing w:line="480" w:lineRule="auto"/>
        <w:jc w:val="both"/>
        <w:rPr>
          <w:sz w:val="22"/>
          <w:szCs w:val="22"/>
        </w:rPr>
      </w:pPr>
    </w:p>
    <w:p w14:paraId="4CE74D8D" w14:textId="1738444F" w:rsidR="00910F29" w:rsidRPr="00215EC5" w:rsidRDefault="00910F29" w:rsidP="00215EC5">
      <w:pPr>
        <w:pStyle w:val="ListParagraph"/>
        <w:numPr>
          <w:ilvl w:val="2"/>
          <w:numId w:val="34"/>
        </w:numPr>
        <w:tabs>
          <w:tab w:val="left" w:pos="567"/>
        </w:tabs>
        <w:spacing w:line="480" w:lineRule="auto"/>
        <w:jc w:val="both"/>
        <w:rPr>
          <w:b/>
          <w:bCs/>
          <w:sz w:val="22"/>
          <w:szCs w:val="22"/>
        </w:rPr>
      </w:pPr>
      <w:r w:rsidRPr="00215EC5">
        <w:rPr>
          <w:b/>
          <w:bCs/>
          <w:sz w:val="22"/>
          <w:szCs w:val="22"/>
        </w:rPr>
        <w:t>Cultural Identity and Economic Self-Determination</w:t>
      </w:r>
    </w:p>
    <w:p w14:paraId="6096E825" w14:textId="77777777" w:rsidR="00910F29" w:rsidRPr="00215EC5" w:rsidRDefault="00910F29" w:rsidP="00215EC5">
      <w:pPr>
        <w:spacing w:line="480" w:lineRule="auto"/>
        <w:ind w:firstLine="567"/>
        <w:jc w:val="both"/>
        <w:rPr>
          <w:sz w:val="22"/>
          <w:szCs w:val="22"/>
        </w:rPr>
      </w:pPr>
      <w:r w:rsidRPr="00215EC5">
        <w:rPr>
          <w:sz w:val="22"/>
          <w:szCs w:val="22"/>
        </w:rPr>
        <w:t>An essential component of the contributions made by indigenous schools is the reinforcement of cultural identity, which is intrinsically tied to economic self-determination. Culturally relevant curricula that embed traditional narratives, values, and languages engender a sense of pride and belonging among students, which translates into economic behaviors that prioritize community well-being over individual profit (Rakhmonov, 2024; Leya et al., 2021; Sumarwati, 2022). Studies indicate that when indigenous youth are educated in their cultural contexts, they are more likely to invest in local economies and contribute to community sustainability efforts (Behera et al., 2024; Siang, 2023). This phenomenon is increasingly recognized as a vital component of community-driven economic development, whereby individuals rooted in their cultural identities are motivated to engage in enterprises that reflect their values and sustainability goals (Nath et al., 2019; Engels, 2023).</w:t>
      </w:r>
    </w:p>
    <w:p w14:paraId="1854D00D" w14:textId="77777777" w:rsidR="00910F29" w:rsidRPr="00215EC5" w:rsidRDefault="00910F29" w:rsidP="00215EC5">
      <w:pPr>
        <w:spacing w:line="480" w:lineRule="auto"/>
        <w:ind w:firstLine="567"/>
        <w:jc w:val="both"/>
        <w:rPr>
          <w:sz w:val="22"/>
          <w:szCs w:val="22"/>
        </w:rPr>
      </w:pPr>
      <w:r w:rsidRPr="00215EC5">
        <w:rPr>
          <w:sz w:val="22"/>
          <w:szCs w:val="22"/>
        </w:rPr>
        <w:t>Moreover, educational frameworks that emphasize local craftsmanship, the use of indigenous materials, and the promotion of traditional trades empower students to monetize their knowledge and skills, thereby fostering economic independence (Gibbens &amp; Schoeman, 2020; Barrientos et al., 2018). This connection between cultural education and economic self-determination exemplifies the dual benefits of preserving heritage while fostering innovative economic practices that align with community aspirations (Hawkins et al., 2024; Kikon &amp; Barbora, 2020; Magiri et al., 2020).</w:t>
      </w:r>
    </w:p>
    <w:p w14:paraId="08BE38D3" w14:textId="1C45DCBE" w:rsidR="00910F29" w:rsidRDefault="00910F29" w:rsidP="00215EC5">
      <w:pPr>
        <w:spacing w:line="480" w:lineRule="auto"/>
        <w:jc w:val="both"/>
        <w:rPr>
          <w:sz w:val="22"/>
          <w:szCs w:val="22"/>
        </w:rPr>
      </w:pPr>
    </w:p>
    <w:p w14:paraId="21829398" w14:textId="77777777" w:rsidR="00E4756A" w:rsidRPr="00215EC5" w:rsidRDefault="00E4756A" w:rsidP="00215EC5">
      <w:pPr>
        <w:spacing w:line="480" w:lineRule="auto"/>
        <w:jc w:val="both"/>
        <w:rPr>
          <w:sz w:val="22"/>
          <w:szCs w:val="22"/>
        </w:rPr>
      </w:pPr>
    </w:p>
    <w:p w14:paraId="0496AFAD" w14:textId="2964E691" w:rsidR="00910F29" w:rsidRPr="00215EC5" w:rsidRDefault="00514978" w:rsidP="00215EC5">
      <w:pPr>
        <w:spacing w:line="480" w:lineRule="auto"/>
        <w:jc w:val="both"/>
        <w:rPr>
          <w:b/>
          <w:bCs/>
          <w:sz w:val="22"/>
          <w:szCs w:val="22"/>
        </w:rPr>
      </w:pPr>
      <w:r w:rsidRPr="00215EC5">
        <w:rPr>
          <w:b/>
          <w:bCs/>
          <w:sz w:val="22"/>
          <w:szCs w:val="22"/>
        </w:rPr>
        <w:lastRenderedPageBreak/>
        <w:t>3.2.3</w:t>
      </w:r>
      <w:r w:rsidR="00E4756A">
        <w:rPr>
          <w:b/>
          <w:bCs/>
          <w:sz w:val="22"/>
          <w:szCs w:val="22"/>
        </w:rPr>
        <w:t>.</w:t>
      </w:r>
      <w:r w:rsidRPr="00215EC5">
        <w:rPr>
          <w:b/>
          <w:bCs/>
          <w:sz w:val="22"/>
          <w:szCs w:val="22"/>
        </w:rPr>
        <w:t xml:space="preserve"> </w:t>
      </w:r>
      <w:r w:rsidR="00910F29" w:rsidRPr="00215EC5">
        <w:rPr>
          <w:b/>
          <w:bCs/>
          <w:sz w:val="22"/>
          <w:szCs w:val="22"/>
        </w:rPr>
        <w:t>Empowerment through Community Engagement and Participation</w:t>
      </w:r>
    </w:p>
    <w:p w14:paraId="23DE3C18" w14:textId="77777777" w:rsidR="00910F29" w:rsidRPr="00215EC5" w:rsidRDefault="00910F29" w:rsidP="00215EC5">
      <w:pPr>
        <w:spacing w:line="480" w:lineRule="auto"/>
        <w:ind w:firstLine="567"/>
        <w:jc w:val="both"/>
        <w:rPr>
          <w:sz w:val="22"/>
          <w:szCs w:val="22"/>
        </w:rPr>
      </w:pPr>
      <w:r w:rsidRPr="00215EC5">
        <w:rPr>
          <w:sz w:val="22"/>
          <w:szCs w:val="22"/>
        </w:rPr>
        <w:t>Community engagement and participatory approaches in indigenous schooling systems have proven to enhance economic empowerment by fostering a sense of ownership among community members. Studies document the transformation of educational practices when communities actively participate in determining curricula that reflect their local realities and aspirations (Khanal et al., 2021; Motsumi &amp; Nemakonde, 2024). This participatory model creates pathways for students to collaborate with elders and local leaders, thereby ensuring that the transmission of knowledge is relevant and applicable to their social and economic contexts (Dwijono et al., 2023; Pahmi et al., 2023).</w:t>
      </w:r>
    </w:p>
    <w:p w14:paraId="1FB419B2" w14:textId="77777777" w:rsidR="00910F29" w:rsidRPr="00215EC5" w:rsidRDefault="00910F29" w:rsidP="00215EC5">
      <w:pPr>
        <w:spacing w:line="480" w:lineRule="auto"/>
        <w:ind w:firstLine="567"/>
        <w:jc w:val="both"/>
        <w:rPr>
          <w:sz w:val="22"/>
          <w:szCs w:val="22"/>
        </w:rPr>
      </w:pPr>
      <w:r w:rsidRPr="00215EC5">
        <w:rPr>
          <w:sz w:val="22"/>
          <w:szCs w:val="22"/>
        </w:rPr>
        <w:t>Furthermore, participatory programs that involve community members in decision-making processes fortify social cohesion and networks that can support entrepreneurs in navigating market challenges and accessing resources (Peredo et al., 2022; Patrick &amp; Singkam, 2024; Debrot et al., 2022). Research suggests that such collaborative models help amplify local voices in the broader economic landscape, enabling communities to advocate for their rights and interests effectively (Smith, 2024; Skarlatidou et al., 2020). Hence, the collective strength derived from such engagements serves not only as an economic asset but as a tool for social agency, fostering resilience against external pressures (Marks et al., 2023; Baddianaah et al., 2021; Irungu et al., 2021).</w:t>
      </w:r>
    </w:p>
    <w:p w14:paraId="00F042F8" w14:textId="77777777" w:rsidR="00910F29" w:rsidRPr="00215EC5" w:rsidRDefault="00910F29" w:rsidP="00215EC5">
      <w:pPr>
        <w:spacing w:line="480" w:lineRule="auto"/>
        <w:jc w:val="both"/>
        <w:rPr>
          <w:sz w:val="22"/>
          <w:szCs w:val="22"/>
        </w:rPr>
      </w:pPr>
    </w:p>
    <w:p w14:paraId="07E7AB73" w14:textId="10C96942" w:rsidR="00910F29" w:rsidRPr="00215EC5" w:rsidRDefault="00514978" w:rsidP="00215EC5">
      <w:pPr>
        <w:spacing w:line="480" w:lineRule="auto"/>
        <w:jc w:val="both"/>
        <w:rPr>
          <w:b/>
          <w:bCs/>
          <w:sz w:val="22"/>
          <w:szCs w:val="22"/>
        </w:rPr>
      </w:pPr>
      <w:r w:rsidRPr="00215EC5">
        <w:rPr>
          <w:b/>
          <w:bCs/>
          <w:sz w:val="22"/>
          <w:szCs w:val="22"/>
        </w:rPr>
        <w:t xml:space="preserve">3.2.4 </w:t>
      </w:r>
      <w:r w:rsidR="00910F29" w:rsidRPr="00215EC5">
        <w:rPr>
          <w:b/>
          <w:bCs/>
          <w:sz w:val="22"/>
          <w:szCs w:val="22"/>
        </w:rPr>
        <w:t>Curricular Implications for Economic Education</w:t>
      </w:r>
    </w:p>
    <w:p w14:paraId="5DA91F2F" w14:textId="77777777" w:rsidR="00910F29" w:rsidRPr="00215EC5" w:rsidRDefault="00910F29" w:rsidP="00215EC5">
      <w:pPr>
        <w:spacing w:line="480" w:lineRule="auto"/>
        <w:ind w:firstLine="567"/>
        <w:jc w:val="both"/>
        <w:rPr>
          <w:sz w:val="22"/>
          <w:szCs w:val="22"/>
        </w:rPr>
      </w:pPr>
      <w:r w:rsidRPr="00215EC5">
        <w:rPr>
          <w:sz w:val="22"/>
          <w:szCs w:val="22"/>
        </w:rPr>
        <w:t>The findings from this systematic literature review underscore the vital role of integrating traditional knowledge and sustainable livelihood practices within educational curricula, particularly in marginalized and indigenous contexts. The incorporation of indigenous knowledge into economic education curricula can equip students with the skills necessary for navigating contemporary economic landscapes. This not only promotes resilience against economic shocks but also enhances cultural identity, which is crucial for maintaining the integrity of indigenous practices (Nath et al., 2019; Hajjar &amp; Oldekop, 2018; Walker, 2019).</w:t>
      </w:r>
    </w:p>
    <w:p w14:paraId="3C1E480F" w14:textId="77777777" w:rsidR="00910F29" w:rsidRPr="00215EC5" w:rsidRDefault="00910F29" w:rsidP="00215EC5">
      <w:pPr>
        <w:spacing w:line="480" w:lineRule="auto"/>
        <w:ind w:firstLine="567"/>
        <w:jc w:val="both"/>
        <w:rPr>
          <w:sz w:val="22"/>
          <w:szCs w:val="22"/>
        </w:rPr>
      </w:pPr>
      <w:r w:rsidRPr="00215EC5">
        <w:rPr>
          <w:sz w:val="22"/>
          <w:szCs w:val="22"/>
        </w:rPr>
        <w:t xml:space="preserve">Curriculum designers should focus on embedding local agricultural practices, ecological stewardship, and community-based economic initiatives into educational frameworks. This would require collaboration with local communities to develop curricula that are reflective of their realities </w:t>
      </w:r>
      <w:r w:rsidRPr="00215EC5">
        <w:rPr>
          <w:sz w:val="22"/>
          <w:szCs w:val="22"/>
        </w:rPr>
        <w:lastRenderedPageBreak/>
        <w:t>while also promoting economic innovation rooted in traditional methodologies. The focus should be on experiential learning opportunities that engage students in local economic activities, such as community gardens, traditional arts, and sustainable tourism, allowing them to gain hands-on experience while contributing to their communities' economic development (Duong et al., 2024; Arumdati, 2023; Ghosh et al., 2021).</w:t>
      </w:r>
    </w:p>
    <w:p w14:paraId="70BF3632" w14:textId="77777777" w:rsidR="00910F29" w:rsidRPr="00215EC5" w:rsidRDefault="00910F29" w:rsidP="00215EC5">
      <w:pPr>
        <w:spacing w:line="480" w:lineRule="auto"/>
        <w:ind w:firstLine="567"/>
        <w:jc w:val="both"/>
        <w:rPr>
          <w:sz w:val="22"/>
          <w:szCs w:val="22"/>
        </w:rPr>
      </w:pPr>
      <w:r w:rsidRPr="00215EC5">
        <w:rPr>
          <w:sz w:val="22"/>
          <w:szCs w:val="22"/>
        </w:rPr>
        <w:t>Moreover, fostering partnerships with local governments and NGOs could facilitate the practical application of theoretical knowledge in real-world settings, maximizing the impact of educational initiatives on community resilience and economic empowerment (Ojogiwa &amp; Mubangizi, 2023; Ahmad &amp; Muniroh, 2024). To provide a clearer synthesis of how indigenous schools contribute to livelihood empowerment, Table 1 summarizes 25 selected studies that represent the core patterns identified in this review, including geographical diversity, methodological approaches, and key findings relevant to economic empowerment.</w:t>
      </w:r>
    </w:p>
    <w:p w14:paraId="728F18B1" w14:textId="7076090C" w:rsidR="00910F29" w:rsidRPr="00215EC5" w:rsidRDefault="00910F29" w:rsidP="00215EC5">
      <w:pPr>
        <w:spacing w:line="480" w:lineRule="auto"/>
        <w:jc w:val="both"/>
        <w:rPr>
          <w:sz w:val="22"/>
          <w:szCs w:val="22"/>
        </w:rPr>
      </w:pPr>
    </w:p>
    <w:p w14:paraId="76B33A27" w14:textId="77777777" w:rsidR="00910F29" w:rsidRPr="00CB140D" w:rsidRDefault="00910F29" w:rsidP="00CB140D">
      <w:pPr>
        <w:spacing w:line="480" w:lineRule="auto"/>
        <w:jc w:val="center"/>
        <w:rPr>
          <w:b/>
          <w:bCs/>
          <w:sz w:val="22"/>
          <w:szCs w:val="22"/>
        </w:rPr>
      </w:pPr>
      <w:r w:rsidRPr="00CB140D">
        <w:rPr>
          <w:b/>
          <w:bCs/>
          <w:sz w:val="22"/>
          <w:szCs w:val="22"/>
        </w:rPr>
        <w:t>Table 1. Evidence Matrix from 25 Selected Studies Representing Core Themes of Indigenous Economic Empowerment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681"/>
        <w:gridCol w:w="1377"/>
        <w:gridCol w:w="1526"/>
        <w:gridCol w:w="1993"/>
        <w:gridCol w:w="2023"/>
      </w:tblGrid>
      <w:tr w:rsidR="00910F29" w:rsidRPr="00215EC5" w14:paraId="00A25C67" w14:textId="77777777" w:rsidTr="005830DB">
        <w:trPr>
          <w:tblHeader/>
        </w:trPr>
        <w:tc>
          <w:tcPr>
            <w:tcW w:w="0" w:type="auto"/>
            <w:tcBorders>
              <w:top w:val="single" w:sz="4" w:space="0" w:color="auto"/>
              <w:bottom w:val="single" w:sz="4" w:space="0" w:color="auto"/>
            </w:tcBorders>
            <w:vAlign w:val="center"/>
            <w:hideMark/>
          </w:tcPr>
          <w:p w14:paraId="54CAF41C" w14:textId="77777777" w:rsidR="00910F29" w:rsidRPr="00215EC5" w:rsidRDefault="00910F29" w:rsidP="00CB140D">
            <w:pPr>
              <w:jc w:val="center"/>
              <w:rPr>
                <w:b/>
                <w:bCs/>
                <w:sz w:val="22"/>
                <w:szCs w:val="22"/>
              </w:rPr>
            </w:pPr>
            <w:r w:rsidRPr="00215EC5">
              <w:rPr>
                <w:b/>
                <w:bCs/>
                <w:sz w:val="22"/>
                <w:szCs w:val="22"/>
              </w:rPr>
              <w:t>Author(s)</w:t>
            </w:r>
          </w:p>
        </w:tc>
        <w:tc>
          <w:tcPr>
            <w:tcW w:w="0" w:type="auto"/>
            <w:tcBorders>
              <w:top w:val="single" w:sz="4" w:space="0" w:color="auto"/>
              <w:bottom w:val="single" w:sz="4" w:space="0" w:color="auto"/>
            </w:tcBorders>
            <w:vAlign w:val="center"/>
            <w:hideMark/>
          </w:tcPr>
          <w:p w14:paraId="0903BF73" w14:textId="77777777" w:rsidR="00910F29" w:rsidRPr="00215EC5" w:rsidRDefault="00910F29" w:rsidP="00CB140D">
            <w:pPr>
              <w:jc w:val="center"/>
              <w:rPr>
                <w:b/>
                <w:bCs/>
                <w:sz w:val="22"/>
                <w:szCs w:val="22"/>
              </w:rPr>
            </w:pPr>
            <w:r w:rsidRPr="00215EC5">
              <w:rPr>
                <w:b/>
                <w:bCs/>
                <w:sz w:val="22"/>
                <w:szCs w:val="22"/>
              </w:rPr>
              <w:t>Year</w:t>
            </w:r>
          </w:p>
        </w:tc>
        <w:tc>
          <w:tcPr>
            <w:tcW w:w="0" w:type="auto"/>
            <w:tcBorders>
              <w:top w:val="single" w:sz="4" w:space="0" w:color="auto"/>
              <w:bottom w:val="single" w:sz="4" w:space="0" w:color="auto"/>
            </w:tcBorders>
            <w:vAlign w:val="center"/>
            <w:hideMark/>
          </w:tcPr>
          <w:p w14:paraId="6FD45A1E" w14:textId="77777777" w:rsidR="00910F29" w:rsidRPr="00215EC5" w:rsidRDefault="00910F29" w:rsidP="00CB140D">
            <w:pPr>
              <w:jc w:val="center"/>
              <w:rPr>
                <w:b/>
                <w:bCs/>
                <w:sz w:val="22"/>
                <w:szCs w:val="22"/>
              </w:rPr>
            </w:pPr>
            <w:r w:rsidRPr="00215EC5">
              <w:rPr>
                <w:b/>
                <w:bCs/>
                <w:sz w:val="22"/>
                <w:szCs w:val="22"/>
              </w:rPr>
              <w:t>Country</w:t>
            </w:r>
          </w:p>
        </w:tc>
        <w:tc>
          <w:tcPr>
            <w:tcW w:w="0" w:type="auto"/>
            <w:tcBorders>
              <w:top w:val="single" w:sz="4" w:space="0" w:color="auto"/>
              <w:bottom w:val="single" w:sz="4" w:space="0" w:color="auto"/>
            </w:tcBorders>
            <w:vAlign w:val="center"/>
            <w:hideMark/>
          </w:tcPr>
          <w:p w14:paraId="40922BB5" w14:textId="77777777" w:rsidR="00910F29" w:rsidRPr="00215EC5" w:rsidRDefault="00910F29" w:rsidP="00CB140D">
            <w:pPr>
              <w:jc w:val="center"/>
              <w:rPr>
                <w:b/>
                <w:bCs/>
                <w:sz w:val="22"/>
                <w:szCs w:val="22"/>
              </w:rPr>
            </w:pPr>
            <w:r w:rsidRPr="00215EC5">
              <w:rPr>
                <w:b/>
                <w:bCs/>
                <w:sz w:val="22"/>
                <w:szCs w:val="22"/>
              </w:rPr>
              <w:t>Methodology</w:t>
            </w:r>
          </w:p>
        </w:tc>
        <w:tc>
          <w:tcPr>
            <w:tcW w:w="0" w:type="auto"/>
            <w:tcBorders>
              <w:top w:val="single" w:sz="4" w:space="0" w:color="auto"/>
              <w:bottom w:val="single" w:sz="4" w:space="0" w:color="auto"/>
            </w:tcBorders>
            <w:vAlign w:val="center"/>
            <w:hideMark/>
          </w:tcPr>
          <w:p w14:paraId="42A38D81" w14:textId="77777777" w:rsidR="00910F29" w:rsidRPr="00215EC5" w:rsidRDefault="00910F29" w:rsidP="00CB140D">
            <w:pPr>
              <w:jc w:val="center"/>
              <w:rPr>
                <w:b/>
                <w:bCs/>
                <w:sz w:val="22"/>
                <w:szCs w:val="22"/>
              </w:rPr>
            </w:pPr>
            <w:r w:rsidRPr="00215EC5">
              <w:rPr>
                <w:b/>
                <w:bCs/>
                <w:sz w:val="22"/>
                <w:szCs w:val="22"/>
              </w:rPr>
              <w:t>Focus of Study</w:t>
            </w:r>
          </w:p>
        </w:tc>
        <w:tc>
          <w:tcPr>
            <w:tcW w:w="0" w:type="auto"/>
            <w:tcBorders>
              <w:top w:val="single" w:sz="4" w:space="0" w:color="auto"/>
              <w:bottom w:val="single" w:sz="4" w:space="0" w:color="auto"/>
            </w:tcBorders>
            <w:vAlign w:val="center"/>
            <w:hideMark/>
          </w:tcPr>
          <w:p w14:paraId="17786409" w14:textId="77777777" w:rsidR="00910F29" w:rsidRPr="00215EC5" w:rsidRDefault="00910F29" w:rsidP="00CB140D">
            <w:pPr>
              <w:jc w:val="center"/>
              <w:rPr>
                <w:b/>
                <w:bCs/>
                <w:sz w:val="22"/>
                <w:szCs w:val="22"/>
              </w:rPr>
            </w:pPr>
            <w:r w:rsidRPr="00215EC5">
              <w:rPr>
                <w:b/>
                <w:bCs/>
                <w:sz w:val="22"/>
                <w:szCs w:val="22"/>
              </w:rPr>
              <w:t>Key Economic Empowerment Finding</w:t>
            </w:r>
          </w:p>
        </w:tc>
      </w:tr>
      <w:tr w:rsidR="00910F29" w:rsidRPr="00215EC5" w14:paraId="6E3097FD" w14:textId="77777777" w:rsidTr="005830DB">
        <w:tc>
          <w:tcPr>
            <w:tcW w:w="0" w:type="auto"/>
            <w:tcBorders>
              <w:top w:val="single" w:sz="4" w:space="0" w:color="auto"/>
            </w:tcBorders>
            <w:hideMark/>
          </w:tcPr>
          <w:p w14:paraId="6FBF988F" w14:textId="77777777" w:rsidR="00910F29" w:rsidRPr="00215EC5" w:rsidRDefault="00910F29" w:rsidP="00CB140D">
            <w:pPr>
              <w:jc w:val="both"/>
              <w:rPr>
                <w:sz w:val="22"/>
                <w:szCs w:val="22"/>
              </w:rPr>
            </w:pPr>
            <w:r w:rsidRPr="00215EC5">
              <w:rPr>
                <w:sz w:val="22"/>
                <w:szCs w:val="22"/>
              </w:rPr>
              <w:t>Karki et al.</w:t>
            </w:r>
          </w:p>
        </w:tc>
        <w:tc>
          <w:tcPr>
            <w:tcW w:w="0" w:type="auto"/>
            <w:tcBorders>
              <w:top w:val="single" w:sz="4" w:space="0" w:color="auto"/>
            </w:tcBorders>
            <w:hideMark/>
          </w:tcPr>
          <w:p w14:paraId="244C882F" w14:textId="77777777" w:rsidR="00910F29" w:rsidRPr="00215EC5" w:rsidRDefault="00910F29" w:rsidP="00CB140D">
            <w:pPr>
              <w:jc w:val="both"/>
              <w:rPr>
                <w:sz w:val="22"/>
                <w:szCs w:val="22"/>
              </w:rPr>
            </w:pPr>
            <w:r w:rsidRPr="00215EC5">
              <w:rPr>
                <w:sz w:val="22"/>
                <w:szCs w:val="22"/>
              </w:rPr>
              <w:t>2022</w:t>
            </w:r>
          </w:p>
        </w:tc>
        <w:tc>
          <w:tcPr>
            <w:tcW w:w="0" w:type="auto"/>
            <w:tcBorders>
              <w:top w:val="single" w:sz="4" w:space="0" w:color="auto"/>
            </w:tcBorders>
            <w:hideMark/>
          </w:tcPr>
          <w:p w14:paraId="27113709" w14:textId="77777777" w:rsidR="00910F29" w:rsidRPr="00215EC5" w:rsidRDefault="00910F29" w:rsidP="00033370">
            <w:pPr>
              <w:jc w:val="both"/>
              <w:rPr>
                <w:sz w:val="22"/>
                <w:szCs w:val="22"/>
              </w:rPr>
            </w:pPr>
            <w:r w:rsidRPr="00215EC5">
              <w:rPr>
                <w:sz w:val="22"/>
                <w:szCs w:val="22"/>
              </w:rPr>
              <w:t>Nepal</w:t>
            </w:r>
          </w:p>
        </w:tc>
        <w:tc>
          <w:tcPr>
            <w:tcW w:w="0" w:type="auto"/>
            <w:tcBorders>
              <w:top w:val="single" w:sz="4" w:space="0" w:color="auto"/>
            </w:tcBorders>
            <w:hideMark/>
          </w:tcPr>
          <w:p w14:paraId="5A792471" w14:textId="77777777" w:rsidR="00910F29" w:rsidRPr="00215EC5" w:rsidRDefault="00910F29" w:rsidP="00033370">
            <w:pPr>
              <w:jc w:val="both"/>
              <w:rPr>
                <w:sz w:val="22"/>
                <w:szCs w:val="22"/>
              </w:rPr>
            </w:pPr>
            <w:r w:rsidRPr="00215EC5">
              <w:rPr>
                <w:sz w:val="22"/>
                <w:szCs w:val="22"/>
              </w:rPr>
              <w:t>Qualitative Case Study</w:t>
            </w:r>
          </w:p>
        </w:tc>
        <w:tc>
          <w:tcPr>
            <w:tcW w:w="0" w:type="auto"/>
            <w:tcBorders>
              <w:top w:val="single" w:sz="4" w:space="0" w:color="auto"/>
            </w:tcBorders>
            <w:hideMark/>
          </w:tcPr>
          <w:p w14:paraId="7477EA86" w14:textId="77777777" w:rsidR="00910F29" w:rsidRPr="00215EC5" w:rsidRDefault="00910F29" w:rsidP="00033370">
            <w:pPr>
              <w:jc w:val="both"/>
              <w:rPr>
                <w:sz w:val="22"/>
                <w:szCs w:val="22"/>
              </w:rPr>
            </w:pPr>
            <w:r w:rsidRPr="00215EC5">
              <w:rPr>
                <w:sz w:val="22"/>
                <w:szCs w:val="22"/>
              </w:rPr>
              <w:t>Use of TEK in climate-resilient agriculture</w:t>
            </w:r>
          </w:p>
        </w:tc>
        <w:tc>
          <w:tcPr>
            <w:tcW w:w="0" w:type="auto"/>
            <w:tcBorders>
              <w:top w:val="single" w:sz="4" w:space="0" w:color="auto"/>
            </w:tcBorders>
            <w:hideMark/>
          </w:tcPr>
          <w:p w14:paraId="376D10F7" w14:textId="77777777" w:rsidR="00910F29" w:rsidRPr="00215EC5" w:rsidRDefault="00910F29" w:rsidP="00033370">
            <w:pPr>
              <w:jc w:val="both"/>
              <w:rPr>
                <w:sz w:val="22"/>
                <w:szCs w:val="22"/>
              </w:rPr>
            </w:pPr>
            <w:r w:rsidRPr="00215EC5">
              <w:rPr>
                <w:sz w:val="22"/>
                <w:szCs w:val="22"/>
              </w:rPr>
              <w:t>Supports livelihood resilience through TK-based farming</w:t>
            </w:r>
          </w:p>
        </w:tc>
      </w:tr>
      <w:tr w:rsidR="00910F29" w:rsidRPr="00215EC5" w14:paraId="22DBEE88" w14:textId="77777777" w:rsidTr="005830DB">
        <w:tc>
          <w:tcPr>
            <w:tcW w:w="0" w:type="auto"/>
            <w:hideMark/>
          </w:tcPr>
          <w:p w14:paraId="5943B0F5" w14:textId="77777777" w:rsidR="00910F29" w:rsidRPr="00215EC5" w:rsidRDefault="00910F29" w:rsidP="00CB140D">
            <w:pPr>
              <w:jc w:val="both"/>
              <w:rPr>
                <w:sz w:val="22"/>
                <w:szCs w:val="22"/>
              </w:rPr>
            </w:pPr>
            <w:r w:rsidRPr="00215EC5">
              <w:rPr>
                <w:sz w:val="22"/>
                <w:szCs w:val="22"/>
              </w:rPr>
              <w:t>Zubair et al.</w:t>
            </w:r>
          </w:p>
        </w:tc>
        <w:tc>
          <w:tcPr>
            <w:tcW w:w="0" w:type="auto"/>
            <w:hideMark/>
          </w:tcPr>
          <w:p w14:paraId="14E87E00" w14:textId="77777777" w:rsidR="00910F29" w:rsidRPr="00215EC5" w:rsidRDefault="00910F29" w:rsidP="00CB140D">
            <w:pPr>
              <w:jc w:val="both"/>
              <w:rPr>
                <w:sz w:val="22"/>
                <w:szCs w:val="22"/>
              </w:rPr>
            </w:pPr>
            <w:r w:rsidRPr="00215EC5">
              <w:rPr>
                <w:sz w:val="22"/>
                <w:szCs w:val="22"/>
              </w:rPr>
              <w:t>2022</w:t>
            </w:r>
          </w:p>
        </w:tc>
        <w:tc>
          <w:tcPr>
            <w:tcW w:w="0" w:type="auto"/>
            <w:hideMark/>
          </w:tcPr>
          <w:p w14:paraId="3636750E" w14:textId="77777777" w:rsidR="00910F29" w:rsidRPr="00215EC5" w:rsidRDefault="00910F29" w:rsidP="00033370">
            <w:pPr>
              <w:jc w:val="both"/>
              <w:rPr>
                <w:sz w:val="22"/>
                <w:szCs w:val="22"/>
              </w:rPr>
            </w:pPr>
            <w:r w:rsidRPr="00215EC5">
              <w:rPr>
                <w:sz w:val="22"/>
                <w:szCs w:val="22"/>
              </w:rPr>
              <w:t>Pakistan</w:t>
            </w:r>
          </w:p>
        </w:tc>
        <w:tc>
          <w:tcPr>
            <w:tcW w:w="0" w:type="auto"/>
            <w:hideMark/>
          </w:tcPr>
          <w:p w14:paraId="6235769F" w14:textId="77777777" w:rsidR="00910F29" w:rsidRPr="00215EC5" w:rsidRDefault="00910F29" w:rsidP="00033370">
            <w:pPr>
              <w:jc w:val="both"/>
              <w:rPr>
                <w:sz w:val="22"/>
                <w:szCs w:val="22"/>
              </w:rPr>
            </w:pPr>
            <w:r w:rsidRPr="00215EC5">
              <w:rPr>
                <w:sz w:val="22"/>
                <w:szCs w:val="22"/>
              </w:rPr>
              <w:t>Mixed Methods</w:t>
            </w:r>
          </w:p>
        </w:tc>
        <w:tc>
          <w:tcPr>
            <w:tcW w:w="0" w:type="auto"/>
            <w:hideMark/>
          </w:tcPr>
          <w:p w14:paraId="3814981D" w14:textId="77777777" w:rsidR="00910F29" w:rsidRPr="00215EC5" w:rsidRDefault="00910F29" w:rsidP="00033370">
            <w:pPr>
              <w:jc w:val="both"/>
              <w:rPr>
                <w:sz w:val="22"/>
                <w:szCs w:val="22"/>
              </w:rPr>
            </w:pPr>
            <w:r w:rsidRPr="00215EC5">
              <w:rPr>
                <w:sz w:val="22"/>
                <w:szCs w:val="22"/>
              </w:rPr>
              <w:t>Impact of TK on food security</w:t>
            </w:r>
          </w:p>
        </w:tc>
        <w:tc>
          <w:tcPr>
            <w:tcW w:w="0" w:type="auto"/>
            <w:hideMark/>
          </w:tcPr>
          <w:p w14:paraId="091C6F06" w14:textId="77777777" w:rsidR="00910F29" w:rsidRPr="00215EC5" w:rsidRDefault="00910F29" w:rsidP="00033370">
            <w:pPr>
              <w:jc w:val="both"/>
              <w:rPr>
                <w:sz w:val="22"/>
                <w:szCs w:val="22"/>
              </w:rPr>
            </w:pPr>
            <w:r w:rsidRPr="00215EC5">
              <w:rPr>
                <w:sz w:val="22"/>
                <w:szCs w:val="22"/>
              </w:rPr>
              <w:t>Reinforces economic empowerment via local knowledge systems</w:t>
            </w:r>
          </w:p>
        </w:tc>
      </w:tr>
      <w:tr w:rsidR="00910F29" w:rsidRPr="00215EC5" w14:paraId="248A5244" w14:textId="77777777" w:rsidTr="005830DB">
        <w:tc>
          <w:tcPr>
            <w:tcW w:w="0" w:type="auto"/>
            <w:hideMark/>
          </w:tcPr>
          <w:p w14:paraId="6A5A9778" w14:textId="77777777" w:rsidR="00910F29" w:rsidRPr="00215EC5" w:rsidRDefault="00910F29" w:rsidP="00CB140D">
            <w:pPr>
              <w:jc w:val="both"/>
              <w:rPr>
                <w:sz w:val="22"/>
                <w:szCs w:val="22"/>
              </w:rPr>
            </w:pPr>
            <w:r w:rsidRPr="00215EC5">
              <w:rPr>
                <w:sz w:val="22"/>
                <w:szCs w:val="22"/>
              </w:rPr>
              <w:t>Su et al.</w:t>
            </w:r>
          </w:p>
        </w:tc>
        <w:tc>
          <w:tcPr>
            <w:tcW w:w="0" w:type="auto"/>
            <w:hideMark/>
          </w:tcPr>
          <w:p w14:paraId="3071BC0C" w14:textId="77777777" w:rsidR="00910F29" w:rsidRPr="00215EC5" w:rsidRDefault="00910F29" w:rsidP="00CB140D">
            <w:pPr>
              <w:jc w:val="both"/>
              <w:rPr>
                <w:sz w:val="22"/>
                <w:szCs w:val="22"/>
              </w:rPr>
            </w:pPr>
            <w:r w:rsidRPr="00215EC5">
              <w:rPr>
                <w:sz w:val="22"/>
                <w:szCs w:val="22"/>
              </w:rPr>
              <w:t>2020</w:t>
            </w:r>
          </w:p>
        </w:tc>
        <w:tc>
          <w:tcPr>
            <w:tcW w:w="0" w:type="auto"/>
            <w:hideMark/>
          </w:tcPr>
          <w:p w14:paraId="1647EFF4" w14:textId="77777777" w:rsidR="00910F29" w:rsidRPr="00215EC5" w:rsidRDefault="00910F29" w:rsidP="00033370">
            <w:pPr>
              <w:jc w:val="both"/>
              <w:rPr>
                <w:sz w:val="22"/>
                <w:szCs w:val="22"/>
              </w:rPr>
            </w:pPr>
            <w:r w:rsidRPr="00215EC5">
              <w:rPr>
                <w:sz w:val="22"/>
                <w:szCs w:val="22"/>
              </w:rPr>
              <w:t>China</w:t>
            </w:r>
          </w:p>
        </w:tc>
        <w:tc>
          <w:tcPr>
            <w:tcW w:w="0" w:type="auto"/>
            <w:hideMark/>
          </w:tcPr>
          <w:p w14:paraId="60CD2414" w14:textId="77777777" w:rsidR="00910F29" w:rsidRPr="00215EC5" w:rsidRDefault="00910F29" w:rsidP="00033370">
            <w:pPr>
              <w:jc w:val="both"/>
              <w:rPr>
                <w:sz w:val="22"/>
                <w:szCs w:val="22"/>
              </w:rPr>
            </w:pPr>
            <w:r w:rsidRPr="00215EC5">
              <w:rPr>
                <w:sz w:val="22"/>
                <w:szCs w:val="22"/>
              </w:rPr>
              <w:t>Quantitative</w:t>
            </w:r>
          </w:p>
        </w:tc>
        <w:tc>
          <w:tcPr>
            <w:tcW w:w="0" w:type="auto"/>
            <w:hideMark/>
          </w:tcPr>
          <w:p w14:paraId="38EDF533" w14:textId="77777777" w:rsidR="00910F29" w:rsidRPr="00215EC5" w:rsidRDefault="00910F29" w:rsidP="00033370">
            <w:pPr>
              <w:jc w:val="both"/>
              <w:rPr>
                <w:sz w:val="22"/>
                <w:szCs w:val="22"/>
              </w:rPr>
            </w:pPr>
            <w:r w:rsidRPr="00215EC5">
              <w:rPr>
                <w:sz w:val="22"/>
                <w:szCs w:val="22"/>
              </w:rPr>
              <w:t>Role of indigenous schools in biodiversity</w:t>
            </w:r>
          </w:p>
        </w:tc>
        <w:tc>
          <w:tcPr>
            <w:tcW w:w="0" w:type="auto"/>
            <w:hideMark/>
          </w:tcPr>
          <w:p w14:paraId="1BE46884" w14:textId="77777777" w:rsidR="00910F29" w:rsidRPr="00215EC5" w:rsidRDefault="00910F29" w:rsidP="00033370">
            <w:pPr>
              <w:jc w:val="both"/>
              <w:rPr>
                <w:sz w:val="22"/>
                <w:szCs w:val="22"/>
              </w:rPr>
            </w:pPr>
            <w:r w:rsidRPr="00215EC5">
              <w:rPr>
                <w:sz w:val="22"/>
                <w:szCs w:val="22"/>
              </w:rPr>
              <w:t>Ensures ecological sustainability and economic stability</w:t>
            </w:r>
          </w:p>
        </w:tc>
      </w:tr>
      <w:tr w:rsidR="00910F29" w:rsidRPr="00215EC5" w14:paraId="67366647" w14:textId="77777777" w:rsidTr="005830DB">
        <w:tc>
          <w:tcPr>
            <w:tcW w:w="0" w:type="auto"/>
            <w:hideMark/>
          </w:tcPr>
          <w:p w14:paraId="6982CB06" w14:textId="77777777" w:rsidR="00910F29" w:rsidRPr="00215EC5" w:rsidRDefault="00910F29" w:rsidP="00CB140D">
            <w:pPr>
              <w:jc w:val="both"/>
              <w:rPr>
                <w:sz w:val="22"/>
                <w:szCs w:val="22"/>
              </w:rPr>
            </w:pPr>
            <w:r w:rsidRPr="00215EC5">
              <w:rPr>
                <w:sz w:val="22"/>
                <w:szCs w:val="22"/>
              </w:rPr>
              <w:t>Motsumi &amp; Nemakonde</w:t>
            </w:r>
          </w:p>
        </w:tc>
        <w:tc>
          <w:tcPr>
            <w:tcW w:w="0" w:type="auto"/>
            <w:hideMark/>
          </w:tcPr>
          <w:p w14:paraId="59B39A97" w14:textId="77777777" w:rsidR="00910F29" w:rsidRPr="00215EC5" w:rsidRDefault="00910F29" w:rsidP="00CB140D">
            <w:pPr>
              <w:jc w:val="both"/>
              <w:rPr>
                <w:sz w:val="22"/>
                <w:szCs w:val="22"/>
              </w:rPr>
            </w:pPr>
            <w:r w:rsidRPr="00215EC5">
              <w:rPr>
                <w:sz w:val="22"/>
                <w:szCs w:val="22"/>
              </w:rPr>
              <w:t>2024</w:t>
            </w:r>
          </w:p>
        </w:tc>
        <w:tc>
          <w:tcPr>
            <w:tcW w:w="0" w:type="auto"/>
            <w:hideMark/>
          </w:tcPr>
          <w:p w14:paraId="5A3E84E5" w14:textId="77777777" w:rsidR="00910F29" w:rsidRPr="00215EC5" w:rsidRDefault="00910F29" w:rsidP="00033370">
            <w:pPr>
              <w:jc w:val="both"/>
              <w:rPr>
                <w:sz w:val="22"/>
                <w:szCs w:val="22"/>
              </w:rPr>
            </w:pPr>
            <w:r w:rsidRPr="00215EC5">
              <w:rPr>
                <w:sz w:val="22"/>
                <w:szCs w:val="22"/>
              </w:rPr>
              <w:t>Botswana</w:t>
            </w:r>
          </w:p>
        </w:tc>
        <w:tc>
          <w:tcPr>
            <w:tcW w:w="0" w:type="auto"/>
            <w:hideMark/>
          </w:tcPr>
          <w:p w14:paraId="2B7D3091"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CBCE950" w14:textId="77777777" w:rsidR="00910F29" w:rsidRPr="00215EC5" w:rsidRDefault="00910F29" w:rsidP="00033370">
            <w:pPr>
              <w:jc w:val="both"/>
              <w:rPr>
                <w:sz w:val="22"/>
                <w:szCs w:val="22"/>
              </w:rPr>
            </w:pPr>
            <w:r w:rsidRPr="00215EC5">
              <w:rPr>
                <w:sz w:val="22"/>
                <w:szCs w:val="22"/>
              </w:rPr>
              <w:t>Cultural pedagogy and economic adaptation</w:t>
            </w:r>
          </w:p>
        </w:tc>
        <w:tc>
          <w:tcPr>
            <w:tcW w:w="0" w:type="auto"/>
            <w:hideMark/>
          </w:tcPr>
          <w:p w14:paraId="764F9C91" w14:textId="77777777" w:rsidR="00910F29" w:rsidRPr="00215EC5" w:rsidRDefault="00910F29" w:rsidP="00033370">
            <w:pPr>
              <w:jc w:val="both"/>
              <w:rPr>
                <w:sz w:val="22"/>
                <w:szCs w:val="22"/>
              </w:rPr>
            </w:pPr>
            <w:r w:rsidRPr="00215EC5">
              <w:rPr>
                <w:sz w:val="22"/>
                <w:szCs w:val="22"/>
              </w:rPr>
              <w:t>Promotes identity and collective economic strategies</w:t>
            </w:r>
          </w:p>
        </w:tc>
      </w:tr>
      <w:tr w:rsidR="00910F29" w:rsidRPr="00215EC5" w14:paraId="37404581" w14:textId="77777777" w:rsidTr="005830DB">
        <w:tc>
          <w:tcPr>
            <w:tcW w:w="0" w:type="auto"/>
            <w:hideMark/>
          </w:tcPr>
          <w:p w14:paraId="2CFE9885" w14:textId="77777777" w:rsidR="00910F29" w:rsidRPr="00215EC5" w:rsidRDefault="00910F29" w:rsidP="00CB140D">
            <w:pPr>
              <w:jc w:val="both"/>
              <w:rPr>
                <w:sz w:val="22"/>
                <w:szCs w:val="22"/>
              </w:rPr>
            </w:pPr>
            <w:r w:rsidRPr="00215EC5">
              <w:rPr>
                <w:sz w:val="22"/>
                <w:szCs w:val="22"/>
              </w:rPr>
              <w:t>Sarker</w:t>
            </w:r>
          </w:p>
        </w:tc>
        <w:tc>
          <w:tcPr>
            <w:tcW w:w="0" w:type="auto"/>
            <w:hideMark/>
          </w:tcPr>
          <w:p w14:paraId="3E2E0148" w14:textId="77777777" w:rsidR="00910F29" w:rsidRPr="00215EC5" w:rsidRDefault="00910F29" w:rsidP="00CB140D">
            <w:pPr>
              <w:jc w:val="both"/>
              <w:rPr>
                <w:sz w:val="22"/>
                <w:szCs w:val="22"/>
              </w:rPr>
            </w:pPr>
            <w:r w:rsidRPr="00215EC5">
              <w:rPr>
                <w:sz w:val="22"/>
                <w:szCs w:val="22"/>
              </w:rPr>
              <w:t>2019</w:t>
            </w:r>
          </w:p>
        </w:tc>
        <w:tc>
          <w:tcPr>
            <w:tcW w:w="0" w:type="auto"/>
            <w:hideMark/>
          </w:tcPr>
          <w:p w14:paraId="05F3EE44" w14:textId="77777777" w:rsidR="00910F29" w:rsidRPr="00215EC5" w:rsidRDefault="00910F29" w:rsidP="00033370">
            <w:pPr>
              <w:jc w:val="both"/>
              <w:rPr>
                <w:sz w:val="22"/>
                <w:szCs w:val="22"/>
              </w:rPr>
            </w:pPr>
            <w:r w:rsidRPr="00215EC5">
              <w:rPr>
                <w:sz w:val="22"/>
                <w:szCs w:val="22"/>
              </w:rPr>
              <w:t>Bangladesh</w:t>
            </w:r>
          </w:p>
        </w:tc>
        <w:tc>
          <w:tcPr>
            <w:tcW w:w="0" w:type="auto"/>
            <w:hideMark/>
          </w:tcPr>
          <w:p w14:paraId="7A0868A3" w14:textId="77777777" w:rsidR="00910F29" w:rsidRPr="00215EC5" w:rsidRDefault="00910F29" w:rsidP="00033370">
            <w:pPr>
              <w:jc w:val="both"/>
              <w:rPr>
                <w:sz w:val="22"/>
                <w:szCs w:val="22"/>
              </w:rPr>
            </w:pPr>
            <w:r w:rsidRPr="00215EC5">
              <w:rPr>
                <w:sz w:val="22"/>
                <w:szCs w:val="22"/>
              </w:rPr>
              <w:t>Ethnographic</w:t>
            </w:r>
          </w:p>
        </w:tc>
        <w:tc>
          <w:tcPr>
            <w:tcW w:w="0" w:type="auto"/>
            <w:hideMark/>
          </w:tcPr>
          <w:p w14:paraId="2FA32F6D" w14:textId="77777777" w:rsidR="00910F29" w:rsidRPr="00215EC5" w:rsidRDefault="00910F29" w:rsidP="00033370">
            <w:pPr>
              <w:jc w:val="both"/>
              <w:rPr>
                <w:sz w:val="22"/>
                <w:szCs w:val="22"/>
              </w:rPr>
            </w:pPr>
            <w:r w:rsidRPr="00215EC5">
              <w:rPr>
                <w:sz w:val="22"/>
                <w:szCs w:val="22"/>
              </w:rPr>
              <w:t>Cultural knowledge and disaster resilience</w:t>
            </w:r>
          </w:p>
        </w:tc>
        <w:tc>
          <w:tcPr>
            <w:tcW w:w="0" w:type="auto"/>
            <w:hideMark/>
          </w:tcPr>
          <w:p w14:paraId="225F25F7" w14:textId="77777777" w:rsidR="00910F29" w:rsidRPr="00215EC5" w:rsidRDefault="00910F29" w:rsidP="00033370">
            <w:pPr>
              <w:jc w:val="both"/>
              <w:rPr>
                <w:sz w:val="22"/>
                <w:szCs w:val="22"/>
              </w:rPr>
            </w:pPr>
            <w:r w:rsidRPr="00215EC5">
              <w:rPr>
                <w:sz w:val="22"/>
                <w:szCs w:val="22"/>
              </w:rPr>
              <w:t>Highlights TK in enhancing socio-economic resilience</w:t>
            </w:r>
          </w:p>
        </w:tc>
      </w:tr>
      <w:tr w:rsidR="00910F29" w:rsidRPr="00215EC5" w14:paraId="6B0CF1AF" w14:textId="77777777" w:rsidTr="005830DB">
        <w:tc>
          <w:tcPr>
            <w:tcW w:w="0" w:type="auto"/>
            <w:hideMark/>
          </w:tcPr>
          <w:p w14:paraId="37B7385C" w14:textId="77777777" w:rsidR="00910F29" w:rsidRPr="00215EC5" w:rsidRDefault="00910F29" w:rsidP="00CB140D">
            <w:pPr>
              <w:jc w:val="both"/>
              <w:rPr>
                <w:sz w:val="22"/>
                <w:szCs w:val="22"/>
              </w:rPr>
            </w:pPr>
            <w:r w:rsidRPr="00215EC5">
              <w:rPr>
                <w:sz w:val="22"/>
                <w:szCs w:val="22"/>
              </w:rPr>
              <w:t>Eid et al.</w:t>
            </w:r>
          </w:p>
        </w:tc>
        <w:tc>
          <w:tcPr>
            <w:tcW w:w="0" w:type="auto"/>
            <w:hideMark/>
          </w:tcPr>
          <w:p w14:paraId="0AF9FABD" w14:textId="77777777" w:rsidR="00910F29" w:rsidRPr="00215EC5" w:rsidRDefault="00910F29" w:rsidP="00CB140D">
            <w:pPr>
              <w:jc w:val="both"/>
              <w:rPr>
                <w:sz w:val="22"/>
                <w:szCs w:val="22"/>
              </w:rPr>
            </w:pPr>
            <w:r w:rsidRPr="00215EC5">
              <w:rPr>
                <w:sz w:val="22"/>
                <w:szCs w:val="22"/>
              </w:rPr>
              <w:t>2023</w:t>
            </w:r>
          </w:p>
        </w:tc>
        <w:tc>
          <w:tcPr>
            <w:tcW w:w="0" w:type="auto"/>
            <w:hideMark/>
          </w:tcPr>
          <w:p w14:paraId="3314EBEB" w14:textId="77777777" w:rsidR="00910F29" w:rsidRPr="00215EC5" w:rsidRDefault="00910F29" w:rsidP="00033370">
            <w:pPr>
              <w:jc w:val="both"/>
              <w:rPr>
                <w:sz w:val="22"/>
                <w:szCs w:val="22"/>
              </w:rPr>
            </w:pPr>
            <w:r w:rsidRPr="00215EC5">
              <w:rPr>
                <w:sz w:val="22"/>
                <w:szCs w:val="22"/>
              </w:rPr>
              <w:t>Egypt</w:t>
            </w:r>
          </w:p>
        </w:tc>
        <w:tc>
          <w:tcPr>
            <w:tcW w:w="0" w:type="auto"/>
            <w:hideMark/>
          </w:tcPr>
          <w:p w14:paraId="44AB663F"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E7E4A7C" w14:textId="77777777" w:rsidR="00910F29" w:rsidRPr="00215EC5" w:rsidRDefault="00910F29" w:rsidP="00033370">
            <w:pPr>
              <w:jc w:val="both"/>
              <w:rPr>
                <w:sz w:val="22"/>
                <w:szCs w:val="22"/>
              </w:rPr>
            </w:pPr>
            <w:r w:rsidRPr="00215EC5">
              <w:rPr>
                <w:sz w:val="22"/>
                <w:szCs w:val="22"/>
              </w:rPr>
              <w:t>Community-based knowledge and poverty reduction</w:t>
            </w:r>
          </w:p>
        </w:tc>
        <w:tc>
          <w:tcPr>
            <w:tcW w:w="0" w:type="auto"/>
            <w:hideMark/>
          </w:tcPr>
          <w:p w14:paraId="4DFC81D0" w14:textId="77777777" w:rsidR="00910F29" w:rsidRPr="00215EC5" w:rsidRDefault="00910F29" w:rsidP="00033370">
            <w:pPr>
              <w:jc w:val="both"/>
              <w:rPr>
                <w:sz w:val="22"/>
                <w:szCs w:val="22"/>
              </w:rPr>
            </w:pPr>
            <w:r w:rsidRPr="00215EC5">
              <w:rPr>
                <w:sz w:val="22"/>
                <w:szCs w:val="22"/>
              </w:rPr>
              <w:t>Link between communal education and economic well-being</w:t>
            </w:r>
          </w:p>
        </w:tc>
      </w:tr>
      <w:tr w:rsidR="00910F29" w:rsidRPr="00215EC5" w14:paraId="1EDA552C" w14:textId="77777777" w:rsidTr="005830DB">
        <w:tc>
          <w:tcPr>
            <w:tcW w:w="0" w:type="auto"/>
            <w:hideMark/>
          </w:tcPr>
          <w:p w14:paraId="6AA0C0B4" w14:textId="77777777" w:rsidR="00910F29" w:rsidRPr="00215EC5" w:rsidRDefault="00910F29" w:rsidP="00CB140D">
            <w:pPr>
              <w:jc w:val="both"/>
              <w:rPr>
                <w:sz w:val="22"/>
                <w:szCs w:val="22"/>
              </w:rPr>
            </w:pPr>
            <w:r w:rsidRPr="00215EC5">
              <w:rPr>
                <w:sz w:val="22"/>
                <w:szCs w:val="22"/>
              </w:rPr>
              <w:lastRenderedPageBreak/>
              <w:t>Astuti et al.</w:t>
            </w:r>
          </w:p>
        </w:tc>
        <w:tc>
          <w:tcPr>
            <w:tcW w:w="0" w:type="auto"/>
            <w:hideMark/>
          </w:tcPr>
          <w:p w14:paraId="340DBC71" w14:textId="77777777" w:rsidR="00910F29" w:rsidRPr="00215EC5" w:rsidRDefault="00910F29" w:rsidP="00CB140D">
            <w:pPr>
              <w:jc w:val="both"/>
              <w:rPr>
                <w:sz w:val="22"/>
                <w:szCs w:val="22"/>
              </w:rPr>
            </w:pPr>
            <w:r w:rsidRPr="00215EC5">
              <w:rPr>
                <w:sz w:val="22"/>
                <w:szCs w:val="22"/>
              </w:rPr>
              <w:t>2019</w:t>
            </w:r>
          </w:p>
        </w:tc>
        <w:tc>
          <w:tcPr>
            <w:tcW w:w="0" w:type="auto"/>
            <w:hideMark/>
          </w:tcPr>
          <w:p w14:paraId="0E0308FB" w14:textId="77777777" w:rsidR="00910F29" w:rsidRPr="00215EC5" w:rsidRDefault="00910F29" w:rsidP="00033370">
            <w:pPr>
              <w:jc w:val="both"/>
              <w:rPr>
                <w:sz w:val="22"/>
                <w:szCs w:val="22"/>
              </w:rPr>
            </w:pPr>
            <w:r w:rsidRPr="00215EC5">
              <w:rPr>
                <w:sz w:val="22"/>
                <w:szCs w:val="22"/>
              </w:rPr>
              <w:t>Indonesia</w:t>
            </w:r>
          </w:p>
        </w:tc>
        <w:tc>
          <w:tcPr>
            <w:tcW w:w="0" w:type="auto"/>
            <w:hideMark/>
          </w:tcPr>
          <w:p w14:paraId="257C3511" w14:textId="77777777" w:rsidR="00910F29" w:rsidRPr="00215EC5" w:rsidRDefault="00910F29" w:rsidP="00033370">
            <w:pPr>
              <w:jc w:val="both"/>
              <w:rPr>
                <w:sz w:val="22"/>
                <w:szCs w:val="22"/>
              </w:rPr>
            </w:pPr>
            <w:r w:rsidRPr="00215EC5">
              <w:rPr>
                <w:sz w:val="22"/>
                <w:szCs w:val="22"/>
              </w:rPr>
              <w:t>Case Study</w:t>
            </w:r>
          </w:p>
        </w:tc>
        <w:tc>
          <w:tcPr>
            <w:tcW w:w="0" w:type="auto"/>
            <w:hideMark/>
          </w:tcPr>
          <w:p w14:paraId="290C8347" w14:textId="77777777" w:rsidR="00910F29" w:rsidRPr="00215EC5" w:rsidRDefault="00910F29" w:rsidP="00033370">
            <w:pPr>
              <w:jc w:val="both"/>
              <w:rPr>
                <w:sz w:val="22"/>
                <w:szCs w:val="22"/>
              </w:rPr>
            </w:pPr>
            <w:r w:rsidRPr="00215EC5">
              <w:rPr>
                <w:sz w:val="22"/>
                <w:szCs w:val="22"/>
              </w:rPr>
              <w:t>Sustainable Livelihood Framework in education</w:t>
            </w:r>
          </w:p>
        </w:tc>
        <w:tc>
          <w:tcPr>
            <w:tcW w:w="0" w:type="auto"/>
            <w:hideMark/>
          </w:tcPr>
          <w:p w14:paraId="6014F3D0" w14:textId="77777777" w:rsidR="00910F29" w:rsidRPr="00215EC5" w:rsidRDefault="00910F29" w:rsidP="00033370">
            <w:pPr>
              <w:jc w:val="both"/>
              <w:rPr>
                <w:sz w:val="22"/>
                <w:szCs w:val="22"/>
              </w:rPr>
            </w:pPr>
            <w:r w:rsidRPr="00215EC5">
              <w:rPr>
                <w:sz w:val="22"/>
                <w:szCs w:val="22"/>
              </w:rPr>
              <w:t>Strengthens community assets for income generation</w:t>
            </w:r>
          </w:p>
        </w:tc>
      </w:tr>
      <w:tr w:rsidR="00910F29" w:rsidRPr="00215EC5" w14:paraId="401642DC" w14:textId="77777777" w:rsidTr="005830DB">
        <w:tc>
          <w:tcPr>
            <w:tcW w:w="0" w:type="auto"/>
            <w:hideMark/>
          </w:tcPr>
          <w:p w14:paraId="39022DF6" w14:textId="77777777" w:rsidR="00910F29" w:rsidRPr="00215EC5" w:rsidRDefault="00910F29" w:rsidP="00CB140D">
            <w:pPr>
              <w:jc w:val="both"/>
              <w:rPr>
                <w:sz w:val="22"/>
                <w:szCs w:val="22"/>
              </w:rPr>
            </w:pPr>
            <w:r w:rsidRPr="00215EC5">
              <w:rPr>
                <w:sz w:val="22"/>
                <w:szCs w:val="22"/>
              </w:rPr>
              <w:t>Msemwa et al.</w:t>
            </w:r>
          </w:p>
        </w:tc>
        <w:tc>
          <w:tcPr>
            <w:tcW w:w="0" w:type="auto"/>
            <w:hideMark/>
          </w:tcPr>
          <w:p w14:paraId="23A9F9F4" w14:textId="77777777" w:rsidR="00910F29" w:rsidRPr="00215EC5" w:rsidRDefault="00910F29" w:rsidP="00CB140D">
            <w:pPr>
              <w:jc w:val="both"/>
              <w:rPr>
                <w:sz w:val="22"/>
                <w:szCs w:val="22"/>
              </w:rPr>
            </w:pPr>
            <w:r w:rsidRPr="00215EC5">
              <w:rPr>
                <w:sz w:val="22"/>
                <w:szCs w:val="22"/>
              </w:rPr>
              <w:t>2024</w:t>
            </w:r>
          </w:p>
        </w:tc>
        <w:tc>
          <w:tcPr>
            <w:tcW w:w="0" w:type="auto"/>
            <w:hideMark/>
          </w:tcPr>
          <w:p w14:paraId="4AE6D956" w14:textId="77777777" w:rsidR="00910F29" w:rsidRPr="00215EC5" w:rsidRDefault="00910F29" w:rsidP="00033370">
            <w:pPr>
              <w:jc w:val="both"/>
              <w:rPr>
                <w:sz w:val="22"/>
                <w:szCs w:val="22"/>
              </w:rPr>
            </w:pPr>
            <w:r w:rsidRPr="00215EC5">
              <w:rPr>
                <w:sz w:val="22"/>
                <w:szCs w:val="22"/>
              </w:rPr>
              <w:t>Tanzania</w:t>
            </w:r>
          </w:p>
        </w:tc>
        <w:tc>
          <w:tcPr>
            <w:tcW w:w="0" w:type="auto"/>
            <w:hideMark/>
          </w:tcPr>
          <w:p w14:paraId="152C8DF7" w14:textId="77777777" w:rsidR="00910F29" w:rsidRPr="00215EC5" w:rsidRDefault="00910F29" w:rsidP="00033370">
            <w:pPr>
              <w:jc w:val="both"/>
              <w:rPr>
                <w:sz w:val="22"/>
                <w:szCs w:val="22"/>
              </w:rPr>
            </w:pPr>
            <w:r w:rsidRPr="00215EC5">
              <w:rPr>
                <w:sz w:val="22"/>
                <w:szCs w:val="22"/>
              </w:rPr>
              <w:t>Field Study</w:t>
            </w:r>
          </w:p>
        </w:tc>
        <w:tc>
          <w:tcPr>
            <w:tcW w:w="0" w:type="auto"/>
            <w:hideMark/>
          </w:tcPr>
          <w:p w14:paraId="694EE869" w14:textId="77777777" w:rsidR="00910F29" w:rsidRPr="00215EC5" w:rsidRDefault="00910F29" w:rsidP="00033370">
            <w:pPr>
              <w:jc w:val="both"/>
              <w:rPr>
                <w:sz w:val="22"/>
                <w:szCs w:val="22"/>
              </w:rPr>
            </w:pPr>
            <w:r w:rsidRPr="00215EC5">
              <w:rPr>
                <w:sz w:val="22"/>
                <w:szCs w:val="22"/>
              </w:rPr>
              <w:t>Community schools and capital development</w:t>
            </w:r>
          </w:p>
        </w:tc>
        <w:tc>
          <w:tcPr>
            <w:tcW w:w="0" w:type="auto"/>
            <w:hideMark/>
          </w:tcPr>
          <w:p w14:paraId="13370061" w14:textId="77777777" w:rsidR="00910F29" w:rsidRPr="00215EC5" w:rsidRDefault="00910F29" w:rsidP="00033370">
            <w:pPr>
              <w:jc w:val="both"/>
              <w:rPr>
                <w:sz w:val="22"/>
                <w:szCs w:val="22"/>
              </w:rPr>
            </w:pPr>
            <w:r w:rsidRPr="00215EC5">
              <w:rPr>
                <w:sz w:val="22"/>
                <w:szCs w:val="22"/>
              </w:rPr>
              <w:t>Improves financial and human assets through education</w:t>
            </w:r>
          </w:p>
        </w:tc>
      </w:tr>
      <w:tr w:rsidR="00910F29" w:rsidRPr="00215EC5" w14:paraId="2E050530" w14:textId="77777777" w:rsidTr="005830DB">
        <w:tc>
          <w:tcPr>
            <w:tcW w:w="0" w:type="auto"/>
            <w:hideMark/>
          </w:tcPr>
          <w:p w14:paraId="310FBF8C" w14:textId="77777777" w:rsidR="00910F29" w:rsidRPr="00215EC5" w:rsidRDefault="00910F29" w:rsidP="00CB140D">
            <w:pPr>
              <w:jc w:val="both"/>
              <w:rPr>
                <w:sz w:val="22"/>
                <w:szCs w:val="22"/>
              </w:rPr>
            </w:pPr>
            <w:r w:rsidRPr="00215EC5">
              <w:rPr>
                <w:sz w:val="22"/>
                <w:szCs w:val="22"/>
              </w:rPr>
              <w:t>Rosyidie et al.</w:t>
            </w:r>
          </w:p>
        </w:tc>
        <w:tc>
          <w:tcPr>
            <w:tcW w:w="0" w:type="auto"/>
            <w:hideMark/>
          </w:tcPr>
          <w:p w14:paraId="44343E98" w14:textId="77777777" w:rsidR="00910F29" w:rsidRPr="00215EC5" w:rsidRDefault="00910F29" w:rsidP="00CB140D">
            <w:pPr>
              <w:jc w:val="both"/>
              <w:rPr>
                <w:sz w:val="22"/>
                <w:szCs w:val="22"/>
              </w:rPr>
            </w:pPr>
            <w:r w:rsidRPr="00215EC5">
              <w:rPr>
                <w:sz w:val="22"/>
                <w:szCs w:val="22"/>
              </w:rPr>
              <w:t>2018</w:t>
            </w:r>
          </w:p>
        </w:tc>
        <w:tc>
          <w:tcPr>
            <w:tcW w:w="0" w:type="auto"/>
            <w:hideMark/>
          </w:tcPr>
          <w:p w14:paraId="235213CE" w14:textId="77777777" w:rsidR="00910F29" w:rsidRPr="00215EC5" w:rsidRDefault="00910F29" w:rsidP="00033370">
            <w:pPr>
              <w:jc w:val="both"/>
              <w:rPr>
                <w:sz w:val="22"/>
                <w:szCs w:val="22"/>
              </w:rPr>
            </w:pPr>
            <w:r w:rsidRPr="00215EC5">
              <w:rPr>
                <w:sz w:val="22"/>
                <w:szCs w:val="22"/>
              </w:rPr>
              <w:t>Indonesia</w:t>
            </w:r>
          </w:p>
        </w:tc>
        <w:tc>
          <w:tcPr>
            <w:tcW w:w="0" w:type="auto"/>
            <w:hideMark/>
          </w:tcPr>
          <w:p w14:paraId="1ECE7D5C"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2ABFCBF" w14:textId="77777777" w:rsidR="00910F29" w:rsidRPr="00215EC5" w:rsidRDefault="00910F29" w:rsidP="00033370">
            <w:pPr>
              <w:jc w:val="both"/>
              <w:rPr>
                <w:sz w:val="22"/>
                <w:szCs w:val="22"/>
              </w:rPr>
            </w:pPr>
            <w:r w:rsidRPr="00215EC5">
              <w:rPr>
                <w:sz w:val="22"/>
                <w:szCs w:val="22"/>
              </w:rPr>
              <w:t>Integration of local wisdom in rural schools</w:t>
            </w:r>
          </w:p>
        </w:tc>
        <w:tc>
          <w:tcPr>
            <w:tcW w:w="0" w:type="auto"/>
            <w:hideMark/>
          </w:tcPr>
          <w:p w14:paraId="4B0C32C8" w14:textId="77777777" w:rsidR="00910F29" w:rsidRPr="00215EC5" w:rsidRDefault="00910F29" w:rsidP="00033370">
            <w:pPr>
              <w:jc w:val="both"/>
              <w:rPr>
                <w:sz w:val="22"/>
                <w:szCs w:val="22"/>
              </w:rPr>
            </w:pPr>
            <w:r w:rsidRPr="00215EC5">
              <w:rPr>
                <w:sz w:val="22"/>
                <w:szCs w:val="22"/>
              </w:rPr>
              <w:t>Empowers students with market-relevant skills</w:t>
            </w:r>
          </w:p>
        </w:tc>
      </w:tr>
      <w:tr w:rsidR="00910F29" w:rsidRPr="00215EC5" w14:paraId="43DE6FE7" w14:textId="77777777" w:rsidTr="005830DB">
        <w:tc>
          <w:tcPr>
            <w:tcW w:w="0" w:type="auto"/>
            <w:hideMark/>
          </w:tcPr>
          <w:p w14:paraId="11A4D6CF" w14:textId="77777777" w:rsidR="00910F29" w:rsidRPr="00215EC5" w:rsidRDefault="00910F29" w:rsidP="00CB140D">
            <w:pPr>
              <w:jc w:val="both"/>
              <w:rPr>
                <w:sz w:val="22"/>
                <w:szCs w:val="22"/>
              </w:rPr>
            </w:pPr>
            <w:r w:rsidRPr="00215EC5">
              <w:rPr>
                <w:sz w:val="22"/>
                <w:szCs w:val="22"/>
              </w:rPr>
              <w:t>Spring et al.</w:t>
            </w:r>
          </w:p>
        </w:tc>
        <w:tc>
          <w:tcPr>
            <w:tcW w:w="0" w:type="auto"/>
            <w:hideMark/>
          </w:tcPr>
          <w:p w14:paraId="7BD18AE7" w14:textId="77777777" w:rsidR="00910F29" w:rsidRPr="00215EC5" w:rsidRDefault="00910F29" w:rsidP="00CB140D">
            <w:pPr>
              <w:jc w:val="both"/>
              <w:rPr>
                <w:sz w:val="22"/>
                <w:szCs w:val="22"/>
              </w:rPr>
            </w:pPr>
            <w:r w:rsidRPr="00215EC5">
              <w:rPr>
                <w:sz w:val="22"/>
                <w:szCs w:val="22"/>
              </w:rPr>
              <w:t>2018</w:t>
            </w:r>
          </w:p>
        </w:tc>
        <w:tc>
          <w:tcPr>
            <w:tcW w:w="0" w:type="auto"/>
            <w:hideMark/>
          </w:tcPr>
          <w:p w14:paraId="30CAB99A" w14:textId="77777777" w:rsidR="00910F29" w:rsidRPr="00215EC5" w:rsidRDefault="00910F29" w:rsidP="00033370">
            <w:pPr>
              <w:jc w:val="both"/>
              <w:rPr>
                <w:sz w:val="22"/>
                <w:szCs w:val="22"/>
              </w:rPr>
            </w:pPr>
            <w:r w:rsidRPr="00215EC5">
              <w:rPr>
                <w:sz w:val="22"/>
                <w:szCs w:val="22"/>
              </w:rPr>
              <w:t>USA/Global</w:t>
            </w:r>
          </w:p>
        </w:tc>
        <w:tc>
          <w:tcPr>
            <w:tcW w:w="0" w:type="auto"/>
            <w:hideMark/>
          </w:tcPr>
          <w:p w14:paraId="6C3F222F" w14:textId="77777777" w:rsidR="00910F29" w:rsidRPr="00215EC5" w:rsidRDefault="00910F29" w:rsidP="00033370">
            <w:pPr>
              <w:jc w:val="both"/>
              <w:rPr>
                <w:sz w:val="22"/>
                <w:szCs w:val="22"/>
              </w:rPr>
            </w:pPr>
            <w:r w:rsidRPr="00215EC5">
              <w:rPr>
                <w:sz w:val="22"/>
                <w:szCs w:val="22"/>
              </w:rPr>
              <w:t>Review</w:t>
            </w:r>
          </w:p>
        </w:tc>
        <w:tc>
          <w:tcPr>
            <w:tcW w:w="0" w:type="auto"/>
            <w:hideMark/>
          </w:tcPr>
          <w:p w14:paraId="4D0F4BBA" w14:textId="77777777" w:rsidR="00910F29" w:rsidRPr="00215EC5" w:rsidRDefault="00910F29" w:rsidP="00033370">
            <w:pPr>
              <w:jc w:val="both"/>
              <w:rPr>
                <w:sz w:val="22"/>
                <w:szCs w:val="22"/>
              </w:rPr>
            </w:pPr>
            <w:r w:rsidRPr="00215EC5">
              <w:rPr>
                <w:sz w:val="22"/>
                <w:szCs w:val="22"/>
              </w:rPr>
              <w:t>Comparative indigenous pedagogies</w:t>
            </w:r>
          </w:p>
        </w:tc>
        <w:tc>
          <w:tcPr>
            <w:tcW w:w="0" w:type="auto"/>
            <w:hideMark/>
          </w:tcPr>
          <w:p w14:paraId="5ED8F290" w14:textId="77777777" w:rsidR="00910F29" w:rsidRPr="00215EC5" w:rsidRDefault="00910F29" w:rsidP="00033370">
            <w:pPr>
              <w:jc w:val="both"/>
              <w:rPr>
                <w:sz w:val="22"/>
                <w:szCs w:val="22"/>
              </w:rPr>
            </w:pPr>
            <w:r w:rsidRPr="00215EC5">
              <w:rPr>
                <w:sz w:val="22"/>
                <w:szCs w:val="22"/>
              </w:rPr>
              <w:t>Builds capacity for sustainable economic actions</w:t>
            </w:r>
          </w:p>
        </w:tc>
      </w:tr>
      <w:tr w:rsidR="00910F29" w:rsidRPr="00215EC5" w14:paraId="4D4D722D" w14:textId="77777777" w:rsidTr="005830DB">
        <w:tc>
          <w:tcPr>
            <w:tcW w:w="0" w:type="auto"/>
            <w:hideMark/>
          </w:tcPr>
          <w:p w14:paraId="4777D8D8" w14:textId="77777777" w:rsidR="00910F29" w:rsidRPr="00215EC5" w:rsidRDefault="00910F29" w:rsidP="00CB140D">
            <w:pPr>
              <w:jc w:val="both"/>
              <w:rPr>
                <w:sz w:val="22"/>
                <w:szCs w:val="22"/>
              </w:rPr>
            </w:pPr>
            <w:r w:rsidRPr="00215EC5">
              <w:rPr>
                <w:sz w:val="22"/>
                <w:szCs w:val="22"/>
              </w:rPr>
              <w:t>Siddique &amp; Surovi</w:t>
            </w:r>
          </w:p>
        </w:tc>
        <w:tc>
          <w:tcPr>
            <w:tcW w:w="0" w:type="auto"/>
            <w:hideMark/>
          </w:tcPr>
          <w:p w14:paraId="5BC6ADD5" w14:textId="77777777" w:rsidR="00910F29" w:rsidRPr="00215EC5" w:rsidRDefault="00910F29" w:rsidP="00CB140D">
            <w:pPr>
              <w:jc w:val="both"/>
              <w:rPr>
                <w:sz w:val="22"/>
                <w:szCs w:val="22"/>
              </w:rPr>
            </w:pPr>
            <w:r w:rsidRPr="00215EC5">
              <w:rPr>
                <w:sz w:val="22"/>
                <w:szCs w:val="22"/>
              </w:rPr>
              <w:t>2021</w:t>
            </w:r>
          </w:p>
        </w:tc>
        <w:tc>
          <w:tcPr>
            <w:tcW w:w="0" w:type="auto"/>
            <w:hideMark/>
          </w:tcPr>
          <w:p w14:paraId="7007BCA3" w14:textId="77777777" w:rsidR="00910F29" w:rsidRPr="00215EC5" w:rsidRDefault="00910F29" w:rsidP="00033370">
            <w:pPr>
              <w:jc w:val="both"/>
              <w:rPr>
                <w:sz w:val="22"/>
                <w:szCs w:val="22"/>
              </w:rPr>
            </w:pPr>
            <w:r w:rsidRPr="00215EC5">
              <w:rPr>
                <w:sz w:val="22"/>
                <w:szCs w:val="22"/>
              </w:rPr>
              <w:t>Bangladesh</w:t>
            </w:r>
          </w:p>
        </w:tc>
        <w:tc>
          <w:tcPr>
            <w:tcW w:w="0" w:type="auto"/>
            <w:hideMark/>
          </w:tcPr>
          <w:p w14:paraId="73DCA782"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3130E73" w14:textId="77777777" w:rsidR="00910F29" w:rsidRPr="00215EC5" w:rsidRDefault="00910F29" w:rsidP="00033370">
            <w:pPr>
              <w:jc w:val="both"/>
              <w:rPr>
                <w:sz w:val="22"/>
                <w:szCs w:val="22"/>
              </w:rPr>
            </w:pPr>
            <w:r w:rsidRPr="00215EC5">
              <w:rPr>
                <w:sz w:val="22"/>
                <w:szCs w:val="22"/>
              </w:rPr>
              <w:t>Teaching agroecology in schools</w:t>
            </w:r>
          </w:p>
        </w:tc>
        <w:tc>
          <w:tcPr>
            <w:tcW w:w="0" w:type="auto"/>
            <w:hideMark/>
          </w:tcPr>
          <w:p w14:paraId="3D1E4518" w14:textId="77777777" w:rsidR="00910F29" w:rsidRPr="00215EC5" w:rsidRDefault="00910F29" w:rsidP="00033370">
            <w:pPr>
              <w:jc w:val="both"/>
              <w:rPr>
                <w:sz w:val="22"/>
                <w:szCs w:val="22"/>
              </w:rPr>
            </w:pPr>
            <w:r w:rsidRPr="00215EC5">
              <w:rPr>
                <w:sz w:val="22"/>
                <w:szCs w:val="22"/>
              </w:rPr>
              <w:t>Enables biodiversity-based livelihood paths</w:t>
            </w:r>
          </w:p>
        </w:tc>
      </w:tr>
      <w:tr w:rsidR="00910F29" w:rsidRPr="00215EC5" w14:paraId="4530630D" w14:textId="77777777" w:rsidTr="005830DB">
        <w:tc>
          <w:tcPr>
            <w:tcW w:w="0" w:type="auto"/>
            <w:hideMark/>
          </w:tcPr>
          <w:p w14:paraId="2F21F4A0" w14:textId="77777777" w:rsidR="00910F29" w:rsidRPr="00215EC5" w:rsidRDefault="00910F29" w:rsidP="00CB140D">
            <w:pPr>
              <w:jc w:val="both"/>
              <w:rPr>
                <w:sz w:val="22"/>
                <w:szCs w:val="22"/>
              </w:rPr>
            </w:pPr>
            <w:r w:rsidRPr="00215EC5">
              <w:rPr>
                <w:sz w:val="22"/>
                <w:szCs w:val="22"/>
              </w:rPr>
              <w:t>Yamin et al.</w:t>
            </w:r>
          </w:p>
        </w:tc>
        <w:tc>
          <w:tcPr>
            <w:tcW w:w="0" w:type="auto"/>
            <w:hideMark/>
          </w:tcPr>
          <w:p w14:paraId="44B27484" w14:textId="77777777" w:rsidR="00910F29" w:rsidRPr="00215EC5" w:rsidRDefault="00910F29" w:rsidP="00CB140D">
            <w:pPr>
              <w:jc w:val="both"/>
              <w:rPr>
                <w:sz w:val="22"/>
                <w:szCs w:val="22"/>
              </w:rPr>
            </w:pPr>
            <w:r w:rsidRPr="00215EC5">
              <w:rPr>
                <w:sz w:val="22"/>
                <w:szCs w:val="22"/>
              </w:rPr>
              <w:t>2023</w:t>
            </w:r>
          </w:p>
        </w:tc>
        <w:tc>
          <w:tcPr>
            <w:tcW w:w="0" w:type="auto"/>
            <w:hideMark/>
          </w:tcPr>
          <w:p w14:paraId="0D2CD65B" w14:textId="77777777" w:rsidR="00910F29" w:rsidRPr="00215EC5" w:rsidRDefault="00910F29" w:rsidP="00033370">
            <w:pPr>
              <w:jc w:val="both"/>
              <w:rPr>
                <w:sz w:val="22"/>
                <w:szCs w:val="22"/>
              </w:rPr>
            </w:pPr>
            <w:r w:rsidRPr="00215EC5">
              <w:rPr>
                <w:sz w:val="22"/>
                <w:szCs w:val="22"/>
              </w:rPr>
              <w:t>Malaysia</w:t>
            </w:r>
          </w:p>
        </w:tc>
        <w:tc>
          <w:tcPr>
            <w:tcW w:w="0" w:type="auto"/>
            <w:hideMark/>
          </w:tcPr>
          <w:p w14:paraId="0C2811D7" w14:textId="77777777" w:rsidR="00910F29" w:rsidRPr="00215EC5" w:rsidRDefault="00910F29" w:rsidP="00033370">
            <w:pPr>
              <w:jc w:val="both"/>
              <w:rPr>
                <w:sz w:val="22"/>
                <w:szCs w:val="22"/>
              </w:rPr>
            </w:pPr>
            <w:r w:rsidRPr="00215EC5">
              <w:rPr>
                <w:sz w:val="22"/>
                <w:szCs w:val="22"/>
              </w:rPr>
              <w:t>Survey</w:t>
            </w:r>
          </w:p>
        </w:tc>
        <w:tc>
          <w:tcPr>
            <w:tcW w:w="0" w:type="auto"/>
            <w:hideMark/>
          </w:tcPr>
          <w:p w14:paraId="78412218" w14:textId="77777777" w:rsidR="00910F29" w:rsidRPr="00215EC5" w:rsidRDefault="00910F29" w:rsidP="00033370">
            <w:pPr>
              <w:jc w:val="both"/>
              <w:rPr>
                <w:sz w:val="22"/>
                <w:szCs w:val="22"/>
              </w:rPr>
            </w:pPr>
            <w:r w:rsidRPr="00215EC5">
              <w:rPr>
                <w:sz w:val="22"/>
                <w:szCs w:val="22"/>
              </w:rPr>
              <w:t>Natural resource stewardship in schooling</w:t>
            </w:r>
          </w:p>
        </w:tc>
        <w:tc>
          <w:tcPr>
            <w:tcW w:w="0" w:type="auto"/>
            <w:hideMark/>
          </w:tcPr>
          <w:p w14:paraId="75C5ED60" w14:textId="77777777" w:rsidR="00910F29" w:rsidRPr="00215EC5" w:rsidRDefault="00910F29" w:rsidP="00033370">
            <w:pPr>
              <w:jc w:val="both"/>
              <w:rPr>
                <w:sz w:val="22"/>
                <w:szCs w:val="22"/>
              </w:rPr>
            </w:pPr>
            <w:r w:rsidRPr="00215EC5">
              <w:rPr>
                <w:sz w:val="22"/>
                <w:szCs w:val="22"/>
              </w:rPr>
              <w:t>Elevates household economic resilience</w:t>
            </w:r>
          </w:p>
        </w:tc>
      </w:tr>
      <w:tr w:rsidR="00910F29" w:rsidRPr="00215EC5" w14:paraId="47D5AAE3" w14:textId="77777777" w:rsidTr="005830DB">
        <w:tc>
          <w:tcPr>
            <w:tcW w:w="0" w:type="auto"/>
            <w:hideMark/>
          </w:tcPr>
          <w:p w14:paraId="6C54C834" w14:textId="77777777" w:rsidR="00910F29" w:rsidRPr="00215EC5" w:rsidRDefault="00910F29" w:rsidP="00CB140D">
            <w:pPr>
              <w:jc w:val="both"/>
              <w:rPr>
                <w:sz w:val="22"/>
                <w:szCs w:val="22"/>
              </w:rPr>
            </w:pPr>
            <w:r w:rsidRPr="00215EC5">
              <w:rPr>
                <w:sz w:val="22"/>
                <w:szCs w:val="22"/>
              </w:rPr>
              <w:t>Barrientos et al.</w:t>
            </w:r>
          </w:p>
        </w:tc>
        <w:tc>
          <w:tcPr>
            <w:tcW w:w="0" w:type="auto"/>
            <w:hideMark/>
          </w:tcPr>
          <w:p w14:paraId="0B9174F8" w14:textId="77777777" w:rsidR="00910F29" w:rsidRPr="00215EC5" w:rsidRDefault="00910F29" w:rsidP="00CB140D">
            <w:pPr>
              <w:jc w:val="both"/>
              <w:rPr>
                <w:sz w:val="22"/>
                <w:szCs w:val="22"/>
              </w:rPr>
            </w:pPr>
            <w:r w:rsidRPr="00215EC5">
              <w:rPr>
                <w:sz w:val="22"/>
                <w:szCs w:val="22"/>
              </w:rPr>
              <w:t>2018</w:t>
            </w:r>
          </w:p>
        </w:tc>
        <w:tc>
          <w:tcPr>
            <w:tcW w:w="0" w:type="auto"/>
            <w:hideMark/>
          </w:tcPr>
          <w:p w14:paraId="66410E28" w14:textId="77777777" w:rsidR="00910F29" w:rsidRPr="00215EC5" w:rsidRDefault="00910F29" w:rsidP="00033370">
            <w:pPr>
              <w:jc w:val="both"/>
              <w:rPr>
                <w:sz w:val="22"/>
                <w:szCs w:val="22"/>
              </w:rPr>
            </w:pPr>
            <w:r w:rsidRPr="00215EC5">
              <w:rPr>
                <w:sz w:val="22"/>
                <w:szCs w:val="22"/>
              </w:rPr>
              <w:t>Mexico</w:t>
            </w:r>
          </w:p>
        </w:tc>
        <w:tc>
          <w:tcPr>
            <w:tcW w:w="0" w:type="auto"/>
            <w:hideMark/>
          </w:tcPr>
          <w:p w14:paraId="68C8F9FB" w14:textId="77777777" w:rsidR="00910F29" w:rsidRPr="00215EC5" w:rsidRDefault="00910F29" w:rsidP="00033370">
            <w:pPr>
              <w:jc w:val="both"/>
              <w:rPr>
                <w:sz w:val="22"/>
                <w:szCs w:val="22"/>
              </w:rPr>
            </w:pPr>
            <w:r w:rsidRPr="00215EC5">
              <w:rPr>
                <w:sz w:val="22"/>
                <w:szCs w:val="22"/>
              </w:rPr>
              <w:t>Ethnographic</w:t>
            </w:r>
          </w:p>
        </w:tc>
        <w:tc>
          <w:tcPr>
            <w:tcW w:w="0" w:type="auto"/>
            <w:hideMark/>
          </w:tcPr>
          <w:p w14:paraId="012B1024" w14:textId="77777777" w:rsidR="00910F29" w:rsidRPr="00215EC5" w:rsidRDefault="00910F29" w:rsidP="00033370">
            <w:pPr>
              <w:jc w:val="both"/>
              <w:rPr>
                <w:sz w:val="22"/>
                <w:szCs w:val="22"/>
              </w:rPr>
            </w:pPr>
            <w:r w:rsidRPr="00215EC5">
              <w:rPr>
                <w:sz w:val="22"/>
                <w:szCs w:val="22"/>
              </w:rPr>
              <w:t>Preserving local crops and crafts</w:t>
            </w:r>
          </w:p>
        </w:tc>
        <w:tc>
          <w:tcPr>
            <w:tcW w:w="0" w:type="auto"/>
            <w:hideMark/>
          </w:tcPr>
          <w:p w14:paraId="6C16F584" w14:textId="77777777" w:rsidR="00910F29" w:rsidRPr="00215EC5" w:rsidRDefault="00910F29" w:rsidP="00033370">
            <w:pPr>
              <w:jc w:val="both"/>
              <w:rPr>
                <w:sz w:val="22"/>
                <w:szCs w:val="22"/>
              </w:rPr>
            </w:pPr>
            <w:r w:rsidRPr="00215EC5">
              <w:rPr>
                <w:sz w:val="22"/>
                <w:szCs w:val="22"/>
              </w:rPr>
              <w:t>Reinforces income generation and heritage</w:t>
            </w:r>
          </w:p>
        </w:tc>
      </w:tr>
      <w:tr w:rsidR="00910F29" w:rsidRPr="00215EC5" w14:paraId="4E36F862" w14:textId="77777777" w:rsidTr="005830DB">
        <w:tc>
          <w:tcPr>
            <w:tcW w:w="0" w:type="auto"/>
            <w:hideMark/>
          </w:tcPr>
          <w:p w14:paraId="6B0994EA" w14:textId="77777777" w:rsidR="00910F29" w:rsidRPr="00215EC5" w:rsidRDefault="00910F29" w:rsidP="00CB140D">
            <w:pPr>
              <w:jc w:val="both"/>
              <w:rPr>
                <w:sz w:val="22"/>
                <w:szCs w:val="22"/>
              </w:rPr>
            </w:pPr>
            <w:r w:rsidRPr="00215EC5">
              <w:rPr>
                <w:sz w:val="22"/>
                <w:szCs w:val="22"/>
              </w:rPr>
              <w:t>Joachim &amp; Zahor</w:t>
            </w:r>
          </w:p>
        </w:tc>
        <w:tc>
          <w:tcPr>
            <w:tcW w:w="0" w:type="auto"/>
            <w:hideMark/>
          </w:tcPr>
          <w:p w14:paraId="69A2B5AA" w14:textId="77777777" w:rsidR="00910F29" w:rsidRPr="00215EC5" w:rsidRDefault="00910F29" w:rsidP="00CB140D">
            <w:pPr>
              <w:jc w:val="both"/>
              <w:rPr>
                <w:sz w:val="22"/>
                <w:szCs w:val="22"/>
              </w:rPr>
            </w:pPr>
            <w:r w:rsidRPr="00215EC5">
              <w:rPr>
                <w:sz w:val="22"/>
                <w:szCs w:val="22"/>
              </w:rPr>
              <w:t>2022</w:t>
            </w:r>
          </w:p>
        </w:tc>
        <w:tc>
          <w:tcPr>
            <w:tcW w:w="0" w:type="auto"/>
            <w:hideMark/>
          </w:tcPr>
          <w:p w14:paraId="222020BD" w14:textId="77777777" w:rsidR="00910F29" w:rsidRPr="00215EC5" w:rsidRDefault="00910F29" w:rsidP="00033370">
            <w:pPr>
              <w:jc w:val="both"/>
              <w:rPr>
                <w:sz w:val="22"/>
                <w:szCs w:val="22"/>
              </w:rPr>
            </w:pPr>
            <w:r w:rsidRPr="00215EC5">
              <w:rPr>
                <w:sz w:val="22"/>
                <w:szCs w:val="22"/>
              </w:rPr>
              <w:t>Kenya</w:t>
            </w:r>
          </w:p>
        </w:tc>
        <w:tc>
          <w:tcPr>
            <w:tcW w:w="0" w:type="auto"/>
            <w:hideMark/>
          </w:tcPr>
          <w:p w14:paraId="4594AE4E" w14:textId="77777777" w:rsidR="00910F29" w:rsidRPr="00215EC5" w:rsidRDefault="00910F29" w:rsidP="00033370">
            <w:pPr>
              <w:jc w:val="both"/>
              <w:rPr>
                <w:sz w:val="22"/>
                <w:szCs w:val="22"/>
              </w:rPr>
            </w:pPr>
            <w:r w:rsidRPr="00215EC5">
              <w:rPr>
                <w:sz w:val="22"/>
                <w:szCs w:val="22"/>
              </w:rPr>
              <w:t>Field Study</w:t>
            </w:r>
          </w:p>
        </w:tc>
        <w:tc>
          <w:tcPr>
            <w:tcW w:w="0" w:type="auto"/>
            <w:hideMark/>
          </w:tcPr>
          <w:p w14:paraId="73EFB04A" w14:textId="77777777" w:rsidR="00910F29" w:rsidRPr="00215EC5" w:rsidRDefault="00910F29" w:rsidP="00033370">
            <w:pPr>
              <w:jc w:val="both"/>
              <w:rPr>
                <w:sz w:val="22"/>
                <w:szCs w:val="22"/>
              </w:rPr>
            </w:pPr>
            <w:r w:rsidRPr="00215EC5">
              <w:rPr>
                <w:sz w:val="22"/>
                <w:szCs w:val="22"/>
              </w:rPr>
              <w:t>Agroecological education and food sovereignty</w:t>
            </w:r>
          </w:p>
        </w:tc>
        <w:tc>
          <w:tcPr>
            <w:tcW w:w="0" w:type="auto"/>
            <w:hideMark/>
          </w:tcPr>
          <w:p w14:paraId="4D4AEB70" w14:textId="77777777" w:rsidR="00910F29" w:rsidRPr="00215EC5" w:rsidRDefault="00910F29" w:rsidP="00033370">
            <w:pPr>
              <w:jc w:val="both"/>
              <w:rPr>
                <w:sz w:val="22"/>
                <w:szCs w:val="22"/>
              </w:rPr>
            </w:pPr>
            <w:r w:rsidRPr="00215EC5">
              <w:rPr>
                <w:sz w:val="22"/>
                <w:szCs w:val="22"/>
              </w:rPr>
              <w:t>Strengthens autonomy through eco-livelihoods</w:t>
            </w:r>
          </w:p>
        </w:tc>
      </w:tr>
      <w:tr w:rsidR="00910F29" w:rsidRPr="00215EC5" w14:paraId="5AF38DEF" w14:textId="77777777" w:rsidTr="005830DB">
        <w:tc>
          <w:tcPr>
            <w:tcW w:w="0" w:type="auto"/>
            <w:hideMark/>
          </w:tcPr>
          <w:p w14:paraId="2DE3B97E" w14:textId="77777777" w:rsidR="00910F29" w:rsidRPr="00215EC5" w:rsidRDefault="00910F29" w:rsidP="00CB140D">
            <w:pPr>
              <w:jc w:val="both"/>
              <w:rPr>
                <w:sz w:val="22"/>
                <w:szCs w:val="22"/>
              </w:rPr>
            </w:pPr>
            <w:r w:rsidRPr="00215EC5">
              <w:rPr>
                <w:sz w:val="22"/>
                <w:szCs w:val="22"/>
              </w:rPr>
              <w:t>Osumanu</w:t>
            </w:r>
          </w:p>
        </w:tc>
        <w:tc>
          <w:tcPr>
            <w:tcW w:w="0" w:type="auto"/>
            <w:hideMark/>
          </w:tcPr>
          <w:p w14:paraId="144FF436" w14:textId="77777777" w:rsidR="00910F29" w:rsidRPr="00215EC5" w:rsidRDefault="00910F29" w:rsidP="00CB140D">
            <w:pPr>
              <w:jc w:val="both"/>
              <w:rPr>
                <w:sz w:val="22"/>
                <w:szCs w:val="22"/>
              </w:rPr>
            </w:pPr>
            <w:r w:rsidRPr="00215EC5">
              <w:rPr>
                <w:sz w:val="22"/>
                <w:szCs w:val="22"/>
              </w:rPr>
              <w:t>2020</w:t>
            </w:r>
          </w:p>
        </w:tc>
        <w:tc>
          <w:tcPr>
            <w:tcW w:w="0" w:type="auto"/>
            <w:hideMark/>
          </w:tcPr>
          <w:p w14:paraId="5A588280" w14:textId="77777777" w:rsidR="00910F29" w:rsidRPr="00215EC5" w:rsidRDefault="00910F29" w:rsidP="00033370">
            <w:pPr>
              <w:jc w:val="both"/>
              <w:rPr>
                <w:sz w:val="22"/>
                <w:szCs w:val="22"/>
              </w:rPr>
            </w:pPr>
            <w:r w:rsidRPr="00215EC5">
              <w:rPr>
                <w:sz w:val="22"/>
                <w:szCs w:val="22"/>
              </w:rPr>
              <w:t>Ghana</w:t>
            </w:r>
          </w:p>
        </w:tc>
        <w:tc>
          <w:tcPr>
            <w:tcW w:w="0" w:type="auto"/>
            <w:hideMark/>
          </w:tcPr>
          <w:p w14:paraId="10933BE6"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B6DA065" w14:textId="77777777" w:rsidR="00910F29" w:rsidRPr="00215EC5" w:rsidRDefault="00910F29" w:rsidP="00033370">
            <w:pPr>
              <w:jc w:val="both"/>
              <w:rPr>
                <w:sz w:val="22"/>
                <w:szCs w:val="22"/>
              </w:rPr>
            </w:pPr>
            <w:r w:rsidRPr="00215EC5">
              <w:rPr>
                <w:sz w:val="22"/>
                <w:szCs w:val="22"/>
              </w:rPr>
              <w:t>Ecological curricula for economic empowerment</w:t>
            </w:r>
          </w:p>
        </w:tc>
        <w:tc>
          <w:tcPr>
            <w:tcW w:w="0" w:type="auto"/>
            <w:hideMark/>
          </w:tcPr>
          <w:p w14:paraId="37AF4B96" w14:textId="77777777" w:rsidR="00910F29" w:rsidRPr="00215EC5" w:rsidRDefault="00910F29" w:rsidP="00033370">
            <w:pPr>
              <w:jc w:val="both"/>
              <w:rPr>
                <w:sz w:val="22"/>
                <w:szCs w:val="22"/>
              </w:rPr>
            </w:pPr>
            <w:r w:rsidRPr="00215EC5">
              <w:rPr>
                <w:sz w:val="22"/>
                <w:szCs w:val="22"/>
              </w:rPr>
              <w:t>Builds skills for alternative income</w:t>
            </w:r>
          </w:p>
        </w:tc>
      </w:tr>
      <w:tr w:rsidR="00910F29" w:rsidRPr="00215EC5" w14:paraId="2579DBEB" w14:textId="77777777" w:rsidTr="005830DB">
        <w:tc>
          <w:tcPr>
            <w:tcW w:w="0" w:type="auto"/>
            <w:hideMark/>
          </w:tcPr>
          <w:p w14:paraId="4C98FEDD" w14:textId="77777777" w:rsidR="00910F29" w:rsidRPr="00215EC5" w:rsidRDefault="00910F29" w:rsidP="00CB140D">
            <w:pPr>
              <w:jc w:val="both"/>
              <w:rPr>
                <w:sz w:val="22"/>
                <w:szCs w:val="22"/>
              </w:rPr>
            </w:pPr>
            <w:r w:rsidRPr="00215EC5">
              <w:rPr>
                <w:sz w:val="22"/>
                <w:szCs w:val="22"/>
              </w:rPr>
              <w:t>Syaharuddin</w:t>
            </w:r>
          </w:p>
        </w:tc>
        <w:tc>
          <w:tcPr>
            <w:tcW w:w="0" w:type="auto"/>
            <w:hideMark/>
          </w:tcPr>
          <w:p w14:paraId="2476337D" w14:textId="77777777" w:rsidR="00910F29" w:rsidRPr="00215EC5" w:rsidRDefault="00910F29" w:rsidP="00CB140D">
            <w:pPr>
              <w:jc w:val="both"/>
              <w:rPr>
                <w:sz w:val="22"/>
                <w:szCs w:val="22"/>
              </w:rPr>
            </w:pPr>
            <w:r w:rsidRPr="00215EC5">
              <w:rPr>
                <w:sz w:val="22"/>
                <w:szCs w:val="22"/>
              </w:rPr>
              <w:t>2024</w:t>
            </w:r>
          </w:p>
        </w:tc>
        <w:tc>
          <w:tcPr>
            <w:tcW w:w="0" w:type="auto"/>
            <w:hideMark/>
          </w:tcPr>
          <w:p w14:paraId="65A1F5A9" w14:textId="77777777" w:rsidR="00910F29" w:rsidRPr="00215EC5" w:rsidRDefault="00910F29" w:rsidP="00033370">
            <w:pPr>
              <w:jc w:val="both"/>
              <w:rPr>
                <w:sz w:val="22"/>
                <w:szCs w:val="22"/>
              </w:rPr>
            </w:pPr>
            <w:r w:rsidRPr="00215EC5">
              <w:rPr>
                <w:sz w:val="22"/>
                <w:szCs w:val="22"/>
              </w:rPr>
              <w:t>Indonesia</w:t>
            </w:r>
          </w:p>
        </w:tc>
        <w:tc>
          <w:tcPr>
            <w:tcW w:w="0" w:type="auto"/>
            <w:hideMark/>
          </w:tcPr>
          <w:p w14:paraId="115A3787" w14:textId="77777777" w:rsidR="00910F29" w:rsidRPr="00215EC5" w:rsidRDefault="00910F29" w:rsidP="00033370">
            <w:pPr>
              <w:jc w:val="both"/>
              <w:rPr>
                <w:sz w:val="22"/>
                <w:szCs w:val="22"/>
              </w:rPr>
            </w:pPr>
            <w:r w:rsidRPr="00215EC5">
              <w:rPr>
                <w:sz w:val="22"/>
                <w:szCs w:val="22"/>
              </w:rPr>
              <w:t>Case Study</w:t>
            </w:r>
          </w:p>
        </w:tc>
        <w:tc>
          <w:tcPr>
            <w:tcW w:w="0" w:type="auto"/>
            <w:hideMark/>
          </w:tcPr>
          <w:p w14:paraId="4D10F56F" w14:textId="77777777" w:rsidR="00910F29" w:rsidRPr="00215EC5" w:rsidRDefault="00910F29" w:rsidP="00033370">
            <w:pPr>
              <w:jc w:val="both"/>
              <w:rPr>
                <w:sz w:val="22"/>
                <w:szCs w:val="22"/>
              </w:rPr>
            </w:pPr>
            <w:r w:rsidRPr="00215EC5">
              <w:rPr>
                <w:sz w:val="22"/>
                <w:szCs w:val="22"/>
              </w:rPr>
              <w:t>Use of indigenous plants for health and income</w:t>
            </w:r>
          </w:p>
        </w:tc>
        <w:tc>
          <w:tcPr>
            <w:tcW w:w="0" w:type="auto"/>
            <w:hideMark/>
          </w:tcPr>
          <w:p w14:paraId="1EA4706E" w14:textId="77777777" w:rsidR="00910F29" w:rsidRPr="00215EC5" w:rsidRDefault="00910F29" w:rsidP="00033370">
            <w:pPr>
              <w:jc w:val="both"/>
              <w:rPr>
                <w:sz w:val="22"/>
                <w:szCs w:val="22"/>
              </w:rPr>
            </w:pPr>
            <w:r w:rsidRPr="00215EC5">
              <w:rPr>
                <w:sz w:val="22"/>
                <w:szCs w:val="22"/>
              </w:rPr>
              <w:t>Supports dual health-economic outcomes</w:t>
            </w:r>
          </w:p>
        </w:tc>
      </w:tr>
      <w:tr w:rsidR="00910F29" w:rsidRPr="00215EC5" w14:paraId="69025235" w14:textId="77777777" w:rsidTr="005830DB">
        <w:tc>
          <w:tcPr>
            <w:tcW w:w="0" w:type="auto"/>
            <w:hideMark/>
          </w:tcPr>
          <w:p w14:paraId="4EF68370" w14:textId="77777777" w:rsidR="00910F29" w:rsidRPr="00215EC5" w:rsidRDefault="00910F29" w:rsidP="00CB140D">
            <w:pPr>
              <w:jc w:val="both"/>
              <w:rPr>
                <w:sz w:val="22"/>
                <w:szCs w:val="22"/>
              </w:rPr>
            </w:pPr>
            <w:r w:rsidRPr="00215EC5">
              <w:rPr>
                <w:sz w:val="22"/>
                <w:szCs w:val="22"/>
              </w:rPr>
              <w:t>Levers et al.</w:t>
            </w:r>
          </w:p>
        </w:tc>
        <w:tc>
          <w:tcPr>
            <w:tcW w:w="0" w:type="auto"/>
            <w:hideMark/>
          </w:tcPr>
          <w:p w14:paraId="621D3AF3" w14:textId="77777777" w:rsidR="00910F29" w:rsidRPr="00215EC5" w:rsidRDefault="00910F29" w:rsidP="00CB140D">
            <w:pPr>
              <w:jc w:val="both"/>
              <w:rPr>
                <w:sz w:val="22"/>
                <w:szCs w:val="22"/>
              </w:rPr>
            </w:pPr>
            <w:r w:rsidRPr="00215EC5">
              <w:rPr>
                <w:sz w:val="22"/>
                <w:szCs w:val="22"/>
              </w:rPr>
              <w:t>2021</w:t>
            </w:r>
          </w:p>
        </w:tc>
        <w:tc>
          <w:tcPr>
            <w:tcW w:w="0" w:type="auto"/>
            <w:hideMark/>
          </w:tcPr>
          <w:p w14:paraId="166B5F43" w14:textId="77777777" w:rsidR="00910F29" w:rsidRPr="00215EC5" w:rsidRDefault="00910F29" w:rsidP="00033370">
            <w:pPr>
              <w:jc w:val="both"/>
              <w:rPr>
                <w:sz w:val="22"/>
                <w:szCs w:val="22"/>
              </w:rPr>
            </w:pPr>
            <w:r w:rsidRPr="00215EC5">
              <w:rPr>
                <w:sz w:val="22"/>
                <w:szCs w:val="22"/>
              </w:rPr>
              <w:t>Sub-Saharan Africa</w:t>
            </w:r>
          </w:p>
        </w:tc>
        <w:tc>
          <w:tcPr>
            <w:tcW w:w="0" w:type="auto"/>
            <w:hideMark/>
          </w:tcPr>
          <w:p w14:paraId="30323ECB" w14:textId="77777777" w:rsidR="00910F29" w:rsidRPr="00215EC5" w:rsidRDefault="00910F29" w:rsidP="00033370">
            <w:pPr>
              <w:jc w:val="both"/>
              <w:rPr>
                <w:sz w:val="22"/>
                <w:szCs w:val="22"/>
              </w:rPr>
            </w:pPr>
            <w:r w:rsidRPr="00215EC5">
              <w:rPr>
                <w:sz w:val="22"/>
                <w:szCs w:val="22"/>
              </w:rPr>
              <w:t>Quantitative</w:t>
            </w:r>
          </w:p>
        </w:tc>
        <w:tc>
          <w:tcPr>
            <w:tcW w:w="0" w:type="auto"/>
            <w:hideMark/>
          </w:tcPr>
          <w:p w14:paraId="129FC718" w14:textId="77777777" w:rsidR="00910F29" w:rsidRPr="00215EC5" w:rsidRDefault="00910F29" w:rsidP="00033370">
            <w:pPr>
              <w:jc w:val="both"/>
              <w:rPr>
                <w:sz w:val="22"/>
                <w:szCs w:val="22"/>
              </w:rPr>
            </w:pPr>
            <w:r w:rsidRPr="00215EC5">
              <w:rPr>
                <w:sz w:val="22"/>
                <w:szCs w:val="22"/>
              </w:rPr>
              <w:t>Integration of TK in school gardens</w:t>
            </w:r>
          </w:p>
        </w:tc>
        <w:tc>
          <w:tcPr>
            <w:tcW w:w="0" w:type="auto"/>
            <w:hideMark/>
          </w:tcPr>
          <w:p w14:paraId="16A592ED" w14:textId="77777777" w:rsidR="00910F29" w:rsidRPr="00215EC5" w:rsidRDefault="00910F29" w:rsidP="00033370">
            <w:pPr>
              <w:jc w:val="both"/>
              <w:rPr>
                <w:sz w:val="22"/>
                <w:szCs w:val="22"/>
              </w:rPr>
            </w:pPr>
            <w:r w:rsidRPr="00215EC5">
              <w:rPr>
                <w:sz w:val="22"/>
                <w:szCs w:val="22"/>
              </w:rPr>
              <w:t>Improves productivity and community nutrition</w:t>
            </w:r>
          </w:p>
        </w:tc>
      </w:tr>
      <w:tr w:rsidR="00910F29" w:rsidRPr="00215EC5" w14:paraId="03BA4A4A" w14:textId="77777777" w:rsidTr="005830DB">
        <w:tc>
          <w:tcPr>
            <w:tcW w:w="0" w:type="auto"/>
            <w:hideMark/>
          </w:tcPr>
          <w:p w14:paraId="1918995E" w14:textId="77777777" w:rsidR="00910F29" w:rsidRPr="00215EC5" w:rsidRDefault="00910F29" w:rsidP="00CB140D">
            <w:pPr>
              <w:jc w:val="both"/>
              <w:rPr>
                <w:sz w:val="22"/>
                <w:szCs w:val="22"/>
              </w:rPr>
            </w:pPr>
            <w:r w:rsidRPr="00215EC5">
              <w:rPr>
                <w:sz w:val="22"/>
                <w:szCs w:val="22"/>
              </w:rPr>
              <w:t>Dai et al.</w:t>
            </w:r>
          </w:p>
        </w:tc>
        <w:tc>
          <w:tcPr>
            <w:tcW w:w="0" w:type="auto"/>
            <w:hideMark/>
          </w:tcPr>
          <w:p w14:paraId="5FC06404" w14:textId="77777777" w:rsidR="00910F29" w:rsidRPr="00215EC5" w:rsidRDefault="00910F29" w:rsidP="00CB140D">
            <w:pPr>
              <w:jc w:val="both"/>
              <w:rPr>
                <w:sz w:val="22"/>
                <w:szCs w:val="22"/>
              </w:rPr>
            </w:pPr>
            <w:r w:rsidRPr="00215EC5">
              <w:rPr>
                <w:sz w:val="22"/>
                <w:szCs w:val="22"/>
              </w:rPr>
              <w:t>2019</w:t>
            </w:r>
          </w:p>
        </w:tc>
        <w:tc>
          <w:tcPr>
            <w:tcW w:w="0" w:type="auto"/>
            <w:hideMark/>
          </w:tcPr>
          <w:p w14:paraId="72C9E87C" w14:textId="77777777" w:rsidR="00910F29" w:rsidRPr="00215EC5" w:rsidRDefault="00910F29" w:rsidP="00033370">
            <w:pPr>
              <w:jc w:val="both"/>
              <w:rPr>
                <w:sz w:val="22"/>
                <w:szCs w:val="22"/>
              </w:rPr>
            </w:pPr>
            <w:r w:rsidRPr="00215EC5">
              <w:rPr>
                <w:sz w:val="22"/>
                <w:szCs w:val="22"/>
              </w:rPr>
              <w:t>China</w:t>
            </w:r>
          </w:p>
        </w:tc>
        <w:tc>
          <w:tcPr>
            <w:tcW w:w="0" w:type="auto"/>
            <w:hideMark/>
          </w:tcPr>
          <w:p w14:paraId="46E8C0A0" w14:textId="77777777" w:rsidR="00910F29" w:rsidRPr="00215EC5" w:rsidRDefault="00910F29" w:rsidP="00033370">
            <w:pPr>
              <w:jc w:val="both"/>
              <w:rPr>
                <w:sz w:val="22"/>
                <w:szCs w:val="22"/>
              </w:rPr>
            </w:pPr>
            <w:r w:rsidRPr="00215EC5">
              <w:rPr>
                <w:sz w:val="22"/>
                <w:szCs w:val="22"/>
              </w:rPr>
              <w:t>Quantitative</w:t>
            </w:r>
          </w:p>
        </w:tc>
        <w:tc>
          <w:tcPr>
            <w:tcW w:w="0" w:type="auto"/>
            <w:hideMark/>
          </w:tcPr>
          <w:p w14:paraId="6A32A366" w14:textId="77777777" w:rsidR="00910F29" w:rsidRPr="00215EC5" w:rsidRDefault="00910F29" w:rsidP="00033370">
            <w:pPr>
              <w:jc w:val="both"/>
              <w:rPr>
                <w:sz w:val="22"/>
                <w:szCs w:val="22"/>
              </w:rPr>
            </w:pPr>
            <w:r w:rsidRPr="00215EC5">
              <w:rPr>
                <w:sz w:val="22"/>
                <w:szCs w:val="22"/>
              </w:rPr>
              <w:t>Outcomes of TK-led agricultural education</w:t>
            </w:r>
          </w:p>
        </w:tc>
        <w:tc>
          <w:tcPr>
            <w:tcW w:w="0" w:type="auto"/>
            <w:hideMark/>
          </w:tcPr>
          <w:p w14:paraId="33B361C3" w14:textId="77777777" w:rsidR="00910F29" w:rsidRPr="00215EC5" w:rsidRDefault="00910F29" w:rsidP="00033370">
            <w:pPr>
              <w:jc w:val="both"/>
              <w:rPr>
                <w:sz w:val="22"/>
                <w:szCs w:val="22"/>
              </w:rPr>
            </w:pPr>
            <w:r w:rsidRPr="00215EC5">
              <w:rPr>
                <w:sz w:val="22"/>
                <w:szCs w:val="22"/>
              </w:rPr>
              <w:t>Boosts long-term economic viability</w:t>
            </w:r>
          </w:p>
        </w:tc>
      </w:tr>
      <w:tr w:rsidR="00910F29" w:rsidRPr="00215EC5" w14:paraId="3F66C637" w14:textId="77777777" w:rsidTr="005830DB">
        <w:tc>
          <w:tcPr>
            <w:tcW w:w="0" w:type="auto"/>
            <w:hideMark/>
          </w:tcPr>
          <w:p w14:paraId="1CC0A132" w14:textId="77777777" w:rsidR="00910F29" w:rsidRPr="00215EC5" w:rsidRDefault="00910F29" w:rsidP="00CB140D">
            <w:pPr>
              <w:jc w:val="both"/>
              <w:rPr>
                <w:sz w:val="22"/>
                <w:szCs w:val="22"/>
              </w:rPr>
            </w:pPr>
            <w:r w:rsidRPr="00215EC5">
              <w:rPr>
                <w:sz w:val="22"/>
                <w:szCs w:val="22"/>
              </w:rPr>
              <w:t>Onsay et al.</w:t>
            </w:r>
          </w:p>
        </w:tc>
        <w:tc>
          <w:tcPr>
            <w:tcW w:w="0" w:type="auto"/>
            <w:hideMark/>
          </w:tcPr>
          <w:p w14:paraId="24F4CA5E" w14:textId="77777777" w:rsidR="00910F29" w:rsidRPr="00215EC5" w:rsidRDefault="00910F29" w:rsidP="00CB140D">
            <w:pPr>
              <w:jc w:val="both"/>
              <w:rPr>
                <w:sz w:val="22"/>
                <w:szCs w:val="22"/>
              </w:rPr>
            </w:pPr>
            <w:r w:rsidRPr="00215EC5">
              <w:rPr>
                <w:sz w:val="22"/>
                <w:szCs w:val="22"/>
              </w:rPr>
              <w:t>2022</w:t>
            </w:r>
          </w:p>
        </w:tc>
        <w:tc>
          <w:tcPr>
            <w:tcW w:w="0" w:type="auto"/>
            <w:hideMark/>
          </w:tcPr>
          <w:p w14:paraId="5E042B66" w14:textId="77777777" w:rsidR="00910F29" w:rsidRPr="00215EC5" w:rsidRDefault="00910F29" w:rsidP="00033370">
            <w:pPr>
              <w:jc w:val="both"/>
              <w:rPr>
                <w:sz w:val="22"/>
                <w:szCs w:val="22"/>
              </w:rPr>
            </w:pPr>
            <w:r w:rsidRPr="00215EC5">
              <w:rPr>
                <w:sz w:val="22"/>
                <w:szCs w:val="22"/>
              </w:rPr>
              <w:t>Philippines</w:t>
            </w:r>
          </w:p>
        </w:tc>
        <w:tc>
          <w:tcPr>
            <w:tcW w:w="0" w:type="auto"/>
            <w:hideMark/>
          </w:tcPr>
          <w:p w14:paraId="6101CB2F" w14:textId="77777777" w:rsidR="00910F29" w:rsidRPr="00215EC5" w:rsidRDefault="00910F29" w:rsidP="00033370">
            <w:pPr>
              <w:jc w:val="both"/>
              <w:rPr>
                <w:sz w:val="22"/>
                <w:szCs w:val="22"/>
              </w:rPr>
            </w:pPr>
            <w:r w:rsidRPr="00215EC5">
              <w:rPr>
                <w:sz w:val="22"/>
                <w:szCs w:val="22"/>
              </w:rPr>
              <w:t>Case Study</w:t>
            </w:r>
          </w:p>
        </w:tc>
        <w:tc>
          <w:tcPr>
            <w:tcW w:w="0" w:type="auto"/>
            <w:hideMark/>
          </w:tcPr>
          <w:p w14:paraId="1CDCAFD4" w14:textId="77777777" w:rsidR="00910F29" w:rsidRPr="00215EC5" w:rsidRDefault="00910F29" w:rsidP="00033370">
            <w:pPr>
              <w:jc w:val="both"/>
              <w:rPr>
                <w:sz w:val="22"/>
                <w:szCs w:val="22"/>
              </w:rPr>
            </w:pPr>
            <w:r w:rsidRPr="00215EC5">
              <w:rPr>
                <w:sz w:val="22"/>
                <w:szCs w:val="22"/>
              </w:rPr>
              <w:t>Blending tradition with resilience tools</w:t>
            </w:r>
          </w:p>
        </w:tc>
        <w:tc>
          <w:tcPr>
            <w:tcW w:w="0" w:type="auto"/>
            <w:hideMark/>
          </w:tcPr>
          <w:p w14:paraId="5952251E" w14:textId="77777777" w:rsidR="00910F29" w:rsidRPr="00215EC5" w:rsidRDefault="00910F29" w:rsidP="00033370">
            <w:pPr>
              <w:jc w:val="both"/>
              <w:rPr>
                <w:sz w:val="22"/>
                <w:szCs w:val="22"/>
              </w:rPr>
            </w:pPr>
            <w:r w:rsidRPr="00215EC5">
              <w:rPr>
                <w:sz w:val="22"/>
                <w:szCs w:val="22"/>
              </w:rPr>
              <w:t>Facilitates adaptive livelihood strategies</w:t>
            </w:r>
          </w:p>
        </w:tc>
      </w:tr>
      <w:tr w:rsidR="00910F29" w:rsidRPr="00215EC5" w14:paraId="248B9DBB" w14:textId="77777777" w:rsidTr="005830DB">
        <w:tc>
          <w:tcPr>
            <w:tcW w:w="0" w:type="auto"/>
            <w:hideMark/>
          </w:tcPr>
          <w:p w14:paraId="64CF0F69" w14:textId="77777777" w:rsidR="00910F29" w:rsidRPr="00215EC5" w:rsidRDefault="00910F29" w:rsidP="00CB140D">
            <w:pPr>
              <w:jc w:val="both"/>
              <w:rPr>
                <w:sz w:val="22"/>
                <w:szCs w:val="22"/>
              </w:rPr>
            </w:pPr>
            <w:r w:rsidRPr="00215EC5">
              <w:rPr>
                <w:sz w:val="22"/>
                <w:szCs w:val="22"/>
              </w:rPr>
              <w:t>Xaba &amp; Adanlawo</w:t>
            </w:r>
          </w:p>
        </w:tc>
        <w:tc>
          <w:tcPr>
            <w:tcW w:w="0" w:type="auto"/>
            <w:hideMark/>
          </w:tcPr>
          <w:p w14:paraId="768F0A67" w14:textId="77777777" w:rsidR="00910F29" w:rsidRPr="00215EC5" w:rsidRDefault="00910F29" w:rsidP="00CB140D">
            <w:pPr>
              <w:jc w:val="both"/>
              <w:rPr>
                <w:sz w:val="22"/>
                <w:szCs w:val="22"/>
              </w:rPr>
            </w:pPr>
            <w:r w:rsidRPr="00215EC5">
              <w:rPr>
                <w:sz w:val="22"/>
                <w:szCs w:val="22"/>
              </w:rPr>
              <w:t>2024</w:t>
            </w:r>
          </w:p>
        </w:tc>
        <w:tc>
          <w:tcPr>
            <w:tcW w:w="0" w:type="auto"/>
            <w:hideMark/>
          </w:tcPr>
          <w:p w14:paraId="688F1AC2" w14:textId="77777777" w:rsidR="00910F29" w:rsidRPr="00215EC5" w:rsidRDefault="00910F29" w:rsidP="00033370">
            <w:pPr>
              <w:jc w:val="both"/>
              <w:rPr>
                <w:sz w:val="22"/>
                <w:szCs w:val="22"/>
              </w:rPr>
            </w:pPr>
            <w:r w:rsidRPr="00215EC5">
              <w:rPr>
                <w:sz w:val="22"/>
                <w:szCs w:val="22"/>
              </w:rPr>
              <w:t>South Africa</w:t>
            </w:r>
          </w:p>
        </w:tc>
        <w:tc>
          <w:tcPr>
            <w:tcW w:w="0" w:type="auto"/>
            <w:hideMark/>
          </w:tcPr>
          <w:p w14:paraId="550282BB" w14:textId="77777777" w:rsidR="00910F29" w:rsidRPr="00215EC5" w:rsidRDefault="00910F29" w:rsidP="00033370">
            <w:pPr>
              <w:jc w:val="both"/>
              <w:rPr>
                <w:sz w:val="22"/>
                <w:szCs w:val="22"/>
              </w:rPr>
            </w:pPr>
            <w:r w:rsidRPr="00215EC5">
              <w:rPr>
                <w:sz w:val="22"/>
                <w:szCs w:val="22"/>
              </w:rPr>
              <w:t>Mixed Methods</w:t>
            </w:r>
          </w:p>
        </w:tc>
        <w:tc>
          <w:tcPr>
            <w:tcW w:w="0" w:type="auto"/>
            <w:hideMark/>
          </w:tcPr>
          <w:p w14:paraId="5C5E1C3E" w14:textId="77777777" w:rsidR="00910F29" w:rsidRPr="00215EC5" w:rsidRDefault="00910F29" w:rsidP="00033370">
            <w:pPr>
              <w:jc w:val="both"/>
              <w:rPr>
                <w:sz w:val="22"/>
                <w:szCs w:val="22"/>
              </w:rPr>
            </w:pPr>
            <w:r w:rsidRPr="00215EC5">
              <w:rPr>
                <w:sz w:val="22"/>
                <w:szCs w:val="22"/>
              </w:rPr>
              <w:t>Traditional foraging and trade</w:t>
            </w:r>
          </w:p>
        </w:tc>
        <w:tc>
          <w:tcPr>
            <w:tcW w:w="0" w:type="auto"/>
            <w:hideMark/>
          </w:tcPr>
          <w:p w14:paraId="216E6E56" w14:textId="77777777" w:rsidR="00910F29" w:rsidRPr="00215EC5" w:rsidRDefault="00910F29" w:rsidP="00033370">
            <w:pPr>
              <w:jc w:val="both"/>
              <w:rPr>
                <w:sz w:val="22"/>
                <w:szCs w:val="22"/>
              </w:rPr>
            </w:pPr>
            <w:r w:rsidRPr="00215EC5">
              <w:rPr>
                <w:sz w:val="22"/>
                <w:szCs w:val="22"/>
              </w:rPr>
              <w:t>Connects education to circular economy models</w:t>
            </w:r>
          </w:p>
        </w:tc>
      </w:tr>
      <w:tr w:rsidR="00910F29" w:rsidRPr="00215EC5" w14:paraId="5002263F" w14:textId="77777777" w:rsidTr="005830DB">
        <w:tc>
          <w:tcPr>
            <w:tcW w:w="0" w:type="auto"/>
            <w:hideMark/>
          </w:tcPr>
          <w:p w14:paraId="1B2EC329" w14:textId="77777777" w:rsidR="00910F29" w:rsidRPr="00215EC5" w:rsidRDefault="00910F29" w:rsidP="00CB140D">
            <w:pPr>
              <w:jc w:val="both"/>
              <w:rPr>
                <w:sz w:val="22"/>
                <w:szCs w:val="22"/>
              </w:rPr>
            </w:pPr>
            <w:r w:rsidRPr="00215EC5">
              <w:rPr>
                <w:sz w:val="22"/>
                <w:szCs w:val="22"/>
              </w:rPr>
              <w:t>Romano et al.</w:t>
            </w:r>
          </w:p>
        </w:tc>
        <w:tc>
          <w:tcPr>
            <w:tcW w:w="0" w:type="auto"/>
            <w:hideMark/>
          </w:tcPr>
          <w:p w14:paraId="6C01C685" w14:textId="77777777" w:rsidR="00910F29" w:rsidRPr="00215EC5" w:rsidRDefault="00910F29" w:rsidP="00CB140D">
            <w:pPr>
              <w:jc w:val="both"/>
              <w:rPr>
                <w:sz w:val="22"/>
                <w:szCs w:val="22"/>
              </w:rPr>
            </w:pPr>
            <w:r w:rsidRPr="00215EC5">
              <w:rPr>
                <w:sz w:val="22"/>
                <w:szCs w:val="22"/>
              </w:rPr>
              <w:t>2022</w:t>
            </w:r>
          </w:p>
        </w:tc>
        <w:tc>
          <w:tcPr>
            <w:tcW w:w="0" w:type="auto"/>
            <w:hideMark/>
          </w:tcPr>
          <w:p w14:paraId="1B29D939" w14:textId="77777777" w:rsidR="00910F29" w:rsidRPr="00215EC5" w:rsidRDefault="00910F29" w:rsidP="00033370">
            <w:pPr>
              <w:jc w:val="both"/>
              <w:rPr>
                <w:sz w:val="22"/>
                <w:szCs w:val="22"/>
              </w:rPr>
            </w:pPr>
            <w:r w:rsidRPr="00215EC5">
              <w:rPr>
                <w:sz w:val="22"/>
                <w:szCs w:val="22"/>
              </w:rPr>
              <w:t>Brazil</w:t>
            </w:r>
          </w:p>
        </w:tc>
        <w:tc>
          <w:tcPr>
            <w:tcW w:w="0" w:type="auto"/>
            <w:hideMark/>
          </w:tcPr>
          <w:p w14:paraId="2F7F31C1" w14:textId="77777777" w:rsidR="00910F29" w:rsidRPr="00215EC5" w:rsidRDefault="00910F29" w:rsidP="00033370">
            <w:pPr>
              <w:jc w:val="both"/>
              <w:rPr>
                <w:sz w:val="22"/>
                <w:szCs w:val="22"/>
              </w:rPr>
            </w:pPr>
            <w:r w:rsidRPr="00215EC5">
              <w:rPr>
                <w:sz w:val="22"/>
                <w:szCs w:val="22"/>
              </w:rPr>
              <w:t>Longitudinal</w:t>
            </w:r>
          </w:p>
        </w:tc>
        <w:tc>
          <w:tcPr>
            <w:tcW w:w="0" w:type="auto"/>
            <w:hideMark/>
          </w:tcPr>
          <w:p w14:paraId="3DA48EFB" w14:textId="77777777" w:rsidR="00910F29" w:rsidRPr="00215EC5" w:rsidRDefault="00910F29" w:rsidP="00033370">
            <w:pPr>
              <w:jc w:val="both"/>
              <w:rPr>
                <w:sz w:val="22"/>
                <w:szCs w:val="22"/>
              </w:rPr>
            </w:pPr>
            <w:r w:rsidRPr="00215EC5">
              <w:rPr>
                <w:sz w:val="22"/>
                <w:szCs w:val="22"/>
              </w:rPr>
              <w:t>Ecological entrepreneurship</w:t>
            </w:r>
          </w:p>
        </w:tc>
        <w:tc>
          <w:tcPr>
            <w:tcW w:w="0" w:type="auto"/>
            <w:hideMark/>
          </w:tcPr>
          <w:p w14:paraId="6D0E132A" w14:textId="77777777" w:rsidR="00910F29" w:rsidRPr="00215EC5" w:rsidRDefault="00910F29" w:rsidP="00033370">
            <w:pPr>
              <w:jc w:val="both"/>
              <w:rPr>
                <w:sz w:val="22"/>
                <w:szCs w:val="22"/>
              </w:rPr>
            </w:pPr>
            <w:r w:rsidRPr="00215EC5">
              <w:rPr>
                <w:sz w:val="22"/>
                <w:szCs w:val="22"/>
              </w:rPr>
              <w:t>Expands youth-driven rural enterprises</w:t>
            </w:r>
          </w:p>
        </w:tc>
      </w:tr>
      <w:tr w:rsidR="00910F29" w:rsidRPr="00215EC5" w14:paraId="6DB5A09E" w14:textId="77777777" w:rsidTr="005830DB">
        <w:tc>
          <w:tcPr>
            <w:tcW w:w="0" w:type="auto"/>
            <w:hideMark/>
          </w:tcPr>
          <w:p w14:paraId="7D821F9E" w14:textId="77777777" w:rsidR="00910F29" w:rsidRPr="00215EC5" w:rsidRDefault="00910F29" w:rsidP="00CB140D">
            <w:pPr>
              <w:jc w:val="both"/>
              <w:rPr>
                <w:sz w:val="22"/>
                <w:szCs w:val="22"/>
              </w:rPr>
            </w:pPr>
            <w:r w:rsidRPr="00215EC5">
              <w:rPr>
                <w:sz w:val="22"/>
                <w:szCs w:val="22"/>
              </w:rPr>
              <w:t>Behera et al.</w:t>
            </w:r>
          </w:p>
        </w:tc>
        <w:tc>
          <w:tcPr>
            <w:tcW w:w="0" w:type="auto"/>
            <w:hideMark/>
          </w:tcPr>
          <w:p w14:paraId="0403DD59" w14:textId="77777777" w:rsidR="00910F29" w:rsidRPr="00215EC5" w:rsidRDefault="00910F29" w:rsidP="00CB140D">
            <w:pPr>
              <w:jc w:val="both"/>
              <w:rPr>
                <w:sz w:val="22"/>
                <w:szCs w:val="22"/>
              </w:rPr>
            </w:pPr>
            <w:r w:rsidRPr="00215EC5">
              <w:rPr>
                <w:sz w:val="22"/>
                <w:szCs w:val="22"/>
              </w:rPr>
              <w:t>2024</w:t>
            </w:r>
          </w:p>
        </w:tc>
        <w:tc>
          <w:tcPr>
            <w:tcW w:w="0" w:type="auto"/>
            <w:hideMark/>
          </w:tcPr>
          <w:p w14:paraId="234F56DB" w14:textId="77777777" w:rsidR="00910F29" w:rsidRPr="00215EC5" w:rsidRDefault="00910F29" w:rsidP="00033370">
            <w:pPr>
              <w:jc w:val="both"/>
              <w:rPr>
                <w:sz w:val="22"/>
                <w:szCs w:val="22"/>
              </w:rPr>
            </w:pPr>
            <w:r w:rsidRPr="00215EC5">
              <w:rPr>
                <w:sz w:val="22"/>
                <w:szCs w:val="22"/>
              </w:rPr>
              <w:t>India</w:t>
            </w:r>
          </w:p>
        </w:tc>
        <w:tc>
          <w:tcPr>
            <w:tcW w:w="0" w:type="auto"/>
            <w:hideMark/>
          </w:tcPr>
          <w:p w14:paraId="35C3D9E3" w14:textId="77777777" w:rsidR="00910F29" w:rsidRPr="00215EC5" w:rsidRDefault="00910F29" w:rsidP="00033370">
            <w:pPr>
              <w:jc w:val="both"/>
              <w:rPr>
                <w:sz w:val="22"/>
                <w:szCs w:val="22"/>
              </w:rPr>
            </w:pPr>
            <w:r w:rsidRPr="00215EC5">
              <w:rPr>
                <w:sz w:val="22"/>
                <w:szCs w:val="22"/>
              </w:rPr>
              <w:t>Survey</w:t>
            </w:r>
          </w:p>
        </w:tc>
        <w:tc>
          <w:tcPr>
            <w:tcW w:w="0" w:type="auto"/>
            <w:hideMark/>
          </w:tcPr>
          <w:p w14:paraId="358ABA7F" w14:textId="77777777" w:rsidR="00910F29" w:rsidRPr="00215EC5" w:rsidRDefault="00910F29" w:rsidP="00033370">
            <w:pPr>
              <w:jc w:val="both"/>
              <w:rPr>
                <w:sz w:val="22"/>
                <w:szCs w:val="22"/>
              </w:rPr>
            </w:pPr>
            <w:r w:rsidRPr="00215EC5">
              <w:rPr>
                <w:sz w:val="22"/>
                <w:szCs w:val="22"/>
              </w:rPr>
              <w:t>Cultural relevance in economic engagement</w:t>
            </w:r>
          </w:p>
        </w:tc>
        <w:tc>
          <w:tcPr>
            <w:tcW w:w="0" w:type="auto"/>
            <w:hideMark/>
          </w:tcPr>
          <w:p w14:paraId="26217C98" w14:textId="77777777" w:rsidR="00910F29" w:rsidRPr="00215EC5" w:rsidRDefault="00910F29" w:rsidP="00033370">
            <w:pPr>
              <w:jc w:val="both"/>
              <w:rPr>
                <w:sz w:val="22"/>
                <w:szCs w:val="22"/>
              </w:rPr>
            </w:pPr>
            <w:r w:rsidRPr="00215EC5">
              <w:rPr>
                <w:sz w:val="22"/>
                <w:szCs w:val="22"/>
              </w:rPr>
              <w:t>Links pride with investment in local economies</w:t>
            </w:r>
          </w:p>
        </w:tc>
      </w:tr>
      <w:tr w:rsidR="00910F29" w:rsidRPr="00215EC5" w14:paraId="71A6B333" w14:textId="77777777" w:rsidTr="005830DB">
        <w:tc>
          <w:tcPr>
            <w:tcW w:w="0" w:type="auto"/>
            <w:hideMark/>
          </w:tcPr>
          <w:p w14:paraId="6BDFBF96" w14:textId="77777777" w:rsidR="00910F29" w:rsidRPr="00215EC5" w:rsidRDefault="00910F29" w:rsidP="00CB140D">
            <w:pPr>
              <w:jc w:val="both"/>
              <w:rPr>
                <w:sz w:val="22"/>
                <w:szCs w:val="22"/>
              </w:rPr>
            </w:pPr>
            <w:r w:rsidRPr="00215EC5">
              <w:rPr>
                <w:sz w:val="22"/>
                <w:szCs w:val="22"/>
              </w:rPr>
              <w:t>Nath et al.</w:t>
            </w:r>
          </w:p>
        </w:tc>
        <w:tc>
          <w:tcPr>
            <w:tcW w:w="0" w:type="auto"/>
            <w:hideMark/>
          </w:tcPr>
          <w:p w14:paraId="01C5D6CE" w14:textId="77777777" w:rsidR="00910F29" w:rsidRPr="00215EC5" w:rsidRDefault="00910F29" w:rsidP="00CB140D">
            <w:pPr>
              <w:jc w:val="both"/>
              <w:rPr>
                <w:sz w:val="22"/>
                <w:szCs w:val="22"/>
              </w:rPr>
            </w:pPr>
            <w:r w:rsidRPr="00215EC5">
              <w:rPr>
                <w:sz w:val="22"/>
                <w:szCs w:val="22"/>
              </w:rPr>
              <w:t>2019</w:t>
            </w:r>
          </w:p>
        </w:tc>
        <w:tc>
          <w:tcPr>
            <w:tcW w:w="0" w:type="auto"/>
            <w:hideMark/>
          </w:tcPr>
          <w:p w14:paraId="1DCE5350" w14:textId="77777777" w:rsidR="00910F29" w:rsidRPr="00215EC5" w:rsidRDefault="00910F29" w:rsidP="00033370">
            <w:pPr>
              <w:jc w:val="both"/>
              <w:rPr>
                <w:sz w:val="22"/>
                <w:szCs w:val="22"/>
              </w:rPr>
            </w:pPr>
            <w:r w:rsidRPr="00215EC5">
              <w:rPr>
                <w:sz w:val="22"/>
                <w:szCs w:val="22"/>
              </w:rPr>
              <w:t>India</w:t>
            </w:r>
          </w:p>
        </w:tc>
        <w:tc>
          <w:tcPr>
            <w:tcW w:w="0" w:type="auto"/>
            <w:hideMark/>
          </w:tcPr>
          <w:p w14:paraId="0F5ED991"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44CD4E51" w14:textId="77777777" w:rsidR="00910F29" w:rsidRPr="00215EC5" w:rsidRDefault="00910F29" w:rsidP="00033370">
            <w:pPr>
              <w:jc w:val="both"/>
              <w:rPr>
                <w:sz w:val="22"/>
                <w:szCs w:val="22"/>
              </w:rPr>
            </w:pPr>
            <w:r w:rsidRPr="00215EC5">
              <w:rPr>
                <w:sz w:val="22"/>
                <w:szCs w:val="22"/>
              </w:rPr>
              <w:t>Education in local values and micro-enterprise</w:t>
            </w:r>
          </w:p>
        </w:tc>
        <w:tc>
          <w:tcPr>
            <w:tcW w:w="0" w:type="auto"/>
            <w:hideMark/>
          </w:tcPr>
          <w:p w14:paraId="13424D93" w14:textId="77777777" w:rsidR="00910F29" w:rsidRPr="00215EC5" w:rsidRDefault="00910F29" w:rsidP="00033370">
            <w:pPr>
              <w:jc w:val="both"/>
              <w:rPr>
                <w:sz w:val="22"/>
                <w:szCs w:val="22"/>
              </w:rPr>
            </w:pPr>
            <w:r w:rsidRPr="00215EC5">
              <w:rPr>
                <w:sz w:val="22"/>
                <w:szCs w:val="22"/>
              </w:rPr>
              <w:t>Drives community-first economic models</w:t>
            </w:r>
          </w:p>
        </w:tc>
      </w:tr>
      <w:tr w:rsidR="00910F29" w:rsidRPr="00215EC5" w14:paraId="2ABEF65B" w14:textId="77777777" w:rsidTr="005830DB">
        <w:tc>
          <w:tcPr>
            <w:tcW w:w="0" w:type="auto"/>
            <w:hideMark/>
          </w:tcPr>
          <w:p w14:paraId="2335B193" w14:textId="77777777" w:rsidR="00910F29" w:rsidRPr="00215EC5" w:rsidRDefault="00910F29" w:rsidP="00CB140D">
            <w:pPr>
              <w:jc w:val="both"/>
              <w:rPr>
                <w:sz w:val="22"/>
                <w:szCs w:val="22"/>
              </w:rPr>
            </w:pPr>
            <w:r w:rsidRPr="00215EC5">
              <w:rPr>
                <w:sz w:val="22"/>
                <w:szCs w:val="22"/>
              </w:rPr>
              <w:lastRenderedPageBreak/>
              <w:t>Gibbens &amp; Schoeman</w:t>
            </w:r>
          </w:p>
        </w:tc>
        <w:tc>
          <w:tcPr>
            <w:tcW w:w="0" w:type="auto"/>
            <w:hideMark/>
          </w:tcPr>
          <w:p w14:paraId="5DEA2C97" w14:textId="77777777" w:rsidR="00910F29" w:rsidRPr="00215EC5" w:rsidRDefault="00910F29" w:rsidP="00CB140D">
            <w:pPr>
              <w:jc w:val="both"/>
              <w:rPr>
                <w:sz w:val="22"/>
                <w:szCs w:val="22"/>
              </w:rPr>
            </w:pPr>
            <w:r w:rsidRPr="00215EC5">
              <w:rPr>
                <w:sz w:val="22"/>
                <w:szCs w:val="22"/>
              </w:rPr>
              <w:t>2020</w:t>
            </w:r>
          </w:p>
        </w:tc>
        <w:tc>
          <w:tcPr>
            <w:tcW w:w="0" w:type="auto"/>
            <w:hideMark/>
          </w:tcPr>
          <w:p w14:paraId="7BBD950A" w14:textId="77777777" w:rsidR="00910F29" w:rsidRPr="00215EC5" w:rsidRDefault="00910F29" w:rsidP="00033370">
            <w:pPr>
              <w:jc w:val="both"/>
              <w:rPr>
                <w:sz w:val="22"/>
                <w:szCs w:val="22"/>
              </w:rPr>
            </w:pPr>
            <w:r w:rsidRPr="00215EC5">
              <w:rPr>
                <w:sz w:val="22"/>
                <w:szCs w:val="22"/>
              </w:rPr>
              <w:t>South Africa</w:t>
            </w:r>
          </w:p>
        </w:tc>
        <w:tc>
          <w:tcPr>
            <w:tcW w:w="0" w:type="auto"/>
            <w:hideMark/>
          </w:tcPr>
          <w:p w14:paraId="330B87F6" w14:textId="77777777" w:rsidR="00910F29" w:rsidRPr="00215EC5" w:rsidRDefault="00910F29" w:rsidP="00033370">
            <w:pPr>
              <w:jc w:val="both"/>
              <w:rPr>
                <w:sz w:val="22"/>
                <w:szCs w:val="22"/>
              </w:rPr>
            </w:pPr>
            <w:r w:rsidRPr="00215EC5">
              <w:rPr>
                <w:sz w:val="22"/>
                <w:szCs w:val="22"/>
              </w:rPr>
              <w:t>Field Observation</w:t>
            </w:r>
          </w:p>
        </w:tc>
        <w:tc>
          <w:tcPr>
            <w:tcW w:w="0" w:type="auto"/>
            <w:hideMark/>
          </w:tcPr>
          <w:p w14:paraId="5C6BAE6C" w14:textId="77777777" w:rsidR="00910F29" w:rsidRPr="00215EC5" w:rsidRDefault="00910F29" w:rsidP="00033370">
            <w:pPr>
              <w:jc w:val="both"/>
              <w:rPr>
                <w:sz w:val="22"/>
                <w:szCs w:val="22"/>
              </w:rPr>
            </w:pPr>
            <w:r w:rsidRPr="00215EC5">
              <w:rPr>
                <w:sz w:val="22"/>
                <w:szCs w:val="22"/>
              </w:rPr>
              <w:t>Revival of crafts in school curriculum</w:t>
            </w:r>
          </w:p>
        </w:tc>
        <w:tc>
          <w:tcPr>
            <w:tcW w:w="0" w:type="auto"/>
            <w:hideMark/>
          </w:tcPr>
          <w:p w14:paraId="2A0F5F12" w14:textId="77777777" w:rsidR="00910F29" w:rsidRPr="00215EC5" w:rsidRDefault="00910F29" w:rsidP="00033370">
            <w:pPr>
              <w:jc w:val="both"/>
              <w:rPr>
                <w:sz w:val="22"/>
                <w:szCs w:val="22"/>
              </w:rPr>
            </w:pPr>
            <w:r w:rsidRPr="00215EC5">
              <w:rPr>
                <w:sz w:val="22"/>
                <w:szCs w:val="22"/>
              </w:rPr>
              <w:t>Generates revenue via heritage-based trades</w:t>
            </w:r>
          </w:p>
        </w:tc>
      </w:tr>
      <w:tr w:rsidR="00910F29" w:rsidRPr="00215EC5" w14:paraId="2654EA9F" w14:textId="77777777" w:rsidTr="005830DB">
        <w:tc>
          <w:tcPr>
            <w:tcW w:w="0" w:type="auto"/>
            <w:hideMark/>
          </w:tcPr>
          <w:p w14:paraId="7AFDB91A" w14:textId="77777777" w:rsidR="00910F29" w:rsidRPr="00215EC5" w:rsidRDefault="00910F29" w:rsidP="00CB140D">
            <w:pPr>
              <w:jc w:val="both"/>
              <w:rPr>
                <w:sz w:val="22"/>
                <w:szCs w:val="22"/>
              </w:rPr>
            </w:pPr>
            <w:r w:rsidRPr="00215EC5">
              <w:rPr>
                <w:sz w:val="22"/>
                <w:szCs w:val="22"/>
              </w:rPr>
              <w:t>Skarlatidou et al.</w:t>
            </w:r>
          </w:p>
        </w:tc>
        <w:tc>
          <w:tcPr>
            <w:tcW w:w="0" w:type="auto"/>
            <w:hideMark/>
          </w:tcPr>
          <w:p w14:paraId="72B3158D" w14:textId="77777777" w:rsidR="00910F29" w:rsidRPr="00215EC5" w:rsidRDefault="00910F29" w:rsidP="00CB140D">
            <w:pPr>
              <w:jc w:val="both"/>
              <w:rPr>
                <w:sz w:val="22"/>
                <w:szCs w:val="22"/>
              </w:rPr>
            </w:pPr>
            <w:r w:rsidRPr="00215EC5">
              <w:rPr>
                <w:sz w:val="22"/>
                <w:szCs w:val="22"/>
              </w:rPr>
              <w:t>2020</w:t>
            </w:r>
          </w:p>
        </w:tc>
        <w:tc>
          <w:tcPr>
            <w:tcW w:w="0" w:type="auto"/>
            <w:hideMark/>
          </w:tcPr>
          <w:p w14:paraId="5B4EACD8" w14:textId="77777777" w:rsidR="00910F29" w:rsidRPr="00215EC5" w:rsidRDefault="00910F29" w:rsidP="00033370">
            <w:pPr>
              <w:jc w:val="both"/>
              <w:rPr>
                <w:sz w:val="22"/>
                <w:szCs w:val="22"/>
              </w:rPr>
            </w:pPr>
            <w:r w:rsidRPr="00215EC5">
              <w:rPr>
                <w:sz w:val="22"/>
                <w:szCs w:val="22"/>
              </w:rPr>
              <w:t>UK</w:t>
            </w:r>
          </w:p>
        </w:tc>
        <w:tc>
          <w:tcPr>
            <w:tcW w:w="0" w:type="auto"/>
            <w:hideMark/>
          </w:tcPr>
          <w:p w14:paraId="7449C696" w14:textId="77777777" w:rsidR="00910F29" w:rsidRPr="00215EC5" w:rsidRDefault="00910F29" w:rsidP="00033370">
            <w:pPr>
              <w:jc w:val="both"/>
              <w:rPr>
                <w:sz w:val="22"/>
                <w:szCs w:val="22"/>
              </w:rPr>
            </w:pPr>
            <w:r w:rsidRPr="00215EC5">
              <w:rPr>
                <w:sz w:val="22"/>
                <w:szCs w:val="22"/>
              </w:rPr>
              <w:t>Review</w:t>
            </w:r>
          </w:p>
        </w:tc>
        <w:tc>
          <w:tcPr>
            <w:tcW w:w="0" w:type="auto"/>
            <w:hideMark/>
          </w:tcPr>
          <w:p w14:paraId="4D546CD1" w14:textId="77777777" w:rsidR="00910F29" w:rsidRPr="00215EC5" w:rsidRDefault="00910F29" w:rsidP="00033370">
            <w:pPr>
              <w:jc w:val="both"/>
              <w:rPr>
                <w:sz w:val="22"/>
                <w:szCs w:val="22"/>
              </w:rPr>
            </w:pPr>
            <w:r w:rsidRPr="00215EC5">
              <w:rPr>
                <w:sz w:val="22"/>
                <w:szCs w:val="22"/>
              </w:rPr>
              <w:t>Citizen science and economic inclusion</w:t>
            </w:r>
          </w:p>
        </w:tc>
        <w:tc>
          <w:tcPr>
            <w:tcW w:w="0" w:type="auto"/>
            <w:hideMark/>
          </w:tcPr>
          <w:p w14:paraId="3ADF5F39" w14:textId="77777777" w:rsidR="00910F29" w:rsidRPr="00215EC5" w:rsidRDefault="00910F29" w:rsidP="00033370">
            <w:pPr>
              <w:jc w:val="both"/>
              <w:rPr>
                <w:sz w:val="22"/>
                <w:szCs w:val="22"/>
              </w:rPr>
            </w:pPr>
            <w:r w:rsidRPr="00215EC5">
              <w:rPr>
                <w:sz w:val="22"/>
                <w:szCs w:val="22"/>
              </w:rPr>
              <w:t>Broadens access through participatory models</w:t>
            </w:r>
          </w:p>
        </w:tc>
      </w:tr>
    </w:tbl>
    <w:p w14:paraId="22B9923B" w14:textId="6093B131" w:rsidR="00910F29" w:rsidRPr="00215EC5" w:rsidRDefault="00910F29" w:rsidP="00215EC5">
      <w:pPr>
        <w:spacing w:line="480" w:lineRule="auto"/>
        <w:jc w:val="both"/>
        <w:rPr>
          <w:sz w:val="22"/>
          <w:szCs w:val="22"/>
        </w:rPr>
      </w:pPr>
    </w:p>
    <w:p w14:paraId="442BAB50" w14:textId="047F6C72" w:rsidR="00910F29" w:rsidRPr="00215EC5" w:rsidRDefault="00910F29" w:rsidP="00215EC5">
      <w:pPr>
        <w:spacing w:line="480" w:lineRule="auto"/>
        <w:ind w:firstLine="567"/>
        <w:jc w:val="both"/>
        <w:rPr>
          <w:sz w:val="22"/>
          <w:szCs w:val="22"/>
        </w:rPr>
      </w:pPr>
      <w:r w:rsidRPr="00215EC5">
        <w:rPr>
          <w:sz w:val="22"/>
          <w:szCs w:val="22"/>
        </w:rPr>
        <w:t>The evidence in Table 1 reflects a broad consensus across regions and methodologies that indigenous education systems, when grounded in local knowledge and community engagement significantly contribute to economic empowerment, both by enhancing resilience and by enabling sustainable development practices. These studies demonstrate how education rooted in traditional ecological knowledge can simultaneously preserve cultural identity and foster economic self-reliance, affirming the relevance of indigenous schooling frameworks within the broader discourse of inclusive and sustainable development.</w:t>
      </w:r>
    </w:p>
    <w:p w14:paraId="36818F4E" w14:textId="2D5E276E" w:rsidR="008A21D9" w:rsidRPr="00215EC5" w:rsidRDefault="008A21D9" w:rsidP="00215EC5">
      <w:pPr>
        <w:spacing w:line="480" w:lineRule="auto"/>
        <w:jc w:val="both"/>
        <w:rPr>
          <w:sz w:val="22"/>
          <w:szCs w:val="22"/>
        </w:rPr>
      </w:pPr>
    </w:p>
    <w:p w14:paraId="23707819" w14:textId="59E1ED46" w:rsidR="002C7345" w:rsidRPr="00215EC5" w:rsidRDefault="005830DB" w:rsidP="00215EC5">
      <w:pPr>
        <w:spacing w:line="480" w:lineRule="auto"/>
        <w:jc w:val="both"/>
        <w:rPr>
          <w:b/>
          <w:bCs/>
          <w:sz w:val="22"/>
          <w:szCs w:val="22"/>
        </w:rPr>
      </w:pPr>
      <w:r w:rsidRPr="00215EC5">
        <w:rPr>
          <w:b/>
          <w:bCs/>
          <w:sz w:val="22"/>
          <w:szCs w:val="22"/>
        </w:rPr>
        <w:t>3.3</w:t>
      </w:r>
      <w:r w:rsidR="0099739F">
        <w:rPr>
          <w:b/>
          <w:bCs/>
          <w:sz w:val="22"/>
          <w:szCs w:val="22"/>
        </w:rPr>
        <w:t>.</w:t>
      </w:r>
      <w:r w:rsidRPr="00215EC5">
        <w:rPr>
          <w:b/>
          <w:bCs/>
          <w:sz w:val="22"/>
          <w:szCs w:val="22"/>
        </w:rPr>
        <w:t xml:space="preserve"> </w:t>
      </w:r>
      <w:r w:rsidR="002C7345" w:rsidRPr="00215EC5">
        <w:rPr>
          <w:b/>
          <w:bCs/>
          <w:sz w:val="22"/>
          <w:szCs w:val="22"/>
        </w:rPr>
        <w:t>Dominant Theoretical and Methodological Approaches in Indigenous Education Studies</w:t>
      </w:r>
    </w:p>
    <w:p w14:paraId="2CBC0E9B" w14:textId="77777777" w:rsidR="002C7345" w:rsidRPr="00215EC5" w:rsidRDefault="002C7345" w:rsidP="00215EC5">
      <w:pPr>
        <w:spacing w:line="480" w:lineRule="auto"/>
        <w:ind w:firstLine="567"/>
        <w:jc w:val="both"/>
        <w:rPr>
          <w:sz w:val="22"/>
          <w:szCs w:val="22"/>
        </w:rPr>
      </w:pPr>
      <w:r w:rsidRPr="00215EC5">
        <w:rPr>
          <w:sz w:val="22"/>
          <w:szCs w:val="22"/>
        </w:rPr>
        <w:t>This review reveals a growing convergence in the theoretical and methodological choices that underpin research in indigenous education, particularly in relation to inclusive and culturally responsive economic learning. Across the selected studies, culturally responsive pedagogy emerges as the most widely applied theoretical foundation, emphasizing relational learning, language revitalization, and community affirmation over Eurocentric content delivery. These studies consistently center local values and social justice, advocating for education systems that reflect indigenous philosophies and resist assimilationist agendas.</w:t>
      </w:r>
    </w:p>
    <w:p w14:paraId="45891AA3" w14:textId="77777777" w:rsidR="002C7345" w:rsidRPr="00215EC5" w:rsidRDefault="002C7345" w:rsidP="00215EC5">
      <w:pPr>
        <w:spacing w:line="480" w:lineRule="auto"/>
        <w:ind w:firstLine="567"/>
        <w:jc w:val="both"/>
        <w:rPr>
          <w:sz w:val="22"/>
          <w:szCs w:val="22"/>
        </w:rPr>
      </w:pPr>
      <w:r w:rsidRPr="00215EC5">
        <w:rPr>
          <w:sz w:val="22"/>
          <w:szCs w:val="22"/>
        </w:rPr>
        <w:t xml:space="preserve">To illustrate the synthesis between theory and method, Table 2 presents a thematic summary of twelve representative studies. The table maps each study according to its theoretical basis, methodological orientation, context of application, and key findings. This matrix reveals that most studies rely on participatory, land-based, and dialogic methods to ensure research is embedded in community values and practices. For instance, the work by Utami et al. (2021) integrates design </w:t>
      </w:r>
      <w:r w:rsidRPr="00215EC5">
        <w:rPr>
          <w:sz w:val="22"/>
          <w:szCs w:val="22"/>
        </w:rPr>
        <w:lastRenderedPageBreak/>
        <w:t>thinking with cultural artifacts in teacher training, while Lewis et al. (2023) apply strength-based approaches to avoid deficit framing in health and economic education.</w:t>
      </w:r>
    </w:p>
    <w:p w14:paraId="37CFC03F" w14:textId="08F5CF52" w:rsidR="002C7345" w:rsidRPr="00215EC5" w:rsidRDefault="002C7345" w:rsidP="00215EC5">
      <w:pPr>
        <w:spacing w:line="480" w:lineRule="auto"/>
        <w:ind w:firstLine="567"/>
        <w:jc w:val="both"/>
        <w:rPr>
          <w:sz w:val="22"/>
          <w:szCs w:val="22"/>
        </w:rPr>
      </w:pPr>
      <w:r w:rsidRPr="00215EC5">
        <w:rPr>
          <w:sz w:val="22"/>
          <w:szCs w:val="22"/>
        </w:rPr>
        <w:t xml:space="preserve">Abebe </w:t>
      </w:r>
      <w:r w:rsidR="003D6A9C">
        <w:rPr>
          <w:sz w:val="22"/>
          <w:szCs w:val="22"/>
        </w:rPr>
        <w:t>&amp;</w:t>
      </w:r>
      <w:r w:rsidRPr="00215EC5">
        <w:rPr>
          <w:sz w:val="22"/>
          <w:szCs w:val="22"/>
        </w:rPr>
        <w:t xml:space="preserve"> Gatisso (2023) provide an illustrative example of how indigenous knowledge systems, such as the construction and cultural function of the Kawo Amado Kella defensive wall in Wolaita can inform pedagogical frameworks rooted in local history, symbolism, and resistance. This reinforces the relevance of spatial and historical structures as part of indigenous education and community governance.</w:t>
      </w:r>
    </w:p>
    <w:p w14:paraId="65E69E6C" w14:textId="77777777" w:rsidR="002C7345" w:rsidRPr="00215EC5" w:rsidRDefault="002C7345" w:rsidP="00215EC5">
      <w:pPr>
        <w:spacing w:line="480" w:lineRule="auto"/>
        <w:jc w:val="both"/>
        <w:rPr>
          <w:b/>
          <w:bCs/>
          <w:sz w:val="22"/>
          <w:szCs w:val="22"/>
        </w:rPr>
      </w:pPr>
    </w:p>
    <w:p w14:paraId="6F756659" w14:textId="7B219181" w:rsidR="002C7345" w:rsidRPr="003D6A9C" w:rsidRDefault="002C7345" w:rsidP="003D6A9C">
      <w:pPr>
        <w:spacing w:line="480" w:lineRule="auto"/>
        <w:jc w:val="center"/>
        <w:rPr>
          <w:b/>
          <w:bCs/>
          <w:sz w:val="22"/>
          <w:szCs w:val="22"/>
        </w:rPr>
      </w:pPr>
      <w:r w:rsidRPr="003D6A9C">
        <w:rPr>
          <w:b/>
          <w:bCs/>
          <w:sz w:val="22"/>
          <w:szCs w:val="22"/>
        </w:rPr>
        <w:t>Table 2. Thematic summary of theoretical and methodological approaches in indigenous education studies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1354"/>
        <w:gridCol w:w="1747"/>
        <w:gridCol w:w="1879"/>
        <w:gridCol w:w="1543"/>
        <w:gridCol w:w="1963"/>
      </w:tblGrid>
      <w:tr w:rsidR="002C7345" w:rsidRPr="00215EC5" w14:paraId="768622D1" w14:textId="77777777" w:rsidTr="00514978">
        <w:tc>
          <w:tcPr>
            <w:tcW w:w="0" w:type="auto"/>
            <w:tcBorders>
              <w:top w:val="single" w:sz="4" w:space="0" w:color="auto"/>
              <w:bottom w:val="single" w:sz="4" w:space="0" w:color="auto"/>
            </w:tcBorders>
            <w:vAlign w:val="center"/>
            <w:hideMark/>
          </w:tcPr>
          <w:p w14:paraId="3565E45F" w14:textId="77777777" w:rsidR="002C7345" w:rsidRPr="00215EC5" w:rsidRDefault="002C7345" w:rsidP="003D6A9C">
            <w:pPr>
              <w:jc w:val="center"/>
              <w:rPr>
                <w:b/>
                <w:bCs/>
                <w:sz w:val="22"/>
                <w:szCs w:val="22"/>
              </w:rPr>
            </w:pPr>
            <w:r w:rsidRPr="00215EC5">
              <w:rPr>
                <w:b/>
                <w:bCs/>
                <w:sz w:val="22"/>
                <w:szCs w:val="22"/>
              </w:rPr>
              <w:t>No.</w:t>
            </w:r>
          </w:p>
        </w:tc>
        <w:tc>
          <w:tcPr>
            <w:tcW w:w="0" w:type="auto"/>
            <w:tcBorders>
              <w:top w:val="single" w:sz="4" w:space="0" w:color="auto"/>
              <w:bottom w:val="single" w:sz="4" w:space="0" w:color="auto"/>
            </w:tcBorders>
            <w:vAlign w:val="center"/>
            <w:hideMark/>
          </w:tcPr>
          <w:p w14:paraId="20F6DC57" w14:textId="77777777" w:rsidR="002C7345" w:rsidRPr="00215EC5" w:rsidRDefault="002C7345" w:rsidP="003D6A9C">
            <w:pPr>
              <w:jc w:val="center"/>
              <w:rPr>
                <w:b/>
                <w:bCs/>
                <w:sz w:val="22"/>
                <w:szCs w:val="22"/>
              </w:rPr>
            </w:pPr>
            <w:r w:rsidRPr="00215EC5">
              <w:rPr>
                <w:b/>
                <w:bCs/>
                <w:sz w:val="22"/>
                <w:szCs w:val="22"/>
              </w:rPr>
              <w:t>Author(s)</w:t>
            </w:r>
          </w:p>
        </w:tc>
        <w:tc>
          <w:tcPr>
            <w:tcW w:w="0" w:type="auto"/>
            <w:tcBorders>
              <w:top w:val="single" w:sz="4" w:space="0" w:color="auto"/>
              <w:bottom w:val="single" w:sz="4" w:space="0" w:color="auto"/>
            </w:tcBorders>
            <w:vAlign w:val="center"/>
            <w:hideMark/>
          </w:tcPr>
          <w:p w14:paraId="396FC88D" w14:textId="77777777" w:rsidR="002C7345" w:rsidRPr="00215EC5" w:rsidRDefault="002C7345" w:rsidP="003D6A9C">
            <w:pPr>
              <w:jc w:val="center"/>
              <w:rPr>
                <w:b/>
                <w:bCs/>
                <w:sz w:val="22"/>
                <w:szCs w:val="22"/>
              </w:rPr>
            </w:pPr>
            <w:r w:rsidRPr="00215EC5">
              <w:rPr>
                <w:b/>
                <w:bCs/>
                <w:sz w:val="22"/>
                <w:szCs w:val="22"/>
              </w:rPr>
              <w:t>Theoretical Framework</w:t>
            </w:r>
          </w:p>
        </w:tc>
        <w:tc>
          <w:tcPr>
            <w:tcW w:w="0" w:type="auto"/>
            <w:tcBorders>
              <w:top w:val="single" w:sz="4" w:space="0" w:color="auto"/>
              <w:bottom w:val="single" w:sz="4" w:space="0" w:color="auto"/>
            </w:tcBorders>
            <w:vAlign w:val="center"/>
            <w:hideMark/>
          </w:tcPr>
          <w:p w14:paraId="106DA5FD" w14:textId="77777777" w:rsidR="002C7345" w:rsidRPr="00215EC5" w:rsidRDefault="002C7345" w:rsidP="003D6A9C">
            <w:pPr>
              <w:jc w:val="center"/>
              <w:rPr>
                <w:b/>
                <w:bCs/>
                <w:sz w:val="22"/>
                <w:szCs w:val="22"/>
              </w:rPr>
            </w:pPr>
            <w:r w:rsidRPr="00215EC5">
              <w:rPr>
                <w:b/>
                <w:bCs/>
                <w:sz w:val="22"/>
                <w:szCs w:val="22"/>
              </w:rPr>
              <w:t>Methodological Approach</w:t>
            </w:r>
          </w:p>
        </w:tc>
        <w:tc>
          <w:tcPr>
            <w:tcW w:w="0" w:type="auto"/>
            <w:tcBorders>
              <w:top w:val="single" w:sz="4" w:space="0" w:color="auto"/>
              <w:bottom w:val="single" w:sz="4" w:space="0" w:color="auto"/>
            </w:tcBorders>
            <w:vAlign w:val="center"/>
            <w:hideMark/>
          </w:tcPr>
          <w:p w14:paraId="59858970" w14:textId="77777777" w:rsidR="002C7345" w:rsidRPr="00215EC5" w:rsidRDefault="002C7345" w:rsidP="003D6A9C">
            <w:pPr>
              <w:jc w:val="center"/>
              <w:rPr>
                <w:b/>
                <w:bCs/>
                <w:sz w:val="22"/>
                <w:szCs w:val="22"/>
              </w:rPr>
            </w:pPr>
            <w:r w:rsidRPr="00215EC5">
              <w:rPr>
                <w:b/>
                <w:bCs/>
                <w:sz w:val="22"/>
                <w:szCs w:val="22"/>
              </w:rPr>
              <w:t>Context of Application</w:t>
            </w:r>
          </w:p>
        </w:tc>
        <w:tc>
          <w:tcPr>
            <w:tcW w:w="0" w:type="auto"/>
            <w:tcBorders>
              <w:top w:val="single" w:sz="4" w:space="0" w:color="auto"/>
              <w:bottom w:val="single" w:sz="4" w:space="0" w:color="auto"/>
            </w:tcBorders>
            <w:vAlign w:val="center"/>
            <w:hideMark/>
          </w:tcPr>
          <w:p w14:paraId="72F6862B" w14:textId="77777777" w:rsidR="002C7345" w:rsidRPr="00215EC5" w:rsidRDefault="002C7345" w:rsidP="003D6A9C">
            <w:pPr>
              <w:jc w:val="center"/>
              <w:rPr>
                <w:b/>
                <w:bCs/>
                <w:sz w:val="22"/>
                <w:szCs w:val="22"/>
              </w:rPr>
            </w:pPr>
            <w:r w:rsidRPr="00215EC5">
              <w:rPr>
                <w:b/>
                <w:bCs/>
                <w:sz w:val="22"/>
                <w:szCs w:val="22"/>
              </w:rPr>
              <w:t>Key Findings</w:t>
            </w:r>
          </w:p>
        </w:tc>
      </w:tr>
      <w:tr w:rsidR="002C7345" w:rsidRPr="00215EC5" w14:paraId="5F047660" w14:textId="77777777" w:rsidTr="005830DB">
        <w:tc>
          <w:tcPr>
            <w:tcW w:w="0" w:type="auto"/>
            <w:tcBorders>
              <w:top w:val="single" w:sz="4" w:space="0" w:color="auto"/>
            </w:tcBorders>
            <w:hideMark/>
          </w:tcPr>
          <w:p w14:paraId="12F2AE3B" w14:textId="77777777" w:rsidR="002C7345" w:rsidRPr="00215EC5" w:rsidRDefault="002C7345" w:rsidP="003D6A9C">
            <w:pPr>
              <w:jc w:val="both"/>
              <w:rPr>
                <w:sz w:val="22"/>
                <w:szCs w:val="22"/>
              </w:rPr>
            </w:pPr>
            <w:r w:rsidRPr="00215EC5">
              <w:rPr>
                <w:sz w:val="22"/>
                <w:szCs w:val="22"/>
              </w:rPr>
              <w:t>1</w:t>
            </w:r>
          </w:p>
        </w:tc>
        <w:tc>
          <w:tcPr>
            <w:tcW w:w="0" w:type="auto"/>
            <w:tcBorders>
              <w:top w:val="single" w:sz="4" w:space="0" w:color="auto"/>
            </w:tcBorders>
            <w:hideMark/>
          </w:tcPr>
          <w:p w14:paraId="0312BC1E" w14:textId="77777777" w:rsidR="002C7345" w:rsidRPr="00215EC5" w:rsidRDefault="002C7345" w:rsidP="003D6A9C">
            <w:pPr>
              <w:rPr>
                <w:sz w:val="22"/>
                <w:szCs w:val="22"/>
              </w:rPr>
            </w:pPr>
            <w:r w:rsidRPr="00215EC5">
              <w:rPr>
                <w:sz w:val="22"/>
                <w:szCs w:val="22"/>
              </w:rPr>
              <w:t>MacLean et al. (2023)</w:t>
            </w:r>
          </w:p>
        </w:tc>
        <w:tc>
          <w:tcPr>
            <w:tcW w:w="0" w:type="auto"/>
            <w:tcBorders>
              <w:top w:val="single" w:sz="4" w:space="0" w:color="auto"/>
            </w:tcBorders>
            <w:hideMark/>
          </w:tcPr>
          <w:p w14:paraId="00C78499" w14:textId="77777777" w:rsidR="002C7345" w:rsidRPr="00215EC5" w:rsidRDefault="002C7345" w:rsidP="003D6A9C">
            <w:pPr>
              <w:jc w:val="both"/>
              <w:rPr>
                <w:sz w:val="22"/>
                <w:szCs w:val="22"/>
              </w:rPr>
            </w:pPr>
            <w:r w:rsidRPr="00215EC5">
              <w:rPr>
                <w:sz w:val="22"/>
                <w:szCs w:val="22"/>
              </w:rPr>
              <w:t>Culturally Responsive Pedagogy</w:t>
            </w:r>
          </w:p>
        </w:tc>
        <w:tc>
          <w:tcPr>
            <w:tcW w:w="0" w:type="auto"/>
            <w:tcBorders>
              <w:top w:val="single" w:sz="4" w:space="0" w:color="auto"/>
            </w:tcBorders>
            <w:hideMark/>
          </w:tcPr>
          <w:p w14:paraId="01368FD2" w14:textId="77777777" w:rsidR="002C7345" w:rsidRPr="00215EC5" w:rsidRDefault="002C7345" w:rsidP="003D6A9C">
            <w:pPr>
              <w:jc w:val="both"/>
              <w:rPr>
                <w:sz w:val="22"/>
                <w:szCs w:val="22"/>
              </w:rPr>
            </w:pPr>
            <w:r w:rsidRPr="00215EC5">
              <w:rPr>
                <w:sz w:val="22"/>
                <w:szCs w:val="22"/>
              </w:rPr>
              <w:t>Participatory Curriculum Development</w:t>
            </w:r>
          </w:p>
        </w:tc>
        <w:tc>
          <w:tcPr>
            <w:tcW w:w="0" w:type="auto"/>
            <w:tcBorders>
              <w:top w:val="single" w:sz="4" w:space="0" w:color="auto"/>
            </w:tcBorders>
            <w:hideMark/>
          </w:tcPr>
          <w:p w14:paraId="2538122C" w14:textId="77777777" w:rsidR="002C7345" w:rsidRPr="00215EC5" w:rsidRDefault="002C7345" w:rsidP="003D6A9C">
            <w:pPr>
              <w:jc w:val="both"/>
              <w:rPr>
                <w:sz w:val="22"/>
                <w:szCs w:val="22"/>
              </w:rPr>
            </w:pPr>
            <w:r w:rsidRPr="00215EC5">
              <w:rPr>
                <w:sz w:val="22"/>
                <w:szCs w:val="22"/>
              </w:rPr>
              <w:t>Community economic training</w:t>
            </w:r>
          </w:p>
        </w:tc>
        <w:tc>
          <w:tcPr>
            <w:tcW w:w="0" w:type="auto"/>
            <w:tcBorders>
              <w:top w:val="single" w:sz="4" w:space="0" w:color="auto"/>
            </w:tcBorders>
            <w:hideMark/>
          </w:tcPr>
          <w:p w14:paraId="731DF31C" w14:textId="77777777" w:rsidR="002C7345" w:rsidRPr="00215EC5" w:rsidRDefault="002C7345" w:rsidP="003D6A9C">
            <w:pPr>
              <w:jc w:val="both"/>
              <w:rPr>
                <w:sz w:val="22"/>
                <w:szCs w:val="22"/>
              </w:rPr>
            </w:pPr>
            <w:r w:rsidRPr="00215EC5">
              <w:rPr>
                <w:sz w:val="22"/>
                <w:szCs w:val="22"/>
              </w:rPr>
              <w:t>Affirmation of identity enhances economic learning</w:t>
            </w:r>
          </w:p>
        </w:tc>
      </w:tr>
      <w:tr w:rsidR="002C7345" w:rsidRPr="00215EC5" w14:paraId="5AB0CDB6" w14:textId="77777777" w:rsidTr="005830DB">
        <w:tc>
          <w:tcPr>
            <w:tcW w:w="0" w:type="auto"/>
            <w:hideMark/>
          </w:tcPr>
          <w:p w14:paraId="493E2ECB" w14:textId="77777777" w:rsidR="002C7345" w:rsidRPr="00215EC5" w:rsidRDefault="002C7345" w:rsidP="003D6A9C">
            <w:pPr>
              <w:jc w:val="both"/>
              <w:rPr>
                <w:sz w:val="22"/>
                <w:szCs w:val="22"/>
              </w:rPr>
            </w:pPr>
            <w:r w:rsidRPr="00215EC5">
              <w:rPr>
                <w:sz w:val="22"/>
                <w:szCs w:val="22"/>
              </w:rPr>
              <w:t>2</w:t>
            </w:r>
          </w:p>
        </w:tc>
        <w:tc>
          <w:tcPr>
            <w:tcW w:w="0" w:type="auto"/>
            <w:hideMark/>
          </w:tcPr>
          <w:p w14:paraId="71960D7E" w14:textId="77777777" w:rsidR="002C7345" w:rsidRPr="00215EC5" w:rsidRDefault="002C7345" w:rsidP="003D6A9C">
            <w:pPr>
              <w:rPr>
                <w:sz w:val="22"/>
                <w:szCs w:val="22"/>
              </w:rPr>
            </w:pPr>
            <w:r w:rsidRPr="00215EC5">
              <w:rPr>
                <w:sz w:val="22"/>
                <w:szCs w:val="22"/>
              </w:rPr>
              <w:t>Tremblay et al. (2023)</w:t>
            </w:r>
          </w:p>
        </w:tc>
        <w:tc>
          <w:tcPr>
            <w:tcW w:w="0" w:type="auto"/>
            <w:hideMark/>
          </w:tcPr>
          <w:p w14:paraId="24907C42" w14:textId="77777777" w:rsidR="002C7345" w:rsidRPr="00215EC5" w:rsidRDefault="002C7345" w:rsidP="003D6A9C">
            <w:pPr>
              <w:jc w:val="both"/>
              <w:rPr>
                <w:sz w:val="22"/>
                <w:szCs w:val="22"/>
              </w:rPr>
            </w:pPr>
            <w:r w:rsidRPr="00215EC5">
              <w:rPr>
                <w:sz w:val="22"/>
                <w:szCs w:val="22"/>
              </w:rPr>
              <w:t>Decolonial Theory</w:t>
            </w:r>
          </w:p>
        </w:tc>
        <w:tc>
          <w:tcPr>
            <w:tcW w:w="0" w:type="auto"/>
            <w:hideMark/>
          </w:tcPr>
          <w:p w14:paraId="55FBAF97" w14:textId="77777777" w:rsidR="002C7345" w:rsidRPr="00215EC5" w:rsidRDefault="002C7345" w:rsidP="003D6A9C">
            <w:pPr>
              <w:jc w:val="both"/>
              <w:rPr>
                <w:sz w:val="22"/>
                <w:szCs w:val="22"/>
              </w:rPr>
            </w:pPr>
            <w:r w:rsidRPr="00215EC5">
              <w:rPr>
                <w:sz w:val="22"/>
                <w:szCs w:val="22"/>
              </w:rPr>
              <w:t>Critical Ethnography</w:t>
            </w:r>
          </w:p>
        </w:tc>
        <w:tc>
          <w:tcPr>
            <w:tcW w:w="0" w:type="auto"/>
            <w:hideMark/>
          </w:tcPr>
          <w:p w14:paraId="338C15DD" w14:textId="77777777" w:rsidR="002C7345" w:rsidRPr="00215EC5" w:rsidRDefault="002C7345" w:rsidP="003D6A9C">
            <w:pPr>
              <w:jc w:val="both"/>
              <w:rPr>
                <w:sz w:val="22"/>
                <w:szCs w:val="22"/>
              </w:rPr>
            </w:pPr>
            <w:r w:rsidRPr="00215EC5">
              <w:rPr>
                <w:sz w:val="22"/>
                <w:szCs w:val="22"/>
              </w:rPr>
              <w:t>Youth health and financial education</w:t>
            </w:r>
          </w:p>
        </w:tc>
        <w:tc>
          <w:tcPr>
            <w:tcW w:w="0" w:type="auto"/>
            <w:hideMark/>
          </w:tcPr>
          <w:p w14:paraId="202F893E" w14:textId="77777777" w:rsidR="002C7345" w:rsidRPr="00215EC5" w:rsidRDefault="002C7345" w:rsidP="003D6A9C">
            <w:pPr>
              <w:jc w:val="both"/>
              <w:rPr>
                <w:sz w:val="22"/>
                <w:szCs w:val="22"/>
              </w:rPr>
            </w:pPr>
            <w:r w:rsidRPr="00215EC5">
              <w:rPr>
                <w:sz w:val="22"/>
                <w:szCs w:val="22"/>
              </w:rPr>
              <w:t>Cultural rootedness builds agency and policy advocacy</w:t>
            </w:r>
          </w:p>
        </w:tc>
      </w:tr>
      <w:tr w:rsidR="002C7345" w:rsidRPr="00215EC5" w14:paraId="445EC469" w14:textId="77777777" w:rsidTr="005830DB">
        <w:tc>
          <w:tcPr>
            <w:tcW w:w="0" w:type="auto"/>
            <w:hideMark/>
          </w:tcPr>
          <w:p w14:paraId="4BD0B62E" w14:textId="77777777" w:rsidR="002C7345" w:rsidRPr="00215EC5" w:rsidRDefault="002C7345" w:rsidP="003D6A9C">
            <w:pPr>
              <w:jc w:val="both"/>
              <w:rPr>
                <w:sz w:val="22"/>
                <w:szCs w:val="22"/>
              </w:rPr>
            </w:pPr>
            <w:r w:rsidRPr="00215EC5">
              <w:rPr>
                <w:sz w:val="22"/>
                <w:szCs w:val="22"/>
              </w:rPr>
              <w:t>3</w:t>
            </w:r>
          </w:p>
        </w:tc>
        <w:tc>
          <w:tcPr>
            <w:tcW w:w="0" w:type="auto"/>
            <w:hideMark/>
          </w:tcPr>
          <w:p w14:paraId="20E9CE3E" w14:textId="77777777" w:rsidR="002C7345" w:rsidRPr="00215EC5" w:rsidRDefault="002C7345" w:rsidP="003D6A9C">
            <w:pPr>
              <w:rPr>
                <w:sz w:val="22"/>
                <w:szCs w:val="22"/>
              </w:rPr>
            </w:pPr>
            <w:r w:rsidRPr="00215EC5">
              <w:rPr>
                <w:sz w:val="22"/>
                <w:szCs w:val="22"/>
              </w:rPr>
              <w:t>Monchalin et al. (2023)</w:t>
            </w:r>
          </w:p>
        </w:tc>
        <w:tc>
          <w:tcPr>
            <w:tcW w:w="0" w:type="auto"/>
            <w:hideMark/>
          </w:tcPr>
          <w:p w14:paraId="4499D799" w14:textId="77777777" w:rsidR="002C7345" w:rsidRPr="00215EC5" w:rsidRDefault="002C7345" w:rsidP="003D6A9C">
            <w:pPr>
              <w:jc w:val="both"/>
              <w:rPr>
                <w:sz w:val="22"/>
                <w:szCs w:val="22"/>
              </w:rPr>
            </w:pPr>
            <w:r w:rsidRPr="00215EC5">
              <w:rPr>
                <w:sz w:val="22"/>
                <w:szCs w:val="22"/>
              </w:rPr>
              <w:t>Indigenous Resurgence Theory</w:t>
            </w:r>
          </w:p>
        </w:tc>
        <w:tc>
          <w:tcPr>
            <w:tcW w:w="0" w:type="auto"/>
            <w:hideMark/>
          </w:tcPr>
          <w:p w14:paraId="5CF0CF76" w14:textId="77777777" w:rsidR="002C7345" w:rsidRPr="00215EC5" w:rsidRDefault="002C7345" w:rsidP="003D6A9C">
            <w:pPr>
              <w:jc w:val="both"/>
              <w:rPr>
                <w:sz w:val="22"/>
                <w:szCs w:val="22"/>
              </w:rPr>
            </w:pPr>
            <w:r w:rsidRPr="00215EC5">
              <w:rPr>
                <w:sz w:val="22"/>
                <w:szCs w:val="22"/>
              </w:rPr>
              <w:t>Mixed Methods</w:t>
            </w:r>
          </w:p>
        </w:tc>
        <w:tc>
          <w:tcPr>
            <w:tcW w:w="0" w:type="auto"/>
            <w:hideMark/>
          </w:tcPr>
          <w:p w14:paraId="1D53DBA1" w14:textId="77777777" w:rsidR="002C7345" w:rsidRPr="00215EC5" w:rsidRDefault="002C7345" w:rsidP="003D6A9C">
            <w:pPr>
              <w:jc w:val="both"/>
              <w:rPr>
                <w:sz w:val="22"/>
                <w:szCs w:val="22"/>
              </w:rPr>
            </w:pPr>
            <w:r w:rsidRPr="00215EC5">
              <w:rPr>
                <w:sz w:val="22"/>
                <w:szCs w:val="22"/>
              </w:rPr>
              <w:t>Indigenous youth education</w:t>
            </w:r>
          </w:p>
        </w:tc>
        <w:tc>
          <w:tcPr>
            <w:tcW w:w="0" w:type="auto"/>
            <w:hideMark/>
          </w:tcPr>
          <w:p w14:paraId="351D6955" w14:textId="77777777" w:rsidR="002C7345" w:rsidRPr="00215EC5" w:rsidRDefault="002C7345" w:rsidP="003D6A9C">
            <w:pPr>
              <w:jc w:val="both"/>
              <w:rPr>
                <w:sz w:val="22"/>
                <w:szCs w:val="22"/>
              </w:rPr>
            </w:pPr>
            <w:r w:rsidRPr="00215EC5">
              <w:rPr>
                <w:sz w:val="22"/>
                <w:szCs w:val="22"/>
              </w:rPr>
              <w:t>Emotional healing supports academic and financial outcomes</w:t>
            </w:r>
          </w:p>
        </w:tc>
      </w:tr>
      <w:tr w:rsidR="002C7345" w:rsidRPr="00215EC5" w14:paraId="7D41E4D3" w14:textId="77777777" w:rsidTr="005830DB">
        <w:tc>
          <w:tcPr>
            <w:tcW w:w="0" w:type="auto"/>
            <w:hideMark/>
          </w:tcPr>
          <w:p w14:paraId="02A1C485" w14:textId="77777777" w:rsidR="002C7345" w:rsidRPr="00215EC5" w:rsidRDefault="002C7345" w:rsidP="003D6A9C">
            <w:pPr>
              <w:jc w:val="both"/>
              <w:rPr>
                <w:sz w:val="22"/>
                <w:szCs w:val="22"/>
              </w:rPr>
            </w:pPr>
            <w:r w:rsidRPr="00215EC5">
              <w:rPr>
                <w:sz w:val="22"/>
                <w:szCs w:val="22"/>
              </w:rPr>
              <w:t>4</w:t>
            </w:r>
          </w:p>
        </w:tc>
        <w:tc>
          <w:tcPr>
            <w:tcW w:w="0" w:type="auto"/>
            <w:hideMark/>
          </w:tcPr>
          <w:p w14:paraId="12FCC3AA" w14:textId="77777777" w:rsidR="002C7345" w:rsidRPr="00215EC5" w:rsidRDefault="002C7345" w:rsidP="003D6A9C">
            <w:pPr>
              <w:rPr>
                <w:sz w:val="22"/>
                <w:szCs w:val="22"/>
              </w:rPr>
            </w:pPr>
            <w:r w:rsidRPr="00215EC5">
              <w:rPr>
                <w:sz w:val="22"/>
                <w:szCs w:val="22"/>
              </w:rPr>
              <w:t>Windchief &amp; Cummins (2021)</w:t>
            </w:r>
          </w:p>
        </w:tc>
        <w:tc>
          <w:tcPr>
            <w:tcW w:w="0" w:type="auto"/>
            <w:hideMark/>
          </w:tcPr>
          <w:p w14:paraId="05EAFDB9" w14:textId="77777777" w:rsidR="002C7345" w:rsidRPr="00215EC5" w:rsidRDefault="002C7345" w:rsidP="003D6A9C">
            <w:pPr>
              <w:jc w:val="both"/>
              <w:rPr>
                <w:sz w:val="22"/>
                <w:szCs w:val="22"/>
              </w:rPr>
            </w:pPr>
            <w:r w:rsidRPr="00215EC5">
              <w:rPr>
                <w:sz w:val="22"/>
                <w:szCs w:val="22"/>
              </w:rPr>
              <w:t>Indigenous Institutional Theory</w:t>
            </w:r>
          </w:p>
        </w:tc>
        <w:tc>
          <w:tcPr>
            <w:tcW w:w="0" w:type="auto"/>
            <w:hideMark/>
          </w:tcPr>
          <w:p w14:paraId="231445BA" w14:textId="77777777" w:rsidR="002C7345" w:rsidRPr="00215EC5" w:rsidRDefault="002C7345" w:rsidP="003D6A9C">
            <w:pPr>
              <w:jc w:val="both"/>
              <w:rPr>
                <w:sz w:val="22"/>
                <w:szCs w:val="22"/>
              </w:rPr>
            </w:pPr>
            <w:r w:rsidRPr="00215EC5">
              <w:rPr>
                <w:sz w:val="22"/>
                <w:szCs w:val="22"/>
              </w:rPr>
              <w:t>Bicultural Accountability</w:t>
            </w:r>
          </w:p>
        </w:tc>
        <w:tc>
          <w:tcPr>
            <w:tcW w:w="0" w:type="auto"/>
            <w:hideMark/>
          </w:tcPr>
          <w:p w14:paraId="5BC3A7CB" w14:textId="77777777" w:rsidR="002C7345" w:rsidRPr="00215EC5" w:rsidRDefault="002C7345" w:rsidP="003D6A9C">
            <w:pPr>
              <w:jc w:val="both"/>
              <w:rPr>
                <w:sz w:val="22"/>
                <w:szCs w:val="22"/>
              </w:rPr>
            </w:pPr>
            <w:r w:rsidRPr="00215EC5">
              <w:rPr>
                <w:sz w:val="22"/>
                <w:szCs w:val="22"/>
              </w:rPr>
              <w:t>Higher education institutional design</w:t>
            </w:r>
          </w:p>
        </w:tc>
        <w:tc>
          <w:tcPr>
            <w:tcW w:w="0" w:type="auto"/>
            <w:hideMark/>
          </w:tcPr>
          <w:p w14:paraId="7C08EB90" w14:textId="77777777" w:rsidR="002C7345" w:rsidRPr="00215EC5" w:rsidRDefault="002C7345" w:rsidP="003D6A9C">
            <w:pPr>
              <w:jc w:val="both"/>
              <w:rPr>
                <w:sz w:val="22"/>
                <w:szCs w:val="22"/>
              </w:rPr>
            </w:pPr>
            <w:r w:rsidRPr="00215EC5">
              <w:rPr>
                <w:sz w:val="22"/>
                <w:szCs w:val="22"/>
              </w:rPr>
              <w:t>Power-sharing in governance improves cultural safety</w:t>
            </w:r>
          </w:p>
        </w:tc>
      </w:tr>
      <w:tr w:rsidR="002C7345" w:rsidRPr="00215EC5" w14:paraId="2BF9815E" w14:textId="77777777" w:rsidTr="005830DB">
        <w:tc>
          <w:tcPr>
            <w:tcW w:w="0" w:type="auto"/>
            <w:hideMark/>
          </w:tcPr>
          <w:p w14:paraId="63F47A0C" w14:textId="77777777" w:rsidR="002C7345" w:rsidRPr="00215EC5" w:rsidRDefault="002C7345" w:rsidP="003D6A9C">
            <w:pPr>
              <w:jc w:val="both"/>
              <w:rPr>
                <w:sz w:val="22"/>
                <w:szCs w:val="22"/>
              </w:rPr>
            </w:pPr>
            <w:r w:rsidRPr="00215EC5">
              <w:rPr>
                <w:sz w:val="22"/>
                <w:szCs w:val="22"/>
              </w:rPr>
              <w:t>5</w:t>
            </w:r>
          </w:p>
        </w:tc>
        <w:tc>
          <w:tcPr>
            <w:tcW w:w="0" w:type="auto"/>
            <w:hideMark/>
          </w:tcPr>
          <w:p w14:paraId="34FB00E4" w14:textId="77777777" w:rsidR="002C7345" w:rsidRPr="00215EC5" w:rsidRDefault="002C7345" w:rsidP="003D6A9C">
            <w:pPr>
              <w:rPr>
                <w:sz w:val="22"/>
                <w:szCs w:val="22"/>
              </w:rPr>
            </w:pPr>
            <w:r w:rsidRPr="00215EC5">
              <w:rPr>
                <w:sz w:val="22"/>
                <w:szCs w:val="22"/>
              </w:rPr>
              <w:t>Peters-Mosquera et al. (2023)</w:t>
            </w:r>
          </w:p>
        </w:tc>
        <w:tc>
          <w:tcPr>
            <w:tcW w:w="0" w:type="auto"/>
            <w:hideMark/>
          </w:tcPr>
          <w:p w14:paraId="1C5DFF33" w14:textId="77777777" w:rsidR="002C7345" w:rsidRPr="00215EC5" w:rsidRDefault="002C7345" w:rsidP="003D6A9C">
            <w:pPr>
              <w:jc w:val="both"/>
              <w:rPr>
                <w:sz w:val="22"/>
                <w:szCs w:val="22"/>
              </w:rPr>
            </w:pPr>
            <w:r w:rsidRPr="00215EC5">
              <w:rPr>
                <w:sz w:val="22"/>
                <w:szCs w:val="22"/>
              </w:rPr>
              <w:t>Institutional Pluralism</w:t>
            </w:r>
          </w:p>
        </w:tc>
        <w:tc>
          <w:tcPr>
            <w:tcW w:w="0" w:type="auto"/>
            <w:hideMark/>
          </w:tcPr>
          <w:p w14:paraId="5D140F3B" w14:textId="77777777" w:rsidR="002C7345" w:rsidRPr="00215EC5" w:rsidRDefault="002C7345" w:rsidP="003D6A9C">
            <w:pPr>
              <w:jc w:val="both"/>
              <w:rPr>
                <w:sz w:val="22"/>
                <w:szCs w:val="22"/>
              </w:rPr>
            </w:pPr>
            <w:r w:rsidRPr="00215EC5">
              <w:rPr>
                <w:sz w:val="22"/>
                <w:szCs w:val="22"/>
              </w:rPr>
              <w:t>Dialogic Inquiry</w:t>
            </w:r>
          </w:p>
        </w:tc>
        <w:tc>
          <w:tcPr>
            <w:tcW w:w="0" w:type="auto"/>
            <w:hideMark/>
          </w:tcPr>
          <w:p w14:paraId="6599441D" w14:textId="77777777" w:rsidR="002C7345" w:rsidRPr="00215EC5" w:rsidRDefault="002C7345" w:rsidP="003D6A9C">
            <w:pPr>
              <w:jc w:val="both"/>
              <w:rPr>
                <w:sz w:val="22"/>
                <w:szCs w:val="22"/>
              </w:rPr>
            </w:pPr>
            <w:r w:rsidRPr="00215EC5">
              <w:rPr>
                <w:sz w:val="22"/>
                <w:szCs w:val="22"/>
              </w:rPr>
              <w:t>Curriculum co-design</w:t>
            </w:r>
          </w:p>
        </w:tc>
        <w:tc>
          <w:tcPr>
            <w:tcW w:w="0" w:type="auto"/>
            <w:hideMark/>
          </w:tcPr>
          <w:p w14:paraId="43D70C23" w14:textId="77777777" w:rsidR="002C7345" w:rsidRPr="00215EC5" w:rsidRDefault="002C7345" w:rsidP="003D6A9C">
            <w:pPr>
              <w:jc w:val="both"/>
              <w:rPr>
                <w:sz w:val="22"/>
                <w:szCs w:val="22"/>
              </w:rPr>
            </w:pPr>
            <w:r w:rsidRPr="00215EC5">
              <w:rPr>
                <w:sz w:val="22"/>
                <w:szCs w:val="22"/>
              </w:rPr>
              <w:t>Indigenous frameworks should drive curriculum values</w:t>
            </w:r>
          </w:p>
        </w:tc>
      </w:tr>
      <w:tr w:rsidR="002C7345" w:rsidRPr="00215EC5" w14:paraId="1F92F989" w14:textId="77777777" w:rsidTr="005830DB">
        <w:tc>
          <w:tcPr>
            <w:tcW w:w="0" w:type="auto"/>
            <w:hideMark/>
          </w:tcPr>
          <w:p w14:paraId="1DE4C725" w14:textId="77777777" w:rsidR="002C7345" w:rsidRPr="00215EC5" w:rsidRDefault="002C7345" w:rsidP="003D6A9C">
            <w:pPr>
              <w:jc w:val="both"/>
              <w:rPr>
                <w:sz w:val="22"/>
                <w:szCs w:val="22"/>
              </w:rPr>
            </w:pPr>
            <w:r w:rsidRPr="00215EC5">
              <w:rPr>
                <w:sz w:val="22"/>
                <w:szCs w:val="22"/>
              </w:rPr>
              <w:t>6</w:t>
            </w:r>
          </w:p>
        </w:tc>
        <w:tc>
          <w:tcPr>
            <w:tcW w:w="0" w:type="auto"/>
            <w:hideMark/>
          </w:tcPr>
          <w:p w14:paraId="6CB8A1AB" w14:textId="77777777" w:rsidR="002C7345" w:rsidRPr="00215EC5" w:rsidRDefault="002C7345" w:rsidP="003D6A9C">
            <w:pPr>
              <w:rPr>
                <w:sz w:val="22"/>
                <w:szCs w:val="22"/>
              </w:rPr>
            </w:pPr>
            <w:r w:rsidRPr="00215EC5">
              <w:rPr>
                <w:sz w:val="22"/>
                <w:szCs w:val="22"/>
              </w:rPr>
              <w:t>Utami et al. (2021)</w:t>
            </w:r>
          </w:p>
        </w:tc>
        <w:tc>
          <w:tcPr>
            <w:tcW w:w="0" w:type="auto"/>
            <w:hideMark/>
          </w:tcPr>
          <w:p w14:paraId="021F050D" w14:textId="77777777" w:rsidR="002C7345" w:rsidRPr="00215EC5" w:rsidRDefault="002C7345" w:rsidP="003D6A9C">
            <w:pPr>
              <w:jc w:val="both"/>
              <w:rPr>
                <w:sz w:val="22"/>
                <w:szCs w:val="22"/>
              </w:rPr>
            </w:pPr>
            <w:r w:rsidRPr="00215EC5">
              <w:rPr>
                <w:sz w:val="22"/>
                <w:szCs w:val="22"/>
              </w:rPr>
              <w:t>Cultural Artifact-Based Learning</w:t>
            </w:r>
          </w:p>
        </w:tc>
        <w:tc>
          <w:tcPr>
            <w:tcW w:w="0" w:type="auto"/>
            <w:hideMark/>
          </w:tcPr>
          <w:p w14:paraId="7B1174CC" w14:textId="77777777" w:rsidR="002C7345" w:rsidRPr="00215EC5" w:rsidRDefault="002C7345" w:rsidP="003D6A9C">
            <w:pPr>
              <w:jc w:val="both"/>
              <w:rPr>
                <w:sz w:val="22"/>
                <w:szCs w:val="22"/>
              </w:rPr>
            </w:pPr>
            <w:r w:rsidRPr="00215EC5">
              <w:rPr>
                <w:sz w:val="22"/>
                <w:szCs w:val="22"/>
              </w:rPr>
              <w:t>CBPR and Design Thinking</w:t>
            </w:r>
          </w:p>
        </w:tc>
        <w:tc>
          <w:tcPr>
            <w:tcW w:w="0" w:type="auto"/>
            <w:hideMark/>
          </w:tcPr>
          <w:p w14:paraId="67BAB556" w14:textId="77777777" w:rsidR="002C7345" w:rsidRPr="00215EC5" w:rsidRDefault="002C7345" w:rsidP="003D6A9C">
            <w:pPr>
              <w:jc w:val="both"/>
              <w:rPr>
                <w:sz w:val="22"/>
                <w:szCs w:val="22"/>
              </w:rPr>
            </w:pPr>
            <w:r w:rsidRPr="00215EC5">
              <w:rPr>
                <w:sz w:val="22"/>
                <w:szCs w:val="22"/>
              </w:rPr>
              <w:t>Pre-service teacher education</w:t>
            </w:r>
          </w:p>
        </w:tc>
        <w:tc>
          <w:tcPr>
            <w:tcW w:w="0" w:type="auto"/>
            <w:hideMark/>
          </w:tcPr>
          <w:p w14:paraId="00CBA559" w14:textId="77777777" w:rsidR="002C7345" w:rsidRPr="00215EC5" w:rsidRDefault="002C7345" w:rsidP="003D6A9C">
            <w:pPr>
              <w:jc w:val="both"/>
              <w:rPr>
                <w:sz w:val="22"/>
                <w:szCs w:val="22"/>
              </w:rPr>
            </w:pPr>
            <w:r w:rsidRPr="00215EC5">
              <w:rPr>
                <w:sz w:val="22"/>
                <w:szCs w:val="22"/>
              </w:rPr>
              <w:t>Artifacts stimulate cultural memory and innovation</w:t>
            </w:r>
          </w:p>
        </w:tc>
      </w:tr>
      <w:tr w:rsidR="002C7345" w:rsidRPr="00215EC5" w14:paraId="3D0E699C" w14:textId="77777777" w:rsidTr="005830DB">
        <w:tc>
          <w:tcPr>
            <w:tcW w:w="0" w:type="auto"/>
            <w:hideMark/>
          </w:tcPr>
          <w:p w14:paraId="647BCB12" w14:textId="77777777" w:rsidR="002C7345" w:rsidRPr="00215EC5" w:rsidRDefault="002C7345" w:rsidP="003D6A9C">
            <w:pPr>
              <w:jc w:val="both"/>
              <w:rPr>
                <w:sz w:val="22"/>
                <w:szCs w:val="22"/>
              </w:rPr>
            </w:pPr>
            <w:r w:rsidRPr="00215EC5">
              <w:rPr>
                <w:sz w:val="22"/>
                <w:szCs w:val="22"/>
              </w:rPr>
              <w:t>7</w:t>
            </w:r>
          </w:p>
        </w:tc>
        <w:tc>
          <w:tcPr>
            <w:tcW w:w="0" w:type="auto"/>
            <w:hideMark/>
          </w:tcPr>
          <w:p w14:paraId="7C2A4FC2" w14:textId="77777777" w:rsidR="002C7345" w:rsidRPr="00215EC5" w:rsidRDefault="002C7345" w:rsidP="003D6A9C">
            <w:pPr>
              <w:rPr>
                <w:sz w:val="22"/>
                <w:szCs w:val="22"/>
              </w:rPr>
            </w:pPr>
            <w:r w:rsidRPr="00215EC5">
              <w:rPr>
                <w:sz w:val="22"/>
                <w:szCs w:val="22"/>
              </w:rPr>
              <w:t>Lewis et al. (2023)</w:t>
            </w:r>
          </w:p>
        </w:tc>
        <w:tc>
          <w:tcPr>
            <w:tcW w:w="0" w:type="auto"/>
            <w:hideMark/>
          </w:tcPr>
          <w:p w14:paraId="7E42C261" w14:textId="77777777" w:rsidR="002C7345" w:rsidRPr="00215EC5" w:rsidRDefault="002C7345" w:rsidP="003D6A9C">
            <w:pPr>
              <w:jc w:val="both"/>
              <w:rPr>
                <w:sz w:val="22"/>
                <w:szCs w:val="22"/>
              </w:rPr>
            </w:pPr>
            <w:r w:rsidRPr="00215EC5">
              <w:rPr>
                <w:sz w:val="22"/>
                <w:szCs w:val="22"/>
              </w:rPr>
              <w:t>Strength-Based Education</w:t>
            </w:r>
          </w:p>
        </w:tc>
        <w:tc>
          <w:tcPr>
            <w:tcW w:w="0" w:type="auto"/>
            <w:hideMark/>
          </w:tcPr>
          <w:p w14:paraId="6227FBA5" w14:textId="77777777" w:rsidR="002C7345" w:rsidRPr="00215EC5" w:rsidRDefault="002C7345" w:rsidP="003D6A9C">
            <w:pPr>
              <w:jc w:val="both"/>
              <w:rPr>
                <w:sz w:val="22"/>
                <w:szCs w:val="22"/>
              </w:rPr>
            </w:pPr>
            <w:r w:rsidRPr="00215EC5">
              <w:rPr>
                <w:sz w:val="22"/>
                <w:szCs w:val="22"/>
              </w:rPr>
              <w:t>Community Dialogues</w:t>
            </w:r>
          </w:p>
        </w:tc>
        <w:tc>
          <w:tcPr>
            <w:tcW w:w="0" w:type="auto"/>
            <w:hideMark/>
          </w:tcPr>
          <w:p w14:paraId="32EDE540" w14:textId="77777777" w:rsidR="002C7345" w:rsidRPr="00215EC5" w:rsidRDefault="002C7345" w:rsidP="003D6A9C">
            <w:pPr>
              <w:jc w:val="both"/>
              <w:rPr>
                <w:sz w:val="22"/>
                <w:szCs w:val="22"/>
              </w:rPr>
            </w:pPr>
            <w:r w:rsidRPr="00215EC5">
              <w:rPr>
                <w:sz w:val="22"/>
                <w:szCs w:val="22"/>
              </w:rPr>
              <w:t>Health and economic literacy</w:t>
            </w:r>
          </w:p>
        </w:tc>
        <w:tc>
          <w:tcPr>
            <w:tcW w:w="0" w:type="auto"/>
            <w:hideMark/>
          </w:tcPr>
          <w:p w14:paraId="6B8088D6" w14:textId="77777777" w:rsidR="002C7345" w:rsidRPr="00215EC5" w:rsidRDefault="002C7345" w:rsidP="003D6A9C">
            <w:pPr>
              <w:jc w:val="both"/>
              <w:rPr>
                <w:sz w:val="22"/>
                <w:szCs w:val="22"/>
              </w:rPr>
            </w:pPr>
            <w:r w:rsidRPr="00215EC5">
              <w:rPr>
                <w:sz w:val="22"/>
                <w:szCs w:val="22"/>
              </w:rPr>
              <w:t>Avoiding deficit narratives improves trust and outcomes</w:t>
            </w:r>
          </w:p>
        </w:tc>
      </w:tr>
      <w:tr w:rsidR="002C7345" w:rsidRPr="00215EC5" w14:paraId="1E7D5B2D" w14:textId="77777777" w:rsidTr="005830DB">
        <w:tc>
          <w:tcPr>
            <w:tcW w:w="0" w:type="auto"/>
            <w:hideMark/>
          </w:tcPr>
          <w:p w14:paraId="6CF666DA" w14:textId="77777777" w:rsidR="002C7345" w:rsidRPr="00215EC5" w:rsidRDefault="002C7345" w:rsidP="003D6A9C">
            <w:pPr>
              <w:jc w:val="both"/>
              <w:rPr>
                <w:sz w:val="22"/>
                <w:szCs w:val="22"/>
              </w:rPr>
            </w:pPr>
            <w:r w:rsidRPr="00215EC5">
              <w:rPr>
                <w:sz w:val="22"/>
                <w:szCs w:val="22"/>
              </w:rPr>
              <w:t>8</w:t>
            </w:r>
          </w:p>
        </w:tc>
        <w:tc>
          <w:tcPr>
            <w:tcW w:w="0" w:type="auto"/>
            <w:hideMark/>
          </w:tcPr>
          <w:p w14:paraId="43D4A996" w14:textId="77777777" w:rsidR="002C7345" w:rsidRPr="00215EC5" w:rsidRDefault="002C7345" w:rsidP="003D6A9C">
            <w:pPr>
              <w:rPr>
                <w:sz w:val="22"/>
                <w:szCs w:val="22"/>
              </w:rPr>
            </w:pPr>
            <w:r w:rsidRPr="00215EC5">
              <w:rPr>
                <w:sz w:val="22"/>
                <w:szCs w:val="22"/>
              </w:rPr>
              <w:t>Boadi et al. (2023)</w:t>
            </w:r>
          </w:p>
        </w:tc>
        <w:tc>
          <w:tcPr>
            <w:tcW w:w="0" w:type="auto"/>
            <w:hideMark/>
          </w:tcPr>
          <w:p w14:paraId="507ACB03" w14:textId="77777777" w:rsidR="002C7345" w:rsidRPr="00215EC5" w:rsidRDefault="002C7345" w:rsidP="003D6A9C">
            <w:pPr>
              <w:jc w:val="both"/>
              <w:rPr>
                <w:sz w:val="22"/>
                <w:szCs w:val="22"/>
              </w:rPr>
            </w:pPr>
            <w:r w:rsidRPr="00215EC5">
              <w:rPr>
                <w:sz w:val="22"/>
                <w:szCs w:val="22"/>
              </w:rPr>
              <w:t>Place-Based Education</w:t>
            </w:r>
          </w:p>
        </w:tc>
        <w:tc>
          <w:tcPr>
            <w:tcW w:w="0" w:type="auto"/>
            <w:hideMark/>
          </w:tcPr>
          <w:p w14:paraId="11CB2508" w14:textId="77777777" w:rsidR="002C7345" w:rsidRPr="00215EC5" w:rsidRDefault="002C7345" w:rsidP="003D6A9C">
            <w:pPr>
              <w:jc w:val="both"/>
              <w:rPr>
                <w:sz w:val="22"/>
                <w:szCs w:val="22"/>
              </w:rPr>
            </w:pPr>
            <w:r w:rsidRPr="00215EC5">
              <w:rPr>
                <w:sz w:val="22"/>
                <w:szCs w:val="22"/>
              </w:rPr>
              <w:t>Land-Based Learning</w:t>
            </w:r>
          </w:p>
        </w:tc>
        <w:tc>
          <w:tcPr>
            <w:tcW w:w="0" w:type="auto"/>
            <w:hideMark/>
          </w:tcPr>
          <w:p w14:paraId="39586FCF" w14:textId="77777777" w:rsidR="002C7345" w:rsidRPr="00215EC5" w:rsidRDefault="002C7345" w:rsidP="003D6A9C">
            <w:pPr>
              <w:jc w:val="both"/>
              <w:rPr>
                <w:sz w:val="22"/>
                <w:szCs w:val="22"/>
              </w:rPr>
            </w:pPr>
            <w:r w:rsidRPr="00215EC5">
              <w:rPr>
                <w:sz w:val="22"/>
                <w:szCs w:val="22"/>
              </w:rPr>
              <w:t>Rural indigenous schooling</w:t>
            </w:r>
          </w:p>
        </w:tc>
        <w:tc>
          <w:tcPr>
            <w:tcW w:w="0" w:type="auto"/>
            <w:hideMark/>
          </w:tcPr>
          <w:p w14:paraId="10C6321E" w14:textId="77777777" w:rsidR="002C7345" w:rsidRPr="00215EC5" w:rsidRDefault="002C7345" w:rsidP="003D6A9C">
            <w:pPr>
              <w:jc w:val="both"/>
              <w:rPr>
                <w:sz w:val="22"/>
                <w:szCs w:val="22"/>
              </w:rPr>
            </w:pPr>
            <w:r w:rsidRPr="00215EC5">
              <w:rPr>
                <w:sz w:val="22"/>
                <w:szCs w:val="22"/>
              </w:rPr>
              <w:t>Contextual learning deepens relevance</w:t>
            </w:r>
          </w:p>
        </w:tc>
      </w:tr>
      <w:tr w:rsidR="002C7345" w:rsidRPr="00215EC5" w14:paraId="68BF9282" w14:textId="77777777" w:rsidTr="005830DB">
        <w:tc>
          <w:tcPr>
            <w:tcW w:w="0" w:type="auto"/>
            <w:hideMark/>
          </w:tcPr>
          <w:p w14:paraId="4A1FA29E" w14:textId="77777777" w:rsidR="002C7345" w:rsidRPr="00215EC5" w:rsidRDefault="002C7345" w:rsidP="003D6A9C">
            <w:pPr>
              <w:jc w:val="both"/>
              <w:rPr>
                <w:sz w:val="22"/>
                <w:szCs w:val="22"/>
              </w:rPr>
            </w:pPr>
            <w:r w:rsidRPr="00215EC5">
              <w:rPr>
                <w:sz w:val="22"/>
                <w:szCs w:val="22"/>
              </w:rPr>
              <w:t>9</w:t>
            </w:r>
          </w:p>
        </w:tc>
        <w:tc>
          <w:tcPr>
            <w:tcW w:w="0" w:type="auto"/>
            <w:hideMark/>
          </w:tcPr>
          <w:p w14:paraId="3AAE5600" w14:textId="77777777" w:rsidR="002C7345" w:rsidRPr="00215EC5" w:rsidRDefault="002C7345" w:rsidP="003D6A9C">
            <w:pPr>
              <w:rPr>
                <w:sz w:val="22"/>
                <w:szCs w:val="22"/>
              </w:rPr>
            </w:pPr>
            <w:r w:rsidRPr="00215EC5">
              <w:rPr>
                <w:sz w:val="22"/>
                <w:szCs w:val="22"/>
              </w:rPr>
              <w:t>Makwa (2021)</w:t>
            </w:r>
          </w:p>
        </w:tc>
        <w:tc>
          <w:tcPr>
            <w:tcW w:w="0" w:type="auto"/>
            <w:hideMark/>
          </w:tcPr>
          <w:p w14:paraId="4D26063B" w14:textId="77777777" w:rsidR="002C7345" w:rsidRPr="00215EC5" w:rsidRDefault="002C7345" w:rsidP="003D6A9C">
            <w:pPr>
              <w:jc w:val="both"/>
              <w:rPr>
                <w:sz w:val="22"/>
                <w:szCs w:val="22"/>
              </w:rPr>
            </w:pPr>
            <w:r w:rsidRPr="00215EC5">
              <w:rPr>
                <w:sz w:val="22"/>
                <w:szCs w:val="22"/>
              </w:rPr>
              <w:t>Indigenous Ecopedagogy</w:t>
            </w:r>
          </w:p>
        </w:tc>
        <w:tc>
          <w:tcPr>
            <w:tcW w:w="0" w:type="auto"/>
            <w:hideMark/>
          </w:tcPr>
          <w:p w14:paraId="46C9E32B" w14:textId="77777777" w:rsidR="002C7345" w:rsidRPr="00215EC5" w:rsidRDefault="002C7345" w:rsidP="003D6A9C">
            <w:pPr>
              <w:jc w:val="both"/>
              <w:rPr>
                <w:sz w:val="22"/>
                <w:szCs w:val="22"/>
              </w:rPr>
            </w:pPr>
            <w:r w:rsidRPr="00215EC5">
              <w:rPr>
                <w:sz w:val="22"/>
                <w:szCs w:val="22"/>
              </w:rPr>
              <w:t>Experiential Immersion</w:t>
            </w:r>
          </w:p>
        </w:tc>
        <w:tc>
          <w:tcPr>
            <w:tcW w:w="0" w:type="auto"/>
            <w:hideMark/>
          </w:tcPr>
          <w:p w14:paraId="4A1CCB60" w14:textId="77777777" w:rsidR="002C7345" w:rsidRPr="00215EC5" w:rsidRDefault="002C7345" w:rsidP="003D6A9C">
            <w:pPr>
              <w:jc w:val="both"/>
              <w:rPr>
                <w:sz w:val="22"/>
                <w:szCs w:val="22"/>
              </w:rPr>
            </w:pPr>
            <w:r w:rsidRPr="00215EC5">
              <w:rPr>
                <w:sz w:val="22"/>
                <w:szCs w:val="22"/>
              </w:rPr>
              <w:t>Youth resilience education</w:t>
            </w:r>
          </w:p>
        </w:tc>
        <w:tc>
          <w:tcPr>
            <w:tcW w:w="0" w:type="auto"/>
            <w:hideMark/>
          </w:tcPr>
          <w:p w14:paraId="4DB30B26" w14:textId="77777777" w:rsidR="002C7345" w:rsidRPr="00215EC5" w:rsidRDefault="002C7345" w:rsidP="003D6A9C">
            <w:pPr>
              <w:jc w:val="both"/>
              <w:rPr>
                <w:sz w:val="22"/>
                <w:szCs w:val="22"/>
              </w:rPr>
            </w:pPr>
            <w:r w:rsidRPr="00215EC5">
              <w:rPr>
                <w:sz w:val="22"/>
                <w:szCs w:val="22"/>
              </w:rPr>
              <w:t>Connection to land builds resilience and economic identity</w:t>
            </w:r>
          </w:p>
        </w:tc>
      </w:tr>
      <w:tr w:rsidR="002C7345" w:rsidRPr="00215EC5" w14:paraId="165D64DF" w14:textId="77777777" w:rsidTr="005830DB">
        <w:tc>
          <w:tcPr>
            <w:tcW w:w="0" w:type="auto"/>
            <w:hideMark/>
          </w:tcPr>
          <w:p w14:paraId="18648009" w14:textId="77777777" w:rsidR="002C7345" w:rsidRPr="00215EC5" w:rsidRDefault="002C7345" w:rsidP="003D6A9C">
            <w:pPr>
              <w:jc w:val="both"/>
              <w:rPr>
                <w:sz w:val="22"/>
                <w:szCs w:val="22"/>
              </w:rPr>
            </w:pPr>
            <w:r w:rsidRPr="00215EC5">
              <w:rPr>
                <w:sz w:val="22"/>
                <w:szCs w:val="22"/>
              </w:rPr>
              <w:lastRenderedPageBreak/>
              <w:t>10</w:t>
            </w:r>
          </w:p>
        </w:tc>
        <w:tc>
          <w:tcPr>
            <w:tcW w:w="0" w:type="auto"/>
            <w:hideMark/>
          </w:tcPr>
          <w:p w14:paraId="6290A7F1" w14:textId="77777777" w:rsidR="002C7345" w:rsidRPr="00215EC5" w:rsidRDefault="002C7345" w:rsidP="003D6A9C">
            <w:pPr>
              <w:rPr>
                <w:sz w:val="22"/>
                <w:szCs w:val="22"/>
              </w:rPr>
            </w:pPr>
            <w:r w:rsidRPr="00215EC5">
              <w:rPr>
                <w:sz w:val="22"/>
                <w:szCs w:val="22"/>
              </w:rPr>
              <w:t>Burm et al. (2022)</w:t>
            </w:r>
          </w:p>
        </w:tc>
        <w:tc>
          <w:tcPr>
            <w:tcW w:w="0" w:type="auto"/>
            <w:hideMark/>
          </w:tcPr>
          <w:p w14:paraId="6287BE1D" w14:textId="77777777" w:rsidR="002C7345" w:rsidRPr="00215EC5" w:rsidRDefault="002C7345" w:rsidP="003D6A9C">
            <w:pPr>
              <w:jc w:val="both"/>
              <w:rPr>
                <w:sz w:val="22"/>
                <w:szCs w:val="22"/>
              </w:rPr>
            </w:pPr>
            <w:r w:rsidRPr="00215EC5">
              <w:rPr>
                <w:sz w:val="22"/>
                <w:szCs w:val="22"/>
              </w:rPr>
              <w:t>Indigenous Empowerment Theory</w:t>
            </w:r>
          </w:p>
        </w:tc>
        <w:tc>
          <w:tcPr>
            <w:tcW w:w="0" w:type="auto"/>
            <w:hideMark/>
          </w:tcPr>
          <w:p w14:paraId="0C953827" w14:textId="77777777" w:rsidR="002C7345" w:rsidRPr="00215EC5" w:rsidRDefault="002C7345" w:rsidP="003D6A9C">
            <w:pPr>
              <w:jc w:val="both"/>
              <w:rPr>
                <w:sz w:val="22"/>
                <w:szCs w:val="22"/>
              </w:rPr>
            </w:pPr>
            <w:r w:rsidRPr="00215EC5">
              <w:rPr>
                <w:sz w:val="22"/>
                <w:szCs w:val="22"/>
              </w:rPr>
              <w:t>Program Evaluation and Reflection</w:t>
            </w:r>
          </w:p>
        </w:tc>
        <w:tc>
          <w:tcPr>
            <w:tcW w:w="0" w:type="auto"/>
            <w:hideMark/>
          </w:tcPr>
          <w:p w14:paraId="5397ECEF" w14:textId="77777777" w:rsidR="002C7345" w:rsidRPr="00215EC5" w:rsidRDefault="002C7345" w:rsidP="003D6A9C">
            <w:pPr>
              <w:jc w:val="both"/>
              <w:rPr>
                <w:sz w:val="22"/>
                <w:szCs w:val="22"/>
              </w:rPr>
            </w:pPr>
            <w:r w:rsidRPr="00215EC5">
              <w:rPr>
                <w:sz w:val="22"/>
                <w:szCs w:val="22"/>
              </w:rPr>
              <w:t>Secondary education programs</w:t>
            </w:r>
          </w:p>
        </w:tc>
        <w:tc>
          <w:tcPr>
            <w:tcW w:w="0" w:type="auto"/>
            <w:hideMark/>
          </w:tcPr>
          <w:p w14:paraId="06697295" w14:textId="77777777" w:rsidR="002C7345" w:rsidRPr="00215EC5" w:rsidRDefault="002C7345" w:rsidP="003D6A9C">
            <w:pPr>
              <w:jc w:val="both"/>
              <w:rPr>
                <w:sz w:val="22"/>
                <w:szCs w:val="22"/>
              </w:rPr>
            </w:pPr>
            <w:r w:rsidRPr="00215EC5">
              <w:rPr>
                <w:sz w:val="22"/>
                <w:szCs w:val="22"/>
              </w:rPr>
              <w:t>Continuous feedback enhances cultural responsiveness</w:t>
            </w:r>
          </w:p>
        </w:tc>
      </w:tr>
      <w:tr w:rsidR="002C7345" w:rsidRPr="00215EC5" w14:paraId="3C06E916" w14:textId="77777777" w:rsidTr="005830DB">
        <w:tc>
          <w:tcPr>
            <w:tcW w:w="0" w:type="auto"/>
            <w:hideMark/>
          </w:tcPr>
          <w:p w14:paraId="17F36EF8" w14:textId="77777777" w:rsidR="002C7345" w:rsidRPr="00215EC5" w:rsidRDefault="002C7345" w:rsidP="003D6A9C">
            <w:pPr>
              <w:jc w:val="both"/>
              <w:rPr>
                <w:sz w:val="22"/>
                <w:szCs w:val="22"/>
              </w:rPr>
            </w:pPr>
            <w:r w:rsidRPr="00215EC5">
              <w:rPr>
                <w:sz w:val="22"/>
                <w:szCs w:val="22"/>
              </w:rPr>
              <w:t>11</w:t>
            </w:r>
          </w:p>
        </w:tc>
        <w:tc>
          <w:tcPr>
            <w:tcW w:w="0" w:type="auto"/>
            <w:hideMark/>
          </w:tcPr>
          <w:p w14:paraId="70F4DD28" w14:textId="77777777" w:rsidR="002C7345" w:rsidRPr="00215EC5" w:rsidRDefault="002C7345" w:rsidP="003D6A9C">
            <w:pPr>
              <w:rPr>
                <w:sz w:val="22"/>
                <w:szCs w:val="22"/>
              </w:rPr>
            </w:pPr>
            <w:r w:rsidRPr="00215EC5">
              <w:rPr>
                <w:sz w:val="22"/>
                <w:szCs w:val="22"/>
              </w:rPr>
              <w:t>Monkman &amp; Limoges (2023)</w:t>
            </w:r>
          </w:p>
        </w:tc>
        <w:tc>
          <w:tcPr>
            <w:tcW w:w="0" w:type="auto"/>
            <w:hideMark/>
          </w:tcPr>
          <w:p w14:paraId="7CD54927" w14:textId="77777777" w:rsidR="002C7345" w:rsidRPr="00215EC5" w:rsidRDefault="002C7345" w:rsidP="003D6A9C">
            <w:pPr>
              <w:jc w:val="both"/>
              <w:rPr>
                <w:sz w:val="22"/>
                <w:szCs w:val="22"/>
              </w:rPr>
            </w:pPr>
            <w:r w:rsidRPr="00215EC5">
              <w:rPr>
                <w:sz w:val="22"/>
                <w:szCs w:val="22"/>
              </w:rPr>
              <w:t>Two-Eyed Seeing</w:t>
            </w:r>
          </w:p>
        </w:tc>
        <w:tc>
          <w:tcPr>
            <w:tcW w:w="0" w:type="auto"/>
            <w:hideMark/>
          </w:tcPr>
          <w:p w14:paraId="1D646684" w14:textId="77777777" w:rsidR="002C7345" w:rsidRPr="00215EC5" w:rsidRDefault="002C7345" w:rsidP="003D6A9C">
            <w:pPr>
              <w:jc w:val="both"/>
              <w:rPr>
                <w:sz w:val="22"/>
                <w:szCs w:val="22"/>
              </w:rPr>
            </w:pPr>
            <w:r w:rsidRPr="00215EC5">
              <w:rPr>
                <w:sz w:val="22"/>
                <w:szCs w:val="22"/>
              </w:rPr>
              <w:t>Integrative Participatory Design</w:t>
            </w:r>
          </w:p>
        </w:tc>
        <w:tc>
          <w:tcPr>
            <w:tcW w:w="0" w:type="auto"/>
            <w:hideMark/>
          </w:tcPr>
          <w:p w14:paraId="2FBD877B" w14:textId="77777777" w:rsidR="002C7345" w:rsidRPr="00215EC5" w:rsidRDefault="002C7345" w:rsidP="003D6A9C">
            <w:pPr>
              <w:jc w:val="both"/>
              <w:rPr>
                <w:sz w:val="22"/>
                <w:szCs w:val="22"/>
              </w:rPr>
            </w:pPr>
            <w:r w:rsidRPr="00215EC5">
              <w:rPr>
                <w:sz w:val="22"/>
                <w:szCs w:val="22"/>
              </w:rPr>
              <w:t>Economic capacity building</w:t>
            </w:r>
          </w:p>
        </w:tc>
        <w:tc>
          <w:tcPr>
            <w:tcW w:w="0" w:type="auto"/>
            <w:hideMark/>
          </w:tcPr>
          <w:p w14:paraId="15035600" w14:textId="77777777" w:rsidR="002C7345" w:rsidRPr="00215EC5" w:rsidRDefault="002C7345" w:rsidP="003D6A9C">
            <w:pPr>
              <w:jc w:val="both"/>
              <w:rPr>
                <w:sz w:val="22"/>
                <w:szCs w:val="22"/>
              </w:rPr>
            </w:pPr>
            <w:r w:rsidRPr="00215EC5">
              <w:rPr>
                <w:sz w:val="22"/>
                <w:szCs w:val="22"/>
              </w:rPr>
              <w:t>Inclusion of elders strengthens curriculum legitimacy</w:t>
            </w:r>
          </w:p>
        </w:tc>
      </w:tr>
      <w:tr w:rsidR="002C7345" w:rsidRPr="00215EC5" w14:paraId="61CBD265" w14:textId="77777777" w:rsidTr="005830DB">
        <w:tc>
          <w:tcPr>
            <w:tcW w:w="0" w:type="auto"/>
            <w:hideMark/>
          </w:tcPr>
          <w:p w14:paraId="7028B579" w14:textId="77777777" w:rsidR="002C7345" w:rsidRPr="00215EC5" w:rsidRDefault="002C7345" w:rsidP="003D6A9C">
            <w:pPr>
              <w:jc w:val="both"/>
              <w:rPr>
                <w:sz w:val="22"/>
                <w:szCs w:val="22"/>
              </w:rPr>
            </w:pPr>
            <w:r w:rsidRPr="00215EC5">
              <w:rPr>
                <w:sz w:val="22"/>
                <w:szCs w:val="22"/>
              </w:rPr>
              <w:t>12</w:t>
            </w:r>
          </w:p>
        </w:tc>
        <w:tc>
          <w:tcPr>
            <w:tcW w:w="0" w:type="auto"/>
            <w:hideMark/>
          </w:tcPr>
          <w:p w14:paraId="64C6E3E8" w14:textId="77777777" w:rsidR="002C7345" w:rsidRPr="00215EC5" w:rsidRDefault="002C7345" w:rsidP="003D6A9C">
            <w:pPr>
              <w:rPr>
                <w:sz w:val="22"/>
                <w:szCs w:val="22"/>
              </w:rPr>
            </w:pPr>
            <w:r w:rsidRPr="00215EC5">
              <w:rPr>
                <w:sz w:val="22"/>
                <w:szCs w:val="22"/>
              </w:rPr>
              <w:t>Horta (2021)</w:t>
            </w:r>
          </w:p>
        </w:tc>
        <w:tc>
          <w:tcPr>
            <w:tcW w:w="0" w:type="auto"/>
            <w:hideMark/>
          </w:tcPr>
          <w:p w14:paraId="3D222C59" w14:textId="77777777" w:rsidR="002C7345" w:rsidRPr="00215EC5" w:rsidRDefault="002C7345" w:rsidP="003D6A9C">
            <w:pPr>
              <w:jc w:val="both"/>
              <w:rPr>
                <w:sz w:val="22"/>
                <w:szCs w:val="22"/>
              </w:rPr>
            </w:pPr>
            <w:r w:rsidRPr="00215EC5">
              <w:rPr>
                <w:sz w:val="22"/>
                <w:szCs w:val="22"/>
              </w:rPr>
              <w:t>Transformative Learning</w:t>
            </w:r>
          </w:p>
        </w:tc>
        <w:tc>
          <w:tcPr>
            <w:tcW w:w="0" w:type="auto"/>
            <w:hideMark/>
          </w:tcPr>
          <w:p w14:paraId="630C2FD7" w14:textId="77777777" w:rsidR="002C7345" w:rsidRPr="00215EC5" w:rsidRDefault="002C7345" w:rsidP="003D6A9C">
            <w:pPr>
              <w:jc w:val="both"/>
              <w:rPr>
                <w:sz w:val="22"/>
                <w:szCs w:val="22"/>
              </w:rPr>
            </w:pPr>
            <w:r w:rsidRPr="00215EC5">
              <w:rPr>
                <w:sz w:val="22"/>
                <w:szCs w:val="22"/>
              </w:rPr>
              <w:t>Action-Oriented Ethnography</w:t>
            </w:r>
          </w:p>
        </w:tc>
        <w:tc>
          <w:tcPr>
            <w:tcW w:w="0" w:type="auto"/>
            <w:hideMark/>
          </w:tcPr>
          <w:p w14:paraId="65943F51" w14:textId="77777777" w:rsidR="002C7345" w:rsidRPr="00215EC5" w:rsidRDefault="002C7345" w:rsidP="003D6A9C">
            <w:pPr>
              <w:jc w:val="both"/>
              <w:rPr>
                <w:sz w:val="22"/>
                <w:szCs w:val="22"/>
              </w:rPr>
            </w:pPr>
            <w:r w:rsidRPr="00215EC5">
              <w:rPr>
                <w:sz w:val="22"/>
                <w:szCs w:val="22"/>
              </w:rPr>
              <w:t>Adult indigenous education</w:t>
            </w:r>
          </w:p>
        </w:tc>
        <w:tc>
          <w:tcPr>
            <w:tcW w:w="0" w:type="auto"/>
            <w:hideMark/>
          </w:tcPr>
          <w:p w14:paraId="034DFC11" w14:textId="77777777" w:rsidR="002C7345" w:rsidRPr="00215EC5" w:rsidRDefault="002C7345" w:rsidP="003D6A9C">
            <w:pPr>
              <w:jc w:val="both"/>
              <w:rPr>
                <w:sz w:val="22"/>
                <w:szCs w:val="22"/>
              </w:rPr>
            </w:pPr>
            <w:r w:rsidRPr="00215EC5">
              <w:rPr>
                <w:sz w:val="22"/>
                <w:szCs w:val="22"/>
              </w:rPr>
              <w:t>Community-driven planning improves learning ownership</w:t>
            </w:r>
          </w:p>
        </w:tc>
      </w:tr>
    </w:tbl>
    <w:p w14:paraId="26A1058E" w14:textId="77777777" w:rsidR="002C7345" w:rsidRPr="00215EC5" w:rsidRDefault="002C7345" w:rsidP="00215EC5">
      <w:pPr>
        <w:spacing w:line="480" w:lineRule="auto"/>
        <w:jc w:val="both"/>
        <w:rPr>
          <w:sz w:val="22"/>
          <w:szCs w:val="22"/>
        </w:rPr>
      </w:pPr>
    </w:p>
    <w:p w14:paraId="63534BB3" w14:textId="05E4691C" w:rsidR="002C7345" w:rsidRPr="00215EC5" w:rsidRDefault="002C7345" w:rsidP="00215EC5">
      <w:pPr>
        <w:spacing w:line="480" w:lineRule="auto"/>
        <w:ind w:firstLine="567"/>
        <w:jc w:val="both"/>
        <w:rPr>
          <w:sz w:val="22"/>
          <w:szCs w:val="22"/>
        </w:rPr>
      </w:pPr>
      <w:r w:rsidRPr="00215EC5">
        <w:rPr>
          <w:sz w:val="22"/>
          <w:szCs w:val="22"/>
        </w:rPr>
        <w:t>Beyond theory-method alignment, the review identifies an overarching conceptual structure that binds these diverse efforts. Drawing from Windchief &amp; Cummins (2021), Peters-Mosquera et al. (2023), and Monkman &amp; Limoges (2023), the Indigenous Institutional Theory provides a unifying lens through which education systems are reimagined as culturally situated institutions, not merely service providers, but active agents of transformation.</w:t>
      </w:r>
    </w:p>
    <w:p w14:paraId="0D8C0F29" w14:textId="14152157" w:rsidR="002C7345" w:rsidRPr="00215EC5" w:rsidRDefault="002C7345" w:rsidP="00215EC5">
      <w:pPr>
        <w:spacing w:line="480" w:lineRule="auto"/>
        <w:ind w:firstLine="567"/>
        <w:jc w:val="both"/>
        <w:rPr>
          <w:sz w:val="22"/>
          <w:szCs w:val="22"/>
        </w:rPr>
      </w:pPr>
      <w:r w:rsidRPr="00215EC5">
        <w:rPr>
          <w:sz w:val="22"/>
          <w:szCs w:val="22"/>
        </w:rPr>
        <w:t xml:space="preserve">Figure </w:t>
      </w:r>
      <w:r w:rsidR="005830DB" w:rsidRPr="00215EC5">
        <w:rPr>
          <w:sz w:val="22"/>
          <w:szCs w:val="22"/>
        </w:rPr>
        <w:t>3</w:t>
      </w:r>
      <w:r w:rsidRPr="00215EC5">
        <w:rPr>
          <w:sz w:val="22"/>
          <w:szCs w:val="22"/>
        </w:rPr>
        <w:t xml:space="preserve"> illustrates this framework, depicting three mutually reinforcing domains: (1) Cultural structures and values, (2) Community voice and governance, and (3) Land-based learning and praxis. These components are central to the co-creation of inclusive economic learning pathways that affirm indigenous identity and enhance collective agency.</w:t>
      </w:r>
    </w:p>
    <w:p w14:paraId="1C82E1B6" w14:textId="77777777" w:rsidR="000C0C7C" w:rsidRPr="00215EC5" w:rsidRDefault="000C0C7C" w:rsidP="00215EC5">
      <w:pPr>
        <w:spacing w:line="480" w:lineRule="auto"/>
        <w:ind w:firstLine="567"/>
        <w:jc w:val="both"/>
        <w:rPr>
          <w:sz w:val="22"/>
          <w:szCs w:val="22"/>
        </w:rPr>
      </w:pPr>
    </w:p>
    <w:p w14:paraId="744856A4" w14:textId="6A1D9521" w:rsidR="002C7345" w:rsidRPr="00215EC5" w:rsidRDefault="002C7345" w:rsidP="00215EC5">
      <w:pPr>
        <w:spacing w:line="480" w:lineRule="auto"/>
        <w:jc w:val="center"/>
        <w:rPr>
          <w:sz w:val="22"/>
          <w:szCs w:val="22"/>
        </w:rPr>
      </w:pPr>
      <w:r w:rsidRPr="00215EC5">
        <w:rPr>
          <w:noProof/>
          <w:sz w:val="22"/>
          <w:szCs w:val="22"/>
          <w14:ligatures w14:val="standardContextual"/>
        </w:rPr>
        <w:drawing>
          <wp:inline distT="0" distB="0" distL="0" distR="0" wp14:anchorId="0BEEF30D" wp14:editId="4ADEEC4C">
            <wp:extent cx="4201884" cy="2436176"/>
            <wp:effectExtent l="0" t="0" r="1905" b="2540"/>
            <wp:docPr id="166325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5362" name="Picture 1663255362"/>
                    <pic:cNvPicPr/>
                  </pic:nvPicPr>
                  <pic:blipFill rotWithShape="1">
                    <a:blip r:embed="rId10" cstate="print">
                      <a:extLst>
                        <a:ext uri="{28A0092B-C50C-407E-A947-70E740481C1C}">
                          <a14:useLocalDpi xmlns:a14="http://schemas.microsoft.com/office/drawing/2010/main" val="0"/>
                        </a:ext>
                      </a:extLst>
                    </a:blip>
                    <a:srcRect l="4543" t="-874" r="5474" b="22614"/>
                    <a:stretch/>
                  </pic:blipFill>
                  <pic:spPr bwMode="auto">
                    <a:xfrm>
                      <a:off x="0" y="0"/>
                      <a:ext cx="4224918" cy="2449531"/>
                    </a:xfrm>
                    <a:prstGeom prst="rect">
                      <a:avLst/>
                    </a:prstGeom>
                    <a:ln>
                      <a:noFill/>
                    </a:ln>
                    <a:extLst>
                      <a:ext uri="{53640926-AAD7-44D8-BBD7-CCE9431645EC}">
                        <a14:shadowObscured xmlns:a14="http://schemas.microsoft.com/office/drawing/2010/main"/>
                      </a:ext>
                    </a:extLst>
                  </pic:spPr>
                </pic:pic>
              </a:graphicData>
            </a:graphic>
          </wp:inline>
        </w:drawing>
      </w:r>
    </w:p>
    <w:p w14:paraId="512E5868" w14:textId="5D1756D3" w:rsidR="002C7345" w:rsidRPr="00B75949" w:rsidRDefault="002C7345" w:rsidP="00B75949">
      <w:pPr>
        <w:spacing w:line="480" w:lineRule="auto"/>
        <w:jc w:val="center"/>
        <w:rPr>
          <w:b/>
          <w:bCs/>
          <w:sz w:val="22"/>
          <w:szCs w:val="22"/>
        </w:rPr>
      </w:pPr>
      <w:r w:rsidRPr="00B75949">
        <w:rPr>
          <w:b/>
          <w:bCs/>
          <w:sz w:val="22"/>
          <w:szCs w:val="22"/>
        </w:rPr>
        <w:t xml:space="preserve">Figure </w:t>
      </w:r>
      <w:r w:rsidR="005830DB" w:rsidRPr="00B75949">
        <w:rPr>
          <w:b/>
          <w:bCs/>
          <w:sz w:val="22"/>
          <w:szCs w:val="22"/>
        </w:rPr>
        <w:t>3</w:t>
      </w:r>
      <w:r w:rsidRPr="00B75949">
        <w:rPr>
          <w:b/>
          <w:bCs/>
          <w:sz w:val="22"/>
          <w:szCs w:val="22"/>
        </w:rPr>
        <w:t>. Conceptual framework of Indigenous Institutional Theory in economic education</w:t>
      </w:r>
    </w:p>
    <w:p w14:paraId="380E488A" w14:textId="77777777" w:rsidR="002C7345" w:rsidRPr="00215EC5" w:rsidRDefault="002C7345" w:rsidP="00215EC5">
      <w:pPr>
        <w:spacing w:line="480" w:lineRule="auto"/>
        <w:jc w:val="both"/>
        <w:rPr>
          <w:sz w:val="22"/>
          <w:szCs w:val="22"/>
        </w:rPr>
      </w:pPr>
    </w:p>
    <w:p w14:paraId="7A0276AD" w14:textId="77777777" w:rsidR="002C7345" w:rsidRPr="00215EC5" w:rsidRDefault="002C7345" w:rsidP="00215EC5">
      <w:pPr>
        <w:spacing w:line="480" w:lineRule="auto"/>
        <w:ind w:firstLine="567"/>
        <w:jc w:val="both"/>
        <w:rPr>
          <w:sz w:val="22"/>
          <w:szCs w:val="22"/>
        </w:rPr>
      </w:pPr>
      <w:r w:rsidRPr="00215EC5">
        <w:rPr>
          <w:sz w:val="22"/>
          <w:szCs w:val="22"/>
        </w:rPr>
        <w:lastRenderedPageBreak/>
        <w:t>The model underscores that effective indigenous education for economic empowerment cannot be divorced from place, heritage, or spiritual meaning. Instead, it must emerge through dialogue between indigenous and formal systems, where mutual respect and structural flexibility are paramount. This supports the call for educational justice that simultaneously honors ancestral epistemologies and equips learners with tools to thrive in complex economies.</w:t>
      </w:r>
    </w:p>
    <w:p w14:paraId="77B93997" w14:textId="17E34CC5" w:rsidR="00514978" w:rsidRPr="00215EC5" w:rsidRDefault="002C7345" w:rsidP="00215EC5">
      <w:pPr>
        <w:spacing w:line="480" w:lineRule="auto"/>
        <w:ind w:firstLine="567"/>
        <w:jc w:val="both"/>
        <w:rPr>
          <w:sz w:val="22"/>
          <w:szCs w:val="22"/>
        </w:rPr>
      </w:pPr>
      <w:r w:rsidRPr="00215EC5">
        <w:rPr>
          <w:sz w:val="22"/>
          <w:szCs w:val="22"/>
        </w:rPr>
        <w:t>Taken together, these findings indicate a paradigmatic shift in both theory and practice, from extractive to generative models of education. Indigenous education is no longer positioned at the periphery, but as a catalyst for sustainable, inclusive, and pluralistic economic futures, built upon knowledge systems that have withstood centuries of marginalization.</w:t>
      </w:r>
    </w:p>
    <w:p w14:paraId="3102BC12" w14:textId="77777777" w:rsidR="00264AA5" w:rsidRPr="00215EC5" w:rsidRDefault="00264AA5" w:rsidP="00215EC5">
      <w:pPr>
        <w:spacing w:line="480" w:lineRule="auto"/>
        <w:jc w:val="both"/>
        <w:rPr>
          <w:sz w:val="22"/>
          <w:szCs w:val="22"/>
        </w:rPr>
      </w:pPr>
    </w:p>
    <w:p w14:paraId="4DFDD03D" w14:textId="0DA75853" w:rsidR="005830DB" w:rsidRPr="00215EC5" w:rsidRDefault="00264AA5" w:rsidP="002D6AC9">
      <w:pPr>
        <w:pStyle w:val="ListParagraph"/>
        <w:numPr>
          <w:ilvl w:val="0"/>
          <w:numId w:val="33"/>
        </w:numPr>
        <w:spacing w:line="480" w:lineRule="auto"/>
        <w:ind w:left="284" w:hanging="284"/>
        <w:jc w:val="both"/>
        <w:rPr>
          <w:b/>
          <w:bCs/>
          <w:sz w:val="22"/>
          <w:szCs w:val="22"/>
        </w:rPr>
      </w:pPr>
      <w:r w:rsidRPr="00215EC5">
        <w:rPr>
          <w:b/>
          <w:bCs/>
          <w:sz w:val="22"/>
          <w:szCs w:val="22"/>
        </w:rPr>
        <w:t>DISCUSSION</w:t>
      </w:r>
    </w:p>
    <w:p w14:paraId="1D2A9DA9" w14:textId="77777777" w:rsidR="005830DB" w:rsidRPr="00215EC5" w:rsidRDefault="005830DB" w:rsidP="00215EC5">
      <w:pPr>
        <w:spacing w:line="480" w:lineRule="auto"/>
        <w:ind w:firstLine="567"/>
        <w:jc w:val="both"/>
        <w:rPr>
          <w:sz w:val="22"/>
          <w:szCs w:val="22"/>
        </w:rPr>
      </w:pPr>
      <w:r w:rsidRPr="00215EC5">
        <w:rPr>
          <w:sz w:val="22"/>
          <w:szCs w:val="22"/>
        </w:rPr>
        <w:t>This discussion synthesizes the findings from 60 empirical studies to address the two main research objectives: (1) to critically analyze how indigenous schools contribute to economic empowerment through traditional knowledge and livelihood education, and (2) to examine the dominant theoretical and methodological foundations employed in this field of inquiry.</w:t>
      </w:r>
    </w:p>
    <w:p w14:paraId="06EF2CA6" w14:textId="19B9FA01" w:rsidR="005830DB" w:rsidRPr="00215EC5" w:rsidRDefault="005830DB" w:rsidP="00215EC5">
      <w:pPr>
        <w:spacing w:line="480" w:lineRule="auto"/>
        <w:jc w:val="both"/>
        <w:rPr>
          <w:b/>
          <w:bCs/>
          <w:sz w:val="22"/>
          <w:szCs w:val="22"/>
        </w:rPr>
      </w:pPr>
      <w:r w:rsidRPr="00215EC5">
        <w:rPr>
          <w:b/>
          <w:bCs/>
          <w:sz w:val="22"/>
          <w:szCs w:val="22"/>
        </w:rPr>
        <w:t>4.1</w:t>
      </w:r>
      <w:r w:rsidR="002D6AC9">
        <w:rPr>
          <w:b/>
          <w:bCs/>
          <w:sz w:val="22"/>
          <w:szCs w:val="22"/>
        </w:rPr>
        <w:t>.</w:t>
      </w:r>
      <w:r w:rsidRPr="00215EC5">
        <w:rPr>
          <w:b/>
          <w:bCs/>
          <w:sz w:val="22"/>
          <w:szCs w:val="22"/>
        </w:rPr>
        <w:t xml:space="preserve"> Indigenous Schools and Economic Empowerment</w:t>
      </w:r>
    </w:p>
    <w:p w14:paraId="20907E06" w14:textId="77777777" w:rsidR="005830DB" w:rsidRPr="00215EC5" w:rsidRDefault="005830DB" w:rsidP="00215EC5">
      <w:pPr>
        <w:spacing w:line="480" w:lineRule="auto"/>
        <w:ind w:firstLine="567"/>
        <w:jc w:val="both"/>
        <w:rPr>
          <w:sz w:val="22"/>
          <w:szCs w:val="22"/>
        </w:rPr>
      </w:pPr>
      <w:r w:rsidRPr="00215EC5">
        <w:rPr>
          <w:sz w:val="22"/>
          <w:szCs w:val="22"/>
        </w:rPr>
        <w:t>The evidence reveals that indigenous schools function as cultural institutions that actively transmit traditional knowledge systems while equipping learners with economically relevant skills. Across diverse geographic settings such as Southeast Asia, Latin America, Africa, and Oceania, indigenous schools integrate local wisdom, agricultural knowledge, artisanal practices, and resource stewardship into formal and informal curricula. These elements are not merely cultural artifacts but serve as mechanisms of livelihood resilience and intergenerational economic learning. For instance, studies from the Philippines, Tanzania, and Guatemala document the successful integration of land-based education, herbal medicine, traditional weaving, cooperative farming, and fisheries into educational practices, contributing to sustainable income generation and community self-reliance.</w:t>
      </w:r>
    </w:p>
    <w:p w14:paraId="623F7BFA" w14:textId="77777777" w:rsidR="005830DB" w:rsidRPr="00215EC5" w:rsidRDefault="005830DB" w:rsidP="00215EC5">
      <w:pPr>
        <w:spacing w:line="480" w:lineRule="auto"/>
        <w:ind w:firstLine="567"/>
        <w:jc w:val="both"/>
        <w:rPr>
          <w:sz w:val="22"/>
          <w:szCs w:val="22"/>
        </w:rPr>
      </w:pPr>
      <w:r w:rsidRPr="00215EC5">
        <w:rPr>
          <w:sz w:val="22"/>
          <w:szCs w:val="22"/>
        </w:rPr>
        <w:t xml:space="preserve">Moreover, indigenous schooling models often align with a community-centered logic, in which elders, local leaders, and parents co-participate in curriculum delivery and pedagogical processes. Such involvement reinforces social cohesion and reinforces economic agency by embedding entrepreneurial </w:t>
      </w:r>
      <w:r w:rsidRPr="00215EC5">
        <w:rPr>
          <w:sz w:val="22"/>
          <w:szCs w:val="22"/>
        </w:rPr>
        <w:lastRenderedPageBreak/>
        <w:t>practices within cultural norms. However, the degree of empowerment varies by political context, autonomy of indigenous communities, and external support. Cases from Bolivia and Canada illustrate how state recognition and policy inclusion significantly enhance the transformative potential of indigenous schooling, whereas in contexts of marginalization or extractive development, indigenous schools often face structural constraints.</w:t>
      </w:r>
    </w:p>
    <w:p w14:paraId="1591D78C" w14:textId="77777777" w:rsidR="00514978" w:rsidRPr="00215EC5" w:rsidRDefault="00514978" w:rsidP="00215EC5">
      <w:pPr>
        <w:spacing w:line="480" w:lineRule="auto"/>
        <w:jc w:val="both"/>
        <w:rPr>
          <w:sz w:val="22"/>
          <w:szCs w:val="22"/>
        </w:rPr>
      </w:pPr>
    </w:p>
    <w:p w14:paraId="388410D2" w14:textId="07C962E8" w:rsidR="005830DB" w:rsidRPr="00215EC5" w:rsidRDefault="005830DB" w:rsidP="00215EC5">
      <w:pPr>
        <w:spacing w:line="480" w:lineRule="auto"/>
        <w:jc w:val="both"/>
        <w:rPr>
          <w:b/>
          <w:bCs/>
          <w:sz w:val="22"/>
          <w:szCs w:val="22"/>
        </w:rPr>
      </w:pPr>
      <w:r w:rsidRPr="00215EC5">
        <w:rPr>
          <w:b/>
          <w:bCs/>
          <w:sz w:val="22"/>
          <w:szCs w:val="22"/>
        </w:rPr>
        <w:t>4.2</w:t>
      </w:r>
      <w:r w:rsidR="00346F66">
        <w:rPr>
          <w:b/>
          <w:bCs/>
          <w:sz w:val="22"/>
          <w:szCs w:val="22"/>
        </w:rPr>
        <w:t>.</w:t>
      </w:r>
      <w:r w:rsidRPr="00215EC5">
        <w:rPr>
          <w:b/>
          <w:bCs/>
          <w:sz w:val="22"/>
          <w:szCs w:val="22"/>
        </w:rPr>
        <w:t xml:space="preserve"> Theoretical and Methodological Foundations</w:t>
      </w:r>
    </w:p>
    <w:p w14:paraId="400EC623" w14:textId="77777777" w:rsidR="00346F66" w:rsidRDefault="005830DB" w:rsidP="00346F66">
      <w:pPr>
        <w:spacing w:line="480" w:lineRule="auto"/>
        <w:ind w:firstLine="720"/>
        <w:jc w:val="both"/>
        <w:rPr>
          <w:sz w:val="22"/>
          <w:szCs w:val="22"/>
        </w:rPr>
      </w:pPr>
      <w:r w:rsidRPr="00215EC5">
        <w:rPr>
          <w:sz w:val="22"/>
          <w:szCs w:val="22"/>
        </w:rPr>
        <w:t xml:space="preserve">The review highlights three dominant theoretical traditions shaping indigenous education research: </w:t>
      </w:r>
      <w:proofErr w:type="gramStart"/>
      <w:r w:rsidRPr="00215EC5">
        <w:rPr>
          <w:sz w:val="22"/>
          <w:szCs w:val="22"/>
        </w:rPr>
        <w:t>place based</w:t>
      </w:r>
      <w:proofErr w:type="gramEnd"/>
      <w:r w:rsidRPr="00215EC5">
        <w:rPr>
          <w:sz w:val="22"/>
          <w:szCs w:val="22"/>
        </w:rPr>
        <w:t xml:space="preserve"> education, indigenous epistemology, and culturally responsive pedagogy. These frameworks collectively emphasize the interdependence of culture, environment, and economy in educational experiences. Place based education theory foregrounds the significance of learning rooted in local ecological and cultural landscapes. Indigenous epistemology advocates for knowledge systems derived from oral traditions, spiritual relationships, and communal logic. Meanwhile, culturally responsive pedagogy ensures that instructional practices honor linguistic, cultural, and historical diversity within indigenous learning contexts.</w:t>
      </w:r>
    </w:p>
    <w:p w14:paraId="5A4BC687" w14:textId="7092853F" w:rsidR="005830DB" w:rsidRPr="00215EC5" w:rsidRDefault="005830DB" w:rsidP="00346F66">
      <w:pPr>
        <w:spacing w:line="480" w:lineRule="auto"/>
        <w:ind w:firstLine="720"/>
        <w:jc w:val="both"/>
        <w:rPr>
          <w:sz w:val="22"/>
          <w:szCs w:val="22"/>
        </w:rPr>
      </w:pPr>
      <w:r w:rsidRPr="00215EC5">
        <w:rPr>
          <w:sz w:val="22"/>
          <w:szCs w:val="22"/>
        </w:rPr>
        <w:t>Methodologically, the reviewed literature is dominated by qualitative approaches, particularly ethnography, participatory action research, and case studies. These approaches enable in-depth, context-sensitive exploration of how indigenous knowledge is transmitted, preserved, and adapted in school settings. Quantitative and mixed methods studies, although fewer, contribute significantly through quasi-experimental designs, structured surveys, and SEM to evaluate learning outcomes, economic impacts, and program effectiveness. Notably, the inclusion of community voices, especially through collaborative and co-constructive methods, reflects an ethical commitment to decolonized research paradigms.</w:t>
      </w:r>
    </w:p>
    <w:p w14:paraId="280C0056" w14:textId="77777777" w:rsidR="005830DB" w:rsidRPr="00215EC5" w:rsidRDefault="005830DB" w:rsidP="00215EC5">
      <w:pPr>
        <w:spacing w:line="480" w:lineRule="auto"/>
        <w:ind w:firstLine="567"/>
        <w:jc w:val="both"/>
        <w:rPr>
          <w:sz w:val="22"/>
          <w:szCs w:val="22"/>
        </w:rPr>
      </w:pPr>
      <w:r w:rsidRPr="00215EC5">
        <w:rPr>
          <w:sz w:val="22"/>
          <w:szCs w:val="22"/>
        </w:rPr>
        <w:t xml:space="preserve">The heterogeneity of methods and theories across the reviewed studies illustrates a maturing research landscape that acknowledges the complexity of indigenous education as both a cultural and developmental practice. This integrative understanding contributes not only to educational reform but also to broader discourses on sustainability, equity, and indigenous rights. Therefore, future research should deepen engagement with indigenous philosophies, expand regional coverage, and strengthen </w:t>
      </w:r>
      <w:r w:rsidRPr="00215EC5">
        <w:rPr>
          <w:sz w:val="22"/>
          <w:szCs w:val="22"/>
        </w:rPr>
        <w:lastRenderedPageBreak/>
        <w:t>longitudinal and impact-focused designs to capture long-term economic and educational transformations.</w:t>
      </w:r>
    </w:p>
    <w:p w14:paraId="233D863B" w14:textId="77777777" w:rsidR="00873C37" w:rsidRPr="00215EC5" w:rsidRDefault="00873C37" w:rsidP="00215EC5">
      <w:pPr>
        <w:spacing w:line="480" w:lineRule="auto"/>
        <w:jc w:val="both"/>
        <w:rPr>
          <w:sz w:val="22"/>
          <w:szCs w:val="22"/>
        </w:rPr>
      </w:pPr>
    </w:p>
    <w:p w14:paraId="48485B8E" w14:textId="32174716" w:rsidR="001B2884" w:rsidRPr="00215EC5" w:rsidRDefault="00873C37" w:rsidP="00346F66">
      <w:pPr>
        <w:pStyle w:val="ListParagraph"/>
        <w:numPr>
          <w:ilvl w:val="0"/>
          <w:numId w:val="33"/>
        </w:numPr>
        <w:spacing w:line="480" w:lineRule="auto"/>
        <w:ind w:left="284" w:hanging="284"/>
        <w:jc w:val="both"/>
        <w:rPr>
          <w:b/>
          <w:bCs/>
          <w:sz w:val="22"/>
          <w:szCs w:val="22"/>
        </w:rPr>
      </w:pPr>
      <w:r w:rsidRPr="00215EC5">
        <w:rPr>
          <w:b/>
          <w:bCs/>
          <w:sz w:val="22"/>
          <w:szCs w:val="22"/>
        </w:rPr>
        <w:t>CONCLUSION AND RECOMMENDATIONS</w:t>
      </w:r>
    </w:p>
    <w:p w14:paraId="3216B385" w14:textId="77777777" w:rsidR="001B2884" w:rsidRPr="00215EC5" w:rsidRDefault="001B2884" w:rsidP="00215EC5">
      <w:pPr>
        <w:spacing w:line="480" w:lineRule="auto"/>
        <w:ind w:firstLine="720"/>
        <w:jc w:val="both"/>
        <w:rPr>
          <w:sz w:val="22"/>
          <w:szCs w:val="22"/>
        </w:rPr>
      </w:pPr>
      <w:r w:rsidRPr="00215EC5">
        <w:rPr>
          <w:sz w:val="22"/>
          <w:szCs w:val="22"/>
        </w:rPr>
        <w:t>This systematic literature review examined how indigenous schools contribute to economic empowerment and analyzed the dominant theoretical and methodological frameworks used in related studies. The findings demonstrate that indigenous education initiatives provide critical pathways for strengthening community-based livelihoods, promoting traditional ecological knowledge, and fostering local entrepreneurship. Through culturally rooted curricula, land-based pedagogies, and cooperative learning environments, indigenous schools help students develop practical economic skills while reinforcing cultural identity and resilience. The review also highlights the prevalence of constructivist, decolonial, and transformative learning theories in the literature, as well as the dominance of qualitative and participatory methodologies, particularly ethnography and action research.</w:t>
      </w:r>
    </w:p>
    <w:p w14:paraId="5510886A" w14:textId="6800C724" w:rsidR="001B2884" w:rsidRPr="00215EC5" w:rsidRDefault="001B2884" w:rsidP="00215EC5">
      <w:pPr>
        <w:spacing w:line="480" w:lineRule="auto"/>
        <w:ind w:firstLine="720"/>
        <w:jc w:val="both"/>
        <w:rPr>
          <w:b/>
          <w:bCs/>
          <w:sz w:val="22"/>
          <w:szCs w:val="22"/>
        </w:rPr>
      </w:pPr>
      <w:r w:rsidRPr="00215EC5">
        <w:rPr>
          <w:sz w:val="22"/>
          <w:szCs w:val="22"/>
        </w:rPr>
        <w:t>To support the continued development and institutionalization of indigenous education, several recommendations are proposed. First, policymakers should formally integrate traditional knowledge systems into national economic curricula, ensuring that indigenous perspectives are recognized as legitimate sources of knowledge. Second, investment is needed in capacity building for indigenous educators, including training in participatory teaching strategies and curriculum co-design. Third, education systems should adopt flexible and context-sensitive assessment tools that reflect both academic and socio-cultural learning outcomes. Finally, partnerships between schools, local cooperatives, and government agencies should be strengthened to enhance real-world economic impact and sustainability.</w:t>
      </w:r>
    </w:p>
    <w:p w14:paraId="757359EC" w14:textId="0DD5E59C" w:rsidR="00873C37" w:rsidRPr="00215EC5" w:rsidRDefault="00873C37" w:rsidP="00215EC5">
      <w:pPr>
        <w:spacing w:line="480" w:lineRule="auto"/>
        <w:ind w:firstLine="567"/>
        <w:jc w:val="both"/>
        <w:rPr>
          <w:sz w:val="22"/>
          <w:szCs w:val="22"/>
        </w:rPr>
      </w:pPr>
    </w:p>
    <w:p w14:paraId="654DB688" w14:textId="663F1703" w:rsidR="00873C37" w:rsidRPr="00215EC5" w:rsidRDefault="00873C37" w:rsidP="00346F66">
      <w:pPr>
        <w:pStyle w:val="ListParagraph"/>
        <w:numPr>
          <w:ilvl w:val="0"/>
          <w:numId w:val="33"/>
        </w:numPr>
        <w:spacing w:line="480" w:lineRule="auto"/>
        <w:ind w:left="284" w:hanging="284"/>
        <w:jc w:val="both"/>
        <w:rPr>
          <w:b/>
          <w:bCs/>
          <w:sz w:val="22"/>
          <w:szCs w:val="22"/>
        </w:rPr>
      </w:pPr>
      <w:r w:rsidRPr="00215EC5">
        <w:rPr>
          <w:b/>
          <w:bCs/>
          <w:sz w:val="22"/>
          <w:szCs w:val="22"/>
        </w:rPr>
        <w:t>LIMITATIONS AND FUTURE RESEARCH DIRECTIONS</w:t>
      </w:r>
    </w:p>
    <w:p w14:paraId="77CEDDAF" w14:textId="77777777" w:rsidR="001B2884" w:rsidRPr="00215EC5" w:rsidRDefault="001B2884" w:rsidP="00215EC5">
      <w:pPr>
        <w:pStyle w:val="NormalWeb"/>
        <w:spacing w:before="0" w:beforeAutospacing="0" w:after="0" w:afterAutospacing="0" w:line="480" w:lineRule="auto"/>
        <w:ind w:firstLine="567"/>
        <w:jc w:val="both"/>
        <w:rPr>
          <w:sz w:val="22"/>
          <w:szCs w:val="22"/>
        </w:rPr>
      </w:pPr>
      <w:r w:rsidRPr="00215EC5">
        <w:rPr>
          <w:sz w:val="22"/>
          <w:szCs w:val="22"/>
        </w:rPr>
        <w:t xml:space="preserve">This review is limited by its language and publication filters, as it included only peer-reviewed articles published in English between 2018 and 2024. Consequently, valuable insights from non-English or grey literature may have been omitted. Moreover, while the included studies represent a diverse </w:t>
      </w:r>
      <w:r w:rsidRPr="00215EC5">
        <w:rPr>
          <w:sz w:val="22"/>
          <w:szCs w:val="22"/>
        </w:rPr>
        <w:lastRenderedPageBreak/>
        <w:t>geographical distribution, there remains an underrepresentation of research from certain regions, such as Central Africa and the Pacific Islands, which may affect the global generalizability of the findings.</w:t>
      </w:r>
    </w:p>
    <w:p w14:paraId="561B7AD5" w14:textId="77777777" w:rsidR="001B2884" w:rsidRPr="00215EC5" w:rsidRDefault="001B2884" w:rsidP="00215EC5">
      <w:pPr>
        <w:pStyle w:val="NormalWeb"/>
        <w:spacing w:before="0" w:beforeAutospacing="0" w:after="0" w:afterAutospacing="0" w:line="480" w:lineRule="auto"/>
        <w:ind w:firstLine="567"/>
        <w:jc w:val="both"/>
        <w:rPr>
          <w:sz w:val="22"/>
          <w:szCs w:val="22"/>
        </w:rPr>
      </w:pPr>
      <w:r w:rsidRPr="00215EC5">
        <w:rPr>
          <w:sz w:val="22"/>
          <w:szCs w:val="22"/>
        </w:rPr>
        <w:t>Future research should explore longitudinal and comparative studies that measure the long-term economic outcomes of indigenous education interventions. There is also a need for mixed-methods research that combines qualitative narratives with quantitative indicators of livelihood improvement and community well-being. Additionally, theoretical innovation should be encouraged by integrating indigenous epistemologies more deeply into mainstream educational discourse. Finally, future inquiries should examine how digital and hybrid learning tools can be effectively adapted to support culturally responsive economic education in indigenous contexts.</w:t>
      </w:r>
    </w:p>
    <w:p w14:paraId="1105E740" w14:textId="77777777" w:rsidR="00DE6795" w:rsidRPr="00215EC5" w:rsidRDefault="00DE6795" w:rsidP="00215EC5">
      <w:pPr>
        <w:spacing w:line="480" w:lineRule="auto"/>
        <w:jc w:val="both"/>
        <w:rPr>
          <w:sz w:val="22"/>
          <w:szCs w:val="22"/>
        </w:rPr>
      </w:pPr>
    </w:p>
    <w:p w14:paraId="7C69FF0A" w14:textId="0C28FBE3" w:rsidR="00EA1EEF" w:rsidRPr="00215EC5" w:rsidRDefault="00DE6795" w:rsidP="00644D4F">
      <w:pPr>
        <w:spacing w:line="480" w:lineRule="auto"/>
        <w:rPr>
          <w:b/>
          <w:bCs/>
          <w:sz w:val="22"/>
          <w:szCs w:val="22"/>
        </w:rPr>
      </w:pPr>
      <w:r w:rsidRPr="00215EC5">
        <w:rPr>
          <w:b/>
          <w:bCs/>
          <w:sz w:val="22"/>
          <w:szCs w:val="22"/>
        </w:rPr>
        <w:t>REFERENCES</w:t>
      </w:r>
    </w:p>
    <w:p w14:paraId="00C88785" w14:textId="2F0BD274"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Abebe, A., &amp; Gatisso, M. (2023). The role of indigenous knowledge regarding the history and building of the Kawo/King Amado Kella defensive wall in Wolaita, Ethiopia, including its significance and intended use. </w:t>
      </w:r>
      <w:r w:rsidRPr="00215EC5">
        <w:rPr>
          <w:rStyle w:val="Emphasis"/>
          <w:rFonts w:eastAsiaTheme="majorEastAsia"/>
          <w:sz w:val="22"/>
          <w:szCs w:val="22"/>
        </w:rPr>
        <w:t>Heliyon, 9</w:t>
      </w:r>
      <w:r w:rsidRPr="00215EC5">
        <w:rPr>
          <w:sz w:val="22"/>
          <w:szCs w:val="22"/>
        </w:rPr>
        <w:t xml:space="preserve">(11), e20990. </w:t>
      </w:r>
      <w:hyperlink r:id="rId11" w:tgtFrame="_new" w:history="1">
        <w:r w:rsidRPr="00215EC5">
          <w:rPr>
            <w:rStyle w:val="Hyperlink"/>
            <w:rFonts w:eastAsiaTheme="majorEastAsia"/>
            <w:sz w:val="22"/>
            <w:szCs w:val="22"/>
          </w:rPr>
          <w:t>https://doi.org/10.1016/j.heliyon.2023.e20990</w:t>
        </w:r>
      </w:hyperlink>
    </w:p>
    <w:p w14:paraId="73F944D4" w14:textId="77777777" w:rsidR="00514978" w:rsidRPr="00215EC5" w:rsidRDefault="00514978" w:rsidP="00215EC5">
      <w:pPr>
        <w:spacing w:line="480" w:lineRule="auto"/>
        <w:ind w:left="567" w:hanging="567"/>
        <w:jc w:val="both"/>
        <w:rPr>
          <w:sz w:val="22"/>
          <w:szCs w:val="22"/>
        </w:rPr>
      </w:pPr>
      <w:r w:rsidRPr="00215EC5">
        <w:rPr>
          <w:sz w:val="22"/>
          <w:szCs w:val="22"/>
        </w:rPr>
        <w:t xml:space="preserve">Ahmad, M., &amp; Muniroh, S. (2024). Nahdlatul Ulama’s maslahah family movement for sustainable development goals in Indonesia: Maqasid al-sharia perspectives. </w:t>
      </w:r>
      <w:r w:rsidRPr="00215EC5">
        <w:rPr>
          <w:i/>
          <w:iCs/>
          <w:sz w:val="22"/>
          <w:szCs w:val="22"/>
        </w:rPr>
        <w:t>Hikmatuna Journal for Integrative Islamic Studies, 10</w:t>
      </w:r>
      <w:r w:rsidRPr="00215EC5">
        <w:rPr>
          <w:sz w:val="22"/>
          <w:szCs w:val="22"/>
        </w:rPr>
        <w:t xml:space="preserve">(1), 59–77. </w:t>
      </w:r>
      <w:hyperlink r:id="rId12" w:tgtFrame="_new" w:history="1">
        <w:r w:rsidRPr="00215EC5">
          <w:rPr>
            <w:rStyle w:val="Hyperlink"/>
            <w:sz w:val="22"/>
            <w:szCs w:val="22"/>
          </w:rPr>
          <w:t>https://doi.org/10.28918/hikmatuna.v10i1.7262</w:t>
        </w:r>
      </w:hyperlink>
    </w:p>
    <w:p w14:paraId="6DC6720B" w14:textId="2434A906" w:rsidR="00EA1EEF" w:rsidRPr="00215EC5" w:rsidRDefault="00514978" w:rsidP="00215EC5">
      <w:pPr>
        <w:spacing w:line="480" w:lineRule="auto"/>
        <w:ind w:left="567" w:hanging="567"/>
        <w:jc w:val="both"/>
        <w:rPr>
          <w:sz w:val="22"/>
          <w:szCs w:val="22"/>
        </w:rPr>
      </w:pPr>
      <w:r w:rsidRPr="00215EC5">
        <w:rPr>
          <w:sz w:val="22"/>
          <w:szCs w:val="22"/>
        </w:rPr>
        <w:t xml:space="preserve">Arumdati, D. (2023). Cultural adaptation of Sedulur Sikep: Community-based disaster risk reduction strategy in Baturejo Village. </w:t>
      </w:r>
      <w:r w:rsidRPr="00215EC5">
        <w:rPr>
          <w:i/>
          <w:iCs/>
          <w:sz w:val="22"/>
          <w:szCs w:val="22"/>
        </w:rPr>
        <w:t>Interdisciplinary Social Studies, 2</w:t>
      </w:r>
      <w:r w:rsidRPr="00215EC5">
        <w:rPr>
          <w:sz w:val="22"/>
          <w:szCs w:val="22"/>
        </w:rPr>
        <w:t xml:space="preserve">(11), 2597–2611. </w:t>
      </w:r>
      <w:hyperlink r:id="rId13" w:tgtFrame="_new" w:history="1">
        <w:r w:rsidRPr="00215EC5">
          <w:rPr>
            <w:rStyle w:val="Hyperlink"/>
            <w:sz w:val="22"/>
            <w:szCs w:val="22"/>
          </w:rPr>
          <w:t>https://doi.org/10.55324/iss.v2i11.532</w:t>
        </w:r>
      </w:hyperlink>
    </w:p>
    <w:p w14:paraId="0FA3705D"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Astari, I., &amp; Putra, I. (2021). </w:t>
      </w:r>
      <w:r w:rsidRPr="00215EC5">
        <w:rPr>
          <w:color w:val="333A3F"/>
          <w:spacing w:val="1"/>
          <w:sz w:val="22"/>
          <w:szCs w:val="22"/>
          <w:shd w:val="clear" w:color="auto" w:fill="FFFFFF"/>
          <w:lang w:val="sv-SE"/>
        </w:rPr>
        <w:t xml:space="preserve">Analisis sistem informasi Kemdikbud studi kasus pada SD Negeri 2 Dawan Klod menggunakan metode SUS. </w:t>
      </w:r>
      <w:r w:rsidRPr="00215EC5">
        <w:rPr>
          <w:i/>
          <w:iCs/>
          <w:color w:val="333A3F"/>
          <w:spacing w:val="1"/>
          <w:sz w:val="22"/>
          <w:szCs w:val="22"/>
          <w:shd w:val="clear" w:color="auto" w:fill="FFFFFF"/>
          <w:lang w:val="sv-SE"/>
        </w:rPr>
        <w:t>JIKO (Jurnal Informatika dan Komputer), 4</w:t>
      </w:r>
      <w:r w:rsidRPr="00215EC5">
        <w:rPr>
          <w:color w:val="333A3F"/>
          <w:spacing w:val="1"/>
          <w:sz w:val="22"/>
          <w:szCs w:val="22"/>
          <w:shd w:val="clear" w:color="auto" w:fill="FFFFFF"/>
          <w:lang w:val="sv-SE"/>
        </w:rPr>
        <w:t xml:space="preserve">(1), 23–30. </w:t>
      </w:r>
      <w:r>
        <w:fldChar w:fldCharType="begin"/>
      </w:r>
      <w:r w:rsidRPr="004305CE">
        <w:rPr>
          <w:lang w:val="sv-SE"/>
        </w:rPr>
        <w:instrText>HYPERLINK "https://doi.org/10.33387/jiko.v4i1.2378" \t "_new"</w:instrText>
      </w:r>
      <w:r>
        <w:fldChar w:fldCharType="separate"/>
      </w:r>
      <w:r w:rsidRPr="00215EC5">
        <w:rPr>
          <w:rStyle w:val="Hyperlink"/>
          <w:spacing w:val="1"/>
          <w:sz w:val="22"/>
          <w:szCs w:val="22"/>
          <w:shd w:val="clear" w:color="auto" w:fill="FFFFFF"/>
          <w:lang w:val="sv-SE"/>
        </w:rPr>
        <w:t>https://doi.org/10.33387/jiko.v4i1.2378</w:t>
      </w:r>
      <w:r>
        <w:fldChar w:fldCharType="end"/>
      </w:r>
    </w:p>
    <w:p w14:paraId="5B9C25AA" w14:textId="0FE48C8F" w:rsidR="00514978" w:rsidRPr="00215EC5" w:rsidRDefault="00514978" w:rsidP="00215EC5">
      <w:pPr>
        <w:spacing w:line="480" w:lineRule="auto"/>
        <w:ind w:left="567" w:hanging="567"/>
        <w:jc w:val="both"/>
        <w:rPr>
          <w:sz w:val="22"/>
          <w:szCs w:val="22"/>
        </w:rPr>
      </w:pPr>
      <w:r w:rsidRPr="00215EC5">
        <w:rPr>
          <w:sz w:val="22"/>
          <w:szCs w:val="22"/>
          <w:lang w:val="sv-SE"/>
        </w:rPr>
        <w:t xml:space="preserve">Astuti, W., Rahayu, P., &amp; Rini, E. (2019). </w:t>
      </w:r>
      <w:r w:rsidRPr="00215EC5">
        <w:rPr>
          <w:sz w:val="22"/>
          <w:szCs w:val="22"/>
        </w:rPr>
        <w:t xml:space="preserve">Spatial change of resettlement area and location vulnerability. </w:t>
      </w:r>
      <w:r w:rsidRPr="00215EC5">
        <w:rPr>
          <w:i/>
          <w:iCs/>
          <w:sz w:val="22"/>
          <w:szCs w:val="22"/>
        </w:rPr>
        <w:t>Matec Web of Conferences, 280</w:t>
      </w:r>
      <w:r w:rsidRPr="00215EC5">
        <w:rPr>
          <w:sz w:val="22"/>
          <w:szCs w:val="22"/>
        </w:rPr>
        <w:t xml:space="preserve">, 03013. </w:t>
      </w:r>
      <w:hyperlink r:id="rId14" w:tgtFrame="_new" w:history="1">
        <w:r w:rsidRPr="00215EC5">
          <w:rPr>
            <w:rStyle w:val="Hyperlink"/>
            <w:sz w:val="22"/>
            <w:szCs w:val="22"/>
          </w:rPr>
          <w:t>https://doi.org/10.1051/matecconf/201928003013</w:t>
        </w:r>
      </w:hyperlink>
    </w:p>
    <w:p w14:paraId="6FF7134E" w14:textId="77777777" w:rsidR="00514978" w:rsidRPr="00215EC5" w:rsidRDefault="00514978" w:rsidP="00215EC5">
      <w:pPr>
        <w:spacing w:line="480" w:lineRule="auto"/>
        <w:ind w:left="567" w:hanging="567"/>
        <w:jc w:val="both"/>
        <w:rPr>
          <w:sz w:val="22"/>
          <w:szCs w:val="22"/>
          <w:lang w:val="sv-SE"/>
        </w:rPr>
      </w:pPr>
      <w:r w:rsidRPr="00215EC5">
        <w:rPr>
          <w:sz w:val="22"/>
          <w:szCs w:val="22"/>
        </w:rPr>
        <w:t xml:space="preserve">Barrientos, A., Morales, A., &amp; González, T. (2018). Mexican rural communities’ metabolism and its impact on socioeconomic indicators. </w:t>
      </w:r>
      <w:hyperlink r:id="rId15" w:tgtFrame="_new" w:history="1">
        <w:r w:rsidRPr="00215EC5">
          <w:rPr>
            <w:rStyle w:val="Hyperlink"/>
            <w:sz w:val="22"/>
            <w:szCs w:val="22"/>
            <w:lang w:val="sv-SE"/>
          </w:rPr>
          <w:t>https://doi.org/10.5772/intechopen.72900</w:t>
        </w:r>
      </w:hyperlink>
    </w:p>
    <w:p w14:paraId="13990239" w14:textId="199AD933" w:rsidR="00514978" w:rsidRPr="00215EC5" w:rsidRDefault="00514978" w:rsidP="00215EC5">
      <w:pPr>
        <w:spacing w:line="480" w:lineRule="auto"/>
        <w:ind w:left="567" w:hanging="567"/>
        <w:jc w:val="both"/>
        <w:rPr>
          <w:sz w:val="22"/>
          <w:szCs w:val="22"/>
        </w:rPr>
      </w:pPr>
      <w:r w:rsidRPr="00215EC5">
        <w:rPr>
          <w:sz w:val="22"/>
          <w:szCs w:val="22"/>
          <w:lang w:val="sv-SE"/>
        </w:rPr>
        <w:lastRenderedPageBreak/>
        <w:t xml:space="preserve">Behera, M., Singh, L., Pradhan, B., &amp; Behera, K. (2024). </w:t>
      </w:r>
      <w:r w:rsidRPr="00215EC5">
        <w:rPr>
          <w:sz w:val="22"/>
          <w:szCs w:val="22"/>
        </w:rPr>
        <w:t xml:space="preserve">Seaweed‐derived bioactive compounds: Potent modulators in breast cancer therapy. </w:t>
      </w:r>
      <w:r w:rsidRPr="00215EC5">
        <w:rPr>
          <w:i/>
          <w:iCs/>
          <w:sz w:val="22"/>
          <w:szCs w:val="22"/>
        </w:rPr>
        <w:t>Chemistry &amp; Biodiversity, 22</w:t>
      </w:r>
      <w:r w:rsidRPr="00215EC5">
        <w:rPr>
          <w:sz w:val="22"/>
          <w:szCs w:val="22"/>
        </w:rPr>
        <w:t xml:space="preserve">(5). </w:t>
      </w:r>
      <w:hyperlink r:id="rId16" w:tgtFrame="_new" w:history="1">
        <w:r w:rsidRPr="00215EC5">
          <w:rPr>
            <w:rStyle w:val="Hyperlink"/>
            <w:sz w:val="22"/>
            <w:szCs w:val="22"/>
          </w:rPr>
          <w:t>https://doi.org/10.1002/cbdv.202401613</w:t>
        </w:r>
      </w:hyperlink>
    </w:p>
    <w:p w14:paraId="0C1A4E3F"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Bele, D., Kanto, S., &amp; Susilo, E. (2021). </w:t>
      </w:r>
      <w:r w:rsidRPr="00215EC5">
        <w:rPr>
          <w:color w:val="333A3F"/>
          <w:spacing w:val="1"/>
          <w:sz w:val="22"/>
          <w:szCs w:val="22"/>
          <w:shd w:val="clear" w:color="auto" w:fill="FFFFFF"/>
          <w:lang w:val="sv-SE"/>
        </w:rPr>
        <w:t xml:space="preserve">Model penguatan kelembagaan lokal dalam penanggulangan kemiskinan di wilayah perbatasan RI-DTL. </w:t>
      </w:r>
      <w:r w:rsidRPr="00215EC5">
        <w:rPr>
          <w:i/>
          <w:iCs/>
          <w:color w:val="333A3F"/>
          <w:spacing w:val="1"/>
          <w:sz w:val="22"/>
          <w:szCs w:val="22"/>
          <w:shd w:val="clear" w:color="auto" w:fill="FFFFFF"/>
          <w:lang w:val="sv-SE"/>
        </w:rPr>
        <w:t>Sosiohumaniora Jurnal Ilmiah Ilmu Sosial dan Humaniora, 7</w:t>
      </w:r>
      <w:r w:rsidRPr="00215EC5">
        <w:rPr>
          <w:color w:val="333A3F"/>
          <w:spacing w:val="1"/>
          <w:sz w:val="22"/>
          <w:szCs w:val="22"/>
          <w:shd w:val="clear" w:color="auto" w:fill="FFFFFF"/>
          <w:lang w:val="sv-SE"/>
        </w:rPr>
        <w:t xml:space="preserve">(2), 49–62. </w:t>
      </w:r>
      <w:r>
        <w:fldChar w:fldCharType="begin"/>
      </w:r>
      <w:r w:rsidRPr="004305CE">
        <w:rPr>
          <w:lang w:val="sv-SE"/>
        </w:rPr>
        <w:instrText>HYPERLINK "https://doi.org/10.30738/sosio.v7i2.10351" \t "_new"</w:instrText>
      </w:r>
      <w:r>
        <w:fldChar w:fldCharType="separate"/>
      </w:r>
      <w:r w:rsidRPr="00215EC5">
        <w:rPr>
          <w:rStyle w:val="Hyperlink"/>
          <w:spacing w:val="1"/>
          <w:sz w:val="22"/>
          <w:szCs w:val="22"/>
          <w:shd w:val="clear" w:color="auto" w:fill="FFFFFF"/>
          <w:lang w:val="sv-SE"/>
        </w:rPr>
        <w:t>https://doi.org/10.30738/sosio.v7i2.10351</w:t>
      </w:r>
      <w:r>
        <w:fldChar w:fldCharType="end"/>
      </w:r>
    </w:p>
    <w:p w14:paraId="3593FDFF" w14:textId="77777777"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lang w:val="sv-SE"/>
        </w:rPr>
        <w:t xml:space="preserve">Boadi, M., Frimpong, C., &amp; Seidu, R. (2023). </w:t>
      </w:r>
      <w:r w:rsidRPr="00215EC5">
        <w:rPr>
          <w:sz w:val="22"/>
          <w:szCs w:val="22"/>
        </w:rPr>
        <w:t xml:space="preserve">The influence of change on indigenous strip-woven fabrics in Ghana. </w:t>
      </w:r>
      <w:r w:rsidRPr="00215EC5">
        <w:rPr>
          <w:rStyle w:val="Emphasis"/>
          <w:rFonts w:eastAsiaTheme="majorEastAsia"/>
          <w:sz w:val="22"/>
          <w:szCs w:val="22"/>
        </w:rPr>
        <w:t>Journal of Asian and African Studies, 60</w:t>
      </w:r>
      <w:r w:rsidRPr="00215EC5">
        <w:rPr>
          <w:sz w:val="22"/>
          <w:szCs w:val="22"/>
        </w:rPr>
        <w:t xml:space="preserve">(1), 593–616. </w:t>
      </w:r>
      <w:hyperlink r:id="rId17" w:tgtFrame="_new" w:history="1">
        <w:r w:rsidRPr="00215EC5">
          <w:rPr>
            <w:rStyle w:val="Hyperlink"/>
            <w:rFonts w:eastAsiaTheme="majorEastAsia"/>
            <w:sz w:val="22"/>
            <w:szCs w:val="22"/>
          </w:rPr>
          <w:t>https://doi.org/10.1177/00219096231176740</w:t>
        </w:r>
      </w:hyperlink>
    </w:p>
    <w:p w14:paraId="5059D8AC" w14:textId="27570B5F"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Burm, S., Deagle, S., Watling, C., Wylie, L., &amp; Alcock, D. (2022). Navigating the burden of proof and responsibility: A narrative inquiry into indigenous medical learners' experiences. </w:t>
      </w:r>
      <w:r w:rsidRPr="00215EC5">
        <w:rPr>
          <w:rStyle w:val="Emphasis"/>
          <w:rFonts w:eastAsiaTheme="majorEastAsia"/>
          <w:sz w:val="22"/>
          <w:szCs w:val="22"/>
        </w:rPr>
        <w:t>Medical Education, 57</w:t>
      </w:r>
      <w:r w:rsidRPr="00215EC5">
        <w:rPr>
          <w:sz w:val="22"/>
          <w:szCs w:val="22"/>
        </w:rPr>
        <w:t xml:space="preserve">(6), 556–565. </w:t>
      </w:r>
      <w:hyperlink r:id="rId18" w:tgtFrame="_new" w:history="1">
        <w:r w:rsidRPr="00215EC5">
          <w:rPr>
            <w:rStyle w:val="Hyperlink"/>
            <w:rFonts w:eastAsiaTheme="majorEastAsia"/>
            <w:sz w:val="22"/>
            <w:szCs w:val="22"/>
          </w:rPr>
          <w:t>https://doi.org/10.1111/medu.15000</w:t>
        </w:r>
      </w:hyperlink>
    </w:p>
    <w:p w14:paraId="631240ED" w14:textId="77777777" w:rsidR="00514978" w:rsidRPr="00215EC5" w:rsidRDefault="00514978" w:rsidP="00215EC5">
      <w:pPr>
        <w:spacing w:line="480" w:lineRule="auto"/>
        <w:ind w:left="567" w:hanging="567"/>
        <w:jc w:val="both"/>
        <w:rPr>
          <w:sz w:val="22"/>
          <w:szCs w:val="22"/>
        </w:rPr>
      </w:pPr>
      <w:r w:rsidRPr="00215EC5">
        <w:rPr>
          <w:sz w:val="22"/>
          <w:szCs w:val="22"/>
        </w:rPr>
        <w:t xml:space="preserve">Dai, X., et al. (2019). Characteristics and determinants of livelihood diversification of different household types in Far Northwestern China. </w:t>
      </w:r>
      <w:r w:rsidRPr="00215EC5">
        <w:rPr>
          <w:i/>
          <w:iCs/>
          <w:sz w:val="22"/>
          <w:szCs w:val="22"/>
        </w:rPr>
        <w:t>Sustainability, 12</w:t>
      </w:r>
      <w:r w:rsidRPr="00215EC5">
        <w:rPr>
          <w:sz w:val="22"/>
          <w:szCs w:val="22"/>
        </w:rPr>
        <w:t xml:space="preserve">(1), 64. </w:t>
      </w:r>
      <w:hyperlink r:id="rId19" w:tgtFrame="_new" w:history="1">
        <w:r w:rsidRPr="00215EC5">
          <w:rPr>
            <w:rStyle w:val="Hyperlink"/>
            <w:sz w:val="22"/>
            <w:szCs w:val="22"/>
          </w:rPr>
          <w:t>https://doi.org/10.3390/su12010064</w:t>
        </w:r>
      </w:hyperlink>
    </w:p>
    <w:p w14:paraId="6B9A9D23" w14:textId="202B2231" w:rsidR="00514978" w:rsidRPr="00215EC5" w:rsidRDefault="00514978" w:rsidP="00215EC5">
      <w:pPr>
        <w:spacing w:line="480" w:lineRule="auto"/>
        <w:ind w:left="567" w:hanging="567"/>
        <w:jc w:val="both"/>
        <w:rPr>
          <w:sz w:val="22"/>
          <w:szCs w:val="22"/>
        </w:rPr>
      </w:pPr>
      <w:r w:rsidRPr="00215EC5">
        <w:rPr>
          <w:sz w:val="22"/>
          <w:szCs w:val="22"/>
        </w:rPr>
        <w:t xml:space="preserve">Debrot, A., et al. (2022). The Antillean manatee along the Caribbean coast of Colombia. </w:t>
      </w:r>
      <w:r w:rsidRPr="00215EC5">
        <w:rPr>
          <w:i/>
          <w:iCs/>
          <w:sz w:val="22"/>
          <w:szCs w:val="22"/>
        </w:rPr>
        <w:t>Marine Mammal Science, 39</w:t>
      </w:r>
      <w:r w:rsidRPr="00215EC5">
        <w:rPr>
          <w:sz w:val="22"/>
          <w:szCs w:val="22"/>
        </w:rPr>
        <w:t xml:space="preserve">(1), 322–337. </w:t>
      </w:r>
      <w:hyperlink r:id="rId20" w:tgtFrame="_new" w:history="1">
        <w:r w:rsidRPr="00215EC5">
          <w:rPr>
            <w:rStyle w:val="Hyperlink"/>
            <w:sz w:val="22"/>
            <w:szCs w:val="22"/>
          </w:rPr>
          <w:t>https://doi.org/10.1111/mms.12972</w:t>
        </w:r>
      </w:hyperlink>
    </w:p>
    <w:p w14:paraId="68386BAD"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Derson, D., &amp; Gunawan, I. (2021). </w:t>
      </w:r>
      <w:r w:rsidRPr="00215EC5">
        <w:rPr>
          <w:color w:val="333A3F"/>
          <w:spacing w:val="1"/>
          <w:sz w:val="22"/>
          <w:szCs w:val="22"/>
          <w:shd w:val="clear" w:color="auto" w:fill="FFFFFF"/>
          <w:lang w:val="sv-SE"/>
        </w:rPr>
        <w:t xml:space="preserve">Pentingnya pendidikan multikultur dalam pembelajaran di sekolah dasar. </w:t>
      </w:r>
      <w:r w:rsidRPr="00215EC5">
        <w:rPr>
          <w:i/>
          <w:iCs/>
          <w:color w:val="333A3F"/>
          <w:spacing w:val="1"/>
          <w:sz w:val="22"/>
          <w:szCs w:val="22"/>
          <w:shd w:val="clear" w:color="auto" w:fill="FFFFFF"/>
          <w:lang w:val="sv-SE"/>
        </w:rPr>
        <w:t>JAPAM (Jurnal Pendidikan Agama), 1</w:t>
      </w:r>
      <w:r w:rsidRPr="00215EC5">
        <w:rPr>
          <w:color w:val="333A3F"/>
          <w:spacing w:val="1"/>
          <w:sz w:val="22"/>
          <w:szCs w:val="22"/>
          <w:shd w:val="clear" w:color="auto" w:fill="FFFFFF"/>
          <w:lang w:val="sv-SE"/>
        </w:rPr>
        <w:t xml:space="preserve">(1), 12. </w:t>
      </w:r>
      <w:r>
        <w:fldChar w:fldCharType="begin"/>
      </w:r>
      <w:r w:rsidRPr="004305CE">
        <w:rPr>
          <w:lang w:val="sv-SE"/>
        </w:rPr>
        <w:instrText>HYPERLINK "https://doi.org/10.25078/japam.v1i1.2317" \t "_new"</w:instrText>
      </w:r>
      <w:r>
        <w:fldChar w:fldCharType="separate"/>
      </w:r>
      <w:r w:rsidRPr="00215EC5">
        <w:rPr>
          <w:rStyle w:val="Hyperlink"/>
          <w:spacing w:val="1"/>
          <w:sz w:val="22"/>
          <w:szCs w:val="22"/>
          <w:shd w:val="clear" w:color="auto" w:fill="FFFFFF"/>
          <w:lang w:val="sv-SE"/>
        </w:rPr>
        <w:t>https://doi.org/10.25078/japam.v1i1.2317</w:t>
      </w:r>
      <w:r>
        <w:fldChar w:fldCharType="end"/>
      </w:r>
    </w:p>
    <w:p w14:paraId="5787ACCE"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Dewi, D., Furmasari, Y., Septianingrum, A., &amp; Yunianti, V. (2021). Penerapan pendidikan kewarganegaraan sebagai penguat sikap bela negara bagi siswa sekolah dasar. </w:t>
      </w:r>
      <w:r w:rsidRPr="00215EC5">
        <w:rPr>
          <w:i/>
          <w:iCs/>
          <w:color w:val="333A3F"/>
          <w:spacing w:val="1"/>
          <w:sz w:val="22"/>
          <w:szCs w:val="22"/>
          <w:shd w:val="clear" w:color="auto" w:fill="FFFFFF"/>
          <w:lang w:val="sv-SE"/>
        </w:rPr>
        <w:t>Edukatif Jurnal Ilmu Pendidikan, 3</w:t>
      </w:r>
      <w:r w:rsidRPr="00215EC5">
        <w:rPr>
          <w:color w:val="333A3F"/>
          <w:spacing w:val="1"/>
          <w:sz w:val="22"/>
          <w:szCs w:val="22"/>
          <w:shd w:val="clear" w:color="auto" w:fill="FFFFFF"/>
          <w:lang w:val="sv-SE"/>
        </w:rPr>
        <w:t xml:space="preserve">(6), 4683–4688. </w:t>
      </w:r>
      <w:r>
        <w:fldChar w:fldCharType="begin"/>
      </w:r>
      <w:r w:rsidRPr="004305CE">
        <w:rPr>
          <w:lang w:val="sv-SE"/>
        </w:rPr>
        <w:instrText>HYPERLINK "https://doi.org/10.31004/edukatif.v3i6.1550" \t "_new"</w:instrText>
      </w:r>
      <w:r>
        <w:fldChar w:fldCharType="separate"/>
      </w:r>
      <w:r w:rsidRPr="00215EC5">
        <w:rPr>
          <w:rStyle w:val="Hyperlink"/>
          <w:spacing w:val="1"/>
          <w:sz w:val="22"/>
          <w:szCs w:val="22"/>
          <w:shd w:val="clear" w:color="auto" w:fill="FFFFFF"/>
          <w:lang w:val="sv-SE"/>
        </w:rPr>
        <w:t>https://doi.org/10.31004/edukatif.v3i6.1550</w:t>
      </w:r>
      <w:r>
        <w:fldChar w:fldCharType="end"/>
      </w:r>
    </w:p>
    <w:p w14:paraId="0AFD3654"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Dewi, H., &amp; Hatijah, H. (2022). Penerapan metode bermain peran berdukungan media audiovisual untuk menanamkan sikap sopan santun pada siswa sekolah dasar. </w:t>
      </w:r>
      <w:r w:rsidRPr="00215EC5">
        <w:rPr>
          <w:i/>
          <w:iCs/>
          <w:color w:val="333A3F"/>
          <w:spacing w:val="1"/>
          <w:sz w:val="22"/>
          <w:szCs w:val="22"/>
          <w:shd w:val="clear" w:color="auto" w:fill="FFFFFF"/>
        </w:rPr>
        <w:t>AIJER Algazali International Journal of Educational Research, 4</w:t>
      </w:r>
      <w:r w:rsidRPr="00215EC5">
        <w:rPr>
          <w:color w:val="333A3F"/>
          <w:spacing w:val="1"/>
          <w:sz w:val="22"/>
          <w:szCs w:val="22"/>
          <w:shd w:val="clear" w:color="auto" w:fill="FFFFFF"/>
        </w:rPr>
        <w:t xml:space="preserve">(2), 104–113. </w:t>
      </w:r>
      <w:hyperlink r:id="rId21" w:tgtFrame="_new" w:history="1">
        <w:r w:rsidRPr="00215EC5">
          <w:rPr>
            <w:rStyle w:val="Hyperlink"/>
            <w:spacing w:val="1"/>
            <w:sz w:val="22"/>
            <w:szCs w:val="22"/>
            <w:shd w:val="clear" w:color="auto" w:fill="FFFFFF"/>
          </w:rPr>
          <w:t>https://doi.org/10.59638/aijer.v4i2.363</w:t>
        </w:r>
      </w:hyperlink>
    </w:p>
    <w:p w14:paraId="2F19DFAD"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Dhari, P. (2021). Analisis penerapan penguatan pendidikan karakter (PPK) dan relevansinya dalam pembelajaran Bahasa Indonesia di SDN 9 Kebayakan. </w:t>
      </w:r>
      <w:r w:rsidRPr="00215EC5">
        <w:rPr>
          <w:i/>
          <w:iCs/>
          <w:color w:val="333A3F"/>
          <w:spacing w:val="1"/>
          <w:sz w:val="22"/>
          <w:szCs w:val="22"/>
          <w:shd w:val="clear" w:color="auto" w:fill="FFFFFF"/>
        </w:rPr>
        <w:t>Jurnal as-Salam, 5</w:t>
      </w:r>
      <w:r w:rsidRPr="00215EC5">
        <w:rPr>
          <w:color w:val="333A3F"/>
          <w:spacing w:val="1"/>
          <w:sz w:val="22"/>
          <w:szCs w:val="22"/>
          <w:shd w:val="clear" w:color="auto" w:fill="FFFFFF"/>
        </w:rPr>
        <w:t xml:space="preserve">(2), 141–152. </w:t>
      </w:r>
      <w:hyperlink r:id="rId22" w:tgtFrame="_new" w:history="1">
        <w:r w:rsidRPr="00215EC5">
          <w:rPr>
            <w:rStyle w:val="Hyperlink"/>
            <w:spacing w:val="1"/>
            <w:sz w:val="22"/>
            <w:szCs w:val="22"/>
            <w:shd w:val="clear" w:color="auto" w:fill="FFFFFF"/>
          </w:rPr>
          <w:t>https://doi.org/10.37249/assalam.v5i2.298</w:t>
        </w:r>
      </w:hyperlink>
    </w:p>
    <w:p w14:paraId="59527565" w14:textId="77777777" w:rsidR="00514978" w:rsidRPr="00215EC5" w:rsidRDefault="00514978" w:rsidP="00215EC5">
      <w:pPr>
        <w:spacing w:line="480" w:lineRule="auto"/>
        <w:ind w:left="567" w:hanging="567"/>
        <w:jc w:val="both"/>
        <w:rPr>
          <w:sz w:val="22"/>
          <w:szCs w:val="22"/>
        </w:rPr>
      </w:pPr>
      <w:r w:rsidRPr="00215EC5">
        <w:rPr>
          <w:sz w:val="22"/>
          <w:szCs w:val="22"/>
        </w:rPr>
        <w:lastRenderedPageBreak/>
        <w:t xml:space="preserve">Dujwono, A., Suryandari, K., &amp; Mukhlis, M. (2023). Achievement of development performance in Central Lampung. </w:t>
      </w:r>
      <w:r w:rsidRPr="00215EC5">
        <w:rPr>
          <w:i/>
          <w:iCs/>
          <w:sz w:val="22"/>
          <w:szCs w:val="22"/>
        </w:rPr>
        <w:t>Proceedings</w:t>
      </w:r>
      <w:r w:rsidRPr="00215EC5">
        <w:rPr>
          <w:sz w:val="22"/>
          <w:szCs w:val="22"/>
        </w:rPr>
        <w:t xml:space="preserve">, 758–768. </w:t>
      </w:r>
      <w:hyperlink r:id="rId23" w:tgtFrame="_new" w:history="1">
        <w:r w:rsidRPr="00215EC5">
          <w:rPr>
            <w:rStyle w:val="Hyperlink"/>
            <w:sz w:val="22"/>
            <w:szCs w:val="22"/>
          </w:rPr>
          <w:t>https://doi.org/10.2991/978-2-38476-046-6_73</w:t>
        </w:r>
      </w:hyperlink>
    </w:p>
    <w:p w14:paraId="32C301CD" w14:textId="6A53CABF" w:rsidR="00514978" w:rsidRPr="00215EC5" w:rsidRDefault="00514978" w:rsidP="00215EC5">
      <w:pPr>
        <w:spacing w:line="480" w:lineRule="auto"/>
        <w:ind w:left="567" w:hanging="567"/>
        <w:jc w:val="both"/>
        <w:rPr>
          <w:sz w:val="22"/>
          <w:szCs w:val="22"/>
        </w:rPr>
      </w:pPr>
      <w:r w:rsidRPr="00215EC5">
        <w:rPr>
          <w:sz w:val="22"/>
          <w:szCs w:val="22"/>
        </w:rPr>
        <w:t xml:space="preserve">Duong, A., et al. (2024). Forging pathways to circular economy excellence. </w:t>
      </w:r>
      <w:r w:rsidRPr="00215EC5">
        <w:rPr>
          <w:i/>
          <w:iCs/>
          <w:sz w:val="22"/>
          <w:szCs w:val="22"/>
        </w:rPr>
        <w:t>Sustainability, 16</w:t>
      </w:r>
      <w:r w:rsidRPr="00215EC5">
        <w:rPr>
          <w:sz w:val="22"/>
          <w:szCs w:val="22"/>
        </w:rPr>
        <w:t xml:space="preserve">(7), 3053. </w:t>
      </w:r>
      <w:hyperlink r:id="rId24" w:tgtFrame="_new" w:history="1">
        <w:r w:rsidRPr="00215EC5">
          <w:rPr>
            <w:rStyle w:val="Hyperlink"/>
            <w:sz w:val="22"/>
            <w:szCs w:val="22"/>
          </w:rPr>
          <w:t>https://doi.org/10.3390/su16073053</w:t>
        </w:r>
      </w:hyperlink>
    </w:p>
    <w:p w14:paraId="66ABD923" w14:textId="77777777" w:rsidR="00514978" w:rsidRPr="00215EC5" w:rsidRDefault="00514978" w:rsidP="00215EC5">
      <w:pPr>
        <w:spacing w:line="480" w:lineRule="auto"/>
        <w:ind w:left="567" w:hanging="567"/>
        <w:jc w:val="both"/>
        <w:rPr>
          <w:sz w:val="22"/>
          <w:szCs w:val="22"/>
        </w:rPr>
      </w:pPr>
      <w:r w:rsidRPr="00215EC5">
        <w:rPr>
          <w:sz w:val="22"/>
          <w:szCs w:val="22"/>
        </w:rPr>
        <w:t xml:space="preserve">Eid, Y., et al. (2023). Local community participation in social innovation initiatives. </w:t>
      </w:r>
      <w:r w:rsidRPr="00215EC5">
        <w:rPr>
          <w:i/>
          <w:iCs/>
          <w:sz w:val="22"/>
          <w:szCs w:val="22"/>
        </w:rPr>
        <w:t>Scientific Journal of Agricultural Sciences, 5</w:t>
      </w:r>
      <w:r w:rsidRPr="00215EC5">
        <w:rPr>
          <w:sz w:val="22"/>
          <w:szCs w:val="22"/>
        </w:rPr>
        <w:t xml:space="preserve">(2), 103–120. </w:t>
      </w:r>
      <w:hyperlink r:id="rId25" w:tgtFrame="_new" w:history="1">
        <w:r w:rsidRPr="00215EC5">
          <w:rPr>
            <w:rStyle w:val="Hyperlink"/>
            <w:sz w:val="22"/>
            <w:szCs w:val="22"/>
          </w:rPr>
          <w:t>https://doi.org/10.21608/sjas.2023.203645.1290</w:t>
        </w:r>
      </w:hyperlink>
    </w:p>
    <w:p w14:paraId="4B99CF20" w14:textId="05D41654" w:rsidR="00514978" w:rsidRPr="00215EC5" w:rsidRDefault="00514978" w:rsidP="00215EC5">
      <w:pPr>
        <w:spacing w:line="480" w:lineRule="auto"/>
        <w:ind w:left="567" w:hanging="567"/>
        <w:jc w:val="both"/>
        <w:rPr>
          <w:sz w:val="22"/>
          <w:szCs w:val="22"/>
        </w:rPr>
      </w:pPr>
      <w:r w:rsidRPr="00215EC5">
        <w:rPr>
          <w:sz w:val="22"/>
          <w:szCs w:val="22"/>
        </w:rPr>
        <w:t>Engels, N. (2023). Effects of farmers-</w:t>
      </w:r>
      <w:proofErr w:type="gramStart"/>
      <w:r w:rsidRPr="00215EC5">
        <w:rPr>
          <w:sz w:val="22"/>
          <w:szCs w:val="22"/>
        </w:rPr>
        <w:t>herders</w:t>
      </w:r>
      <w:proofErr w:type="gramEnd"/>
      <w:r w:rsidRPr="00215EC5">
        <w:rPr>
          <w:sz w:val="22"/>
          <w:szCs w:val="22"/>
        </w:rPr>
        <w:t xml:space="preserve"> conflicts on food security. </w:t>
      </w:r>
      <w:r w:rsidRPr="00215EC5">
        <w:rPr>
          <w:i/>
          <w:iCs/>
          <w:sz w:val="22"/>
          <w:szCs w:val="22"/>
        </w:rPr>
        <w:t>NIU Journal of Social Sciences, 9</w:t>
      </w:r>
      <w:r w:rsidRPr="00215EC5">
        <w:rPr>
          <w:sz w:val="22"/>
          <w:szCs w:val="22"/>
        </w:rPr>
        <w:t xml:space="preserve">(3), 159–168. </w:t>
      </w:r>
      <w:hyperlink r:id="rId26" w:tgtFrame="_new" w:history="1">
        <w:r w:rsidRPr="00215EC5">
          <w:rPr>
            <w:rStyle w:val="Hyperlink"/>
            <w:sz w:val="22"/>
            <w:szCs w:val="22"/>
          </w:rPr>
          <w:t>https://doi.org/10.58709/niujss.v9i3.1721</w:t>
        </w:r>
      </w:hyperlink>
    </w:p>
    <w:p w14:paraId="0EA6BB4E"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Fahrudin, A., &amp; Maryam, E. (2022). Review analisis pendidikan fisika berbasis etnosains, budaya, dan kearifan lokal di Indonesia. </w:t>
      </w:r>
      <w:r w:rsidRPr="00215EC5">
        <w:rPr>
          <w:i/>
          <w:iCs/>
          <w:color w:val="333A3F"/>
          <w:spacing w:val="1"/>
          <w:sz w:val="22"/>
          <w:szCs w:val="22"/>
          <w:shd w:val="clear" w:color="auto" w:fill="FFFFFF"/>
          <w:lang w:val="sv-SE"/>
        </w:rPr>
        <w:t>Jurnal Riset Rumpun Matematika dan Ilmu Pengetahuan Alam, 1</w:t>
      </w:r>
      <w:r w:rsidRPr="00215EC5">
        <w:rPr>
          <w:color w:val="333A3F"/>
          <w:spacing w:val="1"/>
          <w:sz w:val="22"/>
          <w:szCs w:val="22"/>
          <w:shd w:val="clear" w:color="auto" w:fill="FFFFFF"/>
          <w:lang w:val="sv-SE"/>
        </w:rPr>
        <w:t xml:space="preserve">(1), 12–24. </w:t>
      </w:r>
      <w:hyperlink r:id="rId27" w:tgtFrame="_new" w:history="1">
        <w:r w:rsidRPr="00215EC5">
          <w:rPr>
            <w:rStyle w:val="Hyperlink"/>
            <w:spacing w:val="1"/>
            <w:sz w:val="22"/>
            <w:szCs w:val="22"/>
            <w:shd w:val="clear" w:color="auto" w:fill="FFFFFF"/>
          </w:rPr>
          <w:t>https://doi.org/10.55606/jurrimipa.v1i1.126</w:t>
        </w:r>
      </w:hyperlink>
    </w:p>
    <w:p w14:paraId="74ABD6F1" w14:textId="77777777" w:rsidR="00514978" w:rsidRPr="00215EC5" w:rsidRDefault="00514978" w:rsidP="00215EC5">
      <w:pPr>
        <w:spacing w:line="480" w:lineRule="auto"/>
        <w:ind w:left="567" w:hanging="567"/>
        <w:jc w:val="both"/>
        <w:rPr>
          <w:sz w:val="22"/>
          <w:szCs w:val="22"/>
        </w:rPr>
      </w:pPr>
      <w:r w:rsidRPr="00215EC5">
        <w:rPr>
          <w:sz w:val="22"/>
          <w:szCs w:val="22"/>
        </w:rPr>
        <w:t xml:space="preserve">Ghosh, A., et al. (2021). Falling “fortresses”: Unlocking governance entanglements. </w:t>
      </w:r>
      <w:r w:rsidRPr="00215EC5">
        <w:rPr>
          <w:i/>
          <w:iCs/>
          <w:sz w:val="22"/>
          <w:szCs w:val="22"/>
        </w:rPr>
        <w:t>Environmental Management, 69</w:t>
      </w:r>
      <w:r w:rsidRPr="00215EC5">
        <w:rPr>
          <w:sz w:val="22"/>
          <w:szCs w:val="22"/>
        </w:rPr>
        <w:t xml:space="preserve">(2), 305–322. </w:t>
      </w:r>
      <w:hyperlink r:id="rId28" w:tgtFrame="_new" w:history="1">
        <w:r w:rsidRPr="00215EC5">
          <w:rPr>
            <w:rStyle w:val="Hyperlink"/>
            <w:sz w:val="22"/>
            <w:szCs w:val="22"/>
          </w:rPr>
          <w:t>https://doi.org/10.1007/s00267-021-01552-0</w:t>
        </w:r>
      </w:hyperlink>
    </w:p>
    <w:p w14:paraId="7F61C7E5" w14:textId="77777777" w:rsidR="00514978" w:rsidRPr="00215EC5" w:rsidRDefault="00514978" w:rsidP="00215EC5">
      <w:pPr>
        <w:spacing w:line="480" w:lineRule="auto"/>
        <w:ind w:left="567" w:hanging="567"/>
        <w:jc w:val="both"/>
        <w:rPr>
          <w:sz w:val="22"/>
          <w:szCs w:val="22"/>
        </w:rPr>
      </w:pPr>
      <w:r w:rsidRPr="00215EC5">
        <w:rPr>
          <w:sz w:val="22"/>
          <w:szCs w:val="22"/>
        </w:rPr>
        <w:t xml:space="preserve">Gibbens, M., &amp; Schoeman, C. (2020). Planning for sustainable livelihood development. </w:t>
      </w:r>
      <w:r w:rsidRPr="00215EC5">
        <w:rPr>
          <w:i/>
          <w:iCs/>
          <w:sz w:val="22"/>
          <w:szCs w:val="22"/>
        </w:rPr>
        <w:t>Town and Regional Planning, 76</w:t>
      </w:r>
      <w:r w:rsidRPr="00215EC5">
        <w:rPr>
          <w:sz w:val="22"/>
          <w:szCs w:val="22"/>
        </w:rPr>
        <w:t xml:space="preserve">(1), 14–28. </w:t>
      </w:r>
      <w:hyperlink r:id="rId29" w:tgtFrame="_new" w:history="1">
        <w:r w:rsidRPr="00215EC5">
          <w:rPr>
            <w:rStyle w:val="Hyperlink"/>
            <w:sz w:val="22"/>
            <w:szCs w:val="22"/>
          </w:rPr>
          <w:t>https://doi.org/10.18820/2415-0495/trp76i1.2</w:t>
        </w:r>
      </w:hyperlink>
    </w:p>
    <w:p w14:paraId="653E8F0E" w14:textId="77777777" w:rsidR="00514978" w:rsidRPr="00215EC5" w:rsidRDefault="00514978" w:rsidP="00215EC5">
      <w:pPr>
        <w:spacing w:line="480" w:lineRule="auto"/>
        <w:ind w:left="567" w:hanging="567"/>
        <w:jc w:val="both"/>
        <w:rPr>
          <w:sz w:val="22"/>
          <w:szCs w:val="22"/>
        </w:rPr>
      </w:pPr>
      <w:r w:rsidRPr="00215EC5">
        <w:rPr>
          <w:sz w:val="22"/>
          <w:szCs w:val="22"/>
        </w:rPr>
        <w:t xml:space="preserve">Hajjar, R., &amp; Oldekop, J. (2018). Research frontiers in community forest management. </w:t>
      </w:r>
      <w:r w:rsidRPr="00215EC5">
        <w:rPr>
          <w:i/>
          <w:iCs/>
          <w:sz w:val="22"/>
          <w:szCs w:val="22"/>
        </w:rPr>
        <w:t>Current Opinion in Environmental Sustainability, 32</w:t>
      </w:r>
      <w:r w:rsidRPr="00215EC5">
        <w:rPr>
          <w:sz w:val="22"/>
          <w:szCs w:val="22"/>
        </w:rPr>
        <w:t xml:space="preserve">, 119–125. </w:t>
      </w:r>
      <w:hyperlink r:id="rId30" w:tgtFrame="_new" w:history="1">
        <w:r w:rsidRPr="00215EC5">
          <w:rPr>
            <w:rStyle w:val="Hyperlink"/>
            <w:sz w:val="22"/>
            <w:szCs w:val="22"/>
          </w:rPr>
          <w:t>https://doi.org/10.1016/j.cosust.2018.06.003</w:t>
        </w:r>
      </w:hyperlink>
    </w:p>
    <w:p w14:paraId="2D6C4F71"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Hasmawati, H., &amp; Usman, U. (2022). Peningkatan kemampuan peserta didik dalam menjumlah bilangan pecahan dengan menggunakan media gambar luas daerah di kelas VII MTs.N 1 Enrekang. </w:t>
      </w:r>
      <w:r w:rsidRPr="00215EC5">
        <w:rPr>
          <w:i/>
          <w:iCs/>
          <w:color w:val="333A3F"/>
          <w:spacing w:val="1"/>
          <w:sz w:val="22"/>
          <w:szCs w:val="22"/>
          <w:shd w:val="clear" w:color="auto" w:fill="FFFFFF"/>
          <w:lang w:val="sv-SE"/>
        </w:rPr>
        <w:t>JMLIPARE, 1</w:t>
      </w:r>
      <w:r w:rsidRPr="00215EC5">
        <w:rPr>
          <w:color w:val="333A3F"/>
          <w:spacing w:val="1"/>
          <w:sz w:val="22"/>
          <w:szCs w:val="22"/>
          <w:shd w:val="clear" w:color="auto" w:fill="FFFFFF"/>
          <w:lang w:val="sv-SE"/>
        </w:rPr>
        <w:t xml:space="preserve">(1), 17–32. </w:t>
      </w:r>
      <w:hyperlink r:id="rId31" w:tgtFrame="_new" w:history="1">
        <w:r w:rsidRPr="00215EC5">
          <w:rPr>
            <w:rStyle w:val="Hyperlink"/>
            <w:spacing w:val="1"/>
            <w:sz w:val="22"/>
            <w:szCs w:val="22"/>
            <w:shd w:val="clear" w:color="auto" w:fill="FFFFFF"/>
            <w:lang w:val="sv-SE"/>
          </w:rPr>
          <w:t>https://doi.org/10.35905/jmlipare.v1i1.3259</w:t>
        </w:r>
      </w:hyperlink>
    </w:p>
    <w:p w14:paraId="62B500AA" w14:textId="2AE23B14" w:rsidR="00514978" w:rsidRPr="00215EC5" w:rsidRDefault="00514978" w:rsidP="00215EC5">
      <w:pPr>
        <w:spacing w:line="480" w:lineRule="auto"/>
        <w:ind w:left="567" w:hanging="567"/>
        <w:jc w:val="both"/>
        <w:rPr>
          <w:sz w:val="22"/>
          <w:szCs w:val="22"/>
        </w:rPr>
      </w:pPr>
      <w:r w:rsidRPr="00215EC5">
        <w:rPr>
          <w:sz w:val="22"/>
          <w:szCs w:val="22"/>
          <w:lang w:val="sv-SE"/>
        </w:rPr>
        <w:t xml:space="preserve">Hawkins, S., et al. </w:t>
      </w:r>
      <w:r w:rsidRPr="00215EC5">
        <w:rPr>
          <w:sz w:val="22"/>
          <w:szCs w:val="22"/>
        </w:rPr>
        <w:t xml:space="preserve">(2024). Developing guidelines and theory of change for rewilding. </w:t>
      </w:r>
      <w:r w:rsidRPr="00215EC5">
        <w:rPr>
          <w:i/>
          <w:iCs/>
          <w:sz w:val="22"/>
          <w:szCs w:val="22"/>
        </w:rPr>
        <w:t>Frontiers in Conservation Science, 5</w:t>
      </w:r>
      <w:r w:rsidRPr="00215EC5">
        <w:rPr>
          <w:sz w:val="22"/>
          <w:szCs w:val="22"/>
        </w:rPr>
        <w:t xml:space="preserve">. </w:t>
      </w:r>
      <w:hyperlink r:id="rId32" w:tgtFrame="_new" w:history="1">
        <w:r w:rsidRPr="00215EC5">
          <w:rPr>
            <w:rStyle w:val="Hyperlink"/>
            <w:sz w:val="22"/>
            <w:szCs w:val="22"/>
          </w:rPr>
          <w:t>https://doi.org/10.3389/fcosc.2024.1384267</w:t>
        </w:r>
      </w:hyperlink>
    </w:p>
    <w:p w14:paraId="2F306D0E"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Hidayat, R., &amp; Minarmi, M. (2023). The rational choice of Outer Baduy people choosing non-formal education: Case study at PKBM Kencana Ungu, Leuwidamar Village Lebak District. </w:t>
      </w:r>
      <w:r w:rsidRPr="00215EC5">
        <w:rPr>
          <w:i/>
          <w:iCs/>
          <w:color w:val="333A3F"/>
          <w:spacing w:val="1"/>
          <w:sz w:val="22"/>
          <w:szCs w:val="22"/>
          <w:shd w:val="clear" w:color="auto" w:fill="FFFFFF"/>
          <w:lang w:val="sv-SE"/>
        </w:rPr>
        <w:t>Jurnal Sosiologi Pendidikan Humanis, 8</w:t>
      </w:r>
      <w:r w:rsidRPr="00215EC5">
        <w:rPr>
          <w:color w:val="333A3F"/>
          <w:spacing w:val="1"/>
          <w:sz w:val="22"/>
          <w:szCs w:val="22"/>
          <w:shd w:val="clear" w:color="auto" w:fill="FFFFFF"/>
          <w:lang w:val="sv-SE"/>
        </w:rPr>
        <w:t xml:space="preserve">(1), 1. </w:t>
      </w:r>
      <w:hyperlink r:id="rId33" w:tgtFrame="_new" w:history="1">
        <w:r w:rsidRPr="00215EC5">
          <w:rPr>
            <w:rStyle w:val="Hyperlink"/>
            <w:spacing w:val="1"/>
            <w:sz w:val="22"/>
            <w:szCs w:val="22"/>
            <w:shd w:val="clear" w:color="auto" w:fill="FFFFFF"/>
            <w:lang w:val="sv-SE"/>
          </w:rPr>
          <w:t>https://doi.org/10.17977/um021v8i1p1-20</w:t>
        </w:r>
      </w:hyperlink>
    </w:p>
    <w:p w14:paraId="6FD4851B"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Hidayati, I., Lubis, M., &amp; Qalbi, Z. (2021). Studi etnografi proses pendidikan karakter pada anak usia dini melalui dendang saluang. </w:t>
      </w:r>
      <w:r w:rsidRPr="00215EC5">
        <w:rPr>
          <w:i/>
          <w:iCs/>
          <w:color w:val="333A3F"/>
          <w:spacing w:val="1"/>
          <w:sz w:val="22"/>
          <w:szCs w:val="22"/>
          <w:shd w:val="clear" w:color="auto" w:fill="FFFFFF"/>
          <w:lang w:val="sv-SE"/>
        </w:rPr>
        <w:t>Thufula Jurnal Inovasi Pendidikan Guru Raudhatul Athfal, 9</w:t>
      </w:r>
      <w:r w:rsidRPr="00215EC5">
        <w:rPr>
          <w:color w:val="333A3F"/>
          <w:spacing w:val="1"/>
          <w:sz w:val="22"/>
          <w:szCs w:val="22"/>
          <w:shd w:val="clear" w:color="auto" w:fill="FFFFFF"/>
          <w:lang w:val="sv-SE"/>
        </w:rPr>
        <w:t xml:space="preserve">(2), 303. </w:t>
      </w:r>
      <w:hyperlink r:id="rId34" w:tgtFrame="_new" w:history="1">
        <w:r w:rsidRPr="00215EC5">
          <w:rPr>
            <w:rStyle w:val="Hyperlink"/>
            <w:spacing w:val="1"/>
            <w:sz w:val="22"/>
            <w:szCs w:val="22"/>
            <w:shd w:val="clear" w:color="auto" w:fill="FFFFFF"/>
            <w:lang w:val="sv-SE"/>
          </w:rPr>
          <w:t>https://doi.org/10.21043/thufula.v9i2.11499</w:t>
        </w:r>
      </w:hyperlink>
    </w:p>
    <w:p w14:paraId="37E7B6D8" w14:textId="2FAAC7B1"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rPr>
        <w:lastRenderedPageBreak/>
        <w:t xml:space="preserve">Horta, A. (2021). The other's tongue: Place, perspective, and the desire to speak Portuguese among the people of the Xingu indigenous territory. </w:t>
      </w:r>
      <w:r w:rsidRPr="00215EC5">
        <w:rPr>
          <w:rStyle w:val="Emphasis"/>
          <w:rFonts w:eastAsiaTheme="majorEastAsia"/>
          <w:sz w:val="22"/>
          <w:szCs w:val="22"/>
        </w:rPr>
        <w:t>The Journal of Latin American and Caribbean Anthropology, 26</w:t>
      </w:r>
      <w:r w:rsidRPr="00215EC5">
        <w:rPr>
          <w:sz w:val="22"/>
          <w:szCs w:val="22"/>
        </w:rPr>
        <w:t xml:space="preserve">(2), 256–275. </w:t>
      </w:r>
      <w:hyperlink r:id="rId35" w:tgtFrame="_new" w:history="1">
        <w:r w:rsidRPr="00215EC5">
          <w:rPr>
            <w:rStyle w:val="Hyperlink"/>
            <w:rFonts w:eastAsiaTheme="majorEastAsia"/>
            <w:sz w:val="22"/>
            <w:szCs w:val="22"/>
          </w:rPr>
          <w:t>https://doi.org/10.1111/jlca.12544</w:t>
        </w:r>
      </w:hyperlink>
    </w:p>
    <w:p w14:paraId="759480F2" w14:textId="32F1A438" w:rsidR="00514978" w:rsidRPr="00215EC5" w:rsidRDefault="00514978" w:rsidP="00215EC5">
      <w:pPr>
        <w:spacing w:line="480" w:lineRule="auto"/>
        <w:ind w:left="567" w:hanging="567"/>
        <w:jc w:val="both"/>
        <w:rPr>
          <w:sz w:val="22"/>
          <w:szCs w:val="22"/>
        </w:rPr>
      </w:pPr>
      <w:r w:rsidRPr="00215EC5">
        <w:rPr>
          <w:sz w:val="22"/>
          <w:szCs w:val="22"/>
        </w:rPr>
        <w:t xml:space="preserve">Irungu, M., et al. (2021). Outcomes of livelihood diversification. </w:t>
      </w:r>
      <w:r w:rsidRPr="00215EC5">
        <w:rPr>
          <w:i/>
          <w:iCs/>
          <w:sz w:val="22"/>
          <w:szCs w:val="22"/>
        </w:rPr>
        <w:t>Journal of Poverty Investment and Development, 6</w:t>
      </w:r>
      <w:r w:rsidRPr="00215EC5">
        <w:rPr>
          <w:sz w:val="22"/>
          <w:szCs w:val="22"/>
        </w:rPr>
        <w:t xml:space="preserve">(1), 1–17. </w:t>
      </w:r>
      <w:hyperlink r:id="rId36" w:tgtFrame="_new" w:history="1">
        <w:r w:rsidRPr="00215EC5">
          <w:rPr>
            <w:rStyle w:val="Hyperlink"/>
            <w:sz w:val="22"/>
            <w:szCs w:val="22"/>
          </w:rPr>
          <w:t>https://doi.org/10.47604/jpid.1422</w:t>
        </w:r>
      </w:hyperlink>
    </w:p>
    <w:p w14:paraId="564306D6" w14:textId="5705080C" w:rsidR="00514978" w:rsidRPr="00215EC5" w:rsidRDefault="00514978" w:rsidP="00215EC5">
      <w:pPr>
        <w:spacing w:line="480" w:lineRule="auto"/>
        <w:ind w:left="567" w:hanging="567"/>
        <w:jc w:val="both"/>
        <w:rPr>
          <w:sz w:val="22"/>
          <w:szCs w:val="22"/>
        </w:rPr>
      </w:pPr>
      <w:r w:rsidRPr="00215EC5">
        <w:rPr>
          <w:sz w:val="22"/>
          <w:szCs w:val="22"/>
        </w:rPr>
        <w:t xml:space="preserve">Joachim, L., &amp; Zahor, Z. (2022). Hadzabe’s transformation and livelihood dynamics. </w:t>
      </w:r>
      <w:r w:rsidRPr="00215EC5">
        <w:rPr>
          <w:i/>
          <w:iCs/>
          <w:sz w:val="22"/>
          <w:szCs w:val="22"/>
        </w:rPr>
        <w:t>Tanzania Journal for Population Studies and Development, 29</w:t>
      </w:r>
      <w:r w:rsidRPr="00215EC5">
        <w:rPr>
          <w:sz w:val="22"/>
          <w:szCs w:val="22"/>
        </w:rPr>
        <w:t xml:space="preserve">(1), 44–64. </w:t>
      </w:r>
      <w:hyperlink r:id="rId37" w:tgtFrame="_new" w:history="1">
        <w:r w:rsidRPr="00215EC5">
          <w:rPr>
            <w:rStyle w:val="Hyperlink"/>
            <w:sz w:val="22"/>
            <w:szCs w:val="22"/>
          </w:rPr>
          <w:t>https://doi.org/10.56279/tjpsd.v29i1.139</w:t>
        </w:r>
      </w:hyperlink>
    </w:p>
    <w:p w14:paraId="4703408A"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Juardi, I., &amp; Dewi, D. (2024). Implementasi literasi budaya dan kewargaan di Sekolah Dasar Negeri Pasirbitung. </w:t>
      </w:r>
      <w:r w:rsidRPr="00215EC5">
        <w:rPr>
          <w:i/>
          <w:iCs/>
          <w:color w:val="333A3F"/>
          <w:spacing w:val="1"/>
          <w:sz w:val="22"/>
          <w:szCs w:val="22"/>
          <w:shd w:val="clear" w:color="auto" w:fill="FFFFFF"/>
          <w:lang w:val="sv-SE"/>
        </w:rPr>
        <w:t>Jurnal Akuntansi Manajemen Pariwisata dan Pembelajaran Konselin, 2</w:t>
      </w:r>
      <w:r w:rsidRPr="00215EC5">
        <w:rPr>
          <w:color w:val="333A3F"/>
          <w:spacing w:val="1"/>
          <w:sz w:val="22"/>
          <w:szCs w:val="22"/>
          <w:shd w:val="clear" w:color="auto" w:fill="FFFFFF"/>
          <w:lang w:val="sv-SE"/>
        </w:rPr>
        <w:t xml:space="preserve">(1), 223–230. </w:t>
      </w:r>
      <w:hyperlink r:id="rId38" w:tgtFrame="_new" w:history="1">
        <w:r w:rsidRPr="00215EC5">
          <w:rPr>
            <w:rStyle w:val="Hyperlink"/>
            <w:spacing w:val="1"/>
            <w:sz w:val="22"/>
            <w:szCs w:val="22"/>
            <w:shd w:val="clear" w:color="auto" w:fill="FFFFFF"/>
            <w:lang w:val="sv-SE"/>
          </w:rPr>
          <w:t>https://doi.org/10.57235/jamparing.v2i1.1975</w:t>
        </w:r>
      </w:hyperlink>
    </w:p>
    <w:p w14:paraId="19F26B20" w14:textId="77777777" w:rsidR="00514978" w:rsidRPr="00215EC5" w:rsidRDefault="00514978" w:rsidP="00215EC5">
      <w:pPr>
        <w:spacing w:line="480" w:lineRule="auto"/>
        <w:ind w:left="567" w:hanging="567"/>
        <w:jc w:val="both"/>
        <w:rPr>
          <w:sz w:val="22"/>
          <w:szCs w:val="22"/>
        </w:rPr>
      </w:pPr>
      <w:r w:rsidRPr="00215EC5">
        <w:rPr>
          <w:sz w:val="22"/>
          <w:szCs w:val="22"/>
        </w:rPr>
        <w:t xml:space="preserve">Karki, J., et al. (2022). From goods to goats: Livelihood recovery post-earthquake. </w:t>
      </w:r>
      <w:r w:rsidRPr="00215EC5">
        <w:rPr>
          <w:i/>
          <w:iCs/>
          <w:sz w:val="22"/>
          <w:szCs w:val="22"/>
        </w:rPr>
        <w:t>Natural Hazards, 114</w:t>
      </w:r>
      <w:r w:rsidRPr="00215EC5">
        <w:rPr>
          <w:sz w:val="22"/>
          <w:szCs w:val="22"/>
        </w:rPr>
        <w:t xml:space="preserve">(3), 3787–3809. </w:t>
      </w:r>
      <w:hyperlink r:id="rId39" w:tgtFrame="_new" w:history="1">
        <w:r w:rsidRPr="00215EC5">
          <w:rPr>
            <w:rStyle w:val="Hyperlink"/>
            <w:sz w:val="22"/>
            <w:szCs w:val="22"/>
          </w:rPr>
          <w:t>https://doi.org/10.1007/s11069-022-05543-0</w:t>
        </w:r>
      </w:hyperlink>
    </w:p>
    <w:p w14:paraId="04047508" w14:textId="77777777" w:rsidR="00514978" w:rsidRPr="00215EC5" w:rsidRDefault="00514978" w:rsidP="00215EC5">
      <w:pPr>
        <w:spacing w:line="480" w:lineRule="auto"/>
        <w:ind w:left="567" w:hanging="567"/>
        <w:jc w:val="both"/>
        <w:rPr>
          <w:sz w:val="22"/>
          <w:szCs w:val="22"/>
        </w:rPr>
      </w:pPr>
      <w:r w:rsidRPr="00215EC5">
        <w:rPr>
          <w:sz w:val="22"/>
          <w:szCs w:val="22"/>
        </w:rPr>
        <w:t xml:space="preserve">Khanal, A., et al. (2021). PPE use among waste workers. </w:t>
      </w:r>
      <w:r w:rsidRPr="00215EC5">
        <w:rPr>
          <w:i/>
          <w:iCs/>
          <w:sz w:val="22"/>
          <w:szCs w:val="22"/>
        </w:rPr>
        <w:t>International Journal of Occupational Safety and Health, 11</w:t>
      </w:r>
      <w:r w:rsidRPr="00215EC5">
        <w:rPr>
          <w:sz w:val="22"/>
          <w:szCs w:val="22"/>
        </w:rPr>
        <w:t xml:space="preserve">(3), 158–164. </w:t>
      </w:r>
      <w:hyperlink r:id="rId40" w:tgtFrame="_new" w:history="1">
        <w:r w:rsidRPr="00215EC5">
          <w:rPr>
            <w:rStyle w:val="Hyperlink"/>
            <w:sz w:val="22"/>
            <w:szCs w:val="22"/>
          </w:rPr>
          <w:t>https://doi.org/10.3126/ijosh.v11i3.39768</w:t>
        </w:r>
      </w:hyperlink>
    </w:p>
    <w:p w14:paraId="6C0E0D27" w14:textId="77129E01" w:rsidR="00514978" w:rsidRPr="00215EC5" w:rsidRDefault="00514978" w:rsidP="00215EC5">
      <w:pPr>
        <w:spacing w:line="480" w:lineRule="auto"/>
        <w:ind w:left="567" w:hanging="567"/>
        <w:jc w:val="both"/>
        <w:rPr>
          <w:sz w:val="22"/>
          <w:szCs w:val="22"/>
        </w:rPr>
      </w:pPr>
      <w:r w:rsidRPr="00215EC5">
        <w:rPr>
          <w:sz w:val="22"/>
          <w:szCs w:val="22"/>
        </w:rPr>
        <w:t xml:space="preserve">Kikon, D., &amp; Barbora, S. (2020). The rehabilitation zone. </w:t>
      </w:r>
      <w:r w:rsidRPr="00215EC5">
        <w:rPr>
          <w:i/>
          <w:iCs/>
          <w:sz w:val="22"/>
          <w:szCs w:val="22"/>
        </w:rPr>
        <w:t>Environment and Planning E: Nature and Space, 4</w:t>
      </w:r>
      <w:r w:rsidRPr="00215EC5">
        <w:rPr>
          <w:sz w:val="22"/>
          <w:szCs w:val="22"/>
        </w:rPr>
        <w:t xml:space="preserve">(3), 1121–1138. </w:t>
      </w:r>
      <w:hyperlink r:id="rId41" w:tgtFrame="_new" w:history="1">
        <w:r w:rsidRPr="00215EC5">
          <w:rPr>
            <w:rStyle w:val="Hyperlink"/>
            <w:sz w:val="22"/>
            <w:szCs w:val="22"/>
          </w:rPr>
          <w:t>https://doi.org/10.1177/2514848620946973</w:t>
        </w:r>
      </w:hyperlink>
    </w:p>
    <w:p w14:paraId="62CFBEFB"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rPr>
        <w:t xml:space="preserve">Kusmana, A., Widyagdo, A., Suharja, E., Tiana, M., &amp; Wulansari, E. (2024). Implementation of art therapy techniques on toothbrushing skills for school-age children in Kuta Traditional Village. </w:t>
      </w:r>
      <w:r w:rsidRPr="00215EC5">
        <w:rPr>
          <w:i/>
          <w:iCs/>
          <w:color w:val="333A3F"/>
          <w:spacing w:val="1"/>
          <w:sz w:val="22"/>
          <w:szCs w:val="22"/>
          <w:shd w:val="clear" w:color="auto" w:fill="FFFFFF"/>
        </w:rPr>
        <w:t>JDHT Journal of Dental Hygiene and Therapy, 5</w:t>
      </w:r>
      <w:r w:rsidRPr="00215EC5">
        <w:rPr>
          <w:color w:val="333A3F"/>
          <w:spacing w:val="1"/>
          <w:sz w:val="22"/>
          <w:szCs w:val="22"/>
          <w:shd w:val="clear" w:color="auto" w:fill="FFFFFF"/>
        </w:rPr>
        <w:t xml:space="preserve">(2), 92–96. </w:t>
      </w:r>
      <w:hyperlink r:id="rId42" w:tgtFrame="_new" w:history="1">
        <w:r w:rsidRPr="00215EC5">
          <w:rPr>
            <w:rStyle w:val="Hyperlink"/>
            <w:spacing w:val="1"/>
            <w:sz w:val="22"/>
            <w:szCs w:val="22"/>
            <w:shd w:val="clear" w:color="auto" w:fill="FFFFFF"/>
          </w:rPr>
          <w:t>https://doi.org/10.36082/jdht.v5i2.1869</w:t>
        </w:r>
      </w:hyperlink>
    </w:p>
    <w:p w14:paraId="4F759F7A" w14:textId="77777777" w:rsidR="000E1DE2" w:rsidRPr="00215EC5" w:rsidRDefault="000E1DE2" w:rsidP="00215EC5">
      <w:pPr>
        <w:spacing w:line="480" w:lineRule="auto"/>
        <w:ind w:left="567" w:hanging="567"/>
        <w:jc w:val="both"/>
        <w:rPr>
          <w:sz w:val="22"/>
          <w:szCs w:val="22"/>
        </w:rPr>
      </w:pPr>
      <w:r w:rsidRPr="00215EC5">
        <w:rPr>
          <w:sz w:val="22"/>
          <w:szCs w:val="22"/>
        </w:rPr>
        <w:t xml:space="preserve">Levers, C., et al. (2021). Agricultural expansion and marginalization. </w:t>
      </w:r>
      <w:r w:rsidRPr="00215EC5">
        <w:rPr>
          <w:i/>
          <w:iCs/>
          <w:sz w:val="22"/>
          <w:szCs w:val="22"/>
        </w:rPr>
        <w:t>PNAS, 118</w:t>
      </w:r>
      <w:r w:rsidRPr="00215EC5">
        <w:rPr>
          <w:sz w:val="22"/>
          <w:szCs w:val="22"/>
        </w:rPr>
        <w:t xml:space="preserve">(44). </w:t>
      </w:r>
      <w:hyperlink r:id="rId43" w:tgtFrame="_new" w:history="1">
        <w:r w:rsidRPr="00215EC5">
          <w:rPr>
            <w:rStyle w:val="Hyperlink"/>
            <w:sz w:val="22"/>
            <w:szCs w:val="22"/>
          </w:rPr>
          <w:t>https://doi.org/10.1073/pnas.2100436118</w:t>
        </w:r>
      </w:hyperlink>
    </w:p>
    <w:p w14:paraId="73C37F35" w14:textId="07FDFB7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Lewis, M., Wildcat, S., &amp; Anderson, A. (2023). Visioning an effective health encounter: Indigenous healthcare experiences and recommendations for health professionals. </w:t>
      </w:r>
      <w:r w:rsidRPr="00215EC5">
        <w:rPr>
          <w:rStyle w:val="Emphasis"/>
          <w:rFonts w:eastAsiaTheme="majorEastAsia"/>
          <w:sz w:val="22"/>
          <w:szCs w:val="22"/>
        </w:rPr>
        <w:t>International Journal of Environmental Research and Public Health, 20</w:t>
      </w:r>
      <w:r w:rsidRPr="00215EC5">
        <w:rPr>
          <w:sz w:val="22"/>
          <w:szCs w:val="22"/>
        </w:rPr>
        <w:t xml:space="preserve">(20), 6917. </w:t>
      </w:r>
      <w:hyperlink r:id="rId44" w:tgtFrame="_new" w:history="1">
        <w:r w:rsidRPr="00215EC5">
          <w:rPr>
            <w:rStyle w:val="Hyperlink"/>
            <w:rFonts w:eastAsiaTheme="majorEastAsia"/>
            <w:sz w:val="22"/>
            <w:szCs w:val="22"/>
          </w:rPr>
          <w:t>https://doi.org/10.3390/ijerph20206917</w:t>
        </w:r>
      </w:hyperlink>
    </w:p>
    <w:p w14:paraId="29B93144" w14:textId="6FEE9EC5" w:rsidR="000E1DE2" w:rsidRPr="00215EC5" w:rsidRDefault="000E1DE2" w:rsidP="00215EC5">
      <w:pPr>
        <w:spacing w:line="480" w:lineRule="auto"/>
        <w:ind w:left="567" w:hanging="567"/>
        <w:jc w:val="both"/>
        <w:rPr>
          <w:sz w:val="22"/>
          <w:szCs w:val="22"/>
        </w:rPr>
      </w:pPr>
      <w:r w:rsidRPr="00215EC5">
        <w:rPr>
          <w:sz w:val="22"/>
          <w:szCs w:val="22"/>
        </w:rPr>
        <w:t xml:space="preserve">Leya, R., et al. (2021). Gendered lens in livelihood diversification. </w:t>
      </w:r>
      <w:r w:rsidRPr="00215EC5">
        <w:rPr>
          <w:i/>
          <w:iCs/>
          <w:sz w:val="22"/>
          <w:szCs w:val="22"/>
        </w:rPr>
        <w:t>Plan Plus, 11</w:t>
      </w:r>
      <w:r w:rsidRPr="00215EC5">
        <w:rPr>
          <w:sz w:val="22"/>
          <w:szCs w:val="22"/>
        </w:rPr>
        <w:t xml:space="preserve">(1). </w:t>
      </w:r>
      <w:hyperlink r:id="rId45" w:tgtFrame="_new" w:history="1">
        <w:r w:rsidRPr="00215EC5">
          <w:rPr>
            <w:rStyle w:val="Hyperlink"/>
            <w:sz w:val="22"/>
            <w:szCs w:val="22"/>
          </w:rPr>
          <w:t>https://doi.org/10.54470/planplus.v11i1.3</w:t>
        </w:r>
      </w:hyperlink>
    </w:p>
    <w:p w14:paraId="0D1A33D7" w14:textId="7777777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lastRenderedPageBreak/>
        <w:t xml:space="preserve">MacLean, T., Qiang, J., Henderson, L., Bowra, A., Howard, L., Pringle, V., … &amp; Mashford‐Pringle, A. (2023). Indigenous cultural safety training for applied health, social work, and education professionals: A PRISMA scoping review. </w:t>
      </w:r>
      <w:r w:rsidRPr="00215EC5">
        <w:rPr>
          <w:rStyle w:val="Emphasis"/>
          <w:rFonts w:eastAsiaTheme="majorEastAsia"/>
          <w:sz w:val="22"/>
          <w:szCs w:val="22"/>
        </w:rPr>
        <w:t>International Journal of Environmental Research and Public Health, 20</w:t>
      </w:r>
      <w:r w:rsidRPr="00215EC5">
        <w:rPr>
          <w:sz w:val="22"/>
          <w:szCs w:val="22"/>
        </w:rPr>
        <w:t xml:space="preserve">(6), 5217. </w:t>
      </w:r>
      <w:hyperlink r:id="rId46" w:tgtFrame="_new" w:history="1">
        <w:r w:rsidRPr="00215EC5">
          <w:rPr>
            <w:rStyle w:val="Hyperlink"/>
            <w:rFonts w:eastAsiaTheme="majorEastAsia"/>
            <w:sz w:val="22"/>
            <w:szCs w:val="22"/>
          </w:rPr>
          <w:t>https://doi.org/10.3390/ijerph20065217</w:t>
        </w:r>
      </w:hyperlink>
    </w:p>
    <w:p w14:paraId="37E4A290" w14:textId="1EE35365" w:rsidR="001B2884" w:rsidRPr="00215EC5" w:rsidRDefault="001B2884" w:rsidP="00215EC5">
      <w:pPr>
        <w:spacing w:line="480" w:lineRule="auto"/>
        <w:ind w:left="567" w:hanging="567"/>
        <w:jc w:val="both"/>
        <w:rPr>
          <w:sz w:val="22"/>
          <w:szCs w:val="22"/>
        </w:rPr>
      </w:pPr>
      <w:r w:rsidRPr="00215EC5">
        <w:rPr>
          <w:sz w:val="22"/>
          <w:szCs w:val="22"/>
        </w:rPr>
        <w:t xml:space="preserve">Magiri, R., et al. (2020). Climate change impact on animal health. </w:t>
      </w:r>
      <w:hyperlink r:id="rId47" w:tgtFrame="_new" w:history="1">
        <w:r w:rsidRPr="00215EC5">
          <w:rPr>
            <w:rStyle w:val="Hyperlink"/>
            <w:sz w:val="22"/>
            <w:szCs w:val="22"/>
          </w:rPr>
          <w:t>https://doi.org/10.1007/978-3-030-42091-8_19-1</w:t>
        </w:r>
      </w:hyperlink>
    </w:p>
    <w:p w14:paraId="110F2564" w14:textId="62FF068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Makwa, D. (2021). Musicking and dancing imbalu at Namasho: Enacting indigenous education among the Bagisu, Uganda. </w:t>
      </w:r>
      <w:r w:rsidRPr="00215EC5">
        <w:rPr>
          <w:rStyle w:val="Emphasis"/>
          <w:rFonts w:eastAsiaTheme="majorEastAsia"/>
          <w:sz w:val="22"/>
          <w:szCs w:val="22"/>
        </w:rPr>
        <w:t>Yearbook for Traditional Music, 53</w:t>
      </w:r>
      <w:r w:rsidRPr="00215EC5">
        <w:rPr>
          <w:sz w:val="22"/>
          <w:szCs w:val="22"/>
        </w:rPr>
        <w:t xml:space="preserve">, 127–154. </w:t>
      </w:r>
      <w:hyperlink r:id="rId48" w:tgtFrame="_new" w:history="1">
        <w:r w:rsidRPr="00215EC5">
          <w:rPr>
            <w:rStyle w:val="Hyperlink"/>
            <w:rFonts w:eastAsiaTheme="majorEastAsia"/>
            <w:sz w:val="22"/>
            <w:szCs w:val="22"/>
          </w:rPr>
          <w:t>https://doi.org/10.1017/ytm.2021.28</w:t>
        </w:r>
      </w:hyperlink>
    </w:p>
    <w:p w14:paraId="0402BBC3" w14:textId="7777777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Monchalin, R., Lesperance, A., Flicker, S., Forrest, S., Allan, E., &amp; Xavier, C. (2023). Taking the sexy health carnival across Turtle Island. </w:t>
      </w:r>
      <w:r w:rsidRPr="00215EC5">
        <w:rPr>
          <w:rStyle w:val="Emphasis"/>
          <w:rFonts w:eastAsiaTheme="majorEastAsia"/>
          <w:sz w:val="22"/>
          <w:szCs w:val="22"/>
        </w:rPr>
        <w:t>Alternative: An International Journal of Indigenous Peoples, 19</w:t>
      </w:r>
      <w:r w:rsidRPr="00215EC5">
        <w:rPr>
          <w:sz w:val="22"/>
          <w:szCs w:val="22"/>
        </w:rPr>
        <w:t xml:space="preserve">(4), 804–813. </w:t>
      </w:r>
      <w:hyperlink r:id="rId49" w:tgtFrame="_new" w:history="1">
        <w:r w:rsidRPr="00215EC5">
          <w:rPr>
            <w:rStyle w:val="Hyperlink"/>
            <w:rFonts w:eastAsiaTheme="majorEastAsia"/>
            <w:sz w:val="22"/>
            <w:szCs w:val="22"/>
          </w:rPr>
          <w:t>https://doi.org/10.1177/11771801231198039</w:t>
        </w:r>
      </w:hyperlink>
    </w:p>
    <w:p w14:paraId="5B812203" w14:textId="5A63865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Monkman, M., &amp; Limoges, J. (2023). Pathways for healthcare organizations to strengthen indigenous nurse retention. </w:t>
      </w:r>
      <w:r w:rsidRPr="00215EC5">
        <w:rPr>
          <w:rStyle w:val="Emphasis"/>
          <w:rFonts w:eastAsiaTheme="majorEastAsia"/>
          <w:sz w:val="22"/>
          <w:szCs w:val="22"/>
        </w:rPr>
        <w:t>Canadian Journal of Nursing Leadership, 35</w:t>
      </w:r>
      <w:r w:rsidRPr="00215EC5">
        <w:rPr>
          <w:sz w:val="22"/>
          <w:szCs w:val="22"/>
        </w:rPr>
        <w:t xml:space="preserve">(4), 68–84. </w:t>
      </w:r>
      <w:hyperlink r:id="rId50" w:tgtFrame="_new" w:history="1">
        <w:r w:rsidRPr="00215EC5">
          <w:rPr>
            <w:rStyle w:val="Hyperlink"/>
            <w:rFonts w:eastAsiaTheme="majorEastAsia"/>
            <w:sz w:val="22"/>
            <w:szCs w:val="22"/>
          </w:rPr>
          <w:t>https://doi.org/10.12927/cjnl.2023.27072</w:t>
        </w:r>
      </w:hyperlink>
    </w:p>
    <w:p w14:paraId="6F94726B" w14:textId="77777777" w:rsidR="000E1DE2" w:rsidRPr="00215EC5" w:rsidRDefault="000E1DE2" w:rsidP="00215EC5">
      <w:pPr>
        <w:spacing w:line="480" w:lineRule="auto"/>
        <w:ind w:left="567" w:hanging="567"/>
        <w:jc w:val="both"/>
        <w:rPr>
          <w:sz w:val="22"/>
          <w:szCs w:val="22"/>
        </w:rPr>
      </w:pPr>
      <w:r w:rsidRPr="00215EC5">
        <w:rPr>
          <w:sz w:val="22"/>
          <w:szCs w:val="22"/>
        </w:rPr>
        <w:t xml:space="preserve">Motsumi, M., &amp; Nemakonde, L. (2024). Framework for integrating indigenous knowledge. </w:t>
      </w:r>
      <w:r w:rsidRPr="00215EC5">
        <w:rPr>
          <w:i/>
          <w:iCs/>
          <w:sz w:val="22"/>
          <w:szCs w:val="22"/>
        </w:rPr>
        <w:t>Disaster Prevention and Management, 33</w:t>
      </w:r>
      <w:r w:rsidRPr="00215EC5">
        <w:rPr>
          <w:sz w:val="22"/>
          <w:szCs w:val="22"/>
        </w:rPr>
        <w:t xml:space="preserve">(6), 73–85. </w:t>
      </w:r>
      <w:hyperlink r:id="rId51" w:tgtFrame="_new" w:history="1">
        <w:r w:rsidRPr="00215EC5">
          <w:rPr>
            <w:rStyle w:val="Hyperlink"/>
            <w:sz w:val="22"/>
            <w:szCs w:val="22"/>
          </w:rPr>
          <w:t>https://doi.org/10.1108/dpm-08-2024-0220</w:t>
        </w:r>
      </w:hyperlink>
    </w:p>
    <w:p w14:paraId="75C0F911" w14:textId="158AD402" w:rsidR="000E1DE2" w:rsidRPr="00215EC5" w:rsidRDefault="000E1DE2" w:rsidP="00215EC5">
      <w:pPr>
        <w:spacing w:line="480" w:lineRule="auto"/>
        <w:ind w:left="567" w:hanging="567"/>
        <w:jc w:val="both"/>
        <w:rPr>
          <w:sz w:val="22"/>
          <w:szCs w:val="22"/>
          <w:lang w:val="sv-SE"/>
        </w:rPr>
      </w:pPr>
      <w:r w:rsidRPr="00215EC5">
        <w:rPr>
          <w:sz w:val="22"/>
          <w:szCs w:val="22"/>
        </w:rPr>
        <w:t xml:space="preserve">Msemwa, L., et al. (2024). Sunflower value chain and livelihood. </w:t>
      </w:r>
      <w:r w:rsidRPr="00215EC5">
        <w:rPr>
          <w:i/>
          <w:iCs/>
          <w:sz w:val="22"/>
          <w:szCs w:val="22"/>
          <w:lang w:val="sv-SE"/>
        </w:rPr>
        <w:t>IJEBMR, 8</w:t>
      </w:r>
      <w:r w:rsidRPr="00215EC5">
        <w:rPr>
          <w:sz w:val="22"/>
          <w:szCs w:val="22"/>
          <w:lang w:val="sv-SE"/>
        </w:rPr>
        <w:t xml:space="preserve">(2), 170–186. </w:t>
      </w:r>
      <w:hyperlink r:id="rId52" w:tgtFrame="_new" w:history="1">
        <w:r w:rsidRPr="00215EC5">
          <w:rPr>
            <w:rStyle w:val="Hyperlink"/>
            <w:sz w:val="22"/>
            <w:szCs w:val="22"/>
            <w:lang w:val="sv-SE"/>
          </w:rPr>
          <w:t>https://doi.org/10.51505/ijebmr.2024.8214</w:t>
        </w:r>
      </w:hyperlink>
    </w:p>
    <w:p w14:paraId="56DE7CA6"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Muttaqin, M., &amp; Maryanti, N. (2024). Penguatan pendidikan karakter terhadap sikap peduli lingkungan siswa kelas III di MI Ta’lim Mubtadi 1. </w:t>
      </w:r>
      <w:r w:rsidRPr="00215EC5">
        <w:rPr>
          <w:i/>
          <w:iCs/>
          <w:color w:val="333A3F"/>
          <w:spacing w:val="1"/>
          <w:sz w:val="22"/>
          <w:szCs w:val="22"/>
          <w:shd w:val="clear" w:color="auto" w:fill="FFFFFF"/>
          <w:lang w:val="sv-SE"/>
        </w:rPr>
        <w:t>Dawuh Guru Jurnal Pendidikan MI/SD, 4</w:t>
      </w:r>
      <w:r w:rsidRPr="00215EC5">
        <w:rPr>
          <w:color w:val="333A3F"/>
          <w:spacing w:val="1"/>
          <w:sz w:val="22"/>
          <w:szCs w:val="22"/>
          <w:shd w:val="clear" w:color="auto" w:fill="FFFFFF"/>
          <w:lang w:val="sv-SE"/>
        </w:rPr>
        <w:t xml:space="preserve">(1), 83–92. </w:t>
      </w:r>
      <w:hyperlink r:id="rId53" w:tgtFrame="_new" w:history="1">
        <w:r w:rsidRPr="00215EC5">
          <w:rPr>
            <w:rStyle w:val="Hyperlink"/>
            <w:spacing w:val="1"/>
            <w:sz w:val="22"/>
            <w:szCs w:val="22"/>
            <w:shd w:val="clear" w:color="auto" w:fill="FFFFFF"/>
            <w:lang w:val="sv-SE"/>
          </w:rPr>
          <w:t>https://doi.org/10.35878/guru.v4i1.1084</w:t>
        </w:r>
      </w:hyperlink>
    </w:p>
    <w:p w14:paraId="3060C180"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Mustafa, M., &amp; Pasaribu, H. (2024). Strategi pendidikan multikultural dalam pembelajaran Pendidikan Agama Islam (PAI) di SD Islam Terpadu Al-Abqari Kota Subulussalam Provinsi Aceh. </w:t>
      </w:r>
      <w:r w:rsidRPr="00215EC5">
        <w:rPr>
          <w:i/>
          <w:iCs/>
          <w:color w:val="333A3F"/>
          <w:spacing w:val="1"/>
          <w:sz w:val="22"/>
          <w:szCs w:val="22"/>
          <w:shd w:val="clear" w:color="auto" w:fill="FFFFFF"/>
          <w:lang w:val="sv-SE"/>
        </w:rPr>
        <w:t>Fondatia, 8</w:t>
      </w:r>
      <w:r w:rsidRPr="00215EC5">
        <w:rPr>
          <w:color w:val="333A3F"/>
          <w:spacing w:val="1"/>
          <w:sz w:val="22"/>
          <w:szCs w:val="22"/>
          <w:shd w:val="clear" w:color="auto" w:fill="FFFFFF"/>
          <w:lang w:val="sv-SE"/>
        </w:rPr>
        <w:t xml:space="preserve">(1), 53–65. </w:t>
      </w:r>
      <w:hyperlink r:id="rId54" w:tgtFrame="_new" w:history="1">
        <w:r w:rsidRPr="00215EC5">
          <w:rPr>
            <w:rStyle w:val="Hyperlink"/>
            <w:spacing w:val="1"/>
            <w:sz w:val="22"/>
            <w:szCs w:val="22"/>
            <w:shd w:val="clear" w:color="auto" w:fill="FFFFFF"/>
            <w:lang w:val="sv-SE"/>
          </w:rPr>
          <w:t>https://doi.org/10.36088/fondatia.v8i1.4492</w:t>
        </w:r>
      </w:hyperlink>
    </w:p>
    <w:p w14:paraId="6E2A7FC8" w14:textId="189695FD" w:rsidR="000E1DE2" w:rsidRPr="00215EC5" w:rsidRDefault="000E1DE2" w:rsidP="00215EC5">
      <w:pPr>
        <w:spacing w:line="480" w:lineRule="auto"/>
        <w:ind w:left="567" w:hanging="567"/>
        <w:jc w:val="both"/>
        <w:rPr>
          <w:sz w:val="22"/>
          <w:szCs w:val="22"/>
          <w:lang w:val="sv-SE"/>
        </w:rPr>
      </w:pPr>
      <w:r w:rsidRPr="00215EC5">
        <w:rPr>
          <w:sz w:val="22"/>
          <w:szCs w:val="22"/>
          <w:lang w:val="sv-SE"/>
        </w:rPr>
        <w:t xml:space="preserve">Nath, S., et al. </w:t>
      </w:r>
      <w:r w:rsidRPr="00215EC5">
        <w:rPr>
          <w:sz w:val="22"/>
          <w:szCs w:val="22"/>
        </w:rPr>
        <w:t xml:space="preserve">(2019). Have polders decreased livelihood vulnerability? </w:t>
      </w:r>
      <w:r w:rsidRPr="00215EC5">
        <w:rPr>
          <w:i/>
          <w:iCs/>
          <w:sz w:val="22"/>
          <w:szCs w:val="22"/>
          <w:lang w:val="sv-SE"/>
        </w:rPr>
        <w:t>Sustainability, 11</w:t>
      </w:r>
      <w:r w:rsidRPr="00215EC5">
        <w:rPr>
          <w:sz w:val="22"/>
          <w:szCs w:val="22"/>
          <w:lang w:val="sv-SE"/>
        </w:rPr>
        <w:t xml:space="preserve">(24), 7141. </w:t>
      </w:r>
      <w:hyperlink r:id="rId55" w:tgtFrame="_new" w:history="1">
        <w:r w:rsidRPr="00215EC5">
          <w:rPr>
            <w:rStyle w:val="Hyperlink"/>
            <w:sz w:val="22"/>
            <w:szCs w:val="22"/>
            <w:lang w:val="sv-SE"/>
          </w:rPr>
          <w:t>https://doi.org/10.3390/su11247141</w:t>
        </w:r>
      </w:hyperlink>
    </w:p>
    <w:p w14:paraId="0AEC1323"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lastRenderedPageBreak/>
        <w:t xml:space="preserve">Nuraini, L., &amp; Setyowati, F. (2023). Efektivitas bahan ajar berbasis etnomatematika terhadap hasil belajar matematika siswa Madrasah Ibtidaiyah. </w:t>
      </w:r>
      <w:r w:rsidRPr="00215EC5">
        <w:rPr>
          <w:i/>
          <w:iCs/>
          <w:color w:val="333A3F"/>
          <w:spacing w:val="1"/>
          <w:sz w:val="22"/>
          <w:szCs w:val="22"/>
          <w:shd w:val="clear" w:color="auto" w:fill="FFFFFF"/>
          <w:lang w:val="sv-SE"/>
        </w:rPr>
        <w:t>Dawuh Guru Jurnal Pendidikan MI/SD, 3</w:t>
      </w:r>
      <w:r w:rsidRPr="00215EC5">
        <w:rPr>
          <w:color w:val="333A3F"/>
          <w:spacing w:val="1"/>
          <w:sz w:val="22"/>
          <w:szCs w:val="22"/>
          <w:shd w:val="clear" w:color="auto" w:fill="FFFFFF"/>
          <w:lang w:val="sv-SE"/>
        </w:rPr>
        <w:t xml:space="preserve">(2), 133–144. </w:t>
      </w:r>
      <w:hyperlink r:id="rId56" w:tgtFrame="_new" w:history="1">
        <w:r w:rsidRPr="00215EC5">
          <w:rPr>
            <w:rStyle w:val="Hyperlink"/>
            <w:spacing w:val="1"/>
            <w:sz w:val="22"/>
            <w:szCs w:val="22"/>
            <w:shd w:val="clear" w:color="auto" w:fill="FFFFFF"/>
            <w:lang w:val="sv-SE"/>
          </w:rPr>
          <w:t>https://doi.org/10.35878/guru.v3i2.886</w:t>
        </w:r>
      </w:hyperlink>
    </w:p>
    <w:p w14:paraId="6F77579F" w14:textId="77777777" w:rsidR="000E1DE2" w:rsidRPr="00215EC5" w:rsidRDefault="000E1DE2" w:rsidP="00215EC5">
      <w:pPr>
        <w:spacing w:line="480" w:lineRule="auto"/>
        <w:ind w:left="567" w:hanging="567"/>
        <w:jc w:val="both"/>
        <w:rPr>
          <w:sz w:val="22"/>
          <w:szCs w:val="22"/>
        </w:rPr>
      </w:pPr>
      <w:r w:rsidRPr="00215EC5">
        <w:rPr>
          <w:sz w:val="22"/>
          <w:szCs w:val="22"/>
        </w:rPr>
        <w:t xml:space="preserve">Ojogiwa, O., &amp; Mubangizi, B. (2023). Food security in decentralised systems. </w:t>
      </w:r>
      <w:r w:rsidRPr="00215EC5">
        <w:rPr>
          <w:i/>
          <w:iCs/>
          <w:sz w:val="22"/>
          <w:szCs w:val="22"/>
        </w:rPr>
        <w:t>African Journal of Governance and Development, 12</w:t>
      </w:r>
      <w:r w:rsidRPr="00215EC5">
        <w:rPr>
          <w:sz w:val="22"/>
          <w:szCs w:val="22"/>
        </w:rPr>
        <w:t xml:space="preserve">(2), 141–160. </w:t>
      </w:r>
      <w:hyperlink r:id="rId57" w:tgtFrame="_new" w:history="1">
        <w:r w:rsidRPr="00215EC5">
          <w:rPr>
            <w:rStyle w:val="Hyperlink"/>
            <w:sz w:val="22"/>
            <w:szCs w:val="22"/>
          </w:rPr>
          <w:t>https://doi.org/10.36369/2616-9045/2023/v12i2a9</w:t>
        </w:r>
      </w:hyperlink>
    </w:p>
    <w:p w14:paraId="50694FF1" w14:textId="77777777" w:rsidR="000E1DE2" w:rsidRPr="00215EC5" w:rsidRDefault="000E1DE2" w:rsidP="00215EC5">
      <w:pPr>
        <w:spacing w:line="480" w:lineRule="auto"/>
        <w:ind w:left="567" w:hanging="567"/>
        <w:jc w:val="both"/>
        <w:rPr>
          <w:sz w:val="22"/>
          <w:szCs w:val="22"/>
        </w:rPr>
      </w:pPr>
      <w:r w:rsidRPr="00215EC5">
        <w:rPr>
          <w:sz w:val="22"/>
          <w:szCs w:val="22"/>
        </w:rPr>
        <w:t xml:space="preserve">Onsay, E., et al. (2022). Economic behavior of fisherfolks. </w:t>
      </w:r>
      <w:r w:rsidRPr="00215EC5">
        <w:rPr>
          <w:i/>
          <w:iCs/>
          <w:sz w:val="22"/>
          <w:szCs w:val="22"/>
        </w:rPr>
        <w:t>Journal of Mathematics Instruction Social Research and Opinion, 1</w:t>
      </w:r>
      <w:r w:rsidRPr="00215EC5">
        <w:rPr>
          <w:sz w:val="22"/>
          <w:szCs w:val="22"/>
        </w:rPr>
        <w:t xml:space="preserve">(3), 163–174. </w:t>
      </w:r>
      <w:hyperlink r:id="rId58" w:tgtFrame="_new" w:history="1">
        <w:r w:rsidRPr="00215EC5">
          <w:rPr>
            <w:rStyle w:val="Hyperlink"/>
            <w:sz w:val="22"/>
            <w:szCs w:val="22"/>
          </w:rPr>
          <w:t>https://doi.org/10.58421/misro.v1i3.42</w:t>
        </w:r>
      </w:hyperlink>
    </w:p>
    <w:p w14:paraId="0C5455A7" w14:textId="695F145E" w:rsidR="000E1DE2" w:rsidRPr="00215EC5" w:rsidRDefault="000E1DE2" w:rsidP="00215EC5">
      <w:pPr>
        <w:spacing w:line="480" w:lineRule="auto"/>
        <w:ind w:left="567" w:hanging="567"/>
        <w:jc w:val="both"/>
        <w:rPr>
          <w:sz w:val="22"/>
          <w:szCs w:val="22"/>
        </w:rPr>
      </w:pPr>
      <w:r w:rsidRPr="00215EC5">
        <w:rPr>
          <w:sz w:val="22"/>
          <w:szCs w:val="22"/>
        </w:rPr>
        <w:t xml:space="preserve">Osumanu, I. (2020). Small-scale mining and livelihood dynamics. </w:t>
      </w:r>
      <w:r w:rsidRPr="00215EC5">
        <w:rPr>
          <w:i/>
          <w:iCs/>
          <w:sz w:val="22"/>
          <w:szCs w:val="22"/>
        </w:rPr>
        <w:t>Progress in Development Studies, 20</w:t>
      </w:r>
      <w:r w:rsidRPr="00215EC5">
        <w:rPr>
          <w:sz w:val="22"/>
          <w:szCs w:val="22"/>
        </w:rPr>
        <w:t xml:space="preserve">(3), 208–222. </w:t>
      </w:r>
      <w:hyperlink r:id="rId59" w:tgtFrame="_new" w:history="1">
        <w:r w:rsidRPr="00215EC5">
          <w:rPr>
            <w:rStyle w:val="Hyperlink"/>
            <w:sz w:val="22"/>
            <w:szCs w:val="22"/>
          </w:rPr>
          <w:t>https://doi.org/10.1177/1464993420934223</w:t>
        </w:r>
      </w:hyperlink>
    </w:p>
    <w:p w14:paraId="4ED9035B" w14:textId="77777777" w:rsidR="000E1DE2" w:rsidRPr="00215EC5" w:rsidRDefault="000E1DE2" w:rsidP="00215EC5">
      <w:pPr>
        <w:spacing w:line="480" w:lineRule="auto"/>
        <w:ind w:left="567" w:hanging="567"/>
        <w:jc w:val="both"/>
        <w:rPr>
          <w:sz w:val="22"/>
          <w:szCs w:val="22"/>
        </w:rPr>
      </w:pPr>
      <w:r w:rsidRPr="00215EC5">
        <w:rPr>
          <w:sz w:val="22"/>
          <w:szCs w:val="22"/>
        </w:rPr>
        <w:t xml:space="preserve">Pahmi, P., et al. (2023). Reverse social impact of oil palm plantation. </w:t>
      </w:r>
      <w:r w:rsidRPr="00215EC5">
        <w:rPr>
          <w:i/>
          <w:iCs/>
          <w:sz w:val="22"/>
          <w:szCs w:val="22"/>
        </w:rPr>
        <w:t>Forest and Society, 7</w:t>
      </w:r>
      <w:r w:rsidRPr="00215EC5">
        <w:rPr>
          <w:sz w:val="22"/>
          <w:szCs w:val="22"/>
        </w:rPr>
        <w:t xml:space="preserve">(1), 61–75. </w:t>
      </w:r>
      <w:hyperlink r:id="rId60" w:tgtFrame="_new" w:history="1">
        <w:r w:rsidRPr="00215EC5">
          <w:rPr>
            <w:rStyle w:val="Hyperlink"/>
            <w:sz w:val="22"/>
            <w:szCs w:val="22"/>
          </w:rPr>
          <w:t>https://doi.org/10.24259/fs.v7i1.24803</w:t>
        </w:r>
      </w:hyperlink>
    </w:p>
    <w:p w14:paraId="76629B8A" w14:textId="77777777" w:rsidR="000E1DE2" w:rsidRPr="00215EC5" w:rsidRDefault="000E1DE2" w:rsidP="00215EC5">
      <w:pPr>
        <w:spacing w:line="480" w:lineRule="auto"/>
        <w:ind w:left="567" w:hanging="567"/>
        <w:jc w:val="both"/>
        <w:rPr>
          <w:sz w:val="22"/>
          <w:szCs w:val="22"/>
        </w:rPr>
      </w:pPr>
      <w:r w:rsidRPr="00215EC5">
        <w:rPr>
          <w:sz w:val="22"/>
          <w:szCs w:val="22"/>
        </w:rPr>
        <w:t xml:space="preserve">Patrick, P., &amp; Singkam, A. (2024). Zootherapy in ecological knowledge. </w:t>
      </w:r>
      <w:r w:rsidRPr="00215EC5">
        <w:rPr>
          <w:i/>
          <w:iCs/>
          <w:sz w:val="22"/>
          <w:szCs w:val="22"/>
        </w:rPr>
        <w:t>Conservation Biology, 38</w:t>
      </w:r>
      <w:r w:rsidRPr="00215EC5">
        <w:rPr>
          <w:sz w:val="22"/>
          <w:szCs w:val="22"/>
        </w:rPr>
        <w:t xml:space="preserve">(4). </w:t>
      </w:r>
      <w:hyperlink r:id="rId61" w:tgtFrame="_new" w:history="1">
        <w:r w:rsidRPr="00215EC5">
          <w:rPr>
            <w:rStyle w:val="Hyperlink"/>
            <w:sz w:val="22"/>
            <w:szCs w:val="22"/>
          </w:rPr>
          <w:t>https://doi.org/10.1111/cobi.14278</w:t>
        </w:r>
      </w:hyperlink>
    </w:p>
    <w:p w14:paraId="73A6535D" w14:textId="289FC3C7" w:rsidR="000E1DE2" w:rsidRPr="00215EC5" w:rsidRDefault="000E1DE2" w:rsidP="00215EC5">
      <w:pPr>
        <w:spacing w:line="480" w:lineRule="auto"/>
        <w:ind w:left="567" w:hanging="567"/>
        <w:jc w:val="both"/>
        <w:rPr>
          <w:sz w:val="22"/>
          <w:szCs w:val="22"/>
        </w:rPr>
      </w:pPr>
      <w:r w:rsidRPr="00215EC5">
        <w:rPr>
          <w:sz w:val="22"/>
          <w:szCs w:val="22"/>
        </w:rPr>
        <w:t xml:space="preserve">Peredo, A., et al. (2022). COVID-19 and social justice. </w:t>
      </w:r>
      <w:r w:rsidRPr="00215EC5">
        <w:rPr>
          <w:i/>
          <w:iCs/>
          <w:sz w:val="22"/>
          <w:szCs w:val="22"/>
        </w:rPr>
        <w:t>Journal of Management Inquiry, 31</w:t>
      </w:r>
      <w:r w:rsidRPr="00215EC5">
        <w:rPr>
          <w:sz w:val="22"/>
          <w:szCs w:val="22"/>
        </w:rPr>
        <w:t xml:space="preserve">(4), 339–357. </w:t>
      </w:r>
      <w:hyperlink r:id="rId62" w:tgtFrame="_new" w:history="1">
        <w:r w:rsidRPr="00215EC5">
          <w:rPr>
            <w:rStyle w:val="Hyperlink"/>
            <w:sz w:val="22"/>
            <w:szCs w:val="22"/>
          </w:rPr>
          <w:t>https://doi.org/10.1177/10564926221103480</w:t>
        </w:r>
      </w:hyperlink>
    </w:p>
    <w:p w14:paraId="12A16ACC" w14:textId="70EC9B80"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Peters-Mosquera, A., Bingham-Hendricks, C., Woods, C., &amp; Aronowitz, T. (2023). The role nurses can play in addressing and preventing the prevalence of missing or murdered Indigenous women and girls (MMIWG). </w:t>
      </w:r>
      <w:r w:rsidRPr="00215EC5">
        <w:rPr>
          <w:rStyle w:val="Emphasis"/>
          <w:rFonts w:eastAsiaTheme="majorEastAsia"/>
          <w:sz w:val="22"/>
          <w:szCs w:val="22"/>
        </w:rPr>
        <w:t>Journal of Transcultural Nursing, 34</w:t>
      </w:r>
      <w:r w:rsidRPr="00215EC5">
        <w:rPr>
          <w:sz w:val="22"/>
          <w:szCs w:val="22"/>
        </w:rPr>
        <w:t xml:space="preserve">(6), 431–442. </w:t>
      </w:r>
      <w:hyperlink r:id="rId63" w:tgtFrame="_new" w:history="1">
        <w:r w:rsidRPr="00215EC5">
          <w:rPr>
            <w:rStyle w:val="Hyperlink"/>
            <w:rFonts w:eastAsiaTheme="majorEastAsia"/>
            <w:sz w:val="22"/>
            <w:szCs w:val="22"/>
          </w:rPr>
          <w:t>https://doi.org/10.1177/10436596231198274</w:t>
        </w:r>
      </w:hyperlink>
    </w:p>
    <w:p w14:paraId="1DA6CBB5"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Polii, F., &amp; Ahmadi, A. (2024). </w:t>
      </w:r>
      <w:r w:rsidRPr="00215EC5">
        <w:rPr>
          <w:color w:val="333A3F"/>
          <w:spacing w:val="1"/>
          <w:sz w:val="22"/>
          <w:szCs w:val="22"/>
          <w:shd w:val="clear" w:color="auto" w:fill="FFFFFF"/>
          <w:lang w:val="sv-SE"/>
        </w:rPr>
        <w:t xml:space="preserve">Integrasi kearifan lokal untuk pendidikan yang memerdekakan dalam pembelajaran bahasa dan sastra di sekolah dasar. </w:t>
      </w:r>
      <w:r w:rsidRPr="00215EC5">
        <w:rPr>
          <w:i/>
          <w:iCs/>
          <w:color w:val="333A3F"/>
          <w:spacing w:val="1"/>
          <w:sz w:val="22"/>
          <w:szCs w:val="22"/>
          <w:shd w:val="clear" w:color="auto" w:fill="FFFFFF"/>
          <w:lang w:val="sv-SE"/>
        </w:rPr>
        <w:t>Deiksis, 16</w:t>
      </w:r>
      <w:r w:rsidRPr="00215EC5">
        <w:rPr>
          <w:color w:val="333A3F"/>
          <w:spacing w:val="1"/>
          <w:sz w:val="22"/>
          <w:szCs w:val="22"/>
          <w:shd w:val="clear" w:color="auto" w:fill="FFFFFF"/>
          <w:lang w:val="sv-SE"/>
        </w:rPr>
        <w:t xml:space="preserve">(2), 234. </w:t>
      </w:r>
      <w:hyperlink r:id="rId64" w:tgtFrame="_new" w:history="1">
        <w:r w:rsidRPr="00215EC5">
          <w:rPr>
            <w:rStyle w:val="Hyperlink"/>
            <w:spacing w:val="1"/>
            <w:sz w:val="22"/>
            <w:szCs w:val="22"/>
            <w:shd w:val="clear" w:color="auto" w:fill="FFFFFF"/>
            <w:lang w:val="sv-SE"/>
          </w:rPr>
          <w:t>https://doi.org/10.30998/deiksis.v16i2.23021</w:t>
        </w:r>
      </w:hyperlink>
    </w:p>
    <w:p w14:paraId="22E195C1"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Rosmilawati, I., &amp; Darmawan, D. (2020). </w:t>
      </w:r>
      <w:r w:rsidRPr="00215EC5">
        <w:rPr>
          <w:color w:val="333A3F"/>
          <w:spacing w:val="1"/>
          <w:sz w:val="22"/>
          <w:szCs w:val="22"/>
          <w:shd w:val="clear" w:color="auto" w:fill="FFFFFF"/>
        </w:rPr>
        <w:t xml:space="preserve">Family literacy of Baduy tribe: An ethnographic study. </w:t>
      </w:r>
      <w:r w:rsidRPr="00215EC5">
        <w:rPr>
          <w:i/>
          <w:iCs/>
          <w:color w:val="333A3F"/>
          <w:spacing w:val="1"/>
          <w:sz w:val="22"/>
          <w:szCs w:val="22"/>
          <w:shd w:val="clear" w:color="auto" w:fill="FFFFFF"/>
          <w:lang w:val="sv-SE"/>
        </w:rPr>
        <w:t>Kolokium Jurnal Pendidikan Luar Sekolah, 8</w:t>
      </w:r>
      <w:r w:rsidRPr="00215EC5">
        <w:rPr>
          <w:color w:val="333A3F"/>
          <w:spacing w:val="1"/>
          <w:sz w:val="22"/>
          <w:szCs w:val="22"/>
          <w:shd w:val="clear" w:color="auto" w:fill="FFFFFF"/>
          <w:lang w:val="sv-SE"/>
        </w:rPr>
        <w:t xml:space="preserve">(2), 92–102. </w:t>
      </w:r>
      <w:hyperlink r:id="rId65" w:tgtFrame="_new" w:history="1">
        <w:r w:rsidRPr="00215EC5">
          <w:rPr>
            <w:rStyle w:val="Hyperlink"/>
            <w:spacing w:val="1"/>
            <w:sz w:val="22"/>
            <w:szCs w:val="22"/>
            <w:shd w:val="clear" w:color="auto" w:fill="FFFFFF"/>
            <w:lang w:val="sv-SE"/>
          </w:rPr>
          <w:t>https://doi.org/10.24036/kolokium-pls.v8i2.434</w:t>
        </w:r>
      </w:hyperlink>
    </w:p>
    <w:p w14:paraId="433ACD07"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lastRenderedPageBreak/>
        <w:t xml:space="preserve">RWZ, B. (2021). Preservasi budaya Osing melalui internalisasi budaya berbasis sekolah adat sebagai bentuk pengabdian masyarakat. </w:t>
      </w:r>
      <w:r w:rsidRPr="00215EC5">
        <w:rPr>
          <w:i/>
          <w:iCs/>
          <w:color w:val="333A3F"/>
          <w:spacing w:val="1"/>
          <w:sz w:val="22"/>
          <w:szCs w:val="22"/>
          <w:shd w:val="clear" w:color="auto" w:fill="FFFFFF"/>
        </w:rPr>
        <w:t>Journal of Education and Teaching Learning (JETL), 3</w:t>
      </w:r>
      <w:r w:rsidRPr="00215EC5">
        <w:rPr>
          <w:color w:val="333A3F"/>
          <w:spacing w:val="1"/>
          <w:sz w:val="22"/>
          <w:szCs w:val="22"/>
          <w:shd w:val="clear" w:color="auto" w:fill="FFFFFF"/>
        </w:rPr>
        <w:t xml:space="preserve">(2), 44–59. </w:t>
      </w:r>
      <w:hyperlink r:id="rId66" w:tgtFrame="_new" w:history="1">
        <w:r w:rsidRPr="00215EC5">
          <w:rPr>
            <w:rStyle w:val="Hyperlink"/>
            <w:spacing w:val="1"/>
            <w:sz w:val="22"/>
            <w:szCs w:val="22"/>
            <w:shd w:val="clear" w:color="auto" w:fill="FFFFFF"/>
          </w:rPr>
          <w:t>https://doi.org/10.51178/jetl.v3i2.214</w:t>
        </w:r>
      </w:hyperlink>
    </w:p>
    <w:p w14:paraId="4BE196AB" w14:textId="4BFC4E95" w:rsidR="0065717F" w:rsidRPr="00215EC5" w:rsidRDefault="0065717F"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Rohmah, N., Pamungkas, J., &amp; Nurrahman, A. (2023). Peran kepala lembaga taman kanak-kanak dalam penyelenggaraaan proses pendidikan. </w:t>
      </w:r>
      <w:r w:rsidRPr="00215EC5">
        <w:rPr>
          <w:i/>
          <w:iCs/>
          <w:color w:val="333A3F"/>
          <w:spacing w:val="1"/>
          <w:sz w:val="22"/>
          <w:szCs w:val="22"/>
          <w:shd w:val="clear" w:color="auto" w:fill="FFFFFF"/>
        </w:rPr>
        <w:t>Jurnal Obsesi Jurnal Pendidikan Anak Usia Dini, 7</w:t>
      </w:r>
      <w:r w:rsidRPr="00215EC5">
        <w:rPr>
          <w:color w:val="333A3F"/>
          <w:spacing w:val="1"/>
          <w:sz w:val="22"/>
          <w:szCs w:val="22"/>
          <w:shd w:val="clear" w:color="auto" w:fill="FFFFFF"/>
        </w:rPr>
        <w:t xml:space="preserve">(5), 5597–5620. </w:t>
      </w:r>
      <w:hyperlink r:id="rId67" w:tgtFrame="_new" w:history="1">
        <w:r w:rsidRPr="00215EC5">
          <w:rPr>
            <w:rStyle w:val="Hyperlink"/>
            <w:spacing w:val="1"/>
            <w:sz w:val="22"/>
            <w:szCs w:val="22"/>
            <w:shd w:val="clear" w:color="auto" w:fill="FFFFFF"/>
          </w:rPr>
          <w:t>https://doi.org/10.31004/obsesi.v7i5.5200</w:t>
        </w:r>
      </w:hyperlink>
    </w:p>
    <w:p w14:paraId="04F97E87" w14:textId="77777777" w:rsidR="0065717F" w:rsidRPr="00215EC5" w:rsidRDefault="0065717F" w:rsidP="00215EC5">
      <w:pPr>
        <w:spacing w:line="480" w:lineRule="auto"/>
        <w:ind w:left="567" w:hanging="567"/>
        <w:jc w:val="both"/>
        <w:rPr>
          <w:sz w:val="22"/>
          <w:szCs w:val="22"/>
          <w:lang w:val="sv-SE"/>
        </w:rPr>
      </w:pPr>
      <w:r w:rsidRPr="00215EC5">
        <w:rPr>
          <w:sz w:val="22"/>
          <w:szCs w:val="22"/>
        </w:rPr>
        <w:t xml:space="preserve">Romano, N., et al. (2022). Sustainable livelihood program in Butuan. </w:t>
      </w:r>
      <w:r w:rsidRPr="00215EC5">
        <w:rPr>
          <w:i/>
          <w:iCs/>
          <w:sz w:val="22"/>
          <w:szCs w:val="22"/>
          <w:lang w:val="sv-SE"/>
        </w:rPr>
        <w:t>IJSSHI, 9</w:t>
      </w:r>
      <w:r w:rsidRPr="00215EC5">
        <w:rPr>
          <w:sz w:val="22"/>
          <w:szCs w:val="22"/>
          <w:lang w:val="sv-SE"/>
        </w:rPr>
        <w:t xml:space="preserve">(9), 7182–7188. </w:t>
      </w:r>
      <w:hyperlink r:id="rId68" w:tgtFrame="_new" w:history="1">
        <w:r w:rsidRPr="00215EC5">
          <w:rPr>
            <w:rStyle w:val="Hyperlink"/>
            <w:sz w:val="22"/>
            <w:szCs w:val="22"/>
            <w:lang w:val="sv-SE"/>
          </w:rPr>
          <w:t>https://doi.org/10.18535/ijsshi/v9i09.01</w:t>
        </w:r>
      </w:hyperlink>
    </w:p>
    <w:p w14:paraId="47326DC8" w14:textId="77777777" w:rsidR="0065717F" w:rsidRPr="00215EC5" w:rsidRDefault="0065717F" w:rsidP="00215EC5">
      <w:pPr>
        <w:spacing w:line="480" w:lineRule="auto"/>
        <w:ind w:left="567" w:hanging="567"/>
        <w:jc w:val="both"/>
        <w:rPr>
          <w:sz w:val="22"/>
          <w:szCs w:val="22"/>
        </w:rPr>
      </w:pPr>
      <w:r w:rsidRPr="00215EC5">
        <w:rPr>
          <w:sz w:val="22"/>
          <w:szCs w:val="22"/>
          <w:lang w:val="sv-SE"/>
        </w:rPr>
        <w:t xml:space="preserve">Rosyidie, A., et al. </w:t>
      </w:r>
      <w:r w:rsidRPr="00215EC5">
        <w:rPr>
          <w:sz w:val="22"/>
          <w:szCs w:val="22"/>
        </w:rPr>
        <w:t xml:space="preserve">(2018). Tourism development in Batur Geopark. </w:t>
      </w:r>
      <w:r w:rsidRPr="00215EC5">
        <w:rPr>
          <w:i/>
          <w:iCs/>
          <w:sz w:val="22"/>
          <w:szCs w:val="22"/>
        </w:rPr>
        <w:t>IOP Conference Series: Earth and Environmental Science, 158</w:t>
      </w:r>
      <w:r w:rsidRPr="00215EC5">
        <w:rPr>
          <w:sz w:val="22"/>
          <w:szCs w:val="22"/>
        </w:rPr>
        <w:t xml:space="preserve">, 012033. </w:t>
      </w:r>
      <w:hyperlink r:id="rId69" w:tgtFrame="_new" w:history="1">
        <w:r w:rsidRPr="00215EC5">
          <w:rPr>
            <w:rStyle w:val="Hyperlink"/>
            <w:sz w:val="22"/>
            <w:szCs w:val="22"/>
          </w:rPr>
          <w:t>https://doi.org/10.1088/1755-1315/158/1/012033</w:t>
        </w:r>
      </w:hyperlink>
    </w:p>
    <w:p w14:paraId="503184C3" w14:textId="77777777" w:rsidR="00BA678C" w:rsidRPr="00215EC5" w:rsidRDefault="00BA678C" w:rsidP="00215EC5">
      <w:pPr>
        <w:spacing w:line="480" w:lineRule="auto"/>
        <w:ind w:left="567" w:hanging="567"/>
        <w:jc w:val="both"/>
        <w:rPr>
          <w:sz w:val="22"/>
          <w:szCs w:val="22"/>
        </w:rPr>
      </w:pPr>
      <w:r w:rsidRPr="00215EC5">
        <w:rPr>
          <w:sz w:val="22"/>
          <w:szCs w:val="22"/>
        </w:rPr>
        <w:t xml:space="preserve">Sarker, M. (2019). Vulnerability and livelihood resilience. </w:t>
      </w:r>
      <w:r w:rsidRPr="00215EC5">
        <w:rPr>
          <w:i/>
          <w:iCs/>
          <w:sz w:val="22"/>
          <w:szCs w:val="22"/>
        </w:rPr>
        <w:t>Applied Ecology and Environmental Research, 17</w:t>
      </w:r>
      <w:r w:rsidRPr="00215EC5">
        <w:rPr>
          <w:sz w:val="22"/>
          <w:szCs w:val="22"/>
        </w:rPr>
        <w:t xml:space="preserve">(6). </w:t>
      </w:r>
      <w:hyperlink r:id="rId70" w:tgtFrame="_new" w:history="1">
        <w:r w:rsidRPr="00215EC5">
          <w:rPr>
            <w:rStyle w:val="Hyperlink"/>
            <w:sz w:val="22"/>
            <w:szCs w:val="22"/>
          </w:rPr>
          <w:t>https://doi.org/10.15666/aeer/1706_1276912785</w:t>
        </w:r>
      </w:hyperlink>
    </w:p>
    <w:p w14:paraId="16BF160B" w14:textId="77777777" w:rsidR="00BA678C" w:rsidRPr="00215EC5" w:rsidRDefault="00BA678C" w:rsidP="00215EC5">
      <w:pPr>
        <w:spacing w:line="480" w:lineRule="auto"/>
        <w:ind w:left="567" w:hanging="567"/>
        <w:jc w:val="both"/>
        <w:rPr>
          <w:sz w:val="22"/>
          <w:szCs w:val="22"/>
        </w:rPr>
      </w:pPr>
      <w:r w:rsidRPr="00215EC5">
        <w:rPr>
          <w:sz w:val="22"/>
          <w:szCs w:val="22"/>
        </w:rPr>
        <w:t xml:space="preserve">Siang, R. (2023). Livelihood-enterprise sustainability in Kendari. </w:t>
      </w:r>
      <w:r w:rsidRPr="00215EC5">
        <w:rPr>
          <w:i/>
          <w:iCs/>
          <w:sz w:val="22"/>
          <w:szCs w:val="22"/>
        </w:rPr>
        <w:t>Egyptian Journal of Aquatic Biology and Fisheries, 27</w:t>
      </w:r>
      <w:r w:rsidRPr="00215EC5">
        <w:rPr>
          <w:sz w:val="22"/>
          <w:szCs w:val="22"/>
        </w:rPr>
        <w:t xml:space="preserve">(6), 1091–1107. </w:t>
      </w:r>
      <w:hyperlink r:id="rId71" w:tgtFrame="_new" w:history="1">
        <w:r w:rsidRPr="00215EC5">
          <w:rPr>
            <w:rStyle w:val="Hyperlink"/>
            <w:sz w:val="22"/>
            <w:szCs w:val="22"/>
          </w:rPr>
          <w:t>https://doi.org/10.21608/ejabf.2023.334377</w:t>
        </w:r>
      </w:hyperlink>
    </w:p>
    <w:p w14:paraId="3BBD585F" w14:textId="77777777" w:rsidR="00BA678C" w:rsidRPr="00215EC5" w:rsidRDefault="00BA678C" w:rsidP="00215EC5">
      <w:pPr>
        <w:spacing w:line="480" w:lineRule="auto"/>
        <w:ind w:left="567" w:hanging="567"/>
        <w:jc w:val="both"/>
        <w:rPr>
          <w:sz w:val="22"/>
          <w:szCs w:val="22"/>
        </w:rPr>
      </w:pPr>
      <w:r w:rsidRPr="00215EC5">
        <w:rPr>
          <w:sz w:val="22"/>
          <w:szCs w:val="22"/>
        </w:rPr>
        <w:t xml:space="preserve">Siddique, A., &amp; Surovi, T. (2021). Livelihoods of otter fishers. </w:t>
      </w:r>
      <w:r w:rsidRPr="00215EC5">
        <w:rPr>
          <w:i/>
          <w:iCs/>
          <w:sz w:val="22"/>
          <w:szCs w:val="22"/>
        </w:rPr>
        <w:t>Research in Agriculture Livestock and Fisheries, 8</w:t>
      </w:r>
      <w:r w:rsidRPr="00215EC5">
        <w:rPr>
          <w:sz w:val="22"/>
          <w:szCs w:val="22"/>
        </w:rPr>
        <w:t xml:space="preserve">(2), 249–257. </w:t>
      </w:r>
      <w:hyperlink r:id="rId72" w:tgtFrame="_new" w:history="1">
        <w:r w:rsidRPr="00215EC5">
          <w:rPr>
            <w:rStyle w:val="Hyperlink"/>
            <w:sz w:val="22"/>
            <w:szCs w:val="22"/>
          </w:rPr>
          <w:t>https://doi.org/10.3329/ralf.v8i2.55495</w:t>
        </w:r>
      </w:hyperlink>
    </w:p>
    <w:p w14:paraId="69F40D13" w14:textId="77777777" w:rsidR="00BA678C" w:rsidRPr="00215EC5" w:rsidRDefault="00BA678C" w:rsidP="00215EC5">
      <w:pPr>
        <w:spacing w:line="480" w:lineRule="auto"/>
        <w:ind w:left="567" w:hanging="567"/>
        <w:jc w:val="both"/>
        <w:rPr>
          <w:sz w:val="22"/>
          <w:szCs w:val="22"/>
        </w:rPr>
      </w:pPr>
      <w:r w:rsidRPr="00215EC5">
        <w:rPr>
          <w:sz w:val="22"/>
          <w:szCs w:val="22"/>
        </w:rPr>
        <w:t xml:space="preserve">Skarlatidou, A., et al. (2020). Extreme citizen science. </w:t>
      </w:r>
      <w:hyperlink r:id="rId73" w:tgtFrame="_new" w:history="1">
        <w:r w:rsidRPr="00215EC5">
          <w:rPr>
            <w:rStyle w:val="Hyperlink"/>
            <w:sz w:val="22"/>
            <w:szCs w:val="22"/>
          </w:rPr>
          <w:t>https://doi.org/10.1145/3334480.3375220</w:t>
        </w:r>
      </w:hyperlink>
    </w:p>
    <w:p w14:paraId="52A68691" w14:textId="77777777" w:rsidR="00BA678C" w:rsidRPr="00215EC5" w:rsidRDefault="00BA678C" w:rsidP="00215EC5">
      <w:pPr>
        <w:spacing w:line="480" w:lineRule="auto"/>
        <w:ind w:left="567" w:hanging="567"/>
        <w:jc w:val="both"/>
        <w:rPr>
          <w:sz w:val="22"/>
          <w:szCs w:val="22"/>
        </w:rPr>
      </w:pPr>
      <w:r w:rsidRPr="00215EC5">
        <w:rPr>
          <w:sz w:val="22"/>
          <w:szCs w:val="22"/>
        </w:rPr>
        <w:t xml:space="preserve">Smith, N. (2024). Environmental sustainability in livestock production. </w:t>
      </w:r>
      <w:r w:rsidRPr="00215EC5">
        <w:rPr>
          <w:i/>
          <w:iCs/>
          <w:sz w:val="22"/>
          <w:szCs w:val="22"/>
        </w:rPr>
        <w:t>International Journal of Livestock Policy, 2</w:t>
      </w:r>
      <w:r w:rsidRPr="00215EC5">
        <w:rPr>
          <w:sz w:val="22"/>
          <w:szCs w:val="22"/>
        </w:rPr>
        <w:t xml:space="preserve">(1), 26–38. </w:t>
      </w:r>
      <w:hyperlink r:id="rId74" w:tgtFrame="_new" w:history="1">
        <w:r w:rsidRPr="00215EC5">
          <w:rPr>
            <w:rStyle w:val="Hyperlink"/>
            <w:sz w:val="22"/>
            <w:szCs w:val="22"/>
          </w:rPr>
          <w:t>https://doi.org/10.47941/ijlp.1701</w:t>
        </w:r>
      </w:hyperlink>
    </w:p>
    <w:p w14:paraId="59853B65" w14:textId="77777777" w:rsidR="00BA678C" w:rsidRPr="00215EC5" w:rsidRDefault="00BA678C" w:rsidP="00215EC5">
      <w:pPr>
        <w:spacing w:line="480" w:lineRule="auto"/>
        <w:ind w:left="567" w:hanging="567"/>
        <w:jc w:val="both"/>
        <w:rPr>
          <w:sz w:val="22"/>
          <w:szCs w:val="22"/>
        </w:rPr>
      </w:pPr>
      <w:r w:rsidRPr="00215EC5">
        <w:rPr>
          <w:sz w:val="22"/>
          <w:szCs w:val="22"/>
        </w:rPr>
        <w:t xml:space="preserve">Spring, A., et al. (2018). Climate change and food security. </w:t>
      </w:r>
      <w:r w:rsidRPr="00215EC5">
        <w:rPr>
          <w:i/>
          <w:iCs/>
          <w:sz w:val="22"/>
          <w:szCs w:val="22"/>
        </w:rPr>
        <w:t>Canadian Food Studies, 5</w:t>
      </w:r>
      <w:r w:rsidRPr="00215EC5">
        <w:rPr>
          <w:sz w:val="22"/>
          <w:szCs w:val="22"/>
        </w:rPr>
        <w:t xml:space="preserve">(2), 111–141. </w:t>
      </w:r>
      <w:hyperlink r:id="rId75" w:tgtFrame="_new" w:history="1">
        <w:r w:rsidRPr="00215EC5">
          <w:rPr>
            <w:rStyle w:val="Hyperlink"/>
            <w:sz w:val="22"/>
            <w:szCs w:val="22"/>
          </w:rPr>
          <w:t>https://doi.org/10.15353/cfs-rcea.v5i2.199</w:t>
        </w:r>
      </w:hyperlink>
    </w:p>
    <w:p w14:paraId="67447FE9" w14:textId="77777777" w:rsidR="00BA678C" w:rsidRPr="00215EC5" w:rsidRDefault="00BA678C" w:rsidP="00215EC5">
      <w:pPr>
        <w:spacing w:line="480" w:lineRule="auto"/>
        <w:ind w:left="567" w:hanging="567"/>
        <w:jc w:val="both"/>
        <w:rPr>
          <w:sz w:val="22"/>
          <w:szCs w:val="22"/>
        </w:rPr>
      </w:pPr>
      <w:r w:rsidRPr="00215EC5">
        <w:rPr>
          <w:sz w:val="22"/>
          <w:szCs w:val="22"/>
        </w:rPr>
        <w:t xml:space="preserve">Su, K., et al. (2020). Role of indigenous knowledge in conservation. </w:t>
      </w:r>
      <w:r w:rsidRPr="00215EC5">
        <w:rPr>
          <w:i/>
          <w:iCs/>
          <w:sz w:val="22"/>
          <w:szCs w:val="22"/>
        </w:rPr>
        <w:t>Forests, 11</w:t>
      </w:r>
      <w:r w:rsidRPr="00215EC5">
        <w:rPr>
          <w:sz w:val="22"/>
          <w:szCs w:val="22"/>
        </w:rPr>
        <w:t xml:space="preserve">(11), 1178. </w:t>
      </w:r>
      <w:hyperlink r:id="rId76" w:tgtFrame="_new" w:history="1">
        <w:r w:rsidRPr="00215EC5">
          <w:rPr>
            <w:rStyle w:val="Hyperlink"/>
            <w:sz w:val="22"/>
            <w:szCs w:val="22"/>
          </w:rPr>
          <w:t>https://doi.org/10.3390/f11111178</w:t>
        </w:r>
      </w:hyperlink>
    </w:p>
    <w:p w14:paraId="41C27877" w14:textId="60C0D764" w:rsidR="00BA678C" w:rsidRPr="00215EC5" w:rsidRDefault="00BA678C" w:rsidP="00215EC5">
      <w:pPr>
        <w:spacing w:line="480" w:lineRule="auto"/>
        <w:ind w:left="567" w:hanging="567"/>
        <w:jc w:val="both"/>
        <w:rPr>
          <w:sz w:val="22"/>
          <w:szCs w:val="22"/>
          <w:lang w:val="sv-SE"/>
        </w:rPr>
      </w:pPr>
      <w:r w:rsidRPr="00215EC5">
        <w:rPr>
          <w:color w:val="333A3F"/>
          <w:spacing w:val="1"/>
          <w:sz w:val="22"/>
          <w:szCs w:val="22"/>
          <w:shd w:val="clear" w:color="auto" w:fill="FFFFFF"/>
        </w:rPr>
        <w:t xml:space="preserve">Sukmawati, S., Renaldi, R., Amus, S., Alanur, S., Nasran, N., &amp; Imran, I. (2024). </w:t>
      </w:r>
      <w:r w:rsidRPr="00215EC5">
        <w:rPr>
          <w:color w:val="333A3F"/>
          <w:spacing w:val="1"/>
          <w:sz w:val="22"/>
          <w:szCs w:val="22"/>
          <w:shd w:val="clear" w:color="auto" w:fill="FFFFFF"/>
          <w:lang w:val="sv-SE"/>
        </w:rPr>
        <w:t xml:space="preserve">Penerapan nilai kearifan lokal tradisi Metawe’ terhadap masyarakat Suku Mandar di Desa Adolang Kecamatan Pamboang Kabupaten Majene. </w:t>
      </w:r>
      <w:r w:rsidRPr="00215EC5">
        <w:rPr>
          <w:i/>
          <w:iCs/>
          <w:color w:val="333A3F"/>
          <w:spacing w:val="1"/>
          <w:sz w:val="22"/>
          <w:szCs w:val="22"/>
          <w:shd w:val="clear" w:color="auto" w:fill="FFFFFF"/>
          <w:lang w:val="sv-SE"/>
        </w:rPr>
        <w:t>Edukatif Jurnal Ilmu Pendidikan, 6</w:t>
      </w:r>
      <w:r w:rsidRPr="00215EC5">
        <w:rPr>
          <w:color w:val="333A3F"/>
          <w:spacing w:val="1"/>
          <w:sz w:val="22"/>
          <w:szCs w:val="22"/>
          <w:shd w:val="clear" w:color="auto" w:fill="FFFFFF"/>
          <w:lang w:val="sv-SE"/>
        </w:rPr>
        <w:t xml:space="preserve">(2), 1036–1050. </w:t>
      </w:r>
      <w:hyperlink r:id="rId77" w:tgtFrame="_new" w:history="1">
        <w:r w:rsidRPr="00215EC5">
          <w:rPr>
            <w:rStyle w:val="Hyperlink"/>
            <w:spacing w:val="1"/>
            <w:sz w:val="22"/>
            <w:szCs w:val="22"/>
            <w:shd w:val="clear" w:color="auto" w:fill="FFFFFF"/>
            <w:lang w:val="sv-SE"/>
          </w:rPr>
          <w:t>https://doi.org/10.31004/edukatif.v6i2.6421</w:t>
        </w:r>
      </w:hyperlink>
    </w:p>
    <w:p w14:paraId="49EBEEE7" w14:textId="77777777" w:rsidR="00BA678C" w:rsidRPr="00215EC5" w:rsidRDefault="00BA678C" w:rsidP="00215EC5">
      <w:pPr>
        <w:spacing w:line="480" w:lineRule="auto"/>
        <w:ind w:left="567" w:hanging="567"/>
        <w:jc w:val="both"/>
        <w:rPr>
          <w:sz w:val="22"/>
          <w:szCs w:val="22"/>
        </w:rPr>
      </w:pPr>
      <w:r w:rsidRPr="00215EC5">
        <w:rPr>
          <w:sz w:val="22"/>
          <w:szCs w:val="22"/>
          <w:lang w:val="sv-SE"/>
        </w:rPr>
        <w:lastRenderedPageBreak/>
        <w:t xml:space="preserve">Sumarwati, S. (2022). </w:t>
      </w:r>
      <w:r w:rsidRPr="00215EC5">
        <w:rPr>
          <w:sz w:val="22"/>
          <w:szCs w:val="22"/>
        </w:rPr>
        <w:t xml:space="preserve">Traditional ecological knowledge on Mount Lawu. </w:t>
      </w:r>
      <w:r w:rsidRPr="00215EC5">
        <w:rPr>
          <w:i/>
          <w:iCs/>
          <w:sz w:val="22"/>
          <w:szCs w:val="22"/>
        </w:rPr>
        <w:t>Journal of Ethnic Foods, 9</w:t>
      </w:r>
      <w:r w:rsidRPr="00215EC5">
        <w:rPr>
          <w:sz w:val="22"/>
          <w:szCs w:val="22"/>
        </w:rPr>
        <w:t xml:space="preserve">(1). </w:t>
      </w:r>
      <w:hyperlink r:id="rId78" w:tgtFrame="_new" w:history="1">
        <w:r w:rsidRPr="00215EC5">
          <w:rPr>
            <w:rStyle w:val="Hyperlink"/>
            <w:sz w:val="22"/>
            <w:szCs w:val="22"/>
          </w:rPr>
          <w:t>https://doi.org/10.1186/s42779-022-00120-z</w:t>
        </w:r>
      </w:hyperlink>
    </w:p>
    <w:p w14:paraId="6BCA7F3F" w14:textId="1316B225" w:rsidR="00BA678C" w:rsidRPr="00215EC5" w:rsidRDefault="00BA678C"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Susilawati, T., Marlina, M., &amp; Desyandri, D. (2022). </w:t>
      </w:r>
      <w:r w:rsidRPr="00215EC5">
        <w:rPr>
          <w:color w:val="333A3F"/>
          <w:spacing w:val="1"/>
          <w:sz w:val="22"/>
          <w:szCs w:val="22"/>
          <w:shd w:val="clear" w:color="auto" w:fill="FFFFFF"/>
          <w:lang w:val="sv-SE"/>
        </w:rPr>
        <w:t xml:space="preserve">Implementasi kebudayaan daerah lokal Minangkabau di sekolah dasar. </w:t>
      </w:r>
      <w:r w:rsidRPr="00215EC5">
        <w:rPr>
          <w:i/>
          <w:iCs/>
          <w:color w:val="333A3F"/>
          <w:spacing w:val="1"/>
          <w:sz w:val="22"/>
          <w:szCs w:val="22"/>
          <w:shd w:val="clear" w:color="auto" w:fill="FFFFFF"/>
          <w:lang w:val="sv-SE"/>
        </w:rPr>
        <w:t>Jurnal Pajar (Pendidikan dan Pengajaran), 6</w:t>
      </w:r>
      <w:r w:rsidRPr="00215EC5">
        <w:rPr>
          <w:color w:val="333A3F"/>
          <w:spacing w:val="1"/>
          <w:sz w:val="22"/>
          <w:szCs w:val="22"/>
          <w:shd w:val="clear" w:color="auto" w:fill="FFFFFF"/>
          <w:lang w:val="sv-SE"/>
        </w:rPr>
        <w:t xml:space="preserve">(1), 119. </w:t>
      </w:r>
      <w:hyperlink r:id="rId79" w:tgtFrame="_new" w:history="1">
        <w:r w:rsidRPr="00215EC5">
          <w:rPr>
            <w:rStyle w:val="Hyperlink"/>
            <w:spacing w:val="1"/>
            <w:sz w:val="22"/>
            <w:szCs w:val="22"/>
            <w:shd w:val="clear" w:color="auto" w:fill="FFFFFF"/>
            <w:lang w:val="sv-SE"/>
          </w:rPr>
          <w:t>https://doi.org/10.33578/pjr.v6i1.8427</w:t>
        </w:r>
      </w:hyperlink>
    </w:p>
    <w:p w14:paraId="6963E2B8" w14:textId="712805DF"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lang w:val="sv-SE"/>
        </w:rPr>
        <w:t xml:space="preserve">Tremblay, M., Sydora, B., Listener, L., Kung, J., Lightning, R., Rabbit, C., … </w:t>
      </w:r>
      <w:r w:rsidRPr="00215EC5">
        <w:rPr>
          <w:sz w:val="22"/>
          <w:szCs w:val="22"/>
        </w:rPr>
        <w:t xml:space="preserve">&amp; Ross, S. (2023). Indigenous gender and wellness: A scoping review of Canadian research. </w:t>
      </w:r>
      <w:r w:rsidRPr="00215EC5">
        <w:rPr>
          <w:rStyle w:val="Emphasis"/>
          <w:rFonts w:eastAsiaTheme="majorEastAsia"/>
          <w:sz w:val="22"/>
          <w:szCs w:val="22"/>
        </w:rPr>
        <w:t>International Journal of Circumpolar Health, 82</w:t>
      </w:r>
      <w:r w:rsidRPr="00215EC5">
        <w:rPr>
          <w:sz w:val="22"/>
          <w:szCs w:val="22"/>
        </w:rPr>
        <w:t xml:space="preserve">(1). </w:t>
      </w:r>
      <w:hyperlink r:id="rId80" w:tgtFrame="_new" w:history="1">
        <w:r w:rsidRPr="00215EC5">
          <w:rPr>
            <w:rStyle w:val="Hyperlink"/>
            <w:rFonts w:eastAsiaTheme="majorEastAsia"/>
            <w:sz w:val="22"/>
            <w:szCs w:val="22"/>
          </w:rPr>
          <w:t>https://doi.org/10.1080/22423982.2023.2177240</w:t>
        </w:r>
      </w:hyperlink>
    </w:p>
    <w:p w14:paraId="7973F23A"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rPr>
        <w:t xml:space="preserve">Ulfah, S., Asdar, A., &amp; Nurdiyah, N. (2023). </w:t>
      </w:r>
      <w:r w:rsidRPr="00215EC5">
        <w:rPr>
          <w:color w:val="333A3F"/>
          <w:spacing w:val="1"/>
          <w:sz w:val="22"/>
          <w:szCs w:val="22"/>
          <w:shd w:val="clear" w:color="auto" w:fill="FFFFFF"/>
          <w:lang w:val="sv-SE"/>
        </w:rPr>
        <w:t xml:space="preserve">Penggunaan metode bercerita berbasis kearifan lokal untuk meningkatkan karakter tanggung jawab anak. </w:t>
      </w:r>
      <w:r w:rsidRPr="00215EC5">
        <w:rPr>
          <w:i/>
          <w:iCs/>
          <w:color w:val="333A3F"/>
          <w:spacing w:val="1"/>
          <w:sz w:val="22"/>
          <w:szCs w:val="22"/>
          <w:shd w:val="clear" w:color="auto" w:fill="FFFFFF"/>
        </w:rPr>
        <w:t>Jurnal Obsesi Jurnal Pendidikan Anak Usia Dini, 7</w:t>
      </w:r>
      <w:r w:rsidRPr="00215EC5">
        <w:rPr>
          <w:color w:val="333A3F"/>
          <w:spacing w:val="1"/>
          <w:sz w:val="22"/>
          <w:szCs w:val="22"/>
          <w:shd w:val="clear" w:color="auto" w:fill="FFFFFF"/>
        </w:rPr>
        <w:t xml:space="preserve">(5), 5351–5358. </w:t>
      </w:r>
      <w:hyperlink r:id="rId81" w:tgtFrame="_new" w:history="1">
        <w:r w:rsidRPr="00215EC5">
          <w:rPr>
            <w:rStyle w:val="Hyperlink"/>
            <w:spacing w:val="1"/>
            <w:sz w:val="22"/>
            <w:szCs w:val="22"/>
            <w:shd w:val="clear" w:color="auto" w:fill="FFFFFF"/>
          </w:rPr>
          <w:t>https://doi.org/10.31004/obsesi.v7i5.3737</w:t>
        </w:r>
      </w:hyperlink>
    </w:p>
    <w:p w14:paraId="710175CD" w14:textId="3B7A266A" w:rsidR="001B2884" w:rsidRPr="00215EC5" w:rsidRDefault="001B2884" w:rsidP="00215EC5">
      <w:pPr>
        <w:pStyle w:val="NormalWeb"/>
        <w:spacing w:before="0" w:beforeAutospacing="0" w:after="0" w:afterAutospacing="0" w:line="480" w:lineRule="auto"/>
        <w:ind w:left="567" w:hanging="567"/>
        <w:jc w:val="both"/>
        <w:rPr>
          <w:sz w:val="22"/>
          <w:szCs w:val="22"/>
          <w:lang w:val="sv-SE"/>
        </w:rPr>
      </w:pPr>
      <w:r w:rsidRPr="00215EC5">
        <w:rPr>
          <w:sz w:val="22"/>
          <w:szCs w:val="22"/>
        </w:rPr>
        <w:t xml:space="preserve">Utami, N., Sayuti, S., &amp; Jailani, J. (2021). Indigenous artifacts from remote areas, used to design a lesson plan for preservice math teachers regarding sustainable education. </w:t>
      </w:r>
      <w:r w:rsidRPr="00215EC5">
        <w:rPr>
          <w:rStyle w:val="Emphasis"/>
          <w:rFonts w:eastAsiaTheme="majorEastAsia"/>
          <w:sz w:val="22"/>
          <w:szCs w:val="22"/>
          <w:lang w:val="sv-SE"/>
        </w:rPr>
        <w:t>Heliyon, 7</w:t>
      </w:r>
      <w:r w:rsidRPr="00215EC5">
        <w:rPr>
          <w:sz w:val="22"/>
          <w:szCs w:val="22"/>
          <w:lang w:val="sv-SE"/>
        </w:rPr>
        <w:t xml:space="preserve">(3), e06417. </w:t>
      </w:r>
      <w:hyperlink r:id="rId82" w:tgtFrame="_new" w:history="1">
        <w:r w:rsidRPr="00215EC5">
          <w:rPr>
            <w:rStyle w:val="Hyperlink"/>
            <w:rFonts w:eastAsiaTheme="majorEastAsia"/>
            <w:sz w:val="22"/>
            <w:szCs w:val="22"/>
            <w:lang w:val="sv-SE"/>
          </w:rPr>
          <w:t>https://doi.org/10.1016/j.heliyon.2021.e06417</w:t>
        </w:r>
      </w:hyperlink>
    </w:p>
    <w:p w14:paraId="5F346843" w14:textId="74E926DC" w:rsidR="00BA678C"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Wattimena, J., &amp; Hattu, V. (2021). Ketahanan pangan masyarakat adat sebagai wujud pemenuhan HAM dalam masa pandemi COVID-19. </w:t>
      </w:r>
      <w:r w:rsidRPr="00215EC5">
        <w:rPr>
          <w:i/>
          <w:iCs/>
          <w:color w:val="333A3F"/>
          <w:spacing w:val="1"/>
          <w:sz w:val="22"/>
          <w:szCs w:val="22"/>
          <w:shd w:val="clear" w:color="auto" w:fill="FFFFFF"/>
        </w:rPr>
        <w:t>SASI, 27</w:t>
      </w:r>
      <w:r w:rsidRPr="00215EC5">
        <w:rPr>
          <w:color w:val="333A3F"/>
          <w:spacing w:val="1"/>
          <w:sz w:val="22"/>
          <w:szCs w:val="22"/>
          <w:shd w:val="clear" w:color="auto" w:fill="FFFFFF"/>
        </w:rPr>
        <w:t xml:space="preserve">(2), 247. </w:t>
      </w:r>
      <w:hyperlink r:id="rId83" w:tgtFrame="_new" w:history="1">
        <w:r w:rsidRPr="00215EC5">
          <w:rPr>
            <w:rStyle w:val="Hyperlink"/>
            <w:spacing w:val="1"/>
            <w:sz w:val="22"/>
            <w:szCs w:val="22"/>
            <w:shd w:val="clear" w:color="auto" w:fill="FFFFFF"/>
          </w:rPr>
          <w:t>https://doi.org/10.47268/sasi.v27i2.448</w:t>
        </w:r>
      </w:hyperlink>
    </w:p>
    <w:p w14:paraId="5445827A" w14:textId="77777777" w:rsidR="007D00CA" w:rsidRPr="00215EC5" w:rsidRDefault="007D00CA" w:rsidP="00215EC5">
      <w:pPr>
        <w:spacing w:line="480" w:lineRule="auto"/>
        <w:ind w:left="567" w:hanging="567"/>
        <w:jc w:val="both"/>
        <w:rPr>
          <w:sz w:val="22"/>
          <w:szCs w:val="22"/>
        </w:rPr>
      </w:pPr>
      <w:r w:rsidRPr="00215EC5">
        <w:rPr>
          <w:sz w:val="22"/>
          <w:szCs w:val="22"/>
        </w:rPr>
        <w:t xml:space="preserve">Walker, M. (2019). Access to water and livelihoods. </w:t>
      </w:r>
      <w:r w:rsidRPr="00215EC5">
        <w:rPr>
          <w:i/>
          <w:iCs/>
          <w:sz w:val="22"/>
          <w:szCs w:val="22"/>
        </w:rPr>
        <w:t>Economic Anthropology, 6</w:t>
      </w:r>
      <w:r w:rsidRPr="00215EC5">
        <w:rPr>
          <w:sz w:val="22"/>
          <w:szCs w:val="22"/>
        </w:rPr>
        <w:t xml:space="preserve">(2), 222–233. </w:t>
      </w:r>
      <w:hyperlink r:id="rId84" w:tgtFrame="_new" w:history="1">
        <w:r w:rsidRPr="00215EC5">
          <w:rPr>
            <w:rStyle w:val="Hyperlink"/>
            <w:sz w:val="22"/>
            <w:szCs w:val="22"/>
          </w:rPr>
          <w:t>https://doi.org/10.1002/sea2.12148</w:t>
        </w:r>
      </w:hyperlink>
    </w:p>
    <w:p w14:paraId="5A8EC252" w14:textId="2DA1514F"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Windchief, S., &amp; Cummins, J. (2021). Considering indigenous research methodologies: Bicultural accountability and the protection of community-held knowledge. </w:t>
      </w:r>
      <w:r w:rsidRPr="00215EC5">
        <w:rPr>
          <w:rStyle w:val="Emphasis"/>
          <w:rFonts w:eastAsiaTheme="majorEastAsia"/>
          <w:sz w:val="22"/>
          <w:szCs w:val="22"/>
        </w:rPr>
        <w:t>Qualitative Inquiry, 28</w:t>
      </w:r>
      <w:r w:rsidRPr="00215EC5">
        <w:rPr>
          <w:sz w:val="22"/>
          <w:szCs w:val="22"/>
        </w:rPr>
        <w:t xml:space="preserve">(2), 151–163. </w:t>
      </w:r>
      <w:hyperlink r:id="rId85" w:tgtFrame="_new" w:history="1">
        <w:r w:rsidRPr="00215EC5">
          <w:rPr>
            <w:rStyle w:val="Hyperlink"/>
            <w:rFonts w:eastAsiaTheme="majorEastAsia"/>
            <w:sz w:val="22"/>
            <w:szCs w:val="22"/>
          </w:rPr>
          <w:t>https://doi.org/10.1177/10778004211021803</w:t>
        </w:r>
      </w:hyperlink>
    </w:p>
    <w:p w14:paraId="09AB59FD" w14:textId="77777777" w:rsidR="007D00CA" w:rsidRPr="00215EC5" w:rsidRDefault="007D00CA" w:rsidP="00215EC5">
      <w:pPr>
        <w:spacing w:line="480" w:lineRule="auto"/>
        <w:ind w:left="567" w:hanging="567"/>
        <w:jc w:val="both"/>
        <w:rPr>
          <w:sz w:val="22"/>
          <w:szCs w:val="22"/>
        </w:rPr>
      </w:pPr>
      <w:r w:rsidRPr="00215EC5">
        <w:rPr>
          <w:sz w:val="22"/>
          <w:szCs w:val="22"/>
        </w:rPr>
        <w:t xml:space="preserve">Xaba, F., &amp; Adanlawo, E. (2024). Role of ecotourism in sustainable development. </w:t>
      </w:r>
      <w:r w:rsidRPr="00215EC5">
        <w:rPr>
          <w:i/>
          <w:iCs/>
          <w:sz w:val="22"/>
          <w:szCs w:val="22"/>
        </w:rPr>
        <w:t>Journal of Ecohumanism, 3</w:t>
      </w:r>
      <w:r w:rsidRPr="00215EC5">
        <w:rPr>
          <w:sz w:val="22"/>
          <w:szCs w:val="22"/>
        </w:rPr>
        <w:t xml:space="preserve">(4), 3356–3367. </w:t>
      </w:r>
      <w:hyperlink r:id="rId86" w:tgtFrame="_new" w:history="1">
        <w:r w:rsidRPr="00215EC5">
          <w:rPr>
            <w:rStyle w:val="Hyperlink"/>
            <w:sz w:val="22"/>
            <w:szCs w:val="22"/>
          </w:rPr>
          <w:t>https://doi.org/10.62754/joe.v3i4.3852</w:t>
        </w:r>
      </w:hyperlink>
    </w:p>
    <w:p w14:paraId="0DA80652" w14:textId="77777777" w:rsidR="007D00CA" w:rsidRPr="00215EC5" w:rsidRDefault="007D00CA" w:rsidP="00215EC5">
      <w:pPr>
        <w:spacing w:line="480" w:lineRule="auto"/>
        <w:ind w:left="567" w:hanging="567"/>
        <w:jc w:val="both"/>
        <w:rPr>
          <w:sz w:val="22"/>
          <w:szCs w:val="22"/>
        </w:rPr>
      </w:pPr>
      <w:r w:rsidRPr="00215EC5">
        <w:rPr>
          <w:sz w:val="22"/>
          <w:szCs w:val="22"/>
        </w:rPr>
        <w:t xml:space="preserve">Yamin, M., et al. (2023). Livelihood adaptation in ASEAN during COVID-19. </w:t>
      </w:r>
      <w:r w:rsidRPr="00215EC5">
        <w:rPr>
          <w:i/>
          <w:iCs/>
          <w:sz w:val="22"/>
          <w:szCs w:val="22"/>
        </w:rPr>
        <w:t>International Journal of Sustainable Development and Planning, 18</w:t>
      </w:r>
      <w:r w:rsidRPr="00215EC5">
        <w:rPr>
          <w:sz w:val="22"/>
          <w:szCs w:val="22"/>
        </w:rPr>
        <w:t xml:space="preserve">(9), 2685–2694. </w:t>
      </w:r>
      <w:hyperlink r:id="rId87" w:tgtFrame="_new" w:history="1">
        <w:r w:rsidRPr="00215EC5">
          <w:rPr>
            <w:rStyle w:val="Hyperlink"/>
            <w:sz w:val="22"/>
            <w:szCs w:val="22"/>
          </w:rPr>
          <w:t>https://doi.org/10.18280/ijsdp.180907</w:t>
        </w:r>
      </w:hyperlink>
    </w:p>
    <w:p w14:paraId="16C38592" w14:textId="1078DB4C" w:rsidR="00BA678C" w:rsidRPr="00215EC5" w:rsidRDefault="00BA678C"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lastRenderedPageBreak/>
        <w:t xml:space="preserve">Yulianti, S., Premana, A., &amp; Bachri, O. (2022). Penerapan augmented reality sebagai media pembelajaran materi rumah adat Indonesia di sekolah dasar Kabupaten Brebes. </w:t>
      </w:r>
      <w:r w:rsidRPr="00215EC5">
        <w:rPr>
          <w:i/>
          <w:iCs/>
          <w:color w:val="333A3F"/>
          <w:spacing w:val="1"/>
          <w:sz w:val="22"/>
          <w:szCs w:val="22"/>
          <w:shd w:val="clear" w:color="auto" w:fill="FFFFFF"/>
          <w:lang w:val="sv-SE"/>
        </w:rPr>
        <w:t>Jurnal Ilmiah Infokam, 18</w:t>
      </w:r>
      <w:r w:rsidRPr="00215EC5">
        <w:rPr>
          <w:color w:val="333A3F"/>
          <w:spacing w:val="1"/>
          <w:sz w:val="22"/>
          <w:szCs w:val="22"/>
          <w:shd w:val="clear" w:color="auto" w:fill="FFFFFF"/>
          <w:lang w:val="sv-SE"/>
        </w:rPr>
        <w:t xml:space="preserve">(2), 79–86. </w:t>
      </w:r>
      <w:hyperlink r:id="rId88" w:tgtFrame="_new" w:history="1">
        <w:r w:rsidRPr="00215EC5">
          <w:rPr>
            <w:rStyle w:val="Hyperlink"/>
            <w:spacing w:val="1"/>
            <w:sz w:val="22"/>
            <w:szCs w:val="22"/>
            <w:shd w:val="clear" w:color="auto" w:fill="FFFFFF"/>
            <w:lang w:val="sv-SE"/>
          </w:rPr>
          <w:t>https://doi.org/10.53845/infokam.v18i2.323</w:t>
        </w:r>
      </w:hyperlink>
    </w:p>
    <w:p w14:paraId="1E3524B9" w14:textId="77777777" w:rsidR="004C54A7" w:rsidRDefault="007D00CA" w:rsidP="00215EC5">
      <w:pPr>
        <w:spacing w:line="480" w:lineRule="auto"/>
        <w:ind w:left="567" w:hanging="567"/>
        <w:jc w:val="both"/>
      </w:pPr>
      <w:r w:rsidRPr="00215EC5">
        <w:rPr>
          <w:sz w:val="22"/>
          <w:szCs w:val="22"/>
          <w:lang w:val="sv-SE"/>
        </w:rPr>
        <w:t xml:space="preserve">Zubair, M., et al. </w:t>
      </w:r>
      <w:r w:rsidRPr="00215EC5">
        <w:rPr>
          <w:sz w:val="22"/>
          <w:szCs w:val="22"/>
        </w:rPr>
        <w:t xml:space="preserve">(2022). Non-timber forest products and livelihoods. </w:t>
      </w:r>
      <w:r w:rsidRPr="00215EC5">
        <w:rPr>
          <w:i/>
          <w:iCs/>
          <w:sz w:val="22"/>
          <w:szCs w:val="22"/>
        </w:rPr>
        <w:t>Asian Journal of Research in Agriculture and Forestry</w:t>
      </w:r>
      <w:r w:rsidRPr="00215EC5">
        <w:rPr>
          <w:sz w:val="22"/>
          <w:szCs w:val="22"/>
        </w:rPr>
        <w:t xml:space="preserve">, 201–210. </w:t>
      </w:r>
      <w:hyperlink r:id="rId89" w:tgtFrame="_new" w:history="1">
        <w:r w:rsidRPr="00215EC5">
          <w:rPr>
            <w:rStyle w:val="Hyperlink"/>
            <w:sz w:val="22"/>
            <w:szCs w:val="22"/>
          </w:rPr>
          <w:t>https://doi.org/10.9734/ajraf/2022/v8i4180</w:t>
        </w:r>
      </w:hyperlink>
    </w:p>
    <w:p w14:paraId="535BC12B" w14:textId="77777777" w:rsidR="00EA6BC2" w:rsidRDefault="00EA6BC2" w:rsidP="00215EC5">
      <w:pPr>
        <w:spacing w:line="480" w:lineRule="auto"/>
        <w:ind w:left="567" w:hanging="567"/>
        <w:jc w:val="both"/>
      </w:pPr>
    </w:p>
    <w:p w14:paraId="7DEFA6DB" w14:textId="77777777" w:rsidR="00EA6BC2" w:rsidRDefault="00EA6BC2" w:rsidP="00215EC5">
      <w:pPr>
        <w:spacing w:line="480" w:lineRule="auto"/>
        <w:ind w:left="567" w:hanging="567"/>
        <w:jc w:val="both"/>
      </w:pPr>
    </w:p>
    <w:p w14:paraId="6E339F9E" w14:textId="77777777" w:rsidR="00EA6BC2" w:rsidRDefault="00EA6BC2" w:rsidP="00215EC5">
      <w:pPr>
        <w:spacing w:line="480" w:lineRule="auto"/>
        <w:ind w:left="567" w:hanging="567"/>
        <w:jc w:val="both"/>
      </w:pPr>
    </w:p>
    <w:p w14:paraId="2988FE4D" w14:textId="77777777" w:rsidR="00EA6BC2" w:rsidRDefault="00EA6BC2" w:rsidP="00215EC5">
      <w:pPr>
        <w:spacing w:line="480" w:lineRule="auto"/>
        <w:ind w:left="567" w:hanging="567"/>
        <w:jc w:val="both"/>
      </w:pPr>
    </w:p>
    <w:p w14:paraId="533CC8D4" w14:textId="77777777" w:rsidR="00EA6BC2" w:rsidRDefault="00EA6BC2" w:rsidP="00215EC5">
      <w:pPr>
        <w:spacing w:line="480" w:lineRule="auto"/>
        <w:ind w:left="567" w:hanging="567"/>
        <w:jc w:val="both"/>
      </w:pPr>
    </w:p>
    <w:p w14:paraId="0EE71253" w14:textId="77777777" w:rsidR="00EA6BC2" w:rsidRDefault="00EA6BC2" w:rsidP="00215EC5">
      <w:pPr>
        <w:spacing w:line="480" w:lineRule="auto"/>
        <w:ind w:left="567" w:hanging="567"/>
        <w:jc w:val="both"/>
      </w:pPr>
    </w:p>
    <w:p w14:paraId="69FE9656" w14:textId="77777777" w:rsidR="00EA6BC2" w:rsidRDefault="00EA6BC2" w:rsidP="00215EC5">
      <w:pPr>
        <w:spacing w:line="480" w:lineRule="auto"/>
        <w:ind w:left="567" w:hanging="567"/>
        <w:jc w:val="both"/>
      </w:pPr>
    </w:p>
    <w:p w14:paraId="6115D863" w14:textId="77777777" w:rsidR="00EA6BC2" w:rsidRDefault="00EA6BC2" w:rsidP="00215EC5">
      <w:pPr>
        <w:spacing w:line="480" w:lineRule="auto"/>
        <w:ind w:left="567" w:hanging="567"/>
        <w:jc w:val="both"/>
      </w:pPr>
    </w:p>
    <w:p w14:paraId="17BB02FF" w14:textId="77777777" w:rsidR="00EA6BC2" w:rsidRDefault="00EA6BC2" w:rsidP="00215EC5">
      <w:pPr>
        <w:spacing w:line="480" w:lineRule="auto"/>
        <w:ind w:left="567" w:hanging="567"/>
        <w:jc w:val="both"/>
      </w:pPr>
    </w:p>
    <w:p w14:paraId="3BDCDB3C" w14:textId="77777777" w:rsidR="00EA6BC2" w:rsidRDefault="00EA6BC2" w:rsidP="00215EC5">
      <w:pPr>
        <w:spacing w:line="480" w:lineRule="auto"/>
        <w:ind w:left="567" w:hanging="567"/>
        <w:jc w:val="both"/>
      </w:pPr>
    </w:p>
    <w:p w14:paraId="20522CB4" w14:textId="77777777" w:rsidR="00EA6BC2" w:rsidRDefault="00EA6BC2" w:rsidP="00215EC5">
      <w:pPr>
        <w:spacing w:line="480" w:lineRule="auto"/>
        <w:ind w:left="567" w:hanging="567"/>
        <w:jc w:val="both"/>
      </w:pPr>
    </w:p>
    <w:p w14:paraId="3D8182E7" w14:textId="77777777" w:rsidR="00EA6BC2" w:rsidRDefault="00EA6BC2" w:rsidP="00215EC5">
      <w:pPr>
        <w:spacing w:line="480" w:lineRule="auto"/>
        <w:ind w:left="567" w:hanging="567"/>
        <w:jc w:val="both"/>
      </w:pPr>
    </w:p>
    <w:p w14:paraId="6DF762EC" w14:textId="77777777" w:rsidR="00EA6BC2" w:rsidRDefault="00EA6BC2" w:rsidP="00215EC5">
      <w:pPr>
        <w:spacing w:line="480" w:lineRule="auto"/>
        <w:ind w:left="567" w:hanging="567"/>
        <w:jc w:val="both"/>
      </w:pPr>
    </w:p>
    <w:p w14:paraId="3D63BAC5" w14:textId="77777777" w:rsidR="00EA6BC2" w:rsidRDefault="00EA6BC2" w:rsidP="00215EC5">
      <w:pPr>
        <w:spacing w:line="480" w:lineRule="auto"/>
        <w:ind w:left="567" w:hanging="567"/>
        <w:jc w:val="both"/>
      </w:pPr>
    </w:p>
    <w:p w14:paraId="5B992734" w14:textId="77777777" w:rsidR="00EA6BC2" w:rsidRDefault="00EA6BC2" w:rsidP="00215EC5">
      <w:pPr>
        <w:spacing w:line="480" w:lineRule="auto"/>
        <w:ind w:left="567" w:hanging="567"/>
        <w:jc w:val="both"/>
      </w:pPr>
    </w:p>
    <w:p w14:paraId="1B49C53C" w14:textId="77777777" w:rsidR="00EA6BC2" w:rsidRDefault="00EA6BC2" w:rsidP="00215EC5">
      <w:pPr>
        <w:spacing w:line="480" w:lineRule="auto"/>
        <w:ind w:left="567" w:hanging="567"/>
        <w:jc w:val="both"/>
      </w:pPr>
    </w:p>
    <w:p w14:paraId="0847ECDB" w14:textId="77777777" w:rsidR="00EA6BC2" w:rsidRDefault="00EA6BC2" w:rsidP="00215EC5">
      <w:pPr>
        <w:spacing w:line="480" w:lineRule="auto"/>
        <w:ind w:left="567" w:hanging="567"/>
        <w:jc w:val="both"/>
      </w:pPr>
    </w:p>
    <w:p w14:paraId="6AA500F5" w14:textId="77777777" w:rsidR="00EA6BC2" w:rsidRDefault="00EA6BC2" w:rsidP="00215EC5">
      <w:pPr>
        <w:spacing w:line="480" w:lineRule="auto"/>
        <w:ind w:left="567" w:hanging="567"/>
        <w:jc w:val="both"/>
      </w:pPr>
    </w:p>
    <w:p w14:paraId="652F73B9" w14:textId="77777777" w:rsidR="00EA6BC2" w:rsidRDefault="00EA6BC2" w:rsidP="00215EC5">
      <w:pPr>
        <w:spacing w:line="480" w:lineRule="auto"/>
        <w:ind w:left="567" w:hanging="567"/>
        <w:jc w:val="both"/>
      </w:pPr>
    </w:p>
    <w:p w14:paraId="49A8E349" w14:textId="77777777" w:rsidR="00EA6BC2" w:rsidRDefault="00EA6BC2" w:rsidP="00215EC5">
      <w:pPr>
        <w:spacing w:line="480" w:lineRule="auto"/>
        <w:ind w:left="567" w:hanging="567"/>
        <w:jc w:val="both"/>
      </w:pPr>
    </w:p>
    <w:p w14:paraId="5BE3C3FE" w14:textId="77777777" w:rsidR="00EA6BC2" w:rsidRDefault="00EA6BC2" w:rsidP="00215EC5">
      <w:pPr>
        <w:spacing w:line="480" w:lineRule="auto"/>
        <w:ind w:left="567" w:hanging="567"/>
        <w:jc w:val="both"/>
      </w:pPr>
    </w:p>
    <w:p w14:paraId="545F4F7C" w14:textId="577C0FB8" w:rsidR="00EA6BC2" w:rsidRPr="00B51AED" w:rsidRDefault="00B51AED" w:rsidP="00215EC5">
      <w:pPr>
        <w:spacing w:line="480" w:lineRule="auto"/>
        <w:ind w:left="567" w:hanging="567"/>
        <w:jc w:val="both"/>
        <w:rPr>
          <w:b/>
          <w:bCs/>
        </w:rPr>
      </w:pPr>
      <w:r w:rsidRPr="00B51AED">
        <w:rPr>
          <w:b/>
          <w:bCs/>
        </w:rPr>
        <w:lastRenderedPageBreak/>
        <w:t>BIOGRAPHIES OF AUTHORS</w:t>
      </w:r>
    </w:p>
    <w:p w14:paraId="2C4C9C31" w14:textId="09BD52EF" w:rsidR="00EA6BC2" w:rsidRDefault="007B1863" w:rsidP="00B51AED">
      <w:pPr>
        <w:pStyle w:val="ListParagraph"/>
        <w:numPr>
          <w:ilvl w:val="0"/>
          <w:numId w:val="35"/>
        </w:numPr>
        <w:spacing w:line="480" w:lineRule="auto"/>
        <w:ind w:left="284" w:hanging="284"/>
        <w:jc w:val="both"/>
      </w:pPr>
      <w:r>
        <w:t>Author</w:t>
      </w:r>
      <w:r w:rsidR="00B51AED">
        <w:tab/>
        <w:t>: Rendika Vhalery</w:t>
      </w:r>
    </w:p>
    <w:p w14:paraId="0002127F" w14:textId="77777777" w:rsidR="00430838" w:rsidRDefault="007B1863" w:rsidP="00430838">
      <w:pPr>
        <w:pStyle w:val="ListParagraph"/>
        <w:spacing w:line="480" w:lineRule="auto"/>
        <w:ind w:left="284"/>
        <w:jc w:val="both"/>
      </w:pPr>
      <w:r w:rsidRPr="00430838">
        <w:t>Affiliation</w:t>
      </w:r>
      <w:r w:rsidRPr="00430838">
        <w:tab/>
        <w:t xml:space="preserve">: </w:t>
      </w:r>
      <w:r w:rsidR="00430838" w:rsidRPr="00430838">
        <w:t xml:space="preserve">1) Faculty of Economic and Business, Universitas Negeri Malang, Indonesia </w:t>
      </w:r>
    </w:p>
    <w:p w14:paraId="7EAFCB08" w14:textId="21282F98" w:rsidR="00430838" w:rsidRPr="00430838" w:rsidRDefault="00430838" w:rsidP="00430838">
      <w:pPr>
        <w:pStyle w:val="ListParagraph"/>
        <w:spacing w:line="480" w:lineRule="auto"/>
        <w:ind w:left="1440" w:right="-755"/>
        <w:jc w:val="both"/>
      </w:pPr>
      <w:r>
        <w:t xml:space="preserve">  2) </w:t>
      </w:r>
      <w:r w:rsidRPr="00430838">
        <w:t>Faculty of Education and Social Sciences, Universitas Indraprasta PGRI, Indonesia</w:t>
      </w:r>
    </w:p>
    <w:p w14:paraId="293F4ED8" w14:textId="4BF7B2C2" w:rsidR="00EA6BC2" w:rsidRDefault="007B1863" w:rsidP="007B1863">
      <w:pPr>
        <w:pStyle w:val="ListParagraph"/>
        <w:spacing w:line="480" w:lineRule="auto"/>
        <w:ind w:left="284"/>
        <w:jc w:val="both"/>
      </w:pPr>
      <w:r>
        <w:t>E-mail</w:t>
      </w:r>
      <w:r>
        <w:tab/>
        <w:t>:</w:t>
      </w:r>
      <w:r w:rsidR="00430838">
        <w:t xml:space="preserve"> </w:t>
      </w:r>
      <w:r w:rsidR="004305CE" w:rsidRPr="004305CE">
        <w:t>rendika.vhalery.2304319@students.um.ac.id</w:t>
      </w:r>
    </w:p>
    <w:p w14:paraId="4A4E605F" w14:textId="5CE3CCDE" w:rsidR="009D4748" w:rsidRDefault="009D4748" w:rsidP="007B1863">
      <w:pPr>
        <w:pStyle w:val="ListParagraph"/>
        <w:spacing w:line="480" w:lineRule="auto"/>
        <w:ind w:left="284"/>
        <w:jc w:val="both"/>
      </w:pPr>
      <w:r>
        <w:t>Orcid Id</w:t>
      </w:r>
      <w:r>
        <w:tab/>
        <w:t>:</w:t>
      </w:r>
      <w:r w:rsidR="00480259">
        <w:t xml:space="preserve"> </w:t>
      </w:r>
      <w:r w:rsidR="00480259" w:rsidRPr="003C582B">
        <w:rPr>
          <w:lang w:val="en-US"/>
        </w:rPr>
        <w:t>https://orcid.org/0000-0001-7244-1620</w:t>
      </w:r>
    </w:p>
    <w:p w14:paraId="4CF1F0B5" w14:textId="74F31E98" w:rsidR="00430838" w:rsidRDefault="00430838" w:rsidP="00430838">
      <w:pPr>
        <w:pStyle w:val="ListParagraph"/>
        <w:numPr>
          <w:ilvl w:val="0"/>
          <w:numId w:val="35"/>
        </w:numPr>
        <w:spacing w:line="480" w:lineRule="auto"/>
        <w:ind w:left="284" w:hanging="284"/>
        <w:jc w:val="both"/>
      </w:pPr>
      <w:r>
        <w:t>Author</w:t>
      </w:r>
      <w:r>
        <w:tab/>
        <w:t>: Cipto Wardoyo</w:t>
      </w:r>
    </w:p>
    <w:p w14:paraId="78AC2C23" w14:textId="60B05AA5" w:rsidR="00430838" w:rsidRDefault="00430838" w:rsidP="00430838">
      <w:pPr>
        <w:pStyle w:val="ListParagraph"/>
        <w:spacing w:line="480" w:lineRule="auto"/>
        <w:ind w:left="284"/>
        <w:jc w:val="both"/>
      </w:pPr>
      <w:r w:rsidRPr="00430838">
        <w:t>Affiliation</w:t>
      </w:r>
      <w:r w:rsidRPr="00430838">
        <w:tab/>
        <w:t xml:space="preserve">: Faculty of Economic and Business, Universitas Negeri Malang, Indonesia </w:t>
      </w:r>
    </w:p>
    <w:p w14:paraId="55787D80" w14:textId="4F6371A1" w:rsidR="00430838" w:rsidRDefault="00430838" w:rsidP="00430838">
      <w:pPr>
        <w:pStyle w:val="ListParagraph"/>
        <w:spacing w:line="480" w:lineRule="auto"/>
        <w:ind w:left="284"/>
        <w:jc w:val="both"/>
        <w:rPr>
          <w:lang w:val="en-US"/>
        </w:rPr>
      </w:pPr>
      <w:r>
        <w:t>E-mail</w:t>
      </w:r>
      <w:r>
        <w:tab/>
        <w:t xml:space="preserve">: </w:t>
      </w:r>
      <w:r w:rsidRPr="00013E4A">
        <w:rPr>
          <w:lang w:val="en-US"/>
        </w:rPr>
        <w:t>cipto.wardoyo.fe@um.ac.id</w:t>
      </w:r>
    </w:p>
    <w:p w14:paraId="167B8727" w14:textId="092A0729" w:rsidR="009D4748" w:rsidRPr="009D4748" w:rsidRDefault="009D4748" w:rsidP="009D4748">
      <w:pPr>
        <w:pStyle w:val="ListParagraph"/>
        <w:spacing w:line="480" w:lineRule="auto"/>
        <w:ind w:left="284"/>
        <w:jc w:val="both"/>
      </w:pPr>
      <w:r>
        <w:t>Orcid Id</w:t>
      </w:r>
      <w:r>
        <w:tab/>
        <w:t>:</w:t>
      </w:r>
      <w:r w:rsidR="00480259" w:rsidRPr="00480259">
        <w:rPr>
          <w:lang w:val="en-US"/>
        </w:rPr>
        <w:t xml:space="preserve"> </w:t>
      </w:r>
      <w:r w:rsidR="00480259" w:rsidRPr="00DD74DD">
        <w:rPr>
          <w:lang w:val="en-US"/>
        </w:rPr>
        <w:t>https://orcid.org/0000-0001-5551-6555</w:t>
      </w:r>
    </w:p>
    <w:p w14:paraId="4DE607C2" w14:textId="1F51428C" w:rsidR="00E93B4C" w:rsidRDefault="00E93B4C" w:rsidP="00E93B4C">
      <w:pPr>
        <w:pStyle w:val="ListParagraph"/>
        <w:numPr>
          <w:ilvl w:val="0"/>
          <w:numId w:val="35"/>
        </w:numPr>
        <w:spacing w:line="480" w:lineRule="auto"/>
        <w:ind w:left="284" w:hanging="284"/>
        <w:jc w:val="both"/>
      </w:pPr>
      <w:r>
        <w:t>Author</w:t>
      </w:r>
      <w:r>
        <w:tab/>
        <w:t xml:space="preserve">: </w:t>
      </w:r>
      <w:r>
        <w:rPr>
          <w:lang w:val="en-US"/>
        </w:rPr>
        <w:t>E</w:t>
      </w:r>
      <w:r w:rsidRPr="0020733E">
        <w:rPr>
          <w:lang w:val="en-US"/>
        </w:rPr>
        <w:t>tty Soesilowati</w:t>
      </w:r>
    </w:p>
    <w:p w14:paraId="0CC48C60" w14:textId="77777777" w:rsidR="00E93B4C" w:rsidRDefault="00E93B4C" w:rsidP="00E93B4C">
      <w:pPr>
        <w:pStyle w:val="ListParagraph"/>
        <w:spacing w:line="480" w:lineRule="auto"/>
        <w:ind w:left="284"/>
        <w:jc w:val="both"/>
      </w:pPr>
      <w:r w:rsidRPr="00430838">
        <w:t>Affiliation</w:t>
      </w:r>
      <w:r w:rsidRPr="00430838">
        <w:tab/>
        <w:t xml:space="preserve">: Faculty of Economic and Business, Universitas Negeri Malang, Indonesia </w:t>
      </w:r>
    </w:p>
    <w:p w14:paraId="6B49EBC1" w14:textId="579F8DEC" w:rsidR="00E93B4C" w:rsidRDefault="00E93B4C" w:rsidP="00E93B4C">
      <w:pPr>
        <w:pStyle w:val="ListParagraph"/>
        <w:spacing w:line="480" w:lineRule="auto"/>
        <w:ind w:left="284"/>
        <w:jc w:val="both"/>
        <w:rPr>
          <w:lang w:val="en-US"/>
        </w:rPr>
      </w:pPr>
      <w:r>
        <w:t>E-mail</w:t>
      </w:r>
      <w:r>
        <w:tab/>
        <w:t xml:space="preserve">: </w:t>
      </w:r>
      <w:r w:rsidRPr="00013E4A">
        <w:rPr>
          <w:lang w:val="en-US"/>
        </w:rPr>
        <w:t>ettysoesilowati.fe@um.ac.id</w:t>
      </w:r>
    </w:p>
    <w:p w14:paraId="382C88DD" w14:textId="79AFF0D6" w:rsidR="009D4748" w:rsidRPr="009D4748" w:rsidRDefault="009D4748" w:rsidP="009D4748">
      <w:pPr>
        <w:pStyle w:val="ListParagraph"/>
        <w:spacing w:line="480" w:lineRule="auto"/>
        <w:ind w:left="284"/>
        <w:jc w:val="both"/>
      </w:pPr>
      <w:r>
        <w:t>Orcid Id</w:t>
      </w:r>
      <w:r>
        <w:tab/>
        <w:t xml:space="preserve">: </w:t>
      </w:r>
      <w:r w:rsidR="00480259" w:rsidRPr="00013E4A">
        <w:rPr>
          <w:lang w:val="en-US"/>
        </w:rPr>
        <w:t>https://orcid.org/0009-0008-0889-1588</w:t>
      </w:r>
    </w:p>
    <w:p w14:paraId="0DE643C0" w14:textId="70BAA1D8" w:rsidR="00E93B4C" w:rsidRDefault="00E93B4C" w:rsidP="00E93B4C">
      <w:pPr>
        <w:pStyle w:val="ListParagraph"/>
        <w:numPr>
          <w:ilvl w:val="0"/>
          <w:numId w:val="35"/>
        </w:numPr>
        <w:spacing w:line="480" w:lineRule="auto"/>
        <w:ind w:left="284" w:hanging="284"/>
        <w:jc w:val="both"/>
      </w:pPr>
      <w:r>
        <w:t>Author</w:t>
      </w:r>
      <w:r>
        <w:tab/>
        <w:t xml:space="preserve">: </w:t>
      </w:r>
      <w:r>
        <w:rPr>
          <w:lang w:val="en-US"/>
        </w:rPr>
        <w:t>Wening Patmi Rahayu</w:t>
      </w:r>
    </w:p>
    <w:p w14:paraId="55C1E14F" w14:textId="77777777" w:rsidR="00E93B4C" w:rsidRDefault="00E93B4C" w:rsidP="00E93B4C">
      <w:pPr>
        <w:pStyle w:val="ListParagraph"/>
        <w:spacing w:line="480" w:lineRule="auto"/>
        <w:ind w:left="284"/>
        <w:jc w:val="both"/>
      </w:pPr>
      <w:r w:rsidRPr="00430838">
        <w:t>Affiliation</w:t>
      </w:r>
      <w:r w:rsidRPr="00430838">
        <w:tab/>
        <w:t xml:space="preserve">: Faculty of Economic and Business, Universitas Negeri Malang, Indonesia </w:t>
      </w:r>
    </w:p>
    <w:p w14:paraId="09ED7542" w14:textId="18AC452D" w:rsidR="00E93B4C" w:rsidRDefault="00E93B4C" w:rsidP="00E93B4C">
      <w:pPr>
        <w:pStyle w:val="ListParagraph"/>
        <w:spacing w:line="480" w:lineRule="auto"/>
        <w:ind w:left="284"/>
        <w:jc w:val="both"/>
        <w:rPr>
          <w:lang w:val="en-US"/>
        </w:rPr>
      </w:pPr>
      <w:r>
        <w:t>E-mail</w:t>
      </w:r>
      <w:r>
        <w:tab/>
        <w:t xml:space="preserve">: </w:t>
      </w:r>
      <w:r w:rsidRPr="00013E4A">
        <w:rPr>
          <w:lang w:val="en-US"/>
        </w:rPr>
        <w:t>wening.patmi.fe@um.ac.id</w:t>
      </w:r>
    </w:p>
    <w:p w14:paraId="5FE2C7DB" w14:textId="5941E2B8" w:rsidR="009D4748" w:rsidRPr="009D4748" w:rsidRDefault="009D4748" w:rsidP="009D4748">
      <w:pPr>
        <w:pStyle w:val="ListParagraph"/>
        <w:spacing w:line="480" w:lineRule="auto"/>
        <w:ind w:left="284"/>
        <w:jc w:val="both"/>
      </w:pPr>
      <w:r>
        <w:t>Orcid Id</w:t>
      </w:r>
      <w:r>
        <w:tab/>
        <w:t>:</w:t>
      </w:r>
      <w:r w:rsidR="00480259">
        <w:t xml:space="preserve"> </w:t>
      </w:r>
      <w:r w:rsidR="00480259" w:rsidRPr="000E1EF5">
        <w:rPr>
          <w:lang w:val="en-US"/>
        </w:rPr>
        <w:t>https://orcid.org/0000-0002-7081-4216</w:t>
      </w:r>
    </w:p>
    <w:p w14:paraId="75B82B7B" w14:textId="7A997D9D" w:rsidR="00E93B4C" w:rsidRDefault="00E93B4C" w:rsidP="00E93B4C">
      <w:pPr>
        <w:pStyle w:val="ListParagraph"/>
        <w:numPr>
          <w:ilvl w:val="0"/>
          <w:numId w:val="35"/>
        </w:numPr>
        <w:spacing w:line="480" w:lineRule="auto"/>
        <w:ind w:left="284" w:hanging="284"/>
        <w:jc w:val="both"/>
      </w:pPr>
      <w:r>
        <w:t>Author</w:t>
      </w:r>
      <w:r>
        <w:tab/>
        <w:t>: Nofriansyah</w:t>
      </w:r>
    </w:p>
    <w:p w14:paraId="35690AF7" w14:textId="5025AF0E" w:rsidR="00E93B4C" w:rsidRDefault="00E93B4C" w:rsidP="00E93B4C">
      <w:pPr>
        <w:pStyle w:val="ListParagraph"/>
        <w:spacing w:line="480" w:lineRule="auto"/>
        <w:ind w:left="1444" w:hanging="1160"/>
        <w:jc w:val="both"/>
      </w:pPr>
      <w:r w:rsidRPr="00430838">
        <w:t>Affiliation</w:t>
      </w:r>
      <w:r w:rsidRPr="00430838">
        <w:tab/>
        <w:t>: Faculty of Economic and Business</w:t>
      </w:r>
      <w:r>
        <w:t xml:space="preserve"> Education</w:t>
      </w:r>
      <w:r w:rsidRPr="00430838">
        <w:t xml:space="preserve">, Universitas </w:t>
      </w:r>
      <w:r>
        <w:t>Pendidikan Indonesia</w:t>
      </w:r>
      <w:r w:rsidRPr="00430838">
        <w:t xml:space="preserve"> </w:t>
      </w:r>
    </w:p>
    <w:p w14:paraId="18377D27" w14:textId="3946B83B" w:rsidR="007B1863" w:rsidRDefault="00E93B4C" w:rsidP="00E93B4C">
      <w:pPr>
        <w:pStyle w:val="ListParagraph"/>
        <w:spacing w:line="480" w:lineRule="auto"/>
        <w:ind w:left="284"/>
        <w:jc w:val="both"/>
        <w:rPr>
          <w:lang w:val="en-US"/>
        </w:rPr>
      </w:pPr>
      <w:r>
        <w:t>E-mail</w:t>
      </w:r>
      <w:r>
        <w:tab/>
        <w:t xml:space="preserve">: </w:t>
      </w:r>
      <w:r w:rsidR="00480259" w:rsidRPr="00480259">
        <w:rPr>
          <w:lang w:val="en-US"/>
        </w:rPr>
        <w:t>nofriansyah10@gmail.com</w:t>
      </w:r>
    </w:p>
    <w:p w14:paraId="542C7569" w14:textId="2AD8C5BB" w:rsidR="009D4748" w:rsidRDefault="009D4748" w:rsidP="009D4748">
      <w:pPr>
        <w:pStyle w:val="ListParagraph"/>
        <w:spacing w:line="480" w:lineRule="auto"/>
        <w:ind w:left="284"/>
        <w:jc w:val="both"/>
      </w:pPr>
      <w:r>
        <w:t>Orcid Id</w:t>
      </w:r>
      <w:r>
        <w:tab/>
        <w:t>:</w:t>
      </w:r>
      <w:r w:rsidR="00480259">
        <w:t xml:space="preserve"> </w:t>
      </w:r>
      <w:r w:rsidR="00480259" w:rsidRPr="00480259">
        <w:t>https://orcid.org/0009-0001-5150-6082</w:t>
      </w:r>
    </w:p>
    <w:p w14:paraId="1D595864" w14:textId="77777777" w:rsidR="00480259" w:rsidRDefault="00480259" w:rsidP="009D4748">
      <w:pPr>
        <w:pStyle w:val="ListParagraph"/>
        <w:spacing w:line="480" w:lineRule="auto"/>
        <w:ind w:left="284"/>
        <w:jc w:val="both"/>
      </w:pPr>
    </w:p>
    <w:sectPr w:rsidR="00480259" w:rsidSect="00EC12AD">
      <w:headerReference w:type="default" r:id="rId9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A0760" w14:textId="77777777" w:rsidR="001A2C12" w:rsidRDefault="001A2C12" w:rsidP="001B2884">
      <w:r>
        <w:separator/>
      </w:r>
    </w:p>
  </w:endnote>
  <w:endnote w:type="continuationSeparator" w:id="0">
    <w:p w14:paraId="63A90CB7" w14:textId="77777777" w:rsidR="001A2C12" w:rsidRDefault="001A2C12" w:rsidP="001B2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C9EF9" w14:textId="77777777" w:rsidR="001A2C12" w:rsidRDefault="001A2C12" w:rsidP="001B2884">
      <w:r>
        <w:separator/>
      </w:r>
    </w:p>
  </w:footnote>
  <w:footnote w:type="continuationSeparator" w:id="0">
    <w:p w14:paraId="364A9714" w14:textId="77777777" w:rsidR="001A2C12" w:rsidRDefault="001A2C12" w:rsidP="001B2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AE26" w14:textId="77777777" w:rsidR="001B2884" w:rsidRDefault="001B2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F4F"/>
    <w:multiLevelType w:val="multilevel"/>
    <w:tmpl w:val="98D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1038F"/>
    <w:multiLevelType w:val="multilevel"/>
    <w:tmpl w:val="7710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C3B11"/>
    <w:multiLevelType w:val="multilevel"/>
    <w:tmpl w:val="B6DE0DE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A41FB4"/>
    <w:multiLevelType w:val="hybridMultilevel"/>
    <w:tmpl w:val="35CA0284"/>
    <w:lvl w:ilvl="0" w:tplc="4C92E5B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0528F9"/>
    <w:multiLevelType w:val="hybridMultilevel"/>
    <w:tmpl w:val="15D6FC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E383AA0"/>
    <w:multiLevelType w:val="multilevel"/>
    <w:tmpl w:val="B946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C5822"/>
    <w:multiLevelType w:val="multilevel"/>
    <w:tmpl w:val="D55C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A497B"/>
    <w:multiLevelType w:val="multilevel"/>
    <w:tmpl w:val="4D2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429B6"/>
    <w:multiLevelType w:val="multilevel"/>
    <w:tmpl w:val="AF70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D740E"/>
    <w:multiLevelType w:val="multilevel"/>
    <w:tmpl w:val="1EB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C12DC"/>
    <w:multiLevelType w:val="hybridMultilevel"/>
    <w:tmpl w:val="501C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3B4"/>
    <w:multiLevelType w:val="multilevel"/>
    <w:tmpl w:val="55F6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669E1"/>
    <w:multiLevelType w:val="hybridMultilevel"/>
    <w:tmpl w:val="4830BB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67E4B70"/>
    <w:multiLevelType w:val="hybridMultilevel"/>
    <w:tmpl w:val="BDC22CA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81832BC"/>
    <w:multiLevelType w:val="hybridMultilevel"/>
    <w:tmpl w:val="202448C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97E5BFE"/>
    <w:multiLevelType w:val="multilevel"/>
    <w:tmpl w:val="DA64B74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B930DA"/>
    <w:multiLevelType w:val="hybridMultilevel"/>
    <w:tmpl w:val="B01A79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BAB4FFB"/>
    <w:multiLevelType w:val="multilevel"/>
    <w:tmpl w:val="2BB63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985E18"/>
    <w:multiLevelType w:val="hybridMultilevel"/>
    <w:tmpl w:val="0094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C6AA5"/>
    <w:multiLevelType w:val="hybridMultilevel"/>
    <w:tmpl w:val="F5CC5C0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7EF7076"/>
    <w:multiLevelType w:val="hybridMultilevel"/>
    <w:tmpl w:val="F15E2AB4"/>
    <w:lvl w:ilvl="0" w:tplc="656200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F117E0"/>
    <w:multiLevelType w:val="hybridMultilevel"/>
    <w:tmpl w:val="3230C9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E427393"/>
    <w:multiLevelType w:val="hybridMultilevel"/>
    <w:tmpl w:val="2EA8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1749D"/>
    <w:multiLevelType w:val="multilevel"/>
    <w:tmpl w:val="078E5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52919"/>
    <w:multiLevelType w:val="hybridMultilevel"/>
    <w:tmpl w:val="CDCE03C6"/>
    <w:lvl w:ilvl="0" w:tplc="0750F008">
      <w:start w:val="1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5392FF3"/>
    <w:multiLevelType w:val="multilevel"/>
    <w:tmpl w:val="589A7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82FE7"/>
    <w:multiLevelType w:val="hybridMultilevel"/>
    <w:tmpl w:val="E83CFFC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6A70432"/>
    <w:multiLevelType w:val="hybridMultilevel"/>
    <w:tmpl w:val="BFD2813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2C7425F"/>
    <w:multiLevelType w:val="multilevel"/>
    <w:tmpl w:val="E7B2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4E455D"/>
    <w:multiLevelType w:val="hybridMultilevel"/>
    <w:tmpl w:val="81D8AA2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D8A0A0A"/>
    <w:multiLevelType w:val="hybridMultilevel"/>
    <w:tmpl w:val="3B4C22A0"/>
    <w:lvl w:ilvl="0" w:tplc="42D0716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30C63DC"/>
    <w:multiLevelType w:val="multilevel"/>
    <w:tmpl w:val="7D7CA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3B7F1B"/>
    <w:multiLevelType w:val="hybridMultilevel"/>
    <w:tmpl w:val="62B06EBA"/>
    <w:lvl w:ilvl="0" w:tplc="5916FD8C">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6DC1ABB"/>
    <w:multiLevelType w:val="multilevel"/>
    <w:tmpl w:val="717C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443AF6"/>
    <w:multiLevelType w:val="multilevel"/>
    <w:tmpl w:val="392A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94749">
    <w:abstractNumId w:val="17"/>
  </w:num>
  <w:num w:numId="2" w16cid:durableId="1523977403">
    <w:abstractNumId w:val="33"/>
  </w:num>
  <w:num w:numId="3" w16cid:durableId="498039103">
    <w:abstractNumId w:val="12"/>
  </w:num>
  <w:num w:numId="4" w16cid:durableId="1832286991">
    <w:abstractNumId w:val="19"/>
  </w:num>
  <w:num w:numId="5" w16cid:durableId="1928229318">
    <w:abstractNumId w:val="34"/>
  </w:num>
  <w:num w:numId="6" w16cid:durableId="142547118">
    <w:abstractNumId w:val="8"/>
  </w:num>
  <w:num w:numId="7" w16cid:durableId="1534147976">
    <w:abstractNumId w:val="1"/>
  </w:num>
  <w:num w:numId="8" w16cid:durableId="968441718">
    <w:abstractNumId w:val="21"/>
  </w:num>
  <w:num w:numId="9" w16cid:durableId="1408990356">
    <w:abstractNumId w:val="3"/>
  </w:num>
  <w:num w:numId="10" w16cid:durableId="585695600">
    <w:abstractNumId w:val="29"/>
  </w:num>
  <w:num w:numId="11" w16cid:durableId="1778872218">
    <w:abstractNumId w:val="14"/>
  </w:num>
  <w:num w:numId="12" w16cid:durableId="1397319265">
    <w:abstractNumId w:val="32"/>
  </w:num>
  <w:num w:numId="13" w16cid:durableId="512380157">
    <w:abstractNumId w:val="26"/>
  </w:num>
  <w:num w:numId="14" w16cid:durableId="156455929">
    <w:abstractNumId w:val="24"/>
  </w:num>
  <w:num w:numId="15" w16cid:durableId="157620661">
    <w:abstractNumId w:val="6"/>
  </w:num>
  <w:num w:numId="16" w16cid:durableId="453598725">
    <w:abstractNumId w:val="28"/>
  </w:num>
  <w:num w:numId="17" w16cid:durableId="111242574">
    <w:abstractNumId w:val="4"/>
  </w:num>
  <w:num w:numId="18" w16cid:durableId="455873818">
    <w:abstractNumId w:val="9"/>
  </w:num>
  <w:num w:numId="19" w16cid:durableId="1654218837">
    <w:abstractNumId w:val="31"/>
  </w:num>
  <w:num w:numId="20" w16cid:durableId="202521320">
    <w:abstractNumId w:val="25"/>
  </w:num>
  <w:num w:numId="21" w16cid:durableId="928929806">
    <w:abstractNumId w:val="0"/>
  </w:num>
  <w:num w:numId="22" w16cid:durableId="1353991814">
    <w:abstractNumId w:val="7"/>
  </w:num>
  <w:num w:numId="23" w16cid:durableId="556550521">
    <w:abstractNumId w:val="5"/>
  </w:num>
  <w:num w:numId="24" w16cid:durableId="1051727162">
    <w:abstractNumId w:val="11"/>
  </w:num>
  <w:num w:numId="25" w16cid:durableId="461965276">
    <w:abstractNumId w:val="10"/>
  </w:num>
  <w:num w:numId="26" w16cid:durableId="8917401">
    <w:abstractNumId w:val="23"/>
  </w:num>
  <w:num w:numId="27" w16cid:durableId="873734774">
    <w:abstractNumId w:val="13"/>
  </w:num>
  <w:num w:numId="28" w16cid:durableId="569387931">
    <w:abstractNumId w:val="30"/>
  </w:num>
  <w:num w:numId="29" w16cid:durableId="587620357">
    <w:abstractNumId w:val="27"/>
  </w:num>
  <w:num w:numId="30" w16cid:durableId="1485854013">
    <w:abstractNumId w:val="18"/>
  </w:num>
  <w:num w:numId="31" w16cid:durableId="1370374580">
    <w:abstractNumId w:val="22"/>
  </w:num>
  <w:num w:numId="32" w16cid:durableId="502669044">
    <w:abstractNumId w:val="20"/>
  </w:num>
  <w:num w:numId="33" w16cid:durableId="205022366">
    <w:abstractNumId w:val="2"/>
  </w:num>
  <w:num w:numId="34" w16cid:durableId="1323002508">
    <w:abstractNumId w:val="15"/>
  </w:num>
  <w:num w:numId="35" w16cid:durableId="15454045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29"/>
    <w:rsid w:val="00033370"/>
    <w:rsid w:val="00050BAC"/>
    <w:rsid w:val="00062FB0"/>
    <w:rsid w:val="0008177C"/>
    <w:rsid w:val="000A5A30"/>
    <w:rsid w:val="000C0C7C"/>
    <w:rsid w:val="000C5F2B"/>
    <w:rsid w:val="000D2227"/>
    <w:rsid w:val="000D79D6"/>
    <w:rsid w:val="000E1DE2"/>
    <w:rsid w:val="000E7089"/>
    <w:rsid w:val="001142EE"/>
    <w:rsid w:val="001147D0"/>
    <w:rsid w:val="001700BE"/>
    <w:rsid w:val="001A2C12"/>
    <w:rsid w:val="001B2884"/>
    <w:rsid w:val="001E0ADC"/>
    <w:rsid w:val="001E591A"/>
    <w:rsid w:val="00215EC5"/>
    <w:rsid w:val="00220225"/>
    <w:rsid w:val="00230392"/>
    <w:rsid w:val="00231A53"/>
    <w:rsid w:val="00243476"/>
    <w:rsid w:val="00264AA5"/>
    <w:rsid w:val="00272E0F"/>
    <w:rsid w:val="00276E92"/>
    <w:rsid w:val="002C5F44"/>
    <w:rsid w:val="002C7345"/>
    <w:rsid w:val="002D6AC9"/>
    <w:rsid w:val="00301CA6"/>
    <w:rsid w:val="0031119A"/>
    <w:rsid w:val="00346F66"/>
    <w:rsid w:val="00382799"/>
    <w:rsid w:val="00395C58"/>
    <w:rsid w:val="003C35B7"/>
    <w:rsid w:val="003D3C61"/>
    <w:rsid w:val="003D6A9C"/>
    <w:rsid w:val="00416FE0"/>
    <w:rsid w:val="004305CE"/>
    <w:rsid w:val="00430838"/>
    <w:rsid w:val="004353D6"/>
    <w:rsid w:val="00445F29"/>
    <w:rsid w:val="00476086"/>
    <w:rsid w:val="00480259"/>
    <w:rsid w:val="004827C2"/>
    <w:rsid w:val="004C54A7"/>
    <w:rsid w:val="004E0DB9"/>
    <w:rsid w:val="004E231A"/>
    <w:rsid w:val="004F614E"/>
    <w:rsid w:val="00514978"/>
    <w:rsid w:val="0055598F"/>
    <w:rsid w:val="00556500"/>
    <w:rsid w:val="00570217"/>
    <w:rsid w:val="005830DB"/>
    <w:rsid w:val="0059054E"/>
    <w:rsid w:val="005B28CF"/>
    <w:rsid w:val="00627DF2"/>
    <w:rsid w:val="00644D4F"/>
    <w:rsid w:val="0065717F"/>
    <w:rsid w:val="006903DC"/>
    <w:rsid w:val="006A0D38"/>
    <w:rsid w:val="006A1D2D"/>
    <w:rsid w:val="006A5A54"/>
    <w:rsid w:val="006D343C"/>
    <w:rsid w:val="00711009"/>
    <w:rsid w:val="007163DB"/>
    <w:rsid w:val="007218B6"/>
    <w:rsid w:val="00725688"/>
    <w:rsid w:val="00747458"/>
    <w:rsid w:val="007B1863"/>
    <w:rsid w:val="007B1D0E"/>
    <w:rsid w:val="007D00CA"/>
    <w:rsid w:val="007D25C2"/>
    <w:rsid w:val="00842B08"/>
    <w:rsid w:val="00873C37"/>
    <w:rsid w:val="00873F5D"/>
    <w:rsid w:val="008A21D9"/>
    <w:rsid w:val="008B7909"/>
    <w:rsid w:val="008C7F62"/>
    <w:rsid w:val="008D34E4"/>
    <w:rsid w:val="008D6993"/>
    <w:rsid w:val="00910F29"/>
    <w:rsid w:val="00916A26"/>
    <w:rsid w:val="0096598C"/>
    <w:rsid w:val="0098466D"/>
    <w:rsid w:val="00986D07"/>
    <w:rsid w:val="00991879"/>
    <w:rsid w:val="00994A29"/>
    <w:rsid w:val="0099739F"/>
    <w:rsid w:val="009D4748"/>
    <w:rsid w:val="00A013D4"/>
    <w:rsid w:val="00A17E2F"/>
    <w:rsid w:val="00A243F4"/>
    <w:rsid w:val="00A60710"/>
    <w:rsid w:val="00AA143A"/>
    <w:rsid w:val="00AD4B53"/>
    <w:rsid w:val="00AF2A7F"/>
    <w:rsid w:val="00AF62B9"/>
    <w:rsid w:val="00B1674F"/>
    <w:rsid w:val="00B26968"/>
    <w:rsid w:val="00B4111D"/>
    <w:rsid w:val="00B51AED"/>
    <w:rsid w:val="00B72E38"/>
    <w:rsid w:val="00B75949"/>
    <w:rsid w:val="00B959D3"/>
    <w:rsid w:val="00BA521A"/>
    <w:rsid w:val="00BA678C"/>
    <w:rsid w:val="00BB1815"/>
    <w:rsid w:val="00BC6298"/>
    <w:rsid w:val="00BF645A"/>
    <w:rsid w:val="00C17463"/>
    <w:rsid w:val="00C67EAF"/>
    <w:rsid w:val="00C81EB9"/>
    <w:rsid w:val="00CA479E"/>
    <w:rsid w:val="00CB140D"/>
    <w:rsid w:val="00CD2D75"/>
    <w:rsid w:val="00D353B5"/>
    <w:rsid w:val="00D57A30"/>
    <w:rsid w:val="00DD1C39"/>
    <w:rsid w:val="00DD3799"/>
    <w:rsid w:val="00DE6795"/>
    <w:rsid w:val="00E15471"/>
    <w:rsid w:val="00E4756A"/>
    <w:rsid w:val="00E91A3B"/>
    <w:rsid w:val="00E93B4C"/>
    <w:rsid w:val="00EA02EF"/>
    <w:rsid w:val="00EA1EEF"/>
    <w:rsid w:val="00EA6BC2"/>
    <w:rsid w:val="00EC12AD"/>
    <w:rsid w:val="00F055DF"/>
    <w:rsid w:val="00F07B98"/>
    <w:rsid w:val="00F45D41"/>
    <w:rsid w:val="00F97B03"/>
    <w:rsid w:val="00FB2FD7"/>
    <w:rsid w:val="00FF347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ABD4"/>
  <w15:chartTrackingRefBased/>
  <w15:docId w15:val="{5F5C0A3B-BEFA-4A8C-B815-DC8C218E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DB"/>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445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5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45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5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5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5F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F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F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F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F29"/>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445F29"/>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445F29"/>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445F29"/>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445F29"/>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445F29"/>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445F29"/>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445F29"/>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445F29"/>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445F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F29"/>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445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F29"/>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445F29"/>
    <w:pPr>
      <w:spacing w:before="160"/>
      <w:jc w:val="center"/>
    </w:pPr>
    <w:rPr>
      <w:i/>
      <w:iCs/>
      <w:color w:val="404040" w:themeColor="text1" w:themeTint="BF"/>
    </w:rPr>
  </w:style>
  <w:style w:type="character" w:customStyle="1" w:styleId="QuoteChar">
    <w:name w:val="Quote Char"/>
    <w:basedOn w:val="DefaultParagraphFont"/>
    <w:link w:val="Quote"/>
    <w:uiPriority w:val="29"/>
    <w:rsid w:val="00445F29"/>
    <w:rPr>
      <w:i/>
      <w:iCs/>
      <w:color w:val="404040" w:themeColor="text1" w:themeTint="BF"/>
      <w:lang w:val="id-ID"/>
    </w:rPr>
  </w:style>
  <w:style w:type="paragraph" w:styleId="ListParagraph">
    <w:name w:val="List Paragraph"/>
    <w:basedOn w:val="Normal"/>
    <w:uiPriority w:val="34"/>
    <w:qFormat/>
    <w:rsid w:val="00445F29"/>
    <w:pPr>
      <w:ind w:left="720"/>
      <w:contextualSpacing/>
    </w:pPr>
  </w:style>
  <w:style w:type="character" w:styleId="IntenseEmphasis">
    <w:name w:val="Intense Emphasis"/>
    <w:basedOn w:val="DefaultParagraphFont"/>
    <w:uiPriority w:val="21"/>
    <w:qFormat/>
    <w:rsid w:val="00445F29"/>
    <w:rPr>
      <w:i/>
      <w:iCs/>
      <w:color w:val="2F5496" w:themeColor="accent1" w:themeShade="BF"/>
    </w:rPr>
  </w:style>
  <w:style w:type="paragraph" w:styleId="IntenseQuote">
    <w:name w:val="Intense Quote"/>
    <w:basedOn w:val="Normal"/>
    <w:next w:val="Normal"/>
    <w:link w:val="IntenseQuoteChar"/>
    <w:uiPriority w:val="30"/>
    <w:qFormat/>
    <w:rsid w:val="00445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5F29"/>
    <w:rPr>
      <w:i/>
      <w:iCs/>
      <w:color w:val="2F5496" w:themeColor="accent1" w:themeShade="BF"/>
      <w:lang w:val="id-ID"/>
    </w:rPr>
  </w:style>
  <w:style w:type="character" w:styleId="IntenseReference">
    <w:name w:val="Intense Reference"/>
    <w:basedOn w:val="DefaultParagraphFont"/>
    <w:uiPriority w:val="32"/>
    <w:qFormat/>
    <w:rsid w:val="00445F29"/>
    <w:rPr>
      <w:b/>
      <w:bCs/>
      <w:smallCaps/>
      <w:color w:val="2F5496" w:themeColor="accent1" w:themeShade="BF"/>
      <w:spacing w:val="5"/>
    </w:rPr>
  </w:style>
  <w:style w:type="character" w:styleId="Hyperlink">
    <w:name w:val="Hyperlink"/>
    <w:basedOn w:val="DefaultParagraphFont"/>
    <w:uiPriority w:val="99"/>
    <w:unhideWhenUsed/>
    <w:rsid w:val="00EA1EEF"/>
    <w:rPr>
      <w:color w:val="0563C1" w:themeColor="hyperlink"/>
      <w:u w:val="single"/>
    </w:rPr>
  </w:style>
  <w:style w:type="character" w:styleId="UnresolvedMention">
    <w:name w:val="Unresolved Mention"/>
    <w:basedOn w:val="DefaultParagraphFont"/>
    <w:uiPriority w:val="99"/>
    <w:semiHidden/>
    <w:unhideWhenUsed/>
    <w:rsid w:val="00EA1EEF"/>
    <w:rPr>
      <w:color w:val="605E5C"/>
      <w:shd w:val="clear" w:color="auto" w:fill="E1DFDD"/>
    </w:rPr>
  </w:style>
  <w:style w:type="table" w:styleId="TableGrid">
    <w:name w:val="Table Grid"/>
    <w:basedOn w:val="TableNormal"/>
    <w:uiPriority w:val="39"/>
    <w:rsid w:val="00590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3C37"/>
    <w:pPr>
      <w:spacing w:before="100" w:beforeAutospacing="1" w:after="100" w:afterAutospacing="1"/>
    </w:pPr>
    <w:rPr>
      <w:lang w:eastAsia="id-ID"/>
    </w:rPr>
  </w:style>
  <w:style w:type="character" w:styleId="Strong">
    <w:name w:val="Strong"/>
    <w:basedOn w:val="DefaultParagraphFont"/>
    <w:uiPriority w:val="22"/>
    <w:qFormat/>
    <w:rsid w:val="00873C37"/>
    <w:rPr>
      <w:b/>
      <w:bCs/>
    </w:rPr>
  </w:style>
  <w:style w:type="character" w:styleId="Emphasis">
    <w:name w:val="Emphasis"/>
    <w:basedOn w:val="DefaultParagraphFont"/>
    <w:uiPriority w:val="20"/>
    <w:qFormat/>
    <w:rsid w:val="000C0C7C"/>
    <w:rPr>
      <w:i/>
      <w:iCs/>
    </w:rPr>
  </w:style>
  <w:style w:type="paragraph" w:styleId="Header">
    <w:name w:val="header"/>
    <w:basedOn w:val="Normal"/>
    <w:link w:val="HeaderChar"/>
    <w:uiPriority w:val="99"/>
    <w:unhideWhenUsed/>
    <w:rsid w:val="001B2884"/>
    <w:pPr>
      <w:tabs>
        <w:tab w:val="center" w:pos="4680"/>
        <w:tab w:val="right" w:pos="9360"/>
      </w:tabs>
    </w:pPr>
  </w:style>
  <w:style w:type="character" w:customStyle="1" w:styleId="HeaderChar">
    <w:name w:val="Header Char"/>
    <w:basedOn w:val="DefaultParagraphFont"/>
    <w:link w:val="Header"/>
    <w:uiPriority w:val="99"/>
    <w:rsid w:val="001B288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1B2884"/>
    <w:pPr>
      <w:tabs>
        <w:tab w:val="center" w:pos="4680"/>
        <w:tab w:val="right" w:pos="9360"/>
      </w:tabs>
    </w:pPr>
  </w:style>
  <w:style w:type="character" w:customStyle="1" w:styleId="FooterChar">
    <w:name w:val="Footer Char"/>
    <w:basedOn w:val="DefaultParagraphFont"/>
    <w:link w:val="Footer"/>
    <w:uiPriority w:val="99"/>
    <w:rsid w:val="001B288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7325">
      <w:bodyDiv w:val="1"/>
      <w:marLeft w:val="0"/>
      <w:marRight w:val="0"/>
      <w:marTop w:val="0"/>
      <w:marBottom w:val="0"/>
      <w:divBdr>
        <w:top w:val="none" w:sz="0" w:space="0" w:color="auto"/>
        <w:left w:val="none" w:sz="0" w:space="0" w:color="auto"/>
        <w:bottom w:val="none" w:sz="0" w:space="0" w:color="auto"/>
        <w:right w:val="none" w:sz="0" w:space="0" w:color="auto"/>
      </w:divBdr>
    </w:div>
    <w:div w:id="18750741">
      <w:bodyDiv w:val="1"/>
      <w:marLeft w:val="0"/>
      <w:marRight w:val="0"/>
      <w:marTop w:val="0"/>
      <w:marBottom w:val="0"/>
      <w:divBdr>
        <w:top w:val="none" w:sz="0" w:space="0" w:color="auto"/>
        <w:left w:val="none" w:sz="0" w:space="0" w:color="auto"/>
        <w:bottom w:val="none" w:sz="0" w:space="0" w:color="auto"/>
        <w:right w:val="none" w:sz="0" w:space="0" w:color="auto"/>
      </w:divBdr>
    </w:div>
    <w:div w:id="23404925">
      <w:bodyDiv w:val="1"/>
      <w:marLeft w:val="0"/>
      <w:marRight w:val="0"/>
      <w:marTop w:val="0"/>
      <w:marBottom w:val="0"/>
      <w:divBdr>
        <w:top w:val="none" w:sz="0" w:space="0" w:color="auto"/>
        <w:left w:val="none" w:sz="0" w:space="0" w:color="auto"/>
        <w:bottom w:val="none" w:sz="0" w:space="0" w:color="auto"/>
        <w:right w:val="none" w:sz="0" w:space="0" w:color="auto"/>
      </w:divBdr>
    </w:div>
    <w:div w:id="56129218">
      <w:bodyDiv w:val="1"/>
      <w:marLeft w:val="0"/>
      <w:marRight w:val="0"/>
      <w:marTop w:val="0"/>
      <w:marBottom w:val="0"/>
      <w:divBdr>
        <w:top w:val="none" w:sz="0" w:space="0" w:color="auto"/>
        <w:left w:val="none" w:sz="0" w:space="0" w:color="auto"/>
        <w:bottom w:val="none" w:sz="0" w:space="0" w:color="auto"/>
        <w:right w:val="none" w:sz="0" w:space="0" w:color="auto"/>
      </w:divBdr>
    </w:div>
    <w:div w:id="65030704">
      <w:bodyDiv w:val="1"/>
      <w:marLeft w:val="0"/>
      <w:marRight w:val="0"/>
      <w:marTop w:val="0"/>
      <w:marBottom w:val="0"/>
      <w:divBdr>
        <w:top w:val="none" w:sz="0" w:space="0" w:color="auto"/>
        <w:left w:val="none" w:sz="0" w:space="0" w:color="auto"/>
        <w:bottom w:val="none" w:sz="0" w:space="0" w:color="auto"/>
        <w:right w:val="none" w:sz="0" w:space="0" w:color="auto"/>
      </w:divBdr>
    </w:div>
    <w:div w:id="69232636">
      <w:bodyDiv w:val="1"/>
      <w:marLeft w:val="0"/>
      <w:marRight w:val="0"/>
      <w:marTop w:val="0"/>
      <w:marBottom w:val="0"/>
      <w:divBdr>
        <w:top w:val="none" w:sz="0" w:space="0" w:color="auto"/>
        <w:left w:val="none" w:sz="0" w:space="0" w:color="auto"/>
        <w:bottom w:val="none" w:sz="0" w:space="0" w:color="auto"/>
        <w:right w:val="none" w:sz="0" w:space="0" w:color="auto"/>
      </w:divBdr>
    </w:div>
    <w:div w:id="102309501">
      <w:bodyDiv w:val="1"/>
      <w:marLeft w:val="0"/>
      <w:marRight w:val="0"/>
      <w:marTop w:val="0"/>
      <w:marBottom w:val="0"/>
      <w:divBdr>
        <w:top w:val="none" w:sz="0" w:space="0" w:color="auto"/>
        <w:left w:val="none" w:sz="0" w:space="0" w:color="auto"/>
        <w:bottom w:val="none" w:sz="0" w:space="0" w:color="auto"/>
        <w:right w:val="none" w:sz="0" w:space="0" w:color="auto"/>
      </w:divBdr>
    </w:div>
    <w:div w:id="102775070">
      <w:bodyDiv w:val="1"/>
      <w:marLeft w:val="0"/>
      <w:marRight w:val="0"/>
      <w:marTop w:val="0"/>
      <w:marBottom w:val="0"/>
      <w:divBdr>
        <w:top w:val="none" w:sz="0" w:space="0" w:color="auto"/>
        <w:left w:val="none" w:sz="0" w:space="0" w:color="auto"/>
        <w:bottom w:val="none" w:sz="0" w:space="0" w:color="auto"/>
        <w:right w:val="none" w:sz="0" w:space="0" w:color="auto"/>
      </w:divBdr>
    </w:div>
    <w:div w:id="105466566">
      <w:bodyDiv w:val="1"/>
      <w:marLeft w:val="0"/>
      <w:marRight w:val="0"/>
      <w:marTop w:val="0"/>
      <w:marBottom w:val="0"/>
      <w:divBdr>
        <w:top w:val="none" w:sz="0" w:space="0" w:color="auto"/>
        <w:left w:val="none" w:sz="0" w:space="0" w:color="auto"/>
        <w:bottom w:val="none" w:sz="0" w:space="0" w:color="auto"/>
        <w:right w:val="none" w:sz="0" w:space="0" w:color="auto"/>
      </w:divBdr>
    </w:div>
    <w:div w:id="140973392">
      <w:bodyDiv w:val="1"/>
      <w:marLeft w:val="0"/>
      <w:marRight w:val="0"/>
      <w:marTop w:val="0"/>
      <w:marBottom w:val="0"/>
      <w:divBdr>
        <w:top w:val="none" w:sz="0" w:space="0" w:color="auto"/>
        <w:left w:val="none" w:sz="0" w:space="0" w:color="auto"/>
        <w:bottom w:val="none" w:sz="0" w:space="0" w:color="auto"/>
        <w:right w:val="none" w:sz="0" w:space="0" w:color="auto"/>
      </w:divBdr>
    </w:div>
    <w:div w:id="184252899">
      <w:bodyDiv w:val="1"/>
      <w:marLeft w:val="0"/>
      <w:marRight w:val="0"/>
      <w:marTop w:val="0"/>
      <w:marBottom w:val="0"/>
      <w:divBdr>
        <w:top w:val="none" w:sz="0" w:space="0" w:color="auto"/>
        <w:left w:val="none" w:sz="0" w:space="0" w:color="auto"/>
        <w:bottom w:val="none" w:sz="0" w:space="0" w:color="auto"/>
        <w:right w:val="none" w:sz="0" w:space="0" w:color="auto"/>
      </w:divBdr>
    </w:div>
    <w:div w:id="194122724">
      <w:bodyDiv w:val="1"/>
      <w:marLeft w:val="0"/>
      <w:marRight w:val="0"/>
      <w:marTop w:val="0"/>
      <w:marBottom w:val="0"/>
      <w:divBdr>
        <w:top w:val="none" w:sz="0" w:space="0" w:color="auto"/>
        <w:left w:val="none" w:sz="0" w:space="0" w:color="auto"/>
        <w:bottom w:val="none" w:sz="0" w:space="0" w:color="auto"/>
        <w:right w:val="none" w:sz="0" w:space="0" w:color="auto"/>
      </w:divBdr>
    </w:div>
    <w:div w:id="195317674">
      <w:bodyDiv w:val="1"/>
      <w:marLeft w:val="0"/>
      <w:marRight w:val="0"/>
      <w:marTop w:val="0"/>
      <w:marBottom w:val="0"/>
      <w:divBdr>
        <w:top w:val="none" w:sz="0" w:space="0" w:color="auto"/>
        <w:left w:val="none" w:sz="0" w:space="0" w:color="auto"/>
        <w:bottom w:val="none" w:sz="0" w:space="0" w:color="auto"/>
        <w:right w:val="none" w:sz="0" w:space="0" w:color="auto"/>
      </w:divBdr>
    </w:div>
    <w:div w:id="196504339">
      <w:bodyDiv w:val="1"/>
      <w:marLeft w:val="0"/>
      <w:marRight w:val="0"/>
      <w:marTop w:val="0"/>
      <w:marBottom w:val="0"/>
      <w:divBdr>
        <w:top w:val="none" w:sz="0" w:space="0" w:color="auto"/>
        <w:left w:val="none" w:sz="0" w:space="0" w:color="auto"/>
        <w:bottom w:val="none" w:sz="0" w:space="0" w:color="auto"/>
        <w:right w:val="none" w:sz="0" w:space="0" w:color="auto"/>
      </w:divBdr>
    </w:div>
    <w:div w:id="198511756">
      <w:bodyDiv w:val="1"/>
      <w:marLeft w:val="0"/>
      <w:marRight w:val="0"/>
      <w:marTop w:val="0"/>
      <w:marBottom w:val="0"/>
      <w:divBdr>
        <w:top w:val="none" w:sz="0" w:space="0" w:color="auto"/>
        <w:left w:val="none" w:sz="0" w:space="0" w:color="auto"/>
        <w:bottom w:val="none" w:sz="0" w:space="0" w:color="auto"/>
        <w:right w:val="none" w:sz="0" w:space="0" w:color="auto"/>
      </w:divBdr>
    </w:div>
    <w:div w:id="219052273">
      <w:bodyDiv w:val="1"/>
      <w:marLeft w:val="0"/>
      <w:marRight w:val="0"/>
      <w:marTop w:val="0"/>
      <w:marBottom w:val="0"/>
      <w:divBdr>
        <w:top w:val="none" w:sz="0" w:space="0" w:color="auto"/>
        <w:left w:val="none" w:sz="0" w:space="0" w:color="auto"/>
        <w:bottom w:val="none" w:sz="0" w:space="0" w:color="auto"/>
        <w:right w:val="none" w:sz="0" w:space="0" w:color="auto"/>
      </w:divBdr>
    </w:div>
    <w:div w:id="225461128">
      <w:bodyDiv w:val="1"/>
      <w:marLeft w:val="0"/>
      <w:marRight w:val="0"/>
      <w:marTop w:val="0"/>
      <w:marBottom w:val="0"/>
      <w:divBdr>
        <w:top w:val="none" w:sz="0" w:space="0" w:color="auto"/>
        <w:left w:val="none" w:sz="0" w:space="0" w:color="auto"/>
        <w:bottom w:val="none" w:sz="0" w:space="0" w:color="auto"/>
        <w:right w:val="none" w:sz="0" w:space="0" w:color="auto"/>
      </w:divBdr>
    </w:div>
    <w:div w:id="230042354">
      <w:bodyDiv w:val="1"/>
      <w:marLeft w:val="0"/>
      <w:marRight w:val="0"/>
      <w:marTop w:val="0"/>
      <w:marBottom w:val="0"/>
      <w:divBdr>
        <w:top w:val="none" w:sz="0" w:space="0" w:color="auto"/>
        <w:left w:val="none" w:sz="0" w:space="0" w:color="auto"/>
        <w:bottom w:val="none" w:sz="0" w:space="0" w:color="auto"/>
        <w:right w:val="none" w:sz="0" w:space="0" w:color="auto"/>
      </w:divBdr>
    </w:div>
    <w:div w:id="251814689">
      <w:bodyDiv w:val="1"/>
      <w:marLeft w:val="0"/>
      <w:marRight w:val="0"/>
      <w:marTop w:val="0"/>
      <w:marBottom w:val="0"/>
      <w:divBdr>
        <w:top w:val="none" w:sz="0" w:space="0" w:color="auto"/>
        <w:left w:val="none" w:sz="0" w:space="0" w:color="auto"/>
        <w:bottom w:val="none" w:sz="0" w:space="0" w:color="auto"/>
        <w:right w:val="none" w:sz="0" w:space="0" w:color="auto"/>
      </w:divBdr>
    </w:div>
    <w:div w:id="256447022">
      <w:bodyDiv w:val="1"/>
      <w:marLeft w:val="0"/>
      <w:marRight w:val="0"/>
      <w:marTop w:val="0"/>
      <w:marBottom w:val="0"/>
      <w:divBdr>
        <w:top w:val="none" w:sz="0" w:space="0" w:color="auto"/>
        <w:left w:val="none" w:sz="0" w:space="0" w:color="auto"/>
        <w:bottom w:val="none" w:sz="0" w:space="0" w:color="auto"/>
        <w:right w:val="none" w:sz="0" w:space="0" w:color="auto"/>
      </w:divBdr>
    </w:div>
    <w:div w:id="263273274">
      <w:bodyDiv w:val="1"/>
      <w:marLeft w:val="0"/>
      <w:marRight w:val="0"/>
      <w:marTop w:val="0"/>
      <w:marBottom w:val="0"/>
      <w:divBdr>
        <w:top w:val="none" w:sz="0" w:space="0" w:color="auto"/>
        <w:left w:val="none" w:sz="0" w:space="0" w:color="auto"/>
        <w:bottom w:val="none" w:sz="0" w:space="0" w:color="auto"/>
        <w:right w:val="none" w:sz="0" w:space="0" w:color="auto"/>
      </w:divBdr>
    </w:div>
    <w:div w:id="295306671">
      <w:bodyDiv w:val="1"/>
      <w:marLeft w:val="0"/>
      <w:marRight w:val="0"/>
      <w:marTop w:val="0"/>
      <w:marBottom w:val="0"/>
      <w:divBdr>
        <w:top w:val="none" w:sz="0" w:space="0" w:color="auto"/>
        <w:left w:val="none" w:sz="0" w:space="0" w:color="auto"/>
        <w:bottom w:val="none" w:sz="0" w:space="0" w:color="auto"/>
        <w:right w:val="none" w:sz="0" w:space="0" w:color="auto"/>
      </w:divBdr>
    </w:div>
    <w:div w:id="315301900">
      <w:bodyDiv w:val="1"/>
      <w:marLeft w:val="0"/>
      <w:marRight w:val="0"/>
      <w:marTop w:val="0"/>
      <w:marBottom w:val="0"/>
      <w:divBdr>
        <w:top w:val="none" w:sz="0" w:space="0" w:color="auto"/>
        <w:left w:val="none" w:sz="0" w:space="0" w:color="auto"/>
        <w:bottom w:val="none" w:sz="0" w:space="0" w:color="auto"/>
        <w:right w:val="none" w:sz="0" w:space="0" w:color="auto"/>
      </w:divBdr>
    </w:div>
    <w:div w:id="331876019">
      <w:bodyDiv w:val="1"/>
      <w:marLeft w:val="0"/>
      <w:marRight w:val="0"/>
      <w:marTop w:val="0"/>
      <w:marBottom w:val="0"/>
      <w:divBdr>
        <w:top w:val="none" w:sz="0" w:space="0" w:color="auto"/>
        <w:left w:val="none" w:sz="0" w:space="0" w:color="auto"/>
        <w:bottom w:val="none" w:sz="0" w:space="0" w:color="auto"/>
        <w:right w:val="none" w:sz="0" w:space="0" w:color="auto"/>
      </w:divBdr>
    </w:div>
    <w:div w:id="336033822">
      <w:bodyDiv w:val="1"/>
      <w:marLeft w:val="0"/>
      <w:marRight w:val="0"/>
      <w:marTop w:val="0"/>
      <w:marBottom w:val="0"/>
      <w:divBdr>
        <w:top w:val="none" w:sz="0" w:space="0" w:color="auto"/>
        <w:left w:val="none" w:sz="0" w:space="0" w:color="auto"/>
        <w:bottom w:val="none" w:sz="0" w:space="0" w:color="auto"/>
        <w:right w:val="none" w:sz="0" w:space="0" w:color="auto"/>
      </w:divBdr>
    </w:div>
    <w:div w:id="357051021">
      <w:bodyDiv w:val="1"/>
      <w:marLeft w:val="0"/>
      <w:marRight w:val="0"/>
      <w:marTop w:val="0"/>
      <w:marBottom w:val="0"/>
      <w:divBdr>
        <w:top w:val="none" w:sz="0" w:space="0" w:color="auto"/>
        <w:left w:val="none" w:sz="0" w:space="0" w:color="auto"/>
        <w:bottom w:val="none" w:sz="0" w:space="0" w:color="auto"/>
        <w:right w:val="none" w:sz="0" w:space="0" w:color="auto"/>
      </w:divBdr>
    </w:div>
    <w:div w:id="412043391">
      <w:bodyDiv w:val="1"/>
      <w:marLeft w:val="0"/>
      <w:marRight w:val="0"/>
      <w:marTop w:val="0"/>
      <w:marBottom w:val="0"/>
      <w:divBdr>
        <w:top w:val="none" w:sz="0" w:space="0" w:color="auto"/>
        <w:left w:val="none" w:sz="0" w:space="0" w:color="auto"/>
        <w:bottom w:val="none" w:sz="0" w:space="0" w:color="auto"/>
        <w:right w:val="none" w:sz="0" w:space="0" w:color="auto"/>
      </w:divBdr>
    </w:div>
    <w:div w:id="419639181">
      <w:bodyDiv w:val="1"/>
      <w:marLeft w:val="0"/>
      <w:marRight w:val="0"/>
      <w:marTop w:val="0"/>
      <w:marBottom w:val="0"/>
      <w:divBdr>
        <w:top w:val="none" w:sz="0" w:space="0" w:color="auto"/>
        <w:left w:val="none" w:sz="0" w:space="0" w:color="auto"/>
        <w:bottom w:val="none" w:sz="0" w:space="0" w:color="auto"/>
        <w:right w:val="none" w:sz="0" w:space="0" w:color="auto"/>
      </w:divBdr>
    </w:div>
    <w:div w:id="429858391">
      <w:bodyDiv w:val="1"/>
      <w:marLeft w:val="0"/>
      <w:marRight w:val="0"/>
      <w:marTop w:val="0"/>
      <w:marBottom w:val="0"/>
      <w:divBdr>
        <w:top w:val="none" w:sz="0" w:space="0" w:color="auto"/>
        <w:left w:val="none" w:sz="0" w:space="0" w:color="auto"/>
        <w:bottom w:val="none" w:sz="0" w:space="0" w:color="auto"/>
        <w:right w:val="none" w:sz="0" w:space="0" w:color="auto"/>
      </w:divBdr>
    </w:div>
    <w:div w:id="441077501">
      <w:bodyDiv w:val="1"/>
      <w:marLeft w:val="0"/>
      <w:marRight w:val="0"/>
      <w:marTop w:val="0"/>
      <w:marBottom w:val="0"/>
      <w:divBdr>
        <w:top w:val="none" w:sz="0" w:space="0" w:color="auto"/>
        <w:left w:val="none" w:sz="0" w:space="0" w:color="auto"/>
        <w:bottom w:val="none" w:sz="0" w:space="0" w:color="auto"/>
        <w:right w:val="none" w:sz="0" w:space="0" w:color="auto"/>
      </w:divBdr>
    </w:div>
    <w:div w:id="452553944">
      <w:bodyDiv w:val="1"/>
      <w:marLeft w:val="0"/>
      <w:marRight w:val="0"/>
      <w:marTop w:val="0"/>
      <w:marBottom w:val="0"/>
      <w:divBdr>
        <w:top w:val="none" w:sz="0" w:space="0" w:color="auto"/>
        <w:left w:val="none" w:sz="0" w:space="0" w:color="auto"/>
        <w:bottom w:val="none" w:sz="0" w:space="0" w:color="auto"/>
        <w:right w:val="none" w:sz="0" w:space="0" w:color="auto"/>
      </w:divBdr>
    </w:div>
    <w:div w:id="476916745">
      <w:bodyDiv w:val="1"/>
      <w:marLeft w:val="0"/>
      <w:marRight w:val="0"/>
      <w:marTop w:val="0"/>
      <w:marBottom w:val="0"/>
      <w:divBdr>
        <w:top w:val="none" w:sz="0" w:space="0" w:color="auto"/>
        <w:left w:val="none" w:sz="0" w:space="0" w:color="auto"/>
        <w:bottom w:val="none" w:sz="0" w:space="0" w:color="auto"/>
        <w:right w:val="none" w:sz="0" w:space="0" w:color="auto"/>
      </w:divBdr>
    </w:div>
    <w:div w:id="514810272">
      <w:bodyDiv w:val="1"/>
      <w:marLeft w:val="0"/>
      <w:marRight w:val="0"/>
      <w:marTop w:val="0"/>
      <w:marBottom w:val="0"/>
      <w:divBdr>
        <w:top w:val="none" w:sz="0" w:space="0" w:color="auto"/>
        <w:left w:val="none" w:sz="0" w:space="0" w:color="auto"/>
        <w:bottom w:val="none" w:sz="0" w:space="0" w:color="auto"/>
        <w:right w:val="none" w:sz="0" w:space="0" w:color="auto"/>
      </w:divBdr>
    </w:div>
    <w:div w:id="550465423">
      <w:bodyDiv w:val="1"/>
      <w:marLeft w:val="0"/>
      <w:marRight w:val="0"/>
      <w:marTop w:val="0"/>
      <w:marBottom w:val="0"/>
      <w:divBdr>
        <w:top w:val="none" w:sz="0" w:space="0" w:color="auto"/>
        <w:left w:val="none" w:sz="0" w:space="0" w:color="auto"/>
        <w:bottom w:val="none" w:sz="0" w:space="0" w:color="auto"/>
        <w:right w:val="none" w:sz="0" w:space="0" w:color="auto"/>
      </w:divBdr>
    </w:div>
    <w:div w:id="552086876">
      <w:bodyDiv w:val="1"/>
      <w:marLeft w:val="0"/>
      <w:marRight w:val="0"/>
      <w:marTop w:val="0"/>
      <w:marBottom w:val="0"/>
      <w:divBdr>
        <w:top w:val="none" w:sz="0" w:space="0" w:color="auto"/>
        <w:left w:val="none" w:sz="0" w:space="0" w:color="auto"/>
        <w:bottom w:val="none" w:sz="0" w:space="0" w:color="auto"/>
        <w:right w:val="none" w:sz="0" w:space="0" w:color="auto"/>
      </w:divBdr>
    </w:div>
    <w:div w:id="578445079">
      <w:bodyDiv w:val="1"/>
      <w:marLeft w:val="0"/>
      <w:marRight w:val="0"/>
      <w:marTop w:val="0"/>
      <w:marBottom w:val="0"/>
      <w:divBdr>
        <w:top w:val="none" w:sz="0" w:space="0" w:color="auto"/>
        <w:left w:val="none" w:sz="0" w:space="0" w:color="auto"/>
        <w:bottom w:val="none" w:sz="0" w:space="0" w:color="auto"/>
        <w:right w:val="none" w:sz="0" w:space="0" w:color="auto"/>
      </w:divBdr>
    </w:div>
    <w:div w:id="579288133">
      <w:bodyDiv w:val="1"/>
      <w:marLeft w:val="0"/>
      <w:marRight w:val="0"/>
      <w:marTop w:val="0"/>
      <w:marBottom w:val="0"/>
      <w:divBdr>
        <w:top w:val="none" w:sz="0" w:space="0" w:color="auto"/>
        <w:left w:val="none" w:sz="0" w:space="0" w:color="auto"/>
        <w:bottom w:val="none" w:sz="0" w:space="0" w:color="auto"/>
        <w:right w:val="none" w:sz="0" w:space="0" w:color="auto"/>
      </w:divBdr>
    </w:div>
    <w:div w:id="583540337">
      <w:bodyDiv w:val="1"/>
      <w:marLeft w:val="0"/>
      <w:marRight w:val="0"/>
      <w:marTop w:val="0"/>
      <w:marBottom w:val="0"/>
      <w:divBdr>
        <w:top w:val="none" w:sz="0" w:space="0" w:color="auto"/>
        <w:left w:val="none" w:sz="0" w:space="0" w:color="auto"/>
        <w:bottom w:val="none" w:sz="0" w:space="0" w:color="auto"/>
        <w:right w:val="none" w:sz="0" w:space="0" w:color="auto"/>
      </w:divBdr>
    </w:div>
    <w:div w:id="588004910">
      <w:bodyDiv w:val="1"/>
      <w:marLeft w:val="0"/>
      <w:marRight w:val="0"/>
      <w:marTop w:val="0"/>
      <w:marBottom w:val="0"/>
      <w:divBdr>
        <w:top w:val="none" w:sz="0" w:space="0" w:color="auto"/>
        <w:left w:val="none" w:sz="0" w:space="0" w:color="auto"/>
        <w:bottom w:val="none" w:sz="0" w:space="0" w:color="auto"/>
        <w:right w:val="none" w:sz="0" w:space="0" w:color="auto"/>
      </w:divBdr>
    </w:div>
    <w:div w:id="595603258">
      <w:bodyDiv w:val="1"/>
      <w:marLeft w:val="0"/>
      <w:marRight w:val="0"/>
      <w:marTop w:val="0"/>
      <w:marBottom w:val="0"/>
      <w:divBdr>
        <w:top w:val="none" w:sz="0" w:space="0" w:color="auto"/>
        <w:left w:val="none" w:sz="0" w:space="0" w:color="auto"/>
        <w:bottom w:val="none" w:sz="0" w:space="0" w:color="auto"/>
        <w:right w:val="none" w:sz="0" w:space="0" w:color="auto"/>
      </w:divBdr>
    </w:div>
    <w:div w:id="606159891">
      <w:bodyDiv w:val="1"/>
      <w:marLeft w:val="0"/>
      <w:marRight w:val="0"/>
      <w:marTop w:val="0"/>
      <w:marBottom w:val="0"/>
      <w:divBdr>
        <w:top w:val="none" w:sz="0" w:space="0" w:color="auto"/>
        <w:left w:val="none" w:sz="0" w:space="0" w:color="auto"/>
        <w:bottom w:val="none" w:sz="0" w:space="0" w:color="auto"/>
        <w:right w:val="none" w:sz="0" w:space="0" w:color="auto"/>
      </w:divBdr>
    </w:div>
    <w:div w:id="623847442">
      <w:bodyDiv w:val="1"/>
      <w:marLeft w:val="0"/>
      <w:marRight w:val="0"/>
      <w:marTop w:val="0"/>
      <w:marBottom w:val="0"/>
      <w:divBdr>
        <w:top w:val="none" w:sz="0" w:space="0" w:color="auto"/>
        <w:left w:val="none" w:sz="0" w:space="0" w:color="auto"/>
        <w:bottom w:val="none" w:sz="0" w:space="0" w:color="auto"/>
        <w:right w:val="none" w:sz="0" w:space="0" w:color="auto"/>
      </w:divBdr>
    </w:div>
    <w:div w:id="637343768">
      <w:bodyDiv w:val="1"/>
      <w:marLeft w:val="0"/>
      <w:marRight w:val="0"/>
      <w:marTop w:val="0"/>
      <w:marBottom w:val="0"/>
      <w:divBdr>
        <w:top w:val="none" w:sz="0" w:space="0" w:color="auto"/>
        <w:left w:val="none" w:sz="0" w:space="0" w:color="auto"/>
        <w:bottom w:val="none" w:sz="0" w:space="0" w:color="auto"/>
        <w:right w:val="none" w:sz="0" w:space="0" w:color="auto"/>
      </w:divBdr>
    </w:div>
    <w:div w:id="663777059">
      <w:bodyDiv w:val="1"/>
      <w:marLeft w:val="0"/>
      <w:marRight w:val="0"/>
      <w:marTop w:val="0"/>
      <w:marBottom w:val="0"/>
      <w:divBdr>
        <w:top w:val="none" w:sz="0" w:space="0" w:color="auto"/>
        <w:left w:val="none" w:sz="0" w:space="0" w:color="auto"/>
        <w:bottom w:val="none" w:sz="0" w:space="0" w:color="auto"/>
        <w:right w:val="none" w:sz="0" w:space="0" w:color="auto"/>
      </w:divBdr>
    </w:div>
    <w:div w:id="669452349">
      <w:bodyDiv w:val="1"/>
      <w:marLeft w:val="0"/>
      <w:marRight w:val="0"/>
      <w:marTop w:val="0"/>
      <w:marBottom w:val="0"/>
      <w:divBdr>
        <w:top w:val="none" w:sz="0" w:space="0" w:color="auto"/>
        <w:left w:val="none" w:sz="0" w:space="0" w:color="auto"/>
        <w:bottom w:val="none" w:sz="0" w:space="0" w:color="auto"/>
        <w:right w:val="none" w:sz="0" w:space="0" w:color="auto"/>
      </w:divBdr>
    </w:div>
    <w:div w:id="670182334">
      <w:bodyDiv w:val="1"/>
      <w:marLeft w:val="0"/>
      <w:marRight w:val="0"/>
      <w:marTop w:val="0"/>
      <w:marBottom w:val="0"/>
      <w:divBdr>
        <w:top w:val="none" w:sz="0" w:space="0" w:color="auto"/>
        <w:left w:val="none" w:sz="0" w:space="0" w:color="auto"/>
        <w:bottom w:val="none" w:sz="0" w:space="0" w:color="auto"/>
        <w:right w:val="none" w:sz="0" w:space="0" w:color="auto"/>
      </w:divBdr>
    </w:div>
    <w:div w:id="679089016">
      <w:bodyDiv w:val="1"/>
      <w:marLeft w:val="0"/>
      <w:marRight w:val="0"/>
      <w:marTop w:val="0"/>
      <w:marBottom w:val="0"/>
      <w:divBdr>
        <w:top w:val="none" w:sz="0" w:space="0" w:color="auto"/>
        <w:left w:val="none" w:sz="0" w:space="0" w:color="auto"/>
        <w:bottom w:val="none" w:sz="0" w:space="0" w:color="auto"/>
        <w:right w:val="none" w:sz="0" w:space="0" w:color="auto"/>
      </w:divBdr>
    </w:div>
    <w:div w:id="714279765">
      <w:bodyDiv w:val="1"/>
      <w:marLeft w:val="0"/>
      <w:marRight w:val="0"/>
      <w:marTop w:val="0"/>
      <w:marBottom w:val="0"/>
      <w:divBdr>
        <w:top w:val="none" w:sz="0" w:space="0" w:color="auto"/>
        <w:left w:val="none" w:sz="0" w:space="0" w:color="auto"/>
        <w:bottom w:val="none" w:sz="0" w:space="0" w:color="auto"/>
        <w:right w:val="none" w:sz="0" w:space="0" w:color="auto"/>
      </w:divBdr>
    </w:div>
    <w:div w:id="723453004">
      <w:bodyDiv w:val="1"/>
      <w:marLeft w:val="0"/>
      <w:marRight w:val="0"/>
      <w:marTop w:val="0"/>
      <w:marBottom w:val="0"/>
      <w:divBdr>
        <w:top w:val="none" w:sz="0" w:space="0" w:color="auto"/>
        <w:left w:val="none" w:sz="0" w:space="0" w:color="auto"/>
        <w:bottom w:val="none" w:sz="0" w:space="0" w:color="auto"/>
        <w:right w:val="none" w:sz="0" w:space="0" w:color="auto"/>
      </w:divBdr>
    </w:div>
    <w:div w:id="730084591">
      <w:bodyDiv w:val="1"/>
      <w:marLeft w:val="0"/>
      <w:marRight w:val="0"/>
      <w:marTop w:val="0"/>
      <w:marBottom w:val="0"/>
      <w:divBdr>
        <w:top w:val="none" w:sz="0" w:space="0" w:color="auto"/>
        <w:left w:val="none" w:sz="0" w:space="0" w:color="auto"/>
        <w:bottom w:val="none" w:sz="0" w:space="0" w:color="auto"/>
        <w:right w:val="none" w:sz="0" w:space="0" w:color="auto"/>
      </w:divBdr>
    </w:div>
    <w:div w:id="740054879">
      <w:bodyDiv w:val="1"/>
      <w:marLeft w:val="0"/>
      <w:marRight w:val="0"/>
      <w:marTop w:val="0"/>
      <w:marBottom w:val="0"/>
      <w:divBdr>
        <w:top w:val="none" w:sz="0" w:space="0" w:color="auto"/>
        <w:left w:val="none" w:sz="0" w:space="0" w:color="auto"/>
        <w:bottom w:val="none" w:sz="0" w:space="0" w:color="auto"/>
        <w:right w:val="none" w:sz="0" w:space="0" w:color="auto"/>
      </w:divBdr>
    </w:div>
    <w:div w:id="742414576">
      <w:bodyDiv w:val="1"/>
      <w:marLeft w:val="0"/>
      <w:marRight w:val="0"/>
      <w:marTop w:val="0"/>
      <w:marBottom w:val="0"/>
      <w:divBdr>
        <w:top w:val="none" w:sz="0" w:space="0" w:color="auto"/>
        <w:left w:val="none" w:sz="0" w:space="0" w:color="auto"/>
        <w:bottom w:val="none" w:sz="0" w:space="0" w:color="auto"/>
        <w:right w:val="none" w:sz="0" w:space="0" w:color="auto"/>
      </w:divBdr>
    </w:div>
    <w:div w:id="764346640">
      <w:bodyDiv w:val="1"/>
      <w:marLeft w:val="0"/>
      <w:marRight w:val="0"/>
      <w:marTop w:val="0"/>
      <w:marBottom w:val="0"/>
      <w:divBdr>
        <w:top w:val="none" w:sz="0" w:space="0" w:color="auto"/>
        <w:left w:val="none" w:sz="0" w:space="0" w:color="auto"/>
        <w:bottom w:val="none" w:sz="0" w:space="0" w:color="auto"/>
        <w:right w:val="none" w:sz="0" w:space="0" w:color="auto"/>
      </w:divBdr>
    </w:div>
    <w:div w:id="795369292">
      <w:bodyDiv w:val="1"/>
      <w:marLeft w:val="0"/>
      <w:marRight w:val="0"/>
      <w:marTop w:val="0"/>
      <w:marBottom w:val="0"/>
      <w:divBdr>
        <w:top w:val="none" w:sz="0" w:space="0" w:color="auto"/>
        <w:left w:val="none" w:sz="0" w:space="0" w:color="auto"/>
        <w:bottom w:val="none" w:sz="0" w:space="0" w:color="auto"/>
        <w:right w:val="none" w:sz="0" w:space="0" w:color="auto"/>
      </w:divBdr>
    </w:div>
    <w:div w:id="805245717">
      <w:bodyDiv w:val="1"/>
      <w:marLeft w:val="0"/>
      <w:marRight w:val="0"/>
      <w:marTop w:val="0"/>
      <w:marBottom w:val="0"/>
      <w:divBdr>
        <w:top w:val="none" w:sz="0" w:space="0" w:color="auto"/>
        <w:left w:val="none" w:sz="0" w:space="0" w:color="auto"/>
        <w:bottom w:val="none" w:sz="0" w:space="0" w:color="auto"/>
        <w:right w:val="none" w:sz="0" w:space="0" w:color="auto"/>
      </w:divBdr>
    </w:div>
    <w:div w:id="807742435">
      <w:bodyDiv w:val="1"/>
      <w:marLeft w:val="0"/>
      <w:marRight w:val="0"/>
      <w:marTop w:val="0"/>
      <w:marBottom w:val="0"/>
      <w:divBdr>
        <w:top w:val="none" w:sz="0" w:space="0" w:color="auto"/>
        <w:left w:val="none" w:sz="0" w:space="0" w:color="auto"/>
        <w:bottom w:val="none" w:sz="0" w:space="0" w:color="auto"/>
        <w:right w:val="none" w:sz="0" w:space="0" w:color="auto"/>
      </w:divBdr>
    </w:div>
    <w:div w:id="809976080">
      <w:bodyDiv w:val="1"/>
      <w:marLeft w:val="0"/>
      <w:marRight w:val="0"/>
      <w:marTop w:val="0"/>
      <w:marBottom w:val="0"/>
      <w:divBdr>
        <w:top w:val="none" w:sz="0" w:space="0" w:color="auto"/>
        <w:left w:val="none" w:sz="0" w:space="0" w:color="auto"/>
        <w:bottom w:val="none" w:sz="0" w:space="0" w:color="auto"/>
        <w:right w:val="none" w:sz="0" w:space="0" w:color="auto"/>
      </w:divBdr>
    </w:div>
    <w:div w:id="821850930">
      <w:bodyDiv w:val="1"/>
      <w:marLeft w:val="0"/>
      <w:marRight w:val="0"/>
      <w:marTop w:val="0"/>
      <w:marBottom w:val="0"/>
      <w:divBdr>
        <w:top w:val="none" w:sz="0" w:space="0" w:color="auto"/>
        <w:left w:val="none" w:sz="0" w:space="0" w:color="auto"/>
        <w:bottom w:val="none" w:sz="0" w:space="0" w:color="auto"/>
        <w:right w:val="none" w:sz="0" w:space="0" w:color="auto"/>
      </w:divBdr>
    </w:div>
    <w:div w:id="830291350">
      <w:bodyDiv w:val="1"/>
      <w:marLeft w:val="0"/>
      <w:marRight w:val="0"/>
      <w:marTop w:val="0"/>
      <w:marBottom w:val="0"/>
      <w:divBdr>
        <w:top w:val="none" w:sz="0" w:space="0" w:color="auto"/>
        <w:left w:val="none" w:sz="0" w:space="0" w:color="auto"/>
        <w:bottom w:val="none" w:sz="0" w:space="0" w:color="auto"/>
        <w:right w:val="none" w:sz="0" w:space="0" w:color="auto"/>
      </w:divBdr>
    </w:div>
    <w:div w:id="850605329">
      <w:bodyDiv w:val="1"/>
      <w:marLeft w:val="0"/>
      <w:marRight w:val="0"/>
      <w:marTop w:val="0"/>
      <w:marBottom w:val="0"/>
      <w:divBdr>
        <w:top w:val="none" w:sz="0" w:space="0" w:color="auto"/>
        <w:left w:val="none" w:sz="0" w:space="0" w:color="auto"/>
        <w:bottom w:val="none" w:sz="0" w:space="0" w:color="auto"/>
        <w:right w:val="none" w:sz="0" w:space="0" w:color="auto"/>
      </w:divBdr>
    </w:div>
    <w:div w:id="853226044">
      <w:bodyDiv w:val="1"/>
      <w:marLeft w:val="0"/>
      <w:marRight w:val="0"/>
      <w:marTop w:val="0"/>
      <w:marBottom w:val="0"/>
      <w:divBdr>
        <w:top w:val="none" w:sz="0" w:space="0" w:color="auto"/>
        <w:left w:val="none" w:sz="0" w:space="0" w:color="auto"/>
        <w:bottom w:val="none" w:sz="0" w:space="0" w:color="auto"/>
        <w:right w:val="none" w:sz="0" w:space="0" w:color="auto"/>
      </w:divBdr>
    </w:div>
    <w:div w:id="861284626">
      <w:bodyDiv w:val="1"/>
      <w:marLeft w:val="0"/>
      <w:marRight w:val="0"/>
      <w:marTop w:val="0"/>
      <w:marBottom w:val="0"/>
      <w:divBdr>
        <w:top w:val="none" w:sz="0" w:space="0" w:color="auto"/>
        <w:left w:val="none" w:sz="0" w:space="0" w:color="auto"/>
        <w:bottom w:val="none" w:sz="0" w:space="0" w:color="auto"/>
        <w:right w:val="none" w:sz="0" w:space="0" w:color="auto"/>
      </w:divBdr>
    </w:div>
    <w:div w:id="892540650">
      <w:bodyDiv w:val="1"/>
      <w:marLeft w:val="0"/>
      <w:marRight w:val="0"/>
      <w:marTop w:val="0"/>
      <w:marBottom w:val="0"/>
      <w:divBdr>
        <w:top w:val="none" w:sz="0" w:space="0" w:color="auto"/>
        <w:left w:val="none" w:sz="0" w:space="0" w:color="auto"/>
        <w:bottom w:val="none" w:sz="0" w:space="0" w:color="auto"/>
        <w:right w:val="none" w:sz="0" w:space="0" w:color="auto"/>
      </w:divBdr>
    </w:div>
    <w:div w:id="928998898">
      <w:bodyDiv w:val="1"/>
      <w:marLeft w:val="0"/>
      <w:marRight w:val="0"/>
      <w:marTop w:val="0"/>
      <w:marBottom w:val="0"/>
      <w:divBdr>
        <w:top w:val="none" w:sz="0" w:space="0" w:color="auto"/>
        <w:left w:val="none" w:sz="0" w:space="0" w:color="auto"/>
        <w:bottom w:val="none" w:sz="0" w:space="0" w:color="auto"/>
        <w:right w:val="none" w:sz="0" w:space="0" w:color="auto"/>
      </w:divBdr>
    </w:div>
    <w:div w:id="951284518">
      <w:bodyDiv w:val="1"/>
      <w:marLeft w:val="0"/>
      <w:marRight w:val="0"/>
      <w:marTop w:val="0"/>
      <w:marBottom w:val="0"/>
      <w:divBdr>
        <w:top w:val="none" w:sz="0" w:space="0" w:color="auto"/>
        <w:left w:val="none" w:sz="0" w:space="0" w:color="auto"/>
        <w:bottom w:val="none" w:sz="0" w:space="0" w:color="auto"/>
        <w:right w:val="none" w:sz="0" w:space="0" w:color="auto"/>
      </w:divBdr>
    </w:div>
    <w:div w:id="970356138">
      <w:bodyDiv w:val="1"/>
      <w:marLeft w:val="0"/>
      <w:marRight w:val="0"/>
      <w:marTop w:val="0"/>
      <w:marBottom w:val="0"/>
      <w:divBdr>
        <w:top w:val="none" w:sz="0" w:space="0" w:color="auto"/>
        <w:left w:val="none" w:sz="0" w:space="0" w:color="auto"/>
        <w:bottom w:val="none" w:sz="0" w:space="0" w:color="auto"/>
        <w:right w:val="none" w:sz="0" w:space="0" w:color="auto"/>
      </w:divBdr>
    </w:div>
    <w:div w:id="1001008781">
      <w:bodyDiv w:val="1"/>
      <w:marLeft w:val="0"/>
      <w:marRight w:val="0"/>
      <w:marTop w:val="0"/>
      <w:marBottom w:val="0"/>
      <w:divBdr>
        <w:top w:val="none" w:sz="0" w:space="0" w:color="auto"/>
        <w:left w:val="none" w:sz="0" w:space="0" w:color="auto"/>
        <w:bottom w:val="none" w:sz="0" w:space="0" w:color="auto"/>
        <w:right w:val="none" w:sz="0" w:space="0" w:color="auto"/>
      </w:divBdr>
    </w:div>
    <w:div w:id="1009060551">
      <w:bodyDiv w:val="1"/>
      <w:marLeft w:val="0"/>
      <w:marRight w:val="0"/>
      <w:marTop w:val="0"/>
      <w:marBottom w:val="0"/>
      <w:divBdr>
        <w:top w:val="none" w:sz="0" w:space="0" w:color="auto"/>
        <w:left w:val="none" w:sz="0" w:space="0" w:color="auto"/>
        <w:bottom w:val="none" w:sz="0" w:space="0" w:color="auto"/>
        <w:right w:val="none" w:sz="0" w:space="0" w:color="auto"/>
      </w:divBdr>
    </w:div>
    <w:div w:id="1024327948">
      <w:bodyDiv w:val="1"/>
      <w:marLeft w:val="0"/>
      <w:marRight w:val="0"/>
      <w:marTop w:val="0"/>
      <w:marBottom w:val="0"/>
      <w:divBdr>
        <w:top w:val="none" w:sz="0" w:space="0" w:color="auto"/>
        <w:left w:val="none" w:sz="0" w:space="0" w:color="auto"/>
        <w:bottom w:val="none" w:sz="0" w:space="0" w:color="auto"/>
        <w:right w:val="none" w:sz="0" w:space="0" w:color="auto"/>
      </w:divBdr>
    </w:div>
    <w:div w:id="1025013398">
      <w:bodyDiv w:val="1"/>
      <w:marLeft w:val="0"/>
      <w:marRight w:val="0"/>
      <w:marTop w:val="0"/>
      <w:marBottom w:val="0"/>
      <w:divBdr>
        <w:top w:val="none" w:sz="0" w:space="0" w:color="auto"/>
        <w:left w:val="none" w:sz="0" w:space="0" w:color="auto"/>
        <w:bottom w:val="none" w:sz="0" w:space="0" w:color="auto"/>
        <w:right w:val="none" w:sz="0" w:space="0" w:color="auto"/>
      </w:divBdr>
    </w:div>
    <w:div w:id="1061515792">
      <w:bodyDiv w:val="1"/>
      <w:marLeft w:val="0"/>
      <w:marRight w:val="0"/>
      <w:marTop w:val="0"/>
      <w:marBottom w:val="0"/>
      <w:divBdr>
        <w:top w:val="none" w:sz="0" w:space="0" w:color="auto"/>
        <w:left w:val="none" w:sz="0" w:space="0" w:color="auto"/>
        <w:bottom w:val="none" w:sz="0" w:space="0" w:color="auto"/>
        <w:right w:val="none" w:sz="0" w:space="0" w:color="auto"/>
      </w:divBdr>
    </w:div>
    <w:div w:id="1096025467">
      <w:bodyDiv w:val="1"/>
      <w:marLeft w:val="0"/>
      <w:marRight w:val="0"/>
      <w:marTop w:val="0"/>
      <w:marBottom w:val="0"/>
      <w:divBdr>
        <w:top w:val="none" w:sz="0" w:space="0" w:color="auto"/>
        <w:left w:val="none" w:sz="0" w:space="0" w:color="auto"/>
        <w:bottom w:val="none" w:sz="0" w:space="0" w:color="auto"/>
        <w:right w:val="none" w:sz="0" w:space="0" w:color="auto"/>
      </w:divBdr>
    </w:div>
    <w:div w:id="1098218078">
      <w:bodyDiv w:val="1"/>
      <w:marLeft w:val="0"/>
      <w:marRight w:val="0"/>
      <w:marTop w:val="0"/>
      <w:marBottom w:val="0"/>
      <w:divBdr>
        <w:top w:val="none" w:sz="0" w:space="0" w:color="auto"/>
        <w:left w:val="none" w:sz="0" w:space="0" w:color="auto"/>
        <w:bottom w:val="none" w:sz="0" w:space="0" w:color="auto"/>
        <w:right w:val="none" w:sz="0" w:space="0" w:color="auto"/>
      </w:divBdr>
    </w:div>
    <w:div w:id="1100298538">
      <w:bodyDiv w:val="1"/>
      <w:marLeft w:val="0"/>
      <w:marRight w:val="0"/>
      <w:marTop w:val="0"/>
      <w:marBottom w:val="0"/>
      <w:divBdr>
        <w:top w:val="none" w:sz="0" w:space="0" w:color="auto"/>
        <w:left w:val="none" w:sz="0" w:space="0" w:color="auto"/>
        <w:bottom w:val="none" w:sz="0" w:space="0" w:color="auto"/>
        <w:right w:val="none" w:sz="0" w:space="0" w:color="auto"/>
      </w:divBdr>
    </w:div>
    <w:div w:id="1112818446">
      <w:bodyDiv w:val="1"/>
      <w:marLeft w:val="0"/>
      <w:marRight w:val="0"/>
      <w:marTop w:val="0"/>
      <w:marBottom w:val="0"/>
      <w:divBdr>
        <w:top w:val="none" w:sz="0" w:space="0" w:color="auto"/>
        <w:left w:val="none" w:sz="0" w:space="0" w:color="auto"/>
        <w:bottom w:val="none" w:sz="0" w:space="0" w:color="auto"/>
        <w:right w:val="none" w:sz="0" w:space="0" w:color="auto"/>
      </w:divBdr>
    </w:div>
    <w:div w:id="1117482139">
      <w:bodyDiv w:val="1"/>
      <w:marLeft w:val="0"/>
      <w:marRight w:val="0"/>
      <w:marTop w:val="0"/>
      <w:marBottom w:val="0"/>
      <w:divBdr>
        <w:top w:val="none" w:sz="0" w:space="0" w:color="auto"/>
        <w:left w:val="none" w:sz="0" w:space="0" w:color="auto"/>
        <w:bottom w:val="none" w:sz="0" w:space="0" w:color="auto"/>
        <w:right w:val="none" w:sz="0" w:space="0" w:color="auto"/>
      </w:divBdr>
    </w:div>
    <w:div w:id="1134759103">
      <w:bodyDiv w:val="1"/>
      <w:marLeft w:val="0"/>
      <w:marRight w:val="0"/>
      <w:marTop w:val="0"/>
      <w:marBottom w:val="0"/>
      <w:divBdr>
        <w:top w:val="none" w:sz="0" w:space="0" w:color="auto"/>
        <w:left w:val="none" w:sz="0" w:space="0" w:color="auto"/>
        <w:bottom w:val="none" w:sz="0" w:space="0" w:color="auto"/>
        <w:right w:val="none" w:sz="0" w:space="0" w:color="auto"/>
      </w:divBdr>
    </w:div>
    <w:div w:id="1143549477">
      <w:bodyDiv w:val="1"/>
      <w:marLeft w:val="0"/>
      <w:marRight w:val="0"/>
      <w:marTop w:val="0"/>
      <w:marBottom w:val="0"/>
      <w:divBdr>
        <w:top w:val="none" w:sz="0" w:space="0" w:color="auto"/>
        <w:left w:val="none" w:sz="0" w:space="0" w:color="auto"/>
        <w:bottom w:val="none" w:sz="0" w:space="0" w:color="auto"/>
        <w:right w:val="none" w:sz="0" w:space="0" w:color="auto"/>
      </w:divBdr>
    </w:div>
    <w:div w:id="1161583311">
      <w:bodyDiv w:val="1"/>
      <w:marLeft w:val="0"/>
      <w:marRight w:val="0"/>
      <w:marTop w:val="0"/>
      <w:marBottom w:val="0"/>
      <w:divBdr>
        <w:top w:val="none" w:sz="0" w:space="0" w:color="auto"/>
        <w:left w:val="none" w:sz="0" w:space="0" w:color="auto"/>
        <w:bottom w:val="none" w:sz="0" w:space="0" w:color="auto"/>
        <w:right w:val="none" w:sz="0" w:space="0" w:color="auto"/>
      </w:divBdr>
    </w:div>
    <w:div w:id="1182470151">
      <w:bodyDiv w:val="1"/>
      <w:marLeft w:val="0"/>
      <w:marRight w:val="0"/>
      <w:marTop w:val="0"/>
      <w:marBottom w:val="0"/>
      <w:divBdr>
        <w:top w:val="none" w:sz="0" w:space="0" w:color="auto"/>
        <w:left w:val="none" w:sz="0" w:space="0" w:color="auto"/>
        <w:bottom w:val="none" w:sz="0" w:space="0" w:color="auto"/>
        <w:right w:val="none" w:sz="0" w:space="0" w:color="auto"/>
      </w:divBdr>
    </w:div>
    <w:div w:id="1199928644">
      <w:bodyDiv w:val="1"/>
      <w:marLeft w:val="0"/>
      <w:marRight w:val="0"/>
      <w:marTop w:val="0"/>
      <w:marBottom w:val="0"/>
      <w:divBdr>
        <w:top w:val="none" w:sz="0" w:space="0" w:color="auto"/>
        <w:left w:val="none" w:sz="0" w:space="0" w:color="auto"/>
        <w:bottom w:val="none" w:sz="0" w:space="0" w:color="auto"/>
        <w:right w:val="none" w:sz="0" w:space="0" w:color="auto"/>
      </w:divBdr>
    </w:div>
    <w:div w:id="1209415051">
      <w:bodyDiv w:val="1"/>
      <w:marLeft w:val="0"/>
      <w:marRight w:val="0"/>
      <w:marTop w:val="0"/>
      <w:marBottom w:val="0"/>
      <w:divBdr>
        <w:top w:val="none" w:sz="0" w:space="0" w:color="auto"/>
        <w:left w:val="none" w:sz="0" w:space="0" w:color="auto"/>
        <w:bottom w:val="none" w:sz="0" w:space="0" w:color="auto"/>
        <w:right w:val="none" w:sz="0" w:space="0" w:color="auto"/>
      </w:divBdr>
    </w:div>
    <w:div w:id="1240485245">
      <w:bodyDiv w:val="1"/>
      <w:marLeft w:val="0"/>
      <w:marRight w:val="0"/>
      <w:marTop w:val="0"/>
      <w:marBottom w:val="0"/>
      <w:divBdr>
        <w:top w:val="none" w:sz="0" w:space="0" w:color="auto"/>
        <w:left w:val="none" w:sz="0" w:space="0" w:color="auto"/>
        <w:bottom w:val="none" w:sz="0" w:space="0" w:color="auto"/>
        <w:right w:val="none" w:sz="0" w:space="0" w:color="auto"/>
      </w:divBdr>
    </w:div>
    <w:div w:id="1302151574">
      <w:bodyDiv w:val="1"/>
      <w:marLeft w:val="0"/>
      <w:marRight w:val="0"/>
      <w:marTop w:val="0"/>
      <w:marBottom w:val="0"/>
      <w:divBdr>
        <w:top w:val="none" w:sz="0" w:space="0" w:color="auto"/>
        <w:left w:val="none" w:sz="0" w:space="0" w:color="auto"/>
        <w:bottom w:val="none" w:sz="0" w:space="0" w:color="auto"/>
        <w:right w:val="none" w:sz="0" w:space="0" w:color="auto"/>
      </w:divBdr>
    </w:div>
    <w:div w:id="1304700063">
      <w:bodyDiv w:val="1"/>
      <w:marLeft w:val="0"/>
      <w:marRight w:val="0"/>
      <w:marTop w:val="0"/>
      <w:marBottom w:val="0"/>
      <w:divBdr>
        <w:top w:val="none" w:sz="0" w:space="0" w:color="auto"/>
        <w:left w:val="none" w:sz="0" w:space="0" w:color="auto"/>
        <w:bottom w:val="none" w:sz="0" w:space="0" w:color="auto"/>
        <w:right w:val="none" w:sz="0" w:space="0" w:color="auto"/>
      </w:divBdr>
    </w:div>
    <w:div w:id="1326520175">
      <w:bodyDiv w:val="1"/>
      <w:marLeft w:val="0"/>
      <w:marRight w:val="0"/>
      <w:marTop w:val="0"/>
      <w:marBottom w:val="0"/>
      <w:divBdr>
        <w:top w:val="none" w:sz="0" w:space="0" w:color="auto"/>
        <w:left w:val="none" w:sz="0" w:space="0" w:color="auto"/>
        <w:bottom w:val="none" w:sz="0" w:space="0" w:color="auto"/>
        <w:right w:val="none" w:sz="0" w:space="0" w:color="auto"/>
      </w:divBdr>
    </w:div>
    <w:div w:id="1326544644">
      <w:bodyDiv w:val="1"/>
      <w:marLeft w:val="0"/>
      <w:marRight w:val="0"/>
      <w:marTop w:val="0"/>
      <w:marBottom w:val="0"/>
      <w:divBdr>
        <w:top w:val="none" w:sz="0" w:space="0" w:color="auto"/>
        <w:left w:val="none" w:sz="0" w:space="0" w:color="auto"/>
        <w:bottom w:val="none" w:sz="0" w:space="0" w:color="auto"/>
        <w:right w:val="none" w:sz="0" w:space="0" w:color="auto"/>
      </w:divBdr>
    </w:div>
    <w:div w:id="1346398265">
      <w:bodyDiv w:val="1"/>
      <w:marLeft w:val="0"/>
      <w:marRight w:val="0"/>
      <w:marTop w:val="0"/>
      <w:marBottom w:val="0"/>
      <w:divBdr>
        <w:top w:val="none" w:sz="0" w:space="0" w:color="auto"/>
        <w:left w:val="none" w:sz="0" w:space="0" w:color="auto"/>
        <w:bottom w:val="none" w:sz="0" w:space="0" w:color="auto"/>
        <w:right w:val="none" w:sz="0" w:space="0" w:color="auto"/>
      </w:divBdr>
    </w:div>
    <w:div w:id="1387142284">
      <w:bodyDiv w:val="1"/>
      <w:marLeft w:val="0"/>
      <w:marRight w:val="0"/>
      <w:marTop w:val="0"/>
      <w:marBottom w:val="0"/>
      <w:divBdr>
        <w:top w:val="none" w:sz="0" w:space="0" w:color="auto"/>
        <w:left w:val="none" w:sz="0" w:space="0" w:color="auto"/>
        <w:bottom w:val="none" w:sz="0" w:space="0" w:color="auto"/>
        <w:right w:val="none" w:sz="0" w:space="0" w:color="auto"/>
      </w:divBdr>
    </w:div>
    <w:div w:id="1470903859">
      <w:bodyDiv w:val="1"/>
      <w:marLeft w:val="0"/>
      <w:marRight w:val="0"/>
      <w:marTop w:val="0"/>
      <w:marBottom w:val="0"/>
      <w:divBdr>
        <w:top w:val="none" w:sz="0" w:space="0" w:color="auto"/>
        <w:left w:val="none" w:sz="0" w:space="0" w:color="auto"/>
        <w:bottom w:val="none" w:sz="0" w:space="0" w:color="auto"/>
        <w:right w:val="none" w:sz="0" w:space="0" w:color="auto"/>
      </w:divBdr>
    </w:div>
    <w:div w:id="1479616296">
      <w:bodyDiv w:val="1"/>
      <w:marLeft w:val="0"/>
      <w:marRight w:val="0"/>
      <w:marTop w:val="0"/>
      <w:marBottom w:val="0"/>
      <w:divBdr>
        <w:top w:val="none" w:sz="0" w:space="0" w:color="auto"/>
        <w:left w:val="none" w:sz="0" w:space="0" w:color="auto"/>
        <w:bottom w:val="none" w:sz="0" w:space="0" w:color="auto"/>
        <w:right w:val="none" w:sz="0" w:space="0" w:color="auto"/>
      </w:divBdr>
    </w:div>
    <w:div w:id="1497106932">
      <w:bodyDiv w:val="1"/>
      <w:marLeft w:val="0"/>
      <w:marRight w:val="0"/>
      <w:marTop w:val="0"/>
      <w:marBottom w:val="0"/>
      <w:divBdr>
        <w:top w:val="none" w:sz="0" w:space="0" w:color="auto"/>
        <w:left w:val="none" w:sz="0" w:space="0" w:color="auto"/>
        <w:bottom w:val="none" w:sz="0" w:space="0" w:color="auto"/>
        <w:right w:val="none" w:sz="0" w:space="0" w:color="auto"/>
      </w:divBdr>
    </w:div>
    <w:div w:id="1514952627">
      <w:bodyDiv w:val="1"/>
      <w:marLeft w:val="0"/>
      <w:marRight w:val="0"/>
      <w:marTop w:val="0"/>
      <w:marBottom w:val="0"/>
      <w:divBdr>
        <w:top w:val="none" w:sz="0" w:space="0" w:color="auto"/>
        <w:left w:val="none" w:sz="0" w:space="0" w:color="auto"/>
        <w:bottom w:val="none" w:sz="0" w:space="0" w:color="auto"/>
        <w:right w:val="none" w:sz="0" w:space="0" w:color="auto"/>
      </w:divBdr>
    </w:div>
    <w:div w:id="1515462266">
      <w:bodyDiv w:val="1"/>
      <w:marLeft w:val="0"/>
      <w:marRight w:val="0"/>
      <w:marTop w:val="0"/>
      <w:marBottom w:val="0"/>
      <w:divBdr>
        <w:top w:val="none" w:sz="0" w:space="0" w:color="auto"/>
        <w:left w:val="none" w:sz="0" w:space="0" w:color="auto"/>
        <w:bottom w:val="none" w:sz="0" w:space="0" w:color="auto"/>
        <w:right w:val="none" w:sz="0" w:space="0" w:color="auto"/>
      </w:divBdr>
    </w:div>
    <w:div w:id="1550798358">
      <w:bodyDiv w:val="1"/>
      <w:marLeft w:val="0"/>
      <w:marRight w:val="0"/>
      <w:marTop w:val="0"/>
      <w:marBottom w:val="0"/>
      <w:divBdr>
        <w:top w:val="none" w:sz="0" w:space="0" w:color="auto"/>
        <w:left w:val="none" w:sz="0" w:space="0" w:color="auto"/>
        <w:bottom w:val="none" w:sz="0" w:space="0" w:color="auto"/>
        <w:right w:val="none" w:sz="0" w:space="0" w:color="auto"/>
      </w:divBdr>
    </w:div>
    <w:div w:id="1585187093">
      <w:bodyDiv w:val="1"/>
      <w:marLeft w:val="0"/>
      <w:marRight w:val="0"/>
      <w:marTop w:val="0"/>
      <w:marBottom w:val="0"/>
      <w:divBdr>
        <w:top w:val="none" w:sz="0" w:space="0" w:color="auto"/>
        <w:left w:val="none" w:sz="0" w:space="0" w:color="auto"/>
        <w:bottom w:val="none" w:sz="0" w:space="0" w:color="auto"/>
        <w:right w:val="none" w:sz="0" w:space="0" w:color="auto"/>
      </w:divBdr>
    </w:div>
    <w:div w:id="1587491488">
      <w:bodyDiv w:val="1"/>
      <w:marLeft w:val="0"/>
      <w:marRight w:val="0"/>
      <w:marTop w:val="0"/>
      <w:marBottom w:val="0"/>
      <w:divBdr>
        <w:top w:val="none" w:sz="0" w:space="0" w:color="auto"/>
        <w:left w:val="none" w:sz="0" w:space="0" w:color="auto"/>
        <w:bottom w:val="none" w:sz="0" w:space="0" w:color="auto"/>
        <w:right w:val="none" w:sz="0" w:space="0" w:color="auto"/>
      </w:divBdr>
    </w:div>
    <w:div w:id="1587611114">
      <w:bodyDiv w:val="1"/>
      <w:marLeft w:val="0"/>
      <w:marRight w:val="0"/>
      <w:marTop w:val="0"/>
      <w:marBottom w:val="0"/>
      <w:divBdr>
        <w:top w:val="none" w:sz="0" w:space="0" w:color="auto"/>
        <w:left w:val="none" w:sz="0" w:space="0" w:color="auto"/>
        <w:bottom w:val="none" w:sz="0" w:space="0" w:color="auto"/>
        <w:right w:val="none" w:sz="0" w:space="0" w:color="auto"/>
      </w:divBdr>
    </w:div>
    <w:div w:id="1610426296">
      <w:bodyDiv w:val="1"/>
      <w:marLeft w:val="0"/>
      <w:marRight w:val="0"/>
      <w:marTop w:val="0"/>
      <w:marBottom w:val="0"/>
      <w:divBdr>
        <w:top w:val="none" w:sz="0" w:space="0" w:color="auto"/>
        <w:left w:val="none" w:sz="0" w:space="0" w:color="auto"/>
        <w:bottom w:val="none" w:sz="0" w:space="0" w:color="auto"/>
        <w:right w:val="none" w:sz="0" w:space="0" w:color="auto"/>
      </w:divBdr>
    </w:div>
    <w:div w:id="1626812843">
      <w:bodyDiv w:val="1"/>
      <w:marLeft w:val="0"/>
      <w:marRight w:val="0"/>
      <w:marTop w:val="0"/>
      <w:marBottom w:val="0"/>
      <w:divBdr>
        <w:top w:val="none" w:sz="0" w:space="0" w:color="auto"/>
        <w:left w:val="none" w:sz="0" w:space="0" w:color="auto"/>
        <w:bottom w:val="none" w:sz="0" w:space="0" w:color="auto"/>
        <w:right w:val="none" w:sz="0" w:space="0" w:color="auto"/>
      </w:divBdr>
    </w:div>
    <w:div w:id="1636838509">
      <w:bodyDiv w:val="1"/>
      <w:marLeft w:val="0"/>
      <w:marRight w:val="0"/>
      <w:marTop w:val="0"/>
      <w:marBottom w:val="0"/>
      <w:divBdr>
        <w:top w:val="none" w:sz="0" w:space="0" w:color="auto"/>
        <w:left w:val="none" w:sz="0" w:space="0" w:color="auto"/>
        <w:bottom w:val="none" w:sz="0" w:space="0" w:color="auto"/>
        <w:right w:val="none" w:sz="0" w:space="0" w:color="auto"/>
      </w:divBdr>
    </w:div>
    <w:div w:id="1667900778">
      <w:bodyDiv w:val="1"/>
      <w:marLeft w:val="0"/>
      <w:marRight w:val="0"/>
      <w:marTop w:val="0"/>
      <w:marBottom w:val="0"/>
      <w:divBdr>
        <w:top w:val="none" w:sz="0" w:space="0" w:color="auto"/>
        <w:left w:val="none" w:sz="0" w:space="0" w:color="auto"/>
        <w:bottom w:val="none" w:sz="0" w:space="0" w:color="auto"/>
        <w:right w:val="none" w:sz="0" w:space="0" w:color="auto"/>
      </w:divBdr>
    </w:div>
    <w:div w:id="1672445533">
      <w:bodyDiv w:val="1"/>
      <w:marLeft w:val="0"/>
      <w:marRight w:val="0"/>
      <w:marTop w:val="0"/>
      <w:marBottom w:val="0"/>
      <w:divBdr>
        <w:top w:val="none" w:sz="0" w:space="0" w:color="auto"/>
        <w:left w:val="none" w:sz="0" w:space="0" w:color="auto"/>
        <w:bottom w:val="none" w:sz="0" w:space="0" w:color="auto"/>
        <w:right w:val="none" w:sz="0" w:space="0" w:color="auto"/>
      </w:divBdr>
    </w:div>
    <w:div w:id="1722168305">
      <w:bodyDiv w:val="1"/>
      <w:marLeft w:val="0"/>
      <w:marRight w:val="0"/>
      <w:marTop w:val="0"/>
      <w:marBottom w:val="0"/>
      <w:divBdr>
        <w:top w:val="none" w:sz="0" w:space="0" w:color="auto"/>
        <w:left w:val="none" w:sz="0" w:space="0" w:color="auto"/>
        <w:bottom w:val="none" w:sz="0" w:space="0" w:color="auto"/>
        <w:right w:val="none" w:sz="0" w:space="0" w:color="auto"/>
      </w:divBdr>
    </w:div>
    <w:div w:id="1722361472">
      <w:bodyDiv w:val="1"/>
      <w:marLeft w:val="0"/>
      <w:marRight w:val="0"/>
      <w:marTop w:val="0"/>
      <w:marBottom w:val="0"/>
      <w:divBdr>
        <w:top w:val="none" w:sz="0" w:space="0" w:color="auto"/>
        <w:left w:val="none" w:sz="0" w:space="0" w:color="auto"/>
        <w:bottom w:val="none" w:sz="0" w:space="0" w:color="auto"/>
        <w:right w:val="none" w:sz="0" w:space="0" w:color="auto"/>
      </w:divBdr>
    </w:div>
    <w:div w:id="1736202559">
      <w:bodyDiv w:val="1"/>
      <w:marLeft w:val="0"/>
      <w:marRight w:val="0"/>
      <w:marTop w:val="0"/>
      <w:marBottom w:val="0"/>
      <w:divBdr>
        <w:top w:val="none" w:sz="0" w:space="0" w:color="auto"/>
        <w:left w:val="none" w:sz="0" w:space="0" w:color="auto"/>
        <w:bottom w:val="none" w:sz="0" w:space="0" w:color="auto"/>
        <w:right w:val="none" w:sz="0" w:space="0" w:color="auto"/>
      </w:divBdr>
    </w:div>
    <w:div w:id="1748846634">
      <w:bodyDiv w:val="1"/>
      <w:marLeft w:val="0"/>
      <w:marRight w:val="0"/>
      <w:marTop w:val="0"/>
      <w:marBottom w:val="0"/>
      <w:divBdr>
        <w:top w:val="none" w:sz="0" w:space="0" w:color="auto"/>
        <w:left w:val="none" w:sz="0" w:space="0" w:color="auto"/>
        <w:bottom w:val="none" w:sz="0" w:space="0" w:color="auto"/>
        <w:right w:val="none" w:sz="0" w:space="0" w:color="auto"/>
      </w:divBdr>
    </w:div>
    <w:div w:id="1762986455">
      <w:bodyDiv w:val="1"/>
      <w:marLeft w:val="0"/>
      <w:marRight w:val="0"/>
      <w:marTop w:val="0"/>
      <w:marBottom w:val="0"/>
      <w:divBdr>
        <w:top w:val="none" w:sz="0" w:space="0" w:color="auto"/>
        <w:left w:val="none" w:sz="0" w:space="0" w:color="auto"/>
        <w:bottom w:val="none" w:sz="0" w:space="0" w:color="auto"/>
        <w:right w:val="none" w:sz="0" w:space="0" w:color="auto"/>
      </w:divBdr>
    </w:div>
    <w:div w:id="1777484569">
      <w:bodyDiv w:val="1"/>
      <w:marLeft w:val="0"/>
      <w:marRight w:val="0"/>
      <w:marTop w:val="0"/>
      <w:marBottom w:val="0"/>
      <w:divBdr>
        <w:top w:val="none" w:sz="0" w:space="0" w:color="auto"/>
        <w:left w:val="none" w:sz="0" w:space="0" w:color="auto"/>
        <w:bottom w:val="none" w:sz="0" w:space="0" w:color="auto"/>
        <w:right w:val="none" w:sz="0" w:space="0" w:color="auto"/>
      </w:divBdr>
    </w:div>
    <w:div w:id="1804930156">
      <w:bodyDiv w:val="1"/>
      <w:marLeft w:val="0"/>
      <w:marRight w:val="0"/>
      <w:marTop w:val="0"/>
      <w:marBottom w:val="0"/>
      <w:divBdr>
        <w:top w:val="none" w:sz="0" w:space="0" w:color="auto"/>
        <w:left w:val="none" w:sz="0" w:space="0" w:color="auto"/>
        <w:bottom w:val="none" w:sz="0" w:space="0" w:color="auto"/>
        <w:right w:val="none" w:sz="0" w:space="0" w:color="auto"/>
      </w:divBdr>
    </w:div>
    <w:div w:id="1809274550">
      <w:bodyDiv w:val="1"/>
      <w:marLeft w:val="0"/>
      <w:marRight w:val="0"/>
      <w:marTop w:val="0"/>
      <w:marBottom w:val="0"/>
      <w:divBdr>
        <w:top w:val="none" w:sz="0" w:space="0" w:color="auto"/>
        <w:left w:val="none" w:sz="0" w:space="0" w:color="auto"/>
        <w:bottom w:val="none" w:sz="0" w:space="0" w:color="auto"/>
        <w:right w:val="none" w:sz="0" w:space="0" w:color="auto"/>
      </w:divBdr>
    </w:div>
    <w:div w:id="1820729818">
      <w:bodyDiv w:val="1"/>
      <w:marLeft w:val="0"/>
      <w:marRight w:val="0"/>
      <w:marTop w:val="0"/>
      <w:marBottom w:val="0"/>
      <w:divBdr>
        <w:top w:val="none" w:sz="0" w:space="0" w:color="auto"/>
        <w:left w:val="none" w:sz="0" w:space="0" w:color="auto"/>
        <w:bottom w:val="none" w:sz="0" w:space="0" w:color="auto"/>
        <w:right w:val="none" w:sz="0" w:space="0" w:color="auto"/>
      </w:divBdr>
    </w:div>
    <w:div w:id="1848709839">
      <w:bodyDiv w:val="1"/>
      <w:marLeft w:val="0"/>
      <w:marRight w:val="0"/>
      <w:marTop w:val="0"/>
      <w:marBottom w:val="0"/>
      <w:divBdr>
        <w:top w:val="none" w:sz="0" w:space="0" w:color="auto"/>
        <w:left w:val="none" w:sz="0" w:space="0" w:color="auto"/>
        <w:bottom w:val="none" w:sz="0" w:space="0" w:color="auto"/>
        <w:right w:val="none" w:sz="0" w:space="0" w:color="auto"/>
      </w:divBdr>
    </w:div>
    <w:div w:id="1860729404">
      <w:bodyDiv w:val="1"/>
      <w:marLeft w:val="0"/>
      <w:marRight w:val="0"/>
      <w:marTop w:val="0"/>
      <w:marBottom w:val="0"/>
      <w:divBdr>
        <w:top w:val="none" w:sz="0" w:space="0" w:color="auto"/>
        <w:left w:val="none" w:sz="0" w:space="0" w:color="auto"/>
        <w:bottom w:val="none" w:sz="0" w:space="0" w:color="auto"/>
        <w:right w:val="none" w:sz="0" w:space="0" w:color="auto"/>
      </w:divBdr>
    </w:div>
    <w:div w:id="1867787200">
      <w:bodyDiv w:val="1"/>
      <w:marLeft w:val="0"/>
      <w:marRight w:val="0"/>
      <w:marTop w:val="0"/>
      <w:marBottom w:val="0"/>
      <w:divBdr>
        <w:top w:val="none" w:sz="0" w:space="0" w:color="auto"/>
        <w:left w:val="none" w:sz="0" w:space="0" w:color="auto"/>
        <w:bottom w:val="none" w:sz="0" w:space="0" w:color="auto"/>
        <w:right w:val="none" w:sz="0" w:space="0" w:color="auto"/>
      </w:divBdr>
    </w:div>
    <w:div w:id="1905752532">
      <w:bodyDiv w:val="1"/>
      <w:marLeft w:val="0"/>
      <w:marRight w:val="0"/>
      <w:marTop w:val="0"/>
      <w:marBottom w:val="0"/>
      <w:divBdr>
        <w:top w:val="none" w:sz="0" w:space="0" w:color="auto"/>
        <w:left w:val="none" w:sz="0" w:space="0" w:color="auto"/>
        <w:bottom w:val="none" w:sz="0" w:space="0" w:color="auto"/>
        <w:right w:val="none" w:sz="0" w:space="0" w:color="auto"/>
      </w:divBdr>
    </w:div>
    <w:div w:id="1973947816">
      <w:bodyDiv w:val="1"/>
      <w:marLeft w:val="0"/>
      <w:marRight w:val="0"/>
      <w:marTop w:val="0"/>
      <w:marBottom w:val="0"/>
      <w:divBdr>
        <w:top w:val="none" w:sz="0" w:space="0" w:color="auto"/>
        <w:left w:val="none" w:sz="0" w:space="0" w:color="auto"/>
        <w:bottom w:val="none" w:sz="0" w:space="0" w:color="auto"/>
        <w:right w:val="none" w:sz="0" w:space="0" w:color="auto"/>
      </w:divBdr>
    </w:div>
    <w:div w:id="1988783277">
      <w:bodyDiv w:val="1"/>
      <w:marLeft w:val="0"/>
      <w:marRight w:val="0"/>
      <w:marTop w:val="0"/>
      <w:marBottom w:val="0"/>
      <w:divBdr>
        <w:top w:val="none" w:sz="0" w:space="0" w:color="auto"/>
        <w:left w:val="none" w:sz="0" w:space="0" w:color="auto"/>
        <w:bottom w:val="none" w:sz="0" w:space="0" w:color="auto"/>
        <w:right w:val="none" w:sz="0" w:space="0" w:color="auto"/>
      </w:divBdr>
    </w:div>
    <w:div w:id="1999846964">
      <w:bodyDiv w:val="1"/>
      <w:marLeft w:val="0"/>
      <w:marRight w:val="0"/>
      <w:marTop w:val="0"/>
      <w:marBottom w:val="0"/>
      <w:divBdr>
        <w:top w:val="none" w:sz="0" w:space="0" w:color="auto"/>
        <w:left w:val="none" w:sz="0" w:space="0" w:color="auto"/>
        <w:bottom w:val="none" w:sz="0" w:space="0" w:color="auto"/>
        <w:right w:val="none" w:sz="0" w:space="0" w:color="auto"/>
      </w:divBdr>
    </w:div>
    <w:div w:id="2029602558">
      <w:bodyDiv w:val="1"/>
      <w:marLeft w:val="0"/>
      <w:marRight w:val="0"/>
      <w:marTop w:val="0"/>
      <w:marBottom w:val="0"/>
      <w:divBdr>
        <w:top w:val="none" w:sz="0" w:space="0" w:color="auto"/>
        <w:left w:val="none" w:sz="0" w:space="0" w:color="auto"/>
        <w:bottom w:val="none" w:sz="0" w:space="0" w:color="auto"/>
        <w:right w:val="none" w:sz="0" w:space="0" w:color="auto"/>
      </w:divBdr>
    </w:div>
    <w:div w:id="2074428542">
      <w:bodyDiv w:val="1"/>
      <w:marLeft w:val="0"/>
      <w:marRight w:val="0"/>
      <w:marTop w:val="0"/>
      <w:marBottom w:val="0"/>
      <w:divBdr>
        <w:top w:val="none" w:sz="0" w:space="0" w:color="auto"/>
        <w:left w:val="none" w:sz="0" w:space="0" w:color="auto"/>
        <w:bottom w:val="none" w:sz="0" w:space="0" w:color="auto"/>
        <w:right w:val="none" w:sz="0" w:space="0" w:color="auto"/>
      </w:divBdr>
    </w:div>
    <w:div w:id="2077049647">
      <w:bodyDiv w:val="1"/>
      <w:marLeft w:val="0"/>
      <w:marRight w:val="0"/>
      <w:marTop w:val="0"/>
      <w:marBottom w:val="0"/>
      <w:divBdr>
        <w:top w:val="none" w:sz="0" w:space="0" w:color="auto"/>
        <w:left w:val="none" w:sz="0" w:space="0" w:color="auto"/>
        <w:bottom w:val="none" w:sz="0" w:space="0" w:color="auto"/>
        <w:right w:val="none" w:sz="0" w:space="0" w:color="auto"/>
      </w:divBdr>
    </w:div>
    <w:div w:id="2091852746">
      <w:bodyDiv w:val="1"/>
      <w:marLeft w:val="0"/>
      <w:marRight w:val="0"/>
      <w:marTop w:val="0"/>
      <w:marBottom w:val="0"/>
      <w:divBdr>
        <w:top w:val="none" w:sz="0" w:space="0" w:color="auto"/>
        <w:left w:val="none" w:sz="0" w:space="0" w:color="auto"/>
        <w:bottom w:val="none" w:sz="0" w:space="0" w:color="auto"/>
        <w:right w:val="none" w:sz="0" w:space="0" w:color="auto"/>
      </w:divBdr>
    </w:div>
    <w:div w:id="2112896355">
      <w:bodyDiv w:val="1"/>
      <w:marLeft w:val="0"/>
      <w:marRight w:val="0"/>
      <w:marTop w:val="0"/>
      <w:marBottom w:val="0"/>
      <w:divBdr>
        <w:top w:val="none" w:sz="0" w:space="0" w:color="auto"/>
        <w:left w:val="none" w:sz="0" w:space="0" w:color="auto"/>
        <w:bottom w:val="none" w:sz="0" w:space="0" w:color="auto"/>
        <w:right w:val="none" w:sz="0" w:space="0" w:color="auto"/>
      </w:divBdr>
    </w:div>
    <w:div w:id="2132817251">
      <w:bodyDiv w:val="1"/>
      <w:marLeft w:val="0"/>
      <w:marRight w:val="0"/>
      <w:marTop w:val="0"/>
      <w:marBottom w:val="0"/>
      <w:divBdr>
        <w:top w:val="none" w:sz="0" w:space="0" w:color="auto"/>
        <w:left w:val="none" w:sz="0" w:space="0" w:color="auto"/>
        <w:bottom w:val="none" w:sz="0" w:space="0" w:color="auto"/>
        <w:right w:val="none" w:sz="0" w:space="0" w:color="auto"/>
      </w:divBdr>
    </w:div>
    <w:div w:id="214114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58709/niujss.v9i3.1721" TargetMode="External"/><Relationship Id="rId21" Type="http://schemas.openxmlformats.org/officeDocument/2006/relationships/hyperlink" Target="https://doi.org/10.59638/aijer.v4i2.363" TargetMode="External"/><Relationship Id="rId42" Type="http://schemas.openxmlformats.org/officeDocument/2006/relationships/hyperlink" Target="https://doi.org/10.36082/jdht.v5i2.1869" TargetMode="External"/><Relationship Id="rId47" Type="http://schemas.openxmlformats.org/officeDocument/2006/relationships/hyperlink" Target="https://doi.org/10.1007/978-3-030-42091-8_19-1" TargetMode="External"/><Relationship Id="rId63" Type="http://schemas.openxmlformats.org/officeDocument/2006/relationships/hyperlink" Target="https://doi.org/10.1177/10436596231198274" TargetMode="External"/><Relationship Id="rId68" Type="http://schemas.openxmlformats.org/officeDocument/2006/relationships/hyperlink" Target="https://doi.org/10.18535/ijsshi/v9i09.01" TargetMode="External"/><Relationship Id="rId84" Type="http://schemas.openxmlformats.org/officeDocument/2006/relationships/hyperlink" Target="https://doi.org/10.1002/sea2.12148" TargetMode="External"/><Relationship Id="rId89" Type="http://schemas.openxmlformats.org/officeDocument/2006/relationships/hyperlink" Target="https://doi.org/10.9734/ajraf/2022/v8i4180" TargetMode="External"/><Relationship Id="rId16" Type="http://schemas.openxmlformats.org/officeDocument/2006/relationships/hyperlink" Target="https://doi.org/10.1002/cbdv.202401613" TargetMode="External"/><Relationship Id="rId11" Type="http://schemas.openxmlformats.org/officeDocument/2006/relationships/hyperlink" Target="https://doi.org/10.1016/j.heliyon.2023.e20990" TargetMode="External"/><Relationship Id="rId32" Type="http://schemas.openxmlformats.org/officeDocument/2006/relationships/hyperlink" Target="https://doi.org/10.3389/fcosc.2024.1384267" TargetMode="External"/><Relationship Id="rId37" Type="http://schemas.openxmlformats.org/officeDocument/2006/relationships/hyperlink" Target="https://doi.org/10.56279/tjpsd.v29i1.139" TargetMode="External"/><Relationship Id="rId53" Type="http://schemas.openxmlformats.org/officeDocument/2006/relationships/hyperlink" Target="https://doi.org/10.35878/guru.v4i1.1084" TargetMode="External"/><Relationship Id="rId58" Type="http://schemas.openxmlformats.org/officeDocument/2006/relationships/hyperlink" Target="https://doi.org/10.58421/misro.v1i3.42" TargetMode="External"/><Relationship Id="rId74" Type="http://schemas.openxmlformats.org/officeDocument/2006/relationships/hyperlink" Target="https://doi.org/10.47941/ijlp.1701" TargetMode="External"/><Relationship Id="rId79" Type="http://schemas.openxmlformats.org/officeDocument/2006/relationships/hyperlink" Target="https://doi.org/10.33578/pjr.v6i1.8427" TargetMode="External"/><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hyperlink" Target="https://doi.org/10.1051/matecconf/201928003013" TargetMode="External"/><Relationship Id="rId22" Type="http://schemas.openxmlformats.org/officeDocument/2006/relationships/hyperlink" Target="https://doi.org/10.37249/assalam.v5i2.298" TargetMode="External"/><Relationship Id="rId27" Type="http://schemas.openxmlformats.org/officeDocument/2006/relationships/hyperlink" Target="https://doi.org/10.55606/jurrimipa.v1i1.126" TargetMode="External"/><Relationship Id="rId30" Type="http://schemas.openxmlformats.org/officeDocument/2006/relationships/hyperlink" Target="https://doi.org/10.1016/j.cosust.2018.06.003" TargetMode="External"/><Relationship Id="rId35" Type="http://schemas.openxmlformats.org/officeDocument/2006/relationships/hyperlink" Target="https://doi.org/10.1111/jlca.12544" TargetMode="External"/><Relationship Id="rId43" Type="http://schemas.openxmlformats.org/officeDocument/2006/relationships/hyperlink" Target="https://doi.org/10.1073/pnas.2100436118" TargetMode="External"/><Relationship Id="rId48" Type="http://schemas.openxmlformats.org/officeDocument/2006/relationships/hyperlink" Target="https://doi.org/10.1017/ytm.2021.28" TargetMode="External"/><Relationship Id="rId56" Type="http://schemas.openxmlformats.org/officeDocument/2006/relationships/hyperlink" Target="https://doi.org/10.35878/guru.v3i2.886" TargetMode="External"/><Relationship Id="rId64" Type="http://schemas.openxmlformats.org/officeDocument/2006/relationships/hyperlink" Target="https://doi.org/10.30998/deiksis.v16i2.23021" TargetMode="External"/><Relationship Id="rId69" Type="http://schemas.openxmlformats.org/officeDocument/2006/relationships/hyperlink" Target="https://doi.org/10.1088/1755-1315/158/1/012033" TargetMode="External"/><Relationship Id="rId77" Type="http://schemas.openxmlformats.org/officeDocument/2006/relationships/hyperlink" Target="https://doi.org/10.31004/edukatif.v6i2.6421" TargetMode="External"/><Relationship Id="rId8" Type="http://schemas.openxmlformats.org/officeDocument/2006/relationships/image" Target="media/image1.png"/><Relationship Id="rId51" Type="http://schemas.openxmlformats.org/officeDocument/2006/relationships/hyperlink" Target="https://doi.org/10.1108/dpm-08-2024-0220" TargetMode="External"/><Relationship Id="rId72" Type="http://schemas.openxmlformats.org/officeDocument/2006/relationships/hyperlink" Target="https://doi.org/10.3329/ralf.v8i2.55495" TargetMode="External"/><Relationship Id="rId80" Type="http://schemas.openxmlformats.org/officeDocument/2006/relationships/hyperlink" Target="https://doi.org/10.1080/22423982.2023.2177240" TargetMode="External"/><Relationship Id="rId85" Type="http://schemas.openxmlformats.org/officeDocument/2006/relationships/hyperlink" Target="https://doi.org/10.1177/10778004211021803" TargetMode="External"/><Relationship Id="rId3" Type="http://schemas.openxmlformats.org/officeDocument/2006/relationships/styles" Target="styles.xml"/><Relationship Id="rId12" Type="http://schemas.openxmlformats.org/officeDocument/2006/relationships/hyperlink" Target="https://doi.org/10.28918/hikmatuna.v10i1.7262" TargetMode="External"/><Relationship Id="rId17" Type="http://schemas.openxmlformats.org/officeDocument/2006/relationships/hyperlink" Target="https://doi.org/10.1177/00219096231176740" TargetMode="External"/><Relationship Id="rId25" Type="http://schemas.openxmlformats.org/officeDocument/2006/relationships/hyperlink" Target="https://doi.org/10.21608/sjas.2023.203645.1290" TargetMode="External"/><Relationship Id="rId33" Type="http://schemas.openxmlformats.org/officeDocument/2006/relationships/hyperlink" Target="https://doi.org/10.17977/um021v8i1p1-20" TargetMode="External"/><Relationship Id="rId38" Type="http://schemas.openxmlformats.org/officeDocument/2006/relationships/hyperlink" Target="https://doi.org/10.57235/jamparing.v2i1.1975" TargetMode="External"/><Relationship Id="rId46" Type="http://schemas.openxmlformats.org/officeDocument/2006/relationships/hyperlink" Target="https://doi.org/10.3390/ijerph20065217" TargetMode="External"/><Relationship Id="rId59" Type="http://schemas.openxmlformats.org/officeDocument/2006/relationships/hyperlink" Target="https://doi.org/10.1177/1464993420934223" TargetMode="External"/><Relationship Id="rId67" Type="http://schemas.openxmlformats.org/officeDocument/2006/relationships/hyperlink" Target="https://doi.org/10.31004/obsesi.v7i5.5200" TargetMode="External"/><Relationship Id="rId20" Type="http://schemas.openxmlformats.org/officeDocument/2006/relationships/hyperlink" Target="https://doi.org/10.1111/mms.12972" TargetMode="External"/><Relationship Id="rId41" Type="http://schemas.openxmlformats.org/officeDocument/2006/relationships/hyperlink" Target="https://doi.org/10.1177/2514848620946973" TargetMode="External"/><Relationship Id="rId54" Type="http://schemas.openxmlformats.org/officeDocument/2006/relationships/hyperlink" Target="https://doi.org/10.36088/fondatia.v8i1.4492" TargetMode="External"/><Relationship Id="rId62" Type="http://schemas.openxmlformats.org/officeDocument/2006/relationships/hyperlink" Target="https://doi.org/10.1177/10564926221103480" TargetMode="External"/><Relationship Id="rId70" Type="http://schemas.openxmlformats.org/officeDocument/2006/relationships/hyperlink" Target="https://doi.org/10.15666/aeer/1706_1276912785" TargetMode="External"/><Relationship Id="rId75" Type="http://schemas.openxmlformats.org/officeDocument/2006/relationships/hyperlink" Target="https://doi.org/10.15353/cfs-rcea.v5i2.199" TargetMode="External"/><Relationship Id="rId83" Type="http://schemas.openxmlformats.org/officeDocument/2006/relationships/hyperlink" Target="https://doi.org/10.47268/sasi.v27i2.448" TargetMode="External"/><Relationship Id="rId88" Type="http://schemas.openxmlformats.org/officeDocument/2006/relationships/hyperlink" Target="https://doi.org/10.53845/infokam.v18i2.323"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772/intechopen.72900" TargetMode="External"/><Relationship Id="rId23" Type="http://schemas.openxmlformats.org/officeDocument/2006/relationships/hyperlink" Target="https://doi.org/10.2991/978-2-38476-046-6_73" TargetMode="External"/><Relationship Id="rId28" Type="http://schemas.openxmlformats.org/officeDocument/2006/relationships/hyperlink" Target="https://doi.org/10.1007/s00267-021-01552-0" TargetMode="External"/><Relationship Id="rId36" Type="http://schemas.openxmlformats.org/officeDocument/2006/relationships/hyperlink" Target="https://doi.org/10.47604/jpid.1422" TargetMode="External"/><Relationship Id="rId49" Type="http://schemas.openxmlformats.org/officeDocument/2006/relationships/hyperlink" Target="https://doi.org/10.1177/11771801231198039" TargetMode="External"/><Relationship Id="rId57" Type="http://schemas.openxmlformats.org/officeDocument/2006/relationships/hyperlink" Target="https://doi.org/10.36369/2616-9045/2023/v12i2a9" TargetMode="External"/><Relationship Id="rId10" Type="http://schemas.openxmlformats.org/officeDocument/2006/relationships/image" Target="media/image3.png"/><Relationship Id="rId31" Type="http://schemas.openxmlformats.org/officeDocument/2006/relationships/hyperlink" Target="https://doi.org/10.35905/jmlipare.v1i1.3259" TargetMode="External"/><Relationship Id="rId44" Type="http://schemas.openxmlformats.org/officeDocument/2006/relationships/hyperlink" Target="https://doi.org/10.3390/ijerph20206917" TargetMode="External"/><Relationship Id="rId52" Type="http://schemas.openxmlformats.org/officeDocument/2006/relationships/hyperlink" Target="https://doi.org/10.51505/ijebmr.2024.8214" TargetMode="External"/><Relationship Id="rId60" Type="http://schemas.openxmlformats.org/officeDocument/2006/relationships/hyperlink" Target="https://doi.org/10.24259/fs.v7i1.24803" TargetMode="External"/><Relationship Id="rId65" Type="http://schemas.openxmlformats.org/officeDocument/2006/relationships/hyperlink" Target="https://doi.org/10.24036/kolokium-pls.v8i2.434" TargetMode="External"/><Relationship Id="rId73" Type="http://schemas.openxmlformats.org/officeDocument/2006/relationships/hyperlink" Target="https://doi.org/10.1145/3334480.3375220" TargetMode="External"/><Relationship Id="rId78" Type="http://schemas.openxmlformats.org/officeDocument/2006/relationships/hyperlink" Target="https://doi.org/10.1186/s42779-022-00120-z" TargetMode="External"/><Relationship Id="rId81" Type="http://schemas.openxmlformats.org/officeDocument/2006/relationships/hyperlink" Target="https://doi.org/10.31004/obsesi.v7i5.3737" TargetMode="External"/><Relationship Id="rId86" Type="http://schemas.openxmlformats.org/officeDocument/2006/relationships/hyperlink" Target="https://doi.org/10.62754/joe.v3i4.385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55324/iss.v2i11.532" TargetMode="External"/><Relationship Id="rId18" Type="http://schemas.openxmlformats.org/officeDocument/2006/relationships/hyperlink" Target="https://doi.org/10.1111/medu.15000" TargetMode="External"/><Relationship Id="rId39" Type="http://schemas.openxmlformats.org/officeDocument/2006/relationships/hyperlink" Target="https://doi.org/10.1007/s11069-022-05543-0" TargetMode="External"/><Relationship Id="rId34" Type="http://schemas.openxmlformats.org/officeDocument/2006/relationships/hyperlink" Target="https://doi.org/10.21043/thufula.v9i2.11499" TargetMode="External"/><Relationship Id="rId50" Type="http://schemas.openxmlformats.org/officeDocument/2006/relationships/hyperlink" Target="https://doi.org/10.12927/cjnl.2023.27072" TargetMode="External"/><Relationship Id="rId55" Type="http://schemas.openxmlformats.org/officeDocument/2006/relationships/hyperlink" Target="https://doi.org/10.3390/su11247141" TargetMode="External"/><Relationship Id="rId76" Type="http://schemas.openxmlformats.org/officeDocument/2006/relationships/hyperlink" Target="https://doi.org/10.3390/f11111178" TargetMode="External"/><Relationship Id="rId7" Type="http://schemas.openxmlformats.org/officeDocument/2006/relationships/endnotes" Target="endnotes.xml"/><Relationship Id="rId71" Type="http://schemas.openxmlformats.org/officeDocument/2006/relationships/hyperlink" Target="https://doi.org/10.21608/ejabf.2023.334377"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doi.org/10.18820/2415-0495/trp76i1.2" TargetMode="External"/><Relationship Id="rId24" Type="http://schemas.openxmlformats.org/officeDocument/2006/relationships/hyperlink" Target="https://doi.org/10.3390/su16073053" TargetMode="External"/><Relationship Id="rId40" Type="http://schemas.openxmlformats.org/officeDocument/2006/relationships/hyperlink" Target="https://doi.org/10.3126/ijosh.v11i3.39768" TargetMode="External"/><Relationship Id="rId45" Type="http://schemas.openxmlformats.org/officeDocument/2006/relationships/hyperlink" Target="https://doi.org/10.54470/planplus.v11i1.3" TargetMode="External"/><Relationship Id="rId66" Type="http://schemas.openxmlformats.org/officeDocument/2006/relationships/hyperlink" Target="https://doi.org/10.51178/jetl.v3i2.214" TargetMode="External"/><Relationship Id="rId87" Type="http://schemas.openxmlformats.org/officeDocument/2006/relationships/hyperlink" Target="https://doi.org/10.18280/ijsdp.180907" TargetMode="External"/><Relationship Id="rId61" Type="http://schemas.openxmlformats.org/officeDocument/2006/relationships/hyperlink" Target="https://doi.org/10.1111/cobi.14278" TargetMode="External"/><Relationship Id="rId82" Type="http://schemas.openxmlformats.org/officeDocument/2006/relationships/hyperlink" Target="https://doi.org/10.1016/j.heliyon.2021.e06417" TargetMode="External"/><Relationship Id="rId19" Type="http://schemas.openxmlformats.org/officeDocument/2006/relationships/hyperlink" Target="https://doi.org/10.3390/su120100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E8BC9-73C0-1F44-874A-F339609A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29</Pages>
  <Words>9448</Words>
  <Characters>53856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Rendika Vhalery</cp:lastModifiedBy>
  <cp:revision>42</cp:revision>
  <dcterms:created xsi:type="dcterms:W3CDTF">2025-06-07T07:16:00Z</dcterms:created>
  <dcterms:modified xsi:type="dcterms:W3CDTF">2025-07-01T14:18:00Z</dcterms:modified>
</cp:coreProperties>
</file>