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5226D" w14:textId="642E2A15" w:rsidR="007F3577" w:rsidRDefault="00930E3E" w:rsidP="00013355">
      <w:pPr>
        <w:pStyle w:val="whitespace-normal"/>
        <w:spacing w:before="0" w:beforeAutospacing="0" w:after="0" w:afterAutospacing="0"/>
        <w:jc w:val="center"/>
        <w:rPr>
          <w:b/>
          <w:bCs/>
          <w:sz w:val="28"/>
          <w:szCs w:val="28"/>
          <w:lang w:val="en-US"/>
        </w:rPr>
      </w:pPr>
      <w:proofErr w:type="spellStart"/>
      <w:r w:rsidRPr="009537D3">
        <w:rPr>
          <w:b/>
          <w:bCs/>
          <w:sz w:val="28"/>
          <w:szCs w:val="28"/>
          <w:lang w:val="en-US"/>
        </w:rPr>
        <w:t>Keadilan</w:t>
      </w:r>
      <w:proofErr w:type="spellEnd"/>
      <w:r w:rsidRPr="009537D3">
        <w:rPr>
          <w:b/>
          <w:bCs/>
          <w:sz w:val="28"/>
          <w:szCs w:val="28"/>
          <w:lang w:val="en-US"/>
        </w:rPr>
        <w:t xml:space="preserve"> </w:t>
      </w:r>
      <w:proofErr w:type="spellStart"/>
      <w:r w:rsidRPr="009537D3">
        <w:rPr>
          <w:b/>
          <w:bCs/>
          <w:sz w:val="28"/>
          <w:szCs w:val="28"/>
          <w:lang w:val="en-US"/>
        </w:rPr>
        <w:t>Bermartabat</w:t>
      </w:r>
      <w:proofErr w:type="spellEnd"/>
      <w:r w:rsidRPr="009537D3">
        <w:rPr>
          <w:b/>
          <w:bCs/>
          <w:sz w:val="28"/>
          <w:szCs w:val="28"/>
          <w:lang w:val="en-US"/>
        </w:rPr>
        <w:t>: Indonesia</w:t>
      </w:r>
      <w:r w:rsidR="00502CF4">
        <w:rPr>
          <w:b/>
          <w:bCs/>
          <w:sz w:val="28"/>
          <w:szCs w:val="28"/>
          <w:lang w:val="en-US"/>
        </w:rPr>
        <w:t>’</w:t>
      </w:r>
      <w:r w:rsidRPr="009537D3">
        <w:rPr>
          <w:b/>
          <w:bCs/>
          <w:sz w:val="28"/>
          <w:szCs w:val="28"/>
          <w:lang w:val="en-US"/>
        </w:rPr>
        <w:t xml:space="preserve">s Third Path </w:t>
      </w:r>
      <w:r w:rsidR="004E228B" w:rsidRPr="009537D3">
        <w:rPr>
          <w:b/>
          <w:bCs/>
          <w:sz w:val="28"/>
          <w:szCs w:val="28"/>
          <w:lang w:val="en-US"/>
        </w:rPr>
        <w:t>of</w:t>
      </w:r>
      <w:r w:rsidRPr="009537D3">
        <w:rPr>
          <w:b/>
          <w:bCs/>
          <w:sz w:val="28"/>
          <w:szCs w:val="28"/>
          <w:lang w:val="en-US"/>
        </w:rPr>
        <w:t xml:space="preserve"> Dignified Justice</w:t>
      </w:r>
    </w:p>
    <w:p w14:paraId="6F4B15FB" w14:textId="77777777" w:rsidR="003B38C3" w:rsidRDefault="003B38C3" w:rsidP="005F4360">
      <w:pPr>
        <w:widowControl w:val="0"/>
        <w:spacing w:after="0"/>
        <w:jc w:val="center"/>
        <w:rPr>
          <w:rFonts w:cs="Simplified Arabic"/>
          <w:b/>
          <w:bCs/>
          <w:color w:val="000000" w:themeColor="text1"/>
          <w:sz w:val="20"/>
          <w:szCs w:val="20"/>
        </w:rPr>
      </w:pPr>
    </w:p>
    <w:p w14:paraId="3A7D57C4" w14:textId="526106B4" w:rsidR="005F4360" w:rsidRPr="00242703" w:rsidRDefault="005F4360" w:rsidP="005F4360">
      <w:pPr>
        <w:widowControl w:val="0"/>
        <w:spacing w:after="0"/>
        <w:jc w:val="center"/>
        <w:rPr>
          <w:rFonts w:cs="Simplified Arabic"/>
          <w:color w:val="000000" w:themeColor="text1"/>
          <w:sz w:val="20"/>
          <w:szCs w:val="20"/>
        </w:rPr>
      </w:pPr>
      <w:proofErr w:type="spellStart"/>
      <w:r w:rsidRPr="00242703">
        <w:rPr>
          <w:rFonts w:cs="Simplified Arabic"/>
          <w:b/>
          <w:bCs/>
          <w:color w:val="000000" w:themeColor="text1"/>
          <w:sz w:val="20"/>
          <w:szCs w:val="20"/>
        </w:rPr>
        <w:t>Teguh</w:t>
      </w:r>
      <w:proofErr w:type="spellEnd"/>
      <w:r w:rsidRPr="00242703">
        <w:rPr>
          <w:rFonts w:cs="Simplified Arabic"/>
          <w:b/>
          <w:bCs/>
          <w:color w:val="000000" w:themeColor="text1"/>
          <w:sz w:val="20"/>
          <w:szCs w:val="20"/>
        </w:rPr>
        <w:t xml:space="preserve"> </w:t>
      </w:r>
      <w:proofErr w:type="spellStart"/>
      <w:r w:rsidRPr="00242703">
        <w:rPr>
          <w:rFonts w:cs="Simplified Arabic"/>
          <w:b/>
          <w:bCs/>
          <w:color w:val="000000" w:themeColor="text1"/>
          <w:sz w:val="20"/>
          <w:szCs w:val="20"/>
        </w:rPr>
        <w:t>Prasetyo</w:t>
      </w:r>
      <w:proofErr w:type="spellEnd"/>
    </w:p>
    <w:p w14:paraId="759CC8CD" w14:textId="77777777" w:rsidR="005F4360" w:rsidRPr="00242703" w:rsidRDefault="005F4360" w:rsidP="005F4360">
      <w:pPr>
        <w:widowControl w:val="0"/>
        <w:spacing w:after="0"/>
        <w:jc w:val="center"/>
        <w:rPr>
          <w:rFonts w:cs="Simplified Arabic"/>
          <w:sz w:val="20"/>
          <w:szCs w:val="20"/>
        </w:rPr>
      </w:pPr>
      <w:r w:rsidRPr="00242703">
        <w:rPr>
          <w:rFonts w:cs="Simplified Arabic"/>
          <w:sz w:val="20"/>
          <w:szCs w:val="20"/>
        </w:rPr>
        <w:t>Doctor of Law, Professor of Law</w:t>
      </w:r>
    </w:p>
    <w:p w14:paraId="1AD04F12" w14:textId="77777777" w:rsidR="005F4360" w:rsidRPr="00242703" w:rsidRDefault="005F4360" w:rsidP="005F4360">
      <w:pPr>
        <w:widowControl w:val="0"/>
        <w:spacing w:after="0"/>
        <w:jc w:val="center"/>
        <w:rPr>
          <w:rFonts w:cs="Simplified Arabic"/>
          <w:sz w:val="20"/>
          <w:szCs w:val="20"/>
        </w:rPr>
      </w:pPr>
      <w:r w:rsidRPr="00242703">
        <w:rPr>
          <w:rFonts w:cs="Simplified Arabic"/>
          <w:sz w:val="20"/>
          <w:szCs w:val="20"/>
        </w:rPr>
        <w:t>Universitas Pelita Harapan</w:t>
      </w:r>
    </w:p>
    <w:p w14:paraId="44761CE9" w14:textId="77777777" w:rsidR="005F4360" w:rsidRPr="00242703" w:rsidRDefault="005F4360" w:rsidP="005F4360">
      <w:pPr>
        <w:widowControl w:val="0"/>
        <w:spacing w:after="0"/>
        <w:jc w:val="center"/>
        <w:rPr>
          <w:rFonts w:cs="Simplified Arabic"/>
          <w:sz w:val="20"/>
          <w:szCs w:val="20"/>
        </w:rPr>
      </w:pPr>
      <w:r w:rsidRPr="00242703">
        <w:rPr>
          <w:rFonts w:cs="Simplified Arabic"/>
          <w:sz w:val="20"/>
          <w:szCs w:val="20"/>
        </w:rPr>
        <w:t>15811, Tangerang Regency, Banten, Indonesia</w:t>
      </w:r>
    </w:p>
    <w:p w14:paraId="023FF967" w14:textId="77777777" w:rsidR="005F4360" w:rsidRPr="00242703" w:rsidRDefault="005F4360" w:rsidP="005F4360">
      <w:pPr>
        <w:widowControl w:val="0"/>
        <w:spacing w:after="0" w:line="240" w:lineRule="auto"/>
        <w:ind w:left="720"/>
        <w:jc w:val="center"/>
        <w:rPr>
          <w:rFonts w:cs="Simplified Arabic"/>
          <w:sz w:val="20"/>
          <w:szCs w:val="20"/>
        </w:rPr>
      </w:pPr>
      <w:hyperlink r:id="rId8" w:history="1">
        <w:r w:rsidRPr="00242703">
          <w:rPr>
            <w:rStyle w:val="Hyperlink"/>
            <w:rFonts w:cs="Simplified Arabic"/>
            <w:sz w:val="20"/>
            <w:szCs w:val="20"/>
          </w:rPr>
          <w:t>https://orcid.org/0000-0002-2676-8451</w:t>
        </w:r>
      </w:hyperlink>
    </w:p>
    <w:p w14:paraId="6B4FA754" w14:textId="77777777" w:rsidR="005F4360" w:rsidRPr="00242703" w:rsidRDefault="005F4360" w:rsidP="005F4360">
      <w:pPr>
        <w:widowControl w:val="0"/>
        <w:spacing w:after="0" w:line="240" w:lineRule="auto"/>
        <w:jc w:val="center"/>
        <w:rPr>
          <w:rFonts w:cs="Simplified Arabic"/>
          <w:sz w:val="20"/>
          <w:szCs w:val="20"/>
        </w:rPr>
      </w:pPr>
    </w:p>
    <w:p w14:paraId="69D32339" w14:textId="77777777" w:rsidR="005F4360" w:rsidRPr="00242703" w:rsidRDefault="005F4360" w:rsidP="005F4360">
      <w:pPr>
        <w:widowControl w:val="0"/>
        <w:spacing w:after="0" w:line="240" w:lineRule="auto"/>
        <w:jc w:val="center"/>
        <w:rPr>
          <w:rFonts w:cs="Simplified Arabic"/>
          <w:color w:val="000000" w:themeColor="text1"/>
          <w:sz w:val="20"/>
          <w:szCs w:val="20"/>
        </w:rPr>
      </w:pPr>
      <w:proofErr w:type="spellStart"/>
      <w:r w:rsidRPr="00242703">
        <w:rPr>
          <w:rFonts w:cs="Simplified Arabic"/>
          <w:b/>
          <w:bCs/>
          <w:color w:val="000000" w:themeColor="text1"/>
          <w:sz w:val="20"/>
          <w:szCs w:val="20"/>
        </w:rPr>
        <w:t>Vincensia</w:t>
      </w:r>
      <w:proofErr w:type="spellEnd"/>
      <w:r w:rsidRPr="00242703">
        <w:rPr>
          <w:rFonts w:cs="Simplified Arabic"/>
          <w:b/>
          <w:bCs/>
          <w:color w:val="000000" w:themeColor="text1"/>
          <w:sz w:val="20"/>
          <w:szCs w:val="20"/>
        </w:rPr>
        <w:t xml:space="preserve"> Esti Purnama Sari</w:t>
      </w:r>
    </w:p>
    <w:p w14:paraId="63FB2D3A" w14:textId="77777777" w:rsidR="005F4360" w:rsidRPr="00242703" w:rsidRDefault="005F4360" w:rsidP="005F4360">
      <w:pPr>
        <w:widowControl w:val="0"/>
        <w:spacing w:after="0" w:line="240" w:lineRule="auto"/>
        <w:jc w:val="center"/>
        <w:rPr>
          <w:rFonts w:cs="Simplified Arabic"/>
          <w:sz w:val="20"/>
          <w:szCs w:val="20"/>
        </w:rPr>
      </w:pPr>
      <w:r w:rsidRPr="00242703">
        <w:rPr>
          <w:rFonts w:cs="Simplified Arabic"/>
          <w:sz w:val="20"/>
          <w:szCs w:val="20"/>
        </w:rPr>
        <w:t>Doctor of Law, Associate Professor</w:t>
      </w:r>
    </w:p>
    <w:p w14:paraId="3602FD03" w14:textId="77777777" w:rsidR="005F4360" w:rsidRPr="00242703" w:rsidRDefault="005F4360" w:rsidP="005F4360">
      <w:pPr>
        <w:widowControl w:val="0"/>
        <w:spacing w:after="0"/>
        <w:jc w:val="center"/>
        <w:rPr>
          <w:rFonts w:cs="Simplified Arabic"/>
          <w:sz w:val="20"/>
          <w:szCs w:val="20"/>
        </w:rPr>
      </w:pPr>
      <w:r w:rsidRPr="00242703">
        <w:rPr>
          <w:rFonts w:cs="Simplified Arabic"/>
          <w:sz w:val="20"/>
          <w:szCs w:val="20"/>
        </w:rPr>
        <w:t>Universitas Pelita Harapan</w:t>
      </w:r>
    </w:p>
    <w:p w14:paraId="2BB127FE" w14:textId="26E98803" w:rsidR="005F4360" w:rsidRPr="00242703" w:rsidRDefault="005F4360" w:rsidP="005F4360">
      <w:pPr>
        <w:widowControl w:val="0"/>
        <w:spacing w:after="0"/>
        <w:jc w:val="center"/>
        <w:rPr>
          <w:rFonts w:cs="Simplified Arabic"/>
          <w:sz w:val="20"/>
          <w:szCs w:val="20"/>
        </w:rPr>
      </w:pPr>
      <w:r w:rsidRPr="00242703">
        <w:rPr>
          <w:rFonts w:cs="Simplified Arabic"/>
          <w:sz w:val="20"/>
          <w:szCs w:val="20"/>
        </w:rPr>
        <w:t xml:space="preserve">15811, Tangerang Regency, Banten, Indonesia </w:t>
      </w:r>
    </w:p>
    <w:p w14:paraId="46581530" w14:textId="77777777" w:rsidR="005F4360" w:rsidRPr="00242703" w:rsidRDefault="005F4360" w:rsidP="005F4360">
      <w:pPr>
        <w:widowControl w:val="0"/>
        <w:spacing w:after="0" w:line="240" w:lineRule="auto"/>
        <w:jc w:val="center"/>
        <w:rPr>
          <w:rFonts w:cs="Simplified Arabic"/>
          <w:sz w:val="20"/>
          <w:szCs w:val="20"/>
        </w:rPr>
      </w:pPr>
      <w:hyperlink r:id="rId9" w:history="1">
        <w:r w:rsidRPr="00242703">
          <w:rPr>
            <w:rStyle w:val="Hyperlink"/>
            <w:rFonts w:cs="Simplified Arabic"/>
            <w:sz w:val="20"/>
            <w:szCs w:val="20"/>
          </w:rPr>
          <w:t>https://orcid.org/0009-0007-1713-8195</w:t>
        </w:r>
      </w:hyperlink>
    </w:p>
    <w:p w14:paraId="3C31AB14" w14:textId="77777777" w:rsidR="005F4360" w:rsidRPr="00242703" w:rsidRDefault="005F4360" w:rsidP="005F4360">
      <w:pPr>
        <w:widowControl w:val="0"/>
        <w:spacing w:after="0" w:line="240" w:lineRule="auto"/>
        <w:jc w:val="center"/>
        <w:rPr>
          <w:rFonts w:cs="Simplified Arabic"/>
          <w:sz w:val="20"/>
          <w:szCs w:val="20"/>
        </w:rPr>
      </w:pPr>
    </w:p>
    <w:p w14:paraId="587CF388" w14:textId="77777777" w:rsidR="005F4360" w:rsidRPr="00242703" w:rsidRDefault="005F4360" w:rsidP="005F4360">
      <w:pPr>
        <w:widowControl w:val="0"/>
        <w:spacing w:after="0" w:line="240" w:lineRule="auto"/>
        <w:jc w:val="center"/>
        <w:rPr>
          <w:rFonts w:cs="Simplified Arabic"/>
          <w:sz w:val="20"/>
          <w:szCs w:val="20"/>
        </w:rPr>
      </w:pPr>
      <w:r w:rsidRPr="00242703">
        <w:rPr>
          <w:rFonts w:cs="Simplified Arabic"/>
          <w:b/>
          <w:bCs/>
          <w:color w:val="000000" w:themeColor="text1"/>
          <w:sz w:val="20"/>
          <w:szCs w:val="20"/>
        </w:rPr>
        <w:t xml:space="preserve">Susi </w:t>
      </w:r>
      <w:proofErr w:type="spellStart"/>
      <w:r w:rsidRPr="00242703">
        <w:rPr>
          <w:rFonts w:cs="Simplified Arabic"/>
          <w:b/>
          <w:bCs/>
          <w:color w:val="000000" w:themeColor="text1"/>
          <w:sz w:val="20"/>
          <w:szCs w:val="20"/>
        </w:rPr>
        <w:t>Susantijo</w:t>
      </w:r>
      <w:proofErr w:type="spellEnd"/>
    </w:p>
    <w:p w14:paraId="4C979D5E" w14:textId="77777777" w:rsidR="005F4360" w:rsidRPr="00242703" w:rsidRDefault="005F4360" w:rsidP="005F4360">
      <w:pPr>
        <w:widowControl w:val="0"/>
        <w:spacing w:after="0" w:line="240" w:lineRule="auto"/>
        <w:jc w:val="center"/>
        <w:rPr>
          <w:rFonts w:cs="Simplified Arabic"/>
          <w:sz w:val="20"/>
          <w:szCs w:val="20"/>
        </w:rPr>
      </w:pPr>
      <w:r w:rsidRPr="00242703">
        <w:rPr>
          <w:rFonts w:cs="Simplified Arabic"/>
          <w:sz w:val="20"/>
          <w:szCs w:val="20"/>
        </w:rPr>
        <w:t>Doctor of Law, Associate Professor</w:t>
      </w:r>
    </w:p>
    <w:p w14:paraId="6F7D0DBD" w14:textId="77777777" w:rsidR="005F4360" w:rsidRPr="00242703" w:rsidRDefault="005F4360" w:rsidP="005F4360">
      <w:pPr>
        <w:widowControl w:val="0"/>
        <w:spacing w:after="0"/>
        <w:jc w:val="center"/>
        <w:rPr>
          <w:rFonts w:cs="Simplified Arabic"/>
          <w:sz w:val="20"/>
          <w:szCs w:val="20"/>
        </w:rPr>
      </w:pPr>
      <w:r w:rsidRPr="00242703">
        <w:rPr>
          <w:rFonts w:cs="Simplified Arabic"/>
          <w:sz w:val="20"/>
          <w:szCs w:val="20"/>
        </w:rPr>
        <w:t>Universitas Pelita Harapan</w:t>
      </w:r>
    </w:p>
    <w:p w14:paraId="482CE921" w14:textId="77777777" w:rsidR="007D1F15" w:rsidRDefault="005F4360" w:rsidP="007D1F15">
      <w:pPr>
        <w:widowControl w:val="0"/>
        <w:spacing w:after="0"/>
        <w:jc w:val="center"/>
        <w:rPr>
          <w:rFonts w:cs="Simplified Arabic"/>
          <w:sz w:val="20"/>
          <w:szCs w:val="20"/>
        </w:rPr>
      </w:pPr>
      <w:r w:rsidRPr="00242703">
        <w:rPr>
          <w:rFonts w:cs="Simplified Arabic"/>
          <w:sz w:val="20"/>
          <w:szCs w:val="20"/>
        </w:rPr>
        <w:t xml:space="preserve">15811, Tangerang Regency, Banten, Indonesia </w:t>
      </w:r>
    </w:p>
    <w:p w14:paraId="2ABA684F" w14:textId="51C9DCEA" w:rsidR="005F4360" w:rsidRPr="00242703" w:rsidRDefault="005F4360" w:rsidP="007D1F15">
      <w:pPr>
        <w:widowControl w:val="0"/>
        <w:spacing w:after="0"/>
        <w:jc w:val="center"/>
        <w:rPr>
          <w:rFonts w:cs="Simplified Arabic"/>
          <w:sz w:val="20"/>
          <w:szCs w:val="20"/>
        </w:rPr>
      </w:pPr>
      <w:hyperlink r:id="rId10" w:history="1">
        <w:r w:rsidRPr="00242703">
          <w:rPr>
            <w:rStyle w:val="Hyperlink"/>
            <w:rFonts w:cs="Simplified Arabic"/>
            <w:sz w:val="20"/>
            <w:szCs w:val="20"/>
          </w:rPr>
          <w:t>https://orcid.org/0009-0006-0889-9278</w:t>
        </w:r>
      </w:hyperlink>
    </w:p>
    <w:p w14:paraId="4C406894" w14:textId="77777777" w:rsidR="005F4360" w:rsidRPr="00242703" w:rsidRDefault="005F4360" w:rsidP="005F4360">
      <w:pPr>
        <w:widowControl w:val="0"/>
        <w:spacing w:after="0" w:line="240" w:lineRule="auto"/>
        <w:jc w:val="center"/>
        <w:rPr>
          <w:rFonts w:cs="Simplified Arabic"/>
          <w:sz w:val="20"/>
          <w:szCs w:val="20"/>
        </w:rPr>
      </w:pPr>
    </w:p>
    <w:p w14:paraId="5DF8D359" w14:textId="77777777" w:rsidR="005F4360" w:rsidRPr="00242703" w:rsidRDefault="005F4360" w:rsidP="005F4360">
      <w:pPr>
        <w:widowControl w:val="0"/>
        <w:spacing w:after="0" w:line="240" w:lineRule="auto"/>
        <w:jc w:val="center"/>
        <w:rPr>
          <w:rFonts w:cs="Simplified Arabic"/>
          <w:sz w:val="20"/>
          <w:szCs w:val="20"/>
        </w:rPr>
      </w:pPr>
      <w:r w:rsidRPr="00242703">
        <w:rPr>
          <w:rFonts w:cs="Simplified Arabic"/>
          <w:b/>
          <w:bCs/>
          <w:color w:val="000000" w:themeColor="text1"/>
          <w:sz w:val="20"/>
          <w:szCs w:val="20"/>
        </w:rPr>
        <w:t>Jerry Shalmont</w:t>
      </w:r>
    </w:p>
    <w:p w14:paraId="2DD0F884" w14:textId="77777777" w:rsidR="005F4360" w:rsidRPr="00242703" w:rsidRDefault="005F4360" w:rsidP="005F4360">
      <w:pPr>
        <w:widowControl w:val="0"/>
        <w:spacing w:after="0" w:line="240" w:lineRule="auto"/>
        <w:jc w:val="center"/>
        <w:rPr>
          <w:rFonts w:cs="Simplified Arabic"/>
          <w:sz w:val="20"/>
          <w:szCs w:val="20"/>
        </w:rPr>
      </w:pPr>
      <w:r w:rsidRPr="00242703">
        <w:rPr>
          <w:rFonts w:cs="Simplified Arabic"/>
          <w:sz w:val="20"/>
          <w:szCs w:val="20"/>
        </w:rPr>
        <w:t>Doctor of Law, Assistant Professor</w:t>
      </w:r>
    </w:p>
    <w:p w14:paraId="44DAAB1B" w14:textId="77777777" w:rsidR="005F4360" w:rsidRPr="00242703" w:rsidRDefault="005F4360" w:rsidP="005F4360">
      <w:pPr>
        <w:widowControl w:val="0"/>
        <w:spacing w:after="0"/>
        <w:jc w:val="center"/>
        <w:rPr>
          <w:rFonts w:cs="Simplified Arabic"/>
          <w:sz w:val="20"/>
          <w:szCs w:val="20"/>
        </w:rPr>
      </w:pPr>
      <w:r w:rsidRPr="00242703">
        <w:rPr>
          <w:rFonts w:cs="Simplified Arabic"/>
          <w:sz w:val="20"/>
          <w:szCs w:val="20"/>
        </w:rPr>
        <w:t>Universitas Pelita Harapan</w:t>
      </w:r>
    </w:p>
    <w:p w14:paraId="2C7E6764" w14:textId="77777777" w:rsidR="007D1F15" w:rsidRDefault="005F4360" w:rsidP="007D1F15">
      <w:pPr>
        <w:widowControl w:val="0"/>
        <w:spacing w:after="0"/>
        <w:jc w:val="center"/>
        <w:rPr>
          <w:rFonts w:cs="Simplified Arabic"/>
          <w:sz w:val="20"/>
          <w:szCs w:val="20"/>
        </w:rPr>
      </w:pPr>
      <w:r w:rsidRPr="00242703">
        <w:rPr>
          <w:rFonts w:cs="Simplified Arabic"/>
          <w:sz w:val="20"/>
          <w:szCs w:val="20"/>
        </w:rPr>
        <w:t xml:space="preserve">15811, Tangerang Regency, Banten, Indonesia </w:t>
      </w:r>
    </w:p>
    <w:p w14:paraId="084739B2" w14:textId="3FAB5F93" w:rsidR="005F4360" w:rsidRPr="00242703" w:rsidRDefault="005F4360" w:rsidP="007D1F15">
      <w:pPr>
        <w:widowControl w:val="0"/>
        <w:spacing w:after="0"/>
        <w:jc w:val="center"/>
        <w:rPr>
          <w:sz w:val="20"/>
          <w:szCs w:val="20"/>
        </w:rPr>
      </w:pPr>
      <w:hyperlink r:id="rId11" w:history="1">
        <w:r w:rsidRPr="00242703">
          <w:rPr>
            <w:rStyle w:val="Hyperlink"/>
            <w:sz w:val="20"/>
            <w:szCs w:val="20"/>
          </w:rPr>
          <w:t>https://orcid.org/0009-0003-0176-7529</w:t>
        </w:r>
      </w:hyperlink>
    </w:p>
    <w:p w14:paraId="2F7D0CD3" w14:textId="77777777" w:rsidR="005F4360" w:rsidRPr="00242703" w:rsidRDefault="005F4360" w:rsidP="005F4360">
      <w:pPr>
        <w:widowControl w:val="0"/>
        <w:spacing w:after="0" w:line="240" w:lineRule="auto"/>
        <w:jc w:val="center"/>
        <w:rPr>
          <w:rFonts w:cs="Simplified Arabic"/>
          <w:sz w:val="20"/>
          <w:szCs w:val="20"/>
          <w:vertAlign w:val="superscript"/>
        </w:rPr>
      </w:pPr>
    </w:p>
    <w:p w14:paraId="6B61C61A" w14:textId="77777777" w:rsidR="005F4360" w:rsidRPr="00242703" w:rsidRDefault="005F4360" w:rsidP="005F4360">
      <w:pPr>
        <w:widowControl w:val="0"/>
        <w:spacing w:after="0" w:line="240" w:lineRule="auto"/>
        <w:jc w:val="center"/>
        <w:rPr>
          <w:rFonts w:cs="Simplified Arabic"/>
          <w:sz w:val="20"/>
          <w:szCs w:val="20"/>
        </w:rPr>
      </w:pPr>
      <w:r w:rsidRPr="00242703">
        <w:rPr>
          <w:rFonts w:cs="Simplified Arabic"/>
          <w:b/>
          <w:bCs/>
          <w:color w:val="000000" w:themeColor="text1"/>
          <w:sz w:val="20"/>
          <w:szCs w:val="20"/>
        </w:rPr>
        <w:t>Christine Susanti</w:t>
      </w:r>
    </w:p>
    <w:p w14:paraId="20F9D047" w14:textId="77777777" w:rsidR="005F4360" w:rsidRPr="00242703" w:rsidRDefault="005F4360" w:rsidP="005F4360">
      <w:pPr>
        <w:widowControl w:val="0"/>
        <w:spacing w:after="0" w:line="240" w:lineRule="auto"/>
        <w:jc w:val="center"/>
        <w:rPr>
          <w:rFonts w:cs="Simplified Arabic"/>
          <w:sz w:val="20"/>
          <w:szCs w:val="20"/>
        </w:rPr>
      </w:pPr>
      <w:r w:rsidRPr="00242703">
        <w:rPr>
          <w:rFonts w:cs="Simplified Arabic"/>
          <w:sz w:val="20"/>
          <w:szCs w:val="20"/>
        </w:rPr>
        <w:t>Doctor of Law, Assistant Professor</w:t>
      </w:r>
    </w:p>
    <w:p w14:paraId="2AB7FEF3" w14:textId="77777777" w:rsidR="005F4360" w:rsidRPr="00242703" w:rsidRDefault="005F4360" w:rsidP="005F4360">
      <w:pPr>
        <w:widowControl w:val="0"/>
        <w:spacing w:after="0"/>
        <w:jc w:val="center"/>
        <w:rPr>
          <w:rFonts w:cs="Simplified Arabic"/>
          <w:sz w:val="20"/>
          <w:szCs w:val="20"/>
        </w:rPr>
      </w:pPr>
      <w:r w:rsidRPr="00242703">
        <w:rPr>
          <w:rFonts w:cs="Simplified Arabic"/>
          <w:sz w:val="20"/>
          <w:szCs w:val="20"/>
        </w:rPr>
        <w:t>Universitas Pelita Harapan</w:t>
      </w:r>
    </w:p>
    <w:p w14:paraId="0494C955" w14:textId="77777777" w:rsidR="007D1F15" w:rsidRDefault="005F4360" w:rsidP="007D1F15">
      <w:pPr>
        <w:widowControl w:val="0"/>
        <w:spacing w:after="0"/>
        <w:jc w:val="center"/>
        <w:rPr>
          <w:rFonts w:cs="Simplified Arabic"/>
          <w:sz w:val="20"/>
          <w:szCs w:val="20"/>
        </w:rPr>
      </w:pPr>
      <w:r w:rsidRPr="00242703">
        <w:rPr>
          <w:rFonts w:cs="Simplified Arabic"/>
          <w:sz w:val="20"/>
          <w:szCs w:val="20"/>
        </w:rPr>
        <w:t xml:space="preserve">15811, Tangerang Regency, Banten, Indonesia </w:t>
      </w:r>
    </w:p>
    <w:p w14:paraId="2A5CC880" w14:textId="2CE266F6" w:rsidR="005F4360" w:rsidRPr="00242703" w:rsidRDefault="005F4360" w:rsidP="007D1F15">
      <w:pPr>
        <w:widowControl w:val="0"/>
        <w:spacing w:after="0"/>
        <w:jc w:val="center"/>
        <w:rPr>
          <w:rFonts w:cs="Simplified Arabic"/>
          <w:sz w:val="20"/>
          <w:szCs w:val="20"/>
        </w:rPr>
      </w:pPr>
      <w:hyperlink r:id="rId12" w:history="1">
        <w:r w:rsidRPr="00242703">
          <w:rPr>
            <w:rStyle w:val="Hyperlink"/>
            <w:rFonts w:cs="Simplified Arabic"/>
            <w:sz w:val="20"/>
            <w:szCs w:val="20"/>
          </w:rPr>
          <w:t>https://orcid.org/0009-0002-4654-6124</w:t>
        </w:r>
      </w:hyperlink>
    </w:p>
    <w:p w14:paraId="09582499" w14:textId="77777777" w:rsidR="007F3577" w:rsidRPr="009537D3" w:rsidRDefault="007F3577" w:rsidP="005F4360">
      <w:pPr>
        <w:pStyle w:val="whitespace-normal"/>
        <w:spacing w:before="0" w:beforeAutospacing="0" w:after="0" w:afterAutospacing="0"/>
        <w:jc w:val="center"/>
        <w:rPr>
          <w:rStyle w:val="Strong"/>
          <w:rFonts w:eastAsiaTheme="majorEastAsia"/>
          <w:sz w:val="20"/>
          <w:szCs w:val="20"/>
          <w:lang w:val="en-US"/>
        </w:rPr>
      </w:pPr>
    </w:p>
    <w:p w14:paraId="711DE51E" w14:textId="052FEE54" w:rsidR="00715D32" w:rsidRPr="009537D3" w:rsidRDefault="009D0770" w:rsidP="00060BAD">
      <w:pPr>
        <w:pStyle w:val="whitespace-normal"/>
        <w:jc w:val="both"/>
        <w:rPr>
          <w:lang w:val="en-US"/>
        </w:rPr>
      </w:pPr>
      <w:r w:rsidRPr="009537D3">
        <w:rPr>
          <w:b/>
          <w:bCs/>
          <w:lang w:val="en-US"/>
        </w:rPr>
        <w:t xml:space="preserve">Abstract. </w:t>
      </w:r>
      <w:r w:rsidR="00B57A7D" w:rsidRPr="009537D3">
        <w:rPr>
          <w:b/>
          <w:bCs/>
          <w:lang w:val="en-US"/>
        </w:rPr>
        <w:t xml:space="preserve"> </w:t>
      </w:r>
      <w:r w:rsidR="00715D32" w:rsidRPr="009537D3">
        <w:rPr>
          <w:lang w:val="en-US"/>
        </w:rPr>
        <w:t xml:space="preserve">The pursuit of justice following mass atrocities presents persistent challenges in postcolonial societies. Conventional retributive and restorative justice models, often transplanted from Western legal traditions, frequently prove incompatible with local constitutional frameworks and cultural values. This study investigates Indonesia's concept of </w:t>
      </w:r>
      <w:proofErr w:type="spellStart"/>
      <w:r w:rsidR="00715D32" w:rsidRPr="009537D3">
        <w:rPr>
          <w:rStyle w:val="Emphasis"/>
          <w:rFonts w:eastAsiaTheme="majorEastAsia"/>
          <w:i w:val="0"/>
          <w:iCs w:val="0"/>
          <w:lang w:val="en-US"/>
        </w:rPr>
        <w:t>Keadilan</w:t>
      </w:r>
      <w:proofErr w:type="spellEnd"/>
      <w:r w:rsidR="00715D32" w:rsidRPr="009537D3">
        <w:rPr>
          <w:rStyle w:val="Emphasis"/>
          <w:rFonts w:eastAsiaTheme="majorEastAsia"/>
          <w:i w:val="0"/>
          <w:iCs w:val="0"/>
          <w:lang w:val="en-US"/>
        </w:rPr>
        <w:t xml:space="preserve"> </w:t>
      </w:r>
      <w:proofErr w:type="spellStart"/>
      <w:r w:rsidR="00715D32" w:rsidRPr="009537D3">
        <w:rPr>
          <w:rStyle w:val="Emphasis"/>
          <w:rFonts w:eastAsiaTheme="majorEastAsia"/>
          <w:i w:val="0"/>
          <w:iCs w:val="0"/>
          <w:lang w:val="en-US"/>
        </w:rPr>
        <w:t>Bermartabat</w:t>
      </w:r>
      <w:proofErr w:type="spellEnd"/>
      <w:r w:rsidR="00715D32" w:rsidRPr="009537D3">
        <w:rPr>
          <w:i/>
          <w:iCs/>
          <w:lang w:val="en-US"/>
        </w:rPr>
        <w:t xml:space="preserve"> </w:t>
      </w:r>
      <w:r w:rsidR="00715D32" w:rsidRPr="009537D3">
        <w:rPr>
          <w:lang w:val="en-US"/>
        </w:rPr>
        <w:t xml:space="preserve">(Dignified Justice) as a distinctive alternative approach to post-conflict justice. Through philosophical analysis, comparative legal examination, and detailed case study research within the Indonesian context, this investigation assesses how </w:t>
      </w:r>
      <w:proofErr w:type="spellStart"/>
      <w:r w:rsidR="00715D32" w:rsidRPr="009537D3">
        <w:rPr>
          <w:rStyle w:val="Emphasis"/>
          <w:rFonts w:eastAsiaTheme="majorEastAsia"/>
          <w:i w:val="0"/>
          <w:iCs w:val="0"/>
          <w:lang w:val="en-US"/>
        </w:rPr>
        <w:t>Keadilan</w:t>
      </w:r>
      <w:proofErr w:type="spellEnd"/>
      <w:r w:rsidR="00715D32" w:rsidRPr="009537D3">
        <w:rPr>
          <w:rStyle w:val="Emphasis"/>
          <w:rFonts w:eastAsiaTheme="majorEastAsia"/>
          <w:i w:val="0"/>
          <w:iCs w:val="0"/>
          <w:lang w:val="en-US"/>
        </w:rPr>
        <w:t xml:space="preserve"> </w:t>
      </w:r>
      <w:proofErr w:type="spellStart"/>
      <w:r w:rsidR="00715D32" w:rsidRPr="009537D3">
        <w:rPr>
          <w:rStyle w:val="Emphasis"/>
          <w:rFonts w:eastAsiaTheme="majorEastAsia"/>
          <w:i w:val="0"/>
          <w:iCs w:val="0"/>
          <w:lang w:val="en-US"/>
        </w:rPr>
        <w:t>Bermartabat</w:t>
      </w:r>
      <w:proofErr w:type="spellEnd"/>
      <w:r w:rsidR="00715D32" w:rsidRPr="009537D3">
        <w:rPr>
          <w:lang w:val="en-US"/>
        </w:rPr>
        <w:t xml:space="preserve"> functions as a framework rooted in </w:t>
      </w:r>
      <w:r w:rsidR="00715D32" w:rsidRPr="009537D3">
        <w:rPr>
          <w:rStyle w:val="Emphasis"/>
          <w:rFonts w:eastAsiaTheme="majorEastAsia"/>
          <w:i w:val="0"/>
          <w:iCs w:val="0"/>
          <w:lang w:val="en-US"/>
        </w:rPr>
        <w:t>Pancasila</w:t>
      </w:r>
      <w:r w:rsidR="00715D32" w:rsidRPr="009537D3">
        <w:rPr>
          <w:lang w:val="en-US"/>
        </w:rPr>
        <w:t xml:space="preserve"> state ideology. The model attempts to reconcile demands for accountability with imperatives for social reconciliation through application of the foundational principle </w:t>
      </w:r>
      <w:proofErr w:type="spellStart"/>
      <w:r w:rsidR="00715D32" w:rsidRPr="009537D3">
        <w:rPr>
          <w:rStyle w:val="Emphasis"/>
          <w:rFonts w:eastAsiaTheme="majorEastAsia"/>
          <w:i w:val="0"/>
          <w:iCs w:val="0"/>
          <w:lang w:val="en-US"/>
        </w:rPr>
        <w:t>memanusiakan</w:t>
      </w:r>
      <w:proofErr w:type="spellEnd"/>
      <w:r w:rsidR="00715D32" w:rsidRPr="009537D3">
        <w:rPr>
          <w:rStyle w:val="Emphasis"/>
          <w:rFonts w:eastAsiaTheme="majorEastAsia"/>
          <w:i w:val="0"/>
          <w:iCs w:val="0"/>
          <w:lang w:val="en-US"/>
        </w:rPr>
        <w:t xml:space="preserve"> </w:t>
      </w:r>
      <w:proofErr w:type="spellStart"/>
      <w:r w:rsidR="00715D32" w:rsidRPr="009537D3">
        <w:rPr>
          <w:rStyle w:val="Emphasis"/>
          <w:rFonts w:eastAsiaTheme="majorEastAsia"/>
          <w:i w:val="0"/>
          <w:iCs w:val="0"/>
          <w:lang w:val="en-US"/>
        </w:rPr>
        <w:t>manusia</w:t>
      </w:r>
      <w:proofErr w:type="spellEnd"/>
      <w:r w:rsidR="00715D32" w:rsidRPr="009537D3">
        <w:rPr>
          <w:lang w:val="en-US"/>
        </w:rPr>
        <w:t xml:space="preserve"> (humanizing human beings).</w:t>
      </w:r>
      <w:r w:rsidR="00525EB8" w:rsidRPr="009537D3">
        <w:rPr>
          <w:lang w:val="en-US"/>
        </w:rPr>
        <w:t xml:space="preserve"> </w:t>
      </w:r>
      <w:r w:rsidR="00715D32" w:rsidRPr="009537D3">
        <w:rPr>
          <w:lang w:val="en-US"/>
        </w:rPr>
        <w:t xml:space="preserve">The research demonstrates that conventional retributive mechanisms in Indonesia deteriorated into procedural formalism, while restorative justice initiatives frequently resulted in impunity for perpetrators. In contrast, </w:t>
      </w:r>
      <w:proofErr w:type="spellStart"/>
      <w:r w:rsidR="00715D32" w:rsidRPr="009537D3">
        <w:rPr>
          <w:rStyle w:val="Emphasis"/>
          <w:rFonts w:eastAsiaTheme="majorEastAsia"/>
          <w:i w:val="0"/>
          <w:iCs w:val="0"/>
          <w:lang w:val="en-US"/>
        </w:rPr>
        <w:t>Keadilan</w:t>
      </w:r>
      <w:proofErr w:type="spellEnd"/>
      <w:r w:rsidR="00715D32" w:rsidRPr="009537D3">
        <w:rPr>
          <w:rStyle w:val="Emphasis"/>
          <w:rFonts w:eastAsiaTheme="majorEastAsia"/>
          <w:i w:val="0"/>
          <w:iCs w:val="0"/>
          <w:lang w:val="en-US"/>
        </w:rPr>
        <w:t xml:space="preserve"> </w:t>
      </w:r>
      <w:proofErr w:type="spellStart"/>
      <w:r w:rsidR="00715D32" w:rsidRPr="009537D3">
        <w:rPr>
          <w:rStyle w:val="Emphasis"/>
          <w:rFonts w:eastAsiaTheme="majorEastAsia"/>
          <w:i w:val="0"/>
          <w:iCs w:val="0"/>
          <w:lang w:val="en-US"/>
        </w:rPr>
        <w:t>Bermartabat</w:t>
      </w:r>
      <w:proofErr w:type="spellEnd"/>
      <w:r w:rsidR="00715D32" w:rsidRPr="009537D3">
        <w:rPr>
          <w:lang w:val="en-US"/>
        </w:rPr>
        <w:t xml:space="preserve"> provides both normative consistency and practical application guidance. This framework operates through a dignity-centered evaluative standard applied across diverse legal domains, including corruption prosecutions, land rights disputes, constitutional adjudication, and environmental protection cases.</w:t>
      </w:r>
      <w:r w:rsidR="00525EB8" w:rsidRPr="009537D3">
        <w:rPr>
          <w:lang w:val="en-US"/>
        </w:rPr>
        <w:t xml:space="preserve"> </w:t>
      </w:r>
      <w:r w:rsidR="00715D32" w:rsidRPr="009537D3">
        <w:rPr>
          <w:lang w:val="en-US"/>
        </w:rPr>
        <w:t>Comparative analysis with Ubuntu jurisprudence in African legal systems and Buen Vivir principles in Latin American contexts reveals Indonesia's particular contribution to transitional justice theory. The research positions Indonesian jurisprudential innovation as simultaneously grounded in national constitutional and cultural foundations while offering broader theoretical relevance for comparative transitional justice scholarship.</w:t>
      </w:r>
    </w:p>
    <w:p w14:paraId="560C3AB5" w14:textId="5C9BDE7B" w:rsidR="00EE29E8" w:rsidRPr="009537D3" w:rsidRDefault="00EE29E8" w:rsidP="00B57A7D">
      <w:pPr>
        <w:pStyle w:val="whitespace-normal"/>
        <w:jc w:val="both"/>
        <w:rPr>
          <w:lang w:val="en-US"/>
        </w:rPr>
      </w:pPr>
      <w:r w:rsidRPr="009537D3">
        <w:rPr>
          <w:rStyle w:val="Strong"/>
          <w:rFonts w:eastAsiaTheme="majorEastAsia"/>
          <w:lang w:val="en-US"/>
        </w:rPr>
        <w:t>Keywords:</w:t>
      </w:r>
      <w:r w:rsidRPr="009537D3">
        <w:rPr>
          <w:lang w:val="en-US"/>
        </w:rPr>
        <w:t xml:space="preserve"> </w:t>
      </w:r>
      <w:proofErr w:type="spellStart"/>
      <w:r w:rsidRPr="009537D3">
        <w:rPr>
          <w:lang w:val="en-US"/>
        </w:rPr>
        <w:t>Keadilan</w:t>
      </w:r>
      <w:proofErr w:type="spellEnd"/>
      <w:r w:rsidRPr="009537D3">
        <w:rPr>
          <w:lang w:val="en-US"/>
        </w:rPr>
        <w:t xml:space="preserve"> </w:t>
      </w:r>
      <w:proofErr w:type="spellStart"/>
      <w:r w:rsidRPr="009537D3">
        <w:rPr>
          <w:lang w:val="en-US"/>
        </w:rPr>
        <w:t>Bermartabat</w:t>
      </w:r>
      <w:proofErr w:type="spellEnd"/>
      <w:r w:rsidRPr="009537D3">
        <w:rPr>
          <w:lang w:val="en-US"/>
        </w:rPr>
        <w:t>, Transitional Justice, Dignity, Retributive Justice, Restorative Justice, Pancasila.</w:t>
      </w:r>
    </w:p>
    <w:p w14:paraId="4D0D7D7B" w14:textId="5A3E043E" w:rsidR="00E95AA9" w:rsidRPr="009537D3" w:rsidRDefault="00031147" w:rsidP="00F0437B">
      <w:pPr>
        <w:rPr>
          <w:b/>
          <w:bCs/>
        </w:rPr>
      </w:pPr>
      <w:r w:rsidRPr="009537D3">
        <w:rPr>
          <w:b/>
          <w:bCs/>
        </w:rPr>
        <w:lastRenderedPageBreak/>
        <w:t>Introduction</w:t>
      </w:r>
    </w:p>
    <w:p w14:paraId="00A04BDA" w14:textId="2037B1E2" w:rsidR="00060BAD" w:rsidRPr="00A05A09" w:rsidRDefault="00060BAD" w:rsidP="00686FA1">
      <w:pPr>
        <w:pStyle w:val="whitespace-normal"/>
        <w:spacing w:before="0" w:beforeAutospacing="0" w:after="0" w:afterAutospacing="0" w:line="480" w:lineRule="auto"/>
        <w:ind w:firstLine="567"/>
        <w:jc w:val="both"/>
        <w:rPr>
          <w:sz w:val="22"/>
          <w:szCs w:val="22"/>
          <w:lang w:val="en-US"/>
        </w:rPr>
      </w:pPr>
      <w:r w:rsidRPr="00A05A09">
        <w:rPr>
          <w:sz w:val="22"/>
          <w:szCs w:val="22"/>
          <w:lang w:val="en-US"/>
        </w:rPr>
        <w:t>The question of how to achieve justice following mass atrocities represents a central challenge in contemporary legal and political scholarship. Societies emerging from periods of authoritarianism or violent conflict face the difficult</w:t>
      </w:r>
      <w:r w:rsidR="0038055A" w:rsidRPr="00A05A09">
        <w:rPr>
          <w:sz w:val="22"/>
          <w:szCs w:val="22"/>
          <w:lang w:val="en-US"/>
        </w:rPr>
        <w:t>y</w:t>
      </w:r>
      <w:r w:rsidRPr="00A05A09">
        <w:rPr>
          <w:sz w:val="22"/>
          <w:szCs w:val="22"/>
          <w:lang w:val="en-US"/>
        </w:rPr>
        <w:t xml:space="preserve"> of establishing mechanisms that can command both legitimacy and long-term viability. Two predominant approaches</w:t>
      </w:r>
      <w:r w:rsidR="0038055A" w:rsidRPr="00A05A09">
        <w:rPr>
          <w:sz w:val="22"/>
          <w:szCs w:val="22"/>
          <w:lang w:val="en-US"/>
        </w:rPr>
        <w:t xml:space="preserve"> originating in Western legal traditions</w:t>
      </w:r>
      <w:r w:rsidRPr="00A05A09">
        <w:rPr>
          <w:sz w:val="22"/>
          <w:szCs w:val="22"/>
          <w:lang w:val="en-US"/>
        </w:rPr>
        <w:t xml:space="preserve"> have shaped transitional justice practice worldwide: retributive and restorative models (Marder, 2022). </w:t>
      </w:r>
    </w:p>
    <w:p w14:paraId="617942C9" w14:textId="49A601CF" w:rsidR="00060BAD" w:rsidRPr="00A05A09" w:rsidRDefault="00060BAD" w:rsidP="00686FA1">
      <w:pPr>
        <w:pStyle w:val="whitespace-normal"/>
        <w:spacing w:before="0" w:beforeAutospacing="0" w:after="0" w:afterAutospacing="0" w:line="480" w:lineRule="auto"/>
        <w:ind w:firstLine="567"/>
        <w:jc w:val="both"/>
        <w:rPr>
          <w:sz w:val="22"/>
          <w:szCs w:val="22"/>
          <w:lang w:val="en-US"/>
        </w:rPr>
      </w:pPr>
      <w:r w:rsidRPr="00A05A09">
        <w:rPr>
          <w:sz w:val="22"/>
          <w:szCs w:val="22"/>
          <w:lang w:val="en-US"/>
        </w:rPr>
        <w:t xml:space="preserve">Retributive justice draws its theoretical foundation from landmark international tribunals, particularly Nuremberg and Tokyo, and emphasizes individual accountability through formal prosecution and punishment. However, in contexts where democratic institutions remain fragile, retributive processes frequently become instruments of political manipulation or deteriorate into empty procedural exercises. Restorative justice, exemplified most prominently by South Africa's Truth and Reconciliation Commission, prioritizes collective truth-telling and social healing over individual punishment. This approach nevertheless carries significant risks, particularly the potential erosion of victim rights when perpetrators avoid meaningful consequences for their actions (Farida, Habibi, &amp; </w:t>
      </w:r>
      <w:proofErr w:type="spellStart"/>
      <w:r w:rsidRPr="00A05A09">
        <w:rPr>
          <w:sz w:val="22"/>
          <w:szCs w:val="22"/>
          <w:lang w:val="en-US"/>
        </w:rPr>
        <w:t>Pramono</w:t>
      </w:r>
      <w:proofErr w:type="spellEnd"/>
      <w:r w:rsidRPr="00A05A09">
        <w:rPr>
          <w:sz w:val="22"/>
          <w:szCs w:val="22"/>
          <w:lang w:val="en-US"/>
        </w:rPr>
        <w:t xml:space="preserve">, 2025; </w:t>
      </w:r>
      <w:proofErr w:type="spellStart"/>
      <w:r w:rsidRPr="00A05A09">
        <w:rPr>
          <w:sz w:val="22"/>
          <w:szCs w:val="22"/>
          <w:lang w:val="en-US"/>
        </w:rPr>
        <w:t>Sulistiyanto</w:t>
      </w:r>
      <w:proofErr w:type="spellEnd"/>
      <w:r w:rsidRPr="00A05A09">
        <w:rPr>
          <w:sz w:val="22"/>
          <w:szCs w:val="22"/>
          <w:lang w:val="en-US"/>
        </w:rPr>
        <w:t>, 2021).</w:t>
      </w:r>
    </w:p>
    <w:p w14:paraId="2A79A634" w14:textId="017659A9" w:rsidR="00060BAD" w:rsidRPr="00A05A09" w:rsidRDefault="00060BAD" w:rsidP="00686FA1">
      <w:pPr>
        <w:pStyle w:val="whitespace-normal"/>
        <w:spacing w:before="0" w:beforeAutospacing="0" w:after="0" w:afterAutospacing="0" w:line="480" w:lineRule="auto"/>
        <w:ind w:firstLine="567"/>
        <w:jc w:val="both"/>
        <w:rPr>
          <w:sz w:val="22"/>
          <w:szCs w:val="22"/>
          <w:lang w:val="en-US"/>
        </w:rPr>
      </w:pPr>
      <w:r w:rsidRPr="00A05A09">
        <w:rPr>
          <w:sz w:val="22"/>
          <w:szCs w:val="22"/>
          <w:lang w:val="en-US"/>
        </w:rPr>
        <w:t>Indonesia's post-Suharto experience demonstrates these theoretical tensions in practice. Following the 1998 Reformasi, Indonesian authorities implemented a bifurcated strategy combining formal judicial mechanisms—Human Rights Courts and Ad Hoc tribunals—with extra-judicial institutions, notably the Truth and Reconciliation Commission (</w:t>
      </w:r>
      <w:proofErr w:type="spellStart"/>
      <w:r w:rsidRPr="00A05A09">
        <w:rPr>
          <w:sz w:val="22"/>
          <w:szCs w:val="22"/>
          <w:lang w:val="en-US"/>
        </w:rPr>
        <w:t>Komisi</w:t>
      </w:r>
      <w:proofErr w:type="spellEnd"/>
      <w:r w:rsidRPr="00A05A09">
        <w:rPr>
          <w:sz w:val="22"/>
          <w:szCs w:val="22"/>
          <w:lang w:val="en-US"/>
        </w:rPr>
        <w:t xml:space="preserve"> </w:t>
      </w:r>
      <w:proofErr w:type="spellStart"/>
      <w:r w:rsidRPr="00A05A09">
        <w:rPr>
          <w:sz w:val="22"/>
          <w:szCs w:val="22"/>
          <w:lang w:val="en-US"/>
        </w:rPr>
        <w:t>Kebenaran</w:t>
      </w:r>
      <w:proofErr w:type="spellEnd"/>
      <w:r w:rsidRPr="00A05A09">
        <w:rPr>
          <w:sz w:val="22"/>
          <w:szCs w:val="22"/>
          <w:lang w:val="en-US"/>
        </w:rPr>
        <w:t xml:space="preserve"> dan </w:t>
      </w:r>
      <w:proofErr w:type="spellStart"/>
      <w:r w:rsidRPr="00A05A09">
        <w:rPr>
          <w:sz w:val="22"/>
          <w:szCs w:val="22"/>
          <w:lang w:val="en-US"/>
        </w:rPr>
        <w:t>Rekonsiliasi</w:t>
      </w:r>
      <w:proofErr w:type="spellEnd"/>
      <w:r w:rsidRPr="00A05A09">
        <w:rPr>
          <w:sz w:val="22"/>
          <w:szCs w:val="22"/>
          <w:lang w:val="en-US"/>
        </w:rPr>
        <w:t xml:space="preserve">, KKR). Neither pathway achieved its intended objectives. The Human Rights Court proceedings addressing violations in East Timor and Tanjung </w:t>
      </w:r>
      <w:proofErr w:type="spellStart"/>
      <w:r w:rsidRPr="00A05A09">
        <w:rPr>
          <w:sz w:val="22"/>
          <w:szCs w:val="22"/>
          <w:lang w:val="en-US"/>
        </w:rPr>
        <w:t>Priok</w:t>
      </w:r>
      <w:proofErr w:type="spellEnd"/>
      <w:r w:rsidRPr="00A05A09">
        <w:rPr>
          <w:sz w:val="22"/>
          <w:szCs w:val="22"/>
          <w:lang w:val="en-US"/>
        </w:rPr>
        <w:t xml:space="preserve"> resulted in widespread acquittals and minimal accountability, severely damaging public confidence in judicial remedies (</w:t>
      </w:r>
      <w:proofErr w:type="spellStart"/>
      <w:r w:rsidRPr="00A05A09">
        <w:rPr>
          <w:sz w:val="22"/>
          <w:szCs w:val="22"/>
          <w:lang w:val="en-US"/>
        </w:rPr>
        <w:t>Saibih</w:t>
      </w:r>
      <w:proofErr w:type="spellEnd"/>
      <w:r w:rsidRPr="00A05A09">
        <w:rPr>
          <w:sz w:val="22"/>
          <w:szCs w:val="22"/>
          <w:lang w:val="en-US"/>
        </w:rPr>
        <w:t xml:space="preserve">, Daniel, Warman, &amp; </w:t>
      </w:r>
      <w:proofErr w:type="spellStart"/>
      <w:r w:rsidRPr="00A05A09">
        <w:rPr>
          <w:sz w:val="22"/>
          <w:szCs w:val="22"/>
          <w:lang w:val="en-US"/>
        </w:rPr>
        <w:t>Mulyati</w:t>
      </w:r>
      <w:proofErr w:type="spellEnd"/>
      <w:r w:rsidRPr="00A05A09">
        <w:rPr>
          <w:sz w:val="22"/>
          <w:szCs w:val="22"/>
          <w:lang w:val="en-US"/>
        </w:rPr>
        <w:t>, 2023). Simultaneously, the Constitutional Court dissolved the KKR following constitutional challenges and political opposition, preventing any meaningful truth-telling process (Farida et al., 2025). These failures cannot be attributed solely to institutional capacity deficits or political interference. Rather, the Indonesian experience suggests that transplanted justice models failed to establish meaningful connections with the country's distinct constitutional architecture and normative traditions.</w:t>
      </w:r>
    </w:p>
    <w:p w14:paraId="03CBD880" w14:textId="47AEC27C" w:rsidR="0073347D" w:rsidRPr="00A05A09" w:rsidRDefault="0073347D" w:rsidP="00686FA1">
      <w:pPr>
        <w:pStyle w:val="whitespace-normal"/>
        <w:spacing w:before="0" w:beforeAutospacing="0" w:after="0" w:afterAutospacing="0" w:line="480" w:lineRule="auto"/>
        <w:ind w:firstLine="567"/>
        <w:jc w:val="both"/>
        <w:rPr>
          <w:sz w:val="22"/>
          <w:szCs w:val="22"/>
          <w:lang w:val="en-US"/>
        </w:rPr>
      </w:pPr>
      <w:r w:rsidRPr="00A05A09">
        <w:rPr>
          <w:sz w:val="22"/>
          <w:szCs w:val="22"/>
          <w:lang w:val="en-US"/>
        </w:rPr>
        <w:t xml:space="preserve">Against this backdrop, </w:t>
      </w:r>
      <w:proofErr w:type="spellStart"/>
      <w:r w:rsidRPr="00A05A09">
        <w:rPr>
          <w:rStyle w:val="Emphasis"/>
          <w:rFonts w:eastAsiaTheme="majorEastAsia"/>
          <w:i w:val="0"/>
          <w:iCs w:val="0"/>
          <w:sz w:val="22"/>
          <w:szCs w:val="22"/>
          <w:lang w:val="en-US"/>
        </w:rPr>
        <w:t>Keadilan</w:t>
      </w:r>
      <w:proofErr w:type="spellEnd"/>
      <w:r w:rsidRPr="00A05A09">
        <w:rPr>
          <w:rStyle w:val="Emphasis"/>
          <w:rFonts w:eastAsiaTheme="majorEastAsia"/>
          <w:i w:val="0"/>
          <w:iCs w:val="0"/>
          <w:sz w:val="22"/>
          <w:szCs w:val="22"/>
          <w:lang w:val="en-US"/>
        </w:rPr>
        <w:t xml:space="preserve"> </w:t>
      </w:r>
      <w:proofErr w:type="spellStart"/>
      <w:r w:rsidRPr="00A05A09">
        <w:rPr>
          <w:rStyle w:val="Emphasis"/>
          <w:rFonts w:eastAsiaTheme="majorEastAsia"/>
          <w:i w:val="0"/>
          <w:iCs w:val="0"/>
          <w:sz w:val="22"/>
          <w:szCs w:val="22"/>
          <w:lang w:val="en-US"/>
        </w:rPr>
        <w:t>Bermartabat</w:t>
      </w:r>
      <w:proofErr w:type="spellEnd"/>
      <w:r w:rsidRPr="00A05A09">
        <w:rPr>
          <w:sz w:val="22"/>
          <w:szCs w:val="22"/>
          <w:lang w:val="en-US"/>
        </w:rPr>
        <w:t xml:space="preserve"> (Dignified Justice) proposes a jurisprudential framework grounded in </w:t>
      </w:r>
      <w:r w:rsidRPr="00A05A09">
        <w:rPr>
          <w:rStyle w:val="Emphasis"/>
          <w:rFonts w:eastAsiaTheme="majorEastAsia"/>
          <w:i w:val="0"/>
          <w:iCs w:val="0"/>
          <w:sz w:val="22"/>
          <w:szCs w:val="22"/>
          <w:lang w:val="en-US"/>
        </w:rPr>
        <w:t>Pancasila</w:t>
      </w:r>
      <w:r w:rsidRPr="00A05A09">
        <w:rPr>
          <w:i/>
          <w:iCs/>
          <w:sz w:val="22"/>
          <w:szCs w:val="22"/>
          <w:lang w:val="en-US"/>
        </w:rPr>
        <w:t>,</w:t>
      </w:r>
      <w:r w:rsidRPr="00A05A09">
        <w:rPr>
          <w:sz w:val="22"/>
          <w:szCs w:val="22"/>
          <w:lang w:val="en-US"/>
        </w:rPr>
        <w:t xml:space="preserve"> Indonesia's foundational constitutional philosophy (Mulyadi &amp; </w:t>
      </w:r>
      <w:proofErr w:type="spellStart"/>
      <w:r w:rsidRPr="00A05A09">
        <w:rPr>
          <w:sz w:val="22"/>
          <w:szCs w:val="22"/>
          <w:lang w:val="en-US"/>
        </w:rPr>
        <w:t>Prasetyo</w:t>
      </w:r>
      <w:proofErr w:type="spellEnd"/>
      <w:r w:rsidRPr="00A05A09">
        <w:rPr>
          <w:sz w:val="22"/>
          <w:szCs w:val="22"/>
          <w:lang w:val="en-US"/>
        </w:rPr>
        <w:t xml:space="preserve">, 2024; </w:t>
      </w:r>
      <w:proofErr w:type="spellStart"/>
      <w:r w:rsidRPr="00A05A09">
        <w:rPr>
          <w:sz w:val="22"/>
          <w:szCs w:val="22"/>
          <w:lang w:val="en-US"/>
        </w:rPr>
        <w:t>Disantara</w:t>
      </w:r>
      <w:proofErr w:type="spellEnd"/>
      <w:r w:rsidRPr="00A05A09">
        <w:rPr>
          <w:sz w:val="22"/>
          <w:szCs w:val="22"/>
          <w:lang w:val="en-US"/>
        </w:rPr>
        <w:t xml:space="preserve">, Firmansyah, &amp; Hartono, 2022). Moving beyond the constraints of legal positivism, this theoretical </w:t>
      </w:r>
      <w:r w:rsidRPr="00A05A09">
        <w:rPr>
          <w:sz w:val="22"/>
          <w:szCs w:val="22"/>
          <w:lang w:val="en-US"/>
        </w:rPr>
        <w:lastRenderedPageBreak/>
        <w:t xml:space="preserve">approach synthesizes the ontological, epistemological, and axiological dimensions of law through the central organizing principle of </w:t>
      </w:r>
      <w:proofErr w:type="spellStart"/>
      <w:r w:rsidRPr="00A05A09">
        <w:rPr>
          <w:rStyle w:val="Emphasis"/>
          <w:rFonts w:eastAsiaTheme="majorEastAsia"/>
          <w:sz w:val="22"/>
          <w:szCs w:val="22"/>
          <w:lang w:val="en-US"/>
        </w:rPr>
        <w:t>memanusiakan</w:t>
      </w:r>
      <w:proofErr w:type="spellEnd"/>
      <w:r w:rsidRPr="00A05A09">
        <w:rPr>
          <w:rStyle w:val="Emphasis"/>
          <w:rFonts w:eastAsiaTheme="majorEastAsia"/>
          <w:sz w:val="22"/>
          <w:szCs w:val="22"/>
          <w:lang w:val="en-US"/>
        </w:rPr>
        <w:t xml:space="preserve"> </w:t>
      </w:r>
      <w:proofErr w:type="spellStart"/>
      <w:r w:rsidRPr="00A05A09">
        <w:rPr>
          <w:rStyle w:val="Emphasis"/>
          <w:rFonts w:eastAsiaTheme="majorEastAsia"/>
          <w:sz w:val="22"/>
          <w:szCs w:val="22"/>
          <w:lang w:val="en-US"/>
        </w:rPr>
        <w:t>manusia</w:t>
      </w:r>
      <w:proofErr w:type="spellEnd"/>
      <w:r w:rsidRPr="00A05A09">
        <w:rPr>
          <w:sz w:val="22"/>
          <w:szCs w:val="22"/>
          <w:lang w:val="en-US"/>
        </w:rPr>
        <w:t xml:space="preserve"> (humanizing human beings). The framework seeks to reconcile three fundamental legal values: justice, utility, and legal certainty (Mulyadi &amp; </w:t>
      </w:r>
      <w:proofErr w:type="spellStart"/>
      <w:r w:rsidRPr="00A05A09">
        <w:rPr>
          <w:sz w:val="22"/>
          <w:szCs w:val="22"/>
          <w:lang w:val="en-US"/>
        </w:rPr>
        <w:t>Prasetyo</w:t>
      </w:r>
      <w:proofErr w:type="spellEnd"/>
      <w:r w:rsidRPr="00A05A09">
        <w:rPr>
          <w:sz w:val="22"/>
          <w:szCs w:val="22"/>
          <w:lang w:val="en-US"/>
        </w:rPr>
        <w:t>, 2024).</w:t>
      </w:r>
      <w:r w:rsidR="008A78B7" w:rsidRPr="00A05A09">
        <w:rPr>
          <w:sz w:val="22"/>
          <w:szCs w:val="22"/>
          <w:lang w:val="en-US"/>
        </w:rPr>
        <w:t xml:space="preserve"> </w:t>
      </w:r>
      <w:proofErr w:type="spellStart"/>
      <w:r w:rsidRPr="00A05A09">
        <w:rPr>
          <w:rStyle w:val="Emphasis"/>
          <w:rFonts w:eastAsiaTheme="majorEastAsia"/>
          <w:i w:val="0"/>
          <w:iCs w:val="0"/>
          <w:sz w:val="22"/>
          <w:szCs w:val="22"/>
          <w:lang w:val="en-US"/>
        </w:rPr>
        <w:t>Keadilan</w:t>
      </w:r>
      <w:proofErr w:type="spellEnd"/>
      <w:r w:rsidRPr="00A05A09">
        <w:rPr>
          <w:rStyle w:val="Emphasis"/>
          <w:rFonts w:eastAsiaTheme="majorEastAsia"/>
          <w:i w:val="0"/>
          <w:iCs w:val="0"/>
          <w:sz w:val="22"/>
          <w:szCs w:val="22"/>
          <w:lang w:val="en-US"/>
        </w:rPr>
        <w:t xml:space="preserve"> </w:t>
      </w:r>
      <w:proofErr w:type="spellStart"/>
      <w:r w:rsidRPr="00A05A09">
        <w:rPr>
          <w:rStyle w:val="Emphasis"/>
          <w:rFonts w:eastAsiaTheme="majorEastAsia"/>
          <w:i w:val="0"/>
          <w:iCs w:val="0"/>
          <w:sz w:val="22"/>
          <w:szCs w:val="22"/>
          <w:lang w:val="en-US"/>
        </w:rPr>
        <w:t>Bermartabat</w:t>
      </w:r>
      <w:proofErr w:type="spellEnd"/>
      <w:r w:rsidRPr="00A05A09">
        <w:rPr>
          <w:sz w:val="22"/>
          <w:szCs w:val="22"/>
          <w:lang w:val="en-US"/>
        </w:rPr>
        <w:t xml:space="preserve"> presents itself as an alternative pathway that avoids the documented shortcomings of both retributive and restorative models. Under this approach, accountability mechanisms need not degenerate into cycles of vengeance, nor must reconciliation processes necessarily result in impunity for perpetrators. By establishing its legitimacy through </w:t>
      </w:r>
      <w:r w:rsidRPr="00A05A09">
        <w:rPr>
          <w:rStyle w:val="Emphasis"/>
          <w:rFonts w:eastAsiaTheme="majorEastAsia"/>
          <w:i w:val="0"/>
          <w:iCs w:val="0"/>
          <w:sz w:val="22"/>
          <w:szCs w:val="22"/>
          <w:lang w:val="en-US"/>
        </w:rPr>
        <w:t>Pancasila</w:t>
      </w:r>
      <w:r w:rsidRPr="00A05A09">
        <w:rPr>
          <w:sz w:val="22"/>
          <w:szCs w:val="22"/>
          <w:lang w:val="en-US"/>
        </w:rPr>
        <w:t xml:space="preserve"> rather than borrowed conceptual frameworks, this model positions Indonesia as a generator rather than merely a consumer of jurisprudential innovation. The approach offers a distinctly postcolonial contribution to transitional justice theory that maintains national coherence while engaging constructively with international legal discourse (</w:t>
      </w:r>
      <w:proofErr w:type="spellStart"/>
      <w:r w:rsidRPr="00A05A09">
        <w:rPr>
          <w:sz w:val="22"/>
          <w:szCs w:val="22"/>
          <w:lang w:val="en-US"/>
        </w:rPr>
        <w:t>Sulistiyanto</w:t>
      </w:r>
      <w:proofErr w:type="spellEnd"/>
      <w:r w:rsidRPr="00A05A09">
        <w:rPr>
          <w:sz w:val="22"/>
          <w:szCs w:val="22"/>
          <w:lang w:val="en-US"/>
        </w:rPr>
        <w:t xml:space="preserve">, 2021; </w:t>
      </w:r>
      <w:proofErr w:type="spellStart"/>
      <w:r w:rsidRPr="00A05A09">
        <w:rPr>
          <w:sz w:val="22"/>
          <w:szCs w:val="22"/>
          <w:lang w:val="en-US"/>
        </w:rPr>
        <w:t>Wahyuningroem</w:t>
      </w:r>
      <w:proofErr w:type="spellEnd"/>
      <w:r w:rsidRPr="00A05A09">
        <w:rPr>
          <w:sz w:val="22"/>
          <w:szCs w:val="22"/>
          <w:lang w:val="en-US"/>
        </w:rPr>
        <w:t>, 2019).</w:t>
      </w:r>
    </w:p>
    <w:p w14:paraId="096B64DA" w14:textId="605CC605" w:rsidR="00A95A5E" w:rsidRPr="00A05A09" w:rsidRDefault="00A95A5E" w:rsidP="00686FA1">
      <w:pPr>
        <w:pStyle w:val="NormalWeb"/>
        <w:spacing w:before="0" w:beforeAutospacing="0" w:after="0" w:afterAutospacing="0" w:line="480" w:lineRule="auto"/>
        <w:ind w:firstLine="567"/>
        <w:jc w:val="both"/>
        <w:rPr>
          <w:sz w:val="22"/>
          <w:szCs w:val="22"/>
          <w:lang w:val="en-US"/>
        </w:rPr>
      </w:pPr>
      <w:r w:rsidRPr="00A05A09">
        <w:rPr>
          <w:sz w:val="22"/>
          <w:szCs w:val="22"/>
          <w:lang w:val="en-US"/>
        </w:rPr>
        <w:t xml:space="preserve">Although existing scholarship has examined </w:t>
      </w:r>
      <w:proofErr w:type="spellStart"/>
      <w:r w:rsidRPr="00A05A09">
        <w:rPr>
          <w:rStyle w:val="Emphasis"/>
          <w:rFonts w:eastAsiaTheme="majorEastAsia"/>
          <w:i w:val="0"/>
          <w:iCs w:val="0"/>
          <w:sz w:val="22"/>
          <w:szCs w:val="22"/>
          <w:lang w:val="en-US"/>
        </w:rPr>
        <w:t>Keadilan</w:t>
      </w:r>
      <w:proofErr w:type="spellEnd"/>
      <w:r w:rsidRPr="00A05A09">
        <w:rPr>
          <w:rStyle w:val="Emphasis"/>
          <w:rFonts w:eastAsiaTheme="majorEastAsia"/>
          <w:i w:val="0"/>
          <w:iCs w:val="0"/>
          <w:sz w:val="22"/>
          <w:szCs w:val="22"/>
          <w:lang w:val="en-US"/>
        </w:rPr>
        <w:t xml:space="preserve"> </w:t>
      </w:r>
      <w:proofErr w:type="spellStart"/>
      <w:r w:rsidRPr="00A05A09">
        <w:rPr>
          <w:rStyle w:val="Emphasis"/>
          <w:rFonts w:eastAsiaTheme="majorEastAsia"/>
          <w:i w:val="0"/>
          <w:iCs w:val="0"/>
          <w:sz w:val="22"/>
          <w:szCs w:val="22"/>
          <w:lang w:val="en-US"/>
        </w:rPr>
        <w:t>Bermartabat</w:t>
      </w:r>
      <w:proofErr w:type="spellEnd"/>
      <w:r w:rsidRPr="00A05A09">
        <w:rPr>
          <w:sz w:val="22"/>
          <w:szCs w:val="22"/>
          <w:lang w:val="en-US"/>
        </w:rPr>
        <w:t xml:space="preserve"> in contexts such as judicial reasoning, legislative review, and legal education, its comparative engagement with global transitional justice models remains limited (</w:t>
      </w:r>
      <w:proofErr w:type="spellStart"/>
      <w:r w:rsidRPr="00A05A09">
        <w:rPr>
          <w:sz w:val="22"/>
          <w:szCs w:val="22"/>
          <w:lang w:val="en-US"/>
        </w:rPr>
        <w:t>Prasetyo</w:t>
      </w:r>
      <w:proofErr w:type="spellEnd"/>
      <w:r w:rsidRPr="00A05A09">
        <w:rPr>
          <w:sz w:val="22"/>
          <w:szCs w:val="22"/>
          <w:lang w:val="en-US"/>
        </w:rPr>
        <w:t>, 2025). This study addresses that gap by pursuing the following objectives:</w:t>
      </w:r>
    </w:p>
    <w:p w14:paraId="7808B1C5" w14:textId="77777777" w:rsidR="00A95A5E" w:rsidRPr="00A05A09" w:rsidRDefault="00A95A5E" w:rsidP="00686FA1">
      <w:pPr>
        <w:pStyle w:val="NormalWeb"/>
        <w:numPr>
          <w:ilvl w:val="0"/>
          <w:numId w:val="11"/>
        </w:numPr>
        <w:spacing w:before="0" w:beforeAutospacing="0" w:after="0" w:afterAutospacing="0" w:line="480" w:lineRule="auto"/>
        <w:jc w:val="both"/>
        <w:rPr>
          <w:sz w:val="22"/>
          <w:szCs w:val="22"/>
          <w:lang w:val="en-US"/>
        </w:rPr>
      </w:pPr>
      <w:r w:rsidRPr="00A05A09">
        <w:rPr>
          <w:rStyle w:val="Strong"/>
          <w:rFonts w:eastAsiaTheme="majorEastAsia"/>
          <w:b w:val="0"/>
          <w:bCs w:val="0"/>
          <w:sz w:val="22"/>
          <w:szCs w:val="22"/>
          <w:lang w:val="en-US"/>
        </w:rPr>
        <w:t>To analyze</w:t>
      </w:r>
      <w:r w:rsidRPr="00A05A09">
        <w:rPr>
          <w:sz w:val="22"/>
          <w:szCs w:val="22"/>
          <w:lang w:val="en-US"/>
        </w:rPr>
        <w:t xml:space="preserve"> how </w:t>
      </w:r>
      <w:proofErr w:type="spellStart"/>
      <w:r w:rsidRPr="00A05A09">
        <w:rPr>
          <w:rStyle w:val="Emphasis"/>
          <w:rFonts w:eastAsiaTheme="majorEastAsia"/>
          <w:i w:val="0"/>
          <w:iCs w:val="0"/>
          <w:sz w:val="22"/>
          <w:szCs w:val="22"/>
          <w:lang w:val="en-US"/>
        </w:rPr>
        <w:t>Keadilan</w:t>
      </w:r>
      <w:proofErr w:type="spellEnd"/>
      <w:r w:rsidRPr="00A05A09">
        <w:rPr>
          <w:rStyle w:val="Emphasis"/>
          <w:rFonts w:eastAsiaTheme="majorEastAsia"/>
          <w:i w:val="0"/>
          <w:iCs w:val="0"/>
          <w:sz w:val="22"/>
          <w:szCs w:val="22"/>
          <w:lang w:val="en-US"/>
        </w:rPr>
        <w:t xml:space="preserve"> </w:t>
      </w:r>
      <w:proofErr w:type="spellStart"/>
      <w:r w:rsidRPr="00A05A09">
        <w:rPr>
          <w:rStyle w:val="Emphasis"/>
          <w:rFonts w:eastAsiaTheme="majorEastAsia"/>
          <w:i w:val="0"/>
          <w:iCs w:val="0"/>
          <w:sz w:val="22"/>
          <w:szCs w:val="22"/>
          <w:lang w:val="en-US"/>
        </w:rPr>
        <w:t>Bermartabat</w:t>
      </w:r>
      <w:proofErr w:type="spellEnd"/>
      <w:r w:rsidRPr="00A05A09">
        <w:rPr>
          <w:sz w:val="22"/>
          <w:szCs w:val="22"/>
          <w:lang w:val="en-US"/>
        </w:rPr>
        <w:t xml:space="preserve"> critiques and transcends conventional retributive and restorative paradigms;</w:t>
      </w:r>
    </w:p>
    <w:p w14:paraId="0098C3B6" w14:textId="77777777" w:rsidR="00A95A5E" w:rsidRPr="00A05A09" w:rsidRDefault="00A95A5E" w:rsidP="00686FA1">
      <w:pPr>
        <w:pStyle w:val="NormalWeb"/>
        <w:numPr>
          <w:ilvl w:val="0"/>
          <w:numId w:val="11"/>
        </w:numPr>
        <w:spacing w:before="0" w:beforeAutospacing="0" w:after="0" w:afterAutospacing="0" w:line="480" w:lineRule="auto"/>
        <w:jc w:val="both"/>
        <w:rPr>
          <w:sz w:val="22"/>
          <w:szCs w:val="22"/>
          <w:lang w:val="en-US"/>
        </w:rPr>
      </w:pPr>
      <w:r w:rsidRPr="00A05A09">
        <w:rPr>
          <w:rStyle w:val="Strong"/>
          <w:rFonts w:eastAsiaTheme="majorEastAsia"/>
          <w:b w:val="0"/>
          <w:bCs w:val="0"/>
          <w:sz w:val="22"/>
          <w:szCs w:val="22"/>
          <w:lang w:val="en-US"/>
        </w:rPr>
        <w:t>To elucidate</w:t>
      </w:r>
      <w:r w:rsidRPr="00A05A09">
        <w:rPr>
          <w:sz w:val="22"/>
          <w:szCs w:val="22"/>
          <w:lang w:val="en-US"/>
        </w:rPr>
        <w:t xml:space="preserve"> its grounding in </w:t>
      </w:r>
      <w:r w:rsidRPr="00A05A09">
        <w:rPr>
          <w:rStyle w:val="Emphasis"/>
          <w:rFonts w:eastAsiaTheme="majorEastAsia"/>
          <w:i w:val="0"/>
          <w:iCs w:val="0"/>
          <w:sz w:val="22"/>
          <w:szCs w:val="22"/>
          <w:lang w:val="en-US"/>
        </w:rPr>
        <w:t>Pancasila</w:t>
      </w:r>
      <w:r w:rsidRPr="00A05A09">
        <w:rPr>
          <w:sz w:val="22"/>
          <w:szCs w:val="22"/>
          <w:lang w:val="en-US"/>
        </w:rPr>
        <w:t xml:space="preserve"> as a jurisprudence of dignity distinctive to Indonesia;</w:t>
      </w:r>
    </w:p>
    <w:p w14:paraId="7F98DB61" w14:textId="77777777" w:rsidR="00A95A5E" w:rsidRPr="00A05A09" w:rsidRDefault="00A95A5E" w:rsidP="00686FA1">
      <w:pPr>
        <w:pStyle w:val="NormalWeb"/>
        <w:numPr>
          <w:ilvl w:val="0"/>
          <w:numId w:val="11"/>
        </w:numPr>
        <w:spacing w:before="0" w:beforeAutospacing="0" w:after="0" w:afterAutospacing="0" w:line="480" w:lineRule="auto"/>
        <w:jc w:val="both"/>
        <w:rPr>
          <w:sz w:val="22"/>
          <w:szCs w:val="22"/>
          <w:lang w:val="en-US"/>
        </w:rPr>
      </w:pPr>
      <w:r w:rsidRPr="00A05A09">
        <w:rPr>
          <w:rStyle w:val="Strong"/>
          <w:rFonts w:eastAsiaTheme="majorEastAsia"/>
          <w:b w:val="0"/>
          <w:bCs w:val="0"/>
          <w:sz w:val="22"/>
          <w:szCs w:val="22"/>
          <w:lang w:val="en-US"/>
        </w:rPr>
        <w:t>To assess</w:t>
      </w:r>
      <w:r w:rsidRPr="00A05A09">
        <w:rPr>
          <w:b/>
          <w:bCs/>
          <w:sz w:val="22"/>
          <w:szCs w:val="22"/>
          <w:lang w:val="en-US"/>
        </w:rPr>
        <w:t xml:space="preserve"> </w:t>
      </w:r>
      <w:r w:rsidRPr="00A05A09">
        <w:rPr>
          <w:sz w:val="22"/>
          <w:szCs w:val="22"/>
          <w:lang w:val="en-US"/>
        </w:rPr>
        <w:t>its potential contributions to global postcolonial legal thought and transitional justice debates.</w:t>
      </w:r>
    </w:p>
    <w:p w14:paraId="22A88402" w14:textId="77777777" w:rsidR="00A95A5E" w:rsidRPr="00A05A09" w:rsidRDefault="00A95A5E" w:rsidP="00686FA1">
      <w:pPr>
        <w:pStyle w:val="NormalWeb"/>
        <w:spacing w:before="0" w:beforeAutospacing="0" w:after="0" w:afterAutospacing="0" w:line="480" w:lineRule="auto"/>
        <w:ind w:firstLine="284"/>
        <w:jc w:val="both"/>
        <w:rPr>
          <w:sz w:val="22"/>
          <w:szCs w:val="22"/>
          <w:lang w:val="en-US"/>
        </w:rPr>
      </w:pPr>
    </w:p>
    <w:p w14:paraId="6DA93815" w14:textId="6768A979" w:rsidR="006B7349" w:rsidRPr="00A05A09" w:rsidRDefault="006B7349" w:rsidP="00686FA1">
      <w:pPr>
        <w:pStyle w:val="NormalWeb"/>
        <w:spacing w:before="0" w:beforeAutospacing="0" w:after="0" w:afterAutospacing="0" w:line="480" w:lineRule="auto"/>
        <w:jc w:val="both"/>
        <w:rPr>
          <w:b/>
          <w:bCs/>
          <w:sz w:val="22"/>
          <w:szCs w:val="22"/>
          <w:lang w:val="en-US"/>
        </w:rPr>
      </w:pPr>
      <w:r w:rsidRPr="00A05A09">
        <w:rPr>
          <w:b/>
          <w:bCs/>
          <w:sz w:val="22"/>
          <w:szCs w:val="22"/>
          <w:lang w:val="en-US"/>
        </w:rPr>
        <w:t>Materials and Method</w:t>
      </w:r>
    </w:p>
    <w:p w14:paraId="264AF280" w14:textId="77777777" w:rsidR="00A428BA" w:rsidRPr="00A05A09" w:rsidRDefault="00A428BA" w:rsidP="00686FA1">
      <w:pPr>
        <w:pStyle w:val="NormalWeb"/>
        <w:spacing w:before="0" w:beforeAutospacing="0" w:after="0" w:afterAutospacing="0" w:line="480" w:lineRule="auto"/>
        <w:jc w:val="both"/>
        <w:rPr>
          <w:b/>
          <w:bCs/>
          <w:sz w:val="22"/>
          <w:szCs w:val="22"/>
          <w:lang w:val="en-US"/>
        </w:rPr>
      </w:pPr>
    </w:p>
    <w:p w14:paraId="4C432130" w14:textId="202A55A8" w:rsidR="000F6F5E" w:rsidRPr="00A05A09" w:rsidRDefault="000F6F5E" w:rsidP="00686FA1">
      <w:pPr>
        <w:pStyle w:val="NormalWeb"/>
        <w:spacing w:before="0" w:beforeAutospacing="0" w:after="0" w:afterAutospacing="0" w:line="480" w:lineRule="auto"/>
        <w:ind w:firstLine="567"/>
        <w:jc w:val="both"/>
        <w:rPr>
          <w:b/>
          <w:bCs/>
          <w:sz w:val="22"/>
          <w:szCs w:val="22"/>
          <w:lang w:val="en-US"/>
        </w:rPr>
      </w:pPr>
      <w:r w:rsidRPr="00A05A09">
        <w:rPr>
          <w:sz w:val="22"/>
          <w:szCs w:val="22"/>
          <w:lang w:val="en-US"/>
        </w:rPr>
        <w:t xml:space="preserve">This investigation employed a normative-qualitative methodology, combining philosophical analysis with comparative legal examination and case study research. The methodological design reflects the study's central premise that Indonesia's transitional justice challenges stem </w:t>
      </w:r>
      <w:r w:rsidR="0038055A" w:rsidRPr="00A05A09">
        <w:rPr>
          <w:sz w:val="22"/>
          <w:szCs w:val="22"/>
          <w:lang w:val="en-US"/>
        </w:rPr>
        <w:t>from institutional deficiencies and</w:t>
      </w:r>
      <w:r w:rsidRPr="00A05A09">
        <w:rPr>
          <w:sz w:val="22"/>
          <w:szCs w:val="22"/>
          <w:lang w:val="en-US"/>
        </w:rPr>
        <w:t xml:space="preserve"> fundamental normative disconnections between imported justice models and the country's constitutional foundations.</w:t>
      </w:r>
    </w:p>
    <w:p w14:paraId="786710BB" w14:textId="0E48FD68" w:rsidR="000F6F5E" w:rsidRPr="00A05A09" w:rsidRDefault="004D18E2" w:rsidP="00686FA1">
      <w:pPr>
        <w:pStyle w:val="NormalWeb"/>
        <w:spacing w:before="0" w:beforeAutospacing="0" w:after="0" w:afterAutospacing="0" w:line="480" w:lineRule="auto"/>
        <w:ind w:firstLine="567"/>
        <w:jc w:val="both"/>
        <w:rPr>
          <w:sz w:val="22"/>
          <w:szCs w:val="22"/>
          <w:lang w:val="en-US"/>
        </w:rPr>
      </w:pPr>
      <w:r w:rsidRPr="00A05A09">
        <w:rPr>
          <w:sz w:val="22"/>
          <w:szCs w:val="22"/>
          <w:lang w:val="en-US"/>
        </w:rPr>
        <w:t xml:space="preserve">The philosophical component examined </w:t>
      </w:r>
      <w:proofErr w:type="spellStart"/>
      <w:r w:rsidRPr="00A05A09">
        <w:rPr>
          <w:rStyle w:val="Emphasis"/>
          <w:rFonts w:eastAsiaTheme="majorEastAsia"/>
          <w:i w:val="0"/>
          <w:iCs w:val="0"/>
          <w:sz w:val="22"/>
          <w:szCs w:val="22"/>
          <w:lang w:val="en-US"/>
        </w:rPr>
        <w:t>Keadilan</w:t>
      </w:r>
      <w:proofErr w:type="spellEnd"/>
      <w:r w:rsidRPr="00A05A09">
        <w:rPr>
          <w:rStyle w:val="Emphasis"/>
          <w:rFonts w:eastAsiaTheme="majorEastAsia"/>
          <w:i w:val="0"/>
          <w:iCs w:val="0"/>
          <w:sz w:val="22"/>
          <w:szCs w:val="22"/>
          <w:lang w:val="en-US"/>
        </w:rPr>
        <w:t xml:space="preserve"> </w:t>
      </w:r>
      <w:proofErr w:type="spellStart"/>
      <w:r w:rsidRPr="00A05A09">
        <w:rPr>
          <w:rStyle w:val="Emphasis"/>
          <w:rFonts w:eastAsiaTheme="majorEastAsia"/>
          <w:i w:val="0"/>
          <w:iCs w:val="0"/>
          <w:sz w:val="22"/>
          <w:szCs w:val="22"/>
          <w:lang w:val="en-US"/>
        </w:rPr>
        <w:t>Bermartabat</w:t>
      </w:r>
      <w:proofErr w:type="spellEnd"/>
      <w:r w:rsidR="00A20CA7" w:rsidRPr="00A05A09">
        <w:rPr>
          <w:sz w:val="22"/>
          <w:szCs w:val="22"/>
          <w:lang w:val="en-US"/>
        </w:rPr>
        <w:t xml:space="preserve"> </w:t>
      </w:r>
      <w:r w:rsidR="0038055A" w:rsidRPr="00A05A09">
        <w:rPr>
          <w:sz w:val="22"/>
          <w:szCs w:val="22"/>
          <w:lang w:val="en-US"/>
        </w:rPr>
        <w:t>particularly on how the</w:t>
      </w:r>
      <w:r w:rsidRPr="00A05A09">
        <w:rPr>
          <w:sz w:val="22"/>
          <w:szCs w:val="22"/>
          <w:lang w:val="en-US"/>
        </w:rPr>
        <w:t xml:space="preserve"> </w:t>
      </w:r>
      <w:proofErr w:type="spellStart"/>
      <w:r w:rsidRPr="00A05A09">
        <w:rPr>
          <w:rStyle w:val="Emphasis"/>
          <w:rFonts w:eastAsiaTheme="majorEastAsia"/>
          <w:sz w:val="22"/>
          <w:szCs w:val="22"/>
          <w:lang w:val="en-US"/>
        </w:rPr>
        <w:t>memanusiakan</w:t>
      </w:r>
      <w:proofErr w:type="spellEnd"/>
      <w:r w:rsidRPr="00A05A09">
        <w:rPr>
          <w:rStyle w:val="Emphasis"/>
          <w:rFonts w:eastAsiaTheme="majorEastAsia"/>
          <w:sz w:val="22"/>
          <w:szCs w:val="22"/>
          <w:lang w:val="en-US"/>
        </w:rPr>
        <w:t xml:space="preserve"> </w:t>
      </w:r>
      <w:proofErr w:type="spellStart"/>
      <w:r w:rsidRPr="00A05A09">
        <w:rPr>
          <w:rStyle w:val="Emphasis"/>
          <w:rFonts w:eastAsiaTheme="majorEastAsia"/>
          <w:sz w:val="22"/>
          <w:szCs w:val="22"/>
          <w:lang w:val="en-US"/>
        </w:rPr>
        <w:t>manusia</w:t>
      </w:r>
      <w:proofErr w:type="spellEnd"/>
      <w:r w:rsidRPr="00A05A09">
        <w:rPr>
          <w:sz w:val="22"/>
          <w:szCs w:val="22"/>
          <w:lang w:val="en-US"/>
        </w:rPr>
        <w:t xml:space="preserve"> functions as </w:t>
      </w:r>
      <w:proofErr w:type="spellStart"/>
      <w:proofErr w:type="gramStart"/>
      <w:r w:rsidRPr="00A05A09">
        <w:rPr>
          <w:sz w:val="22"/>
          <w:szCs w:val="22"/>
          <w:lang w:val="en-US"/>
        </w:rPr>
        <w:t>a</w:t>
      </w:r>
      <w:proofErr w:type="spellEnd"/>
      <w:proofErr w:type="gramEnd"/>
      <w:r w:rsidRPr="00A05A09">
        <w:rPr>
          <w:sz w:val="22"/>
          <w:szCs w:val="22"/>
          <w:lang w:val="en-US"/>
        </w:rPr>
        <w:t xml:space="preserve"> organizing concept within Indonesian jurisprudence. This approach proved necessary because conventional institutional analyses inadequately explain why both retributive and restorative </w:t>
      </w:r>
      <w:r w:rsidRPr="00A05A09">
        <w:rPr>
          <w:sz w:val="22"/>
          <w:szCs w:val="22"/>
          <w:lang w:val="en-US"/>
        </w:rPr>
        <w:lastRenderedPageBreak/>
        <w:t xml:space="preserve">mechanisms have failed to gain traction in Indonesia's post-Suharto context. Philosophical inquiry enabled examination of how justice, utility, and legal certainty operate within </w:t>
      </w:r>
      <w:r w:rsidRPr="00A05A09">
        <w:rPr>
          <w:rStyle w:val="Emphasis"/>
          <w:rFonts w:eastAsiaTheme="majorEastAsia"/>
          <w:sz w:val="22"/>
          <w:szCs w:val="22"/>
          <w:lang w:val="en-US"/>
        </w:rPr>
        <w:t>Pancasila</w:t>
      </w:r>
      <w:r w:rsidRPr="00A05A09">
        <w:rPr>
          <w:sz w:val="22"/>
          <w:szCs w:val="22"/>
          <w:lang w:val="en-US"/>
        </w:rPr>
        <w:t>'s normative framework, revealing the ontological, epistemological, and axiological dimensions that distinguish Indonesian legal reasoning from its Western counterparts (</w:t>
      </w:r>
      <w:proofErr w:type="spellStart"/>
      <w:r w:rsidRPr="00A05A09">
        <w:rPr>
          <w:sz w:val="22"/>
          <w:szCs w:val="22"/>
          <w:lang w:val="en-US"/>
        </w:rPr>
        <w:t>Dimyati</w:t>
      </w:r>
      <w:proofErr w:type="spellEnd"/>
      <w:r w:rsidRPr="00A05A09">
        <w:rPr>
          <w:sz w:val="22"/>
          <w:szCs w:val="22"/>
          <w:lang w:val="en-US"/>
        </w:rPr>
        <w:t>, 2021; Fenton, 2024).</w:t>
      </w:r>
    </w:p>
    <w:p w14:paraId="795E90A3" w14:textId="4833ACF7" w:rsidR="007A0CDE" w:rsidRPr="00A05A09" w:rsidRDefault="007A0CDE" w:rsidP="00686FA1">
      <w:pPr>
        <w:pStyle w:val="whitespace-normal"/>
        <w:spacing w:before="0" w:beforeAutospacing="0" w:after="0" w:afterAutospacing="0" w:line="480" w:lineRule="auto"/>
        <w:ind w:firstLine="567"/>
        <w:jc w:val="both"/>
        <w:rPr>
          <w:sz w:val="22"/>
          <w:szCs w:val="22"/>
          <w:lang w:val="en-US"/>
        </w:rPr>
      </w:pPr>
      <w:r w:rsidRPr="00A05A09">
        <w:rPr>
          <w:sz w:val="22"/>
          <w:szCs w:val="22"/>
          <w:lang w:val="en-US"/>
        </w:rPr>
        <w:t>The research situated Indonesian developments within broader postcolonial jurisprudential movements through structured comparison with Ubuntu philosophy in African legal systems and Buen Vivir principles in Latin American contexts. These frameworks were selected based on their prominence as non-Western approaches to justice that similarly attempt to transcend conventional retributive-restorative binaries.</w:t>
      </w:r>
      <w:r w:rsidR="00D30374" w:rsidRPr="00A05A09">
        <w:rPr>
          <w:sz w:val="22"/>
          <w:szCs w:val="22"/>
          <w:lang w:val="en-US"/>
        </w:rPr>
        <w:t xml:space="preserve"> </w:t>
      </w:r>
      <w:r w:rsidRPr="00A05A09">
        <w:rPr>
          <w:sz w:val="22"/>
          <w:szCs w:val="22"/>
          <w:lang w:val="en-US"/>
        </w:rPr>
        <w:t xml:space="preserve">The comparative analysis revealed significant differences in how dignity operates across these contexts. Ubuntu emphasizes communal harmony and relational healing, prioritizing collective reconciliation over individual accountability. Buen Vivir expands justice concepts to encompass ecological relationships and environmental rights. </w:t>
      </w:r>
      <w:proofErr w:type="spellStart"/>
      <w:r w:rsidRPr="00A05A09">
        <w:rPr>
          <w:rStyle w:val="Emphasis"/>
          <w:rFonts w:eastAsiaTheme="majorEastAsia"/>
          <w:i w:val="0"/>
          <w:iCs w:val="0"/>
          <w:sz w:val="22"/>
          <w:szCs w:val="22"/>
          <w:lang w:val="en-US"/>
        </w:rPr>
        <w:t>Keadilan</w:t>
      </w:r>
      <w:proofErr w:type="spellEnd"/>
      <w:r w:rsidRPr="00A05A09">
        <w:rPr>
          <w:rStyle w:val="Emphasis"/>
          <w:rFonts w:eastAsiaTheme="majorEastAsia"/>
          <w:i w:val="0"/>
          <w:iCs w:val="0"/>
          <w:sz w:val="22"/>
          <w:szCs w:val="22"/>
          <w:lang w:val="en-US"/>
        </w:rPr>
        <w:t xml:space="preserve"> </w:t>
      </w:r>
      <w:proofErr w:type="spellStart"/>
      <w:r w:rsidRPr="00A05A09">
        <w:rPr>
          <w:rStyle w:val="Emphasis"/>
          <w:rFonts w:eastAsiaTheme="majorEastAsia"/>
          <w:i w:val="0"/>
          <w:iCs w:val="0"/>
          <w:sz w:val="22"/>
          <w:szCs w:val="22"/>
          <w:lang w:val="en-US"/>
        </w:rPr>
        <w:t>Bermartabat</w:t>
      </w:r>
      <w:proofErr w:type="spellEnd"/>
      <w:r w:rsidRPr="00A05A09">
        <w:rPr>
          <w:sz w:val="22"/>
          <w:szCs w:val="22"/>
          <w:lang w:val="en-US"/>
        </w:rPr>
        <w:t>, by contrast, maintains constitutional grounding while integrating accountability mechanisms with reconciliation processes. This comparative method illuminated Indonesia's particular contribution to transitional justice theory while avoiding both Ubuntu's potential subordination of accountability to harmony and Buen Vivir's expansion into ecological abstraction (</w:t>
      </w:r>
      <w:proofErr w:type="spellStart"/>
      <w:r w:rsidRPr="00A05A09">
        <w:rPr>
          <w:sz w:val="22"/>
          <w:szCs w:val="22"/>
          <w:lang w:val="en-US"/>
        </w:rPr>
        <w:t>Krotoszyński</w:t>
      </w:r>
      <w:proofErr w:type="spellEnd"/>
      <w:r w:rsidRPr="00A05A09">
        <w:rPr>
          <w:sz w:val="22"/>
          <w:szCs w:val="22"/>
          <w:lang w:val="en-US"/>
        </w:rPr>
        <w:t xml:space="preserve">, 2019; </w:t>
      </w:r>
      <w:proofErr w:type="spellStart"/>
      <w:r w:rsidRPr="00A05A09">
        <w:rPr>
          <w:sz w:val="22"/>
          <w:szCs w:val="22"/>
          <w:lang w:val="en-US"/>
        </w:rPr>
        <w:t>Ntlapo</w:t>
      </w:r>
      <w:proofErr w:type="spellEnd"/>
      <w:r w:rsidRPr="00A05A09">
        <w:rPr>
          <w:sz w:val="22"/>
          <w:szCs w:val="22"/>
          <w:lang w:val="en-US"/>
        </w:rPr>
        <w:t xml:space="preserve">, 2022; </w:t>
      </w:r>
      <w:proofErr w:type="spellStart"/>
      <w:r w:rsidRPr="00A05A09">
        <w:rPr>
          <w:sz w:val="22"/>
          <w:szCs w:val="22"/>
          <w:lang w:val="en-US"/>
        </w:rPr>
        <w:t>Fatigato</w:t>
      </w:r>
      <w:proofErr w:type="spellEnd"/>
      <w:r w:rsidRPr="00A05A09">
        <w:rPr>
          <w:sz w:val="22"/>
          <w:szCs w:val="22"/>
          <w:lang w:val="en-US"/>
        </w:rPr>
        <w:t>, 2023).</w:t>
      </w:r>
    </w:p>
    <w:p w14:paraId="5A22A53B" w14:textId="276CB2F9" w:rsidR="00D30374" w:rsidRPr="00A05A09" w:rsidRDefault="00D30374" w:rsidP="00686FA1">
      <w:pPr>
        <w:pStyle w:val="whitespace-normal"/>
        <w:spacing w:before="0" w:beforeAutospacing="0" w:after="0" w:afterAutospacing="0" w:line="480" w:lineRule="auto"/>
        <w:ind w:firstLine="567"/>
        <w:jc w:val="both"/>
        <w:rPr>
          <w:sz w:val="22"/>
          <w:szCs w:val="22"/>
          <w:lang w:val="en-US"/>
        </w:rPr>
      </w:pPr>
      <w:r w:rsidRPr="00A05A09">
        <w:rPr>
          <w:sz w:val="22"/>
          <w:szCs w:val="22"/>
          <w:lang w:val="en-US"/>
        </w:rPr>
        <w:t xml:space="preserve">The study examined specific judicial and legislative decisions to demonstrate practical applications of competing justice paradigms. Selected cases included Human Rights Court proceedings addressing East Timor and Tanjung </w:t>
      </w:r>
      <w:proofErr w:type="spellStart"/>
      <w:r w:rsidRPr="00A05A09">
        <w:rPr>
          <w:sz w:val="22"/>
          <w:szCs w:val="22"/>
          <w:lang w:val="en-US"/>
        </w:rPr>
        <w:t>Priok</w:t>
      </w:r>
      <w:proofErr w:type="spellEnd"/>
      <w:r w:rsidRPr="00A05A09">
        <w:rPr>
          <w:sz w:val="22"/>
          <w:szCs w:val="22"/>
          <w:lang w:val="en-US"/>
        </w:rPr>
        <w:t xml:space="preserve"> violations, the Constitutional Court's Job Creation Law decision (No. 91/PUU-XVIII/2020), the Supreme Court's corruption ruling (No. 2893K/</w:t>
      </w:r>
      <w:proofErr w:type="spellStart"/>
      <w:r w:rsidRPr="00A05A09">
        <w:rPr>
          <w:sz w:val="22"/>
          <w:szCs w:val="22"/>
          <w:lang w:val="en-US"/>
        </w:rPr>
        <w:t>Pid.Sus</w:t>
      </w:r>
      <w:proofErr w:type="spellEnd"/>
      <w:r w:rsidRPr="00A05A09">
        <w:rPr>
          <w:sz w:val="22"/>
          <w:szCs w:val="22"/>
          <w:lang w:val="en-US"/>
        </w:rPr>
        <w:t xml:space="preserve">/2017), and environmental litigation exemplified by </w:t>
      </w:r>
      <w:r w:rsidRPr="00A05A09">
        <w:rPr>
          <w:rStyle w:val="Emphasis"/>
          <w:rFonts w:eastAsiaTheme="majorEastAsia"/>
          <w:i w:val="0"/>
          <w:iCs w:val="0"/>
          <w:sz w:val="22"/>
          <w:szCs w:val="22"/>
          <w:lang w:val="en-US"/>
        </w:rPr>
        <w:t xml:space="preserve">Kementerian LHK v. PT Bumi </w:t>
      </w:r>
      <w:proofErr w:type="spellStart"/>
      <w:r w:rsidRPr="00A05A09">
        <w:rPr>
          <w:rStyle w:val="Emphasis"/>
          <w:rFonts w:eastAsiaTheme="majorEastAsia"/>
          <w:i w:val="0"/>
          <w:iCs w:val="0"/>
          <w:sz w:val="22"/>
          <w:szCs w:val="22"/>
          <w:lang w:val="en-US"/>
        </w:rPr>
        <w:t>Mekar</w:t>
      </w:r>
      <w:proofErr w:type="spellEnd"/>
      <w:r w:rsidRPr="00A05A09">
        <w:rPr>
          <w:rStyle w:val="Emphasis"/>
          <w:rFonts w:eastAsiaTheme="majorEastAsia"/>
          <w:i w:val="0"/>
          <w:iCs w:val="0"/>
          <w:sz w:val="22"/>
          <w:szCs w:val="22"/>
          <w:lang w:val="en-US"/>
        </w:rPr>
        <w:t xml:space="preserve"> Hijau</w:t>
      </w:r>
      <w:r w:rsidRPr="00A05A09">
        <w:rPr>
          <w:sz w:val="22"/>
          <w:szCs w:val="22"/>
          <w:lang w:val="en-US"/>
        </w:rPr>
        <w:t>.</w:t>
      </w:r>
      <w:r w:rsidR="005D11B8" w:rsidRPr="00A05A09">
        <w:rPr>
          <w:sz w:val="22"/>
          <w:szCs w:val="22"/>
          <w:lang w:val="en-US"/>
        </w:rPr>
        <w:t xml:space="preserve"> </w:t>
      </w:r>
      <w:r w:rsidRPr="00A05A09">
        <w:rPr>
          <w:sz w:val="22"/>
          <w:szCs w:val="22"/>
          <w:lang w:val="en-US"/>
        </w:rPr>
        <w:t>These cases represent core legal domains where existing retributive and restorative approaches have produced unsatisfactory outcomes. The analysis assessed how outcomes might differ under a dignity-centered framework, particularly through application of what this study terms a dignity test for evaluating legal decisions. This method enabled theoretical insights to be grounded in concrete legal contexts while illustrating the practical implications of philosophical reform (</w:t>
      </w:r>
      <w:proofErr w:type="spellStart"/>
      <w:r w:rsidRPr="00A05A09">
        <w:rPr>
          <w:sz w:val="22"/>
          <w:szCs w:val="22"/>
          <w:lang w:val="en-US"/>
        </w:rPr>
        <w:t>Saibih</w:t>
      </w:r>
      <w:proofErr w:type="spellEnd"/>
      <w:r w:rsidRPr="00A05A09">
        <w:rPr>
          <w:sz w:val="22"/>
          <w:szCs w:val="22"/>
          <w:lang w:val="en-US"/>
        </w:rPr>
        <w:t xml:space="preserve"> et al., 2023; </w:t>
      </w:r>
      <w:proofErr w:type="spellStart"/>
      <w:r w:rsidRPr="00A05A09">
        <w:rPr>
          <w:sz w:val="22"/>
          <w:szCs w:val="22"/>
          <w:lang w:val="en-US"/>
        </w:rPr>
        <w:t>Marune</w:t>
      </w:r>
      <w:proofErr w:type="spellEnd"/>
      <w:r w:rsidRPr="00A05A09">
        <w:rPr>
          <w:sz w:val="22"/>
          <w:szCs w:val="22"/>
          <w:lang w:val="en-US"/>
        </w:rPr>
        <w:t>, 2023).</w:t>
      </w:r>
    </w:p>
    <w:p w14:paraId="1D4F75A4" w14:textId="73F1C367" w:rsidR="005D11B8" w:rsidRPr="00A05A09" w:rsidRDefault="005D11B8" w:rsidP="00686FA1">
      <w:pPr>
        <w:pStyle w:val="whitespace-normal"/>
        <w:spacing w:before="0" w:beforeAutospacing="0" w:after="0" w:afterAutospacing="0" w:line="480" w:lineRule="auto"/>
        <w:ind w:firstLine="567"/>
        <w:jc w:val="both"/>
        <w:rPr>
          <w:sz w:val="22"/>
          <w:szCs w:val="22"/>
          <w:lang w:val="en-US"/>
        </w:rPr>
      </w:pPr>
      <w:r w:rsidRPr="00A05A09">
        <w:rPr>
          <w:sz w:val="22"/>
          <w:szCs w:val="22"/>
          <w:lang w:val="en-US"/>
        </w:rPr>
        <w:t xml:space="preserve">The research utilized documentary analysis rather than empirical fieldwork, drawing on primary sources including Indonesian Supreme Court and Constitutional Court decisions, statutory provisions, and trial records. Secondary sources encompassed peer-reviewed scholarship on transitional justice, comparative jurisprudence </w:t>
      </w:r>
      <w:r w:rsidRPr="00A05A09">
        <w:rPr>
          <w:sz w:val="22"/>
          <w:szCs w:val="22"/>
          <w:lang w:val="en-US"/>
        </w:rPr>
        <w:lastRenderedPageBreak/>
        <w:t>examining Ubuntu and Buen Vivir, and theoretical literature on postcolonial legal theory. This approach prioritizes jurisprudential analysis over empirical measurement of public attitudes toward justice mechanisms. While acknowledging limitations in capturing popular perceptions, the methodology aligns with established transitional justice scholarship that emphasizes normative frameworks as foundations for institutional reform. The focus on legal doctrine and judicial reasoning provides analytical depth while maintaining coherence with the study's theoretical objectives (</w:t>
      </w:r>
      <w:proofErr w:type="spellStart"/>
      <w:r w:rsidRPr="00A05A09">
        <w:rPr>
          <w:sz w:val="22"/>
          <w:szCs w:val="22"/>
          <w:lang w:val="en-US"/>
        </w:rPr>
        <w:t>Fatigato</w:t>
      </w:r>
      <w:proofErr w:type="spellEnd"/>
      <w:r w:rsidRPr="00A05A09">
        <w:rPr>
          <w:sz w:val="22"/>
          <w:szCs w:val="22"/>
          <w:lang w:val="en-US"/>
        </w:rPr>
        <w:t xml:space="preserve">, 2023; </w:t>
      </w:r>
      <w:proofErr w:type="spellStart"/>
      <w:r w:rsidRPr="00A05A09">
        <w:rPr>
          <w:sz w:val="22"/>
          <w:szCs w:val="22"/>
          <w:lang w:val="en-US"/>
        </w:rPr>
        <w:t>Dimyati</w:t>
      </w:r>
      <w:proofErr w:type="spellEnd"/>
      <w:r w:rsidRPr="00A05A09">
        <w:rPr>
          <w:sz w:val="22"/>
          <w:szCs w:val="22"/>
          <w:lang w:val="en-US"/>
        </w:rPr>
        <w:t>, 2021).</w:t>
      </w:r>
    </w:p>
    <w:p w14:paraId="56DD4483" w14:textId="77777777" w:rsidR="00D30374" w:rsidRPr="00A05A09" w:rsidRDefault="00D30374" w:rsidP="00686FA1">
      <w:pPr>
        <w:spacing w:after="0" w:line="480" w:lineRule="auto"/>
        <w:rPr>
          <w:b/>
          <w:bCs/>
          <w:sz w:val="22"/>
          <w:szCs w:val="22"/>
        </w:rPr>
      </w:pPr>
    </w:p>
    <w:p w14:paraId="7B9BD29A" w14:textId="0DFBAB91" w:rsidR="00B97B30" w:rsidRPr="00A05A09" w:rsidRDefault="00E31040" w:rsidP="00686FA1">
      <w:pPr>
        <w:spacing w:after="0" w:line="480" w:lineRule="auto"/>
        <w:rPr>
          <w:b/>
          <w:bCs/>
          <w:sz w:val="22"/>
          <w:szCs w:val="22"/>
        </w:rPr>
      </w:pPr>
      <w:r w:rsidRPr="00A05A09">
        <w:rPr>
          <w:b/>
          <w:bCs/>
          <w:sz w:val="22"/>
          <w:szCs w:val="22"/>
        </w:rPr>
        <w:t>Results</w:t>
      </w:r>
    </w:p>
    <w:p w14:paraId="2A29B33A" w14:textId="080354D2" w:rsidR="00B97B30" w:rsidRPr="00A05A09" w:rsidRDefault="00910DFD" w:rsidP="00686FA1">
      <w:pPr>
        <w:spacing w:after="0" w:line="480" w:lineRule="auto"/>
        <w:rPr>
          <w:b/>
          <w:bCs/>
          <w:sz w:val="22"/>
          <w:szCs w:val="22"/>
        </w:rPr>
      </w:pPr>
      <w:r w:rsidRPr="00A05A09">
        <w:rPr>
          <w:b/>
          <w:bCs/>
          <w:sz w:val="22"/>
          <w:szCs w:val="22"/>
        </w:rPr>
        <w:t>Failures of Retributive Justice in Indonesia</w:t>
      </w:r>
      <w:r w:rsidR="00F50EE5" w:rsidRPr="00A05A09">
        <w:rPr>
          <w:b/>
          <w:bCs/>
          <w:sz w:val="22"/>
          <w:szCs w:val="22"/>
        </w:rPr>
        <w:t>.</w:t>
      </w:r>
    </w:p>
    <w:p w14:paraId="08570004" w14:textId="700A3C62" w:rsidR="00F969E8" w:rsidRPr="00A05A09" w:rsidRDefault="00F969E8" w:rsidP="00686FA1">
      <w:pPr>
        <w:pStyle w:val="whitespace-normal"/>
        <w:spacing w:before="0" w:beforeAutospacing="0" w:after="0" w:afterAutospacing="0" w:line="480" w:lineRule="auto"/>
        <w:ind w:firstLine="567"/>
        <w:jc w:val="both"/>
        <w:rPr>
          <w:sz w:val="22"/>
          <w:szCs w:val="22"/>
          <w:lang w:val="en-US"/>
        </w:rPr>
      </w:pPr>
      <w:r w:rsidRPr="00A05A09">
        <w:rPr>
          <w:sz w:val="22"/>
          <w:szCs w:val="22"/>
          <w:lang w:val="en-US"/>
        </w:rPr>
        <w:t xml:space="preserve">Indonesia's establishment of Human Rights Courts following the 1998 </w:t>
      </w:r>
      <w:r w:rsidRPr="00A05A09">
        <w:rPr>
          <w:rStyle w:val="Emphasis"/>
          <w:rFonts w:eastAsiaTheme="majorEastAsia"/>
          <w:i w:val="0"/>
          <w:iCs w:val="0"/>
          <w:sz w:val="22"/>
          <w:szCs w:val="22"/>
          <w:lang w:val="en-US"/>
        </w:rPr>
        <w:t>Reformasi</w:t>
      </w:r>
      <w:r w:rsidRPr="00A05A09">
        <w:rPr>
          <w:sz w:val="22"/>
          <w:szCs w:val="22"/>
          <w:lang w:val="en-US"/>
        </w:rPr>
        <w:t xml:space="preserve"> represented an ambitious attempt to signal the new democratic government's commitment to addressing past atrocities. Law No. 26/2000 on Human Rights Courts granted these specialized tribunals jurisdiction over gross violations of human rights, including crimes against humanity and genocide. The legislation appeared to provide institutional mechanisms necessary for meaningful accountability processes. However, the courts' actual performance diverged sharply from these formal commitments. Proceedings addressing the 1999 East Timor violence and the 1984 Tanjung </w:t>
      </w:r>
      <w:proofErr w:type="spellStart"/>
      <w:r w:rsidRPr="00A05A09">
        <w:rPr>
          <w:sz w:val="22"/>
          <w:szCs w:val="22"/>
          <w:lang w:val="en-US"/>
        </w:rPr>
        <w:t>Priok</w:t>
      </w:r>
      <w:proofErr w:type="spellEnd"/>
      <w:r w:rsidRPr="00A05A09">
        <w:rPr>
          <w:sz w:val="22"/>
          <w:szCs w:val="22"/>
          <w:lang w:val="en-US"/>
        </w:rPr>
        <w:t xml:space="preserve"> massacre exposed fundamental weaknesses in both procedural design and institutional capacity. While prosecutors did initiate cases against alleged perpetrators, appellate courts systematically overturned lower court convictions, ultimately producing acquittals for the vast majority of defendants. This pattern revealed judicial reluctance to assign criminal responsibility to senior officials and a pronounced tendency toward narrow procedural interpretation rather than substantive engagement with atrocity crimes. The International Center for Transitional Justice characterized these outcomes </w:t>
      </w:r>
      <w:proofErr w:type="gramStart"/>
      <w:r w:rsidRPr="00A05A09">
        <w:rPr>
          <w:sz w:val="22"/>
          <w:szCs w:val="22"/>
          <w:lang w:val="en-US"/>
        </w:rPr>
        <w:t xml:space="preserve">as </w:t>
      </w:r>
      <w:r w:rsidR="00B845EF" w:rsidRPr="00A05A09">
        <w:rPr>
          <w:sz w:val="22"/>
          <w:szCs w:val="22"/>
          <w:lang w:val="en-US"/>
        </w:rPr>
        <w:t xml:space="preserve"> derailing</w:t>
      </w:r>
      <w:proofErr w:type="gramEnd"/>
      <w:r w:rsidRPr="00A05A09">
        <w:rPr>
          <w:sz w:val="22"/>
          <w:szCs w:val="22"/>
          <w:lang w:val="en-US"/>
        </w:rPr>
        <w:t xml:space="preserve"> Indonesia's broader transitional justice efforts (2011).</w:t>
      </w:r>
    </w:p>
    <w:p w14:paraId="0CA8430B" w14:textId="4BFB1C65" w:rsidR="00F969E8" w:rsidRPr="00A05A09" w:rsidRDefault="00F969E8" w:rsidP="00686FA1">
      <w:pPr>
        <w:pStyle w:val="whitespace-normal"/>
        <w:spacing w:before="0" w:beforeAutospacing="0" w:after="0" w:afterAutospacing="0" w:line="480" w:lineRule="auto"/>
        <w:ind w:firstLine="567"/>
        <w:jc w:val="both"/>
        <w:rPr>
          <w:sz w:val="22"/>
          <w:szCs w:val="22"/>
          <w:lang w:val="en-US"/>
        </w:rPr>
      </w:pPr>
      <w:r w:rsidRPr="00A05A09">
        <w:rPr>
          <w:sz w:val="22"/>
          <w:szCs w:val="22"/>
          <w:lang w:val="en-US"/>
        </w:rPr>
        <w:t xml:space="preserve">Academic analysis has identified specific mechanisms underlying these failures. </w:t>
      </w:r>
      <w:proofErr w:type="spellStart"/>
      <w:r w:rsidRPr="00A05A09">
        <w:rPr>
          <w:sz w:val="22"/>
          <w:szCs w:val="22"/>
          <w:lang w:val="en-US"/>
        </w:rPr>
        <w:t>Saibih</w:t>
      </w:r>
      <w:proofErr w:type="spellEnd"/>
      <w:r w:rsidRPr="00A05A09">
        <w:rPr>
          <w:sz w:val="22"/>
          <w:szCs w:val="22"/>
          <w:lang w:val="en-US"/>
        </w:rPr>
        <w:t xml:space="preserve">, Daniel, Warman, and </w:t>
      </w:r>
      <w:proofErr w:type="spellStart"/>
      <w:r w:rsidRPr="00A05A09">
        <w:rPr>
          <w:sz w:val="22"/>
          <w:szCs w:val="22"/>
          <w:lang w:val="en-US"/>
        </w:rPr>
        <w:t>Mulyati's</w:t>
      </w:r>
      <w:proofErr w:type="spellEnd"/>
      <w:r w:rsidRPr="00A05A09">
        <w:rPr>
          <w:sz w:val="22"/>
          <w:szCs w:val="22"/>
          <w:lang w:val="en-US"/>
        </w:rPr>
        <w:t xml:space="preserve"> (2023) examination of the Tanjung </w:t>
      </w:r>
      <w:proofErr w:type="spellStart"/>
      <w:r w:rsidRPr="00A05A09">
        <w:rPr>
          <w:sz w:val="22"/>
          <w:szCs w:val="22"/>
          <w:lang w:val="en-US"/>
        </w:rPr>
        <w:t>Priok</w:t>
      </w:r>
      <w:proofErr w:type="spellEnd"/>
      <w:r w:rsidRPr="00A05A09">
        <w:rPr>
          <w:sz w:val="22"/>
          <w:szCs w:val="22"/>
          <w:lang w:val="en-US"/>
        </w:rPr>
        <w:t xml:space="preserve"> proceedings reveals how prosecutorial strategies proved inadequate to the complexity of systematic human rights violations. Prosecutors failed to develop coherent evidentiary frameworks </w:t>
      </w:r>
      <w:r w:rsidR="00B845EF" w:rsidRPr="00A05A09">
        <w:rPr>
          <w:sz w:val="22"/>
          <w:szCs w:val="22"/>
          <w:lang w:val="en-US"/>
        </w:rPr>
        <w:t>to establish</w:t>
      </w:r>
      <w:r w:rsidRPr="00A05A09">
        <w:rPr>
          <w:sz w:val="22"/>
          <w:szCs w:val="22"/>
          <w:lang w:val="en-US"/>
        </w:rPr>
        <w:t xml:space="preserve"> </w:t>
      </w:r>
      <w:r w:rsidR="00B845EF" w:rsidRPr="00A05A09">
        <w:rPr>
          <w:sz w:val="22"/>
          <w:szCs w:val="22"/>
          <w:lang w:val="en-US"/>
        </w:rPr>
        <w:t>abuse or command responsibility patterns</w:t>
      </w:r>
      <w:r w:rsidRPr="00A05A09">
        <w:rPr>
          <w:sz w:val="22"/>
          <w:szCs w:val="22"/>
          <w:lang w:val="en-US"/>
        </w:rPr>
        <w:t>. Political interference further compromised prosecutorial independence, while judges approached proceedings as conventional criminal cases rather than extraordinary tribunals addressing state-sponsored violence.</w:t>
      </w:r>
    </w:p>
    <w:p w14:paraId="2E20A935" w14:textId="77777777" w:rsidR="00F969E8" w:rsidRPr="00A05A09" w:rsidRDefault="00F969E8" w:rsidP="00686FA1">
      <w:pPr>
        <w:pStyle w:val="whitespace-normal"/>
        <w:spacing w:before="0" w:beforeAutospacing="0" w:after="0" w:afterAutospacing="0" w:line="480" w:lineRule="auto"/>
        <w:ind w:firstLine="567"/>
        <w:jc w:val="both"/>
        <w:rPr>
          <w:sz w:val="22"/>
          <w:szCs w:val="22"/>
          <w:lang w:val="en-US"/>
        </w:rPr>
      </w:pPr>
      <w:r w:rsidRPr="00A05A09">
        <w:rPr>
          <w:sz w:val="22"/>
          <w:szCs w:val="22"/>
          <w:lang w:val="en-US"/>
        </w:rPr>
        <w:lastRenderedPageBreak/>
        <w:t>This judicial formalism prevented the courts from fulfilling transitional justice objectives beyond punishment, including historical clarification, victim recognition, and institutional reform. The proceedings generated neither authoritative accounts of past violations nor meaningful acknowledgment of victim suffering. Equally important, the trials failed to establish precedents that might deter future abuses or contribute to democratic norm-building.</w:t>
      </w:r>
    </w:p>
    <w:p w14:paraId="3608102D" w14:textId="33507437" w:rsidR="00F969E8" w:rsidRPr="00A05A09" w:rsidRDefault="00F969E8" w:rsidP="00686FA1">
      <w:pPr>
        <w:pStyle w:val="whitespace-normal"/>
        <w:spacing w:before="0" w:beforeAutospacing="0" w:after="0" w:afterAutospacing="0" w:line="480" w:lineRule="auto"/>
        <w:ind w:firstLine="567"/>
        <w:jc w:val="both"/>
        <w:rPr>
          <w:sz w:val="22"/>
          <w:szCs w:val="22"/>
          <w:lang w:val="en-US"/>
        </w:rPr>
      </w:pPr>
      <w:r w:rsidRPr="00A05A09">
        <w:rPr>
          <w:sz w:val="22"/>
          <w:szCs w:val="22"/>
          <w:lang w:val="en-US"/>
        </w:rPr>
        <w:t xml:space="preserve">These outcomes reflect broader structural constraints rather than inherent flaws in retributive approaches. Indonesia's judicial system operates within contexts of limited independence, inadequate witness protection mechanisms, and persistent </w:t>
      </w:r>
      <w:r w:rsidR="00B845EF" w:rsidRPr="00A05A09">
        <w:rPr>
          <w:sz w:val="22"/>
          <w:szCs w:val="22"/>
          <w:lang w:val="en-US"/>
        </w:rPr>
        <w:t>impunity cultures favoring</w:t>
      </w:r>
      <w:r w:rsidRPr="00A05A09">
        <w:rPr>
          <w:sz w:val="22"/>
          <w:szCs w:val="22"/>
          <w:lang w:val="en-US"/>
        </w:rPr>
        <w:t xml:space="preserve"> elite actors. Under such conditions, criminal proceedings become performative exercises that satisfy international expectations while avoiding substantive accountability for those wielding political or military power.</w:t>
      </w:r>
    </w:p>
    <w:p w14:paraId="6E61517B" w14:textId="77777777" w:rsidR="00F969E8" w:rsidRPr="00A05A09" w:rsidRDefault="00F969E8" w:rsidP="00686FA1">
      <w:pPr>
        <w:pStyle w:val="whitespace-normal"/>
        <w:spacing w:before="0" w:beforeAutospacing="0" w:after="0" w:afterAutospacing="0" w:line="480" w:lineRule="auto"/>
        <w:ind w:firstLine="567"/>
        <w:jc w:val="both"/>
        <w:rPr>
          <w:sz w:val="22"/>
          <w:szCs w:val="22"/>
          <w:lang w:val="en-US"/>
        </w:rPr>
      </w:pPr>
      <w:r w:rsidRPr="00A05A09">
        <w:rPr>
          <w:sz w:val="22"/>
          <w:szCs w:val="22"/>
          <w:lang w:val="en-US"/>
        </w:rPr>
        <w:t>The systematic failure of retributive mechanisms produced multiple negative consequences. Victims experienced renewed marginalization as legal processes concluded without meaningful recognition or redress. Public confidence in judicial institutions deteriorated further, reinforcing cynical attitudes toward rule of law. Perhaps most significantly, the absence of accountability for past violations signaled continuity with authoritarian practices, undermining efforts to consolidate democratic governance. These failures illuminate the limitations of transplanting Western-derived justice models into postcolonial contexts without adequate attention to local institutional realities and normative foundations.</w:t>
      </w:r>
    </w:p>
    <w:p w14:paraId="6D652669" w14:textId="77777777" w:rsidR="002E173D" w:rsidRPr="00A05A09" w:rsidRDefault="002E173D" w:rsidP="00686FA1">
      <w:pPr>
        <w:pStyle w:val="whitespace-normal"/>
        <w:spacing w:before="0" w:beforeAutospacing="0" w:after="0" w:afterAutospacing="0" w:line="480" w:lineRule="auto"/>
        <w:ind w:firstLine="567"/>
        <w:jc w:val="both"/>
        <w:rPr>
          <w:sz w:val="22"/>
          <w:szCs w:val="22"/>
          <w:lang w:val="en-US"/>
        </w:rPr>
      </w:pPr>
    </w:p>
    <w:p w14:paraId="490CD617" w14:textId="77777777" w:rsidR="00B05C27" w:rsidRPr="00A05A09" w:rsidRDefault="00B05C27" w:rsidP="00686FA1">
      <w:pPr>
        <w:spacing w:after="0" w:line="480" w:lineRule="auto"/>
        <w:rPr>
          <w:sz w:val="22"/>
          <w:szCs w:val="22"/>
        </w:rPr>
      </w:pPr>
      <w:r w:rsidRPr="00A05A09">
        <w:rPr>
          <w:rStyle w:val="Strong"/>
          <w:sz w:val="22"/>
          <w:szCs w:val="22"/>
        </w:rPr>
        <w:t>Failures of Restorative Justice in Indonesia</w:t>
      </w:r>
    </w:p>
    <w:p w14:paraId="4F3A7F87" w14:textId="1B8A9F89" w:rsidR="002E173D" w:rsidRPr="00A05A09" w:rsidRDefault="002E173D" w:rsidP="00686FA1">
      <w:pPr>
        <w:pStyle w:val="whitespace-normal"/>
        <w:spacing w:before="0" w:beforeAutospacing="0" w:after="0" w:afterAutospacing="0" w:line="480" w:lineRule="auto"/>
        <w:ind w:firstLine="567"/>
        <w:jc w:val="both"/>
        <w:rPr>
          <w:sz w:val="22"/>
          <w:szCs w:val="22"/>
          <w:lang w:val="en-US"/>
        </w:rPr>
      </w:pPr>
      <w:r w:rsidRPr="00A05A09">
        <w:rPr>
          <w:sz w:val="22"/>
          <w:szCs w:val="22"/>
          <w:lang w:val="en-US"/>
        </w:rPr>
        <w:t>Indonesia's pursuit of restorative justice centered on the Truth and Reconciliation Commission, established through Law No. 27/2004 with a mandate encompassing truth-seeking, reparations recommendations, and national reconciliation. The Commission's design reflected international models</w:t>
      </w:r>
      <w:r w:rsidR="00B845EF" w:rsidRPr="00A05A09">
        <w:rPr>
          <w:sz w:val="22"/>
          <w:szCs w:val="22"/>
          <w:lang w:val="en-US"/>
        </w:rPr>
        <w:t xml:space="preserve"> adapted to Indonesian circumstances, particularly South Africa's Truth and Reconciliation Commission</w:t>
      </w:r>
      <w:r w:rsidRPr="00A05A09">
        <w:rPr>
          <w:sz w:val="22"/>
          <w:szCs w:val="22"/>
          <w:lang w:val="en-US"/>
        </w:rPr>
        <w:t>. However, the KKR's brief existence exposed fundamental tensions between restorative justice principles and Indonesia's constitutional framework.</w:t>
      </w:r>
    </w:p>
    <w:p w14:paraId="035A7C1B" w14:textId="71E52521" w:rsidR="002E173D" w:rsidRPr="00A05A09" w:rsidRDefault="002E173D" w:rsidP="00686FA1">
      <w:pPr>
        <w:pStyle w:val="whitespace-normal"/>
        <w:spacing w:before="0" w:beforeAutospacing="0" w:after="0" w:afterAutospacing="0" w:line="480" w:lineRule="auto"/>
        <w:ind w:firstLine="567"/>
        <w:jc w:val="both"/>
        <w:rPr>
          <w:sz w:val="22"/>
          <w:szCs w:val="22"/>
          <w:lang w:val="en-US"/>
        </w:rPr>
      </w:pPr>
      <w:r w:rsidRPr="00A05A09">
        <w:rPr>
          <w:sz w:val="22"/>
          <w:szCs w:val="22"/>
          <w:lang w:val="en-US"/>
        </w:rPr>
        <w:t xml:space="preserve">The Constitutional Court's 2006 decision to annul the KKR legislation (Decision No. 006/PUU-IV/2006) highlighted these constitutional incompatibilities. The Court determined that the law's amnesty provisions violated constitutional guarantees of victims' rights to legal remedies and state obligations to prosecute serious crimes. This ruling effectively terminated Indonesia's national truth-seeking process before </w:t>
      </w:r>
      <w:r w:rsidRPr="00A05A09">
        <w:rPr>
          <w:sz w:val="22"/>
          <w:szCs w:val="22"/>
          <w:lang w:val="en-US"/>
        </w:rPr>
        <w:lastRenderedPageBreak/>
        <w:t>the Commission could commence substantive operations. While legally sound, the decision created an institutional vacuum that subsequent governments failed to address through alternative mechanisms.</w:t>
      </w:r>
      <w:r w:rsidR="00CE7018" w:rsidRPr="00A05A09">
        <w:rPr>
          <w:sz w:val="22"/>
          <w:szCs w:val="22"/>
          <w:lang w:val="en-US"/>
        </w:rPr>
        <w:t xml:space="preserve"> </w:t>
      </w:r>
      <w:r w:rsidRPr="00A05A09">
        <w:rPr>
          <w:sz w:val="22"/>
          <w:szCs w:val="22"/>
          <w:lang w:val="en-US"/>
        </w:rPr>
        <w:t xml:space="preserve">Even </w:t>
      </w:r>
      <w:r w:rsidR="00B845EF" w:rsidRPr="00A05A09">
        <w:rPr>
          <w:sz w:val="22"/>
          <w:szCs w:val="22"/>
          <w:lang w:val="en-US"/>
        </w:rPr>
        <w:t>before</w:t>
      </w:r>
      <w:r w:rsidRPr="00A05A09">
        <w:rPr>
          <w:sz w:val="22"/>
          <w:szCs w:val="22"/>
          <w:lang w:val="en-US"/>
        </w:rPr>
        <w:t xml:space="preserve"> its legal annulment, the KKR faced significant operational obstacles. Political elites who had benefited from authoritarian rule actively resisted truth-seeking processes that might expose their complicity in past violations</w:t>
      </w:r>
      <w:r w:rsidR="00A20CA7" w:rsidRPr="00A05A09">
        <w:rPr>
          <w:sz w:val="22"/>
          <w:szCs w:val="22"/>
          <w:lang w:val="en-US"/>
        </w:rPr>
        <w:t>—m</w:t>
      </w:r>
      <w:r w:rsidRPr="00A05A09">
        <w:rPr>
          <w:sz w:val="22"/>
          <w:szCs w:val="22"/>
          <w:lang w:val="en-US"/>
        </w:rPr>
        <w:t>ilitary and security institutions, in particular, opposed investigations that could implicate current or former personnel. Public skepticism about the Commission's independence further undermined its potential effectiveness, as many observers viewed the KKR as a political compromise designed to manage rather than genuinely address historical grievances.</w:t>
      </w:r>
    </w:p>
    <w:p w14:paraId="4157D9F8" w14:textId="77777777" w:rsidR="002E173D" w:rsidRPr="00A05A09" w:rsidRDefault="002E173D" w:rsidP="00686FA1">
      <w:pPr>
        <w:pStyle w:val="whitespace-normal"/>
        <w:spacing w:before="0" w:beforeAutospacing="0" w:after="0" w:afterAutospacing="0" w:line="480" w:lineRule="auto"/>
        <w:ind w:firstLine="567"/>
        <w:jc w:val="both"/>
        <w:rPr>
          <w:sz w:val="22"/>
          <w:szCs w:val="22"/>
          <w:lang w:val="en-US"/>
        </w:rPr>
      </w:pPr>
      <w:r w:rsidRPr="00A05A09">
        <w:rPr>
          <w:sz w:val="22"/>
          <w:szCs w:val="22"/>
          <w:lang w:val="en-US"/>
        </w:rPr>
        <w:t xml:space="preserve">Academic assessments reveal deeper structural problems with Indonesia's restorative approach. Farida, Habibi, and </w:t>
      </w:r>
      <w:proofErr w:type="spellStart"/>
      <w:r w:rsidRPr="00A05A09">
        <w:rPr>
          <w:sz w:val="22"/>
          <w:szCs w:val="22"/>
          <w:lang w:val="en-US"/>
        </w:rPr>
        <w:t>Pramono</w:t>
      </w:r>
      <w:proofErr w:type="spellEnd"/>
      <w:r w:rsidRPr="00A05A09">
        <w:rPr>
          <w:sz w:val="22"/>
          <w:szCs w:val="22"/>
          <w:lang w:val="en-US"/>
        </w:rPr>
        <w:t xml:space="preserve"> (2025) document how victim protection and reparations programs operated through fragmented, underfunded bureaucratic structures that prioritized administrative efficiency over meaningful redress. These programs typically offered minimal financial compensation while avoiding acknowledgment of state responsibility or systematic patterns of abuse. </w:t>
      </w:r>
      <w:proofErr w:type="spellStart"/>
      <w:r w:rsidRPr="00A05A09">
        <w:rPr>
          <w:sz w:val="22"/>
          <w:szCs w:val="22"/>
          <w:lang w:val="en-US"/>
        </w:rPr>
        <w:t>Wahyuningroem's</w:t>
      </w:r>
      <w:proofErr w:type="spellEnd"/>
      <w:r w:rsidRPr="00A05A09">
        <w:rPr>
          <w:sz w:val="22"/>
          <w:szCs w:val="22"/>
          <w:lang w:val="en-US"/>
        </w:rPr>
        <w:t xml:space="preserve"> (2019) research demonstrates how civil society organizations initially supportive of truth-seeking processes became increasingly critical as they recognized the gap between restorative rhetoric and actual commitment to victim-centered outcomes.</w:t>
      </w:r>
    </w:p>
    <w:p w14:paraId="69A6E49F" w14:textId="77777777" w:rsidR="00336C50" w:rsidRPr="00A05A09" w:rsidRDefault="002E173D" w:rsidP="00686FA1">
      <w:pPr>
        <w:pStyle w:val="whitespace-normal"/>
        <w:spacing w:before="0" w:beforeAutospacing="0" w:after="0" w:afterAutospacing="0" w:line="480" w:lineRule="auto"/>
        <w:ind w:firstLine="567"/>
        <w:jc w:val="both"/>
        <w:rPr>
          <w:sz w:val="22"/>
          <w:szCs w:val="22"/>
          <w:lang w:val="en-US"/>
        </w:rPr>
      </w:pPr>
      <w:r w:rsidRPr="00A05A09">
        <w:rPr>
          <w:sz w:val="22"/>
          <w:szCs w:val="22"/>
          <w:lang w:val="en-US"/>
        </w:rPr>
        <w:t>The marginalization of survivors from key historical episodes—including the 1965-66 mass killings, East Timor occupation, and various security operations—illustrates the broader failure of restorative mechanisms. These victims received neither formal acknowledgment of their suffering nor access to effective remedies. The absence of historical clarification about state violence perpetuated official narratives that minimized or denied systematic human rights violations.</w:t>
      </w:r>
      <w:r w:rsidR="00336C50" w:rsidRPr="00A05A09">
        <w:rPr>
          <w:sz w:val="22"/>
          <w:szCs w:val="22"/>
          <w:lang w:val="en-US"/>
        </w:rPr>
        <w:t xml:space="preserve"> </w:t>
      </w:r>
    </w:p>
    <w:p w14:paraId="334DA3C5" w14:textId="4B4F6F1B" w:rsidR="002E173D" w:rsidRPr="00A05A09" w:rsidRDefault="002E173D" w:rsidP="00686FA1">
      <w:pPr>
        <w:pStyle w:val="whitespace-normal"/>
        <w:spacing w:before="0" w:beforeAutospacing="0" w:after="0" w:afterAutospacing="0" w:line="480" w:lineRule="auto"/>
        <w:ind w:firstLine="567"/>
        <w:jc w:val="both"/>
        <w:rPr>
          <w:sz w:val="22"/>
          <w:szCs w:val="22"/>
          <w:lang w:val="en-US"/>
        </w:rPr>
      </w:pPr>
      <w:r w:rsidRPr="00A05A09">
        <w:rPr>
          <w:sz w:val="22"/>
          <w:szCs w:val="22"/>
          <w:lang w:val="en-US"/>
        </w:rPr>
        <w:t>Indonesia's restorative justice experiment thus collapsed due to multiple reinforcing factors. Constitutional constraints prevented amnesty arrangements that might have incentivized perpetrator cooperation with truth-seeking. Political resistance from institutions implicated in past violations blocked substantive investigations. Inadequate funding and bureaucratic fragmentation undermined reparations programs. Most fundamentally, the prioritization of elite reconciliation over victim recognition created a framework that satisfied neither restorative justice principles nor survivor expectations.</w:t>
      </w:r>
      <w:r w:rsidR="00336C50" w:rsidRPr="00A05A09">
        <w:rPr>
          <w:sz w:val="22"/>
          <w:szCs w:val="22"/>
          <w:lang w:val="en-US"/>
        </w:rPr>
        <w:t xml:space="preserve"> </w:t>
      </w:r>
      <w:r w:rsidRPr="00A05A09">
        <w:rPr>
          <w:sz w:val="22"/>
          <w:szCs w:val="22"/>
          <w:lang w:val="en-US"/>
        </w:rPr>
        <w:t xml:space="preserve">This failure generated consequences extending beyond the immediate victims of past atrocities. The inability to establish authoritative historical accounts left space for competing narratives about Indonesia's authoritarian period, complicating efforts to build shared democratic values. The marginalization of victims reinforced perceptions of state </w:t>
      </w:r>
      <w:r w:rsidRPr="00A05A09">
        <w:rPr>
          <w:sz w:val="22"/>
          <w:szCs w:val="22"/>
          <w:lang w:val="en-US"/>
        </w:rPr>
        <w:lastRenderedPageBreak/>
        <w:t xml:space="preserve">indifference to citizen welfare and rule of law principles. Perhaps most significantly, the collapse of restorative mechanisms without alternative approaches left Indonesia's transitional justice agenda </w:t>
      </w:r>
      <w:r w:rsidR="00B845EF" w:rsidRPr="00A05A09">
        <w:rPr>
          <w:sz w:val="22"/>
          <w:szCs w:val="22"/>
          <w:lang w:val="en-US"/>
        </w:rPr>
        <w:t>permanently suspended</w:t>
      </w:r>
      <w:r w:rsidRPr="00A05A09">
        <w:rPr>
          <w:sz w:val="22"/>
          <w:szCs w:val="22"/>
          <w:lang w:val="en-US"/>
        </w:rPr>
        <w:t>, highlighting the need for frameworks more closely aligned with local constitutional and cultural contexts.</w:t>
      </w:r>
    </w:p>
    <w:p w14:paraId="2B02D3B4" w14:textId="77777777" w:rsidR="00390FB2" w:rsidRPr="00A05A09" w:rsidRDefault="00390FB2" w:rsidP="00686FA1">
      <w:pPr>
        <w:pStyle w:val="NormalWeb"/>
        <w:spacing w:before="0" w:beforeAutospacing="0" w:after="0" w:afterAutospacing="0" w:line="480" w:lineRule="auto"/>
        <w:ind w:firstLine="567"/>
        <w:jc w:val="both"/>
        <w:rPr>
          <w:sz w:val="22"/>
          <w:szCs w:val="22"/>
          <w:lang w:val="en-US"/>
        </w:rPr>
      </w:pPr>
    </w:p>
    <w:p w14:paraId="7948F303" w14:textId="77777777" w:rsidR="00390FB2" w:rsidRPr="00A05A09" w:rsidRDefault="00390FB2" w:rsidP="00686FA1">
      <w:pPr>
        <w:spacing w:after="0" w:line="480" w:lineRule="auto"/>
        <w:rPr>
          <w:sz w:val="22"/>
          <w:szCs w:val="22"/>
        </w:rPr>
      </w:pPr>
      <w:r w:rsidRPr="00A05A09">
        <w:rPr>
          <w:rStyle w:val="Strong"/>
          <w:sz w:val="22"/>
          <w:szCs w:val="22"/>
        </w:rPr>
        <w:t xml:space="preserve">Philosophical Foundations of </w:t>
      </w:r>
      <w:proofErr w:type="spellStart"/>
      <w:r w:rsidRPr="00A05A09">
        <w:rPr>
          <w:rStyle w:val="Strong"/>
          <w:sz w:val="22"/>
          <w:szCs w:val="22"/>
        </w:rPr>
        <w:t>Keadilan</w:t>
      </w:r>
      <w:proofErr w:type="spellEnd"/>
      <w:r w:rsidRPr="00A05A09">
        <w:rPr>
          <w:rStyle w:val="Strong"/>
          <w:sz w:val="22"/>
          <w:szCs w:val="22"/>
        </w:rPr>
        <w:t xml:space="preserve"> </w:t>
      </w:r>
      <w:proofErr w:type="spellStart"/>
      <w:r w:rsidRPr="00A05A09">
        <w:rPr>
          <w:rStyle w:val="Strong"/>
          <w:sz w:val="22"/>
          <w:szCs w:val="22"/>
        </w:rPr>
        <w:t>Bermartabat</w:t>
      </w:r>
      <w:proofErr w:type="spellEnd"/>
    </w:p>
    <w:p w14:paraId="7E9FB857" w14:textId="77777777" w:rsidR="00390FB2" w:rsidRPr="00A05A09" w:rsidRDefault="00390FB2" w:rsidP="00686FA1">
      <w:pPr>
        <w:pStyle w:val="NormalWeb"/>
        <w:spacing w:before="0" w:beforeAutospacing="0" w:after="0" w:afterAutospacing="0" w:line="480" w:lineRule="auto"/>
        <w:ind w:firstLine="567"/>
        <w:jc w:val="both"/>
        <w:rPr>
          <w:sz w:val="22"/>
          <w:szCs w:val="22"/>
          <w:lang w:val="en-US"/>
        </w:rPr>
      </w:pPr>
      <w:r w:rsidRPr="00A05A09">
        <w:rPr>
          <w:sz w:val="22"/>
          <w:szCs w:val="22"/>
          <w:lang w:val="en-US"/>
        </w:rPr>
        <w:t xml:space="preserve">The limitations of retributive and restorative justice in Indonesia reveal that imported models have not provided either accountability or reconciliation in a way that resonates with the country’s normative order. It is against this backdrop that </w:t>
      </w:r>
      <w:proofErr w:type="spellStart"/>
      <w:r w:rsidRPr="00A05A09">
        <w:rPr>
          <w:rStyle w:val="Emphasis"/>
          <w:rFonts w:eastAsiaTheme="majorEastAsia"/>
          <w:i w:val="0"/>
          <w:iCs w:val="0"/>
          <w:sz w:val="22"/>
          <w:szCs w:val="22"/>
          <w:lang w:val="en-US"/>
        </w:rPr>
        <w:t>Keadilan</w:t>
      </w:r>
      <w:proofErr w:type="spellEnd"/>
      <w:r w:rsidRPr="00A05A09">
        <w:rPr>
          <w:rStyle w:val="Emphasis"/>
          <w:rFonts w:eastAsiaTheme="majorEastAsia"/>
          <w:i w:val="0"/>
          <w:iCs w:val="0"/>
          <w:sz w:val="22"/>
          <w:szCs w:val="22"/>
          <w:lang w:val="en-US"/>
        </w:rPr>
        <w:t xml:space="preserve"> </w:t>
      </w:r>
      <w:proofErr w:type="spellStart"/>
      <w:r w:rsidRPr="00A05A09">
        <w:rPr>
          <w:rStyle w:val="Emphasis"/>
          <w:rFonts w:eastAsiaTheme="majorEastAsia"/>
          <w:i w:val="0"/>
          <w:iCs w:val="0"/>
          <w:sz w:val="22"/>
          <w:szCs w:val="22"/>
          <w:lang w:val="en-US"/>
        </w:rPr>
        <w:t>Bermartabat</w:t>
      </w:r>
      <w:proofErr w:type="spellEnd"/>
      <w:r w:rsidRPr="00A05A09">
        <w:rPr>
          <w:sz w:val="22"/>
          <w:szCs w:val="22"/>
          <w:lang w:val="en-US"/>
        </w:rPr>
        <w:t xml:space="preserve"> emerges as a distinct alternative. More than a theory of adjudication, it presents itself as a philosophy of law that seeks to reorganize the relationship between justice, law, and morality in Indonesia. Building on </w:t>
      </w:r>
      <w:r w:rsidRPr="00A05A09">
        <w:rPr>
          <w:rStyle w:val="Emphasis"/>
          <w:rFonts w:eastAsiaTheme="majorEastAsia"/>
          <w:i w:val="0"/>
          <w:iCs w:val="0"/>
          <w:sz w:val="22"/>
          <w:szCs w:val="22"/>
          <w:lang w:val="en-US"/>
        </w:rPr>
        <w:t>Pancasila</w:t>
      </w:r>
      <w:r w:rsidRPr="00A05A09">
        <w:rPr>
          <w:sz w:val="22"/>
          <w:szCs w:val="22"/>
          <w:lang w:val="en-US"/>
        </w:rPr>
        <w:t xml:space="preserve"> as the </w:t>
      </w:r>
      <w:proofErr w:type="spellStart"/>
      <w:r w:rsidRPr="00A05A09">
        <w:rPr>
          <w:rStyle w:val="Emphasis"/>
          <w:rFonts w:eastAsiaTheme="majorEastAsia"/>
          <w:sz w:val="22"/>
          <w:szCs w:val="22"/>
          <w:lang w:val="en-US"/>
        </w:rPr>
        <w:t>grundnorm</w:t>
      </w:r>
      <w:proofErr w:type="spellEnd"/>
      <w:r w:rsidRPr="00A05A09">
        <w:rPr>
          <w:sz w:val="22"/>
          <w:szCs w:val="22"/>
          <w:lang w:val="en-US"/>
        </w:rPr>
        <w:t>, it establishes a framework where law is not merely a set of technical rules but a moral architecture oriented toward dignity (</w:t>
      </w:r>
      <w:proofErr w:type="spellStart"/>
      <w:r w:rsidRPr="00A05A09">
        <w:rPr>
          <w:rStyle w:val="Emphasis"/>
          <w:rFonts w:eastAsiaTheme="majorEastAsia"/>
          <w:sz w:val="22"/>
          <w:szCs w:val="22"/>
          <w:lang w:val="en-US"/>
        </w:rPr>
        <w:t>memanusiakan</w:t>
      </w:r>
      <w:proofErr w:type="spellEnd"/>
      <w:r w:rsidRPr="00A05A09">
        <w:rPr>
          <w:rStyle w:val="Emphasis"/>
          <w:rFonts w:eastAsiaTheme="majorEastAsia"/>
          <w:sz w:val="22"/>
          <w:szCs w:val="22"/>
          <w:lang w:val="en-US"/>
        </w:rPr>
        <w:t xml:space="preserve"> </w:t>
      </w:r>
      <w:proofErr w:type="spellStart"/>
      <w:r w:rsidRPr="00A05A09">
        <w:rPr>
          <w:rStyle w:val="Emphasis"/>
          <w:rFonts w:eastAsiaTheme="majorEastAsia"/>
          <w:sz w:val="22"/>
          <w:szCs w:val="22"/>
          <w:lang w:val="en-US"/>
        </w:rPr>
        <w:t>manusia</w:t>
      </w:r>
      <w:proofErr w:type="spellEnd"/>
      <w:r w:rsidRPr="00A05A09">
        <w:rPr>
          <w:sz w:val="22"/>
          <w:szCs w:val="22"/>
          <w:lang w:val="en-US"/>
        </w:rPr>
        <w:t>). Its philosophical foundation rests on three interrelated dimensions—ontology, epistemology, and axiology—through which it proposes to restore balance and coherence to Indonesia’s legal system (</w:t>
      </w:r>
      <w:proofErr w:type="spellStart"/>
      <w:r w:rsidRPr="00A05A09">
        <w:rPr>
          <w:sz w:val="22"/>
          <w:szCs w:val="22"/>
          <w:lang w:val="en-US"/>
        </w:rPr>
        <w:t>Prasetyo</w:t>
      </w:r>
      <w:proofErr w:type="spellEnd"/>
      <w:r w:rsidRPr="00A05A09">
        <w:rPr>
          <w:sz w:val="22"/>
          <w:szCs w:val="22"/>
          <w:lang w:val="en-US"/>
        </w:rPr>
        <w:t xml:space="preserve">, 2015, 2020; </w:t>
      </w:r>
      <w:proofErr w:type="spellStart"/>
      <w:r w:rsidRPr="00A05A09">
        <w:rPr>
          <w:sz w:val="22"/>
          <w:szCs w:val="22"/>
          <w:lang w:val="en-US"/>
        </w:rPr>
        <w:t>Dimyati</w:t>
      </w:r>
      <w:proofErr w:type="spellEnd"/>
      <w:r w:rsidRPr="00A05A09">
        <w:rPr>
          <w:sz w:val="22"/>
          <w:szCs w:val="22"/>
          <w:lang w:val="en-US"/>
        </w:rPr>
        <w:t>, 2021).</w:t>
      </w:r>
    </w:p>
    <w:p w14:paraId="506FE45B" w14:textId="77777777" w:rsidR="00390FB2" w:rsidRPr="00A05A09" w:rsidRDefault="00390FB2" w:rsidP="00686FA1">
      <w:pPr>
        <w:pStyle w:val="NormalWeb"/>
        <w:spacing w:before="0" w:beforeAutospacing="0" w:after="0" w:afterAutospacing="0" w:line="480" w:lineRule="auto"/>
        <w:ind w:firstLine="567"/>
        <w:jc w:val="both"/>
        <w:rPr>
          <w:sz w:val="22"/>
          <w:szCs w:val="22"/>
          <w:lang w:val="en-US"/>
        </w:rPr>
      </w:pPr>
      <w:r w:rsidRPr="00A05A09">
        <w:rPr>
          <w:rStyle w:val="Strong"/>
          <w:rFonts w:eastAsiaTheme="majorEastAsia"/>
          <w:b w:val="0"/>
          <w:bCs w:val="0"/>
          <w:sz w:val="22"/>
          <w:szCs w:val="22"/>
          <w:lang w:val="en-US"/>
        </w:rPr>
        <w:t>Ontology</w:t>
      </w:r>
      <w:r w:rsidRPr="00A05A09">
        <w:rPr>
          <w:b/>
          <w:bCs/>
          <w:sz w:val="22"/>
          <w:szCs w:val="22"/>
          <w:lang w:val="en-US"/>
        </w:rPr>
        <w:t xml:space="preserve"> </w:t>
      </w:r>
      <w:r w:rsidRPr="00A05A09">
        <w:rPr>
          <w:sz w:val="22"/>
          <w:szCs w:val="22"/>
          <w:lang w:val="en-US"/>
        </w:rPr>
        <w:t xml:space="preserve">in </w:t>
      </w:r>
      <w:proofErr w:type="spellStart"/>
      <w:r w:rsidRPr="00A05A09">
        <w:rPr>
          <w:rStyle w:val="Emphasis"/>
          <w:rFonts w:eastAsiaTheme="majorEastAsia"/>
          <w:i w:val="0"/>
          <w:iCs w:val="0"/>
          <w:sz w:val="22"/>
          <w:szCs w:val="22"/>
          <w:lang w:val="en-US"/>
        </w:rPr>
        <w:t>Keadilan</w:t>
      </w:r>
      <w:proofErr w:type="spellEnd"/>
      <w:r w:rsidRPr="00A05A09">
        <w:rPr>
          <w:rStyle w:val="Emphasis"/>
          <w:rFonts w:eastAsiaTheme="majorEastAsia"/>
          <w:i w:val="0"/>
          <w:iCs w:val="0"/>
          <w:sz w:val="22"/>
          <w:szCs w:val="22"/>
          <w:lang w:val="en-US"/>
        </w:rPr>
        <w:t xml:space="preserve"> </w:t>
      </w:r>
      <w:proofErr w:type="spellStart"/>
      <w:r w:rsidRPr="00A05A09">
        <w:rPr>
          <w:rStyle w:val="Emphasis"/>
          <w:rFonts w:eastAsiaTheme="majorEastAsia"/>
          <w:i w:val="0"/>
          <w:iCs w:val="0"/>
          <w:sz w:val="22"/>
          <w:szCs w:val="22"/>
          <w:lang w:val="en-US"/>
        </w:rPr>
        <w:t>Bermartabat</w:t>
      </w:r>
      <w:proofErr w:type="spellEnd"/>
      <w:r w:rsidRPr="00A05A09">
        <w:rPr>
          <w:sz w:val="22"/>
          <w:szCs w:val="22"/>
          <w:lang w:val="en-US"/>
        </w:rPr>
        <w:t xml:space="preserve"> defines law as more than a system of rules or procedures. Rejecting the reductionism of legal positivism, </w:t>
      </w:r>
      <w:proofErr w:type="spellStart"/>
      <w:r w:rsidRPr="00A05A09">
        <w:rPr>
          <w:sz w:val="22"/>
          <w:szCs w:val="22"/>
          <w:lang w:val="en-US"/>
        </w:rPr>
        <w:t>Prasetyo</w:t>
      </w:r>
      <w:proofErr w:type="spellEnd"/>
      <w:r w:rsidRPr="00A05A09">
        <w:rPr>
          <w:sz w:val="22"/>
          <w:szCs w:val="22"/>
          <w:lang w:val="en-US"/>
        </w:rPr>
        <w:t xml:space="preserve"> (2015) describes law ontologically as a unity of justice, utility, and certainty, with justice as the supreme value. This vision resonates with </w:t>
      </w:r>
      <w:proofErr w:type="spellStart"/>
      <w:r w:rsidRPr="00A05A09">
        <w:rPr>
          <w:sz w:val="22"/>
          <w:szCs w:val="22"/>
          <w:lang w:val="en-US"/>
        </w:rPr>
        <w:t>Dimyati’s</w:t>
      </w:r>
      <w:proofErr w:type="spellEnd"/>
      <w:r w:rsidRPr="00A05A09">
        <w:rPr>
          <w:sz w:val="22"/>
          <w:szCs w:val="22"/>
          <w:lang w:val="en-US"/>
        </w:rPr>
        <w:t xml:space="preserve"> (2021) argument that Pancasila’s principles of humanity and social justice anchor Indonesian law in a moral order rather than mere technical regulation. Whereas Western traditions often privilege one element—positivism emphasizes certainty, utilitarianism utility—</w:t>
      </w:r>
      <w:proofErr w:type="spellStart"/>
      <w:r w:rsidRPr="00A05A09">
        <w:rPr>
          <w:rStyle w:val="Emphasis"/>
          <w:rFonts w:eastAsiaTheme="majorEastAsia"/>
          <w:i w:val="0"/>
          <w:iCs w:val="0"/>
          <w:sz w:val="22"/>
          <w:szCs w:val="22"/>
          <w:lang w:val="en-US"/>
        </w:rPr>
        <w:t>Keadilan</w:t>
      </w:r>
      <w:proofErr w:type="spellEnd"/>
      <w:r w:rsidRPr="00A05A09">
        <w:rPr>
          <w:rStyle w:val="Emphasis"/>
          <w:rFonts w:eastAsiaTheme="majorEastAsia"/>
          <w:i w:val="0"/>
          <w:iCs w:val="0"/>
          <w:sz w:val="22"/>
          <w:szCs w:val="22"/>
          <w:lang w:val="en-US"/>
        </w:rPr>
        <w:t xml:space="preserve"> </w:t>
      </w:r>
      <w:proofErr w:type="spellStart"/>
      <w:r w:rsidRPr="00A05A09">
        <w:rPr>
          <w:rStyle w:val="Emphasis"/>
          <w:rFonts w:eastAsiaTheme="majorEastAsia"/>
          <w:i w:val="0"/>
          <w:iCs w:val="0"/>
          <w:sz w:val="22"/>
          <w:szCs w:val="22"/>
          <w:lang w:val="en-US"/>
        </w:rPr>
        <w:t>Bermartabat</w:t>
      </w:r>
      <w:proofErr w:type="spellEnd"/>
      <w:r w:rsidRPr="00A05A09">
        <w:rPr>
          <w:sz w:val="22"/>
          <w:szCs w:val="22"/>
          <w:lang w:val="en-US"/>
        </w:rPr>
        <w:t xml:space="preserve"> insists on balance. If one value dominates, law risks losing its dignity and failing to humanize those it governs.</w:t>
      </w:r>
    </w:p>
    <w:p w14:paraId="6F984F8C" w14:textId="77777777" w:rsidR="00390FB2" w:rsidRPr="00A05A09" w:rsidRDefault="00390FB2" w:rsidP="00686FA1">
      <w:pPr>
        <w:pStyle w:val="NormalWeb"/>
        <w:spacing w:before="0" w:beforeAutospacing="0" w:after="0" w:afterAutospacing="0" w:line="480" w:lineRule="auto"/>
        <w:ind w:firstLine="567"/>
        <w:jc w:val="both"/>
        <w:rPr>
          <w:sz w:val="22"/>
          <w:szCs w:val="22"/>
          <w:lang w:val="en-US"/>
        </w:rPr>
      </w:pPr>
      <w:r w:rsidRPr="00A05A09">
        <w:rPr>
          <w:rStyle w:val="Strong"/>
          <w:rFonts w:eastAsiaTheme="majorEastAsia"/>
          <w:b w:val="0"/>
          <w:bCs w:val="0"/>
          <w:sz w:val="22"/>
          <w:szCs w:val="22"/>
          <w:lang w:val="en-US"/>
        </w:rPr>
        <w:t>Epistemology</w:t>
      </w:r>
      <w:r w:rsidRPr="00A05A09">
        <w:rPr>
          <w:sz w:val="22"/>
          <w:szCs w:val="22"/>
          <w:lang w:val="en-US"/>
        </w:rPr>
        <w:t xml:space="preserve"> concerns the sources and methods of legal knowledge. In contrast to positivist formalism, which restricts legal reasoning to the strict application of enacted rules, </w:t>
      </w:r>
      <w:proofErr w:type="spellStart"/>
      <w:r w:rsidRPr="00A05A09">
        <w:rPr>
          <w:rStyle w:val="Emphasis"/>
          <w:rFonts w:eastAsiaTheme="majorEastAsia"/>
          <w:i w:val="0"/>
          <w:iCs w:val="0"/>
          <w:sz w:val="22"/>
          <w:szCs w:val="22"/>
          <w:lang w:val="en-US"/>
        </w:rPr>
        <w:t>Keadilan</w:t>
      </w:r>
      <w:proofErr w:type="spellEnd"/>
      <w:r w:rsidRPr="00A05A09">
        <w:rPr>
          <w:rStyle w:val="Emphasis"/>
          <w:rFonts w:eastAsiaTheme="majorEastAsia"/>
          <w:i w:val="0"/>
          <w:iCs w:val="0"/>
          <w:sz w:val="22"/>
          <w:szCs w:val="22"/>
          <w:lang w:val="en-US"/>
        </w:rPr>
        <w:t xml:space="preserve"> </w:t>
      </w:r>
      <w:proofErr w:type="spellStart"/>
      <w:r w:rsidRPr="00A05A09">
        <w:rPr>
          <w:rStyle w:val="Emphasis"/>
          <w:rFonts w:eastAsiaTheme="majorEastAsia"/>
          <w:i w:val="0"/>
          <w:iCs w:val="0"/>
          <w:sz w:val="22"/>
          <w:szCs w:val="22"/>
          <w:lang w:val="en-US"/>
        </w:rPr>
        <w:t>Bermartabat</w:t>
      </w:r>
      <w:proofErr w:type="spellEnd"/>
      <w:r w:rsidRPr="00A05A09">
        <w:rPr>
          <w:sz w:val="22"/>
          <w:szCs w:val="22"/>
          <w:lang w:val="en-US"/>
        </w:rPr>
        <w:t xml:space="preserve"> advances </w:t>
      </w:r>
      <w:proofErr w:type="spellStart"/>
      <w:r w:rsidRPr="00A05A09">
        <w:rPr>
          <w:rStyle w:val="Emphasis"/>
          <w:rFonts w:eastAsiaTheme="majorEastAsia"/>
          <w:sz w:val="22"/>
          <w:szCs w:val="22"/>
          <w:lang w:val="en-US"/>
        </w:rPr>
        <w:t>rechtsvinding</w:t>
      </w:r>
      <w:proofErr w:type="spellEnd"/>
      <w:r w:rsidRPr="00A05A09">
        <w:rPr>
          <w:sz w:val="22"/>
          <w:szCs w:val="22"/>
          <w:lang w:val="en-US"/>
        </w:rPr>
        <w:t xml:space="preserve"> (legal discovery) as a normative obligation. Judges are tasked with interpreting and applying the law in ways consistent with Pancasila’s values, not simply reproducing statutory text (</w:t>
      </w:r>
      <w:proofErr w:type="spellStart"/>
      <w:r w:rsidRPr="00A05A09">
        <w:rPr>
          <w:sz w:val="22"/>
          <w:szCs w:val="22"/>
          <w:lang w:val="en-US"/>
        </w:rPr>
        <w:t>Disantara</w:t>
      </w:r>
      <w:proofErr w:type="spellEnd"/>
      <w:r w:rsidRPr="00A05A09">
        <w:rPr>
          <w:sz w:val="22"/>
          <w:szCs w:val="22"/>
          <w:lang w:val="en-US"/>
        </w:rPr>
        <w:t xml:space="preserve">, </w:t>
      </w:r>
      <w:proofErr w:type="spellStart"/>
      <w:r w:rsidRPr="00A05A09">
        <w:rPr>
          <w:sz w:val="22"/>
          <w:szCs w:val="22"/>
          <w:lang w:val="en-US"/>
        </w:rPr>
        <w:t>Anggono</w:t>
      </w:r>
      <w:proofErr w:type="spellEnd"/>
      <w:r w:rsidRPr="00A05A09">
        <w:rPr>
          <w:sz w:val="22"/>
          <w:szCs w:val="22"/>
          <w:lang w:val="en-US"/>
        </w:rPr>
        <w:t xml:space="preserve">, &amp; Efendi, 2022). This approach widens the scope of legal reasoning, allowing Indonesian jurisprudence to incorporate statutory, customary, and religious norms while filtering them through constitutional philosophy. Fenton (2024) emphasizes that this epistemic orientation affirms Indonesia’s legal sovereignty: international standards are not rejected but must be critically aligned with Pancasila before being domesticated into national </w:t>
      </w:r>
      <w:r w:rsidRPr="00A05A09">
        <w:rPr>
          <w:sz w:val="22"/>
          <w:szCs w:val="22"/>
          <w:lang w:val="en-US"/>
        </w:rPr>
        <w:lastRenderedPageBreak/>
        <w:t>law. In this way, epistemology becomes both a guide for adjudication and a safeguard against uncritical transplantation of foreign paradigms.</w:t>
      </w:r>
    </w:p>
    <w:p w14:paraId="41309B8E" w14:textId="15FF223A" w:rsidR="00390FB2" w:rsidRPr="00A05A09" w:rsidRDefault="00390FB2" w:rsidP="00686FA1">
      <w:pPr>
        <w:pStyle w:val="NormalWeb"/>
        <w:spacing w:before="0" w:beforeAutospacing="0" w:after="0" w:afterAutospacing="0" w:line="480" w:lineRule="auto"/>
        <w:ind w:firstLine="567"/>
        <w:jc w:val="both"/>
        <w:rPr>
          <w:sz w:val="22"/>
          <w:szCs w:val="22"/>
          <w:lang w:val="en-US"/>
        </w:rPr>
      </w:pPr>
      <w:r w:rsidRPr="00A05A09">
        <w:rPr>
          <w:rStyle w:val="Strong"/>
          <w:rFonts w:eastAsiaTheme="majorEastAsia"/>
          <w:b w:val="0"/>
          <w:bCs w:val="0"/>
          <w:sz w:val="22"/>
          <w:szCs w:val="22"/>
          <w:lang w:val="en-US"/>
        </w:rPr>
        <w:t>Axiology</w:t>
      </w:r>
      <w:r w:rsidRPr="00A05A09">
        <w:rPr>
          <w:sz w:val="22"/>
          <w:szCs w:val="22"/>
          <w:lang w:val="en-US"/>
        </w:rPr>
        <w:t xml:space="preserve"> addresses the purposes of law and is encapsulated in the principle of </w:t>
      </w:r>
      <w:proofErr w:type="spellStart"/>
      <w:r w:rsidRPr="00A05A09">
        <w:rPr>
          <w:rStyle w:val="Emphasis"/>
          <w:rFonts w:eastAsiaTheme="majorEastAsia"/>
          <w:sz w:val="22"/>
          <w:szCs w:val="22"/>
          <w:lang w:val="en-US"/>
        </w:rPr>
        <w:t>memanusiakan</w:t>
      </w:r>
      <w:proofErr w:type="spellEnd"/>
      <w:r w:rsidRPr="00A05A09">
        <w:rPr>
          <w:rStyle w:val="Emphasis"/>
          <w:rFonts w:eastAsiaTheme="majorEastAsia"/>
          <w:sz w:val="22"/>
          <w:szCs w:val="22"/>
          <w:lang w:val="en-US"/>
        </w:rPr>
        <w:t xml:space="preserve"> </w:t>
      </w:r>
      <w:proofErr w:type="spellStart"/>
      <w:r w:rsidRPr="00A05A09">
        <w:rPr>
          <w:rStyle w:val="Emphasis"/>
          <w:rFonts w:eastAsiaTheme="majorEastAsia"/>
          <w:sz w:val="22"/>
          <w:szCs w:val="22"/>
          <w:lang w:val="en-US"/>
        </w:rPr>
        <w:t>manusia</w:t>
      </w:r>
      <w:proofErr w:type="spellEnd"/>
      <w:r w:rsidRPr="00A05A09">
        <w:rPr>
          <w:sz w:val="22"/>
          <w:szCs w:val="22"/>
          <w:lang w:val="en-US"/>
        </w:rPr>
        <w:t xml:space="preserve">. </w:t>
      </w:r>
      <w:proofErr w:type="spellStart"/>
      <w:r w:rsidRPr="00A05A09">
        <w:rPr>
          <w:sz w:val="22"/>
          <w:szCs w:val="22"/>
          <w:lang w:val="en-US"/>
        </w:rPr>
        <w:t>Prasetyo</w:t>
      </w:r>
      <w:proofErr w:type="spellEnd"/>
      <w:r w:rsidRPr="00A05A09">
        <w:rPr>
          <w:sz w:val="22"/>
          <w:szCs w:val="22"/>
          <w:lang w:val="en-US"/>
        </w:rPr>
        <w:t xml:space="preserve"> (2015) situates dignity as the ultimate telos of the legal system, requiring that punishment, reconciliation, and regulation all serve the flourishing of persons and communities. Recent scholarship illustrates how this axiology operates in practice. Hamamah (2023) shows how victim restitution grounded in </w:t>
      </w:r>
      <w:proofErr w:type="spellStart"/>
      <w:r w:rsidRPr="00A05A09">
        <w:rPr>
          <w:rStyle w:val="Emphasis"/>
          <w:rFonts w:eastAsiaTheme="majorEastAsia"/>
          <w:i w:val="0"/>
          <w:iCs w:val="0"/>
          <w:sz w:val="22"/>
          <w:szCs w:val="22"/>
          <w:lang w:val="en-US"/>
        </w:rPr>
        <w:t>Keadilan</w:t>
      </w:r>
      <w:proofErr w:type="spellEnd"/>
      <w:r w:rsidRPr="00A05A09">
        <w:rPr>
          <w:rStyle w:val="Emphasis"/>
          <w:rFonts w:eastAsiaTheme="majorEastAsia"/>
          <w:i w:val="0"/>
          <w:iCs w:val="0"/>
          <w:sz w:val="22"/>
          <w:szCs w:val="22"/>
          <w:lang w:val="en-US"/>
        </w:rPr>
        <w:t xml:space="preserve"> </w:t>
      </w:r>
      <w:proofErr w:type="spellStart"/>
      <w:r w:rsidRPr="00A05A09">
        <w:rPr>
          <w:rStyle w:val="Emphasis"/>
          <w:rFonts w:eastAsiaTheme="majorEastAsia"/>
          <w:i w:val="0"/>
          <w:iCs w:val="0"/>
          <w:sz w:val="22"/>
          <w:szCs w:val="22"/>
          <w:lang w:val="en-US"/>
        </w:rPr>
        <w:t>Bermartabat</w:t>
      </w:r>
      <w:proofErr w:type="spellEnd"/>
      <w:r w:rsidRPr="00A05A09">
        <w:rPr>
          <w:sz w:val="22"/>
          <w:szCs w:val="22"/>
          <w:lang w:val="en-US"/>
        </w:rPr>
        <w:t xml:space="preserve"> reframes state responsibility as a moral obligation to restore dignity, not merely a procedural requirement. Similarly, Firmansyah, </w:t>
      </w:r>
      <w:proofErr w:type="spellStart"/>
      <w:r w:rsidRPr="00A05A09">
        <w:rPr>
          <w:sz w:val="22"/>
          <w:szCs w:val="22"/>
          <w:lang w:val="en-US"/>
        </w:rPr>
        <w:t>Disantara</w:t>
      </w:r>
      <w:proofErr w:type="spellEnd"/>
      <w:r w:rsidRPr="00A05A09">
        <w:rPr>
          <w:sz w:val="22"/>
          <w:szCs w:val="22"/>
          <w:lang w:val="en-US"/>
        </w:rPr>
        <w:t xml:space="preserve">, and Ishwara (2024) apply the theory to employment relations, arguing that work agreements must be judged </w:t>
      </w:r>
      <w:r w:rsidR="00A20CA7" w:rsidRPr="00A05A09">
        <w:rPr>
          <w:sz w:val="22"/>
          <w:szCs w:val="22"/>
          <w:lang w:val="en-US"/>
        </w:rPr>
        <w:t>by efficiency and</w:t>
      </w:r>
      <w:r w:rsidRPr="00A05A09">
        <w:rPr>
          <w:sz w:val="22"/>
          <w:szCs w:val="22"/>
          <w:lang w:val="en-US"/>
        </w:rPr>
        <w:t xml:space="preserve"> their ability to uphold human dignity. Unlike many Western dignity discourses that emphasize individual autonomy (Daly &amp; May, 2020; Le Moli, 2021), the Indonesian framework integrates dignity with communal and constitutional values, making it more responsive to postcolonial realities where justice is inseparable from collective identity.</w:t>
      </w:r>
    </w:p>
    <w:p w14:paraId="00CC6D6F" w14:textId="36DBA820" w:rsidR="00390FB2" w:rsidRPr="00A05A09" w:rsidRDefault="00390FB2" w:rsidP="00686FA1">
      <w:pPr>
        <w:pStyle w:val="NormalWeb"/>
        <w:spacing w:before="0" w:beforeAutospacing="0" w:after="0" w:afterAutospacing="0" w:line="480" w:lineRule="auto"/>
        <w:ind w:firstLine="567"/>
        <w:jc w:val="both"/>
        <w:rPr>
          <w:sz w:val="22"/>
          <w:szCs w:val="22"/>
          <w:lang w:val="en-US"/>
        </w:rPr>
      </w:pPr>
      <w:r w:rsidRPr="00A05A09">
        <w:rPr>
          <w:sz w:val="22"/>
          <w:szCs w:val="22"/>
          <w:lang w:val="en-US"/>
        </w:rPr>
        <w:t xml:space="preserve">These three dimensions construct law as moral architecture rather than a technical instrument. Ontologically, law is a unity of justice, utility, and certainty. Epistemologically, it is discovered through judicial reasoning guided by Pancasila. Axiologically, its purpose is to humanize human beings. Through this integration, </w:t>
      </w:r>
      <w:proofErr w:type="spellStart"/>
      <w:r w:rsidRPr="00A05A09">
        <w:rPr>
          <w:rStyle w:val="Emphasis"/>
          <w:rFonts w:eastAsiaTheme="majorEastAsia"/>
          <w:i w:val="0"/>
          <w:iCs w:val="0"/>
          <w:sz w:val="22"/>
          <w:szCs w:val="22"/>
          <w:lang w:val="en-US"/>
        </w:rPr>
        <w:t>Keadilan</w:t>
      </w:r>
      <w:proofErr w:type="spellEnd"/>
      <w:r w:rsidRPr="00A05A09">
        <w:rPr>
          <w:rStyle w:val="Emphasis"/>
          <w:rFonts w:eastAsiaTheme="majorEastAsia"/>
          <w:i w:val="0"/>
          <w:iCs w:val="0"/>
          <w:sz w:val="22"/>
          <w:szCs w:val="22"/>
          <w:lang w:val="en-US"/>
        </w:rPr>
        <w:t xml:space="preserve"> </w:t>
      </w:r>
      <w:proofErr w:type="spellStart"/>
      <w:r w:rsidRPr="00A05A09">
        <w:rPr>
          <w:rStyle w:val="Emphasis"/>
          <w:rFonts w:eastAsiaTheme="majorEastAsia"/>
          <w:i w:val="0"/>
          <w:iCs w:val="0"/>
          <w:sz w:val="22"/>
          <w:szCs w:val="22"/>
          <w:lang w:val="en-US"/>
        </w:rPr>
        <w:t>Bermartabat</w:t>
      </w:r>
      <w:proofErr w:type="spellEnd"/>
      <w:r w:rsidRPr="00A05A09">
        <w:rPr>
          <w:i/>
          <w:iCs/>
          <w:sz w:val="22"/>
          <w:szCs w:val="22"/>
          <w:lang w:val="en-US"/>
        </w:rPr>
        <w:t xml:space="preserve"> </w:t>
      </w:r>
      <w:r w:rsidRPr="00A05A09">
        <w:rPr>
          <w:sz w:val="22"/>
          <w:szCs w:val="22"/>
          <w:lang w:val="en-US"/>
        </w:rPr>
        <w:t>offers a jurisprudence that resists fragmentation, addresses the deficiencies of imported models, and reasserts Indonesia’s contribution to global debates on dignity-centered justice.</w:t>
      </w:r>
    </w:p>
    <w:p w14:paraId="15FCDFD6" w14:textId="207F6E34" w:rsidR="0023402C" w:rsidRPr="00A05A09" w:rsidRDefault="0023402C" w:rsidP="00686FA1">
      <w:pPr>
        <w:pStyle w:val="NormalWeb"/>
        <w:spacing w:before="0" w:beforeAutospacing="0" w:after="0" w:afterAutospacing="0" w:line="480" w:lineRule="auto"/>
        <w:ind w:firstLine="567"/>
        <w:jc w:val="both"/>
        <w:rPr>
          <w:sz w:val="22"/>
          <w:szCs w:val="22"/>
          <w:lang w:val="en-US"/>
        </w:rPr>
      </w:pPr>
      <w:r w:rsidRPr="00A05A09">
        <w:rPr>
          <w:sz w:val="22"/>
          <w:szCs w:val="22"/>
          <w:lang w:val="en-US"/>
        </w:rPr>
        <w:t xml:space="preserve">Recent scholarship increasingly treats </w:t>
      </w:r>
      <w:proofErr w:type="spellStart"/>
      <w:r w:rsidRPr="00A05A09">
        <w:rPr>
          <w:rStyle w:val="Emphasis"/>
          <w:rFonts w:eastAsiaTheme="majorEastAsia"/>
          <w:i w:val="0"/>
          <w:iCs w:val="0"/>
          <w:sz w:val="22"/>
          <w:szCs w:val="22"/>
          <w:lang w:val="en-US"/>
        </w:rPr>
        <w:t>Keadilan</w:t>
      </w:r>
      <w:proofErr w:type="spellEnd"/>
      <w:r w:rsidRPr="00A05A09">
        <w:rPr>
          <w:rStyle w:val="Emphasis"/>
          <w:rFonts w:eastAsiaTheme="majorEastAsia"/>
          <w:i w:val="0"/>
          <w:iCs w:val="0"/>
          <w:sz w:val="22"/>
          <w:szCs w:val="22"/>
          <w:lang w:val="en-US"/>
        </w:rPr>
        <w:t xml:space="preserve"> </w:t>
      </w:r>
      <w:proofErr w:type="spellStart"/>
      <w:r w:rsidRPr="00A05A09">
        <w:rPr>
          <w:rStyle w:val="Emphasis"/>
          <w:rFonts w:eastAsiaTheme="majorEastAsia"/>
          <w:i w:val="0"/>
          <w:iCs w:val="0"/>
          <w:sz w:val="22"/>
          <w:szCs w:val="22"/>
          <w:lang w:val="en-US"/>
        </w:rPr>
        <w:t>Bermartabat</w:t>
      </w:r>
      <w:proofErr w:type="spellEnd"/>
      <w:r w:rsidRPr="00A05A09">
        <w:rPr>
          <w:i/>
          <w:iCs/>
          <w:sz w:val="22"/>
          <w:szCs w:val="22"/>
          <w:lang w:val="en-US"/>
        </w:rPr>
        <w:t xml:space="preserve"> </w:t>
      </w:r>
      <w:r w:rsidRPr="00A05A09">
        <w:rPr>
          <w:sz w:val="22"/>
          <w:szCs w:val="22"/>
          <w:lang w:val="en-US"/>
        </w:rPr>
        <w:t xml:space="preserve">not simply as a jurisprudential theory but as a </w:t>
      </w:r>
      <w:r w:rsidRPr="00A05A09">
        <w:rPr>
          <w:rStyle w:val="Emphasis"/>
          <w:rFonts w:eastAsiaTheme="majorEastAsia"/>
          <w:i w:val="0"/>
          <w:iCs w:val="0"/>
          <w:sz w:val="22"/>
          <w:szCs w:val="22"/>
          <w:lang w:val="en-US"/>
        </w:rPr>
        <w:t>meta-meta theory</w:t>
      </w:r>
      <w:r w:rsidRPr="00A05A09">
        <w:rPr>
          <w:sz w:val="22"/>
          <w:szCs w:val="22"/>
          <w:lang w:val="en-US"/>
        </w:rPr>
        <w:t xml:space="preserve"> (</w:t>
      </w:r>
      <w:proofErr w:type="spellStart"/>
      <w:r w:rsidRPr="00A05A09">
        <w:rPr>
          <w:sz w:val="22"/>
          <w:szCs w:val="22"/>
          <w:lang w:val="en-US"/>
        </w:rPr>
        <w:t>Prasetyo</w:t>
      </w:r>
      <w:proofErr w:type="spellEnd"/>
      <w:r w:rsidRPr="00A05A09">
        <w:rPr>
          <w:sz w:val="22"/>
          <w:szCs w:val="22"/>
          <w:lang w:val="en-US"/>
        </w:rPr>
        <w:t xml:space="preserve">, 2025). It </w:t>
      </w:r>
      <w:r w:rsidR="00A20CA7" w:rsidRPr="00A05A09">
        <w:rPr>
          <w:sz w:val="22"/>
          <w:szCs w:val="22"/>
          <w:lang w:val="en-US"/>
        </w:rPr>
        <w:t>i</w:t>
      </w:r>
      <w:r w:rsidRPr="00A05A09">
        <w:rPr>
          <w:sz w:val="22"/>
          <w:szCs w:val="22"/>
          <w:lang w:val="en-US"/>
        </w:rPr>
        <w:t xml:space="preserve">s a normative architecture that organizes legal reasoning and interpretation through </w:t>
      </w:r>
      <w:r w:rsidRPr="00A05A09">
        <w:rPr>
          <w:rStyle w:val="Emphasis"/>
          <w:rFonts w:eastAsiaTheme="majorEastAsia"/>
          <w:i w:val="0"/>
          <w:iCs w:val="0"/>
          <w:sz w:val="22"/>
          <w:szCs w:val="22"/>
          <w:lang w:val="en-US"/>
        </w:rPr>
        <w:t>Pancasila</w:t>
      </w:r>
      <w:r w:rsidRPr="00A05A09">
        <w:rPr>
          <w:sz w:val="22"/>
          <w:szCs w:val="22"/>
          <w:lang w:val="en-US"/>
        </w:rPr>
        <w:t xml:space="preserve"> as the nation’s </w:t>
      </w:r>
      <w:proofErr w:type="spellStart"/>
      <w:r w:rsidRPr="00A05A09">
        <w:rPr>
          <w:rStyle w:val="Emphasis"/>
          <w:rFonts w:eastAsiaTheme="majorEastAsia"/>
          <w:sz w:val="22"/>
          <w:szCs w:val="22"/>
          <w:lang w:val="en-US"/>
        </w:rPr>
        <w:t>Volkgeist</w:t>
      </w:r>
      <w:proofErr w:type="spellEnd"/>
      <w:r w:rsidRPr="00A05A09">
        <w:rPr>
          <w:sz w:val="22"/>
          <w:szCs w:val="22"/>
          <w:lang w:val="en-US"/>
        </w:rPr>
        <w:t xml:space="preserve">. In this sense, </w:t>
      </w:r>
      <w:proofErr w:type="spellStart"/>
      <w:r w:rsidRPr="00A05A09">
        <w:rPr>
          <w:sz w:val="22"/>
          <w:szCs w:val="22"/>
          <w:lang w:val="en-US"/>
        </w:rPr>
        <w:t>K</w:t>
      </w:r>
      <w:r w:rsidR="00041FC5" w:rsidRPr="00A05A09">
        <w:rPr>
          <w:sz w:val="22"/>
          <w:szCs w:val="22"/>
          <w:lang w:val="en-US"/>
        </w:rPr>
        <w:t>eadilan</w:t>
      </w:r>
      <w:proofErr w:type="spellEnd"/>
      <w:r w:rsidR="00041FC5" w:rsidRPr="00A05A09">
        <w:rPr>
          <w:sz w:val="22"/>
          <w:szCs w:val="22"/>
          <w:lang w:val="en-US"/>
        </w:rPr>
        <w:t xml:space="preserve"> </w:t>
      </w:r>
      <w:proofErr w:type="spellStart"/>
      <w:r w:rsidRPr="00A05A09">
        <w:rPr>
          <w:sz w:val="22"/>
          <w:szCs w:val="22"/>
          <w:lang w:val="en-US"/>
        </w:rPr>
        <w:t>B</w:t>
      </w:r>
      <w:r w:rsidR="00041FC5" w:rsidRPr="00A05A09">
        <w:rPr>
          <w:sz w:val="22"/>
          <w:szCs w:val="22"/>
          <w:lang w:val="en-US"/>
        </w:rPr>
        <w:t>ermartabat</w:t>
      </w:r>
      <w:proofErr w:type="spellEnd"/>
      <w:r w:rsidRPr="00A05A09">
        <w:rPr>
          <w:sz w:val="22"/>
          <w:szCs w:val="22"/>
          <w:lang w:val="en-US"/>
        </w:rPr>
        <w:t xml:space="preserve"> is more than a critique of retributive and restorative justice. It emerges as a constitutional philosophy that guides judicial interpretation, legislative development, and institutional adjudication.</w:t>
      </w:r>
    </w:p>
    <w:p w14:paraId="2A25D7E0" w14:textId="77777777" w:rsidR="00390FB2" w:rsidRPr="00A05A09" w:rsidRDefault="00390FB2" w:rsidP="00686FA1">
      <w:pPr>
        <w:pStyle w:val="NormalWeb"/>
        <w:spacing w:before="0" w:beforeAutospacing="0" w:after="0" w:afterAutospacing="0" w:line="480" w:lineRule="auto"/>
        <w:jc w:val="both"/>
        <w:rPr>
          <w:sz w:val="22"/>
          <w:szCs w:val="22"/>
          <w:lang w:val="en-US"/>
        </w:rPr>
      </w:pPr>
    </w:p>
    <w:p w14:paraId="5DA4F3B2" w14:textId="12E17C61" w:rsidR="00EB2BD6" w:rsidRPr="00A05A09" w:rsidRDefault="00EB2BD6" w:rsidP="00686FA1">
      <w:pPr>
        <w:pStyle w:val="NormalWeb"/>
        <w:spacing w:before="0" w:beforeAutospacing="0" w:after="0" w:afterAutospacing="0" w:line="480" w:lineRule="auto"/>
        <w:jc w:val="both"/>
        <w:rPr>
          <w:b/>
          <w:bCs/>
          <w:sz w:val="22"/>
          <w:szCs w:val="22"/>
          <w:lang w:val="en-US"/>
        </w:rPr>
      </w:pPr>
      <w:r w:rsidRPr="00A05A09">
        <w:rPr>
          <w:b/>
          <w:bCs/>
          <w:sz w:val="22"/>
          <w:szCs w:val="22"/>
          <w:lang w:val="en-US"/>
        </w:rPr>
        <w:t>Case Studies: Applying a Dignity-Based Lens</w:t>
      </w:r>
    </w:p>
    <w:p w14:paraId="0591F28A" w14:textId="77777777" w:rsidR="00816ECA" w:rsidRPr="00A05A09" w:rsidRDefault="00816ECA" w:rsidP="00686FA1">
      <w:pPr>
        <w:pStyle w:val="NormalWeb"/>
        <w:spacing w:before="0" w:beforeAutospacing="0" w:after="0" w:afterAutospacing="0" w:line="480" w:lineRule="auto"/>
        <w:ind w:firstLine="567"/>
        <w:jc w:val="both"/>
        <w:rPr>
          <w:sz w:val="22"/>
          <w:szCs w:val="22"/>
          <w:lang w:val="en-US"/>
        </w:rPr>
      </w:pPr>
      <w:r w:rsidRPr="00A05A09">
        <w:rPr>
          <w:sz w:val="22"/>
          <w:szCs w:val="22"/>
          <w:lang w:val="en-US"/>
        </w:rPr>
        <w:t xml:space="preserve">The weaknesses of imported justice models become clearer when tested against Indonesian judicial and legislative practice. Several key cases illustrate how outcomes rooted in retributive or restorative approaches often failed to meet victims’ expectations or uphold constitutional values. By revisiting these decisions through the lens of </w:t>
      </w:r>
      <w:proofErr w:type="spellStart"/>
      <w:r w:rsidRPr="00A05A09">
        <w:rPr>
          <w:rStyle w:val="Emphasis"/>
          <w:rFonts w:eastAsiaTheme="majorEastAsia"/>
          <w:i w:val="0"/>
          <w:iCs w:val="0"/>
          <w:sz w:val="22"/>
          <w:szCs w:val="22"/>
          <w:lang w:val="en-US"/>
        </w:rPr>
        <w:t>Keadilan</w:t>
      </w:r>
      <w:proofErr w:type="spellEnd"/>
      <w:r w:rsidRPr="00A05A09">
        <w:rPr>
          <w:rStyle w:val="Emphasis"/>
          <w:rFonts w:eastAsiaTheme="majorEastAsia"/>
          <w:i w:val="0"/>
          <w:iCs w:val="0"/>
          <w:sz w:val="22"/>
          <w:szCs w:val="22"/>
          <w:lang w:val="en-US"/>
        </w:rPr>
        <w:t xml:space="preserve"> </w:t>
      </w:r>
      <w:proofErr w:type="spellStart"/>
      <w:r w:rsidRPr="00A05A09">
        <w:rPr>
          <w:rStyle w:val="Emphasis"/>
          <w:rFonts w:eastAsiaTheme="majorEastAsia"/>
          <w:i w:val="0"/>
          <w:iCs w:val="0"/>
          <w:sz w:val="22"/>
          <w:szCs w:val="22"/>
          <w:lang w:val="en-US"/>
        </w:rPr>
        <w:t>Bermartabat</w:t>
      </w:r>
      <w:proofErr w:type="spellEnd"/>
      <w:r w:rsidRPr="00A05A09">
        <w:rPr>
          <w:sz w:val="22"/>
          <w:szCs w:val="22"/>
          <w:lang w:val="en-US"/>
        </w:rPr>
        <w:t>, it is possible to see how a dignity-based framework could provide more coherent and humane outcomes.</w:t>
      </w:r>
    </w:p>
    <w:p w14:paraId="4B125E57" w14:textId="697C9FBF" w:rsidR="00816ECA" w:rsidRPr="00A05A09" w:rsidRDefault="00816ECA" w:rsidP="00686FA1">
      <w:pPr>
        <w:pStyle w:val="NormalWeb"/>
        <w:spacing w:before="0" w:beforeAutospacing="0" w:after="0" w:afterAutospacing="0" w:line="480" w:lineRule="auto"/>
        <w:ind w:firstLine="567"/>
        <w:jc w:val="both"/>
        <w:rPr>
          <w:sz w:val="22"/>
          <w:szCs w:val="22"/>
          <w:lang w:val="en-US"/>
        </w:rPr>
      </w:pPr>
      <w:r w:rsidRPr="00A05A09">
        <w:rPr>
          <w:sz w:val="22"/>
          <w:szCs w:val="22"/>
          <w:lang w:val="en-US"/>
        </w:rPr>
        <w:lastRenderedPageBreak/>
        <w:t>A first example lies in the prosecution of corruption. In Supreme Court Decision No. 2893K/</w:t>
      </w:r>
      <w:proofErr w:type="spellStart"/>
      <w:r w:rsidRPr="00A05A09">
        <w:rPr>
          <w:sz w:val="22"/>
          <w:szCs w:val="22"/>
          <w:lang w:val="en-US"/>
        </w:rPr>
        <w:t>Pid.Sus</w:t>
      </w:r>
      <w:proofErr w:type="spellEnd"/>
      <w:r w:rsidRPr="00A05A09">
        <w:rPr>
          <w:sz w:val="22"/>
          <w:szCs w:val="22"/>
          <w:lang w:val="en-US"/>
        </w:rPr>
        <w:t xml:space="preserve">/2017, a public official convicted of bribery received a reduced sentence </w:t>
      </w:r>
      <w:r w:rsidR="00A20CA7" w:rsidRPr="00A05A09">
        <w:rPr>
          <w:sz w:val="22"/>
          <w:szCs w:val="22"/>
          <w:lang w:val="en-US"/>
        </w:rPr>
        <w:t>based on</w:t>
      </w:r>
      <w:r w:rsidRPr="00A05A09">
        <w:rPr>
          <w:sz w:val="22"/>
          <w:szCs w:val="22"/>
          <w:lang w:val="en-US"/>
        </w:rPr>
        <w:t xml:space="preserve"> broad mitigating factors. Scholars argue that such leniency reflects how corruption prosecutions in Indonesia prioritize technical legality over the dignity of citizens who suffer from systemic graft (Butt, 2020). A </w:t>
      </w:r>
      <w:proofErr w:type="spellStart"/>
      <w:r w:rsidRPr="00A05A09">
        <w:rPr>
          <w:rStyle w:val="Emphasis"/>
          <w:rFonts w:eastAsiaTheme="majorEastAsia"/>
          <w:i w:val="0"/>
          <w:iCs w:val="0"/>
          <w:sz w:val="22"/>
          <w:szCs w:val="22"/>
          <w:lang w:val="en-US"/>
        </w:rPr>
        <w:t>Keadilan</w:t>
      </w:r>
      <w:proofErr w:type="spellEnd"/>
      <w:r w:rsidRPr="00A05A09">
        <w:rPr>
          <w:rStyle w:val="Emphasis"/>
          <w:rFonts w:eastAsiaTheme="majorEastAsia"/>
          <w:i w:val="0"/>
          <w:iCs w:val="0"/>
          <w:sz w:val="22"/>
          <w:szCs w:val="22"/>
          <w:lang w:val="en-US"/>
        </w:rPr>
        <w:t xml:space="preserve"> </w:t>
      </w:r>
      <w:proofErr w:type="spellStart"/>
      <w:r w:rsidRPr="00A05A09">
        <w:rPr>
          <w:rStyle w:val="Emphasis"/>
          <w:rFonts w:eastAsiaTheme="majorEastAsia"/>
          <w:i w:val="0"/>
          <w:iCs w:val="0"/>
          <w:sz w:val="22"/>
          <w:szCs w:val="22"/>
          <w:lang w:val="en-US"/>
        </w:rPr>
        <w:t>Bermartabat</w:t>
      </w:r>
      <w:proofErr w:type="spellEnd"/>
      <w:r w:rsidRPr="00A05A09">
        <w:rPr>
          <w:sz w:val="22"/>
          <w:szCs w:val="22"/>
          <w:lang w:val="en-US"/>
        </w:rPr>
        <w:t xml:space="preserve"> approach would demand proportional accountability, treating corruption not only as a financial crime against the state but also as a violation of the dignity of the public, who bear the burden of weakened institutions and lost social trust.</w:t>
      </w:r>
    </w:p>
    <w:p w14:paraId="1ABA1104" w14:textId="53B38573" w:rsidR="00816ECA" w:rsidRPr="00A05A09" w:rsidRDefault="00816ECA" w:rsidP="00686FA1">
      <w:pPr>
        <w:pStyle w:val="NormalWeb"/>
        <w:spacing w:before="0" w:beforeAutospacing="0" w:after="0" w:afterAutospacing="0" w:line="480" w:lineRule="auto"/>
        <w:ind w:firstLine="567"/>
        <w:jc w:val="both"/>
        <w:rPr>
          <w:sz w:val="22"/>
          <w:szCs w:val="22"/>
          <w:lang w:val="en-US"/>
        </w:rPr>
      </w:pPr>
      <w:r w:rsidRPr="00A05A09">
        <w:rPr>
          <w:sz w:val="22"/>
          <w:szCs w:val="22"/>
          <w:lang w:val="en-US"/>
        </w:rPr>
        <w:t>Land rights conflicts similarly reveal the dehumanizing effects of formalist adjudication. In District Court Decision No. 144/</w:t>
      </w:r>
      <w:proofErr w:type="spellStart"/>
      <w:r w:rsidRPr="00A05A09">
        <w:rPr>
          <w:sz w:val="22"/>
          <w:szCs w:val="22"/>
          <w:lang w:val="en-US"/>
        </w:rPr>
        <w:t>Pid.Sus</w:t>
      </w:r>
      <w:proofErr w:type="spellEnd"/>
      <w:r w:rsidRPr="00A05A09">
        <w:rPr>
          <w:sz w:val="22"/>
          <w:szCs w:val="22"/>
          <w:lang w:val="en-US"/>
        </w:rPr>
        <w:t>/</w:t>
      </w:r>
      <w:proofErr w:type="spellStart"/>
      <w:proofErr w:type="gramStart"/>
      <w:r w:rsidRPr="00A05A09">
        <w:rPr>
          <w:sz w:val="22"/>
          <w:szCs w:val="22"/>
          <w:lang w:val="en-US"/>
        </w:rPr>
        <w:t>PN.Brb</w:t>
      </w:r>
      <w:proofErr w:type="spellEnd"/>
      <w:proofErr w:type="gramEnd"/>
      <w:r w:rsidRPr="00A05A09">
        <w:rPr>
          <w:sz w:val="22"/>
          <w:szCs w:val="22"/>
          <w:lang w:val="en-US"/>
        </w:rPr>
        <w:t xml:space="preserve"> (2018), villagers protesting against a National Strategic Project were criminalized under public order provisions. The decision treated residents as obstacles to development rather than rights-bearing citizens. Studies of land conflicts in Indonesia show that such criminalization has been a common strategy to suppress grassroots resistance (Afif, 2022; Bedner &amp; Arizona, 2019). By contrast, a dignity-based analysis would recognize protest as an expression of community rights and require mediation or equitable remedies instead of punitive sanctions, affirming both development goals and citizens’ humanity.</w:t>
      </w:r>
    </w:p>
    <w:p w14:paraId="6F2B7F05" w14:textId="1BA7F193" w:rsidR="00816ECA" w:rsidRPr="00A05A09" w:rsidRDefault="00816ECA" w:rsidP="00686FA1">
      <w:pPr>
        <w:pStyle w:val="NormalWeb"/>
        <w:spacing w:before="0" w:beforeAutospacing="0" w:after="0" w:afterAutospacing="0" w:line="480" w:lineRule="auto"/>
        <w:ind w:firstLine="567"/>
        <w:jc w:val="both"/>
        <w:rPr>
          <w:sz w:val="22"/>
          <w:szCs w:val="22"/>
          <w:lang w:val="en-US"/>
        </w:rPr>
      </w:pPr>
      <w:r w:rsidRPr="00A05A09">
        <w:rPr>
          <w:sz w:val="22"/>
          <w:szCs w:val="22"/>
          <w:lang w:val="en-US"/>
        </w:rPr>
        <w:t>In constitutional review, the Job Creation Law (Omnibus Law) illustrates how procedural legality was privileged over substantive justice. In Constitutional Court Decision No. 91/PUU-XVIII/2020, the Court acknowledged that the law’s passage violated procedural requirements but allowed it to remain in force pending revision. Critics argue that this ruling prioritized administrative stability at the expense of democratic participation and citizen dignity (Butt, 2021). Applying a dignity test would have required the Court to strike down the law, affirming that governance must serve humanity and public deliberation rather than expediency.</w:t>
      </w:r>
    </w:p>
    <w:p w14:paraId="72B4E856" w14:textId="77777777" w:rsidR="00816ECA" w:rsidRPr="00A05A09" w:rsidRDefault="00816ECA" w:rsidP="00686FA1">
      <w:pPr>
        <w:pStyle w:val="NormalWeb"/>
        <w:spacing w:before="0" w:beforeAutospacing="0" w:after="0" w:afterAutospacing="0" w:line="480" w:lineRule="auto"/>
        <w:ind w:firstLine="567"/>
        <w:jc w:val="both"/>
        <w:rPr>
          <w:sz w:val="22"/>
          <w:szCs w:val="22"/>
          <w:lang w:val="en-US"/>
        </w:rPr>
      </w:pPr>
      <w:r w:rsidRPr="00A05A09">
        <w:rPr>
          <w:sz w:val="22"/>
          <w:szCs w:val="22"/>
          <w:lang w:val="en-US"/>
        </w:rPr>
        <w:t>Labor disputes also highlight the risks of narrow legal reasoning. In Supreme Court Decision No. 110K/</w:t>
      </w:r>
      <w:proofErr w:type="spellStart"/>
      <w:r w:rsidRPr="00A05A09">
        <w:rPr>
          <w:sz w:val="22"/>
          <w:szCs w:val="22"/>
          <w:lang w:val="en-US"/>
        </w:rPr>
        <w:t>Pdt.Sus</w:t>
      </w:r>
      <w:proofErr w:type="spellEnd"/>
      <w:r w:rsidRPr="00A05A09">
        <w:rPr>
          <w:sz w:val="22"/>
          <w:szCs w:val="22"/>
          <w:lang w:val="en-US"/>
        </w:rPr>
        <w:t xml:space="preserve">-PHI/2014, the Court upheld the dismissal of an employee by focusing narrowly on procedural compliance. This reasoning neglected the power imbalance between employer and employee and overlooked the social meaning of work as a site of recognition and dignity. Under </w:t>
      </w:r>
      <w:proofErr w:type="spellStart"/>
      <w:r w:rsidRPr="00A05A09">
        <w:rPr>
          <w:rStyle w:val="Emphasis"/>
          <w:rFonts w:eastAsiaTheme="majorEastAsia"/>
          <w:i w:val="0"/>
          <w:iCs w:val="0"/>
          <w:sz w:val="22"/>
          <w:szCs w:val="22"/>
          <w:lang w:val="en-US"/>
        </w:rPr>
        <w:t>Keadilan</w:t>
      </w:r>
      <w:proofErr w:type="spellEnd"/>
      <w:r w:rsidRPr="00A05A09">
        <w:rPr>
          <w:rStyle w:val="Emphasis"/>
          <w:rFonts w:eastAsiaTheme="majorEastAsia"/>
          <w:i w:val="0"/>
          <w:iCs w:val="0"/>
          <w:sz w:val="22"/>
          <w:szCs w:val="22"/>
          <w:lang w:val="en-US"/>
        </w:rPr>
        <w:t xml:space="preserve"> Bermartabat</w:t>
      </w:r>
      <w:r w:rsidRPr="00A05A09">
        <w:rPr>
          <w:sz w:val="22"/>
          <w:szCs w:val="22"/>
          <w:lang w:val="en-US"/>
        </w:rPr>
        <w:t xml:space="preserve">, labor law would be guided by the axiology of </w:t>
      </w:r>
      <w:proofErr w:type="spellStart"/>
      <w:r w:rsidRPr="00A05A09">
        <w:rPr>
          <w:rStyle w:val="Emphasis"/>
          <w:rFonts w:eastAsiaTheme="majorEastAsia"/>
          <w:sz w:val="22"/>
          <w:szCs w:val="22"/>
          <w:lang w:val="en-US"/>
        </w:rPr>
        <w:t>memanusiakan</w:t>
      </w:r>
      <w:proofErr w:type="spellEnd"/>
      <w:r w:rsidRPr="00A05A09">
        <w:rPr>
          <w:rStyle w:val="Emphasis"/>
          <w:rFonts w:eastAsiaTheme="majorEastAsia"/>
          <w:sz w:val="22"/>
          <w:szCs w:val="22"/>
          <w:lang w:val="en-US"/>
        </w:rPr>
        <w:t xml:space="preserve"> </w:t>
      </w:r>
      <w:proofErr w:type="spellStart"/>
      <w:r w:rsidRPr="00A05A09">
        <w:rPr>
          <w:rStyle w:val="Emphasis"/>
          <w:rFonts w:eastAsiaTheme="majorEastAsia"/>
          <w:sz w:val="22"/>
          <w:szCs w:val="22"/>
          <w:lang w:val="en-US"/>
        </w:rPr>
        <w:t>manusia</w:t>
      </w:r>
      <w:proofErr w:type="spellEnd"/>
      <w:r w:rsidRPr="00A05A09">
        <w:rPr>
          <w:sz w:val="22"/>
          <w:szCs w:val="22"/>
          <w:lang w:val="en-US"/>
        </w:rPr>
        <w:t>, requiring courts to consider whether dismissals uphold or undermine the worker’s dignity and social security.</w:t>
      </w:r>
    </w:p>
    <w:p w14:paraId="21421F75" w14:textId="1DCE277A" w:rsidR="00816ECA" w:rsidRPr="00A05A09" w:rsidRDefault="00816ECA" w:rsidP="00686FA1">
      <w:pPr>
        <w:pStyle w:val="NormalWeb"/>
        <w:spacing w:before="0" w:beforeAutospacing="0" w:after="0" w:afterAutospacing="0" w:line="480" w:lineRule="auto"/>
        <w:ind w:firstLine="567"/>
        <w:jc w:val="both"/>
        <w:rPr>
          <w:sz w:val="22"/>
          <w:szCs w:val="22"/>
          <w:lang w:val="en-US"/>
        </w:rPr>
      </w:pPr>
      <w:r w:rsidRPr="00A05A09">
        <w:rPr>
          <w:sz w:val="22"/>
          <w:szCs w:val="22"/>
          <w:lang w:val="en-US"/>
        </w:rPr>
        <w:t xml:space="preserve">Environmental litigation provides a final illustration of how dignity can extend beyond individuals to communities and future generations. In </w:t>
      </w:r>
      <w:r w:rsidRPr="00A05A09">
        <w:rPr>
          <w:rStyle w:val="Emphasis"/>
          <w:rFonts w:eastAsiaTheme="majorEastAsia"/>
          <w:i w:val="0"/>
          <w:iCs w:val="0"/>
          <w:sz w:val="22"/>
          <w:szCs w:val="22"/>
          <w:lang w:val="en-US"/>
        </w:rPr>
        <w:t xml:space="preserve">Kementerian </w:t>
      </w:r>
      <w:proofErr w:type="spellStart"/>
      <w:r w:rsidRPr="00A05A09">
        <w:rPr>
          <w:rStyle w:val="Emphasis"/>
          <w:rFonts w:eastAsiaTheme="majorEastAsia"/>
          <w:i w:val="0"/>
          <w:iCs w:val="0"/>
          <w:sz w:val="22"/>
          <w:szCs w:val="22"/>
          <w:lang w:val="en-US"/>
        </w:rPr>
        <w:t>Lingkungan</w:t>
      </w:r>
      <w:proofErr w:type="spellEnd"/>
      <w:r w:rsidRPr="00A05A09">
        <w:rPr>
          <w:rStyle w:val="Emphasis"/>
          <w:rFonts w:eastAsiaTheme="majorEastAsia"/>
          <w:i w:val="0"/>
          <w:iCs w:val="0"/>
          <w:sz w:val="22"/>
          <w:szCs w:val="22"/>
          <w:lang w:val="en-US"/>
        </w:rPr>
        <w:t xml:space="preserve"> Hidup dan </w:t>
      </w:r>
      <w:proofErr w:type="spellStart"/>
      <w:r w:rsidRPr="00A05A09">
        <w:rPr>
          <w:rStyle w:val="Emphasis"/>
          <w:rFonts w:eastAsiaTheme="majorEastAsia"/>
          <w:i w:val="0"/>
          <w:iCs w:val="0"/>
          <w:sz w:val="22"/>
          <w:szCs w:val="22"/>
          <w:lang w:val="en-US"/>
        </w:rPr>
        <w:t>Kehutanan</w:t>
      </w:r>
      <w:proofErr w:type="spellEnd"/>
      <w:r w:rsidRPr="00A05A09">
        <w:rPr>
          <w:rStyle w:val="Emphasis"/>
          <w:rFonts w:eastAsiaTheme="majorEastAsia"/>
          <w:i w:val="0"/>
          <w:iCs w:val="0"/>
          <w:sz w:val="22"/>
          <w:szCs w:val="22"/>
          <w:lang w:val="en-US"/>
        </w:rPr>
        <w:t xml:space="preserve"> v. PT Bumi </w:t>
      </w:r>
      <w:proofErr w:type="spellStart"/>
      <w:r w:rsidRPr="00A05A09">
        <w:rPr>
          <w:rStyle w:val="Emphasis"/>
          <w:rFonts w:eastAsiaTheme="majorEastAsia"/>
          <w:i w:val="0"/>
          <w:iCs w:val="0"/>
          <w:sz w:val="22"/>
          <w:szCs w:val="22"/>
          <w:lang w:val="en-US"/>
        </w:rPr>
        <w:t>Mekar</w:t>
      </w:r>
      <w:proofErr w:type="spellEnd"/>
      <w:r w:rsidRPr="00A05A09">
        <w:rPr>
          <w:rStyle w:val="Emphasis"/>
          <w:rFonts w:eastAsiaTheme="majorEastAsia"/>
          <w:i w:val="0"/>
          <w:iCs w:val="0"/>
          <w:sz w:val="22"/>
          <w:szCs w:val="22"/>
          <w:lang w:val="en-US"/>
        </w:rPr>
        <w:t xml:space="preserve"> Hijau</w:t>
      </w:r>
      <w:r w:rsidRPr="00A05A09">
        <w:rPr>
          <w:i/>
          <w:iCs/>
          <w:sz w:val="22"/>
          <w:szCs w:val="22"/>
          <w:lang w:val="en-US"/>
        </w:rPr>
        <w:t xml:space="preserve"> </w:t>
      </w:r>
      <w:r w:rsidRPr="00A05A09">
        <w:rPr>
          <w:sz w:val="22"/>
          <w:szCs w:val="22"/>
          <w:lang w:val="en-US"/>
        </w:rPr>
        <w:t xml:space="preserve">(2016), the Palembang District Court initially rejected government claims against the corporation despite </w:t>
      </w:r>
      <w:r w:rsidRPr="00A05A09">
        <w:rPr>
          <w:sz w:val="22"/>
          <w:szCs w:val="22"/>
          <w:lang w:val="en-US"/>
        </w:rPr>
        <w:lastRenderedPageBreak/>
        <w:t>extensive evidence of forest burning. Although subsequent appeals increased corporate liability, the case exposed a judicial reluctance to prioritize ecological harm and community well-being over corporate interests (</w:t>
      </w:r>
      <w:proofErr w:type="spellStart"/>
      <w:r w:rsidRPr="00A05A09">
        <w:rPr>
          <w:sz w:val="22"/>
          <w:szCs w:val="22"/>
          <w:lang w:val="en-US"/>
        </w:rPr>
        <w:t>Nurfadillah</w:t>
      </w:r>
      <w:proofErr w:type="spellEnd"/>
      <w:r w:rsidRPr="00A05A09">
        <w:rPr>
          <w:sz w:val="22"/>
          <w:szCs w:val="22"/>
          <w:lang w:val="en-US"/>
        </w:rPr>
        <w:t xml:space="preserve">, 2020). From the perspective of </w:t>
      </w:r>
      <w:proofErr w:type="spellStart"/>
      <w:r w:rsidRPr="00A05A09">
        <w:rPr>
          <w:rStyle w:val="Emphasis"/>
          <w:rFonts w:eastAsiaTheme="majorEastAsia"/>
          <w:i w:val="0"/>
          <w:iCs w:val="0"/>
          <w:sz w:val="22"/>
          <w:szCs w:val="22"/>
          <w:lang w:val="en-US"/>
        </w:rPr>
        <w:t>Keadilan</w:t>
      </w:r>
      <w:proofErr w:type="spellEnd"/>
      <w:r w:rsidRPr="00A05A09">
        <w:rPr>
          <w:rStyle w:val="Emphasis"/>
          <w:rFonts w:eastAsiaTheme="majorEastAsia"/>
          <w:i w:val="0"/>
          <w:iCs w:val="0"/>
          <w:sz w:val="22"/>
          <w:szCs w:val="22"/>
          <w:lang w:val="en-US"/>
        </w:rPr>
        <w:t xml:space="preserve"> </w:t>
      </w:r>
      <w:proofErr w:type="spellStart"/>
      <w:r w:rsidRPr="00A05A09">
        <w:rPr>
          <w:rStyle w:val="Emphasis"/>
          <w:rFonts w:eastAsiaTheme="majorEastAsia"/>
          <w:i w:val="0"/>
          <w:iCs w:val="0"/>
          <w:sz w:val="22"/>
          <w:szCs w:val="22"/>
          <w:lang w:val="en-US"/>
        </w:rPr>
        <w:t>Bermartabat</w:t>
      </w:r>
      <w:proofErr w:type="spellEnd"/>
      <w:r w:rsidRPr="00A05A09">
        <w:rPr>
          <w:sz w:val="22"/>
          <w:szCs w:val="22"/>
          <w:lang w:val="en-US"/>
        </w:rPr>
        <w:t>, environmental destruction constitutes a direct affront to intergenerational dignity, obliging courts to impose strict remedies to protect current citizens and future generations.</w:t>
      </w:r>
    </w:p>
    <w:p w14:paraId="00BD9ADB" w14:textId="14EB4EC6" w:rsidR="00816ECA" w:rsidRPr="00A05A09" w:rsidRDefault="00816ECA" w:rsidP="00686FA1">
      <w:pPr>
        <w:pStyle w:val="NormalWeb"/>
        <w:spacing w:before="0" w:beforeAutospacing="0" w:after="0" w:afterAutospacing="0" w:line="480" w:lineRule="auto"/>
        <w:ind w:firstLine="567"/>
        <w:jc w:val="both"/>
        <w:rPr>
          <w:sz w:val="22"/>
          <w:szCs w:val="22"/>
          <w:lang w:val="en-US"/>
        </w:rPr>
      </w:pPr>
      <w:r w:rsidRPr="00A05A09">
        <w:rPr>
          <w:sz w:val="22"/>
          <w:szCs w:val="22"/>
          <w:lang w:val="en-US"/>
        </w:rPr>
        <w:t xml:space="preserve">These case studies reveal a consistent pattern: reliance on retributive and restorative logic often produced outcomes marked by leniency, formalism, or political compromise. By contrast, </w:t>
      </w:r>
      <w:proofErr w:type="spellStart"/>
      <w:r w:rsidRPr="00A05A09">
        <w:rPr>
          <w:rStyle w:val="Emphasis"/>
          <w:rFonts w:eastAsiaTheme="majorEastAsia"/>
          <w:i w:val="0"/>
          <w:iCs w:val="0"/>
          <w:sz w:val="22"/>
          <w:szCs w:val="22"/>
          <w:lang w:val="en-US"/>
        </w:rPr>
        <w:t>Keadilan</w:t>
      </w:r>
      <w:proofErr w:type="spellEnd"/>
      <w:r w:rsidRPr="00A05A09">
        <w:rPr>
          <w:rStyle w:val="Emphasis"/>
          <w:rFonts w:eastAsiaTheme="majorEastAsia"/>
          <w:i w:val="0"/>
          <w:iCs w:val="0"/>
          <w:sz w:val="22"/>
          <w:szCs w:val="22"/>
          <w:lang w:val="en-US"/>
        </w:rPr>
        <w:t xml:space="preserve"> </w:t>
      </w:r>
      <w:proofErr w:type="spellStart"/>
      <w:r w:rsidRPr="00A05A09">
        <w:rPr>
          <w:rStyle w:val="Emphasis"/>
          <w:rFonts w:eastAsiaTheme="majorEastAsia"/>
          <w:i w:val="0"/>
          <w:iCs w:val="0"/>
          <w:sz w:val="22"/>
          <w:szCs w:val="22"/>
          <w:lang w:val="en-US"/>
        </w:rPr>
        <w:t>Bermartabat</w:t>
      </w:r>
      <w:proofErr w:type="spellEnd"/>
      <w:r w:rsidRPr="00A05A09">
        <w:rPr>
          <w:sz w:val="22"/>
          <w:szCs w:val="22"/>
          <w:lang w:val="en-US"/>
        </w:rPr>
        <w:t xml:space="preserve"> provides a normative test—whether decisions affirm human dignity, balance justice, utility, and certainty, and remain aligned with Pancasila—that could recalibrate Indonesian jurisprudence toward outcomes that both respect victims and strengthen institutional legitimacy.</w:t>
      </w:r>
    </w:p>
    <w:p w14:paraId="0521DE2A" w14:textId="77777777" w:rsidR="00A7059D" w:rsidRPr="00A05A09" w:rsidRDefault="00A7059D" w:rsidP="00686FA1">
      <w:pPr>
        <w:pStyle w:val="NormalWeb"/>
        <w:spacing w:before="0" w:beforeAutospacing="0" w:after="0" w:afterAutospacing="0" w:line="480" w:lineRule="auto"/>
        <w:ind w:firstLine="567"/>
        <w:jc w:val="both"/>
        <w:rPr>
          <w:sz w:val="22"/>
          <w:szCs w:val="22"/>
          <w:lang w:val="en-US"/>
        </w:rPr>
      </w:pPr>
    </w:p>
    <w:p w14:paraId="289D365D" w14:textId="7C05954A" w:rsidR="009205EF" w:rsidRPr="00A05A09" w:rsidRDefault="009205EF" w:rsidP="00686FA1">
      <w:pPr>
        <w:spacing w:line="480" w:lineRule="auto"/>
        <w:rPr>
          <w:b/>
          <w:bCs/>
          <w:sz w:val="22"/>
          <w:szCs w:val="22"/>
        </w:rPr>
      </w:pPr>
      <w:r w:rsidRPr="00A05A09">
        <w:rPr>
          <w:b/>
          <w:bCs/>
          <w:sz w:val="22"/>
          <w:szCs w:val="22"/>
        </w:rPr>
        <w:t>Discussions</w:t>
      </w:r>
    </w:p>
    <w:p w14:paraId="7DA573BE" w14:textId="2239C884" w:rsidR="00A85400" w:rsidRPr="00A05A09" w:rsidRDefault="00A85400" w:rsidP="00686FA1">
      <w:pPr>
        <w:pStyle w:val="whitespace-normal"/>
        <w:spacing w:before="0" w:beforeAutospacing="0" w:after="0" w:afterAutospacing="0" w:line="480" w:lineRule="auto"/>
        <w:ind w:firstLine="567"/>
        <w:jc w:val="both"/>
        <w:rPr>
          <w:sz w:val="22"/>
          <w:szCs w:val="22"/>
          <w:lang w:val="en-US"/>
        </w:rPr>
      </w:pPr>
      <w:r w:rsidRPr="00A05A09">
        <w:rPr>
          <w:sz w:val="22"/>
          <w:szCs w:val="22"/>
          <w:lang w:val="en-US"/>
        </w:rPr>
        <w:t xml:space="preserve">This study identifies a fundamental disjunction between Indonesia's adoption of international transitional justice models and its constitutional foundations. Indonesia's post-Suharto transition witnessed the implementation of retributive and restorative mechanisms designed to address systematic human rights violations. However, these imported frameworks operated in tension with the constitutional philosophy of </w:t>
      </w:r>
      <w:r w:rsidRPr="00A05A09">
        <w:rPr>
          <w:rStyle w:val="Emphasis"/>
          <w:rFonts w:eastAsiaTheme="majorEastAsia"/>
          <w:i w:val="0"/>
          <w:iCs w:val="0"/>
          <w:sz w:val="22"/>
          <w:szCs w:val="22"/>
          <w:lang w:val="en-US"/>
        </w:rPr>
        <w:t>Pancasila</w:t>
      </w:r>
      <w:r w:rsidRPr="00A05A09">
        <w:rPr>
          <w:i/>
          <w:iCs/>
          <w:sz w:val="22"/>
          <w:szCs w:val="22"/>
          <w:lang w:val="en-US"/>
        </w:rPr>
        <w:t xml:space="preserve"> </w:t>
      </w:r>
      <w:r w:rsidRPr="00A05A09">
        <w:rPr>
          <w:sz w:val="22"/>
          <w:szCs w:val="22"/>
          <w:lang w:val="en-US"/>
        </w:rPr>
        <w:t>and its emphasis on human dignity (</w:t>
      </w:r>
      <w:proofErr w:type="spellStart"/>
      <w:r w:rsidRPr="00A05A09">
        <w:rPr>
          <w:rStyle w:val="Emphasis"/>
          <w:rFonts w:eastAsiaTheme="majorEastAsia"/>
          <w:sz w:val="22"/>
          <w:szCs w:val="22"/>
          <w:lang w:val="en-US"/>
        </w:rPr>
        <w:t>kemanusiaan</w:t>
      </w:r>
      <w:proofErr w:type="spellEnd"/>
      <w:r w:rsidRPr="00A05A09">
        <w:rPr>
          <w:rStyle w:val="Emphasis"/>
          <w:rFonts w:eastAsiaTheme="majorEastAsia"/>
          <w:sz w:val="22"/>
          <w:szCs w:val="22"/>
          <w:lang w:val="en-US"/>
        </w:rPr>
        <w:t xml:space="preserve"> yang </w:t>
      </w:r>
      <w:proofErr w:type="spellStart"/>
      <w:r w:rsidRPr="00A05A09">
        <w:rPr>
          <w:rStyle w:val="Emphasis"/>
          <w:rFonts w:eastAsiaTheme="majorEastAsia"/>
          <w:sz w:val="22"/>
          <w:szCs w:val="22"/>
          <w:lang w:val="en-US"/>
        </w:rPr>
        <w:t>adil</w:t>
      </w:r>
      <w:proofErr w:type="spellEnd"/>
      <w:r w:rsidRPr="00A05A09">
        <w:rPr>
          <w:rStyle w:val="Emphasis"/>
          <w:rFonts w:eastAsiaTheme="majorEastAsia"/>
          <w:sz w:val="22"/>
          <w:szCs w:val="22"/>
          <w:lang w:val="en-US"/>
        </w:rPr>
        <w:t xml:space="preserve"> dan </w:t>
      </w:r>
      <w:proofErr w:type="spellStart"/>
      <w:r w:rsidRPr="00A05A09">
        <w:rPr>
          <w:rStyle w:val="Emphasis"/>
          <w:rFonts w:eastAsiaTheme="majorEastAsia"/>
          <w:sz w:val="22"/>
          <w:szCs w:val="22"/>
          <w:lang w:val="en-US"/>
        </w:rPr>
        <w:t>beradab</w:t>
      </w:r>
      <w:proofErr w:type="spellEnd"/>
      <w:r w:rsidRPr="00A05A09">
        <w:rPr>
          <w:sz w:val="22"/>
          <w:szCs w:val="22"/>
          <w:lang w:val="en-US"/>
        </w:rPr>
        <w:t>). The evidence suggests that neither retributive prosecutions nor restorative truth-telling processes achieved their stated objectives of accountability and reconciliation.</w:t>
      </w:r>
    </w:p>
    <w:p w14:paraId="4F5640AD" w14:textId="77777777" w:rsidR="00A85400" w:rsidRPr="00A05A09" w:rsidRDefault="00A85400" w:rsidP="00686FA1">
      <w:pPr>
        <w:pStyle w:val="whitespace-normal"/>
        <w:spacing w:before="0" w:beforeAutospacing="0" w:after="0" w:afterAutospacing="0" w:line="480" w:lineRule="auto"/>
        <w:ind w:firstLine="567"/>
        <w:jc w:val="both"/>
        <w:rPr>
          <w:sz w:val="22"/>
          <w:szCs w:val="22"/>
          <w:lang w:val="en-US"/>
        </w:rPr>
      </w:pPr>
      <w:r w:rsidRPr="00A05A09">
        <w:rPr>
          <w:sz w:val="22"/>
          <w:szCs w:val="22"/>
          <w:lang w:val="en-US"/>
        </w:rPr>
        <w:t xml:space="preserve">Indonesia's experiment with retributive justice demonstrates the limitations of transplanting international criminal law models without adequate institutional and normative foundations. The ad hoc human rights courts established to prosecute violations in East Timor (1999), Tanjung </w:t>
      </w:r>
      <w:proofErr w:type="spellStart"/>
      <w:r w:rsidRPr="00A05A09">
        <w:rPr>
          <w:sz w:val="22"/>
          <w:szCs w:val="22"/>
          <w:lang w:val="en-US"/>
        </w:rPr>
        <w:t>Priok</w:t>
      </w:r>
      <w:proofErr w:type="spellEnd"/>
      <w:r w:rsidRPr="00A05A09">
        <w:rPr>
          <w:sz w:val="22"/>
          <w:szCs w:val="22"/>
          <w:lang w:val="en-US"/>
        </w:rPr>
        <w:t xml:space="preserve"> (1984), and </w:t>
      </w:r>
      <w:proofErr w:type="spellStart"/>
      <w:r w:rsidRPr="00A05A09">
        <w:rPr>
          <w:sz w:val="22"/>
          <w:szCs w:val="22"/>
          <w:lang w:val="en-US"/>
        </w:rPr>
        <w:t>Abepura</w:t>
      </w:r>
      <w:proofErr w:type="spellEnd"/>
      <w:r w:rsidRPr="00A05A09">
        <w:rPr>
          <w:sz w:val="22"/>
          <w:szCs w:val="22"/>
          <w:lang w:val="en-US"/>
        </w:rPr>
        <w:t xml:space="preserve"> (2000) produced a pattern of acquittals and minimal sentences that contradicted expectations of robust accountability. The International Center for Transitional Justice documented prosecutorial weaknesses, while </w:t>
      </w:r>
      <w:proofErr w:type="spellStart"/>
      <w:r w:rsidRPr="00A05A09">
        <w:rPr>
          <w:sz w:val="22"/>
          <w:szCs w:val="22"/>
          <w:lang w:val="en-US"/>
        </w:rPr>
        <w:t>Saibih</w:t>
      </w:r>
      <w:proofErr w:type="spellEnd"/>
      <w:r w:rsidRPr="00A05A09">
        <w:rPr>
          <w:sz w:val="22"/>
          <w:szCs w:val="22"/>
          <w:lang w:val="en-US"/>
        </w:rPr>
        <w:t xml:space="preserve"> et al. (2023) identified structural impediments including political interference in appeals processes, compromised judicial independence, and restrictive evidentiary standards. These trials reduced complex questions of state responsibility to narrow procedural exercises. Victims perceived the proceedings as performances of legality that lacked moral authority and failed to challenge entrenched patterns of impunity.</w:t>
      </w:r>
    </w:p>
    <w:p w14:paraId="3AFC020B" w14:textId="44C2EA56" w:rsidR="00A85400" w:rsidRPr="00A05A09" w:rsidRDefault="00A85400" w:rsidP="00686FA1">
      <w:pPr>
        <w:pStyle w:val="whitespace-normal"/>
        <w:spacing w:before="0" w:beforeAutospacing="0" w:after="0" w:afterAutospacing="0" w:line="480" w:lineRule="auto"/>
        <w:ind w:firstLine="567"/>
        <w:jc w:val="both"/>
        <w:rPr>
          <w:sz w:val="22"/>
          <w:szCs w:val="22"/>
          <w:lang w:val="en-US"/>
        </w:rPr>
      </w:pPr>
      <w:r w:rsidRPr="00A05A09">
        <w:rPr>
          <w:sz w:val="22"/>
          <w:szCs w:val="22"/>
          <w:lang w:val="en-US"/>
        </w:rPr>
        <w:lastRenderedPageBreak/>
        <w:t>The restorative approach proved equally problematic. Indonesia's Truth and Reconciliation Commission, modeled on international precedents, promised truth-telling, conditional amnesty, and victim reparations. The Constitutional Court's 2006 decision to annul the commission's enabling legislation reflected deeper concerns about constitutional compliance, particularly the tension between amnesty provisions and Article 28I's guarantee of non-</w:t>
      </w:r>
      <w:proofErr w:type="spellStart"/>
      <w:r w:rsidRPr="00A05A09">
        <w:rPr>
          <w:sz w:val="22"/>
          <w:szCs w:val="22"/>
          <w:lang w:val="en-US"/>
        </w:rPr>
        <w:t>derogable</w:t>
      </w:r>
      <w:proofErr w:type="spellEnd"/>
      <w:r w:rsidRPr="00A05A09">
        <w:rPr>
          <w:sz w:val="22"/>
          <w:szCs w:val="22"/>
          <w:lang w:val="en-US"/>
        </w:rPr>
        <w:t xml:space="preserve"> rights. </w:t>
      </w:r>
      <w:r w:rsidR="00A20CA7" w:rsidRPr="00A05A09">
        <w:rPr>
          <w:sz w:val="22"/>
          <w:szCs w:val="22"/>
          <w:lang w:val="en-US"/>
        </w:rPr>
        <w:t>Before</w:t>
      </w:r>
      <w:r w:rsidRPr="00A05A09">
        <w:rPr>
          <w:sz w:val="22"/>
          <w:szCs w:val="22"/>
          <w:lang w:val="en-US"/>
        </w:rPr>
        <w:t xml:space="preserve"> its dissolution, the commission faced political obstruction and public skepticism that undermined its independence (Farida, Habibi, &amp; </w:t>
      </w:r>
      <w:proofErr w:type="spellStart"/>
      <w:r w:rsidRPr="00A05A09">
        <w:rPr>
          <w:sz w:val="22"/>
          <w:szCs w:val="22"/>
          <w:lang w:val="en-US"/>
        </w:rPr>
        <w:t>Pramono</w:t>
      </w:r>
      <w:proofErr w:type="spellEnd"/>
      <w:r w:rsidRPr="00A05A09">
        <w:rPr>
          <w:sz w:val="22"/>
          <w:szCs w:val="22"/>
          <w:lang w:val="en-US"/>
        </w:rPr>
        <w:t xml:space="preserve">, 2025; </w:t>
      </w:r>
      <w:proofErr w:type="spellStart"/>
      <w:r w:rsidRPr="00A05A09">
        <w:rPr>
          <w:sz w:val="22"/>
          <w:szCs w:val="22"/>
          <w:lang w:val="en-US"/>
        </w:rPr>
        <w:t>Wahyuningroem</w:t>
      </w:r>
      <w:proofErr w:type="spellEnd"/>
      <w:r w:rsidRPr="00A05A09">
        <w:rPr>
          <w:sz w:val="22"/>
          <w:szCs w:val="22"/>
          <w:lang w:val="en-US"/>
        </w:rPr>
        <w:t>, 2019). Victims received neither meaningful acknowledgment of their suffering nor substantive reparations, while perpetrators escaped accountability through political bargaining rather than genuine reconciliation.</w:t>
      </w:r>
    </w:p>
    <w:p w14:paraId="60013972" w14:textId="77777777" w:rsidR="000C4671" w:rsidRPr="00A05A09" w:rsidRDefault="000C4671" w:rsidP="00686FA1">
      <w:pPr>
        <w:pStyle w:val="whitespace-normal"/>
        <w:spacing w:before="0" w:beforeAutospacing="0" w:after="0" w:afterAutospacing="0" w:line="480" w:lineRule="auto"/>
        <w:ind w:firstLine="567"/>
        <w:jc w:val="both"/>
        <w:rPr>
          <w:sz w:val="22"/>
          <w:szCs w:val="22"/>
          <w:lang w:val="en-US"/>
        </w:rPr>
      </w:pPr>
      <w:r w:rsidRPr="00A05A09">
        <w:rPr>
          <w:sz w:val="22"/>
          <w:szCs w:val="22"/>
          <w:lang w:val="en-US"/>
        </w:rPr>
        <w:t xml:space="preserve">These outcomes reflect more than institutional capacity deficits. They reveal a normative incompatibility between imported transitional justice models and Indonesia's constitutional architecture. International criminal law's emphasis on individual culpability and formal procedure conflicts with </w:t>
      </w:r>
      <w:r w:rsidRPr="00A05A09">
        <w:rPr>
          <w:rStyle w:val="Emphasis"/>
          <w:rFonts w:eastAsiaTheme="majorEastAsia"/>
          <w:i w:val="0"/>
          <w:iCs w:val="0"/>
          <w:sz w:val="22"/>
          <w:szCs w:val="22"/>
          <w:lang w:val="en-US"/>
        </w:rPr>
        <w:t>Pancasila</w:t>
      </w:r>
      <w:r w:rsidRPr="00A05A09">
        <w:rPr>
          <w:i/>
          <w:iCs/>
          <w:sz w:val="22"/>
          <w:szCs w:val="22"/>
          <w:lang w:val="en-US"/>
        </w:rPr>
        <w:t>'s</w:t>
      </w:r>
      <w:r w:rsidRPr="00A05A09">
        <w:rPr>
          <w:sz w:val="22"/>
          <w:szCs w:val="22"/>
          <w:lang w:val="en-US"/>
        </w:rPr>
        <w:t xml:space="preserve"> holistic conception of justice that prioritizes collective harmony alongside individual rights. Similarly, truth commissions designed for societies emerging from bipolar conflicts proved inadequate for addressing the complex, multi-layered violations of Indonesia's authoritarian period.</w:t>
      </w:r>
    </w:p>
    <w:p w14:paraId="2A05B8A3" w14:textId="616A55AF" w:rsidR="000C4671" w:rsidRPr="00A05A09" w:rsidRDefault="000C4671" w:rsidP="00686FA1">
      <w:pPr>
        <w:pStyle w:val="whitespace-normal"/>
        <w:spacing w:before="0" w:beforeAutospacing="0" w:after="0" w:afterAutospacing="0" w:line="480" w:lineRule="auto"/>
        <w:ind w:firstLine="567"/>
        <w:jc w:val="both"/>
        <w:rPr>
          <w:sz w:val="22"/>
          <w:szCs w:val="22"/>
          <w:lang w:val="en-US"/>
        </w:rPr>
      </w:pPr>
      <w:r w:rsidRPr="00A05A09">
        <w:rPr>
          <w:sz w:val="22"/>
          <w:szCs w:val="22"/>
          <w:lang w:val="en-US"/>
        </w:rPr>
        <w:t xml:space="preserve">The constitutional principle of </w:t>
      </w:r>
      <w:proofErr w:type="spellStart"/>
      <w:r w:rsidRPr="00A05A09">
        <w:rPr>
          <w:rStyle w:val="Emphasis"/>
          <w:rFonts w:eastAsiaTheme="majorEastAsia"/>
          <w:sz w:val="22"/>
          <w:szCs w:val="22"/>
          <w:lang w:val="en-US"/>
        </w:rPr>
        <w:t>kemanusiaan</w:t>
      </w:r>
      <w:proofErr w:type="spellEnd"/>
      <w:r w:rsidRPr="00A05A09">
        <w:rPr>
          <w:rStyle w:val="Emphasis"/>
          <w:rFonts w:eastAsiaTheme="majorEastAsia"/>
          <w:sz w:val="22"/>
          <w:szCs w:val="22"/>
          <w:lang w:val="en-US"/>
        </w:rPr>
        <w:t xml:space="preserve"> yang </w:t>
      </w:r>
      <w:proofErr w:type="spellStart"/>
      <w:r w:rsidRPr="00A05A09">
        <w:rPr>
          <w:rStyle w:val="Emphasis"/>
          <w:rFonts w:eastAsiaTheme="majorEastAsia"/>
          <w:sz w:val="22"/>
          <w:szCs w:val="22"/>
          <w:lang w:val="en-US"/>
        </w:rPr>
        <w:t>adil</w:t>
      </w:r>
      <w:proofErr w:type="spellEnd"/>
      <w:r w:rsidRPr="00A05A09">
        <w:rPr>
          <w:rStyle w:val="Emphasis"/>
          <w:rFonts w:eastAsiaTheme="majorEastAsia"/>
          <w:sz w:val="22"/>
          <w:szCs w:val="22"/>
          <w:lang w:val="en-US"/>
        </w:rPr>
        <w:t xml:space="preserve"> dan </w:t>
      </w:r>
      <w:proofErr w:type="spellStart"/>
      <w:r w:rsidRPr="00A05A09">
        <w:rPr>
          <w:rStyle w:val="Emphasis"/>
          <w:rFonts w:eastAsiaTheme="majorEastAsia"/>
          <w:sz w:val="22"/>
          <w:szCs w:val="22"/>
          <w:lang w:val="en-US"/>
        </w:rPr>
        <w:t>beradab</w:t>
      </w:r>
      <w:proofErr w:type="spellEnd"/>
      <w:r w:rsidRPr="00A05A09">
        <w:rPr>
          <w:sz w:val="22"/>
          <w:szCs w:val="22"/>
          <w:lang w:val="en-US"/>
        </w:rPr>
        <w:t xml:space="preserve"> (just and civilized humanity) suggests an alternative framework </w:t>
      </w:r>
      <w:r w:rsidR="00A20CA7" w:rsidRPr="00A05A09">
        <w:rPr>
          <w:sz w:val="22"/>
          <w:szCs w:val="22"/>
          <w:lang w:val="en-US"/>
        </w:rPr>
        <w:t>integrating</w:t>
      </w:r>
      <w:r w:rsidRPr="00A05A09">
        <w:rPr>
          <w:sz w:val="22"/>
          <w:szCs w:val="22"/>
          <w:lang w:val="en-US"/>
        </w:rPr>
        <w:t xml:space="preserve"> accountability and reconciliation within indigenous normative structures. This dignity-based approach—</w:t>
      </w:r>
      <w:r w:rsidR="00A20CA7" w:rsidRPr="00A05A09">
        <w:rPr>
          <w:sz w:val="22"/>
          <w:szCs w:val="22"/>
          <w:lang w:val="en-US"/>
        </w:rPr>
        <w:t>call</w:t>
      </w:r>
      <w:r w:rsidRPr="00A05A09">
        <w:rPr>
          <w:sz w:val="22"/>
          <w:szCs w:val="22"/>
          <w:lang w:val="en-US"/>
        </w:rPr>
        <w:t xml:space="preserve">ed </w:t>
      </w:r>
      <w:proofErr w:type="spellStart"/>
      <w:r w:rsidRPr="00A05A09">
        <w:rPr>
          <w:rStyle w:val="Emphasis"/>
          <w:rFonts w:eastAsiaTheme="majorEastAsia"/>
          <w:i w:val="0"/>
          <w:iCs w:val="0"/>
          <w:sz w:val="22"/>
          <w:szCs w:val="22"/>
          <w:lang w:val="en-US"/>
        </w:rPr>
        <w:t>Keadilan</w:t>
      </w:r>
      <w:proofErr w:type="spellEnd"/>
      <w:r w:rsidRPr="00A05A09">
        <w:rPr>
          <w:rStyle w:val="Emphasis"/>
          <w:rFonts w:eastAsiaTheme="majorEastAsia"/>
          <w:i w:val="0"/>
          <w:iCs w:val="0"/>
          <w:sz w:val="22"/>
          <w:szCs w:val="22"/>
          <w:lang w:val="en-US"/>
        </w:rPr>
        <w:t xml:space="preserve"> </w:t>
      </w:r>
      <w:proofErr w:type="spellStart"/>
      <w:r w:rsidRPr="00A05A09">
        <w:rPr>
          <w:rStyle w:val="Emphasis"/>
          <w:rFonts w:eastAsiaTheme="majorEastAsia"/>
          <w:i w:val="0"/>
          <w:iCs w:val="0"/>
          <w:sz w:val="22"/>
          <w:szCs w:val="22"/>
          <w:lang w:val="en-US"/>
        </w:rPr>
        <w:t>Bermartabat</w:t>
      </w:r>
      <w:proofErr w:type="spellEnd"/>
      <w:r w:rsidRPr="00A05A09">
        <w:rPr>
          <w:sz w:val="22"/>
          <w:szCs w:val="22"/>
          <w:lang w:val="en-US"/>
        </w:rPr>
        <w:t xml:space="preserve">—would ground transitional justice mechanisms in constitutional values rather than external models. </w:t>
      </w:r>
      <w:r w:rsidR="00A20CA7" w:rsidRPr="00A05A09">
        <w:rPr>
          <w:sz w:val="22"/>
          <w:szCs w:val="22"/>
          <w:lang w:val="en-US"/>
        </w:rPr>
        <w:t>This</w:t>
      </w:r>
      <w:r w:rsidRPr="00A05A09">
        <w:rPr>
          <w:sz w:val="22"/>
          <w:szCs w:val="22"/>
          <w:lang w:val="en-US"/>
        </w:rPr>
        <w:t xml:space="preserve"> approach would neither privilege retribution over restoration nor sacrifice accountability for political expediency. Instead, it would seek to vindicate victims' dignity through processes that acknowledge harm, assign responsibility, and facilitate genuine social repair.</w:t>
      </w:r>
    </w:p>
    <w:p w14:paraId="3889001C" w14:textId="77777777" w:rsidR="000C4671" w:rsidRPr="00A05A09" w:rsidRDefault="000C4671" w:rsidP="00686FA1">
      <w:pPr>
        <w:pStyle w:val="whitespace-normal"/>
        <w:spacing w:before="0" w:beforeAutospacing="0" w:after="0" w:afterAutospacing="0" w:line="480" w:lineRule="auto"/>
        <w:ind w:firstLine="567"/>
        <w:jc w:val="both"/>
        <w:rPr>
          <w:sz w:val="22"/>
          <w:szCs w:val="22"/>
          <w:lang w:val="en-US"/>
        </w:rPr>
      </w:pPr>
      <w:r w:rsidRPr="00A05A09">
        <w:rPr>
          <w:sz w:val="22"/>
          <w:szCs w:val="22"/>
          <w:lang w:val="en-US"/>
        </w:rPr>
        <w:t xml:space="preserve">The Indonesian case thus illustrates the broader challenge facing post-conflict societies: the tension between universal human rights norms and particular constitutional traditions. Transitional justice cannot succeed as a technical exercise in institutional transplantation. It requires normative grounding in the constitutional order it seeks to strengthen. For Indonesia, this means developing mechanisms that honor both the universal imperative of accountability and the particular demands of </w:t>
      </w:r>
      <w:r w:rsidRPr="00A05A09">
        <w:rPr>
          <w:rStyle w:val="Emphasis"/>
          <w:rFonts w:eastAsiaTheme="majorEastAsia"/>
          <w:i w:val="0"/>
          <w:iCs w:val="0"/>
          <w:sz w:val="22"/>
          <w:szCs w:val="22"/>
          <w:lang w:val="en-US"/>
        </w:rPr>
        <w:t>Pancasila</w:t>
      </w:r>
      <w:r w:rsidRPr="00A05A09">
        <w:rPr>
          <w:i/>
          <w:iCs/>
          <w:sz w:val="22"/>
          <w:szCs w:val="22"/>
          <w:lang w:val="en-US"/>
        </w:rPr>
        <w:t>'</w:t>
      </w:r>
      <w:r w:rsidRPr="00A05A09">
        <w:rPr>
          <w:sz w:val="22"/>
          <w:szCs w:val="22"/>
          <w:lang w:val="en-US"/>
        </w:rPr>
        <w:t>s vision of just society.</w:t>
      </w:r>
    </w:p>
    <w:p w14:paraId="75EA0E58" w14:textId="31F60349" w:rsidR="00CB4914" w:rsidRPr="00A05A09" w:rsidRDefault="00CB4914" w:rsidP="00686FA1">
      <w:pPr>
        <w:pStyle w:val="NormalWeb"/>
        <w:spacing w:before="0" w:beforeAutospacing="0" w:after="0" w:afterAutospacing="0" w:line="480" w:lineRule="auto"/>
        <w:ind w:firstLine="567"/>
        <w:jc w:val="both"/>
        <w:rPr>
          <w:sz w:val="22"/>
          <w:szCs w:val="22"/>
          <w:lang w:val="en-US"/>
        </w:rPr>
      </w:pPr>
      <w:r w:rsidRPr="00A05A09">
        <w:rPr>
          <w:sz w:val="22"/>
          <w:szCs w:val="22"/>
          <w:lang w:val="en-US"/>
        </w:rPr>
        <w:t xml:space="preserve">The preceding discussion has shown that retributive and restorative justice, though central to global transitional justice discourse, have not provided adequate solutions in Indonesia. Retribution, rooted in legal </w:t>
      </w:r>
      <w:r w:rsidRPr="00A05A09">
        <w:rPr>
          <w:sz w:val="22"/>
          <w:szCs w:val="22"/>
          <w:lang w:val="en-US"/>
        </w:rPr>
        <w:lastRenderedPageBreak/>
        <w:t xml:space="preserve">positivism and procedural compliance, often narrowed accountability to individual culpability and collapsed into acquittals. Restoration, while emphasizing reconciliation, frequently degenerated into political compromise that neglected victims’ rights and undermined constitutional guarantees. The common weakness of both models is their external origin: as borrowed frameworks, they failed to resonate with Indonesia’s constitutional foundation in Pancasila and its imperative to </w:t>
      </w:r>
      <w:proofErr w:type="spellStart"/>
      <w:r w:rsidRPr="00A05A09">
        <w:rPr>
          <w:rStyle w:val="Emphasis"/>
          <w:rFonts w:eastAsiaTheme="majorEastAsia"/>
          <w:sz w:val="22"/>
          <w:szCs w:val="22"/>
          <w:lang w:val="en-US"/>
        </w:rPr>
        <w:t>memanusiakan</w:t>
      </w:r>
      <w:proofErr w:type="spellEnd"/>
      <w:r w:rsidRPr="00A05A09">
        <w:rPr>
          <w:rStyle w:val="Emphasis"/>
          <w:rFonts w:eastAsiaTheme="majorEastAsia"/>
          <w:sz w:val="22"/>
          <w:szCs w:val="22"/>
          <w:lang w:val="en-US"/>
        </w:rPr>
        <w:t xml:space="preserve"> </w:t>
      </w:r>
      <w:proofErr w:type="spellStart"/>
      <w:r w:rsidRPr="00A05A09">
        <w:rPr>
          <w:rStyle w:val="Emphasis"/>
          <w:rFonts w:eastAsiaTheme="majorEastAsia"/>
          <w:sz w:val="22"/>
          <w:szCs w:val="22"/>
          <w:lang w:val="en-US"/>
        </w:rPr>
        <w:t>manusia</w:t>
      </w:r>
      <w:proofErr w:type="spellEnd"/>
      <w:r w:rsidRPr="00A05A09">
        <w:rPr>
          <w:sz w:val="22"/>
          <w:szCs w:val="22"/>
          <w:lang w:val="en-US"/>
        </w:rPr>
        <w:t xml:space="preserve">. </w:t>
      </w:r>
      <w:proofErr w:type="spellStart"/>
      <w:r w:rsidRPr="00A05A09">
        <w:rPr>
          <w:rStyle w:val="Emphasis"/>
          <w:rFonts w:eastAsiaTheme="majorEastAsia"/>
          <w:i w:val="0"/>
          <w:iCs w:val="0"/>
          <w:sz w:val="22"/>
          <w:szCs w:val="22"/>
          <w:lang w:val="en-US"/>
        </w:rPr>
        <w:t>Keadilan</w:t>
      </w:r>
      <w:proofErr w:type="spellEnd"/>
      <w:r w:rsidRPr="00A05A09">
        <w:rPr>
          <w:rStyle w:val="Emphasis"/>
          <w:rFonts w:eastAsiaTheme="majorEastAsia"/>
          <w:i w:val="0"/>
          <w:iCs w:val="0"/>
          <w:sz w:val="22"/>
          <w:szCs w:val="22"/>
          <w:lang w:val="en-US"/>
        </w:rPr>
        <w:t xml:space="preserve"> </w:t>
      </w:r>
      <w:proofErr w:type="spellStart"/>
      <w:r w:rsidRPr="00A05A09">
        <w:rPr>
          <w:rStyle w:val="Emphasis"/>
          <w:rFonts w:eastAsiaTheme="majorEastAsia"/>
          <w:i w:val="0"/>
          <w:iCs w:val="0"/>
          <w:sz w:val="22"/>
          <w:szCs w:val="22"/>
          <w:lang w:val="en-US"/>
        </w:rPr>
        <w:t>Bermartabat</w:t>
      </w:r>
      <w:proofErr w:type="spellEnd"/>
      <w:r w:rsidRPr="00A05A09">
        <w:rPr>
          <w:sz w:val="22"/>
          <w:szCs w:val="22"/>
          <w:lang w:val="en-US"/>
        </w:rPr>
        <w:t xml:space="preserve"> addresses this impasse by placing dignity at the center of legal reasoning. It reframes accountability and reconciliation not as competing goals but as mutually reinforcing dimensions of justice, demonstrating how a normative philosophy can </w:t>
      </w:r>
      <w:r w:rsidR="00A20CA7" w:rsidRPr="00A05A09">
        <w:rPr>
          <w:sz w:val="22"/>
          <w:szCs w:val="22"/>
          <w:lang w:val="en-US"/>
        </w:rPr>
        <w:t>shape</w:t>
      </w:r>
      <w:r w:rsidRPr="00A05A09">
        <w:rPr>
          <w:sz w:val="22"/>
          <w:szCs w:val="22"/>
          <w:lang w:val="en-US"/>
        </w:rPr>
        <w:t xml:space="preserve"> judicial practice, legislative design, and institutional reform.</w:t>
      </w:r>
    </w:p>
    <w:p w14:paraId="2F354CFE" w14:textId="77777777" w:rsidR="00CB4914" w:rsidRPr="00A05A09" w:rsidRDefault="00CB4914" w:rsidP="00686FA1">
      <w:pPr>
        <w:pStyle w:val="NormalWeb"/>
        <w:spacing w:before="0" w:beforeAutospacing="0" w:after="0" w:afterAutospacing="0" w:line="480" w:lineRule="auto"/>
        <w:ind w:firstLine="567"/>
        <w:jc w:val="both"/>
        <w:rPr>
          <w:sz w:val="22"/>
          <w:szCs w:val="22"/>
          <w:lang w:val="en-US"/>
        </w:rPr>
      </w:pPr>
      <w:r w:rsidRPr="00A05A09">
        <w:rPr>
          <w:sz w:val="22"/>
          <w:szCs w:val="22"/>
          <w:lang w:val="en-US"/>
        </w:rPr>
        <w:t xml:space="preserve">Concrete examples reinforce this argument. Retributive mechanisms such as the Ad Hoc Human Rights Courts for East Timor and Tanjung </w:t>
      </w:r>
      <w:proofErr w:type="spellStart"/>
      <w:r w:rsidRPr="00A05A09">
        <w:rPr>
          <w:sz w:val="22"/>
          <w:szCs w:val="22"/>
          <w:lang w:val="en-US"/>
        </w:rPr>
        <w:t>Priok</w:t>
      </w:r>
      <w:proofErr w:type="spellEnd"/>
      <w:r w:rsidRPr="00A05A09">
        <w:rPr>
          <w:sz w:val="22"/>
          <w:szCs w:val="22"/>
          <w:lang w:val="en-US"/>
        </w:rPr>
        <w:t xml:space="preserve"> revealed the vulnerability of positivist logic. Acquittals at the appellate stage, often citing insufficient evidence, illustrated how rigid adherence to procedural rules produced legality without legitimacy. For victims, these outcomes meant that their suffering was formally acknowledged but substantively erased. Restorative efforts, most notably the Truth and Reconciliation Commission, fared little better. Its annulment by the Constitutional Court in 2006 underscored the risks of privileging reconciliation over accountability, leaving survivors without recognition or reparations. Both experiences highlight the inadequacy of imported paradigms in addressing Indonesia’s historical injustices.</w:t>
      </w:r>
    </w:p>
    <w:p w14:paraId="3C8D5AB9" w14:textId="77777777" w:rsidR="00E27C87" w:rsidRPr="00A05A09" w:rsidRDefault="00E27C87" w:rsidP="00686FA1">
      <w:pPr>
        <w:pStyle w:val="whitespace-normal"/>
        <w:spacing w:before="0" w:beforeAutospacing="0" w:after="0" w:afterAutospacing="0" w:line="480" w:lineRule="auto"/>
        <w:ind w:firstLine="567"/>
        <w:jc w:val="both"/>
        <w:rPr>
          <w:sz w:val="22"/>
          <w:szCs w:val="22"/>
          <w:lang w:val="en-US"/>
        </w:rPr>
      </w:pPr>
      <w:r w:rsidRPr="00A05A09">
        <w:rPr>
          <w:sz w:val="22"/>
          <w:szCs w:val="22"/>
          <w:lang w:val="en-US"/>
        </w:rPr>
        <w:t xml:space="preserve">The failure of Indonesia's imported transitional justice mechanisms demonstrates the inadequacy of frameworks that divorce procedure from constitutional principle. </w:t>
      </w:r>
      <w:proofErr w:type="spellStart"/>
      <w:r w:rsidRPr="00A05A09">
        <w:rPr>
          <w:rStyle w:val="Emphasis"/>
          <w:rFonts w:eastAsiaTheme="majorEastAsia"/>
          <w:i w:val="0"/>
          <w:iCs w:val="0"/>
          <w:sz w:val="22"/>
          <w:szCs w:val="22"/>
          <w:lang w:val="en-US"/>
        </w:rPr>
        <w:t>Keadilan</w:t>
      </w:r>
      <w:proofErr w:type="spellEnd"/>
      <w:r w:rsidRPr="00A05A09">
        <w:rPr>
          <w:rStyle w:val="Emphasis"/>
          <w:rFonts w:eastAsiaTheme="majorEastAsia"/>
          <w:i w:val="0"/>
          <w:iCs w:val="0"/>
          <w:sz w:val="22"/>
          <w:szCs w:val="22"/>
          <w:lang w:val="en-US"/>
        </w:rPr>
        <w:t xml:space="preserve"> </w:t>
      </w:r>
      <w:proofErr w:type="spellStart"/>
      <w:r w:rsidRPr="00A05A09">
        <w:rPr>
          <w:rStyle w:val="Emphasis"/>
          <w:rFonts w:eastAsiaTheme="majorEastAsia"/>
          <w:i w:val="0"/>
          <w:iCs w:val="0"/>
          <w:sz w:val="22"/>
          <w:szCs w:val="22"/>
          <w:lang w:val="en-US"/>
        </w:rPr>
        <w:t>Bermartabat</w:t>
      </w:r>
      <w:proofErr w:type="spellEnd"/>
      <w:r w:rsidRPr="00A05A09">
        <w:rPr>
          <w:sz w:val="22"/>
          <w:szCs w:val="22"/>
          <w:lang w:val="en-US"/>
        </w:rPr>
        <w:t xml:space="preserve"> emerges from this critique as an indigenous alternative that grounds legal legitimacy in human dignity and </w:t>
      </w:r>
      <w:r w:rsidRPr="00A05A09">
        <w:rPr>
          <w:rStyle w:val="Emphasis"/>
          <w:rFonts w:eastAsiaTheme="majorEastAsia"/>
          <w:i w:val="0"/>
          <w:iCs w:val="0"/>
          <w:sz w:val="22"/>
          <w:szCs w:val="22"/>
          <w:lang w:val="en-US"/>
        </w:rPr>
        <w:t>Pancasila</w:t>
      </w:r>
      <w:r w:rsidRPr="00A05A09">
        <w:rPr>
          <w:i/>
          <w:iCs/>
          <w:sz w:val="22"/>
          <w:szCs w:val="22"/>
          <w:lang w:val="en-US"/>
        </w:rPr>
        <w:t>.</w:t>
      </w:r>
      <w:r w:rsidRPr="00A05A09">
        <w:rPr>
          <w:sz w:val="22"/>
          <w:szCs w:val="22"/>
          <w:lang w:val="en-US"/>
        </w:rPr>
        <w:t xml:space="preserve"> This approach rejects the false dichotomy between retribution and reconciliation, instead integrating accountability and restoration within a coherent normative framework. However, constitutional theory alone cannot remedy institutional failures. The viability of </w:t>
      </w:r>
      <w:proofErr w:type="spellStart"/>
      <w:r w:rsidRPr="00A05A09">
        <w:rPr>
          <w:rStyle w:val="Emphasis"/>
          <w:rFonts w:eastAsiaTheme="majorEastAsia"/>
          <w:i w:val="0"/>
          <w:iCs w:val="0"/>
          <w:sz w:val="22"/>
          <w:szCs w:val="22"/>
          <w:lang w:val="en-US"/>
        </w:rPr>
        <w:t>Keadilan</w:t>
      </w:r>
      <w:proofErr w:type="spellEnd"/>
      <w:r w:rsidRPr="00A05A09">
        <w:rPr>
          <w:rStyle w:val="Emphasis"/>
          <w:rFonts w:eastAsiaTheme="majorEastAsia"/>
          <w:i w:val="0"/>
          <w:iCs w:val="0"/>
          <w:sz w:val="22"/>
          <w:szCs w:val="22"/>
          <w:lang w:val="en-US"/>
        </w:rPr>
        <w:t xml:space="preserve"> </w:t>
      </w:r>
      <w:proofErr w:type="spellStart"/>
      <w:r w:rsidRPr="00A05A09">
        <w:rPr>
          <w:rStyle w:val="Emphasis"/>
          <w:rFonts w:eastAsiaTheme="majorEastAsia"/>
          <w:i w:val="0"/>
          <w:iCs w:val="0"/>
          <w:sz w:val="22"/>
          <w:szCs w:val="22"/>
          <w:lang w:val="en-US"/>
        </w:rPr>
        <w:t>Bermartabat</w:t>
      </w:r>
      <w:proofErr w:type="spellEnd"/>
      <w:r w:rsidRPr="00A05A09">
        <w:rPr>
          <w:sz w:val="22"/>
          <w:szCs w:val="22"/>
          <w:lang w:val="en-US"/>
        </w:rPr>
        <w:t xml:space="preserve"> depends upon its successful integration into Indonesia's legal system through concrete institutional reforms.</w:t>
      </w:r>
    </w:p>
    <w:p w14:paraId="15DE48DF" w14:textId="77777777" w:rsidR="00E27C87" w:rsidRPr="00A05A09" w:rsidRDefault="00E27C87" w:rsidP="00686FA1">
      <w:pPr>
        <w:pStyle w:val="whitespace-normal"/>
        <w:spacing w:before="0" w:beforeAutospacing="0" w:after="0" w:afterAutospacing="0" w:line="480" w:lineRule="auto"/>
        <w:ind w:firstLine="567"/>
        <w:jc w:val="both"/>
        <w:rPr>
          <w:sz w:val="22"/>
          <w:szCs w:val="22"/>
          <w:lang w:val="en-US"/>
        </w:rPr>
      </w:pPr>
      <w:r w:rsidRPr="00A05A09">
        <w:rPr>
          <w:sz w:val="22"/>
          <w:szCs w:val="22"/>
          <w:lang w:val="en-US"/>
        </w:rPr>
        <w:t>The institutionalization of dignity-based justice requires systematic transformation across four interconnected domains: judicial education, jurisprudential guidance, legislative process, and legal pedagogy. These reforms must work in concert to embed constitutional principles into legal practice while maintaining institutional coherence.</w:t>
      </w:r>
    </w:p>
    <w:p w14:paraId="6771BCE1" w14:textId="07E30D88" w:rsidR="00193D19" w:rsidRPr="00A05A09" w:rsidRDefault="00193D19" w:rsidP="00686FA1">
      <w:pPr>
        <w:pStyle w:val="whitespace-normal"/>
        <w:spacing w:before="0" w:beforeAutospacing="0" w:after="0" w:afterAutospacing="0" w:line="480" w:lineRule="auto"/>
        <w:ind w:firstLine="567"/>
        <w:jc w:val="both"/>
        <w:rPr>
          <w:i/>
          <w:iCs/>
          <w:sz w:val="22"/>
          <w:szCs w:val="22"/>
          <w:lang w:val="en-US"/>
        </w:rPr>
      </w:pPr>
      <w:r w:rsidRPr="00A05A09">
        <w:rPr>
          <w:sz w:val="22"/>
          <w:szCs w:val="22"/>
          <w:lang w:val="en-US"/>
        </w:rPr>
        <w:t xml:space="preserve">Indonesia's judicial training system reflects the dominance of legal positivism, emphasizing technical procedure over substantive reasoning. This orientation proves inadequate when courts confront cases involving </w:t>
      </w:r>
      <w:r w:rsidRPr="00A05A09">
        <w:rPr>
          <w:sz w:val="22"/>
          <w:szCs w:val="22"/>
          <w:lang w:val="en-US"/>
        </w:rPr>
        <w:lastRenderedPageBreak/>
        <w:t>systematic injustice or fundamental rights violations. Research indicates that Indonesian judges often struggle with proportionality analysis and contextual interpretation, producing decisions that satisfy formal requirements while failing substantive justice (</w:t>
      </w:r>
      <w:proofErr w:type="spellStart"/>
      <w:r w:rsidRPr="00A05A09">
        <w:rPr>
          <w:sz w:val="22"/>
          <w:szCs w:val="22"/>
          <w:lang w:val="en-US"/>
        </w:rPr>
        <w:t>Wardhani</w:t>
      </w:r>
      <w:proofErr w:type="spellEnd"/>
      <w:r w:rsidRPr="00A05A09">
        <w:rPr>
          <w:sz w:val="22"/>
          <w:szCs w:val="22"/>
          <w:lang w:val="en-US"/>
        </w:rPr>
        <w:t xml:space="preserve">, 2022; Yulianti, 2023). A dignity-based curriculum would address these deficiencies through mandatory instruction in constitutional interpretation, ethical reasoning, and the integration of legal certainty with substantive justice. Such training would not expand judicial discretion arbitrarily but would provide principled frameworks for constitutional adjudication. Judges would learn to identify when strict textual interpretation conflicts with constitutional values and how to resolve such tensions through reasoned analysis grounded in </w:t>
      </w:r>
      <w:r w:rsidRPr="00A05A09">
        <w:rPr>
          <w:rStyle w:val="Emphasis"/>
          <w:rFonts w:eastAsiaTheme="majorEastAsia"/>
          <w:i w:val="0"/>
          <w:iCs w:val="0"/>
          <w:sz w:val="22"/>
          <w:szCs w:val="22"/>
          <w:lang w:val="en-US"/>
        </w:rPr>
        <w:t>Pancasila</w:t>
      </w:r>
      <w:r w:rsidRPr="00A05A09">
        <w:rPr>
          <w:i/>
          <w:iCs/>
          <w:sz w:val="22"/>
          <w:szCs w:val="22"/>
          <w:lang w:val="en-US"/>
        </w:rPr>
        <w:t>.</w:t>
      </w:r>
    </w:p>
    <w:p w14:paraId="33A8DF30" w14:textId="391F9528" w:rsidR="00FA4881" w:rsidRPr="00A05A09" w:rsidRDefault="00FA4881" w:rsidP="00686FA1">
      <w:pPr>
        <w:pStyle w:val="whitespace-normal"/>
        <w:spacing w:before="0" w:beforeAutospacing="0" w:after="0" w:afterAutospacing="0" w:line="480" w:lineRule="auto"/>
        <w:ind w:firstLine="567"/>
        <w:jc w:val="both"/>
        <w:rPr>
          <w:sz w:val="22"/>
          <w:szCs w:val="22"/>
          <w:lang w:val="en-US"/>
        </w:rPr>
      </w:pPr>
      <w:r w:rsidRPr="00A05A09">
        <w:rPr>
          <w:sz w:val="22"/>
          <w:szCs w:val="22"/>
          <w:lang w:val="en-US"/>
        </w:rPr>
        <w:t xml:space="preserve">While Indonesia does not operate under </w:t>
      </w:r>
      <w:r w:rsidRPr="00A05A09">
        <w:rPr>
          <w:rStyle w:val="Emphasis"/>
          <w:rFonts w:eastAsiaTheme="majorEastAsia"/>
          <w:i w:val="0"/>
          <w:iCs w:val="0"/>
          <w:sz w:val="22"/>
          <w:szCs w:val="22"/>
          <w:lang w:val="en-US"/>
        </w:rPr>
        <w:t>stare decisis</w:t>
      </w:r>
      <w:r w:rsidRPr="00A05A09">
        <w:rPr>
          <w:sz w:val="22"/>
          <w:szCs w:val="22"/>
          <w:lang w:val="en-US"/>
        </w:rPr>
        <w:t xml:space="preserve">, Supreme Court decisions carry persuasive authority that shapes lower court reasoning. However, inconsistent jurisprudence has undermined legal predictability, particularly </w:t>
      </w:r>
      <w:r w:rsidR="00A20CA7" w:rsidRPr="00A05A09">
        <w:rPr>
          <w:sz w:val="22"/>
          <w:szCs w:val="22"/>
          <w:lang w:val="en-US"/>
        </w:rPr>
        <w:t>concern</w:t>
      </w:r>
      <w:r w:rsidRPr="00A05A09">
        <w:rPr>
          <w:sz w:val="22"/>
          <w:szCs w:val="22"/>
          <w:lang w:val="en-US"/>
        </w:rPr>
        <w:t>ing constitutional rights and administrative law. Butt (2020) documents how this inconsistency erodes public confidence in judicial neutrality and legal certainty.</w:t>
      </w:r>
      <w:r w:rsidR="006919DF" w:rsidRPr="00A05A09">
        <w:rPr>
          <w:sz w:val="22"/>
          <w:szCs w:val="22"/>
          <w:lang w:val="en-US"/>
        </w:rPr>
        <w:t xml:space="preserve"> </w:t>
      </w:r>
      <w:r w:rsidRPr="00A05A09">
        <w:rPr>
          <w:sz w:val="22"/>
          <w:szCs w:val="22"/>
          <w:lang w:val="en-US"/>
        </w:rPr>
        <w:t>The Supreme Court could address this fragmentation by issuing interpretive guidelines that establish dignity as a core principle of constitutional interpretation. These directives would not create binding precedent but provide analytical frameworks for lower courts facing similar constitutional questions. Such guidance would promote jurisprudential consistency while respecting Indonesia's civil law tradition of judicial independence.</w:t>
      </w:r>
    </w:p>
    <w:p w14:paraId="0432DD80" w14:textId="0461E1C5" w:rsidR="006919DF" w:rsidRPr="00A05A09" w:rsidRDefault="006919DF" w:rsidP="00686FA1">
      <w:pPr>
        <w:pStyle w:val="whitespace-normal"/>
        <w:spacing w:before="0" w:beforeAutospacing="0" w:after="0" w:afterAutospacing="0" w:line="480" w:lineRule="auto"/>
        <w:ind w:firstLine="567"/>
        <w:jc w:val="both"/>
        <w:rPr>
          <w:sz w:val="22"/>
          <w:szCs w:val="22"/>
          <w:lang w:val="en-US"/>
        </w:rPr>
      </w:pPr>
      <w:r w:rsidRPr="00A05A09">
        <w:rPr>
          <w:sz w:val="22"/>
          <w:szCs w:val="22"/>
          <w:lang w:val="en-US"/>
        </w:rPr>
        <w:t>Indonesia's legislative process often prioritizes economic efficiency and political feasibility over constitutional compliance. The controversial Job Creation Law exemplifies this tendency, with critics arguing that expedited passage procedures marginalized constitutional review and public participation (Butt, 2021; Rahayu &amp; Kusuma, 2022). Such legislation frequently undermines social justice principles by privileging economic growth over worker protection and environmental sustainability. Constitutional impact assessment offers a mechanism for integrating dignity considerations into legislative drafting. This process would evaluate proposed legislation against constitutional principles, examining whether new laws protect vulnerable populations, promote equality, and respect intergenerational justice. Unlike technical or fiscal impact studies, constitutional assessment would treat lawmaking as an exercise in constitutional construction rather than mere policy implementation.</w:t>
      </w:r>
    </w:p>
    <w:p w14:paraId="57398DD9" w14:textId="63662D32" w:rsidR="006919DF" w:rsidRPr="00A05A09" w:rsidRDefault="006919DF" w:rsidP="00686FA1">
      <w:pPr>
        <w:pStyle w:val="whitespace-normal"/>
        <w:spacing w:before="0" w:beforeAutospacing="0" w:after="0" w:afterAutospacing="0" w:line="480" w:lineRule="auto"/>
        <w:ind w:firstLine="567"/>
        <w:jc w:val="both"/>
        <w:rPr>
          <w:sz w:val="22"/>
          <w:szCs w:val="22"/>
          <w:lang w:val="en-US"/>
        </w:rPr>
      </w:pPr>
      <w:r w:rsidRPr="00A05A09">
        <w:rPr>
          <w:sz w:val="22"/>
          <w:szCs w:val="22"/>
          <w:lang w:val="en-US"/>
        </w:rPr>
        <w:t xml:space="preserve">The most fundamental reform concerns legal education itself. Indonesian law faculties emphasize doctrinal analysis and statutory interpretation while neglecting constitutional theory and indigenous jurisprudence. This pedagogical approach produces lawyers who view law as autonomous technique rather </w:t>
      </w:r>
      <w:r w:rsidRPr="00A05A09">
        <w:rPr>
          <w:sz w:val="22"/>
          <w:szCs w:val="22"/>
          <w:lang w:val="en-US"/>
        </w:rPr>
        <w:lastRenderedPageBreak/>
        <w:t xml:space="preserve">than constitutional practice. Curricular reform would integrate </w:t>
      </w:r>
      <w:proofErr w:type="spellStart"/>
      <w:r w:rsidRPr="00A05A09">
        <w:rPr>
          <w:rStyle w:val="Emphasis"/>
          <w:rFonts w:eastAsiaTheme="majorEastAsia"/>
          <w:i w:val="0"/>
          <w:iCs w:val="0"/>
          <w:sz w:val="22"/>
          <w:szCs w:val="22"/>
          <w:lang w:val="en-US"/>
        </w:rPr>
        <w:t>Keadilan</w:t>
      </w:r>
      <w:proofErr w:type="spellEnd"/>
      <w:r w:rsidRPr="00A05A09">
        <w:rPr>
          <w:rStyle w:val="Emphasis"/>
          <w:rFonts w:eastAsiaTheme="majorEastAsia"/>
          <w:i w:val="0"/>
          <w:iCs w:val="0"/>
          <w:sz w:val="22"/>
          <w:szCs w:val="22"/>
          <w:lang w:val="en-US"/>
        </w:rPr>
        <w:t xml:space="preserve"> </w:t>
      </w:r>
      <w:proofErr w:type="spellStart"/>
      <w:r w:rsidRPr="00A05A09">
        <w:rPr>
          <w:rStyle w:val="Emphasis"/>
          <w:rFonts w:eastAsiaTheme="majorEastAsia"/>
          <w:i w:val="0"/>
          <w:iCs w:val="0"/>
          <w:sz w:val="22"/>
          <w:szCs w:val="22"/>
          <w:lang w:val="en-US"/>
        </w:rPr>
        <w:t>Bermartabat</w:t>
      </w:r>
      <w:proofErr w:type="spellEnd"/>
      <w:r w:rsidRPr="00A05A09">
        <w:rPr>
          <w:sz w:val="22"/>
          <w:szCs w:val="22"/>
          <w:lang w:val="en-US"/>
        </w:rPr>
        <w:t xml:space="preserve"> into core courses on constitutional law, legal theory, and judicial reasoning. Students would study non-positivist approaches to legal interpretation, examine the relationship between indigenous values and constitutional principles, and </w:t>
      </w:r>
      <w:r w:rsidR="00EC5460" w:rsidRPr="00A05A09">
        <w:rPr>
          <w:sz w:val="22"/>
          <w:szCs w:val="22"/>
          <w:lang w:val="en-US"/>
        </w:rPr>
        <w:t>analyses</w:t>
      </w:r>
      <w:r w:rsidRPr="00A05A09">
        <w:rPr>
          <w:sz w:val="22"/>
          <w:szCs w:val="22"/>
          <w:lang w:val="en-US"/>
        </w:rPr>
        <w:t xml:space="preserve"> case studies demonstrating dignity-based reasoning in practice. Such education would develop what </w:t>
      </w:r>
      <w:r w:rsidR="00EC5460" w:rsidRPr="00A05A09">
        <w:rPr>
          <w:sz w:val="22"/>
          <w:szCs w:val="22"/>
          <w:lang w:val="en-US"/>
        </w:rPr>
        <w:t>scholars’</w:t>
      </w:r>
      <w:r w:rsidRPr="00A05A09">
        <w:rPr>
          <w:sz w:val="22"/>
          <w:szCs w:val="22"/>
          <w:lang w:val="en-US"/>
        </w:rPr>
        <w:t xml:space="preserve"> term constitutional consciousness—the capacity to understand law as the institutional expression of constitutional values rather than neutral technique (</w:t>
      </w:r>
      <w:proofErr w:type="spellStart"/>
      <w:r w:rsidRPr="00A05A09">
        <w:rPr>
          <w:sz w:val="22"/>
          <w:szCs w:val="22"/>
          <w:lang w:val="en-US"/>
        </w:rPr>
        <w:t>Dimyati</w:t>
      </w:r>
      <w:proofErr w:type="spellEnd"/>
      <w:r w:rsidRPr="00A05A09">
        <w:rPr>
          <w:sz w:val="22"/>
          <w:szCs w:val="22"/>
          <w:lang w:val="en-US"/>
        </w:rPr>
        <w:t>, 2021; Fenton, 2024).</w:t>
      </w:r>
    </w:p>
    <w:p w14:paraId="3B5085A3" w14:textId="46C535A6" w:rsidR="006919DF" w:rsidRPr="00A05A09" w:rsidRDefault="006919DF" w:rsidP="00686FA1">
      <w:pPr>
        <w:pStyle w:val="whitespace-normal"/>
        <w:spacing w:before="0" w:beforeAutospacing="0" w:after="0" w:afterAutospacing="0" w:line="480" w:lineRule="auto"/>
        <w:ind w:firstLine="567"/>
        <w:jc w:val="both"/>
        <w:rPr>
          <w:sz w:val="22"/>
          <w:szCs w:val="22"/>
          <w:lang w:val="en-US"/>
        </w:rPr>
      </w:pPr>
      <w:r w:rsidRPr="00A05A09">
        <w:rPr>
          <w:sz w:val="22"/>
          <w:szCs w:val="22"/>
          <w:lang w:val="en-US"/>
        </w:rPr>
        <w:t xml:space="preserve">These reforms are interdependent rather than discrete. Judicial training programs require curricular materials developed by reformed legal education. Legislative impact assessment needs judges capable of dignity-based constitutional interpretation. Supreme Court guidance depends upon legislative frameworks </w:t>
      </w:r>
      <w:r w:rsidR="00A20CA7" w:rsidRPr="00A05A09">
        <w:rPr>
          <w:sz w:val="22"/>
          <w:szCs w:val="22"/>
          <w:lang w:val="en-US"/>
        </w:rPr>
        <w:t>recognizing</w:t>
      </w:r>
      <w:r w:rsidRPr="00A05A09">
        <w:rPr>
          <w:sz w:val="22"/>
          <w:szCs w:val="22"/>
          <w:lang w:val="en-US"/>
        </w:rPr>
        <w:t xml:space="preserve"> constitutional values in statutory drafting. Success requires coordinated implementation across institutional boundaries.</w:t>
      </w:r>
    </w:p>
    <w:p w14:paraId="3C4B8843" w14:textId="0EC58F70" w:rsidR="006919DF" w:rsidRPr="00A05A09" w:rsidRDefault="006919DF" w:rsidP="00686FA1">
      <w:pPr>
        <w:pStyle w:val="whitespace-normal"/>
        <w:spacing w:before="0" w:beforeAutospacing="0" w:after="0" w:afterAutospacing="0" w:line="480" w:lineRule="auto"/>
        <w:ind w:firstLine="567"/>
        <w:jc w:val="both"/>
        <w:rPr>
          <w:sz w:val="22"/>
          <w:szCs w:val="22"/>
          <w:lang w:val="en-US"/>
        </w:rPr>
      </w:pPr>
      <w:r w:rsidRPr="00A05A09">
        <w:rPr>
          <w:sz w:val="22"/>
          <w:szCs w:val="22"/>
          <w:lang w:val="en-US"/>
        </w:rPr>
        <w:t xml:space="preserve">The transformation from imported models to indigenous frameworks represents more than institutional adjustment. It requires what constitutional scholars call constitutional patriotism—the cultivation of legal institutions that express rather than contradict fundamental constitutional commitments. For Indonesia, this means developing legal practices that honor both universal human rights principles and the particular constitutional vision embodied in </w:t>
      </w:r>
      <w:r w:rsidRPr="00A05A09">
        <w:rPr>
          <w:rStyle w:val="Emphasis"/>
          <w:rFonts w:eastAsiaTheme="majorEastAsia"/>
          <w:i w:val="0"/>
          <w:iCs w:val="0"/>
          <w:sz w:val="22"/>
          <w:szCs w:val="22"/>
          <w:lang w:val="en-US"/>
        </w:rPr>
        <w:t>Pancasila</w:t>
      </w:r>
      <w:r w:rsidRPr="00A05A09">
        <w:rPr>
          <w:i/>
          <w:iCs/>
          <w:sz w:val="22"/>
          <w:szCs w:val="22"/>
          <w:lang w:val="en-US"/>
        </w:rPr>
        <w:t>.</w:t>
      </w:r>
      <w:r w:rsidRPr="00A05A09">
        <w:rPr>
          <w:sz w:val="22"/>
          <w:szCs w:val="22"/>
          <w:lang w:val="en-US"/>
        </w:rPr>
        <w:t xml:space="preserve"> </w:t>
      </w:r>
      <w:proofErr w:type="spellStart"/>
      <w:r w:rsidRPr="00A05A09">
        <w:rPr>
          <w:rStyle w:val="Emphasis"/>
          <w:rFonts w:eastAsiaTheme="majorEastAsia"/>
          <w:i w:val="0"/>
          <w:iCs w:val="0"/>
          <w:sz w:val="22"/>
          <w:szCs w:val="22"/>
          <w:lang w:val="en-US"/>
        </w:rPr>
        <w:t>Keadilan</w:t>
      </w:r>
      <w:proofErr w:type="spellEnd"/>
      <w:r w:rsidRPr="00A05A09">
        <w:rPr>
          <w:rStyle w:val="Emphasis"/>
          <w:rFonts w:eastAsiaTheme="majorEastAsia"/>
          <w:i w:val="0"/>
          <w:iCs w:val="0"/>
          <w:sz w:val="22"/>
          <w:szCs w:val="22"/>
          <w:lang w:val="en-US"/>
        </w:rPr>
        <w:t xml:space="preserve"> </w:t>
      </w:r>
      <w:proofErr w:type="spellStart"/>
      <w:r w:rsidRPr="00A05A09">
        <w:rPr>
          <w:rStyle w:val="Emphasis"/>
          <w:rFonts w:eastAsiaTheme="majorEastAsia"/>
          <w:i w:val="0"/>
          <w:iCs w:val="0"/>
          <w:sz w:val="22"/>
          <w:szCs w:val="22"/>
          <w:lang w:val="en-US"/>
        </w:rPr>
        <w:t>Bermartabat</w:t>
      </w:r>
      <w:proofErr w:type="spellEnd"/>
      <w:r w:rsidRPr="00A05A09">
        <w:rPr>
          <w:i/>
          <w:iCs/>
          <w:sz w:val="22"/>
          <w:szCs w:val="22"/>
          <w:lang w:val="en-US"/>
        </w:rPr>
        <w:t xml:space="preserve"> </w:t>
      </w:r>
      <w:r w:rsidRPr="00A05A09">
        <w:rPr>
          <w:sz w:val="22"/>
          <w:szCs w:val="22"/>
          <w:lang w:val="en-US"/>
        </w:rPr>
        <w:t xml:space="preserve">thus offers more than theoretical critique of failed transitional justice mechanisms. It provides a roadmap for constitutional renewal that grounds legal legitimacy in indigenous values while meeting international </w:t>
      </w:r>
      <w:r w:rsidR="00A20CA7" w:rsidRPr="00A05A09">
        <w:rPr>
          <w:sz w:val="22"/>
          <w:szCs w:val="22"/>
          <w:lang w:val="en-US"/>
        </w:rPr>
        <w:t>accountability and human rights protection standards</w:t>
      </w:r>
      <w:r w:rsidRPr="00A05A09">
        <w:rPr>
          <w:sz w:val="22"/>
          <w:szCs w:val="22"/>
          <w:lang w:val="en-US"/>
        </w:rPr>
        <w:t xml:space="preserve">. The challenge lies not in theoretical elaboration but in political implementation—transforming constitutional theory into institutional practice through sustained </w:t>
      </w:r>
      <w:r w:rsidR="00A20CA7" w:rsidRPr="00A05A09">
        <w:rPr>
          <w:sz w:val="22"/>
          <w:szCs w:val="22"/>
          <w:lang w:val="en-US"/>
        </w:rPr>
        <w:t>legal education reform</w:t>
      </w:r>
      <w:r w:rsidRPr="00A05A09">
        <w:rPr>
          <w:sz w:val="22"/>
          <w:szCs w:val="22"/>
          <w:lang w:val="en-US"/>
        </w:rPr>
        <w:t>, judicial training, and legislative process.</w:t>
      </w:r>
    </w:p>
    <w:p w14:paraId="185519C2" w14:textId="4C1C70D0" w:rsidR="007E362A" w:rsidRPr="00A05A09" w:rsidRDefault="00E20F16" w:rsidP="00686FA1">
      <w:pPr>
        <w:pStyle w:val="NormalWeb"/>
        <w:spacing w:before="0" w:beforeAutospacing="0" w:after="0" w:afterAutospacing="0" w:line="480" w:lineRule="auto"/>
        <w:ind w:firstLine="567"/>
        <w:jc w:val="both"/>
        <w:rPr>
          <w:sz w:val="22"/>
          <w:szCs w:val="22"/>
          <w:lang w:val="en-US"/>
        </w:rPr>
      </w:pPr>
      <w:r w:rsidRPr="00A05A09">
        <w:rPr>
          <w:sz w:val="22"/>
          <w:szCs w:val="22"/>
          <w:lang w:val="en-US"/>
        </w:rPr>
        <w:t xml:space="preserve">The theoretical framework of </w:t>
      </w:r>
      <w:proofErr w:type="spellStart"/>
      <w:r w:rsidRPr="00A05A09">
        <w:rPr>
          <w:rStyle w:val="Emphasis"/>
          <w:rFonts w:eastAsiaTheme="majorEastAsia"/>
          <w:i w:val="0"/>
          <w:iCs w:val="0"/>
          <w:sz w:val="22"/>
          <w:szCs w:val="22"/>
          <w:lang w:val="en-US"/>
        </w:rPr>
        <w:t>Keadilan</w:t>
      </w:r>
      <w:proofErr w:type="spellEnd"/>
      <w:r w:rsidRPr="00A05A09">
        <w:rPr>
          <w:rStyle w:val="Emphasis"/>
          <w:rFonts w:eastAsiaTheme="majorEastAsia"/>
          <w:i w:val="0"/>
          <w:iCs w:val="0"/>
          <w:sz w:val="22"/>
          <w:szCs w:val="22"/>
          <w:lang w:val="en-US"/>
        </w:rPr>
        <w:t xml:space="preserve"> </w:t>
      </w:r>
      <w:proofErr w:type="spellStart"/>
      <w:r w:rsidRPr="00A05A09">
        <w:rPr>
          <w:rStyle w:val="Emphasis"/>
          <w:rFonts w:eastAsiaTheme="majorEastAsia"/>
          <w:i w:val="0"/>
          <w:iCs w:val="0"/>
          <w:sz w:val="22"/>
          <w:szCs w:val="22"/>
          <w:lang w:val="en-US"/>
        </w:rPr>
        <w:t>Bermartabat</w:t>
      </w:r>
      <w:proofErr w:type="spellEnd"/>
      <w:r w:rsidRPr="00A05A09">
        <w:rPr>
          <w:sz w:val="22"/>
          <w:szCs w:val="22"/>
          <w:lang w:val="en-US"/>
        </w:rPr>
        <w:t xml:space="preserve"> requires practical mechanisms that can guide judicial decision-making and legislative review. The most significant contribution is the proposed dignity test—a structured analytical framework that translates abstract constitutional principles into concrete adjudicative criteria. This test addresses the central weakness of imported transitional justice models: their disconnection from Indonesia's constitutional foundations and cultural context.</w:t>
      </w:r>
    </w:p>
    <w:p w14:paraId="6A20F4C3" w14:textId="421AD84F" w:rsidR="00BD080D" w:rsidRPr="00A05A09" w:rsidRDefault="00BD080D" w:rsidP="00686FA1">
      <w:pPr>
        <w:pStyle w:val="whitespace-normal"/>
        <w:spacing w:before="0" w:beforeAutospacing="0" w:after="0" w:afterAutospacing="0" w:line="480" w:lineRule="auto"/>
        <w:ind w:firstLine="567"/>
        <w:jc w:val="both"/>
        <w:rPr>
          <w:sz w:val="22"/>
          <w:szCs w:val="22"/>
          <w:lang w:val="en-US"/>
        </w:rPr>
      </w:pPr>
      <w:r w:rsidRPr="00A05A09">
        <w:rPr>
          <w:sz w:val="22"/>
          <w:szCs w:val="22"/>
          <w:lang w:val="en-US"/>
        </w:rPr>
        <w:t xml:space="preserve">The dignity test requires legal actors to examine three interconnected dimensions before rendering decisions. First, does the proposed outcome affirm the inherent dignity of all affected parties, including victims, defendants, and broader community interests? Second, does the decision appropriately balance the competing </w:t>
      </w:r>
      <w:r w:rsidRPr="00A05A09">
        <w:rPr>
          <w:sz w:val="22"/>
          <w:szCs w:val="22"/>
          <w:lang w:val="en-US"/>
        </w:rPr>
        <w:lastRenderedPageBreak/>
        <w:t xml:space="preserve">demands of justice (substantive fairness), utility (practical effectiveness), and legal certainty (procedural predictability)? Third, does the outcome align with </w:t>
      </w:r>
      <w:r w:rsidRPr="00A05A09">
        <w:rPr>
          <w:rStyle w:val="Emphasis"/>
          <w:rFonts w:eastAsiaTheme="majorEastAsia"/>
          <w:i w:val="0"/>
          <w:iCs w:val="0"/>
          <w:sz w:val="22"/>
          <w:szCs w:val="22"/>
          <w:lang w:val="en-US"/>
        </w:rPr>
        <w:t>Pancasila</w:t>
      </w:r>
      <w:r w:rsidRPr="00A05A09">
        <w:rPr>
          <w:i/>
          <w:iCs/>
          <w:sz w:val="22"/>
          <w:szCs w:val="22"/>
          <w:lang w:val="en-US"/>
        </w:rPr>
        <w:t xml:space="preserve">'s </w:t>
      </w:r>
      <w:r w:rsidRPr="00A05A09">
        <w:rPr>
          <w:sz w:val="22"/>
          <w:szCs w:val="22"/>
          <w:lang w:val="en-US"/>
        </w:rPr>
        <w:t>core principles of just and civilized humanity (</w:t>
      </w:r>
      <w:proofErr w:type="spellStart"/>
      <w:r w:rsidRPr="00A05A09">
        <w:rPr>
          <w:rStyle w:val="Emphasis"/>
          <w:rFonts w:eastAsiaTheme="majorEastAsia"/>
          <w:sz w:val="22"/>
          <w:szCs w:val="22"/>
          <w:lang w:val="en-US"/>
        </w:rPr>
        <w:t>kemanusiaan</w:t>
      </w:r>
      <w:proofErr w:type="spellEnd"/>
      <w:r w:rsidRPr="00A05A09">
        <w:rPr>
          <w:rStyle w:val="Emphasis"/>
          <w:rFonts w:eastAsiaTheme="majorEastAsia"/>
          <w:sz w:val="22"/>
          <w:szCs w:val="22"/>
          <w:lang w:val="en-US"/>
        </w:rPr>
        <w:t xml:space="preserve"> yang </w:t>
      </w:r>
      <w:proofErr w:type="spellStart"/>
      <w:r w:rsidRPr="00A05A09">
        <w:rPr>
          <w:rStyle w:val="Emphasis"/>
          <w:rFonts w:eastAsiaTheme="majorEastAsia"/>
          <w:sz w:val="22"/>
          <w:szCs w:val="22"/>
          <w:lang w:val="en-US"/>
        </w:rPr>
        <w:t>adil</w:t>
      </w:r>
      <w:proofErr w:type="spellEnd"/>
      <w:r w:rsidRPr="00A05A09">
        <w:rPr>
          <w:rStyle w:val="Emphasis"/>
          <w:rFonts w:eastAsiaTheme="majorEastAsia"/>
          <w:sz w:val="22"/>
          <w:szCs w:val="22"/>
          <w:lang w:val="en-US"/>
        </w:rPr>
        <w:t xml:space="preserve"> dan </w:t>
      </w:r>
      <w:proofErr w:type="spellStart"/>
      <w:r w:rsidRPr="00A05A09">
        <w:rPr>
          <w:rStyle w:val="Emphasis"/>
          <w:rFonts w:eastAsiaTheme="majorEastAsia"/>
          <w:sz w:val="22"/>
          <w:szCs w:val="22"/>
          <w:lang w:val="en-US"/>
        </w:rPr>
        <w:t>beradab</w:t>
      </w:r>
      <w:proofErr w:type="spellEnd"/>
      <w:r w:rsidRPr="00A05A09">
        <w:rPr>
          <w:sz w:val="22"/>
          <w:szCs w:val="22"/>
          <w:lang w:val="en-US"/>
        </w:rPr>
        <w:t>), social justice (</w:t>
      </w:r>
      <w:proofErr w:type="spellStart"/>
      <w:r w:rsidRPr="00A05A09">
        <w:rPr>
          <w:rStyle w:val="Emphasis"/>
          <w:rFonts w:eastAsiaTheme="majorEastAsia"/>
          <w:sz w:val="22"/>
          <w:szCs w:val="22"/>
          <w:lang w:val="en-US"/>
        </w:rPr>
        <w:t>keadilan</w:t>
      </w:r>
      <w:proofErr w:type="spellEnd"/>
      <w:r w:rsidRPr="00A05A09">
        <w:rPr>
          <w:rStyle w:val="Emphasis"/>
          <w:rFonts w:eastAsiaTheme="majorEastAsia"/>
          <w:sz w:val="22"/>
          <w:szCs w:val="22"/>
          <w:lang w:val="en-US"/>
        </w:rPr>
        <w:t xml:space="preserve"> </w:t>
      </w:r>
      <w:proofErr w:type="spellStart"/>
      <w:r w:rsidRPr="00A05A09">
        <w:rPr>
          <w:rStyle w:val="Emphasis"/>
          <w:rFonts w:eastAsiaTheme="majorEastAsia"/>
          <w:sz w:val="22"/>
          <w:szCs w:val="22"/>
          <w:lang w:val="en-US"/>
        </w:rPr>
        <w:t>sosial</w:t>
      </w:r>
      <w:proofErr w:type="spellEnd"/>
      <w:r w:rsidRPr="00A05A09">
        <w:rPr>
          <w:sz w:val="22"/>
          <w:szCs w:val="22"/>
          <w:lang w:val="en-US"/>
        </w:rPr>
        <w:t>), and deliberative democracy (</w:t>
      </w:r>
      <w:proofErr w:type="spellStart"/>
      <w:r w:rsidRPr="00A05A09">
        <w:rPr>
          <w:rStyle w:val="Emphasis"/>
          <w:rFonts w:eastAsiaTheme="majorEastAsia"/>
          <w:sz w:val="22"/>
          <w:szCs w:val="22"/>
          <w:lang w:val="en-US"/>
        </w:rPr>
        <w:t>permusyawaratan</w:t>
      </w:r>
      <w:proofErr w:type="spellEnd"/>
      <w:r w:rsidRPr="00A05A09">
        <w:rPr>
          <w:rStyle w:val="Emphasis"/>
          <w:rFonts w:eastAsiaTheme="majorEastAsia"/>
          <w:sz w:val="22"/>
          <w:szCs w:val="22"/>
          <w:lang w:val="en-US"/>
        </w:rPr>
        <w:t>/</w:t>
      </w:r>
      <w:proofErr w:type="spellStart"/>
      <w:r w:rsidRPr="00A05A09">
        <w:rPr>
          <w:rStyle w:val="Emphasis"/>
          <w:rFonts w:eastAsiaTheme="majorEastAsia"/>
          <w:sz w:val="22"/>
          <w:szCs w:val="22"/>
          <w:lang w:val="en-US"/>
        </w:rPr>
        <w:t>perwakilan</w:t>
      </w:r>
      <w:proofErr w:type="spellEnd"/>
      <w:r w:rsidRPr="00A05A09">
        <w:rPr>
          <w:sz w:val="22"/>
          <w:szCs w:val="22"/>
          <w:lang w:val="en-US"/>
        </w:rPr>
        <w:t>)? This framework operates through structured inquiry rather than mechanical application. Judges must articulate how their decisions address each dimension and explain any tensions between competing values. The test does not predetermine outcomes but requires reasoned justification grounded in constitutional principle rather than procedural compliance alone.</w:t>
      </w:r>
    </w:p>
    <w:p w14:paraId="1BA9B6C2" w14:textId="77777777" w:rsidR="00420D5C" w:rsidRPr="00A05A09" w:rsidRDefault="00420D5C" w:rsidP="00686FA1">
      <w:pPr>
        <w:pStyle w:val="whitespace-normal"/>
        <w:spacing w:before="0" w:beforeAutospacing="0" w:after="0" w:afterAutospacing="0" w:line="480" w:lineRule="auto"/>
        <w:ind w:firstLine="567"/>
        <w:jc w:val="both"/>
        <w:rPr>
          <w:sz w:val="22"/>
          <w:szCs w:val="22"/>
          <w:lang w:val="en-US"/>
        </w:rPr>
      </w:pPr>
      <w:r w:rsidRPr="00A05A09">
        <w:rPr>
          <w:sz w:val="22"/>
          <w:szCs w:val="22"/>
          <w:lang w:val="en-US"/>
        </w:rPr>
        <w:t>The dignity test's practical value emerges through its application across diverse legal contexts. In criminal sentencing, judges would consider whether punishment serves accountability while preserving the defendant's fundamental humanity. This approach would discourage both excessive leniency that ignores victims' suffering and harsh sentences that deny possibilities for rehabilitation and social reintegration.</w:t>
      </w:r>
    </w:p>
    <w:p w14:paraId="7B5C2C3F" w14:textId="529CF072" w:rsidR="00420D5C" w:rsidRPr="00A05A09" w:rsidRDefault="00420D5C" w:rsidP="00686FA1">
      <w:pPr>
        <w:pStyle w:val="whitespace-normal"/>
        <w:spacing w:before="0" w:beforeAutospacing="0" w:after="0" w:afterAutospacing="0" w:line="480" w:lineRule="auto"/>
        <w:ind w:firstLine="567"/>
        <w:jc w:val="both"/>
        <w:rPr>
          <w:sz w:val="22"/>
          <w:szCs w:val="22"/>
          <w:lang w:val="en-US"/>
        </w:rPr>
      </w:pPr>
      <w:r w:rsidRPr="00A05A09">
        <w:rPr>
          <w:sz w:val="22"/>
          <w:szCs w:val="22"/>
          <w:lang w:val="en-US"/>
        </w:rPr>
        <w:t xml:space="preserve">In administrative law, particularly disputes involving land rights and labor protections, the test would require courts to examine whether decisions protect vulnerable populations while maintaining legal predictability. </w:t>
      </w:r>
      <w:r w:rsidR="00A20CA7" w:rsidRPr="00A05A09">
        <w:rPr>
          <w:sz w:val="22"/>
          <w:szCs w:val="22"/>
          <w:lang w:val="en-US"/>
        </w:rPr>
        <w:t>For example, cases involving indigenous land claims</w:t>
      </w:r>
      <w:r w:rsidRPr="00A05A09">
        <w:rPr>
          <w:sz w:val="22"/>
          <w:szCs w:val="22"/>
          <w:lang w:val="en-US"/>
        </w:rPr>
        <w:t xml:space="preserve"> would need to balance customary rights recognition with broader legal coherence—a consideration often absent in purely technical administrative review. Corruption prosecutions would apply the test to ensure that accountability measures serve public dignity rather than merely satisfying procedural requirements. This might support stronger enforcement in cases where corruption undermines social trust, while recognizing proportionality in minor infractions that do not threaten systemic integrity.</w:t>
      </w:r>
    </w:p>
    <w:p w14:paraId="042FE6A5" w14:textId="2C5B27A2" w:rsidR="00420D5C" w:rsidRPr="00A05A09" w:rsidRDefault="00420D5C" w:rsidP="00686FA1">
      <w:pPr>
        <w:pStyle w:val="whitespace-normal"/>
        <w:spacing w:before="0" w:beforeAutospacing="0" w:after="0" w:afterAutospacing="0" w:line="480" w:lineRule="auto"/>
        <w:ind w:firstLine="567"/>
        <w:jc w:val="both"/>
        <w:rPr>
          <w:sz w:val="22"/>
          <w:szCs w:val="22"/>
          <w:lang w:val="en-US"/>
        </w:rPr>
      </w:pPr>
      <w:r w:rsidRPr="00A05A09">
        <w:rPr>
          <w:sz w:val="22"/>
          <w:szCs w:val="22"/>
          <w:lang w:val="en-US"/>
        </w:rPr>
        <w:t>Legislative review represents perhaps the most significant application. Courts applying the dignity test would examine whether statutes protect marginalized communities, promote substantive equality, and respect democratic participation in lawmaking processes. This analysis would go beyond formal constitutional compliance to assess whether legislation serves human flourishing within Indonesia's plural society.</w:t>
      </w:r>
      <w:r w:rsidR="00B17B45" w:rsidRPr="00A05A09">
        <w:rPr>
          <w:sz w:val="22"/>
          <w:szCs w:val="22"/>
          <w:lang w:val="en-US"/>
        </w:rPr>
        <w:t xml:space="preserve"> </w:t>
      </w:r>
      <w:r w:rsidRPr="00A05A09">
        <w:rPr>
          <w:sz w:val="22"/>
          <w:szCs w:val="22"/>
          <w:lang w:val="en-US"/>
        </w:rPr>
        <w:t xml:space="preserve">The dignity test cannot function in isolation from broader institutional reform. </w:t>
      </w:r>
      <w:proofErr w:type="spellStart"/>
      <w:r w:rsidRPr="00A05A09">
        <w:rPr>
          <w:sz w:val="22"/>
          <w:szCs w:val="22"/>
          <w:lang w:val="en-US"/>
        </w:rPr>
        <w:t>Prasetyo</w:t>
      </w:r>
      <w:proofErr w:type="spellEnd"/>
      <w:r w:rsidRPr="00A05A09">
        <w:rPr>
          <w:sz w:val="22"/>
          <w:szCs w:val="22"/>
          <w:lang w:val="en-US"/>
        </w:rPr>
        <w:t xml:space="preserve"> (2025) identifies complementary measures necessary for successful implementation: enhanced judicial training in constitutional interpretation, legislative impact assessment protocols, and curricular reform in legal education. These initiatives work synergistically with the dignity test by developing institutional capacity for dignity-based reasoning. </w:t>
      </w:r>
    </w:p>
    <w:p w14:paraId="3B57C9E7" w14:textId="77777777" w:rsidR="00836C42" w:rsidRPr="00A05A09" w:rsidRDefault="00420D5C" w:rsidP="00686FA1">
      <w:pPr>
        <w:pStyle w:val="whitespace-normal"/>
        <w:spacing w:before="0" w:beforeAutospacing="0" w:after="0" w:afterAutospacing="0" w:line="480" w:lineRule="auto"/>
        <w:ind w:firstLine="567"/>
        <w:jc w:val="both"/>
        <w:rPr>
          <w:sz w:val="22"/>
          <w:szCs w:val="22"/>
          <w:lang w:val="en-US"/>
        </w:rPr>
      </w:pPr>
      <w:r w:rsidRPr="00A05A09">
        <w:rPr>
          <w:sz w:val="22"/>
          <w:szCs w:val="22"/>
          <w:lang w:val="en-US"/>
        </w:rPr>
        <w:lastRenderedPageBreak/>
        <w:t>Judicial training would emphasize practical application of the three-part framework through case study analysis and mock decision exercises. Legislative drafting protocols would incorporate dignity impact assessment alongside technical and fiscal review, requiring sponsors to demonstrate constitutional compliance before parliamentary consideration. Legal education reform would integrate the dignity test into courses on constitutional law, administrative law, and judicial reasoning, ensuring that future practitioners understand dignity-based analysis as standard professional practice.</w:t>
      </w:r>
    </w:p>
    <w:p w14:paraId="56E97DC4" w14:textId="69C11BF4" w:rsidR="00836C42" w:rsidRPr="00A05A09" w:rsidRDefault="00836C42" w:rsidP="00686FA1">
      <w:pPr>
        <w:pStyle w:val="whitespace-normal"/>
        <w:spacing w:before="0" w:beforeAutospacing="0" w:after="0" w:afterAutospacing="0" w:line="480" w:lineRule="auto"/>
        <w:ind w:firstLine="567"/>
        <w:jc w:val="both"/>
        <w:rPr>
          <w:sz w:val="22"/>
          <w:szCs w:val="22"/>
          <w:lang w:val="en-US"/>
        </w:rPr>
      </w:pPr>
      <w:r w:rsidRPr="00A05A09">
        <w:rPr>
          <w:sz w:val="22"/>
          <w:szCs w:val="22"/>
          <w:lang w:val="en-US"/>
        </w:rPr>
        <w:t xml:space="preserve">The dignity test positions </w:t>
      </w:r>
      <w:proofErr w:type="spellStart"/>
      <w:r w:rsidRPr="00A05A09">
        <w:rPr>
          <w:rStyle w:val="Emphasis"/>
          <w:rFonts w:eastAsiaTheme="majorEastAsia"/>
          <w:i w:val="0"/>
          <w:iCs w:val="0"/>
          <w:sz w:val="22"/>
          <w:szCs w:val="22"/>
          <w:lang w:val="en-US"/>
        </w:rPr>
        <w:t>Keadilan</w:t>
      </w:r>
      <w:proofErr w:type="spellEnd"/>
      <w:r w:rsidRPr="00A05A09">
        <w:rPr>
          <w:rStyle w:val="Emphasis"/>
          <w:rFonts w:eastAsiaTheme="majorEastAsia"/>
          <w:i w:val="0"/>
          <w:iCs w:val="0"/>
          <w:sz w:val="22"/>
          <w:szCs w:val="22"/>
          <w:lang w:val="en-US"/>
        </w:rPr>
        <w:t xml:space="preserve"> </w:t>
      </w:r>
      <w:proofErr w:type="spellStart"/>
      <w:r w:rsidRPr="00A05A09">
        <w:rPr>
          <w:rStyle w:val="Emphasis"/>
          <w:rFonts w:eastAsiaTheme="majorEastAsia"/>
          <w:i w:val="0"/>
          <w:iCs w:val="0"/>
          <w:sz w:val="22"/>
          <w:szCs w:val="22"/>
          <w:lang w:val="en-US"/>
        </w:rPr>
        <w:t>Bermartabat</w:t>
      </w:r>
      <w:proofErr w:type="spellEnd"/>
      <w:r w:rsidRPr="00A05A09">
        <w:rPr>
          <w:sz w:val="22"/>
          <w:szCs w:val="22"/>
          <w:lang w:val="en-US"/>
        </w:rPr>
        <w:t xml:space="preserve"> within broader postcolonial efforts to develop indigenous jurisprudential frameworks. Similar projects include Ubuntu jurisprudence in South Africa, which grounds legal reasoning in communal solidarity and restorative relationships, and Buen Vivir constitutionalism in Bolivia and Ecuador, which integrates indigenous concepts of collective well-being into constitutional interpretation.</w:t>
      </w:r>
      <w:r w:rsidR="00A840FF" w:rsidRPr="00A05A09">
        <w:rPr>
          <w:sz w:val="22"/>
          <w:szCs w:val="22"/>
          <w:lang w:val="en-US"/>
        </w:rPr>
        <w:t xml:space="preserve"> </w:t>
      </w:r>
      <w:r w:rsidRPr="00A05A09">
        <w:rPr>
          <w:sz w:val="22"/>
          <w:szCs w:val="22"/>
          <w:lang w:val="en-US"/>
        </w:rPr>
        <w:t>These comparative examples demonstrate that dignity-based frameworks need not reject universal human rights principles but interpret them through particular constitutional and cultural contexts. The Indonesian dignity test contributes to this global conversation by showing how constitutional values can structure legal reasoning without sacrificing analytical rigor or procedural fairness.</w:t>
      </w:r>
    </w:p>
    <w:p w14:paraId="25025DBF" w14:textId="77777777" w:rsidR="00E20F16" w:rsidRPr="00A05A09" w:rsidRDefault="00E20F16" w:rsidP="00686FA1">
      <w:pPr>
        <w:pStyle w:val="NormalWeb"/>
        <w:spacing w:before="0" w:beforeAutospacing="0" w:after="0" w:afterAutospacing="0" w:line="480" w:lineRule="auto"/>
        <w:ind w:firstLine="426"/>
        <w:jc w:val="both"/>
        <w:rPr>
          <w:sz w:val="22"/>
          <w:szCs w:val="22"/>
          <w:lang w:val="en-US"/>
        </w:rPr>
      </w:pPr>
    </w:p>
    <w:p w14:paraId="703651DE" w14:textId="2877BB62" w:rsidR="00953B1A" w:rsidRPr="00A05A09" w:rsidRDefault="00953B1A" w:rsidP="00686FA1">
      <w:pPr>
        <w:spacing w:line="480" w:lineRule="auto"/>
        <w:rPr>
          <w:b/>
          <w:bCs/>
          <w:sz w:val="22"/>
          <w:szCs w:val="22"/>
        </w:rPr>
      </w:pPr>
      <w:r w:rsidRPr="00A05A09">
        <w:rPr>
          <w:b/>
          <w:bCs/>
          <w:sz w:val="22"/>
          <w:szCs w:val="22"/>
        </w:rPr>
        <w:t xml:space="preserve">Comparative Perspectives: Ubuntu, Buen Vivir, and </w:t>
      </w:r>
      <w:proofErr w:type="spellStart"/>
      <w:r w:rsidRPr="00A05A09">
        <w:rPr>
          <w:b/>
          <w:bCs/>
          <w:sz w:val="22"/>
          <w:szCs w:val="22"/>
        </w:rPr>
        <w:t>Keadilan</w:t>
      </w:r>
      <w:proofErr w:type="spellEnd"/>
      <w:r w:rsidRPr="00A05A09">
        <w:rPr>
          <w:b/>
          <w:bCs/>
          <w:sz w:val="22"/>
          <w:szCs w:val="22"/>
        </w:rPr>
        <w:t xml:space="preserve"> </w:t>
      </w:r>
      <w:proofErr w:type="spellStart"/>
      <w:r w:rsidRPr="00A05A09">
        <w:rPr>
          <w:b/>
          <w:bCs/>
          <w:sz w:val="22"/>
          <w:szCs w:val="22"/>
        </w:rPr>
        <w:t>Bermartabat</w:t>
      </w:r>
      <w:proofErr w:type="spellEnd"/>
    </w:p>
    <w:p w14:paraId="2700FBFA" w14:textId="14EDE0B9" w:rsidR="00DA6431" w:rsidRPr="00A05A09" w:rsidRDefault="00DA6431" w:rsidP="00686FA1">
      <w:pPr>
        <w:spacing w:after="0" w:line="480" w:lineRule="auto"/>
        <w:ind w:firstLine="720"/>
        <w:jc w:val="both"/>
        <w:rPr>
          <w:sz w:val="22"/>
          <w:szCs w:val="22"/>
        </w:rPr>
      </w:pPr>
      <w:r w:rsidRPr="00A05A09">
        <w:rPr>
          <w:sz w:val="22"/>
          <w:szCs w:val="22"/>
        </w:rPr>
        <w:t xml:space="preserve">Contemporary postcolonial jurisprudence has generated diverse alternatives to Western legal paradigms, each attempting to ground justice in culturally resonant concepts of dignity, community, and social order. Ubuntu in African contexts and Buen Vivir in Latin American settings represent two prominent examples of indigenous legal philosophies. While both frameworks offer important insights into non-Western approaches to justice, their practical limitations illuminate the distinctive contributions of Indonesia's </w:t>
      </w:r>
      <w:proofErr w:type="spellStart"/>
      <w:r w:rsidRPr="00A05A09">
        <w:rPr>
          <w:rStyle w:val="Emphasis"/>
          <w:i w:val="0"/>
          <w:iCs w:val="0"/>
          <w:sz w:val="22"/>
          <w:szCs w:val="22"/>
        </w:rPr>
        <w:t>Keadilan</w:t>
      </w:r>
      <w:proofErr w:type="spellEnd"/>
      <w:r w:rsidRPr="00A05A09">
        <w:rPr>
          <w:rStyle w:val="Emphasis"/>
          <w:i w:val="0"/>
          <w:iCs w:val="0"/>
          <w:sz w:val="22"/>
          <w:szCs w:val="22"/>
        </w:rPr>
        <w:t xml:space="preserve"> </w:t>
      </w:r>
      <w:proofErr w:type="spellStart"/>
      <w:r w:rsidRPr="00A05A09">
        <w:rPr>
          <w:rStyle w:val="Emphasis"/>
          <w:i w:val="0"/>
          <w:iCs w:val="0"/>
          <w:sz w:val="22"/>
          <w:szCs w:val="22"/>
        </w:rPr>
        <w:t>Bermartabat</w:t>
      </w:r>
      <w:proofErr w:type="spellEnd"/>
      <w:r w:rsidRPr="00A05A09">
        <w:rPr>
          <w:sz w:val="22"/>
          <w:szCs w:val="22"/>
        </w:rPr>
        <w:t>. Through comparative analysis, Indonesia's framework emerges as a constitutionally grounded alternative that avoids the pitfalls of communitarian subordination of individual rights and ecological abstraction from immediate justice concerns.</w:t>
      </w:r>
    </w:p>
    <w:p w14:paraId="67921C08" w14:textId="63FBDBA0" w:rsidR="008329FC" w:rsidRPr="00A05A09" w:rsidRDefault="008329FC" w:rsidP="00686FA1">
      <w:pPr>
        <w:pStyle w:val="whitespace-normal"/>
        <w:spacing w:before="0" w:beforeAutospacing="0" w:after="0" w:afterAutospacing="0" w:line="480" w:lineRule="auto"/>
        <w:jc w:val="both"/>
        <w:rPr>
          <w:sz w:val="22"/>
          <w:szCs w:val="22"/>
          <w:lang w:val="en-US"/>
        </w:rPr>
      </w:pPr>
      <w:r w:rsidRPr="00A05A09">
        <w:rPr>
          <w:sz w:val="22"/>
          <w:szCs w:val="22"/>
          <w:lang w:val="en-US"/>
        </w:rPr>
        <w:tab/>
        <w:t xml:space="preserve">Ubuntu philosophy, encapsulated in the Nguni phrase </w:t>
      </w:r>
      <w:proofErr w:type="spellStart"/>
      <w:r w:rsidRPr="00A05A09">
        <w:rPr>
          <w:rStyle w:val="Emphasis"/>
          <w:rFonts w:eastAsiaTheme="majorEastAsia"/>
          <w:sz w:val="22"/>
          <w:szCs w:val="22"/>
          <w:lang w:val="en-US"/>
        </w:rPr>
        <w:t>umuntu</w:t>
      </w:r>
      <w:proofErr w:type="spellEnd"/>
      <w:r w:rsidRPr="00A05A09">
        <w:rPr>
          <w:rStyle w:val="Emphasis"/>
          <w:rFonts w:eastAsiaTheme="majorEastAsia"/>
          <w:sz w:val="22"/>
          <w:szCs w:val="22"/>
          <w:lang w:val="en-US"/>
        </w:rPr>
        <w:t xml:space="preserve"> </w:t>
      </w:r>
      <w:proofErr w:type="spellStart"/>
      <w:r w:rsidRPr="00A05A09">
        <w:rPr>
          <w:rStyle w:val="Emphasis"/>
          <w:rFonts w:eastAsiaTheme="majorEastAsia"/>
          <w:sz w:val="22"/>
          <w:szCs w:val="22"/>
          <w:lang w:val="en-US"/>
        </w:rPr>
        <w:t>ngumuntu</w:t>
      </w:r>
      <w:proofErr w:type="spellEnd"/>
      <w:r w:rsidRPr="00A05A09">
        <w:rPr>
          <w:rStyle w:val="Emphasis"/>
          <w:rFonts w:eastAsiaTheme="majorEastAsia"/>
          <w:sz w:val="22"/>
          <w:szCs w:val="22"/>
          <w:lang w:val="en-US"/>
        </w:rPr>
        <w:t xml:space="preserve"> </w:t>
      </w:r>
      <w:proofErr w:type="spellStart"/>
      <w:r w:rsidRPr="00A05A09">
        <w:rPr>
          <w:rStyle w:val="Emphasis"/>
          <w:rFonts w:eastAsiaTheme="majorEastAsia"/>
          <w:sz w:val="22"/>
          <w:szCs w:val="22"/>
          <w:lang w:val="en-US"/>
        </w:rPr>
        <w:t>ngabantu</w:t>
      </w:r>
      <w:proofErr w:type="spellEnd"/>
      <w:r w:rsidRPr="00A05A09">
        <w:rPr>
          <w:sz w:val="22"/>
          <w:szCs w:val="22"/>
          <w:lang w:val="en-US"/>
        </w:rPr>
        <w:t xml:space="preserve"> (a person is a person through other people), conceptualizes human dignity as fundamentally relational rather than individually possessed. This communitarian understanding positions justice as </w:t>
      </w:r>
      <w:r w:rsidR="00A20CA7" w:rsidRPr="00A05A09">
        <w:rPr>
          <w:sz w:val="22"/>
          <w:szCs w:val="22"/>
          <w:lang w:val="en-US"/>
        </w:rPr>
        <w:t>restoring</w:t>
      </w:r>
      <w:r w:rsidRPr="00A05A09">
        <w:rPr>
          <w:sz w:val="22"/>
          <w:szCs w:val="22"/>
          <w:lang w:val="en-US"/>
        </w:rPr>
        <w:t xml:space="preserve"> damaged social relationships rather than punish</w:t>
      </w:r>
      <w:r w:rsidR="00A20CA7" w:rsidRPr="00A05A09">
        <w:rPr>
          <w:sz w:val="22"/>
          <w:szCs w:val="22"/>
          <w:lang w:val="en-US"/>
        </w:rPr>
        <w:t>ing</w:t>
      </w:r>
      <w:r w:rsidRPr="00A05A09">
        <w:rPr>
          <w:sz w:val="22"/>
          <w:szCs w:val="22"/>
          <w:lang w:val="en-US"/>
        </w:rPr>
        <w:t xml:space="preserve"> individual wrongdoing (Metz, 2011; Akin-</w:t>
      </w:r>
      <w:proofErr w:type="spellStart"/>
      <w:r w:rsidRPr="00A05A09">
        <w:rPr>
          <w:sz w:val="22"/>
          <w:szCs w:val="22"/>
          <w:lang w:val="en-US"/>
        </w:rPr>
        <w:t>Otiko</w:t>
      </w:r>
      <w:proofErr w:type="spellEnd"/>
      <w:r w:rsidRPr="00A05A09">
        <w:rPr>
          <w:sz w:val="22"/>
          <w:szCs w:val="22"/>
          <w:lang w:val="en-US"/>
        </w:rPr>
        <w:t xml:space="preserve">, 2024). Ubuntu's influence </w:t>
      </w:r>
      <w:r w:rsidRPr="00A05A09">
        <w:rPr>
          <w:sz w:val="22"/>
          <w:szCs w:val="22"/>
          <w:lang w:val="en-US"/>
        </w:rPr>
        <w:lastRenderedPageBreak/>
        <w:t xml:space="preserve">on South Africa's democratic transition proved substantial, informing both the Truth and Reconciliation Commission's approach and subsequent Constitutional Court jurisprudence that emphasized restorative over retributive remedies (Cornell &amp; </w:t>
      </w:r>
      <w:proofErr w:type="spellStart"/>
      <w:r w:rsidRPr="00A05A09">
        <w:rPr>
          <w:sz w:val="22"/>
          <w:szCs w:val="22"/>
          <w:lang w:val="en-US"/>
        </w:rPr>
        <w:t>Muvangua</w:t>
      </w:r>
      <w:proofErr w:type="spellEnd"/>
      <w:r w:rsidRPr="00A05A09">
        <w:rPr>
          <w:sz w:val="22"/>
          <w:szCs w:val="22"/>
          <w:lang w:val="en-US"/>
        </w:rPr>
        <w:t xml:space="preserve">, 2012; </w:t>
      </w:r>
      <w:proofErr w:type="spellStart"/>
      <w:r w:rsidRPr="00A05A09">
        <w:rPr>
          <w:sz w:val="22"/>
          <w:szCs w:val="22"/>
          <w:lang w:val="en-US"/>
        </w:rPr>
        <w:t>Mokgoro</w:t>
      </w:r>
      <w:proofErr w:type="spellEnd"/>
      <w:r w:rsidRPr="00A05A09">
        <w:rPr>
          <w:sz w:val="22"/>
          <w:szCs w:val="22"/>
          <w:lang w:val="en-US"/>
        </w:rPr>
        <w:t>, 1998). Ubuntu's strength lies in providing moral vocabulary that affirms social interconnectedness while supporting nation-building processes. South African courts have invoked Ubuntu principles to interpret constitutional rights in ways that prioritize community healing and collective reconciliation. This application demonstrates Ubuntu's capacity to function as both philosophical framework and legal principle within constitutional systems.</w:t>
      </w:r>
    </w:p>
    <w:p w14:paraId="6B4A4A6D" w14:textId="6F7FC532" w:rsidR="008329FC" w:rsidRPr="00A05A09" w:rsidRDefault="008329FC" w:rsidP="00686FA1">
      <w:pPr>
        <w:pStyle w:val="whitespace-normal"/>
        <w:spacing w:before="0" w:beforeAutospacing="0" w:after="0" w:afterAutospacing="0" w:line="480" w:lineRule="auto"/>
        <w:ind w:firstLine="720"/>
        <w:jc w:val="both"/>
        <w:rPr>
          <w:sz w:val="22"/>
          <w:szCs w:val="22"/>
          <w:lang w:val="en-US"/>
        </w:rPr>
      </w:pPr>
      <w:r w:rsidRPr="00A05A09">
        <w:rPr>
          <w:sz w:val="22"/>
          <w:szCs w:val="22"/>
          <w:lang w:val="en-US"/>
        </w:rPr>
        <w:t xml:space="preserve">However, Ubuntu's communitarian emphasis generates significant tensions when applied to individual rights protection. Critics have identified risks in Ubuntu's potential subordination of individual autonomy to collective harmony, particularly regarding minority rights and dissenting voices within communities (Eze, 2008). Moreover, while Ubuntu provided moral legitimacy during South Africa's transitional period, its practical legal application often lacks consistent interpretive criteria. This inconsistency raises questions about Ubuntu's capacity to </w:t>
      </w:r>
      <w:r w:rsidR="00A20CA7" w:rsidRPr="00A05A09">
        <w:rPr>
          <w:sz w:val="22"/>
          <w:szCs w:val="22"/>
          <w:lang w:val="en-US"/>
        </w:rPr>
        <w:t>provide</w:t>
      </w:r>
      <w:r w:rsidRPr="00A05A09">
        <w:rPr>
          <w:sz w:val="22"/>
          <w:szCs w:val="22"/>
          <w:lang w:val="en-US"/>
        </w:rPr>
        <w:t xml:space="preserve"> a stable foundation for legal certainty and predictable judicial outcomes (Waldron, 2019).</w:t>
      </w:r>
    </w:p>
    <w:p w14:paraId="196ABC30" w14:textId="5A51658A" w:rsidR="008329FC" w:rsidRPr="00A05A09" w:rsidRDefault="008329FC" w:rsidP="00686FA1">
      <w:pPr>
        <w:pStyle w:val="whitespace-normal"/>
        <w:spacing w:before="0" w:beforeAutospacing="0" w:after="0" w:afterAutospacing="0" w:line="480" w:lineRule="auto"/>
        <w:ind w:firstLine="720"/>
        <w:jc w:val="both"/>
        <w:rPr>
          <w:sz w:val="22"/>
          <w:szCs w:val="22"/>
          <w:lang w:val="en-US"/>
        </w:rPr>
      </w:pPr>
      <w:proofErr w:type="spellStart"/>
      <w:r w:rsidRPr="00A05A09">
        <w:rPr>
          <w:rStyle w:val="Emphasis"/>
          <w:rFonts w:eastAsiaTheme="majorEastAsia"/>
          <w:i w:val="0"/>
          <w:iCs w:val="0"/>
          <w:sz w:val="22"/>
          <w:szCs w:val="22"/>
          <w:lang w:val="en-US"/>
        </w:rPr>
        <w:t>Keadilan</w:t>
      </w:r>
      <w:proofErr w:type="spellEnd"/>
      <w:r w:rsidRPr="00A05A09">
        <w:rPr>
          <w:rStyle w:val="Emphasis"/>
          <w:rFonts w:eastAsiaTheme="majorEastAsia"/>
          <w:i w:val="0"/>
          <w:iCs w:val="0"/>
          <w:sz w:val="22"/>
          <w:szCs w:val="22"/>
          <w:lang w:val="en-US"/>
        </w:rPr>
        <w:t xml:space="preserve"> </w:t>
      </w:r>
      <w:proofErr w:type="spellStart"/>
      <w:r w:rsidRPr="00A05A09">
        <w:rPr>
          <w:rStyle w:val="Emphasis"/>
          <w:rFonts w:eastAsiaTheme="majorEastAsia"/>
          <w:i w:val="0"/>
          <w:iCs w:val="0"/>
          <w:sz w:val="22"/>
          <w:szCs w:val="22"/>
          <w:lang w:val="en-US"/>
        </w:rPr>
        <w:t>Bermartabat</w:t>
      </w:r>
      <w:proofErr w:type="spellEnd"/>
      <w:r w:rsidRPr="00A05A09">
        <w:rPr>
          <w:sz w:val="22"/>
          <w:szCs w:val="22"/>
          <w:lang w:val="en-US"/>
        </w:rPr>
        <w:t xml:space="preserve"> diverges from Ubuntu in several crucial respects. Where Ubuntu prioritizes reconciliation as the paramount value, Indonesia's framework insists that reconciliation processes must maintain rather than eclipse accountability mechanisms. This distinction prevents the risk of impunity that can emerge when harmony becomes the overriding concern. Additionally, while Ubuntu's normative authority depends largely on judicial interpretation and moral persuasion, </w:t>
      </w:r>
      <w:proofErr w:type="spellStart"/>
      <w:r w:rsidRPr="00A05A09">
        <w:rPr>
          <w:rStyle w:val="Emphasis"/>
          <w:rFonts w:eastAsiaTheme="majorEastAsia"/>
          <w:i w:val="0"/>
          <w:iCs w:val="0"/>
          <w:sz w:val="22"/>
          <w:szCs w:val="22"/>
          <w:lang w:val="en-US"/>
        </w:rPr>
        <w:t>Keadilan</w:t>
      </w:r>
      <w:proofErr w:type="spellEnd"/>
      <w:r w:rsidRPr="00A05A09">
        <w:rPr>
          <w:rStyle w:val="Emphasis"/>
          <w:rFonts w:eastAsiaTheme="majorEastAsia"/>
          <w:i w:val="0"/>
          <w:iCs w:val="0"/>
          <w:sz w:val="22"/>
          <w:szCs w:val="22"/>
          <w:lang w:val="en-US"/>
        </w:rPr>
        <w:t xml:space="preserve"> </w:t>
      </w:r>
      <w:proofErr w:type="spellStart"/>
      <w:r w:rsidRPr="00A05A09">
        <w:rPr>
          <w:rStyle w:val="Emphasis"/>
          <w:rFonts w:eastAsiaTheme="majorEastAsia"/>
          <w:i w:val="0"/>
          <w:iCs w:val="0"/>
          <w:sz w:val="22"/>
          <w:szCs w:val="22"/>
          <w:lang w:val="en-US"/>
        </w:rPr>
        <w:t>Bermartabat</w:t>
      </w:r>
      <w:proofErr w:type="spellEnd"/>
      <w:r w:rsidRPr="00A05A09">
        <w:rPr>
          <w:sz w:val="22"/>
          <w:szCs w:val="22"/>
          <w:lang w:val="en-US"/>
        </w:rPr>
        <w:t xml:space="preserve"> derives constitutional grounding through </w:t>
      </w:r>
      <w:r w:rsidRPr="00A05A09">
        <w:rPr>
          <w:rStyle w:val="Emphasis"/>
          <w:rFonts w:eastAsiaTheme="majorEastAsia"/>
          <w:i w:val="0"/>
          <w:iCs w:val="0"/>
          <w:sz w:val="22"/>
          <w:szCs w:val="22"/>
          <w:lang w:val="en-US"/>
        </w:rPr>
        <w:t>Pancasila</w:t>
      </w:r>
      <w:r w:rsidRPr="00A05A09">
        <w:rPr>
          <w:sz w:val="22"/>
          <w:szCs w:val="22"/>
          <w:lang w:val="en-US"/>
        </w:rPr>
        <w:t>, providing stronger institutional coherence and legal certainty.</w:t>
      </w:r>
      <w:r w:rsidR="00E812F3" w:rsidRPr="00A05A09">
        <w:rPr>
          <w:sz w:val="22"/>
          <w:szCs w:val="22"/>
          <w:lang w:val="en-US"/>
        </w:rPr>
        <w:t xml:space="preserve"> </w:t>
      </w:r>
      <w:r w:rsidRPr="00A05A09">
        <w:rPr>
          <w:sz w:val="22"/>
          <w:szCs w:val="22"/>
          <w:lang w:val="en-US"/>
        </w:rPr>
        <w:t xml:space="preserve">Most fundamentally, Ubuntu grounds dignity primarily in interpersonal relationships, while </w:t>
      </w:r>
      <w:proofErr w:type="spellStart"/>
      <w:r w:rsidRPr="00A05A09">
        <w:rPr>
          <w:rStyle w:val="Emphasis"/>
          <w:rFonts w:eastAsiaTheme="majorEastAsia"/>
          <w:i w:val="0"/>
          <w:iCs w:val="0"/>
          <w:sz w:val="22"/>
          <w:szCs w:val="22"/>
          <w:lang w:val="en-US"/>
        </w:rPr>
        <w:t>Keadilan</w:t>
      </w:r>
      <w:proofErr w:type="spellEnd"/>
      <w:r w:rsidRPr="00A05A09">
        <w:rPr>
          <w:rStyle w:val="Emphasis"/>
          <w:rFonts w:eastAsiaTheme="majorEastAsia"/>
          <w:i w:val="0"/>
          <w:iCs w:val="0"/>
          <w:sz w:val="22"/>
          <w:szCs w:val="22"/>
          <w:lang w:val="en-US"/>
        </w:rPr>
        <w:t xml:space="preserve"> </w:t>
      </w:r>
      <w:proofErr w:type="spellStart"/>
      <w:r w:rsidRPr="00A05A09">
        <w:rPr>
          <w:rStyle w:val="Emphasis"/>
          <w:rFonts w:eastAsiaTheme="majorEastAsia"/>
          <w:i w:val="0"/>
          <w:iCs w:val="0"/>
          <w:sz w:val="22"/>
          <w:szCs w:val="22"/>
          <w:lang w:val="en-US"/>
        </w:rPr>
        <w:t>Bermartabat</w:t>
      </w:r>
      <w:proofErr w:type="spellEnd"/>
      <w:r w:rsidRPr="00A05A09">
        <w:rPr>
          <w:sz w:val="22"/>
          <w:szCs w:val="22"/>
          <w:lang w:val="en-US"/>
        </w:rPr>
        <w:t xml:space="preserve"> operationalizes dignity through </w:t>
      </w:r>
      <w:proofErr w:type="spellStart"/>
      <w:r w:rsidRPr="00A05A09">
        <w:rPr>
          <w:rStyle w:val="Emphasis"/>
          <w:rFonts w:eastAsiaTheme="majorEastAsia"/>
          <w:sz w:val="22"/>
          <w:szCs w:val="22"/>
          <w:lang w:val="en-US"/>
        </w:rPr>
        <w:t>memanusiakan</w:t>
      </w:r>
      <w:proofErr w:type="spellEnd"/>
      <w:r w:rsidRPr="00A05A09">
        <w:rPr>
          <w:rStyle w:val="Emphasis"/>
          <w:rFonts w:eastAsiaTheme="majorEastAsia"/>
          <w:sz w:val="22"/>
          <w:szCs w:val="22"/>
          <w:lang w:val="en-US"/>
        </w:rPr>
        <w:t xml:space="preserve"> </w:t>
      </w:r>
      <w:proofErr w:type="spellStart"/>
      <w:r w:rsidRPr="00A05A09">
        <w:rPr>
          <w:rStyle w:val="Emphasis"/>
          <w:rFonts w:eastAsiaTheme="majorEastAsia"/>
          <w:sz w:val="22"/>
          <w:szCs w:val="22"/>
          <w:lang w:val="en-US"/>
        </w:rPr>
        <w:t>manusia</w:t>
      </w:r>
      <w:proofErr w:type="spellEnd"/>
      <w:r w:rsidRPr="00A05A09">
        <w:rPr>
          <w:sz w:val="22"/>
          <w:szCs w:val="22"/>
          <w:lang w:val="en-US"/>
        </w:rPr>
        <w:t xml:space="preserve"> as a unifying principle that integrates accountability and reconciliation within a coherent legal-philosophical framework. This integration addresses Indonesia's specific experience of transitional justice failures, where the Truth and Reconciliation Commission's emphasis on reconciliation without accountability denied victims meaningful recognition, while Human Rights Court proceedings produced acquittals that left serious violations unaddressed.</w:t>
      </w:r>
    </w:p>
    <w:p w14:paraId="0042402F" w14:textId="10E133C1" w:rsidR="00E56DAC" w:rsidRPr="00A05A09" w:rsidRDefault="00E56DAC" w:rsidP="00686FA1">
      <w:pPr>
        <w:pStyle w:val="whitespace-normal"/>
        <w:spacing w:before="0" w:beforeAutospacing="0" w:after="0" w:afterAutospacing="0" w:line="480" w:lineRule="auto"/>
        <w:ind w:firstLine="567"/>
        <w:jc w:val="both"/>
        <w:rPr>
          <w:sz w:val="22"/>
          <w:szCs w:val="22"/>
          <w:lang w:val="en-US"/>
        </w:rPr>
      </w:pPr>
      <w:r w:rsidRPr="00A05A09">
        <w:rPr>
          <w:sz w:val="22"/>
          <w:szCs w:val="22"/>
          <w:lang w:val="en-US"/>
        </w:rPr>
        <w:tab/>
        <w:t xml:space="preserve">Buen Vivir philosophy, derived from Andean indigenous worldviews such as </w:t>
      </w:r>
      <w:proofErr w:type="spellStart"/>
      <w:r w:rsidRPr="00A05A09">
        <w:rPr>
          <w:rStyle w:val="Emphasis"/>
          <w:rFonts w:eastAsiaTheme="majorEastAsia"/>
          <w:sz w:val="22"/>
          <w:szCs w:val="22"/>
          <w:lang w:val="en-US"/>
        </w:rPr>
        <w:t>sumak</w:t>
      </w:r>
      <w:proofErr w:type="spellEnd"/>
      <w:r w:rsidRPr="00A05A09">
        <w:rPr>
          <w:rStyle w:val="Emphasis"/>
          <w:rFonts w:eastAsiaTheme="majorEastAsia"/>
          <w:sz w:val="22"/>
          <w:szCs w:val="22"/>
          <w:lang w:val="en-US"/>
        </w:rPr>
        <w:t xml:space="preserve"> </w:t>
      </w:r>
      <w:proofErr w:type="spellStart"/>
      <w:r w:rsidRPr="00A05A09">
        <w:rPr>
          <w:rStyle w:val="Emphasis"/>
          <w:rFonts w:eastAsiaTheme="majorEastAsia"/>
          <w:sz w:val="22"/>
          <w:szCs w:val="22"/>
          <w:lang w:val="en-US"/>
        </w:rPr>
        <w:t>kawsay</w:t>
      </w:r>
      <w:proofErr w:type="spellEnd"/>
      <w:r w:rsidRPr="00A05A09">
        <w:rPr>
          <w:sz w:val="22"/>
          <w:szCs w:val="22"/>
          <w:lang w:val="en-US"/>
        </w:rPr>
        <w:t xml:space="preserve">, advances justice concepts based on harmony among humans, communities, and natural systems. This framework fundamentally challenges Western development paradigms by rejecting economic growth as the primary </w:t>
      </w:r>
      <w:r w:rsidRPr="00A05A09">
        <w:rPr>
          <w:sz w:val="22"/>
          <w:szCs w:val="22"/>
          <w:lang w:val="en-US"/>
        </w:rPr>
        <w:lastRenderedPageBreak/>
        <w:t>measure of social progress, instead advocating ecological sustainability, reciprocity, and collective well-being (</w:t>
      </w:r>
      <w:proofErr w:type="spellStart"/>
      <w:r w:rsidRPr="00A05A09">
        <w:rPr>
          <w:sz w:val="22"/>
          <w:szCs w:val="22"/>
          <w:lang w:val="en-US"/>
        </w:rPr>
        <w:t>Gudynas</w:t>
      </w:r>
      <w:proofErr w:type="spellEnd"/>
      <w:r w:rsidRPr="00A05A09">
        <w:rPr>
          <w:sz w:val="22"/>
          <w:szCs w:val="22"/>
          <w:lang w:val="en-US"/>
        </w:rPr>
        <w:t>, 2011). Ecuador's 2008 Constitution exemplifies Buen Vivir's radical potential through its unprecedented recognition of nature's legal personhood, fundamentally redefining legal relationships in biocentric rather than anthropocentric terms (Acosta, 2013).</w:t>
      </w:r>
      <w:r w:rsidR="00370091" w:rsidRPr="00A05A09">
        <w:rPr>
          <w:sz w:val="22"/>
          <w:szCs w:val="22"/>
          <w:lang w:val="en-US"/>
        </w:rPr>
        <w:t xml:space="preserve"> </w:t>
      </w:r>
      <w:r w:rsidRPr="00A05A09">
        <w:rPr>
          <w:sz w:val="22"/>
          <w:szCs w:val="22"/>
          <w:lang w:val="en-US"/>
        </w:rPr>
        <w:t>Buen Vivir's expansion of dignity beyond human relationships represents a significant theoretical innovation, incorporating ecological concerns into constitutional frameworks and judicial reasoning (Cappelli, Caravaggio, &amp; Vaquero-Piñeiro, 2022). However, this biocentric turn, while valuable for environmental protection and sustainable development, proves less relevant to societies confronting legacies of mass atrocity and authoritarian violence.</w:t>
      </w:r>
    </w:p>
    <w:p w14:paraId="08A50C7E" w14:textId="56488360" w:rsidR="00E56DAC" w:rsidRPr="00A05A09" w:rsidRDefault="00E56DAC" w:rsidP="00686FA1">
      <w:pPr>
        <w:pStyle w:val="whitespace-normal"/>
        <w:spacing w:before="0" w:beforeAutospacing="0" w:after="0" w:afterAutospacing="0" w:line="480" w:lineRule="auto"/>
        <w:ind w:firstLine="567"/>
        <w:jc w:val="both"/>
        <w:rPr>
          <w:sz w:val="22"/>
          <w:szCs w:val="22"/>
          <w:lang w:val="en-US"/>
        </w:rPr>
      </w:pPr>
      <w:r w:rsidRPr="00A05A09">
        <w:rPr>
          <w:sz w:val="22"/>
          <w:szCs w:val="22"/>
          <w:lang w:val="en-US"/>
        </w:rPr>
        <w:t xml:space="preserve">Indonesia's transitional justice experience illustrates this limitation. The failures of Ad Hoc Human Rights Courts and the Constitutional Court's annulment of truth commission legislation demonstrated that victims of systematic violence require immediate recognition and accountability rather than expanded concepts of justice that encompass ecological or developmental concerns. </w:t>
      </w:r>
      <w:proofErr w:type="spellStart"/>
      <w:r w:rsidRPr="00A05A09">
        <w:rPr>
          <w:rStyle w:val="Emphasis"/>
          <w:rFonts w:eastAsiaTheme="majorEastAsia"/>
          <w:i w:val="0"/>
          <w:iCs w:val="0"/>
          <w:sz w:val="22"/>
          <w:szCs w:val="22"/>
          <w:lang w:val="en-US"/>
        </w:rPr>
        <w:t>Keadilan</w:t>
      </w:r>
      <w:proofErr w:type="spellEnd"/>
      <w:r w:rsidRPr="00A05A09">
        <w:rPr>
          <w:rStyle w:val="Emphasis"/>
          <w:rFonts w:eastAsiaTheme="majorEastAsia"/>
          <w:i w:val="0"/>
          <w:iCs w:val="0"/>
          <w:sz w:val="22"/>
          <w:szCs w:val="22"/>
          <w:lang w:val="en-US"/>
        </w:rPr>
        <w:t xml:space="preserve"> </w:t>
      </w:r>
      <w:proofErr w:type="spellStart"/>
      <w:r w:rsidRPr="00A05A09">
        <w:rPr>
          <w:rStyle w:val="Emphasis"/>
          <w:rFonts w:eastAsiaTheme="majorEastAsia"/>
          <w:i w:val="0"/>
          <w:iCs w:val="0"/>
          <w:sz w:val="22"/>
          <w:szCs w:val="22"/>
          <w:lang w:val="en-US"/>
        </w:rPr>
        <w:t>Bermartabat</w:t>
      </w:r>
      <w:proofErr w:type="spellEnd"/>
      <w:r w:rsidRPr="00A05A09">
        <w:rPr>
          <w:sz w:val="22"/>
          <w:szCs w:val="22"/>
          <w:lang w:val="en-US"/>
        </w:rPr>
        <w:t xml:space="preserve"> </w:t>
      </w:r>
      <w:r w:rsidR="00A20CA7" w:rsidRPr="00A05A09">
        <w:rPr>
          <w:sz w:val="22"/>
          <w:szCs w:val="22"/>
          <w:lang w:val="en-US"/>
        </w:rPr>
        <w:t>focuse</w:t>
      </w:r>
      <w:r w:rsidRPr="00A05A09">
        <w:rPr>
          <w:sz w:val="22"/>
          <w:szCs w:val="22"/>
          <w:lang w:val="en-US"/>
        </w:rPr>
        <w:t>s on human dignity as law's central concern, reflecting Indonesia's post-authoritarian context where securing accountability without vengeance and reconciliation without impunity remains the primary challenge.</w:t>
      </w:r>
    </w:p>
    <w:p w14:paraId="4E46E741" w14:textId="77777777" w:rsidR="006F4EC7" w:rsidRPr="00A05A09" w:rsidRDefault="00E56DAC" w:rsidP="00686FA1">
      <w:pPr>
        <w:pStyle w:val="whitespace-normal"/>
        <w:spacing w:before="0" w:beforeAutospacing="0" w:after="0" w:afterAutospacing="0" w:line="480" w:lineRule="auto"/>
        <w:ind w:firstLine="567"/>
        <w:jc w:val="both"/>
        <w:rPr>
          <w:sz w:val="22"/>
          <w:szCs w:val="22"/>
          <w:lang w:val="en-US"/>
        </w:rPr>
      </w:pPr>
      <w:r w:rsidRPr="00A05A09">
        <w:rPr>
          <w:sz w:val="22"/>
          <w:szCs w:val="22"/>
          <w:lang w:val="en-US"/>
        </w:rPr>
        <w:t xml:space="preserve">While Buen Vivir offers important critiques of capitalist development models, its expansive normative vision often lacks the operational specificity required for judicial application or transitional justice mechanisms. Indonesia's framework provides greater precision through its foundational principle that accountability must affirm dignity while reconciliation must not produce impunity. This principle operates through </w:t>
      </w:r>
      <w:r w:rsidRPr="00A05A09">
        <w:rPr>
          <w:rStyle w:val="Emphasis"/>
          <w:rFonts w:eastAsiaTheme="majorEastAsia"/>
          <w:i w:val="0"/>
          <w:iCs w:val="0"/>
          <w:sz w:val="22"/>
          <w:szCs w:val="22"/>
          <w:lang w:val="en-US"/>
        </w:rPr>
        <w:t>Pancasila</w:t>
      </w:r>
      <w:r w:rsidRPr="00A05A09">
        <w:rPr>
          <w:sz w:val="22"/>
          <w:szCs w:val="22"/>
          <w:lang w:val="en-US"/>
        </w:rPr>
        <w:t xml:space="preserve"> as constitutional foundation, enabling the framework to filter external influences through Indonesia's established normative identity.</w:t>
      </w:r>
    </w:p>
    <w:p w14:paraId="21E166F7" w14:textId="05866F0B" w:rsidR="00AE0AC5" w:rsidRPr="00A05A09" w:rsidRDefault="00496881" w:rsidP="00686FA1">
      <w:pPr>
        <w:pStyle w:val="whitespace-normal"/>
        <w:spacing w:before="0" w:beforeAutospacing="0" w:after="0" w:afterAutospacing="0" w:line="480" w:lineRule="auto"/>
        <w:ind w:firstLine="567"/>
        <w:jc w:val="both"/>
        <w:rPr>
          <w:sz w:val="22"/>
          <w:szCs w:val="22"/>
          <w:lang w:val="en-US"/>
        </w:rPr>
      </w:pPr>
      <w:r w:rsidRPr="00A05A09">
        <w:rPr>
          <w:sz w:val="22"/>
          <w:szCs w:val="22"/>
          <w:lang w:val="en-US"/>
        </w:rPr>
        <w:t xml:space="preserve">Indonesia's </w:t>
      </w:r>
      <w:proofErr w:type="spellStart"/>
      <w:r w:rsidRPr="00A05A09">
        <w:rPr>
          <w:rStyle w:val="Emphasis"/>
          <w:rFonts w:eastAsiaTheme="majorEastAsia"/>
          <w:i w:val="0"/>
          <w:iCs w:val="0"/>
          <w:sz w:val="22"/>
          <w:szCs w:val="22"/>
          <w:lang w:val="en-US"/>
        </w:rPr>
        <w:t>Keadilan</w:t>
      </w:r>
      <w:proofErr w:type="spellEnd"/>
      <w:r w:rsidRPr="00A05A09">
        <w:rPr>
          <w:rStyle w:val="Emphasis"/>
          <w:rFonts w:eastAsiaTheme="majorEastAsia"/>
          <w:i w:val="0"/>
          <w:iCs w:val="0"/>
          <w:sz w:val="22"/>
          <w:szCs w:val="22"/>
          <w:lang w:val="en-US"/>
        </w:rPr>
        <w:t xml:space="preserve"> </w:t>
      </w:r>
      <w:proofErr w:type="spellStart"/>
      <w:r w:rsidRPr="00A05A09">
        <w:rPr>
          <w:rStyle w:val="Emphasis"/>
          <w:rFonts w:eastAsiaTheme="majorEastAsia"/>
          <w:i w:val="0"/>
          <w:iCs w:val="0"/>
          <w:sz w:val="22"/>
          <w:szCs w:val="22"/>
          <w:lang w:val="en-US"/>
        </w:rPr>
        <w:t>Bermartabat</w:t>
      </w:r>
      <w:proofErr w:type="spellEnd"/>
      <w:r w:rsidRPr="00A05A09">
        <w:rPr>
          <w:sz w:val="22"/>
          <w:szCs w:val="22"/>
          <w:lang w:val="en-US"/>
        </w:rPr>
        <w:t xml:space="preserve"> shares with Ubuntu and Buen Vivir the project of developing indigenous alternatives to imported legal frameworks. However, its </w:t>
      </w:r>
      <w:r w:rsidR="00A20CA7" w:rsidRPr="00A05A09">
        <w:rPr>
          <w:sz w:val="22"/>
          <w:szCs w:val="22"/>
          <w:lang w:val="en-US"/>
        </w:rPr>
        <w:t>approach reflects Indonesia's</w:t>
      </w:r>
      <w:r w:rsidRPr="00A05A09">
        <w:rPr>
          <w:sz w:val="22"/>
          <w:szCs w:val="22"/>
          <w:lang w:val="en-US"/>
        </w:rPr>
        <w:t xml:space="preserve"> historical experience and constitutional structure. Three distinctive features emerge from comparative analysis.</w:t>
      </w:r>
    </w:p>
    <w:p w14:paraId="07FE5758" w14:textId="745F0A92" w:rsidR="00AE0AC5" w:rsidRPr="00A05A09" w:rsidRDefault="00496881" w:rsidP="00686FA1">
      <w:pPr>
        <w:pStyle w:val="whitespace-normal"/>
        <w:spacing w:before="0" w:beforeAutospacing="0" w:after="0" w:afterAutospacing="0" w:line="480" w:lineRule="auto"/>
        <w:ind w:firstLine="567"/>
        <w:jc w:val="both"/>
        <w:rPr>
          <w:sz w:val="22"/>
          <w:szCs w:val="22"/>
          <w:lang w:val="en-US"/>
        </w:rPr>
      </w:pPr>
      <w:r w:rsidRPr="00A05A09">
        <w:rPr>
          <w:sz w:val="22"/>
          <w:szCs w:val="22"/>
          <w:lang w:val="en-US"/>
        </w:rPr>
        <w:t xml:space="preserve">First, </w:t>
      </w:r>
      <w:proofErr w:type="spellStart"/>
      <w:r w:rsidRPr="00A05A09">
        <w:rPr>
          <w:rStyle w:val="Emphasis"/>
          <w:rFonts w:eastAsiaTheme="majorEastAsia"/>
          <w:i w:val="0"/>
          <w:iCs w:val="0"/>
          <w:sz w:val="22"/>
          <w:szCs w:val="22"/>
          <w:lang w:val="en-US"/>
        </w:rPr>
        <w:t>Keadilan</w:t>
      </w:r>
      <w:proofErr w:type="spellEnd"/>
      <w:r w:rsidRPr="00A05A09">
        <w:rPr>
          <w:rStyle w:val="Emphasis"/>
          <w:rFonts w:eastAsiaTheme="majorEastAsia"/>
          <w:i w:val="0"/>
          <w:iCs w:val="0"/>
          <w:sz w:val="22"/>
          <w:szCs w:val="22"/>
          <w:lang w:val="en-US"/>
        </w:rPr>
        <w:t xml:space="preserve"> </w:t>
      </w:r>
      <w:proofErr w:type="spellStart"/>
      <w:r w:rsidRPr="00A05A09">
        <w:rPr>
          <w:rStyle w:val="Emphasis"/>
          <w:rFonts w:eastAsiaTheme="majorEastAsia"/>
          <w:i w:val="0"/>
          <w:iCs w:val="0"/>
          <w:sz w:val="22"/>
          <w:szCs w:val="22"/>
          <w:lang w:val="en-US"/>
        </w:rPr>
        <w:t>Bermartabat</w:t>
      </w:r>
      <w:proofErr w:type="spellEnd"/>
      <w:r w:rsidRPr="00A05A09">
        <w:rPr>
          <w:sz w:val="22"/>
          <w:szCs w:val="22"/>
          <w:lang w:val="en-US"/>
        </w:rPr>
        <w:t xml:space="preserve"> maintains stronger emphasis on in</w:t>
      </w:r>
      <w:r w:rsidR="00AE0AC5" w:rsidRPr="00A05A09">
        <w:rPr>
          <w:sz w:val="22"/>
          <w:szCs w:val="22"/>
          <w:lang w:val="en-US"/>
        </w:rPr>
        <w:t xml:space="preserve"> </w:t>
      </w:r>
      <w:r w:rsidRPr="00A05A09">
        <w:rPr>
          <w:sz w:val="22"/>
          <w:szCs w:val="22"/>
          <w:lang w:val="en-US"/>
        </w:rPr>
        <w:t>d</w:t>
      </w:r>
      <w:r w:rsidR="00AE0AC5" w:rsidRPr="00A05A09">
        <w:rPr>
          <w:sz w:val="22"/>
          <w:szCs w:val="22"/>
          <w:lang w:val="en-US"/>
        </w:rPr>
        <w:t xml:space="preserve"> </w:t>
      </w:r>
      <w:proofErr w:type="spellStart"/>
      <w:r w:rsidRPr="00A05A09">
        <w:rPr>
          <w:sz w:val="22"/>
          <w:szCs w:val="22"/>
          <w:lang w:val="en-US"/>
        </w:rPr>
        <w:t>ividual</w:t>
      </w:r>
      <w:proofErr w:type="spellEnd"/>
      <w:r w:rsidRPr="00A05A09">
        <w:rPr>
          <w:sz w:val="22"/>
          <w:szCs w:val="22"/>
          <w:lang w:val="en-US"/>
        </w:rPr>
        <w:t xml:space="preserve"> accountability within communal frameworks than Ubuntu jurisprudence typically allows. While Ubuntu can subordinate individual justice claims to communal harmony, Indonesia's dignity-based approach insists that reconciliation processes must acknowledge individual suffering and assign responsibility for past violations. This reflects Indonesia's experience with truth commission processes that privileged political stability over victim recognition.</w:t>
      </w:r>
      <w:r w:rsidR="00AE0AC5" w:rsidRPr="00A05A09">
        <w:rPr>
          <w:sz w:val="22"/>
          <w:szCs w:val="22"/>
          <w:lang w:val="en-US"/>
        </w:rPr>
        <w:t xml:space="preserve"> </w:t>
      </w:r>
      <w:r w:rsidRPr="00A05A09">
        <w:rPr>
          <w:sz w:val="22"/>
          <w:szCs w:val="22"/>
          <w:lang w:val="en-US"/>
        </w:rPr>
        <w:t xml:space="preserve">Second, </w:t>
      </w:r>
      <w:proofErr w:type="spellStart"/>
      <w:r w:rsidRPr="00A05A09">
        <w:rPr>
          <w:rStyle w:val="Emphasis"/>
          <w:rFonts w:eastAsiaTheme="majorEastAsia"/>
          <w:i w:val="0"/>
          <w:iCs w:val="0"/>
          <w:sz w:val="22"/>
          <w:szCs w:val="22"/>
          <w:lang w:val="en-US"/>
        </w:rPr>
        <w:t>Keadilan</w:t>
      </w:r>
      <w:proofErr w:type="spellEnd"/>
      <w:r w:rsidRPr="00A05A09">
        <w:rPr>
          <w:rStyle w:val="Emphasis"/>
          <w:rFonts w:eastAsiaTheme="majorEastAsia"/>
          <w:i w:val="0"/>
          <w:iCs w:val="0"/>
          <w:sz w:val="22"/>
          <w:szCs w:val="22"/>
          <w:lang w:val="en-US"/>
        </w:rPr>
        <w:t xml:space="preserve"> </w:t>
      </w:r>
      <w:proofErr w:type="spellStart"/>
      <w:r w:rsidRPr="00A05A09">
        <w:rPr>
          <w:rStyle w:val="Emphasis"/>
          <w:rFonts w:eastAsiaTheme="majorEastAsia"/>
          <w:i w:val="0"/>
          <w:iCs w:val="0"/>
          <w:sz w:val="22"/>
          <w:szCs w:val="22"/>
          <w:lang w:val="en-US"/>
        </w:rPr>
        <w:t>Bermartabat</w:t>
      </w:r>
      <w:proofErr w:type="spellEnd"/>
      <w:r w:rsidRPr="00A05A09">
        <w:rPr>
          <w:sz w:val="22"/>
          <w:szCs w:val="22"/>
          <w:lang w:val="en-US"/>
        </w:rPr>
        <w:t xml:space="preserve"> operates within more clearly defined constitutional boundaries than Buen Vivir </w:t>
      </w:r>
      <w:r w:rsidRPr="00A05A09">
        <w:rPr>
          <w:sz w:val="22"/>
          <w:szCs w:val="22"/>
          <w:lang w:val="en-US"/>
        </w:rPr>
        <w:lastRenderedPageBreak/>
        <w:t xml:space="preserve">constitutionalism. While Buen Vivir extends legal reasoning into ecological and spiritual domains that challenge conventional legal categories, Indonesia's framework </w:t>
      </w:r>
      <w:r w:rsidR="00A20CA7" w:rsidRPr="00A05A09">
        <w:rPr>
          <w:sz w:val="22"/>
          <w:szCs w:val="22"/>
          <w:lang w:val="en-US"/>
        </w:rPr>
        <w:t>focuse</w:t>
      </w:r>
      <w:r w:rsidRPr="00A05A09">
        <w:rPr>
          <w:sz w:val="22"/>
          <w:szCs w:val="22"/>
          <w:lang w:val="en-US"/>
        </w:rPr>
        <w:t xml:space="preserve">s on human dignity as defined within </w:t>
      </w:r>
      <w:r w:rsidRPr="00A05A09">
        <w:rPr>
          <w:rStyle w:val="Emphasis"/>
          <w:rFonts w:eastAsiaTheme="majorEastAsia"/>
          <w:i w:val="0"/>
          <w:iCs w:val="0"/>
          <w:sz w:val="22"/>
          <w:szCs w:val="22"/>
          <w:lang w:val="en-US"/>
        </w:rPr>
        <w:t>Pancasila</w:t>
      </w:r>
      <w:r w:rsidRPr="00A05A09">
        <w:rPr>
          <w:sz w:val="22"/>
          <w:szCs w:val="22"/>
          <w:lang w:val="en-US"/>
        </w:rPr>
        <w:t>'s anthropocentric worldview. This narrower scope may limit transformative potential but provides greater institutional stability and judicial predictability.</w:t>
      </w:r>
    </w:p>
    <w:p w14:paraId="2B0C26C0" w14:textId="75DAE8D8" w:rsidR="00930C7E" w:rsidRPr="00A05A09" w:rsidRDefault="00496881" w:rsidP="00686FA1">
      <w:pPr>
        <w:pStyle w:val="whitespace-normal"/>
        <w:spacing w:before="0" w:beforeAutospacing="0" w:after="0" w:afterAutospacing="0" w:line="480" w:lineRule="auto"/>
        <w:ind w:firstLine="567"/>
        <w:jc w:val="both"/>
        <w:rPr>
          <w:sz w:val="22"/>
          <w:szCs w:val="22"/>
          <w:lang w:val="en-US"/>
        </w:rPr>
      </w:pPr>
      <w:r w:rsidRPr="00A05A09">
        <w:rPr>
          <w:sz w:val="22"/>
          <w:szCs w:val="22"/>
          <w:lang w:val="en-US"/>
        </w:rPr>
        <w:t xml:space="preserve">Third, </w:t>
      </w:r>
      <w:proofErr w:type="spellStart"/>
      <w:r w:rsidRPr="00A05A09">
        <w:rPr>
          <w:rStyle w:val="Emphasis"/>
          <w:rFonts w:eastAsiaTheme="majorEastAsia"/>
          <w:i w:val="0"/>
          <w:iCs w:val="0"/>
          <w:sz w:val="22"/>
          <w:szCs w:val="22"/>
          <w:lang w:val="en-US"/>
        </w:rPr>
        <w:t>Keadilan</w:t>
      </w:r>
      <w:proofErr w:type="spellEnd"/>
      <w:r w:rsidRPr="00A05A09">
        <w:rPr>
          <w:rStyle w:val="Emphasis"/>
          <w:rFonts w:eastAsiaTheme="majorEastAsia"/>
          <w:i w:val="0"/>
          <w:iCs w:val="0"/>
          <w:sz w:val="22"/>
          <w:szCs w:val="22"/>
          <w:lang w:val="en-US"/>
        </w:rPr>
        <w:t xml:space="preserve"> </w:t>
      </w:r>
      <w:proofErr w:type="spellStart"/>
      <w:r w:rsidRPr="00A05A09">
        <w:rPr>
          <w:rStyle w:val="Emphasis"/>
          <w:rFonts w:eastAsiaTheme="majorEastAsia"/>
          <w:i w:val="0"/>
          <w:iCs w:val="0"/>
          <w:sz w:val="22"/>
          <w:szCs w:val="22"/>
          <w:lang w:val="en-US"/>
        </w:rPr>
        <w:t>Bermartabat</w:t>
      </w:r>
      <w:proofErr w:type="spellEnd"/>
      <w:r w:rsidRPr="00A05A09">
        <w:rPr>
          <w:sz w:val="22"/>
          <w:szCs w:val="22"/>
          <w:lang w:val="en-US"/>
        </w:rPr>
        <w:t xml:space="preserve"> emerges from systematic analysis of institutional failure rather than constitutional revolution. Unlike Bolivia and Ecuador's new constitutions or South Africa's post-apartheid transformation, Indonesia's framework develops within existing constitutional structures through judicial interpretation and legislative reform. This evolutionary approach may prove more sustainable than revolutionary alternatives, </w:t>
      </w:r>
      <w:r w:rsidR="00A20CA7" w:rsidRPr="00A05A09">
        <w:rPr>
          <w:sz w:val="22"/>
          <w:szCs w:val="22"/>
          <w:lang w:val="en-US"/>
        </w:rPr>
        <w:t>but it also constrains fundamental systemic change possibilities</w:t>
      </w:r>
      <w:r w:rsidRPr="00A05A09">
        <w:rPr>
          <w:sz w:val="22"/>
          <w:szCs w:val="22"/>
          <w:lang w:val="en-US"/>
        </w:rPr>
        <w:t>.</w:t>
      </w:r>
    </w:p>
    <w:p w14:paraId="0E170025" w14:textId="22905A34" w:rsidR="00930C7E" w:rsidRPr="00A05A09" w:rsidRDefault="00213940" w:rsidP="00686FA1">
      <w:pPr>
        <w:pStyle w:val="whitespace-normal"/>
        <w:spacing w:before="0" w:beforeAutospacing="0" w:after="0" w:afterAutospacing="0" w:line="480" w:lineRule="auto"/>
        <w:ind w:firstLine="567"/>
        <w:jc w:val="both"/>
        <w:rPr>
          <w:sz w:val="22"/>
          <w:szCs w:val="22"/>
          <w:lang w:val="en-US"/>
        </w:rPr>
      </w:pPr>
      <w:r w:rsidRPr="00A05A09">
        <w:rPr>
          <w:sz w:val="22"/>
          <w:szCs w:val="22"/>
          <w:lang w:val="en-US"/>
        </w:rPr>
        <w:t xml:space="preserve">Indonesia's experience suggests that postcolonial states need not choose between wholesale rejection of international legal standards and uncritical adoption of external models. </w:t>
      </w:r>
      <w:proofErr w:type="spellStart"/>
      <w:r w:rsidRPr="00A05A09">
        <w:rPr>
          <w:rStyle w:val="Emphasis"/>
          <w:rFonts w:eastAsiaTheme="majorEastAsia"/>
          <w:i w:val="0"/>
          <w:iCs w:val="0"/>
          <w:sz w:val="22"/>
          <w:szCs w:val="22"/>
          <w:lang w:val="en-US"/>
        </w:rPr>
        <w:t>Keadilan</w:t>
      </w:r>
      <w:proofErr w:type="spellEnd"/>
      <w:r w:rsidRPr="00A05A09">
        <w:rPr>
          <w:rStyle w:val="Emphasis"/>
          <w:rFonts w:eastAsiaTheme="majorEastAsia"/>
          <w:i w:val="0"/>
          <w:iCs w:val="0"/>
          <w:sz w:val="22"/>
          <w:szCs w:val="22"/>
          <w:lang w:val="en-US"/>
        </w:rPr>
        <w:t xml:space="preserve"> </w:t>
      </w:r>
      <w:proofErr w:type="spellStart"/>
      <w:r w:rsidRPr="00A05A09">
        <w:rPr>
          <w:rStyle w:val="Emphasis"/>
          <w:rFonts w:eastAsiaTheme="majorEastAsia"/>
          <w:i w:val="0"/>
          <w:iCs w:val="0"/>
          <w:sz w:val="22"/>
          <w:szCs w:val="22"/>
          <w:lang w:val="en-US"/>
        </w:rPr>
        <w:t>Bermartabat</w:t>
      </w:r>
      <w:proofErr w:type="spellEnd"/>
      <w:r w:rsidRPr="00A05A09">
        <w:rPr>
          <w:i/>
          <w:iCs/>
          <w:sz w:val="22"/>
          <w:szCs w:val="22"/>
          <w:lang w:val="en-US"/>
        </w:rPr>
        <w:t xml:space="preserve"> </w:t>
      </w:r>
      <w:r w:rsidRPr="00A05A09">
        <w:rPr>
          <w:sz w:val="22"/>
          <w:szCs w:val="22"/>
          <w:lang w:val="en-US"/>
        </w:rPr>
        <w:t>demonstrates how constitutional interpretation can integrate universal principles with local values through reasoned analysis rather than cultural assertion alone.</w:t>
      </w:r>
      <w:r w:rsidR="00930C7E" w:rsidRPr="00A05A09">
        <w:rPr>
          <w:sz w:val="22"/>
          <w:szCs w:val="22"/>
          <w:lang w:val="en-US"/>
        </w:rPr>
        <w:t xml:space="preserve"> </w:t>
      </w:r>
      <w:r w:rsidRPr="00A05A09">
        <w:rPr>
          <w:sz w:val="22"/>
          <w:szCs w:val="22"/>
          <w:lang w:val="en-US"/>
        </w:rPr>
        <w:t>The framework's evolution from institutional failure toward indigenous alternatives also provides lessons for other transitional societies. Rather than viewing failed transitional justice mechanisms as evidence of institutional weakness, Indonesia's experience shows how such failures can generate critical reflection</w:t>
      </w:r>
      <w:r w:rsidR="00A20CA7" w:rsidRPr="00A05A09">
        <w:rPr>
          <w:sz w:val="22"/>
          <w:szCs w:val="22"/>
          <w:lang w:val="en-US"/>
        </w:rPr>
        <w:t>, leading</w:t>
      </w:r>
      <w:r w:rsidRPr="00A05A09">
        <w:rPr>
          <w:sz w:val="22"/>
          <w:szCs w:val="22"/>
          <w:lang w:val="en-US"/>
        </w:rPr>
        <w:t xml:space="preserve"> to more appropriate institutional designs. This learning process may prove more valuable than immediate success with imported models that lack local legitimacy.</w:t>
      </w:r>
    </w:p>
    <w:p w14:paraId="4A1FD762" w14:textId="584E54B7" w:rsidR="00213940" w:rsidRPr="00A05A09" w:rsidRDefault="00213940" w:rsidP="00686FA1">
      <w:pPr>
        <w:pStyle w:val="whitespace-normal"/>
        <w:spacing w:before="0" w:beforeAutospacing="0" w:after="0" w:afterAutospacing="0" w:line="480" w:lineRule="auto"/>
        <w:ind w:firstLine="567"/>
        <w:jc w:val="both"/>
        <w:rPr>
          <w:sz w:val="22"/>
          <w:szCs w:val="22"/>
          <w:lang w:val="en-US"/>
        </w:rPr>
      </w:pPr>
      <w:r w:rsidRPr="00A05A09">
        <w:rPr>
          <w:sz w:val="22"/>
          <w:szCs w:val="22"/>
          <w:lang w:val="en-US"/>
        </w:rPr>
        <w:t xml:space="preserve">Finally, Indonesia's contribution to comparative constitutional law lies in demonstrating how dignity can serve as both a universal principle and a culturally specific value. By developing analytical frameworks </w:t>
      </w:r>
      <w:r w:rsidR="00A20CA7" w:rsidRPr="00A05A09">
        <w:rPr>
          <w:sz w:val="22"/>
          <w:szCs w:val="22"/>
          <w:lang w:val="en-US"/>
        </w:rPr>
        <w:t>operationalizing</w:t>
      </w:r>
      <w:r w:rsidRPr="00A05A09">
        <w:rPr>
          <w:sz w:val="22"/>
          <w:szCs w:val="22"/>
          <w:lang w:val="en-US"/>
        </w:rPr>
        <w:t xml:space="preserve"> dignity through particular constitutional traditions, </w:t>
      </w:r>
      <w:proofErr w:type="spellStart"/>
      <w:r w:rsidRPr="00A05A09">
        <w:rPr>
          <w:rStyle w:val="Emphasis"/>
          <w:rFonts w:eastAsiaTheme="majorEastAsia"/>
          <w:i w:val="0"/>
          <w:iCs w:val="0"/>
          <w:sz w:val="22"/>
          <w:szCs w:val="22"/>
          <w:lang w:val="en-US"/>
        </w:rPr>
        <w:t>Keadilan</w:t>
      </w:r>
      <w:proofErr w:type="spellEnd"/>
      <w:r w:rsidRPr="00A05A09">
        <w:rPr>
          <w:rStyle w:val="Emphasis"/>
          <w:rFonts w:eastAsiaTheme="majorEastAsia"/>
          <w:i w:val="0"/>
          <w:iCs w:val="0"/>
          <w:sz w:val="22"/>
          <w:szCs w:val="22"/>
          <w:lang w:val="en-US"/>
        </w:rPr>
        <w:t xml:space="preserve"> </w:t>
      </w:r>
      <w:proofErr w:type="spellStart"/>
      <w:r w:rsidRPr="00A05A09">
        <w:rPr>
          <w:rStyle w:val="Emphasis"/>
          <w:rFonts w:eastAsiaTheme="majorEastAsia"/>
          <w:i w:val="0"/>
          <w:iCs w:val="0"/>
          <w:sz w:val="22"/>
          <w:szCs w:val="22"/>
          <w:lang w:val="en-US"/>
        </w:rPr>
        <w:t>Bermartabat</w:t>
      </w:r>
      <w:proofErr w:type="spellEnd"/>
      <w:r w:rsidRPr="00A05A09">
        <w:rPr>
          <w:sz w:val="22"/>
          <w:szCs w:val="22"/>
          <w:lang w:val="en-US"/>
        </w:rPr>
        <w:t xml:space="preserve"> suggests pathways for legal development that are simultaneously locally grounded and globally relevant. This achievement positions Indonesia not merely as a recipient of international legal assistance but as a contributor to global conversations about justice, dignity, and constitutional development in postcolonial contexts.</w:t>
      </w:r>
    </w:p>
    <w:p w14:paraId="089C25A0" w14:textId="77777777" w:rsidR="00EE0F62" w:rsidRPr="00A05A09" w:rsidRDefault="00EE0F62" w:rsidP="00686FA1">
      <w:pPr>
        <w:pStyle w:val="whitespace-normal"/>
        <w:spacing w:before="0" w:beforeAutospacing="0" w:after="0" w:afterAutospacing="0" w:line="480" w:lineRule="auto"/>
        <w:jc w:val="both"/>
        <w:rPr>
          <w:b/>
          <w:bCs/>
          <w:sz w:val="22"/>
          <w:szCs w:val="22"/>
          <w:lang w:val="en-US"/>
        </w:rPr>
      </w:pPr>
    </w:p>
    <w:p w14:paraId="6850A225" w14:textId="194D7C18" w:rsidR="008F73D9" w:rsidRPr="00A05A09" w:rsidRDefault="00B64200" w:rsidP="00686FA1">
      <w:pPr>
        <w:pStyle w:val="whitespace-normal"/>
        <w:spacing w:before="0" w:beforeAutospacing="0" w:after="0" w:afterAutospacing="0" w:line="480" w:lineRule="auto"/>
        <w:jc w:val="both"/>
        <w:rPr>
          <w:sz w:val="22"/>
          <w:szCs w:val="22"/>
          <w:lang w:val="en-US"/>
        </w:rPr>
      </w:pPr>
      <w:r w:rsidRPr="00A05A09">
        <w:rPr>
          <w:b/>
          <w:bCs/>
          <w:sz w:val="22"/>
          <w:szCs w:val="22"/>
          <w:lang w:val="en-US"/>
        </w:rPr>
        <w:t>Conclusion</w:t>
      </w:r>
      <w:r w:rsidR="00F0437B" w:rsidRPr="00A05A09">
        <w:rPr>
          <w:b/>
          <w:bCs/>
          <w:sz w:val="22"/>
          <w:szCs w:val="22"/>
          <w:lang w:val="en-US"/>
        </w:rPr>
        <w:t>s</w:t>
      </w:r>
    </w:p>
    <w:p w14:paraId="7937789E" w14:textId="77777777" w:rsidR="008F73D9" w:rsidRPr="00A05A09" w:rsidRDefault="008F73D9" w:rsidP="00686FA1">
      <w:pPr>
        <w:pStyle w:val="whitespace-normal"/>
        <w:spacing w:before="0" w:beforeAutospacing="0" w:after="0" w:afterAutospacing="0" w:line="480" w:lineRule="auto"/>
        <w:ind w:firstLine="284"/>
        <w:jc w:val="both"/>
        <w:rPr>
          <w:b/>
          <w:bCs/>
          <w:sz w:val="22"/>
          <w:szCs w:val="22"/>
          <w:lang w:val="en-US"/>
        </w:rPr>
      </w:pPr>
    </w:p>
    <w:p w14:paraId="712E3D14" w14:textId="5BEDC4EB" w:rsidR="0050326B" w:rsidRPr="00A05A09" w:rsidRDefault="00435A7B" w:rsidP="00686FA1">
      <w:pPr>
        <w:pStyle w:val="whitespace-normal"/>
        <w:spacing w:before="0" w:beforeAutospacing="0" w:after="0" w:afterAutospacing="0" w:line="480" w:lineRule="auto"/>
        <w:ind w:firstLine="567"/>
        <w:jc w:val="both"/>
        <w:rPr>
          <w:sz w:val="22"/>
          <w:szCs w:val="22"/>
          <w:lang w:val="en-US"/>
        </w:rPr>
      </w:pPr>
      <w:r w:rsidRPr="00A05A09">
        <w:rPr>
          <w:sz w:val="22"/>
          <w:szCs w:val="22"/>
          <w:lang w:val="en-US"/>
        </w:rPr>
        <w:t xml:space="preserve">This investigation examined Indonesia's </w:t>
      </w:r>
      <w:proofErr w:type="spellStart"/>
      <w:r w:rsidRPr="00A05A09">
        <w:rPr>
          <w:rStyle w:val="Emphasis"/>
          <w:rFonts w:eastAsiaTheme="majorEastAsia"/>
          <w:i w:val="0"/>
          <w:iCs w:val="0"/>
          <w:sz w:val="22"/>
          <w:szCs w:val="22"/>
          <w:lang w:val="en-US"/>
        </w:rPr>
        <w:t>Keadilan</w:t>
      </w:r>
      <w:proofErr w:type="spellEnd"/>
      <w:r w:rsidRPr="00A05A09">
        <w:rPr>
          <w:rStyle w:val="Emphasis"/>
          <w:rFonts w:eastAsiaTheme="majorEastAsia"/>
          <w:i w:val="0"/>
          <w:iCs w:val="0"/>
          <w:sz w:val="22"/>
          <w:szCs w:val="22"/>
          <w:lang w:val="en-US"/>
        </w:rPr>
        <w:t xml:space="preserve"> </w:t>
      </w:r>
      <w:proofErr w:type="spellStart"/>
      <w:r w:rsidRPr="00A05A09">
        <w:rPr>
          <w:rStyle w:val="Emphasis"/>
          <w:rFonts w:eastAsiaTheme="majorEastAsia"/>
          <w:i w:val="0"/>
          <w:iCs w:val="0"/>
          <w:sz w:val="22"/>
          <w:szCs w:val="22"/>
          <w:lang w:val="en-US"/>
        </w:rPr>
        <w:t>Bermartabat</w:t>
      </w:r>
      <w:proofErr w:type="spellEnd"/>
      <w:r w:rsidRPr="00A05A09">
        <w:rPr>
          <w:sz w:val="22"/>
          <w:szCs w:val="22"/>
          <w:lang w:val="en-US"/>
        </w:rPr>
        <w:t xml:space="preserve"> as an alternative to conventional transitional justice paradigms, revealing how dignity-centered jurisprudence grounded in </w:t>
      </w:r>
      <w:r w:rsidRPr="00A05A09">
        <w:rPr>
          <w:rStyle w:val="Emphasis"/>
          <w:rFonts w:eastAsiaTheme="majorEastAsia"/>
          <w:i w:val="0"/>
          <w:iCs w:val="0"/>
          <w:sz w:val="22"/>
          <w:szCs w:val="22"/>
          <w:lang w:val="en-US"/>
        </w:rPr>
        <w:t>Pancasila</w:t>
      </w:r>
      <w:r w:rsidRPr="00A05A09">
        <w:rPr>
          <w:sz w:val="22"/>
          <w:szCs w:val="22"/>
          <w:lang w:val="en-US"/>
        </w:rPr>
        <w:t xml:space="preserve"> addresses the documented failures of both retributive and restorative approaches. The analysis generates several </w:t>
      </w:r>
      <w:r w:rsidRPr="00A05A09">
        <w:rPr>
          <w:sz w:val="22"/>
          <w:szCs w:val="22"/>
          <w:lang w:val="en-US"/>
        </w:rPr>
        <w:lastRenderedPageBreak/>
        <w:t>significant findings that advance understanding of postcolonial legal innovation and its potential contributions to transitional justice theory.</w:t>
      </w:r>
    </w:p>
    <w:p w14:paraId="36FC7944" w14:textId="1276CE4D" w:rsidR="00A94A39" w:rsidRPr="00A05A09" w:rsidRDefault="00A94A39" w:rsidP="00686FA1">
      <w:pPr>
        <w:pStyle w:val="whitespace-normal"/>
        <w:spacing w:before="0" w:beforeAutospacing="0" w:after="0" w:afterAutospacing="0" w:line="480" w:lineRule="auto"/>
        <w:ind w:firstLine="567"/>
        <w:jc w:val="both"/>
        <w:rPr>
          <w:sz w:val="22"/>
          <w:szCs w:val="22"/>
          <w:lang w:val="en-US"/>
        </w:rPr>
      </w:pPr>
      <w:r w:rsidRPr="00A05A09">
        <w:rPr>
          <w:sz w:val="22"/>
          <w:szCs w:val="22"/>
          <w:lang w:val="en-US"/>
        </w:rPr>
        <w:t xml:space="preserve">The research demonstrates that </w:t>
      </w:r>
      <w:proofErr w:type="spellStart"/>
      <w:r w:rsidRPr="00A05A09">
        <w:rPr>
          <w:rStyle w:val="Emphasis"/>
          <w:rFonts w:eastAsiaTheme="majorEastAsia"/>
          <w:i w:val="0"/>
          <w:iCs w:val="0"/>
          <w:sz w:val="22"/>
          <w:szCs w:val="22"/>
          <w:lang w:val="en-US"/>
        </w:rPr>
        <w:t>Keadilan</w:t>
      </w:r>
      <w:proofErr w:type="spellEnd"/>
      <w:r w:rsidRPr="00A05A09">
        <w:rPr>
          <w:rStyle w:val="Emphasis"/>
          <w:rFonts w:eastAsiaTheme="majorEastAsia"/>
          <w:i w:val="0"/>
          <w:iCs w:val="0"/>
          <w:sz w:val="22"/>
          <w:szCs w:val="22"/>
          <w:lang w:val="en-US"/>
        </w:rPr>
        <w:t xml:space="preserve"> </w:t>
      </w:r>
      <w:proofErr w:type="spellStart"/>
      <w:r w:rsidRPr="00A05A09">
        <w:rPr>
          <w:rStyle w:val="Emphasis"/>
          <w:rFonts w:eastAsiaTheme="majorEastAsia"/>
          <w:i w:val="0"/>
          <w:iCs w:val="0"/>
          <w:sz w:val="22"/>
          <w:szCs w:val="22"/>
          <w:lang w:val="en-US"/>
        </w:rPr>
        <w:t>Bermartabat</w:t>
      </w:r>
      <w:proofErr w:type="spellEnd"/>
      <w:r w:rsidRPr="00A05A09">
        <w:rPr>
          <w:sz w:val="22"/>
          <w:szCs w:val="22"/>
          <w:lang w:val="en-US"/>
        </w:rPr>
        <w:t xml:space="preserve"> reframes transitional justice by rejecting the conventional binary between punishment and reconciliation. Indonesia's experience illustrates the inadequacy of this dichotomy: Ad Hoc Human Rights Courts produced procedural formalism that resulted in systematic acquittals of senior officials</w:t>
      </w:r>
      <w:r w:rsidR="00A20CA7" w:rsidRPr="00A05A09">
        <w:rPr>
          <w:sz w:val="22"/>
          <w:szCs w:val="22"/>
          <w:lang w:val="en-US"/>
        </w:rPr>
        <w:t>. At the same time,</w:t>
      </w:r>
      <w:r w:rsidRPr="00A05A09">
        <w:rPr>
          <w:sz w:val="22"/>
          <w:szCs w:val="22"/>
          <w:lang w:val="en-US"/>
        </w:rPr>
        <w:t xml:space="preserve"> the Truth and Reconciliation Commission collapsed under constitutional and political pressures before achieving meaningful truth-telling or victim recognition. </w:t>
      </w:r>
      <w:proofErr w:type="spellStart"/>
      <w:r w:rsidRPr="00A05A09">
        <w:rPr>
          <w:rStyle w:val="Emphasis"/>
          <w:rFonts w:eastAsiaTheme="majorEastAsia"/>
          <w:i w:val="0"/>
          <w:iCs w:val="0"/>
          <w:sz w:val="22"/>
          <w:szCs w:val="22"/>
          <w:lang w:val="en-US"/>
        </w:rPr>
        <w:t>Keadilan</w:t>
      </w:r>
      <w:proofErr w:type="spellEnd"/>
      <w:r w:rsidRPr="00A05A09">
        <w:rPr>
          <w:rStyle w:val="Emphasis"/>
          <w:rFonts w:eastAsiaTheme="majorEastAsia"/>
          <w:i w:val="0"/>
          <w:iCs w:val="0"/>
          <w:sz w:val="22"/>
          <w:szCs w:val="22"/>
          <w:lang w:val="en-US"/>
        </w:rPr>
        <w:t xml:space="preserve"> </w:t>
      </w:r>
      <w:proofErr w:type="spellStart"/>
      <w:r w:rsidRPr="00A05A09">
        <w:rPr>
          <w:rStyle w:val="Emphasis"/>
          <w:rFonts w:eastAsiaTheme="majorEastAsia"/>
          <w:i w:val="0"/>
          <w:iCs w:val="0"/>
          <w:sz w:val="22"/>
          <w:szCs w:val="22"/>
          <w:lang w:val="en-US"/>
        </w:rPr>
        <w:t>Bermartabat</w:t>
      </w:r>
      <w:proofErr w:type="spellEnd"/>
      <w:r w:rsidRPr="00A05A09">
        <w:rPr>
          <w:sz w:val="22"/>
          <w:szCs w:val="22"/>
          <w:lang w:val="en-US"/>
        </w:rPr>
        <w:t xml:space="preserve"> transcends these limitations through the </w:t>
      </w:r>
      <w:proofErr w:type="spellStart"/>
      <w:r w:rsidRPr="00A05A09">
        <w:rPr>
          <w:rStyle w:val="Emphasis"/>
          <w:rFonts w:eastAsiaTheme="majorEastAsia"/>
          <w:sz w:val="22"/>
          <w:szCs w:val="22"/>
          <w:lang w:val="en-US"/>
        </w:rPr>
        <w:t>memanusiakan</w:t>
      </w:r>
      <w:proofErr w:type="spellEnd"/>
      <w:r w:rsidRPr="00A05A09">
        <w:rPr>
          <w:rStyle w:val="Emphasis"/>
          <w:rFonts w:eastAsiaTheme="majorEastAsia"/>
          <w:sz w:val="22"/>
          <w:szCs w:val="22"/>
          <w:lang w:val="en-US"/>
        </w:rPr>
        <w:t xml:space="preserve"> </w:t>
      </w:r>
      <w:proofErr w:type="spellStart"/>
      <w:r w:rsidRPr="00A05A09">
        <w:rPr>
          <w:rStyle w:val="Emphasis"/>
          <w:rFonts w:eastAsiaTheme="majorEastAsia"/>
          <w:sz w:val="22"/>
          <w:szCs w:val="22"/>
          <w:lang w:val="en-US"/>
        </w:rPr>
        <w:t>manusia</w:t>
      </w:r>
      <w:proofErr w:type="spellEnd"/>
      <w:r w:rsidRPr="00A05A09">
        <w:rPr>
          <w:sz w:val="22"/>
          <w:szCs w:val="22"/>
          <w:lang w:val="en-US"/>
        </w:rPr>
        <w:t xml:space="preserve"> principle, which subordinates both accountability and reconciliation processes to the overarching goal of protecting and restoring human dignity.</w:t>
      </w:r>
    </w:p>
    <w:p w14:paraId="0EC4F056" w14:textId="77777777" w:rsidR="00A94A39" w:rsidRPr="00A05A09" w:rsidRDefault="00A94A39" w:rsidP="00686FA1">
      <w:pPr>
        <w:pStyle w:val="whitespace-normal"/>
        <w:spacing w:before="0" w:beforeAutospacing="0" w:after="0" w:afterAutospacing="0" w:line="480" w:lineRule="auto"/>
        <w:ind w:firstLine="567"/>
        <w:jc w:val="both"/>
        <w:rPr>
          <w:sz w:val="22"/>
          <w:szCs w:val="22"/>
          <w:lang w:val="en-US"/>
        </w:rPr>
      </w:pPr>
      <w:r w:rsidRPr="00A05A09">
        <w:rPr>
          <w:sz w:val="22"/>
          <w:szCs w:val="22"/>
          <w:lang w:val="en-US"/>
        </w:rPr>
        <w:t xml:space="preserve">The framework's constitutional grounding in </w:t>
      </w:r>
      <w:r w:rsidRPr="00A05A09">
        <w:rPr>
          <w:rStyle w:val="Emphasis"/>
          <w:rFonts w:eastAsiaTheme="majorEastAsia"/>
          <w:i w:val="0"/>
          <w:iCs w:val="0"/>
          <w:sz w:val="22"/>
          <w:szCs w:val="22"/>
          <w:lang w:val="en-US"/>
        </w:rPr>
        <w:t>Pancasila</w:t>
      </w:r>
      <w:r w:rsidRPr="00A05A09">
        <w:rPr>
          <w:i/>
          <w:iCs/>
          <w:sz w:val="22"/>
          <w:szCs w:val="22"/>
          <w:lang w:val="en-US"/>
        </w:rPr>
        <w:t xml:space="preserve"> </w:t>
      </w:r>
      <w:r w:rsidRPr="00A05A09">
        <w:rPr>
          <w:sz w:val="22"/>
          <w:szCs w:val="22"/>
          <w:lang w:val="en-US"/>
        </w:rPr>
        <w:t>creates distinctive jurisprudential possibilities unavailable to imported justice models. Rather than treating justice, utility, and legal certainty as competing values requiring careful balancing, Indonesia's approach integrates these elements within a unified normative framework. This integration enables judicial institutions to pursue accountability without descending into cycles of vengeance while facilitating reconciliation without compromising victim rights or perpetrator responsibility. The constitutional embedding provides sustainable institutional guidance that draws legitimacy from established national foundations rather than external validation.</w:t>
      </w:r>
    </w:p>
    <w:p w14:paraId="3444C36C" w14:textId="77777777" w:rsidR="00A94A39" w:rsidRPr="00A05A09" w:rsidRDefault="00A94A39" w:rsidP="00686FA1">
      <w:pPr>
        <w:pStyle w:val="whitespace-normal"/>
        <w:spacing w:before="0" w:beforeAutospacing="0" w:after="0" w:afterAutospacing="0" w:line="480" w:lineRule="auto"/>
        <w:ind w:firstLine="567"/>
        <w:jc w:val="both"/>
        <w:rPr>
          <w:sz w:val="22"/>
          <w:szCs w:val="22"/>
          <w:lang w:val="en-US"/>
        </w:rPr>
      </w:pPr>
      <w:r w:rsidRPr="00A05A09">
        <w:rPr>
          <w:sz w:val="22"/>
          <w:szCs w:val="22"/>
          <w:lang w:val="en-US"/>
        </w:rPr>
        <w:t xml:space="preserve">Comparative analysis with other postcolonial justice frameworks illuminates </w:t>
      </w:r>
      <w:proofErr w:type="spellStart"/>
      <w:r w:rsidRPr="00A05A09">
        <w:rPr>
          <w:rStyle w:val="Emphasis"/>
          <w:rFonts w:eastAsiaTheme="majorEastAsia"/>
          <w:i w:val="0"/>
          <w:iCs w:val="0"/>
          <w:sz w:val="22"/>
          <w:szCs w:val="22"/>
          <w:lang w:val="en-US"/>
        </w:rPr>
        <w:t>Keadilan</w:t>
      </w:r>
      <w:proofErr w:type="spellEnd"/>
      <w:r w:rsidRPr="00A05A09">
        <w:rPr>
          <w:rStyle w:val="Emphasis"/>
          <w:rFonts w:eastAsiaTheme="majorEastAsia"/>
          <w:i w:val="0"/>
          <w:iCs w:val="0"/>
          <w:sz w:val="22"/>
          <w:szCs w:val="22"/>
          <w:lang w:val="en-US"/>
        </w:rPr>
        <w:t xml:space="preserve"> </w:t>
      </w:r>
      <w:proofErr w:type="spellStart"/>
      <w:r w:rsidRPr="00A05A09">
        <w:rPr>
          <w:rStyle w:val="Emphasis"/>
          <w:rFonts w:eastAsiaTheme="majorEastAsia"/>
          <w:i w:val="0"/>
          <w:iCs w:val="0"/>
          <w:sz w:val="22"/>
          <w:szCs w:val="22"/>
          <w:lang w:val="en-US"/>
        </w:rPr>
        <w:t>Bermartabat</w:t>
      </w:r>
      <w:r w:rsidRPr="00A05A09">
        <w:rPr>
          <w:i/>
          <w:iCs/>
          <w:sz w:val="22"/>
          <w:szCs w:val="22"/>
          <w:lang w:val="en-US"/>
        </w:rPr>
        <w:t>'s</w:t>
      </w:r>
      <w:proofErr w:type="spellEnd"/>
      <w:r w:rsidRPr="00A05A09">
        <w:rPr>
          <w:sz w:val="22"/>
          <w:szCs w:val="22"/>
          <w:lang w:val="en-US"/>
        </w:rPr>
        <w:t xml:space="preserve"> particular contribution to global jurisprudential innovation. Ubuntu philosophy's emphasis on communal harmony, while valuable for social cohesion, risks subordinating individual justice claims to collective reconciliation imperatives. Buen Vivir's expansion of justice concepts into ecological relationships, though important for environmental protection, disperses focus from immediate transitional justice concerns. Indonesia's framework maintains analytical precision by centering human dignity within transitional contexts while remaining constitutionally grounded and institutionally coherent.</w:t>
      </w:r>
    </w:p>
    <w:p w14:paraId="53200B3D" w14:textId="77777777" w:rsidR="00A94A39" w:rsidRPr="009537D3" w:rsidRDefault="00A94A39" w:rsidP="00435A7B">
      <w:pPr>
        <w:pStyle w:val="whitespace-normal"/>
        <w:spacing w:before="0" w:beforeAutospacing="0" w:after="0" w:afterAutospacing="0"/>
        <w:ind w:firstLine="720"/>
        <w:jc w:val="both"/>
        <w:rPr>
          <w:lang w:val="en-US"/>
        </w:rPr>
      </w:pPr>
    </w:p>
    <w:p w14:paraId="640F85D9" w14:textId="77777777" w:rsidR="00435A7B" w:rsidRPr="009537D3" w:rsidRDefault="00435A7B" w:rsidP="0050326B">
      <w:pPr>
        <w:pStyle w:val="whitespace-normal"/>
        <w:spacing w:before="0" w:beforeAutospacing="0" w:after="0" w:afterAutospacing="0"/>
        <w:jc w:val="both"/>
        <w:rPr>
          <w:lang w:val="en-US"/>
        </w:rPr>
      </w:pPr>
    </w:p>
    <w:p w14:paraId="0574FA1E" w14:textId="77777777" w:rsidR="00F35518" w:rsidRPr="009537D3" w:rsidRDefault="0050326B" w:rsidP="0050326B">
      <w:pPr>
        <w:spacing w:after="0"/>
        <w:jc w:val="both"/>
        <w:rPr>
          <w:b/>
        </w:rPr>
      </w:pPr>
      <w:r w:rsidRPr="009537D3">
        <w:rPr>
          <w:b/>
        </w:rPr>
        <w:t xml:space="preserve">Acknowledgements </w:t>
      </w:r>
    </w:p>
    <w:p w14:paraId="2C0507F5" w14:textId="6B54FEB5" w:rsidR="00F35518" w:rsidRPr="009537D3" w:rsidRDefault="00F35518" w:rsidP="0050326B">
      <w:pPr>
        <w:spacing w:after="0"/>
        <w:jc w:val="both"/>
        <w:rPr>
          <w:bCs/>
        </w:rPr>
      </w:pPr>
      <w:r w:rsidRPr="009537D3">
        <w:rPr>
          <w:bCs/>
        </w:rPr>
        <w:t>None</w:t>
      </w:r>
    </w:p>
    <w:p w14:paraId="70A0E7CA" w14:textId="77777777" w:rsidR="00F35518" w:rsidRPr="009537D3" w:rsidRDefault="00F35518" w:rsidP="0050326B">
      <w:pPr>
        <w:spacing w:after="0"/>
        <w:jc w:val="both"/>
        <w:rPr>
          <w:bCs/>
        </w:rPr>
      </w:pPr>
    </w:p>
    <w:p w14:paraId="68FCF455" w14:textId="50304A3E" w:rsidR="0050326B" w:rsidRPr="009537D3" w:rsidRDefault="0050326B" w:rsidP="0050326B">
      <w:pPr>
        <w:spacing w:after="0"/>
        <w:jc w:val="both"/>
        <w:rPr>
          <w:bCs/>
        </w:rPr>
      </w:pPr>
      <w:r w:rsidRPr="009537D3">
        <w:rPr>
          <w:rStyle w:val="Strong"/>
          <w:bCs w:val="0"/>
          <w:shd w:val="clear" w:color="auto" w:fill="FFFFFF"/>
        </w:rPr>
        <w:t>Funding </w:t>
      </w:r>
    </w:p>
    <w:p w14:paraId="0DED30C1" w14:textId="71CCD8AA" w:rsidR="00EA0855" w:rsidRPr="009537D3" w:rsidRDefault="00EA0855" w:rsidP="0050326B">
      <w:pPr>
        <w:spacing w:after="0"/>
        <w:jc w:val="both"/>
        <w:rPr>
          <w:bCs/>
        </w:rPr>
      </w:pPr>
      <w:r w:rsidRPr="009537D3">
        <w:rPr>
          <w:bCs/>
        </w:rPr>
        <w:t>This study was not funded</w:t>
      </w:r>
    </w:p>
    <w:p w14:paraId="4B541BFE" w14:textId="082D4359" w:rsidR="00B64200" w:rsidRPr="009537D3" w:rsidRDefault="0050326B" w:rsidP="00EA0855">
      <w:pPr>
        <w:spacing w:after="0"/>
        <w:jc w:val="both"/>
        <w:rPr>
          <w:b/>
        </w:rPr>
      </w:pPr>
      <w:r w:rsidRPr="009537D3">
        <w:rPr>
          <w:b/>
        </w:rPr>
        <w:t xml:space="preserve">Conflict of Interests </w:t>
      </w:r>
    </w:p>
    <w:p w14:paraId="216B343B" w14:textId="05DE4967" w:rsidR="00EA0855" w:rsidRPr="009537D3" w:rsidRDefault="00EA0855" w:rsidP="00EA0855">
      <w:pPr>
        <w:spacing w:after="0"/>
        <w:jc w:val="both"/>
        <w:rPr>
          <w:bCs/>
        </w:rPr>
      </w:pPr>
      <w:r w:rsidRPr="009537D3">
        <w:rPr>
          <w:bCs/>
        </w:rPr>
        <w:lastRenderedPageBreak/>
        <w:t xml:space="preserve">None </w:t>
      </w:r>
    </w:p>
    <w:p w14:paraId="05FA918C" w14:textId="77777777" w:rsidR="00213B86" w:rsidRPr="009537D3" w:rsidRDefault="00213B86" w:rsidP="00EA0855">
      <w:pPr>
        <w:spacing w:after="0"/>
        <w:jc w:val="both"/>
        <w:rPr>
          <w:bCs/>
        </w:rPr>
      </w:pPr>
    </w:p>
    <w:p w14:paraId="0C70F1C7" w14:textId="77777777" w:rsidR="00A13812" w:rsidRPr="009537D3" w:rsidRDefault="00A13812" w:rsidP="00EA0855">
      <w:pPr>
        <w:spacing w:after="0"/>
        <w:jc w:val="both"/>
        <w:rPr>
          <w:b/>
          <w:bCs/>
          <w:sz w:val="20"/>
          <w:szCs w:val="20"/>
        </w:rPr>
      </w:pPr>
    </w:p>
    <w:p w14:paraId="5DDB1D23" w14:textId="65D5F0D9" w:rsidR="00031147" w:rsidRPr="009537D3" w:rsidRDefault="008200F9" w:rsidP="00031147">
      <w:pPr>
        <w:rPr>
          <w:b/>
          <w:bCs/>
        </w:rPr>
      </w:pPr>
      <w:r w:rsidRPr="009537D3">
        <w:rPr>
          <w:rStyle w:val="Strong"/>
        </w:rPr>
        <w:t>REFERENCES</w:t>
      </w:r>
      <w:r w:rsidRPr="009537D3">
        <w:rPr>
          <w:b/>
          <w:bCs/>
        </w:rPr>
        <w:t xml:space="preserve"> </w:t>
      </w:r>
    </w:p>
    <w:p w14:paraId="1D524219" w14:textId="77777777" w:rsidR="00013FB7" w:rsidRPr="009537D3" w:rsidRDefault="00013FB7" w:rsidP="001D4D1D">
      <w:pPr>
        <w:pStyle w:val="NormalWeb"/>
        <w:ind w:left="284" w:hanging="284"/>
        <w:jc w:val="both"/>
        <w:rPr>
          <w:lang w:val="en-US"/>
        </w:rPr>
      </w:pPr>
      <w:r w:rsidRPr="009537D3">
        <w:rPr>
          <w:lang w:val="en-US"/>
        </w:rPr>
        <w:t xml:space="preserve">Acosta, A. (2013). Buen Vivir: </w:t>
      </w:r>
      <w:proofErr w:type="spellStart"/>
      <w:r w:rsidRPr="009537D3">
        <w:rPr>
          <w:lang w:val="en-US"/>
        </w:rPr>
        <w:t>Sumak</w:t>
      </w:r>
      <w:proofErr w:type="spellEnd"/>
      <w:r w:rsidRPr="009537D3">
        <w:rPr>
          <w:lang w:val="en-US"/>
        </w:rPr>
        <w:t xml:space="preserve"> Kawsay, a new paradigm for development. In M. Lang &amp; D. Mokrani (Eds.), </w:t>
      </w:r>
      <w:r w:rsidRPr="009537D3">
        <w:rPr>
          <w:rStyle w:val="Emphasis"/>
          <w:rFonts w:eastAsiaTheme="majorEastAsia"/>
          <w:lang w:val="en-US"/>
        </w:rPr>
        <w:t>Beyond development: Alternative visions from Latin America</w:t>
      </w:r>
      <w:r w:rsidRPr="009537D3">
        <w:rPr>
          <w:lang w:val="en-US"/>
        </w:rPr>
        <w:t xml:space="preserve"> (pp. 141–169). Amsterdam: Transnational Institute.</w:t>
      </w:r>
    </w:p>
    <w:p w14:paraId="77BE764C" w14:textId="77777777" w:rsidR="00013FB7" w:rsidRPr="009537D3" w:rsidRDefault="00013FB7" w:rsidP="001D4D1D">
      <w:pPr>
        <w:pStyle w:val="NormalWeb"/>
        <w:ind w:left="284" w:hanging="284"/>
        <w:jc w:val="both"/>
        <w:rPr>
          <w:lang w:val="en-US"/>
        </w:rPr>
      </w:pPr>
      <w:r w:rsidRPr="009537D3">
        <w:rPr>
          <w:lang w:val="en-US"/>
        </w:rPr>
        <w:t xml:space="preserve">Afif, F. (2022). Criminalization of land rights defenders in Indonesia. </w:t>
      </w:r>
      <w:r w:rsidRPr="009537D3">
        <w:rPr>
          <w:rStyle w:val="Emphasis"/>
          <w:rFonts w:eastAsiaTheme="majorEastAsia"/>
          <w:lang w:val="en-US"/>
        </w:rPr>
        <w:t>Journal of Legal Pluralism and Unofficial Law, 54</w:t>
      </w:r>
      <w:r w:rsidRPr="009537D3">
        <w:rPr>
          <w:lang w:val="en-US"/>
        </w:rPr>
        <w:t xml:space="preserve">(2), 167–185. </w:t>
      </w:r>
      <w:hyperlink r:id="rId13" w:history="1">
        <w:r w:rsidRPr="009537D3">
          <w:rPr>
            <w:rStyle w:val="Hyperlink"/>
            <w:lang w:val="en-US"/>
          </w:rPr>
          <w:t>https://doi.org/10.1080/07329113.2022.2071803</w:t>
        </w:r>
      </w:hyperlink>
    </w:p>
    <w:p w14:paraId="60CD2ACF" w14:textId="77777777" w:rsidR="00013FB7" w:rsidRPr="009537D3" w:rsidRDefault="00013FB7" w:rsidP="001D4D1D">
      <w:pPr>
        <w:pStyle w:val="NormalWeb"/>
        <w:ind w:left="284" w:hanging="284"/>
        <w:jc w:val="both"/>
        <w:rPr>
          <w:lang w:val="en-US"/>
        </w:rPr>
      </w:pPr>
      <w:r w:rsidRPr="009537D3">
        <w:rPr>
          <w:lang w:val="en-US"/>
        </w:rPr>
        <w:t>Akin-</w:t>
      </w:r>
      <w:proofErr w:type="spellStart"/>
      <w:r w:rsidRPr="009537D3">
        <w:rPr>
          <w:lang w:val="en-US"/>
        </w:rPr>
        <w:t>Otiko</w:t>
      </w:r>
      <w:proofErr w:type="spellEnd"/>
      <w:r w:rsidRPr="009537D3">
        <w:rPr>
          <w:lang w:val="en-US"/>
        </w:rPr>
        <w:t xml:space="preserve">, A. (2024). Hu </w:t>
      </w:r>
      <w:proofErr w:type="spellStart"/>
      <w:r w:rsidRPr="009537D3">
        <w:rPr>
          <w:lang w:val="en-US"/>
        </w:rPr>
        <w:t>Ìwà</w:t>
      </w:r>
      <w:proofErr w:type="spellEnd"/>
      <w:r w:rsidRPr="009537D3">
        <w:rPr>
          <w:lang w:val="en-US"/>
        </w:rPr>
        <w:t xml:space="preserve"> </w:t>
      </w:r>
      <w:proofErr w:type="spellStart"/>
      <w:r w:rsidRPr="009537D3">
        <w:rPr>
          <w:lang w:val="en-US"/>
        </w:rPr>
        <w:t>Sí</w:t>
      </w:r>
      <w:proofErr w:type="spellEnd"/>
      <w:r w:rsidRPr="009537D3">
        <w:rPr>
          <w:lang w:val="en-US"/>
        </w:rPr>
        <w:t xml:space="preserve"> </w:t>
      </w:r>
      <w:proofErr w:type="spellStart"/>
      <w:r w:rsidRPr="009537D3">
        <w:rPr>
          <w:lang w:val="en-US"/>
        </w:rPr>
        <w:t>i</w:t>
      </w:r>
      <w:proofErr w:type="spellEnd"/>
      <w:r w:rsidRPr="009537D3">
        <w:rPr>
          <w:lang w:val="en-US"/>
        </w:rPr>
        <w:t xml:space="preserve"> </w:t>
      </w:r>
      <w:proofErr w:type="spellStart"/>
      <w:r w:rsidRPr="009537D3">
        <w:rPr>
          <w:lang w:val="en-US"/>
        </w:rPr>
        <w:t>bí</w:t>
      </w:r>
      <w:proofErr w:type="spellEnd"/>
      <w:r w:rsidRPr="009537D3">
        <w:rPr>
          <w:lang w:val="en-US"/>
        </w:rPr>
        <w:t xml:space="preserve"> </w:t>
      </w:r>
      <w:proofErr w:type="spellStart"/>
      <w:r w:rsidRPr="009537D3">
        <w:rPr>
          <w:lang w:val="en-US"/>
        </w:rPr>
        <w:t>Ènìyàn</w:t>
      </w:r>
      <w:proofErr w:type="spellEnd"/>
      <w:r w:rsidRPr="009537D3">
        <w:rPr>
          <w:lang w:val="en-US"/>
        </w:rPr>
        <w:t xml:space="preserve"> Ẹlẹ́ran-Ara a (act towards the other as one with human flesh): A Yoruba theory of social interactions. </w:t>
      </w:r>
      <w:r w:rsidRPr="009537D3">
        <w:rPr>
          <w:rStyle w:val="Emphasis"/>
          <w:rFonts w:eastAsiaTheme="majorEastAsia"/>
          <w:lang w:val="en-US"/>
        </w:rPr>
        <w:t>Social Sciences &amp; Humanities Open</w:t>
      </w:r>
      <w:r w:rsidRPr="009537D3">
        <w:rPr>
          <w:lang w:val="en-US"/>
        </w:rPr>
        <w:t xml:space="preserve">, </w:t>
      </w:r>
      <w:r w:rsidRPr="009537D3">
        <w:rPr>
          <w:rStyle w:val="Emphasis"/>
          <w:rFonts w:eastAsiaTheme="majorEastAsia"/>
          <w:lang w:val="en-US"/>
        </w:rPr>
        <w:t>10</w:t>
      </w:r>
      <w:r w:rsidRPr="009537D3">
        <w:rPr>
          <w:lang w:val="en-US"/>
        </w:rPr>
        <w:t xml:space="preserve">(2024). </w:t>
      </w:r>
      <w:proofErr w:type="spellStart"/>
      <w:r w:rsidRPr="009537D3">
        <w:rPr>
          <w:lang w:val="en-US"/>
        </w:rPr>
        <w:t>doi</w:t>
      </w:r>
      <w:proofErr w:type="spellEnd"/>
      <w:r w:rsidRPr="009537D3">
        <w:rPr>
          <w:lang w:val="en-US"/>
        </w:rPr>
        <w:t>: 10.1016/j.ssaho.2024.100936</w:t>
      </w:r>
    </w:p>
    <w:p w14:paraId="39F021F0" w14:textId="77777777" w:rsidR="00013FB7" w:rsidRPr="009537D3" w:rsidRDefault="00013FB7" w:rsidP="001D4D1D">
      <w:pPr>
        <w:pStyle w:val="NormalWeb"/>
        <w:ind w:left="284" w:hanging="284"/>
        <w:jc w:val="both"/>
        <w:rPr>
          <w:lang w:val="en-US"/>
        </w:rPr>
      </w:pPr>
      <w:r w:rsidRPr="009537D3">
        <w:rPr>
          <w:lang w:val="en-US"/>
        </w:rPr>
        <w:t xml:space="preserve">Bedner, A., &amp; Arizona, Y. (2019). Adat in Indonesian land law: A promise for the future or a dead end? </w:t>
      </w:r>
      <w:r w:rsidRPr="009537D3">
        <w:rPr>
          <w:rStyle w:val="Emphasis"/>
          <w:rFonts w:eastAsiaTheme="majorEastAsia"/>
          <w:lang w:val="en-US"/>
        </w:rPr>
        <w:t>Asia Pacific Journal of Anthropology, 20</w:t>
      </w:r>
      <w:r w:rsidRPr="009537D3">
        <w:rPr>
          <w:lang w:val="en-US"/>
        </w:rPr>
        <w:t>(5), 421–439. https://doi.org/10.1080/14442213.2019.1670246</w:t>
      </w:r>
    </w:p>
    <w:p w14:paraId="4C52CCC1" w14:textId="77777777" w:rsidR="00013FB7" w:rsidRPr="009537D3" w:rsidRDefault="00013FB7" w:rsidP="001D4D1D">
      <w:pPr>
        <w:pStyle w:val="NormalWeb"/>
        <w:ind w:left="284" w:hanging="284"/>
        <w:jc w:val="both"/>
        <w:rPr>
          <w:lang w:val="en-US"/>
        </w:rPr>
      </w:pPr>
      <w:r w:rsidRPr="009537D3">
        <w:rPr>
          <w:lang w:val="en-US"/>
        </w:rPr>
        <w:t xml:space="preserve">Butt, S. (2020). Corruption and law enforcement in Indonesia: The role of the courts. </w:t>
      </w:r>
      <w:r w:rsidRPr="009537D3">
        <w:rPr>
          <w:rStyle w:val="Emphasis"/>
          <w:rFonts w:eastAsiaTheme="majorEastAsia"/>
          <w:lang w:val="en-US"/>
        </w:rPr>
        <w:t>Asian Journal of Comparative Law, 15</w:t>
      </w:r>
      <w:r w:rsidRPr="009537D3">
        <w:rPr>
          <w:lang w:val="en-US"/>
        </w:rPr>
        <w:t>(1), 49–72. https://doi.org/10.1017/asjcl.2020.3</w:t>
      </w:r>
    </w:p>
    <w:p w14:paraId="1F85D66A" w14:textId="77777777" w:rsidR="00013FB7" w:rsidRPr="009537D3" w:rsidRDefault="00013FB7" w:rsidP="001D4D1D">
      <w:pPr>
        <w:pStyle w:val="NormalWeb"/>
        <w:ind w:left="284" w:hanging="284"/>
        <w:jc w:val="both"/>
        <w:rPr>
          <w:lang w:val="en-US"/>
        </w:rPr>
      </w:pPr>
      <w:r w:rsidRPr="009537D3">
        <w:rPr>
          <w:lang w:val="en-US"/>
        </w:rPr>
        <w:t xml:space="preserve">Butt, S. (2021). Judicial responses to Indonesia’s Omnibus Law. </w:t>
      </w:r>
      <w:r w:rsidRPr="009537D3">
        <w:rPr>
          <w:rStyle w:val="Emphasis"/>
          <w:rFonts w:eastAsiaTheme="majorEastAsia"/>
          <w:lang w:val="en-US"/>
        </w:rPr>
        <w:t>Journal of Southeast Asian Studies, 52</w:t>
      </w:r>
      <w:r w:rsidRPr="009537D3">
        <w:rPr>
          <w:lang w:val="en-US"/>
        </w:rPr>
        <w:t xml:space="preserve">(3), 467–482. </w:t>
      </w:r>
      <w:hyperlink r:id="rId14" w:history="1">
        <w:r w:rsidRPr="009537D3">
          <w:rPr>
            <w:rStyle w:val="Hyperlink"/>
            <w:lang w:val="en-US"/>
          </w:rPr>
          <w:t>https://doi.org/10.1017/S0022463421000547</w:t>
        </w:r>
      </w:hyperlink>
    </w:p>
    <w:p w14:paraId="6C7F733A" w14:textId="77777777" w:rsidR="00013FB7" w:rsidRPr="009537D3" w:rsidRDefault="00013FB7" w:rsidP="001D4D1D">
      <w:pPr>
        <w:pStyle w:val="NormalWeb"/>
        <w:ind w:left="284" w:hanging="284"/>
        <w:jc w:val="both"/>
        <w:rPr>
          <w:lang w:val="en-US"/>
        </w:rPr>
      </w:pPr>
      <w:r w:rsidRPr="009537D3">
        <w:rPr>
          <w:lang w:val="en-US"/>
        </w:rPr>
        <w:t xml:space="preserve">Cappelli, F., Caravaggio, N., &amp; Vaquero-Piñeiro, C. (2022). Buen Vivir and forest conservation in Bolivia: False promises or effective change? </w:t>
      </w:r>
      <w:r w:rsidRPr="009537D3">
        <w:rPr>
          <w:rStyle w:val="Emphasis"/>
          <w:rFonts w:eastAsiaTheme="majorEastAsia"/>
          <w:lang w:val="en-US"/>
        </w:rPr>
        <w:t>Forest Policy and Economics, 137</w:t>
      </w:r>
      <w:r w:rsidRPr="009537D3">
        <w:rPr>
          <w:lang w:val="en-US"/>
        </w:rPr>
        <w:t xml:space="preserve">, 102695. </w:t>
      </w:r>
      <w:proofErr w:type="gramStart"/>
      <w:r w:rsidRPr="009537D3">
        <w:rPr>
          <w:lang w:val="en-US"/>
        </w:rPr>
        <w:t>doi:10.1016/j.forpol</w:t>
      </w:r>
      <w:proofErr w:type="gramEnd"/>
      <w:r w:rsidRPr="009537D3">
        <w:rPr>
          <w:lang w:val="en-US"/>
        </w:rPr>
        <w:t>.2022.102695</w:t>
      </w:r>
    </w:p>
    <w:p w14:paraId="7074664A" w14:textId="77777777" w:rsidR="00013FB7" w:rsidRPr="009537D3" w:rsidRDefault="00013FB7" w:rsidP="001D4D1D">
      <w:pPr>
        <w:pStyle w:val="NormalWeb"/>
        <w:ind w:left="284" w:hanging="284"/>
        <w:jc w:val="both"/>
        <w:rPr>
          <w:lang w:val="en-US"/>
        </w:rPr>
      </w:pPr>
      <w:r w:rsidRPr="009537D3">
        <w:rPr>
          <w:lang w:val="en-US"/>
        </w:rPr>
        <w:t xml:space="preserve">Constitutional Court of the Republic of Indonesia. (2006). </w:t>
      </w:r>
      <w:r w:rsidRPr="009537D3">
        <w:rPr>
          <w:rStyle w:val="Emphasis"/>
          <w:rFonts w:eastAsiaTheme="majorEastAsia"/>
          <w:lang w:val="en-US"/>
        </w:rPr>
        <w:t>Decision No. 006/PUU-IV/2006 on the Law on Truth and Reconciliation Commission</w:t>
      </w:r>
      <w:r w:rsidRPr="009537D3">
        <w:rPr>
          <w:lang w:val="en-US"/>
        </w:rPr>
        <w:t xml:space="preserve">. Jakarta: </w:t>
      </w:r>
      <w:proofErr w:type="spellStart"/>
      <w:r w:rsidRPr="009537D3">
        <w:rPr>
          <w:lang w:val="en-US"/>
        </w:rPr>
        <w:t>Mahkamah</w:t>
      </w:r>
      <w:proofErr w:type="spellEnd"/>
      <w:r w:rsidRPr="009537D3">
        <w:rPr>
          <w:lang w:val="en-US"/>
        </w:rPr>
        <w:t xml:space="preserve"> Konstitusi.</w:t>
      </w:r>
    </w:p>
    <w:p w14:paraId="3C850637" w14:textId="77777777" w:rsidR="00013FB7" w:rsidRPr="009537D3" w:rsidRDefault="00013FB7" w:rsidP="001D4D1D">
      <w:pPr>
        <w:pStyle w:val="NormalWeb"/>
        <w:ind w:left="284" w:hanging="284"/>
        <w:jc w:val="both"/>
        <w:rPr>
          <w:lang w:val="en-US"/>
        </w:rPr>
      </w:pPr>
      <w:r w:rsidRPr="009537D3">
        <w:rPr>
          <w:lang w:val="en-US"/>
        </w:rPr>
        <w:t xml:space="preserve">Cornell, D., &amp; </w:t>
      </w:r>
      <w:proofErr w:type="spellStart"/>
      <w:r w:rsidRPr="009537D3">
        <w:rPr>
          <w:lang w:val="en-US"/>
        </w:rPr>
        <w:t>Muvangua</w:t>
      </w:r>
      <w:proofErr w:type="spellEnd"/>
      <w:r w:rsidRPr="009537D3">
        <w:rPr>
          <w:lang w:val="en-US"/>
        </w:rPr>
        <w:t xml:space="preserve">, N. (Eds.). (2012). </w:t>
      </w:r>
      <w:r w:rsidRPr="009537D3">
        <w:rPr>
          <w:rStyle w:val="Emphasis"/>
          <w:rFonts w:eastAsiaTheme="majorEastAsia"/>
          <w:lang w:val="en-US"/>
        </w:rPr>
        <w:t>Ubuntu and the law: African ideals and post-apartheid jurisprudence</w:t>
      </w:r>
      <w:r w:rsidRPr="009537D3">
        <w:rPr>
          <w:lang w:val="en-US"/>
        </w:rPr>
        <w:t>. New York: Fordham University Press.</w:t>
      </w:r>
    </w:p>
    <w:p w14:paraId="564C4405" w14:textId="77777777" w:rsidR="00013FB7" w:rsidRPr="009537D3" w:rsidRDefault="00013FB7" w:rsidP="001D4D1D">
      <w:pPr>
        <w:pStyle w:val="NormalWeb"/>
        <w:ind w:left="284" w:hanging="284"/>
        <w:jc w:val="both"/>
        <w:rPr>
          <w:lang w:val="en-US"/>
        </w:rPr>
      </w:pPr>
      <w:r w:rsidRPr="009537D3">
        <w:rPr>
          <w:lang w:val="en-US"/>
        </w:rPr>
        <w:t xml:space="preserve">Daly, E., &amp; May, J. R. (2020). </w:t>
      </w:r>
      <w:r w:rsidRPr="009537D3">
        <w:rPr>
          <w:rStyle w:val="Emphasis"/>
          <w:rFonts w:eastAsiaTheme="majorEastAsia"/>
          <w:lang w:val="en-US"/>
        </w:rPr>
        <w:t>Dignity rights: Courts, constitutions, and the worth of the human person</w:t>
      </w:r>
      <w:r w:rsidRPr="009537D3">
        <w:rPr>
          <w:lang w:val="en-US"/>
        </w:rPr>
        <w:t>. Philadelphia: University of Pennsylvania Press.</w:t>
      </w:r>
    </w:p>
    <w:p w14:paraId="46DA5E11" w14:textId="77777777" w:rsidR="00013FB7" w:rsidRPr="009537D3" w:rsidRDefault="00013FB7" w:rsidP="001D4D1D">
      <w:pPr>
        <w:pStyle w:val="NormalWeb"/>
        <w:ind w:left="284" w:hanging="284"/>
        <w:jc w:val="both"/>
        <w:rPr>
          <w:lang w:val="en-US"/>
        </w:rPr>
      </w:pPr>
      <w:proofErr w:type="spellStart"/>
      <w:r w:rsidRPr="009537D3">
        <w:rPr>
          <w:lang w:val="en-US"/>
        </w:rPr>
        <w:t>Dimyati</w:t>
      </w:r>
      <w:proofErr w:type="spellEnd"/>
      <w:r w:rsidRPr="009537D3">
        <w:rPr>
          <w:lang w:val="en-US"/>
        </w:rPr>
        <w:t xml:space="preserve">, K. (2021). Indonesia as a legal welfare state: A prophetic interpretation of Pancasila. </w:t>
      </w:r>
      <w:proofErr w:type="spellStart"/>
      <w:r w:rsidRPr="009537D3">
        <w:rPr>
          <w:rStyle w:val="Emphasis"/>
          <w:rFonts w:eastAsiaTheme="majorEastAsia"/>
          <w:lang w:val="en-US"/>
        </w:rPr>
        <w:t>Heliyon</w:t>
      </w:r>
      <w:proofErr w:type="spellEnd"/>
      <w:r w:rsidRPr="009537D3">
        <w:rPr>
          <w:rStyle w:val="Emphasis"/>
          <w:rFonts w:eastAsiaTheme="majorEastAsia"/>
          <w:lang w:val="en-US"/>
        </w:rPr>
        <w:t>, 7</w:t>
      </w:r>
      <w:r w:rsidRPr="009537D3">
        <w:rPr>
          <w:lang w:val="en-US"/>
        </w:rPr>
        <w:t xml:space="preserve">(10), e08136. </w:t>
      </w:r>
      <w:hyperlink r:id="rId15" w:history="1">
        <w:r w:rsidRPr="009537D3">
          <w:rPr>
            <w:rStyle w:val="Hyperlink"/>
            <w:lang w:val="en-US"/>
          </w:rPr>
          <w:t>https://doi.org/10.1016/j.heliyon.2021.e08136</w:t>
        </w:r>
      </w:hyperlink>
    </w:p>
    <w:p w14:paraId="42577B62" w14:textId="77777777" w:rsidR="00013FB7" w:rsidRPr="009537D3" w:rsidRDefault="00013FB7" w:rsidP="001D4D1D">
      <w:pPr>
        <w:pStyle w:val="NormalWeb"/>
        <w:ind w:left="284" w:hanging="284"/>
        <w:jc w:val="both"/>
        <w:rPr>
          <w:lang w:val="en-US"/>
        </w:rPr>
      </w:pPr>
      <w:proofErr w:type="spellStart"/>
      <w:r w:rsidRPr="009537D3">
        <w:rPr>
          <w:lang w:val="en-US"/>
        </w:rPr>
        <w:t>Disantara</w:t>
      </w:r>
      <w:proofErr w:type="spellEnd"/>
      <w:r w:rsidRPr="009537D3">
        <w:rPr>
          <w:lang w:val="en-US"/>
        </w:rPr>
        <w:t xml:space="preserve">, F. P., </w:t>
      </w:r>
      <w:proofErr w:type="spellStart"/>
      <w:r w:rsidRPr="009537D3">
        <w:rPr>
          <w:lang w:val="en-US"/>
        </w:rPr>
        <w:t>Anggono</w:t>
      </w:r>
      <w:proofErr w:type="spellEnd"/>
      <w:r w:rsidRPr="009537D3">
        <w:rPr>
          <w:lang w:val="en-US"/>
        </w:rPr>
        <w:t xml:space="preserve">, B. D., &amp; Efendi, A. (2022). Establishing ethical norms: Dignified Justice Theory perspectives on ethics and legal relations. </w:t>
      </w:r>
      <w:proofErr w:type="spellStart"/>
      <w:r w:rsidRPr="009537D3">
        <w:rPr>
          <w:rStyle w:val="Emphasis"/>
          <w:rFonts w:eastAsiaTheme="majorEastAsia"/>
          <w:lang w:val="en-US"/>
        </w:rPr>
        <w:t>Rechtsidee</w:t>
      </w:r>
      <w:proofErr w:type="spellEnd"/>
      <w:r w:rsidRPr="009537D3">
        <w:rPr>
          <w:rStyle w:val="Emphasis"/>
          <w:rFonts w:eastAsiaTheme="majorEastAsia"/>
          <w:lang w:val="en-US"/>
        </w:rPr>
        <w:t>, 10</w:t>
      </w:r>
      <w:r w:rsidRPr="009537D3">
        <w:rPr>
          <w:lang w:val="en-US"/>
        </w:rPr>
        <w:t>(1). https://doi.org/10.21070/jihr.v10i0.773</w:t>
      </w:r>
    </w:p>
    <w:p w14:paraId="312523D6" w14:textId="77777777" w:rsidR="00013FB7" w:rsidRPr="009537D3" w:rsidRDefault="00013FB7" w:rsidP="001D4D1D">
      <w:pPr>
        <w:pStyle w:val="NormalWeb"/>
        <w:ind w:left="284" w:hanging="284"/>
        <w:jc w:val="both"/>
        <w:rPr>
          <w:lang w:val="en-US"/>
        </w:rPr>
      </w:pPr>
      <w:r w:rsidRPr="009537D3">
        <w:rPr>
          <w:lang w:val="en-US"/>
        </w:rPr>
        <w:t xml:space="preserve">Eze, M. O. (2008). What is African communitarianism? Against consensus as a regulative ideal. </w:t>
      </w:r>
      <w:r w:rsidRPr="009537D3">
        <w:rPr>
          <w:rStyle w:val="Emphasis"/>
          <w:rFonts w:eastAsiaTheme="majorEastAsia"/>
          <w:lang w:val="en-US"/>
        </w:rPr>
        <w:t>South African Journal of Philosophy, 27</w:t>
      </w:r>
      <w:r w:rsidRPr="009537D3">
        <w:rPr>
          <w:lang w:val="en-US"/>
        </w:rPr>
        <w:t xml:space="preserve">(4), 386–399. </w:t>
      </w:r>
      <w:hyperlink r:id="rId16" w:tgtFrame="_new" w:history="1">
        <w:r w:rsidRPr="009537D3">
          <w:rPr>
            <w:rStyle w:val="Hyperlink"/>
            <w:rFonts w:eastAsiaTheme="majorEastAsia"/>
            <w:lang w:val="en-US"/>
          </w:rPr>
          <w:t>https://doi.org/10.4314/sajpem.v27i4.31526</w:t>
        </w:r>
      </w:hyperlink>
    </w:p>
    <w:p w14:paraId="78DC9C49" w14:textId="77777777" w:rsidR="00013FB7" w:rsidRPr="009537D3" w:rsidRDefault="00013FB7" w:rsidP="001D4D1D">
      <w:pPr>
        <w:pStyle w:val="NormalWeb"/>
        <w:ind w:left="284" w:hanging="284"/>
        <w:jc w:val="both"/>
        <w:rPr>
          <w:lang w:val="en-US"/>
        </w:rPr>
      </w:pPr>
      <w:r w:rsidRPr="009537D3">
        <w:rPr>
          <w:lang w:val="en-US"/>
        </w:rPr>
        <w:t xml:space="preserve">Farida, E., Habibi, A., &amp; </w:t>
      </w:r>
      <w:proofErr w:type="spellStart"/>
      <w:r w:rsidRPr="009537D3">
        <w:rPr>
          <w:lang w:val="en-US"/>
        </w:rPr>
        <w:t>Pramono</w:t>
      </w:r>
      <w:proofErr w:type="spellEnd"/>
      <w:r w:rsidRPr="009537D3">
        <w:rPr>
          <w:lang w:val="en-US"/>
        </w:rPr>
        <w:t xml:space="preserve">, H. (2025). Non-judicial transitional justice and victim protection in Indonesia. </w:t>
      </w:r>
      <w:proofErr w:type="spellStart"/>
      <w:r w:rsidRPr="009537D3">
        <w:rPr>
          <w:rStyle w:val="Emphasis"/>
          <w:rFonts w:eastAsiaTheme="majorEastAsia"/>
          <w:lang w:val="en-US"/>
        </w:rPr>
        <w:t>Cadernos</w:t>
      </w:r>
      <w:proofErr w:type="spellEnd"/>
      <w:r w:rsidRPr="009537D3">
        <w:rPr>
          <w:rStyle w:val="Emphasis"/>
          <w:rFonts w:eastAsiaTheme="majorEastAsia"/>
          <w:lang w:val="en-US"/>
        </w:rPr>
        <w:t xml:space="preserve"> de </w:t>
      </w:r>
      <w:proofErr w:type="spellStart"/>
      <w:r w:rsidRPr="009537D3">
        <w:rPr>
          <w:rStyle w:val="Emphasis"/>
          <w:rFonts w:eastAsiaTheme="majorEastAsia"/>
          <w:lang w:val="en-US"/>
        </w:rPr>
        <w:t>Dereito</w:t>
      </w:r>
      <w:proofErr w:type="spellEnd"/>
      <w:r w:rsidRPr="009537D3">
        <w:rPr>
          <w:rStyle w:val="Emphasis"/>
          <w:rFonts w:eastAsiaTheme="majorEastAsia"/>
          <w:lang w:val="en-US"/>
        </w:rPr>
        <w:t xml:space="preserve"> Actual, 13</w:t>
      </w:r>
      <w:r w:rsidRPr="009537D3">
        <w:rPr>
          <w:lang w:val="en-US"/>
        </w:rPr>
        <w:t>(25), 225–240.</w:t>
      </w:r>
    </w:p>
    <w:p w14:paraId="42648AAA" w14:textId="77777777" w:rsidR="00013FB7" w:rsidRPr="009537D3" w:rsidRDefault="00013FB7" w:rsidP="001D4D1D">
      <w:pPr>
        <w:pStyle w:val="NormalWeb"/>
        <w:ind w:left="284" w:hanging="284"/>
        <w:jc w:val="both"/>
        <w:rPr>
          <w:lang w:val="en-US"/>
        </w:rPr>
      </w:pPr>
      <w:proofErr w:type="spellStart"/>
      <w:r w:rsidRPr="009537D3">
        <w:rPr>
          <w:lang w:val="en-US"/>
        </w:rPr>
        <w:lastRenderedPageBreak/>
        <w:t>Fatigato</w:t>
      </w:r>
      <w:proofErr w:type="spellEnd"/>
      <w:r w:rsidRPr="009537D3">
        <w:rPr>
          <w:lang w:val="en-US"/>
        </w:rPr>
        <w:t xml:space="preserve">, M. C. (2023). Buen Vivir: An opportunity to re-think development in post-extractive societies. </w:t>
      </w:r>
      <w:r w:rsidRPr="009537D3">
        <w:rPr>
          <w:rStyle w:val="Emphasis"/>
          <w:rFonts w:eastAsiaTheme="majorEastAsia"/>
          <w:lang w:val="en-US"/>
        </w:rPr>
        <w:t>DISSE Working Paper</w:t>
      </w:r>
      <w:r w:rsidRPr="009537D3">
        <w:rPr>
          <w:lang w:val="en-US"/>
        </w:rPr>
        <w:t>, 10.</w:t>
      </w:r>
    </w:p>
    <w:p w14:paraId="26287633" w14:textId="77777777" w:rsidR="00013FB7" w:rsidRPr="009537D3" w:rsidRDefault="00013FB7" w:rsidP="001D4D1D">
      <w:pPr>
        <w:pStyle w:val="NormalWeb"/>
        <w:ind w:left="284" w:hanging="284"/>
        <w:jc w:val="both"/>
        <w:rPr>
          <w:lang w:val="en-US"/>
        </w:rPr>
      </w:pPr>
      <w:r w:rsidRPr="009537D3">
        <w:rPr>
          <w:lang w:val="en-US"/>
        </w:rPr>
        <w:t xml:space="preserve">Fenton, A. J. (2024). The Pancasila ideological direction bill (RUU-HIP): Between modernization and national identity. </w:t>
      </w:r>
      <w:r w:rsidRPr="009537D3">
        <w:rPr>
          <w:rStyle w:val="Emphasis"/>
          <w:rFonts w:eastAsiaTheme="majorEastAsia"/>
          <w:lang w:val="en-US"/>
        </w:rPr>
        <w:t>Politics &amp; Governance, 12</w:t>
      </w:r>
      <w:r w:rsidRPr="009537D3">
        <w:rPr>
          <w:lang w:val="en-US"/>
        </w:rPr>
        <w:t>(2), 119–130. https://doi.org/10.17645/pag.i380</w:t>
      </w:r>
    </w:p>
    <w:p w14:paraId="794B3F37" w14:textId="77777777" w:rsidR="00013FB7" w:rsidRPr="009537D3" w:rsidRDefault="00013FB7" w:rsidP="001D4D1D">
      <w:pPr>
        <w:pStyle w:val="NormalWeb"/>
        <w:ind w:left="284" w:hanging="284"/>
        <w:jc w:val="both"/>
        <w:rPr>
          <w:lang w:val="en-US"/>
        </w:rPr>
      </w:pPr>
      <w:r w:rsidRPr="009537D3">
        <w:rPr>
          <w:lang w:val="en-US"/>
        </w:rPr>
        <w:t xml:space="preserve">Firmansyah, J., </w:t>
      </w:r>
      <w:proofErr w:type="spellStart"/>
      <w:r w:rsidRPr="009537D3">
        <w:rPr>
          <w:lang w:val="en-US"/>
        </w:rPr>
        <w:t>Disantara</w:t>
      </w:r>
      <w:proofErr w:type="spellEnd"/>
      <w:r w:rsidRPr="009537D3">
        <w:rPr>
          <w:lang w:val="en-US"/>
        </w:rPr>
        <w:t xml:space="preserve">, F. P., &amp; Ishwara, A. S. S. (2024). Coaching the government employee with work agreements: A Dignified Justice perspective. </w:t>
      </w:r>
      <w:proofErr w:type="spellStart"/>
      <w:r w:rsidRPr="009537D3">
        <w:rPr>
          <w:rStyle w:val="Emphasis"/>
          <w:rFonts w:eastAsiaTheme="majorEastAsia"/>
          <w:lang w:val="en-US"/>
        </w:rPr>
        <w:t>Jurnal</w:t>
      </w:r>
      <w:proofErr w:type="spellEnd"/>
      <w:r w:rsidRPr="009537D3">
        <w:rPr>
          <w:rStyle w:val="Emphasis"/>
          <w:rFonts w:eastAsiaTheme="majorEastAsia"/>
          <w:lang w:val="en-US"/>
        </w:rPr>
        <w:t xml:space="preserve"> </w:t>
      </w:r>
      <w:proofErr w:type="spellStart"/>
      <w:r w:rsidRPr="009537D3">
        <w:rPr>
          <w:rStyle w:val="Emphasis"/>
          <w:rFonts w:eastAsiaTheme="majorEastAsia"/>
          <w:lang w:val="en-US"/>
        </w:rPr>
        <w:t>Ilmiah</w:t>
      </w:r>
      <w:proofErr w:type="spellEnd"/>
      <w:r w:rsidRPr="009537D3">
        <w:rPr>
          <w:rStyle w:val="Emphasis"/>
          <w:rFonts w:eastAsiaTheme="majorEastAsia"/>
          <w:lang w:val="en-US"/>
        </w:rPr>
        <w:t xml:space="preserve"> </w:t>
      </w:r>
      <w:proofErr w:type="spellStart"/>
      <w:r w:rsidRPr="009537D3">
        <w:rPr>
          <w:rStyle w:val="Emphasis"/>
          <w:rFonts w:eastAsiaTheme="majorEastAsia"/>
          <w:lang w:val="en-US"/>
        </w:rPr>
        <w:t>Penegakan</w:t>
      </w:r>
      <w:proofErr w:type="spellEnd"/>
      <w:r w:rsidRPr="009537D3">
        <w:rPr>
          <w:rStyle w:val="Emphasis"/>
          <w:rFonts w:eastAsiaTheme="majorEastAsia"/>
          <w:lang w:val="en-US"/>
        </w:rPr>
        <w:t xml:space="preserve"> Hukum, 11</w:t>
      </w:r>
      <w:r w:rsidRPr="009537D3">
        <w:rPr>
          <w:lang w:val="en-US"/>
        </w:rPr>
        <w:t>(2), 147–161. https://doi.org/10.31289/jiph.v11i2.12823</w:t>
      </w:r>
    </w:p>
    <w:p w14:paraId="64549149" w14:textId="77777777" w:rsidR="00013FB7" w:rsidRPr="009537D3" w:rsidRDefault="00013FB7" w:rsidP="001D4D1D">
      <w:pPr>
        <w:pStyle w:val="NormalWeb"/>
        <w:ind w:left="284" w:hanging="284"/>
        <w:jc w:val="both"/>
        <w:rPr>
          <w:lang w:val="en-US"/>
        </w:rPr>
      </w:pPr>
      <w:proofErr w:type="spellStart"/>
      <w:r w:rsidRPr="009537D3">
        <w:rPr>
          <w:lang w:val="en-US"/>
        </w:rPr>
        <w:t>Gudynas</w:t>
      </w:r>
      <w:proofErr w:type="spellEnd"/>
      <w:r w:rsidRPr="009537D3">
        <w:rPr>
          <w:lang w:val="en-US"/>
        </w:rPr>
        <w:t xml:space="preserve">, E. (2011). Buen Vivir: Today’s tomorrow. </w:t>
      </w:r>
      <w:r w:rsidRPr="009537D3">
        <w:rPr>
          <w:rStyle w:val="Emphasis"/>
          <w:rFonts w:eastAsiaTheme="majorEastAsia"/>
          <w:lang w:val="en-US"/>
        </w:rPr>
        <w:t>Development, 54</w:t>
      </w:r>
      <w:r w:rsidRPr="009537D3">
        <w:rPr>
          <w:lang w:val="en-US"/>
        </w:rPr>
        <w:t xml:space="preserve">(4), 441–447. </w:t>
      </w:r>
      <w:hyperlink r:id="rId17" w:tgtFrame="_new" w:history="1">
        <w:r w:rsidRPr="009537D3">
          <w:rPr>
            <w:rStyle w:val="Hyperlink"/>
            <w:rFonts w:eastAsiaTheme="majorEastAsia"/>
            <w:lang w:val="en-US"/>
          </w:rPr>
          <w:t>https://doi.org/10.1057/dev.2011.86</w:t>
        </w:r>
      </w:hyperlink>
    </w:p>
    <w:p w14:paraId="1B567A6F" w14:textId="77777777" w:rsidR="00013FB7" w:rsidRPr="009537D3" w:rsidRDefault="00013FB7" w:rsidP="001D4D1D">
      <w:pPr>
        <w:pStyle w:val="NormalWeb"/>
        <w:ind w:left="284" w:hanging="284"/>
        <w:jc w:val="both"/>
        <w:rPr>
          <w:lang w:val="en-US"/>
        </w:rPr>
      </w:pPr>
      <w:r w:rsidRPr="009537D3">
        <w:rPr>
          <w:lang w:val="en-US"/>
        </w:rPr>
        <w:t xml:space="preserve">Hamamah, F. (2023). The government’s responsibility in providing compensation and restitution in the perspective of the Legal Theory of Dignified Justice. </w:t>
      </w:r>
      <w:r w:rsidRPr="009537D3">
        <w:rPr>
          <w:rStyle w:val="Emphasis"/>
          <w:rFonts w:eastAsiaTheme="majorEastAsia"/>
          <w:lang w:val="en-US"/>
        </w:rPr>
        <w:t>SASI, 29</w:t>
      </w:r>
      <w:r w:rsidRPr="009537D3">
        <w:rPr>
          <w:lang w:val="en-US"/>
        </w:rPr>
        <w:t>(4), 616–622. https://doi.org/10.47268/sasi.v29i4.1530</w:t>
      </w:r>
    </w:p>
    <w:p w14:paraId="5FA3B0CA" w14:textId="77777777" w:rsidR="00013FB7" w:rsidRPr="009537D3" w:rsidRDefault="00013FB7" w:rsidP="001D4D1D">
      <w:pPr>
        <w:pStyle w:val="NormalWeb"/>
        <w:ind w:left="284" w:hanging="284"/>
        <w:jc w:val="both"/>
        <w:rPr>
          <w:lang w:val="en-US"/>
        </w:rPr>
      </w:pPr>
      <w:r w:rsidRPr="009537D3">
        <w:rPr>
          <w:lang w:val="en-US"/>
        </w:rPr>
        <w:t xml:space="preserve">International Center for Transitional Justice. (2011). </w:t>
      </w:r>
      <w:r w:rsidRPr="009537D3">
        <w:rPr>
          <w:rStyle w:val="Emphasis"/>
          <w:rFonts w:eastAsiaTheme="majorEastAsia"/>
          <w:lang w:val="en-US"/>
        </w:rPr>
        <w:t xml:space="preserve">Derailed: Transitional justice in Indonesia since the fall of </w:t>
      </w:r>
      <w:proofErr w:type="spellStart"/>
      <w:r w:rsidRPr="009537D3">
        <w:rPr>
          <w:rStyle w:val="Emphasis"/>
          <w:rFonts w:eastAsiaTheme="majorEastAsia"/>
          <w:lang w:val="en-US"/>
        </w:rPr>
        <w:t>Soeharto</w:t>
      </w:r>
      <w:proofErr w:type="spellEnd"/>
      <w:r w:rsidRPr="009537D3">
        <w:rPr>
          <w:lang w:val="en-US"/>
        </w:rPr>
        <w:t>. New York: ICTJ.</w:t>
      </w:r>
    </w:p>
    <w:p w14:paraId="25C225A1" w14:textId="77777777" w:rsidR="00013FB7" w:rsidRPr="009537D3" w:rsidRDefault="00013FB7" w:rsidP="001D4D1D">
      <w:pPr>
        <w:pStyle w:val="NormalWeb"/>
        <w:ind w:left="284" w:hanging="284"/>
        <w:jc w:val="both"/>
        <w:rPr>
          <w:lang w:val="en-US"/>
        </w:rPr>
      </w:pPr>
      <w:r w:rsidRPr="009537D3">
        <w:rPr>
          <w:lang w:val="en-US"/>
        </w:rPr>
        <w:t xml:space="preserve">Krotoszyński, M. (2019). The role of the ubuntu philosophy in South Africa’s transitional justice process. </w:t>
      </w:r>
      <w:r w:rsidRPr="009537D3">
        <w:rPr>
          <w:rStyle w:val="Emphasis"/>
          <w:rFonts w:eastAsiaTheme="majorEastAsia"/>
          <w:lang w:val="en-US"/>
        </w:rPr>
        <w:t>Review of European and International Environmental Law, 28</w:t>
      </w:r>
      <w:r w:rsidRPr="009537D3">
        <w:rPr>
          <w:lang w:val="en-US"/>
        </w:rPr>
        <w:t>(3), 279–291.</w:t>
      </w:r>
    </w:p>
    <w:p w14:paraId="242A48B6" w14:textId="77777777" w:rsidR="00013FB7" w:rsidRPr="009537D3" w:rsidRDefault="00013FB7" w:rsidP="001D4D1D">
      <w:pPr>
        <w:pStyle w:val="NormalWeb"/>
        <w:ind w:left="284" w:hanging="284"/>
        <w:jc w:val="both"/>
        <w:rPr>
          <w:lang w:val="en-US"/>
        </w:rPr>
      </w:pPr>
      <w:r w:rsidRPr="009537D3">
        <w:rPr>
          <w:lang w:val="en-US"/>
        </w:rPr>
        <w:t xml:space="preserve">Le Moli, G. (2021). Human dignity in international law. </w:t>
      </w:r>
      <w:r w:rsidRPr="009537D3">
        <w:rPr>
          <w:rStyle w:val="Emphasis"/>
          <w:rFonts w:eastAsiaTheme="majorEastAsia"/>
          <w:lang w:val="en-US"/>
        </w:rPr>
        <w:t>European Journal of International Law, 32</w:t>
      </w:r>
      <w:r w:rsidRPr="009537D3">
        <w:rPr>
          <w:lang w:val="en-US"/>
        </w:rPr>
        <w:t xml:space="preserve">(2), 483–512. </w:t>
      </w:r>
      <w:hyperlink r:id="rId18" w:history="1">
        <w:r w:rsidRPr="009537D3">
          <w:rPr>
            <w:rStyle w:val="Hyperlink"/>
            <w:lang w:val="en-US"/>
          </w:rPr>
          <w:t>https://doi.org/10.1093/ejil/chab039</w:t>
        </w:r>
      </w:hyperlink>
    </w:p>
    <w:p w14:paraId="70C8E26E" w14:textId="77777777" w:rsidR="00213B86" w:rsidRPr="009537D3" w:rsidRDefault="00213B86" w:rsidP="001D4D1D">
      <w:pPr>
        <w:pStyle w:val="NormalWeb"/>
        <w:ind w:left="284" w:hanging="284"/>
        <w:jc w:val="both"/>
        <w:rPr>
          <w:lang w:val="en-US"/>
        </w:rPr>
      </w:pPr>
      <w:proofErr w:type="spellStart"/>
      <w:r w:rsidRPr="009537D3">
        <w:rPr>
          <w:lang w:val="en-US"/>
        </w:rPr>
        <w:t>Mahkamah</w:t>
      </w:r>
      <w:proofErr w:type="spellEnd"/>
      <w:r w:rsidRPr="009537D3">
        <w:rPr>
          <w:lang w:val="en-US"/>
        </w:rPr>
        <w:t xml:space="preserve"> Agung Republik Indonesia, Decision No. 2893K/</w:t>
      </w:r>
      <w:proofErr w:type="spellStart"/>
      <w:r w:rsidRPr="009537D3">
        <w:rPr>
          <w:lang w:val="en-US"/>
        </w:rPr>
        <w:t>Pid.Sus</w:t>
      </w:r>
      <w:proofErr w:type="spellEnd"/>
      <w:r w:rsidRPr="009537D3">
        <w:rPr>
          <w:lang w:val="en-US"/>
        </w:rPr>
        <w:t>/2017 (2017).</w:t>
      </w:r>
    </w:p>
    <w:p w14:paraId="7A1DF687" w14:textId="45B2A0A0" w:rsidR="00213B86" w:rsidRPr="009537D3" w:rsidRDefault="00213B86" w:rsidP="001D4D1D">
      <w:pPr>
        <w:pStyle w:val="NormalWeb"/>
        <w:ind w:left="284" w:hanging="284"/>
        <w:jc w:val="both"/>
        <w:rPr>
          <w:lang w:val="en-US"/>
        </w:rPr>
      </w:pPr>
      <w:proofErr w:type="spellStart"/>
      <w:r w:rsidRPr="009537D3">
        <w:rPr>
          <w:rStyle w:val="Strong"/>
          <w:rFonts w:eastAsiaTheme="majorEastAsia"/>
          <w:b w:val="0"/>
          <w:bCs w:val="0"/>
          <w:lang w:val="en-US"/>
        </w:rPr>
        <w:t>Mahkamah</w:t>
      </w:r>
      <w:proofErr w:type="spellEnd"/>
      <w:r w:rsidRPr="009537D3">
        <w:rPr>
          <w:rStyle w:val="Strong"/>
          <w:rFonts w:eastAsiaTheme="majorEastAsia"/>
          <w:b w:val="0"/>
          <w:bCs w:val="0"/>
          <w:lang w:val="en-US"/>
        </w:rPr>
        <w:t xml:space="preserve"> </w:t>
      </w:r>
      <w:proofErr w:type="spellStart"/>
      <w:r w:rsidRPr="009537D3">
        <w:rPr>
          <w:rStyle w:val="Strong"/>
          <w:rFonts w:eastAsiaTheme="majorEastAsia"/>
          <w:b w:val="0"/>
          <w:bCs w:val="0"/>
          <w:lang w:val="en-US"/>
        </w:rPr>
        <w:t>Konstitusi</w:t>
      </w:r>
      <w:proofErr w:type="spellEnd"/>
      <w:r w:rsidRPr="009537D3">
        <w:rPr>
          <w:rStyle w:val="Strong"/>
          <w:rFonts w:eastAsiaTheme="majorEastAsia"/>
          <w:b w:val="0"/>
          <w:bCs w:val="0"/>
          <w:lang w:val="en-US"/>
        </w:rPr>
        <w:t xml:space="preserve"> Republik Indonesia, Decision No. 91/PUU-XVIII/2020 (2020).</w:t>
      </w:r>
    </w:p>
    <w:p w14:paraId="6A87A2E9" w14:textId="78185898" w:rsidR="00213B86" w:rsidRPr="009537D3" w:rsidRDefault="00213B86" w:rsidP="001D4D1D">
      <w:pPr>
        <w:pStyle w:val="NormalWeb"/>
        <w:ind w:left="284" w:hanging="284"/>
        <w:jc w:val="both"/>
        <w:rPr>
          <w:lang w:val="en-US"/>
        </w:rPr>
      </w:pPr>
      <w:proofErr w:type="spellStart"/>
      <w:r w:rsidRPr="009537D3">
        <w:rPr>
          <w:rStyle w:val="Strong"/>
          <w:rFonts w:eastAsiaTheme="majorEastAsia"/>
          <w:b w:val="0"/>
          <w:bCs w:val="0"/>
          <w:lang w:val="en-US"/>
        </w:rPr>
        <w:t>Mahkamah</w:t>
      </w:r>
      <w:proofErr w:type="spellEnd"/>
      <w:r w:rsidRPr="009537D3">
        <w:rPr>
          <w:rStyle w:val="Strong"/>
          <w:rFonts w:eastAsiaTheme="majorEastAsia"/>
          <w:b w:val="0"/>
          <w:bCs w:val="0"/>
          <w:lang w:val="en-US"/>
        </w:rPr>
        <w:t xml:space="preserve"> </w:t>
      </w:r>
      <w:proofErr w:type="spellStart"/>
      <w:r w:rsidRPr="009537D3">
        <w:rPr>
          <w:rStyle w:val="Strong"/>
          <w:rFonts w:eastAsiaTheme="majorEastAsia"/>
          <w:b w:val="0"/>
          <w:bCs w:val="0"/>
          <w:lang w:val="en-US"/>
        </w:rPr>
        <w:t>Konstitusi</w:t>
      </w:r>
      <w:proofErr w:type="spellEnd"/>
      <w:r w:rsidRPr="009537D3">
        <w:rPr>
          <w:rStyle w:val="Strong"/>
          <w:rFonts w:eastAsiaTheme="majorEastAsia"/>
          <w:b w:val="0"/>
          <w:bCs w:val="0"/>
          <w:lang w:val="en-US"/>
        </w:rPr>
        <w:t xml:space="preserve"> Republik Indonesia, Decision No. 006/PUU-IV/2006 (2006).</w:t>
      </w:r>
    </w:p>
    <w:p w14:paraId="36600DCD" w14:textId="797DAD8A" w:rsidR="00013FB7" w:rsidRPr="009537D3" w:rsidRDefault="00013FB7" w:rsidP="001D4D1D">
      <w:pPr>
        <w:pStyle w:val="NormalWeb"/>
        <w:ind w:left="284" w:hanging="284"/>
        <w:jc w:val="both"/>
        <w:rPr>
          <w:lang w:val="en-US"/>
        </w:rPr>
      </w:pPr>
      <w:r w:rsidRPr="009537D3">
        <w:rPr>
          <w:lang w:val="en-US"/>
        </w:rPr>
        <w:t xml:space="preserve">Marder, I. D. (2022). Mapping restorative justice and restorative practices in criminal justice in the Republic of Ireland. </w:t>
      </w:r>
      <w:r w:rsidRPr="009537D3">
        <w:rPr>
          <w:rStyle w:val="Emphasis"/>
          <w:rFonts w:eastAsiaTheme="majorEastAsia"/>
          <w:lang w:val="en-US"/>
        </w:rPr>
        <w:t>International Journal of Law, Crime and Justice, 70</w:t>
      </w:r>
      <w:r w:rsidRPr="009537D3">
        <w:rPr>
          <w:lang w:val="en-US"/>
        </w:rPr>
        <w:t xml:space="preserve">, 100544. </w:t>
      </w:r>
      <w:proofErr w:type="gramStart"/>
      <w:r w:rsidRPr="009537D3">
        <w:rPr>
          <w:lang w:val="en-US"/>
        </w:rPr>
        <w:t>doi:10.1016/j.ijlcj</w:t>
      </w:r>
      <w:proofErr w:type="gramEnd"/>
      <w:r w:rsidRPr="009537D3">
        <w:rPr>
          <w:lang w:val="en-US"/>
        </w:rPr>
        <w:t>.2022.100544</w:t>
      </w:r>
    </w:p>
    <w:p w14:paraId="1DFE42FF" w14:textId="77777777" w:rsidR="00013FB7" w:rsidRPr="009537D3" w:rsidRDefault="00013FB7" w:rsidP="001D4D1D">
      <w:pPr>
        <w:pStyle w:val="NormalWeb"/>
        <w:ind w:left="284" w:hanging="284"/>
        <w:jc w:val="both"/>
        <w:rPr>
          <w:lang w:val="en-US"/>
        </w:rPr>
      </w:pPr>
      <w:proofErr w:type="spellStart"/>
      <w:r w:rsidRPr="009537D3">
        <w:rPr>
          <w:lang w:val="en-US"/>
        </w:rPr>
        <w:t>Marune</w:t>
      </w:r>
      <w:proofErr w:type="spellEnd"/>
      <w:r w:rsidRPr="009537D3">
        <w:rPr>
          <w:lang w:val="en-US"/>
        </w:rPr>
        <w:t xml:space="preserve">, A. (2023). </w:t>
      </w:r>
      <w:proofErr w:type="spellStart"/>
      <w:r w:rsidRPr="009537D3">
        <w:rPr>
          <w:lang w:val="en-US"/>
        </w:rPr>
        <w:t>Keadilan</w:t>
      </w:r>
      <w:proofErr w:type="spellEnd"/>
      <w:r w:rsidRPr="009537D3">
        <w:rPr>
          <w:lang w:val="en-US"/>
        </w:rPr>
        <w:t xml:space="preserve"> </w:t>
      </w:r>
      <w:proofErr w:type="spellStart"/>
      <w:r w:rsidRPr="009537D3">
        <w:rPr>
          <w:lang w:val="en-US"/>
        </w:rPr>
        <w:t>restoratif</w:t>
      </w:r>
      <w:proofErr w:type="spellEnd"/>
      <w:r w:rsidRPr="009537D3">
        <w:rPr>
          <w:lang w:val="en-US"/>
        </w:rPr>
        <w:t xml:space="preserve"> </w:t>
      </w:r>
      <w:proofErr w:type="spellStart"/>
      <w:r w:rsidRPr="009537D3">
        <w:rPr>
          <w:lang w:val="en-US"/>
        </w:rPr>
        <w:t>dalam</w:t>
      </w:r>
      <w:proofErr w:type="spellEnd"/>
      <w:r w:rsidRPr="009537D3">
        <w:rPr>
          <w:lang w:val="en-US"/>
        </w:rPr>
        <w:t xml:space="preserve"> </w:t>
      </w:r>
      <w:proofErr w:type="spellStart"/>
      <w:r w:rsidRPr="009537D3">
        <w:rPr>
          <w:lang w:val="en-US"/>
        </w:rPr>
        <w:t>penyelesaian</w:t>
      </w:r>
      <w:proofErr w:type="spellEnd"/>
      <w:r w:rsidRPr="009537D3">
        <w:rPr>
          <w:lang w:val="en-US"/>
        </w:rPr>
        <w:t xml:space="preserve"> </w:t>
      </w:r>
      <w:proofErr w:type="spellStart"/>
      <w:r w:rsidRPr="009537D3">
        <w:rPr>
          <w:lang w:val="en-US"/>
        </w:rPr>
        <w:t>perkara</w:t>
      </w:r>
      <w:proofErr w:type="spellEnd"/>
      <w:r w:rsidRPr="009537D3">
        <w:rPr>
          <w:lang w:val="en-US"/>
        </w:rPr>
        <w:t xml:space="preserve"> </w:t>
      </w:r>
      <w:proofErr w:type="spellStart"/>
      <w:r w:rsidRPr="009537D3">
        <w:rPr>
          <w:lang w:val="en-US"/>
        </w:rPr>
        <w:t>penyalahgunaan</w:t>
      </w:r>
      <w:proofErr w:type="spellEnd"/>
      <w:r w:rsidRPr="009537D3">
        <w:rPr>
          <w:lang w:val="en-US"/>
        </w:rPr>
        <w:t xml:space="preserve"> </w:t>
      </w:r>
      <w:proofErr w:type="spellStart"/>
      <w:r w:rsidRPr="009537D3">
        <w:rPr>
          <w:lang w:val="en-US"/>
        </w:rPr>
        <w:t>narkotika</w:t>
      </w:r>
      <w:proofErr w:type="spellEnd"/>
      <w:r w:rsidRPr="009537D3">
        <w:rPr>
          <w:lang w:val="en-US"/>
        </w:rPr>
        <w:t xml:space="preserve"> </w:t>
      </w:r>
      <w:proofErr w:type="spellStart"/>
      <w:r w:rsidRPr="009537D3">
        <w:rPr>
          <w:lang w:val="en-US"/>
        </w:rPr>
        <w:t>pasca</w:t>
      </w:r>
      <w:proofErr w:type="spellEnd"/>
      <w:r w:rsidRPr="009537D3">
        <w:rPr>
          <w:lang w:val="en-US"/>
        </w:rPr>
        <w:t xml:space="preserve"> </w:t>
      </w:r>
      <w:proofErr w:type="spellStart"/>
      <w:r w:rsidRPr="009537D3">
        <w:rPr>
          <w:lang w:val="en-US"/>
        </w:rPr>
        <w:t>Pedoman</w:t>
      </w:r>
      <w:proofErr w:type="spellEnd"/>
      <w:r w:rsidRPr="009537D3">
        <w:rPr>
          <w:lang w:val="en-US"/>
        </w:rPr>
        <w:t xml:space="preserve"> Jaksa Agung </w:t>
      </w:r>
      <w:proofErr w:type="spellStart"/>
      <w:r w:rsidRPr="009537D3">
        <w:rPr>
          <w:lang w:val="en-US"/>
        </w:rPr>
        <w:t>Nomor</w:t>
      </w:r>
      <w:proofErr w:type="spellEnd"/>
      <w:r w:rsidRPr="009537D3">
        <w:rPr>
          <w:lang w:val="en-US"/>
        </w:rPr>
        <w:t xml:space="preserve"> 18 </w:t>
      </w:r>
      <w:proofErr w:type="spellStart"/>
      <w:r w:rsidRPr="009537D3">
        <w:rPr>
          <w:lang w:val="en-US"/>
        </w:rPr>
        <w:t>Tahun</w:t>
      </w:r>
      <w:proofErr w:type="spellEnd"/>
      <w:r w:rsidRPr="009537D3">
        <w:rPr>
          <w:lang w:val="en-US"/>
        </w:rPr>
        <w:t xml:space="preserve"> 2021: </w:t>
      </w:r>
      <w:proofErr w:type="spellStart"/>
      <w:r w:rsidRPr="009537D3">
        <w:rPr>
          <w:lang w:val="en-US"/>
        </w:rPr>
        <w:t>Perspektif</w:t>
      </w:r>
      <w:proofErr w:type="spellEnd"/>
      <w:r w:rsidRPr="009537D3">
        <w:rPr>
          <w:lang w:val="en-US"/>
        </w:rPr>
        <w:t xml:space="preserve"> Teori Keadilan </w:t>
      </w:r>
      <w:proofErr w:type="spellStart"/>
      <w:r w:rsidRPr="009537D3">
        <w:rPr>
          <w:lang w:val="en-US"/>
        </w:rPr>
        <w:t>Bermartabat</w:t>
      </w:r>
      <w:proofErr w:type="spellEnd"/>
      <w:r w:rsidRPr="009537D3">
        <w:rPr>
          <w:lang w:val="en-US"/>
        </w:rPr>
        <w:t xml:space="preserve">. </w:t>
      </w:r>
      <w:r w:rsidRPr="009537D3">
        <w:rPr>
          <w:rStyle w:val="Emphasis"/>
          <w:rFonts w:eastAsiaTheme="majorEastAsia"/>
          <w:lang w:val="en-US"/>
        </w:rPr>
        <w:t>The Prosecutor Law Review, 1</w:t>
      </w:r>
      <w:r w:rsidRPr="009537D3">
        <w:rPr>
          <w:lang w:val="en-US"/>
        </w:rPr>
        <w:t>(3).</w:t>
      </w:r>
    </w:p>
    <w:p w14:paraId="3E5CFC17" w14:textId="77777777" w:rsidR="00013FB7" w:rsidRPr="009537D3" w:rsidRDefault="00013FB7" w:rsidP="001D4D1D">
      <w:pPr>
        <w:pStyle w:val="NormalWeb"/>
        <w:ind w:left="284" w:hanging="284"/>
        <w:jc w:val="both"/>
        <w:rPr>
          <w:lang w:val="en-US"/>
        </w:rPr>
      </w:pPr>
      <w:proofErr w:type="spellStart"/>
      <w:r w:rsidRPr="009537D3">
        <w:rPr>
          <w:lang w:val="en-US"/>
        </w:rPr>
        <w:t>Marune</w:t>
      </w:r>
      <w:proofErr w:type="spellEnd"/>
      <w:r w:rsidRPr="009537D3">
        <w:rPr>
          <w:lang w:val="en-US"/>
        </w:rPr>
        <w:t xml:space="preserve">, A. (2023). Restorative justice in narcotics cases: A perspective from Dignified Justice theory. </w:t>
      </w:r>
      <w:r w:rsidRPr="009537D3">
        <w:rPr>
          <w:rStyle w:val="Emphasis"/>
          <w:rFonts w:eastAsiaTheme="majorEastAsia"/>
          <w:lang w:val="en-US"/>
        </w:rPr>
        <w:t>The Prosecutor Law Review, 1</w:t>
      </w:r>
      <w:r w:rsidRPr="009537D3">
        <w:rPr>
          <w:lang w:val="en-US"/>
        </w:rPr>
        <w:t>(3).</w:t>
      </w:r>
    </w:p>
    <w:p w14:paraId="103FD4D3" w14:textId="77777777" w:rsidR="00013FB7" w:rsidRPr="009537D3" w:rsidRDefault="00013FB7" w:rsidP="001D4D1D">
      <w:pPr>
        <w:pStyle w:val="NormalWeb"/>
        <w:ind w:left="284" w:hanging="284"/>
        <w:jc w:val="both"/>
        <w:rPr>
          <w:lang w:val="en-US"/>
        </w:rPr>
      </w:pPr>
      <w:r w:rsidRPr="009537D3">
        <w:rPr>
          <w:lang w:val="en-US"/>
        </w:rPr>
        <w:t xml:space="preserve">Metz, T. (2011). Ubuntu as a moral theory and human rights in South Africa. </w:t>
      </w:r>
      <w:r w:rsidRPr="009537D3">
        <w:rPr>
          <w:rStyle w:val="Emphasis"/>
          <w:rFonts w:eastAsiaTheme="majorEastAsia"/>
          <w:lang w:val="en-US"/>
        </w:rPr>
        <w:t>African Human Rights Law Journal, 11</w:t>
      </w:r>
      <w:r w:rsidRPr="009537D3">
        <w:rPr>
          <w:lang w:val="en-US"/>
        </w:rPr>
        <w:t>(2), 532–559.</w:t>
      </w:r>
    </w:p>
    <w:p w14:paraId="7BD46DA7" w14:textId="77777777" w:rsidR="00013FB7" w:rsidRPr="009537D3" w:rsidRDefault="00013FB7" w:rsidP="001D4D1D">
      <w:pPr>
        <w:pStyle w:val="NormalWeb"/>
        <w:ind w:left="284" w:hanging="284"/>
        <w:jc w:val="both"/>
        <w:rPr>
          <w:lang w:val="en-US"/>
        </w:rPr>
      </w:pPr>
      <w:proofErr w:type="spellStart"/>
      <w:r w:rsidRPr="009537D3">
        <w:rPr>
          <w:lang w:val="en-US"/>
        </w:rPr>
        <w:t>Mokgoro</w:t>
      </w:r>
      <w:proofErr w:type="spellEnd"/>
      <w:r w:rsidRPr="009537D3">
        <w:rPr>
          <w:lang w:val="en-US"/>
        </w:rPr>
        <w:t xml:space="preserve">, Y. (1998). Ubuntu and the law in South Africa. </w:t>
      </w:r>
      <w:r w:rsidRPr="009537D3">
        <w:rPr>
          <w:rStyle w:val="Emphasis"/>
          <w:rFonts w:eastAsiaTheme="majorEastAsia"/>
          <w:lang w:val="en-US"/>
        </w:rPr>
        <w:t>Buffalo Human Rights Law Review, 4</w:t>
      </w:r>
      <w:r w:rsidRPr="009537D3">
        <w:rPr>
          <w:lang w:val="en-US"/>
        </w:rPr>
        <w:t>, 15–23.</w:t>
      </w:r>
    </w:p>
    <w:p w14:paraId="1F7F990E" w14:textId="77777777" w:rsidR="00013FB7" w:rsidRPr="009537D3" w:rsidRDefault="00013FB7" w:rsidP="001D4D1D">
      <w:pPr>
        <w:pStyle w:val="NormalWeb"/>
        <w:ind w:left="284" w:hanging="284"/>
        <w:jc w:val="both"/>
        <w:rPr>
          <w:lang w:val="en-US"/>
        </w:rPr>
      </w:pPr>
      <w:r w:rsidRPr="009537D3">
        <w:rPr>
          <w:lang w:val="en-US"/>
        </w:rPr>
        <w:t xml:space="preserve">Mulyadi, M., &amp; </w:t>
      </w:r>
      <w:proofErr w:type="spellStart"/>
      <w:r w:rsidRPr="009537D3">
        <w:rPr>
          <w:lang w:val="en-US"/>
        </w:rPr>
        <w:t>Prasetyo</w:t>
      </w:r>
      <w:proofErr w:type="spellEnd"/>
      <w:r w:rsidRPr="009537D3">
        <w:rPr>
          <w:lang w:val="en-US"/>
        </w:rPr>
        <w:t xml:space="preserve">, T. (2024). The future development and practice of law based on dignified justice. </w:t>
      </w:r>
      <w:r w:rsidRPr="009537D3">
        <w:rPr>
          <w:rStyle w:val="Emphasis"/>
          <w:rFonts w:eastAsiaTheme="majorEastAsia"/>
          <w:lang w:val="en-US"/>
        </w:rPr>
        <w:t>International Journal of Advanced Research, 12</w:t>
      </w:r>
      <w:r w:rsidRPr="009537D3">
        <w:rPr>
          <w:lang w:val="en-US"/>
        </w:rPr>
        <w:t>(12), 1224–1230.</w:t>
      </w:r>
    </w:p>
    <w:p w14:paraId="7D1F6B73" w14:textId="77777777" w:rsidR="00013FB7" w:rsidRPr="009537D3" w:rsidRDefault="00013FB7" w:rsidP="001D4D1D">
      <w:pPr>
        <w:pStyle w:val="NormalWeb"/>
        <w:ind w:left="284" w:hanging="284"/>
        <w:jc w:val="both"/>
        <w:rPr>
          <w:lang w:val="en-US"/>
        </w:rPr>
      </w:pPr>
      <w:proofErr w:type="spellStart"/>
      <w:r w:rsidRPr="009537D3">
        <w:rPr>
          <w:lang w:val="en-US"/>
        </w:rPr>
        <w:lastRenderedPageBreak/>
        <w:t>Ntlapo</w:t>
      </w:r>
      <w:proofErr w:type="spellEnd"/>
      <w:r w:rsidRPr="009537D3">
        <w:rPr>
          <w:lang w:val="en-US"/>
        </w:rPr>
        <w:t xml:space="preserve">, H. S. (2022). Ubuntu justice and the South African Truth and Reconciliation Commission. </w:t>
      </w:r>
      <w:r w:rsidRPr="009537D3">
        <w:rPr>
          <w:rStyle w:val="Emphasis"/>
          <w:rFonts w:eastAsiaTheme="majorEastAsia"/>
          <w:lang w:val="en-US"/>
        </w:rPr>
        <w:t>Journal of Human Rights Practice, 14</w:t>
      </w:r>
      <w:r w:rsidRPr="009537D3">
        <w:rPr>
          <w:lang w:val="en-US"/>
        </w:rPr>
        <w:t>(1), 34–51.</w:t>
      </w:r>
    </w:p>
    <w:p w14:paraId="396A11EA" w14:textId="77777777" w:rsidR="00013FB7" w:rsidRPr="009537D3" w:rsidRDefault="00013FB7" w:rsidP="001D4D1D">
      <w:pPr>
        <w:pStyle w:val="NormalWeb"/>
        <w:ind w:left="284" w:hanging="284"/>
        <w:jc w:val="both"/>
        <w:rPr>
          <w:lang w:val="en-US"/>
        </w:rPr>
      </w:pPr>
      <w:proofErr w:type="spellStart"/>
      <w:r w:rsidRPr="009537D3">
        <w:rPr>
          <w:lang w:val="en-US"/>
        </w:rPr>
        <w:t>Nurfadillah</w:t>
      </w:r>
      <w:proofErr w:type="spellEnd"/>
      <w:r w:rsidRPr="009537D3">
        <w:rPr>
          <w:lang w:val="en-US"/>
        </w:rPr>
        <w:t xml:space="preserve">, N. (2020). Corporate liability in forest fire cases: Analysis of Bumi </w:t>
      </w:r>
      <w:proofErr w:type="spellStart"/>
      <w:r w:rsidRPr="009537D3">
        <w:rPr>
          <w:lang w:val="en-US"/>
        </w:rPr>
        <w:t>Mekar</w:t>
      </w:r>
      <w:proofErr w:type="spellEnd"/>
      <w:r w:rsidRPr="009537D3">
        <w:rPr>
          <w:lang w:val="en-US"/>
        </w:rPr>
        <w:t xml:space="preserve"> Hijau. </w:t>
      </w:r>
      <w:r w:rsidRPr="009537D3">
        <w:rPr>
          <w:rStyle w:val="Emphasis"/>
          <w:rFonts w:eastAsiaTheme="majorEastAsia"/>
          <w:lang w:val="en-US"/>
        </w:rPr>
        <w:t>Hasanuddin Law Review, 6</w:t>
      </w:r>
      <w:r w:rsidRPr="009537D3">
        <w:rPr>
          <w:lang w:val="en-US"/>
        </w:rPr>
        <w:t xml:space="preserve">(1), 88–103. </w:t>
      </w:r>
      <w:hyperlink r:id="rId19" w:history="1">
        <w:r w:rsidRPr="009537D3">
          <w:rPr>
            <w:rStyle w:val="Hyperlink"/>
            <w:lang w:val="en-US"/>
          </w:rPr>
          <w:t>https://doi.org/10.20956/halrev.v6i1.2431</w:t>
        </w:r>
      </w:hyperlink>
    </w:p>
    <w:p w14:paraId="2E13B1BF" w14:textId="5A5F4AD4" w:rsidR="00213B86" w:rsidRPr="009537D3" w:rsidRDefault="00213B86" w:rsidP="001D4D1D">
      <w:pPr>
        <w:pStyle w:val="NormalWeb"/>
        <w:ind w:left="284" w:hanging="284"/>
        <w:jc w:val="both"/>
        <w:rPr>
          <w:lang w:val="en-US"/>
        </w:rPr>
      </w:pPr>
      <w:proofErr w:type="spellStart"/>
      <w:r w:rsidRPr="009537D3">
        <w:rPr>
          <w:lang w:val="en-US"/>
        </w:rPr>
        <w:t>Pengadilan</w:t>
      </w:r>
      <w:proofErr w:type="spellEnd"/>
      <w:r w:rsidRPr="009537D3">
        <w:rPr>
          <w:lang w:val="en-US"/>
        </w:rPr>
        <w:t xml:space="preserve"> Negeri </w:t>
      </w:r>
      <w:proofErr w:type="spellStart"/>
      <w:r w:rsidRPr="009537D3">
        <w:rPr>
          <w:lang w:val="en-US"/>
        </w:rPr>
        <w:t>Barabai</w:t>
      </w:r>
      <w:proofErr w:type="spellEnd"/>
      <w:r w:rsidRPr="009537D3">
        <w:rPr>
          <w:lang w:val="en-US"/>
        </w:rPr>
        <w:t>, Decision No. 144/</w:t>
      </w:r>
      <w:proofErr w:type="spellStart"/>
      <w:r w:rsidRPr="009537D3">
        <w:rPr>
          <w:lang w:val="en-US"/>
        </w:rPr>
        <w:t>Pid.Sus</w:t>
      </w:r>
      <w:proofErr w:type="spellEnd"/>
      <w:r w:rsidRPr="009537D3">
        <w:rPr>
          <w:lang w:val="en-US"/>
        </w:rPr>
        <w:t>/</w:t>
      </w:r>
      <w:proofErr w:type="spellStart"/>
      <w:proofErr w:type="gramStart"/>
      <w:r w:rsidRPr="009537D3">
        <w:rPr>
          <w:lang w:val="en-US"/>
        </w:rPr>
        <w:t>PN.Brb</w:t>
      </w:r>
      <w:proofErr w:type="spellEnd"/>
      <w:proofErr w:type="gramEnd"/>
      <w:r w:rsidRPr="009537D3">
        <w:rPr>
          <w:lang w:val="en-US"/>
        </w:rPr>
        <w:t xml:space="preserve"> (2018).</w:t>
      </w:r>
    </w:p>
    <w:p w14:paraId="64A31ECF" w14:textId="1ECB8E94" w:rsidR="00213B86" w:rsidRPr="009537D3" w:rsidRDefault="00213B86" w:rsidP="001D4D1D">
      <w:pPr>
        <w:pStyle w:val="NormalWeb"/>
        <w:ind w:left="284" w:hanging="284"/>
        <w:jc w:val="both"/>
        <w:rPr>
          <w:lang w:val="en-US"/>
        </w:rPr>
      </w:pPr>
      <w:proofErr w:type="spellStart"/>
      <w:r w:rsidRPr="009537D3">
        <w:rPr>
          <w:lang w:val="en-US"/>
        </w:rPr>
        <w:t>Pengadilan</w:t>
      </w:r>
      <w:proofErr w:type="spellEnd"/>
      <w:r w:rsidRPr="009537D3">
        <w:rPr>
          <w:lang w:val="en-US"/>
        </w:rPr>
        <w:t xml:space="preserve"> Negeri Jakarta Selatan, </w:t>
      </w:r>
      <w:r w:rsidRPr="009537D3">
        <w:rPr>
          <w:rStyle w:val="Emphasis"/>
          <w:rFonts w:eastAsiaTheme="majorEastAsia"/>
          <w:lang w:val="en-US"/>
        </w:rPr>
        <w:t xml:space="preserve">Kementerian </w:t>
      </w:r>
      <w:proofErr w:type="spellStart"/>
      <w:r w:rsidRPr="009537D3">
        <w:rPr>
          <w:rStyle w:val="Emphasis"/>
          <w:rFonts w:eastAsiaTheme="majorEastAsia"/>
          <w:lang w:val="en-US"/>
        </w:rPr>
        <w:t>Lingkungan</w:t>
      </w:r>
      <w:proofErr w:type="spellEnd"/>
      <w:r w:rsidRPr="009537D3">
        <w:rPr>
          <w:rStyle w:val="Emphasis"/>
          <w:rFonts w:eastAsiaTheme="majorEastAsia"/>
          <w:lang w:val="en-US"/>
        </w:rPr>
        <w:t xml:space="preserve"> Hidup dan </w:t>
      </w:r>
      <w:proofErr w:type="spellStart"/>
      <w:r w:rsidRPr="009537D3">
        <w:rPr>
          <w:rStyle w:val="Emphasis"/>
          <w:rFonts w:eastAsiaTheme="majorEastAsia"/>
          <w:lang w:val="en-US"/>
        </w:rPr>
        <w:t>Kehutanan</w:t>
      </w:r>
      <w:proofErr w:type="spellEnd"/>
      <w:r w:rsidRPr="009537D3">
        <w:rPr>
          <w:rStyle w:val="Emphasis"/>
          <w:rFonts w:eastAsiaTheme="majorEastAsia"/>
          <w:lang w:val="en-US"/>
        </w:rPr>
        <w:t xml:space="preserve"> v. PT Bumi </w:t>
      </w:r>
      <w:proofErr w:type="spellStart"/>
      <w:r w:rsidRPr="009537D3">
        <w:rPr>
          <w:rStyle w:val="Emphasis"/>
          <w:rFonts w:eastAsiaTheme="majorEastAsia"/>
          <w:lang w:val="en-US"/>
        </w:rPr>
        <w:t>Mekar</w:t>
      </w:r>
      <w:proofErr w:type="spellEnd"/>
      <w:r w:rsidRPr="009537D3">
        <w:rPr>
          <w:rStyle w:val="Emphasis"/>
          <w:rFonts w:eastAsiaTheme="majorEastAsia"/>
          <w:lang w:val="en-US"/>
        </w:rPr>
        <w:t xml:space="preserve"> Hijau</w:t>
      </w:r>
      <w:r w:rsidRPr="009537D3">
        <w:rPr>
          <w:lang w:val="en-US"/>
        </w:rPr>
        <w:t>, Decision (2016).</w:t>
      </w:r>
    </w:p>
    <w:p w14:paraId="28AFC5C0" w14:textId="4496B4CE" w:rsidR="00013FB7" w:rsidRPr="009537D3" w:rsidRDefault="00013FB7" w:rsidP="001D4D1D">
      <w:pPr>
        <w:pStyle w:val="NormalWeb"/>
        <w:ind w:left="284" w:hanging="284"/>
        <w:jc w:val="both"/>
        <w:rPr>
          <w:lang w:val="en-US"/>
        </w:rPr>
      </w:pPr>
      <w:proofErr w:type="spellStart"/>
      <w:r w:rsidRPr="009537D3">
        <w:rPr>
          <w:lang w:val="en-US"/>
        </w:rPr>
        <w:t>Prasetyo</w:t>
      </w:r>
      <w:proofErr w:type="spellEnd"/>
      <w:r w:rsidRPr="009537D3">
        <w:rPr>
          <w:lang w:val="en-US"/>
        </w:rPr>
        <w:t xml:space="preserve">, T. (2015). </w:t>
      </w:r>
      <w:proofErr w:type="spellStart"/>
      <w:r w:rsidRPr="009537D3">
        <w:rPr>
          <w:rStyle w:val="Emphasis"/>
          <w:rFonts w:eastAsiaTheme="majorEastAsia"/>
          <w:lang w:val="en-US"/>
        </w:rPr>
        <w:t>Keadilan</w:t>
      </w:r>
      <w:proofErr w:type="spellEnd"/>
      <w:r w:rsidRPr="009537D3">
        <w:rPr>
          <w:rStyle w:val="Emphasis"/>
          <w:rFonts w:eastAsiaTheme="majorEastAsia"/>
          <w:lang w:val="en-US"/>
        </w:rPr>
        <w:t xml:space="preserve"> </w:t>
      </w:r>
      <w:proofErr w:type="spellStart"/>
      <w:r w:rsidRPr="009537D3">
        <w:rPr>
          <w:rStyle w:val="Emphasis"/>
          <w:rFonts w:eastAsiaTheme="majorEastAsia"/>
          <w:lang w:val="en-US"/>
        </w:rPr>
        <w:t>Bermartabat</w:t>
      </w:r>
      <w:proofErr w:type="spellEnd"/>
      <w:r w:rsidRPr="009537D3">
        <w:rPr>
          <w:rStyle w:val="Emphasis"/>
          <w:rFonts w:eastAsiaTheme="majorEastAsia"/>
          <w:lang w:val="en-US"/>
        </w:rPr>
        <w:t xml:space="preserve">: </w:t>
      </w:r>
      <w:proofErr w:type="spellStart"/>
      <w:r w:rsidRPr="009537D3">
        <w:rPr>
          <w:rStyle w:val="Emphasis"/>
          <w:rFonts w:eastAsiaTheme="majorEastAsia"/>
          <w:lang w:val="en-US"/>
        </w:rPr>
        <w:t>Perspektif</w:t>
      </w:r>
      <w:proofErr w:type="spellEnd"/>
      <w:r w:rsidRPr="009537D3">
        <w:rPr>
          <w:rStyle w:val="Emphasis"/>
          <w:rFonts w:eastAsiaTheme="majorEastAsia"/>
          <w:lang w:val="en-US"/>
        </w:rPr>
        <w:t xml:space="preserve"> Teori Hukum</w:t>
      </w:r>
      <w:r w:rsidRPr="009537D3">
        <w:rPr>
          <w:lang w:val="en-US"/>
        </w:rPr>
        <w:t>. Bandung: Nusa Media.</w:t>
      </w:r>
    </w:p>
    <w:p w14:paraId="7A42275F" w14:textId="77777777" w:rsidR="00013FB7" w:rsidRPr="009537D3" w:rsidRDefault="00013FB7" w:rsidP="001D4D1D">
      <w:pPr>
        <w:pStyle w:val="NormalWeb"/>
        <w:ind w:left="284" w:hanging="284"/>
        <w:jc w:val="both"/>
        <w:rPr>
          <w:lang w:val="en-US"/>
        </w:rPr>
      </w:pPr>
      <w:proofErr w:type="spellStart"/>
      <w:r w:rsidRPr="009537D3">
        <w:rPr>
          <w:lang w:val="en-US"/>
        </w:rPr>
        <w:t>Prasetyo</w:t>
      </w:r>
      <w:proofErr w:type="spellEnd"/>
      <w:r w:rsidRPr="009537D3">
        <w:rPr>
          <w:lang w:val="en-US"/>
        </w:rPr>
        <w:t xml:space="preserve">, T. (2020). </w:t>
      </w:r>
      <w:r w:rsidRPr="009537D3">
        <w:rPr>
          <w:rStyle w:val="Emphasis"/>
          <w:rFonts w:eastAsiaTheme="majorEastAsia"/>
          <w:lang w:val="en-US"/>
        </w:rPr>
        <w:t xml:space="preserve">Hukum &amp; Teori Hukum: </w:t>
      </w:r>
      <w:proofErr w:type="spellStart"/>
      <w:r w:rsidRPr="009537D3">
        <w:rPr>
          <w:rStyle w:val="Emphasis"/>
          <w:rFonts w:eastAsiaTheme="majorEastAsia"/>
          <w:lang w:val="en-US"/>
        </w:rPr>
        <w:t>Perspektif</w:t>
      </w:r>
      <w:proofErr w:type="spellEnd"/>
      <w:r w:rsidRPr="009537D3">
        <w:rPr>
          <w:rStyle w:val="Emphasis"/>
          <w:rFonts w:eastAsiaTheme="majorEastAsia"/>
          <w:lang w:val="en-US"/>
        </w:rPr>
        <w:t xml:space="preserve"> Teori Keadilan </w:t>
      </w:r>
      <w:proofErr w:type="spellStart"/>
      <w:r w:rsidRPr="009537D3">
        <w:rPr>
          <w:rStyle w:val="Emphasis"/>
          <w:rFonts w:eastAsiaTheme="majorEastAsia"/>
          <w:lang w:val="en-US"/>
        </w:rPr>
        <w:t>Bermartabat</w:t>
      </w:r>
      <w:proofErr w:type="spellEnd"/>
      <w:r w:rsidRPr="009537D3">
        <w:rPr>
          <w:lang w:val="en-US"/>
        </w:rPr>
        <w:t>. Bandung: Nusa Media.</w:t>
      </w:r>
    </w:p>
    <w:p w14:paraId="5481B099" w14:textId="77777777" w:rsidR="004B3C22" w:rsidRPr="009537D3" w:rsidRDefault="004B3C22" w:rsidP="001D4D1D">
      <w:pPr>
        <w:pStyle w:val="NormalWeb"/>
        <w:spacing w:before="0" w:beforeAutospacing="0" w:after="0" w:afterAutospacing="0"/>
        <w:ind w:left="284" w:hanging="284"/>
        <w:jc w:val="both"/>
        <w:rPr>
          <w:lang w:val="en-US"/>
        </w:rPr>
      </w:pPr>
      <w:proofErr w:type="spellStart"/>
      <w:r w:rsidRPr="009537D3">
        <w:rPr>
          <w:lang w:val="en-US"/>
        </w:rPr>
        <w:t>Prasetyo</w:t>
      </w:r>
      <w:proofErr w:type="spellEnd"/>
      <w:r w:rsidRPr="009537D3">
        <w:rPr>
          <w:lang w:val="en-US"/>
        </w:rPr>
        <w:t xml:space="preserve">, T. (2025). </w:t>
      </w:r>
      <w:proofErr w:type="spellStart"/>
      <w:r w:rsidRPr="009537D3">
        <w:rPr>
          <w:lang w:val="en-US"/>
        </w:rPr>
        <w:t>Keadilan</w:t>
      </w:r>
      <w:proofErr w:type="spellEnd"/>
      <w:r w:rsidRPr="009537D3">
        <w:rPr>
          <w:lang w:val="en-US"/>
        </w:rPr>
        <w:t xml:space="preserve"> </w:t>
      </w:r>
      <w:proofErr w:type="spellStart"/>
      <w:r w:rsidRPr="009537D3">
        <w:rPr>
          <w:lang w:val="en-US"/>
        </w:rPr>
        <w:t>Bermartabat</w:t>
      </w:r>
      <w:proofErr w:type="spellEnd"/>
      <w:r w:rsidRPr="009537D3">
        <w:rPr>
          <w:lang w:val="en-US"/>
        </w:rPr>
        <w:t xml:space="preserve">: Reconstructing legal authority in Indonesia. </w:t>
      </w:r>
      <w:r w:rsidRPr="009537D3">
        <w:rPr>
          <w:rStyle w:val="Emphasis"/>
          <w:rFonts w:eastAsiaTheme="majorEastAsia"/>
          <w:lang w:val="en-US"/>
        </w:rPr>
        <w:t>Cogito, 17</w:t>
      </w:r>
      <w:r w:rsidRPr="009537D3">
        <w:rPr>
          <w:lang w:val="en-US"/>
        </w:rPr>
        <w:t>(2), 122–137.</w:t>
      </w:r>
    </w:p>
    <w:p w14:paraId="69804DF4" w14:textId="77777777" w:rsidR="00013FB7" w:rsidRPr="009537D3" w:rsidRDefault="00013FB7" w:rsidP="001D4D1D">
      <w:pPr>
        <w:pStyle w:val="NormalWeb"/>
        <w:ind w:left="284" w:hanging="284"/>
        <w:jc w:val="both"/>
        <w:rPr>
          <w:lang w:val="en-US"/>
        </w:rPr>
      </w:pPr>
      <w:proofErr w:type="spellStart"/>
      <w:r w:rsidRPr="009537D3">
        <w:rPr>
          <w:lang w:val="en-US"/>
        </w:rPr>
        <w:t>Saibih</w:t>
      </w:r>
      <w:proofErr w:type="spellEnd"/>
      <w:r w:rsidRPr="009537D3">
        <w:rPr>
          <w:lang w:val="en-US"/>
        </w:rPr>
        <w:t xml:space="preserve">, J., Daniel, E., Warman, K., &amp; </w:t>
      </w:r>
      <w:proofErr w:type="spellStart"/>
      <w:r w:rsidRPr="009537D3">
        <w:rPr>
          <w:lang w:val="en-US"/>
        </w:rPr>
        <w:t>Mulyati</w:t>
      </w:r>
      <w:proofErr w:type="spellEnd"/>
      <w:r w:rsidRPr="009537D3">
        <w:rPr>
          <w:lang w:val="en-US"/>
        </w:rPr>
        <w:t xml:space="preserve">, N. (2023). The analysis of transitional justice initiatives and the flaw of prosecution in the Tanjung </w:t>
      </w:r>
      <w:proofErr w:type="spellStart"/>
      <w:r w:rsidRPr="009537D3">
        <w:rPr>
          <w:lang w:val="en-US"/>
        </w:rPr>
        <w:t>Priok</w:t>
      </w:r>
      <w:proofErr w:type="spellEnd"/>
      <w:r w:rsidRPr="009537D3">
        <w:rPr>
          <w:lang w:val="en-US"/>
        </w:rPr>
        <w:t xml:space="preserve"> case. </w:t>
      </w:r>
      <w:r w:rsidRPr="009537D3">
        <w:rPr>
          <w:rStyle w:val="Emphasis"/>
          <w:rFonts w:eastAsiaTheme="majorEastAsia"/>
          <w:lang w:val="en-US"/>
        </w:rPr>
        <w:t>Indonesian Journal of International Law, 20</w:t>
      </w:r>
      <w:r w:rsidRPr="009537D3">
        <w:rPr>
          <w:lang w:val="en-US"/>
        </w:rPr>
        <w:t>(3), 173–216. https://doi.org/10.17304/ijil.vol20.3.6</w:t>
      </w:r>
    </w:p>
    <w:p w14:paraId="7A3B7D7A" w14:textId="77777777" w:rsidR="00013FB7" w:rsidRPr="009537D3" w:rsidRDefault="00013FB7" w:rsidP="001D4D1D">
      <w:pPr>
        <w:pStyle w:val="NormalWeb"/>
        <w:ind w:left="284" w:hanging="284"/>
        <w:jc w:val="both"/>
        <w:rPr>
          <w:lang w:val="en-US"/>
        </w:rPr>
      </w:pPr>
      <w:proofErr w:type="spellStart"/>
      <w:r w:rsidRPr="009537D3">
        <w:rPr>
          <w:lang w:val="en-US"/>
        </w:rPr>
        <w:t>Sulistiyanto</w:t>
      </w:r>
      <w:proofErr w:type="spellEnd"/>
      <w:r w:rsidRPr="009537D3">
        <w:rPr>
          <w:lang w:val="en-US"/>
        </w:rPr>
        <w:t xml:space="preserve">, P. (2021). Confronting the past abuses: Indonesia and Southeast Asia. </w:t>
      </w:r>
      <w:proofErr w:type="spellStart"/>
      <w:r w:rsidRPr="009537D3">
        <w:rPr>
          <w:rStyle w:val="Emphasis"/>
          <w:rFonts w:eastAsiaTheme="majorEastAsia"/>
          <w:lang w:val="en-US"/>
        </w:rPr>
        <w:t>Teologia</w:t>
      </w:r>
      <w:proofErr w:type="spellEnd"/>
      <w:r w:rsidRPr="009537D3">
        <w:rPr>
          <w:rStyle w:val="Emphasis"/>
          <w:rFonts w:eastAsiaTheme="majorEastAsia"/>
          <w:lang w:val="en-US"/>
        </w:rPr>
        <w:t>, 32</w:t>
      </w:r>
      <w:r w:rsidRPr="009537D3">
        <w:rPr>
          <w:lang w:val="en-US"/>
        </w:rPr>
        <w:t>(1), 23–42. https://doi.org/10.21580/teo.2021.32.1.8241</w:t>
      </w:r>
    </w:p>
    <w:p w14:paraId="5749AA7A" w14:textId="77777777" w:rsidR="00013FB7" w:rsidRPr="009537D3" w:rsidRDefault="00013FB7" w:rsidP="001D4D1D">
      <w:pPr>
        <w:pStyle w:val="NormalWeb"/>
        <w:ind w:left="284" w:hanging="284"/>
        <w:jc w:val="both"/>
        <w:rPr>
          <w:lang w:val="en-US"/>
        </w:rPr>
      </w:pPr>
      <w:proofErr w:type="spellStart"/>
      <w:r w:rsidRPr="009537D3">
        <w:rPr>
          <w:lang w:val="en-US"/>
        </w:rPr>
        <w:t>Wahyuningroem</w:t>
      </w:r>
      <w:proofErr w:type="spellEnd"/>
      <w:r w:rsidRPr="009537D3">
        <w:rPr>
          <w:lang w:val="en-US"/>
        </w:rPr>
        <w:t xml:space="preserve">, S. R. (2019). Civil society and post-transitional justice in Indonesia. </w:t>
      </w:r>
      <w:r w:rsidRPr="009537D3">
        <w:rPr>
          <w:rStyle w:val="Emphasis"/>
          <w:rFonts w:eastAsiaTheme="majorEastAsia"/>
          <w:lang w:val="en-US"/>
        </w:rPr>
        <w:t>Journal of Southeast Asian Human Rights, 3</w:t>
      </w:r>
      <w:r w:rsidRPr="009537D3">
        <w:rPr>
          <w:lang w:val="en-US"/>
        </w:rPr>
        <w:t xml:space="preserve">(2), 289–308. </w:t>
      </w:r>
      <w:hyperlink r:id="rId20" w:history="1">
        <w:r w:rsidRPr="009537D3">
          <w:rPr>
            <w:rStyle w:val="Hyperlink"/>
            <w:lang w:val="en-US"/>
          </w:rPr>
          <w:t>https://doi.org/10.19184/jseahr.v3i2.11497</w:t>
        </w:r>
      </w:hyperlink>
    </w:p>
    <w:p w14:paraId="401DFF95" w14:textId="77777777" w:rsidR="00013FB7" w:rsidRPr="009537D3" w:rsidRDefault="00013FB7" w:rsidP="001D4D1D">
      <w:pPr>
        <w:pStyle w:val="NormalWeb"/>
        <w:ind w:left="284" w:hanging="284"/>
        <w:rPr>
          <w:lang w:val="en-US"/>
        </w:rPr>
      </w:pPr>
      <w:r w:rsidRPr="009537D3">
        <w:rPr>
          <w:lang w:val="en-US"/>
        </w:rPr>
        <w:t xml:space="preserve">Waldron, J. (2019). Ubuntu and the law: Reconciling human rights and communitarianism. </w:t>
      </w:r>
      <w:r w:rsidRPr="009537D3">
        <w:rPr>
          <w:rStyle w:val="Emphasis"/>
          <w:rFonts w:eastAsiaTheme="majorEastAsia"/>
          <w:lang w:val="en-US"/>
        </w:rPr>
        <w:t>Journal of Comparative Law, 14</w:t>
      </w:r>
      <w:r w:rsidRPr="009537D3">
        <w:rPr>
          <w:lang w:val="en-US"/>
        </w:rPr>
        <w:t>(2), 225–247.</w:t>
      </w:r>
    </w:p>
    <w:p w14:paraId="441485E2" w14:textId="77777777" w:rsidR="009776B6" w:rsidRPr="009537D3" w:rsidRDefault="009776B6" w:rsidP="00AE663D">
      <w:pPr>
        <w:pStyle w:val="NormalWeb"/>
        <w:rPr>
          <w:lang w:val="en-US"/>
        </w:rPr>
      </w:pPr>
    </w:p>
    <w:p w14:paraId="542E849D" w14:textId="77777777" w:rsidR="00BA6932" w:rsidRPr="0020355E" w:rsidRDefault="00BA6932" w:rsidP="00325D97">
      <w:pPr>
        <w:jc w:val="both"/>
      </w:pPr>
    </w:p>
    <w:sectPr w:rsidR="00BA6932" w:rsidRPr="0020355E" w:rsidSect="00AC25CF">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B3D2C" w14:textId="77777777" w:rsidR="00AB16A2" w:rsidRPr="009537D3" w:rsidRDefault="00AB16A2" w:rsidP="006E1C1A">
      <w:pPr>
        <w:spacing w:after="0" w:line="240" w:lineRule="auto"/>
      </w:pPr>
      <w:r w:rsidRPr="009537D3">
        <w:separator/>
      </w:r>
    </w:p>
  </w:endnote>
  <w:endnote w:type="continuationSeparator" w:id="0">
    <w:p w14:paraId="7E108BA6" w14:textId="77777777" w:rsidR="00AB16A2" w:rsidRPr="009537D3" w:rsidRDefault="00AB16A2" w:rsidP="006E1C1A">
      <w:pPr>
        <w:spacing w:after="0" w:line="240" w:lineRule="auto"/>
      </w:pPr>
      <w:r w:rsidRPr="009537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charset w:val="B2"/>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17494" w14:textId="77777777" w:rsidR="00AB16A2" w:rsidRPr="009537D3" w:rsidRDefault="00AB16A2" w:rsidP="006E1C1A">
      <w:pPr>
        <w:spacing w:after="0" w:line="240" w:lineRule="auto"/>
      </w:pPr>
      <w:r w:rsidRPr="009537D3">
        <w:separator/>
      </w:r>
    </w:p>
  </w:footnote>
  <w:footnote w:type="continuationSeparator" w:id="0">
    <w:p w14:paraId="1D6FB9A3" w14:textId="77777777" w:rsidR="00AB16A2" w:rsidRPr="009537D3" w:rsidRDefault="00AB16A2" w:rsidP="006E1C1A">
      <w:pPr>
        <w:spacing w:after="0" w:line="240" w:lineRule="auto"/>
      </w:pPr>
      <w:r w:rsidRPr="009537D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A552A"/>
    <w:multiLevelType w:val="hybridMultilevel"/>
    <w:tmpl w:val="CE8684B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CBE2E53"/>
    <w:multiLevelType w:val="multilevel"/>
    <w:tmpl w:val="D4BCDB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D45ED1"/>
    <w:multiLevelType w:val="multilevel"/>
    <w:tmpl w:val="749C0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A75F4D"/>
    <w:multiLevelType w:val="hybridMultilevel"/>
    <w:tmpl w:val="1F5EE14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F734435"/>
    <w:multiLevelType w:val="multilevel"/>
    <w:tmpl w:val="BFFCB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B52448"/>
    <w:multiLevelType w:val="multilevel"/>
    <w:tmpl w:val="30F46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51545D"/>
    <w:multiLevelType w:val="hybridMultilevel"/>
    <w:tmpl w:val="7B7A90A4"/>
    <w:lvl w:ilvl="0" w:tplc="84147C20">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D7B0231"/>
    <w:multiLevelType w:val="multilevel"/>
    <w:tmpl w:val="9F061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CC66D8"/>
    <w:multiLevelType w:val="hybridMultilevel"/>
    <w:tmpl w:val="1958B492"/>
    <w:lvl w:ilvl="0" w:tplc="38090001">
      <w:numFmt w:val="bullet"/>
      <w:lvlText w:val=""/>
      <w:lvlJc w:val="left"/>
      <w:pPr>
        <w:ind w:left="720" w:hanging="360"/>
      </w:pPr>
      <w:rPr>
        <w:rFonts w:ascii="Symbol" w:eastAsia="Times New Roman" w:hAnsi="Symbol"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678E11F8"/>
    <w:multiLevelType w:val="multilevel"/>
    <w:tmpl w:val="03344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197745"/>
    <w:multiLevelType w:val="hybridMultilevel"/>
    <w:tmpl w:val="D4266922"/>
    <w:lvl w:ilvl="0" w:tplc="CD9444EE">
      <w:start w:val="1"/>
      <w:numFmt w:val="decimal"/>
      <w:lvlText w:val="%1."/>
      <w:lvlJc w:val="left"/>
      <w:pPr>
        <w:ind w:left="720" w:hanging="360"/>
      </w:pPr>
      <w:rPr>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885435832">
    <w:abstractNumId w:val="1"/>
  </w:num>
  <w:num w:numId="2" w16cid:durableId="901017136">
    <w:abstractNumId w:val="2"/>
  </w:num>
  <w:num w:numId="3" w16cid:durableId="154149801">
    <w:abstractNumId w:val="6"/>
  </w:num>
  <w:num w:numId="4" w16cid:durableId="835995806">
    <w:abstractNumId w:val="0"/>
  </w:num>
  <w:num w:numId="5" w16cid:durableId="1468817191">
    <w:abstractNumId w:val="9"/>
  </w:num>
  <w:num w:numId="6" w16cid:durableId="1544243618">
    <w:abstractNumId w:val="3"/>
  </w:num>
  <w:num w:numId="7" w16cid:durableId="1531644844">
    <w:abstractNumId w:val="10"/>
  </w:num>
  <w:num w:numId="8" w16cid:durableId="255670852">
    <w:abstractNumId w:val="8"/>
  </w:num>
  <w:num w:numId="9" w16cid:durableId="200366755">
    <w:abstractNumId w:val="7"/>
  </w:num>
  <w:num w:numId="10" w16cid:durableId="912206572">
    <w:abstractNumId w:val="5"/>
  </w:num>
  <w:num w:numId="11" w16cid:durableId="11588827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LQ0NTG1NDU0MTcxMbRQ0lEKTi0uzszPAykwNKwFAENaiOctAAAA"/>
  </w:docVars>
  <w:rsids>
    <w:rsidRoot w:val="00935289"/>
    <w:rsid w:val="00003FDF"/>
    <w:rsid w:val="00013355"/>
    <w:rsid w:val="00013FB7"/>
    <w:rsid w:val="00014CFE"/>
    <w:rsid w:val="00020179"/>
    <w:rsid w:val="0002309A"/>
    <w:rsid w:val="00024A12"/>
    <w:rsid w:val="0002753E"/>
    <w:rsid w:val="00031147"/>
    <w:rsid w:val="00034E78"/>
    <w:rsid w:val="00037230"/>
    <w:rsid w:val="00040CDA"/>
    <w:rsid w:val="00041FC5"/>
    <w:rsid w:val="0005236E"/>
    <w:rsid w:val="00056BB7"/>
    <w:rsid w:val="00060BAD"/>
    <w:rsid w:val="00072443"/>
    <w:rsid w:val="00072B76"/>
    <w:rsid w:val="00093C58"/>
    <w:rsid w:val="00094A8F"/>
    <w:rsid w:val="000979CE"/>
    <w:rsid w:val="000C38BA"/>
    <w:rsid w:val="000C4671"/>
    <w:rsid w:val="000E0343"/>
    <w:rsid w:val="000E3A9F"/>
    <w:rsid w:val="000E3DD1"/>
    <w:rsid w:val="000F13DA"/>
    <w:rsid w:val="000F5E2E"/>
    <w:rsid w:val="000F6F5E"/>
    <w:rsid w:val="000F7439"/>
    <w:rsid w:val="00101B5F"/>
    <w:rsid w:val="001021F7"/>
    <w:rsid w:val="00111DFC"/>
    <w:rsid w:val="00113354"/>
    <w:rsid w:val="00115B77"/>
    <w:rsid w:val="00116838"/>
    <w:rsid w:val="00117A93"/>
    <w:rsid w:val="00126378"/>
    <w:rsid w:val="00131457"/>
    <w:rsid w:val="001337D0"/>
    <w:rsid w:val="001453F9"/>
    <w:rsid w:val="00157791"/>
    <w:rsid w:val="00160379"/>
    <w:rsid w:val="00164348"/>
    <w:rsid w:val="00177B5C"/>
    <w:rsid w:val="00184E54"/>
    <w:rsid w:val="00193D19"/>
    <w:rsid w:val="00195B13"/>
    <w:rsid w:val="00196E3B"/>
    <w:rsid w:val="001A70AE"/>
    <w:rsid w:val="001B0E3D"/>
    <w:rsid w:val="001C49CC"/>
    <w:rsid w:val="001C4B60"/>
    <w:rsid w:val="001D2449"/>
    <w:rsid w:val="001D4D1D"/>
    <w:rsid w:val="001D67B6"/>
    <w:rsid w:val="001D6E50"/>
    <w:rsid w:val="001D76B1"/>
    <w:rsid w:val="001E2E98"/>
    <w:rsid w:val="001F0D56"/>
    <w:rsid w:val="001F2FF3"/>
    <w:rsid w:val="001F3865"/>
    <w:rsid w:val="00201611"/>
    <w:rsid w:val="0020355E"/>
    <w:rsid w:val="00207786"/>
    <w:rsid w:val="00207E2C"/>
    <w:rsid w:val="00213940"/>
    <w:rsid w:val="00213B86"/>
    <w:rsid w:val="00215DB4"/>
    <w:rsid w:val="0022337F"/>
    <w:rsid w:val="0022576B"/>
    <w:rsid w:val="002257EA"/>
    <w:rsid w:val="0023234D"/>
    <w:rsid w:val="00233B97"/>
    <w:rsid w:val="0023402C"/>
    <w:rsid w:val="00241E0C"/>
    <w:rsid w:val="002463D9"/>
    <w:rsid w:val="00260D0A"/>
    <w:rsid w:val="00263E6D"/>
    <w:rsid w:val="0026720C"/>
    <w:rsid w:val="002735D3"/>
    <w:rsid w:val="00280140"/>
    <w:rsid w:val="00280AE7"/>
    <w:rsid w:val="002838F6"/>
    <w:rsid w:val="00287233"/>
    <w:rsid w:val="0029143E"/>
    <w:rsid w:val="00292188"/>
    <w:rsid w:val="0029338F"/>
    <w:rsid w:val="00297EC1"/>
    <w:rsid w:val="002B1908"/>
    <w:rsid w:val="002B4B74"/>
    <w:rsid w:val="002B731A"/>
    <w:rsid w:val="002C3156"/>
    <w:rsid w:val="002C5E6F"/>
    <w:rsid w:val="002D14E8"/>
    <w:rsid w:val="002D45C6"/>
    <w:rsid w:val="002D5EAA"/>
    <w:rsid w:val="002E173D"/>
    <w:rsid w:val="002F1CAF"/>
    <w:rsid w:val="00302064"/>
    <w:rsid w:val="00302F9D"/>
    <w:rsid w:val="00310615"/>
    <w:rsid w:val="00317D12"/>
    <w:rsid w:val="00325D97"/>
    <w:rsid w:val="00330ABA"/>
    <w:rsid w:val="00330D0C"/>
    <w:rsid w:val="003327B1"/>
    <w:rsid w:val="00332A1B"/>
    <w:rsid w:val="0033479E"/>
    <w:rsid w:val="00336640"/>
    <w:rsid w:val="00336C50"/>
    <w:rsid w:val="00346244"/>
    <w:rsid w:val="00346E4D"/>
    <w:rsid w:val="00352017"/>
    <w:rsid w:val="00360D84"/>
    <w:rsid w:val="00370091"/>
    <w:rsid w:val="0038055A"/>
    <w:rsid w:val="00381010"/>
    <w:rsid w:val="00382C33"/>
    <w:rsid w:val="00390FB2"/>
    <w:rsid w:val="003A3D14"/>
    <w:rsid w:val="003A48FA"/>
    <w:rsid w:val="003A6B66"/>
    <w:rsid w:val="003B38C3"/>
    <w:rsid w:val="003B5D4F"/>
    <w:rsid w:val="003B7537"/>
    <w:rsid w:val="003C70EF"/>
    <w:rsid w:val="003D27D4"/>
    <w:rsid w:val="003D701F"/>
    <w:rsid w:val="003E3AB1"/>
    <w:rsid w:val="003E5C29"/>
    <w:rsid w:val="003E6828"/>
    <w:rsid w:val="003F00FE"/>
    <w:rsid w:val="003F68C7"/>
    <w:rsid w:val="00410709"/>
    <w:rsid w:val="00410ABF"/>
    <w:rsid w:val="004155D9"/>
    <w:rsid w:val="00420D5C"/>
    <w:rsid w:val="00420FBE"/>
    <w:rsid w:val="00421810"/>
    <w:rsid w:val="00422DD0"/>
    <w:rsid w:val="00427857"/>
    <w:rsid w:val="004356EF"/>
    <w:rsid w:val="00435A7B"/>
    <w:rsid w:val="00435CA8"/>
    <w:rsid w:val="0044237D"/>
    <w:rsid w:val="00451596"/>
    <w:rsid w:val="00457C70"/>
    <w:rsid w:val="00480280"/>
    <w:rsid w:val="0049283E"/>
    <w:rsid w:val="00496881"/>
    <w:rsid w:val="004A6121"/>
    <w:rsid w:val="004A7FC0"/>
    <w:rsid w:val="004B0DFD"/>
    <w:rsid w:val="004B1743"/>
    <w:rsid w:val="004B3C22"/>
    <w:rsid w:val="004B4E52"/>
    <w:rsid w:val="004C5613"/>
    <w:rsid w:val="004C7F36"/>
    <w:rsid w:val="004D18E2"/>
    <w:rsid w:val="004D5974"/>
    <w:rsid w:val="004E228B"/>
    <w:rsid w:val="004E385E"/>
    <w:rsid w:val="00502CF4"/>
    <w:rsid w:val="0050326B"/>
    <w:rsid w:val="0051099C"/>
    <w:rsid w:val="00520C6C"/>
    <w:rsid w:val="00525EB8"/>
    <w:rsid w:val="00531B74"/>
    <w:rsid w:val="00531C20"/>
    <w:rsid w:val="005377D5"/>
    <w:rsid w:val="0054655A"/>
    <w:rsid w:val="00551B77"/>
    <w:rsid w:val="0055293C"/>
    <w:rsid w:val="00554042"/>
    <w:rsid w:val="005707FA"/>
    <w:rsid w:val="00570BFD"/>
    <w:rsid w:val="005731E5"/>
    <w:rsid w:val="00581D23"/>
    <w:rsid w:val="00585941"/>
    <w:rsid w:val="00590C11"/>
    <w:rsid w:val="0059779C"/>
    <w:rsid w:val="005A07E2"/>
    <w:rsid w:val="005A21EF"/>
    <w:rsid w:val="005A2CFD"/>
    <w:rsid w:val="005A4525"/>
    <w:rsid w:val="005B047F"/>
    <w:rsid w:val="005B4A3E"/>
    <w:rsid w:val="005D0EC3"/>
    <w:rsid w:val="005D11B8"/>
    <w:rsid w:val="005E65F3"/>
    <w:rsid w:val="005E78A0"/>
    <w:rsid w:val="005F2E1C"/>
    <w:rsid w:val="005F4360"/>
    <w:rsid w:val="005F7176"/>
    <w:rsid w:val="00602FCE"/>
    <w:rsid w:val="00603517"/>
    <w:rsid w:val="00606212"/>
    <w:rsid w:val="00621F21"/>
    <w:rsid w:val="00621FDC"/>
    <w:rsid w:val="006234B4"/>
    <w:rsid w:val="00636E40"/>
    <w:rsid w:val="0064730B"/>
    <w:rsid w:val="006474A4"/>
    <w:rsid w:val="00647C36"/>
    <w:rsid w:val="0066365D"/>
    <w:rsid w:val="00664DFB"/>
    <w:rsid w:val="00665C32"/>
    <w:rsid w:val="00673894"/>
    <w:rsid w:val="00677AF7"/>
    <w:rsid w:val="0068238A"/>
    <w:rsid w:val="00682B16"/>
    <w:rsid w:val="00686FA1"/>
    <w:rsid w:val="006919DF"/>
    <w:rsid w:val="00694E98"/>
    <w:rsid w:val="0069678F"/>
    <w:rsid w:val="006A03AA"/>
    <w:rsid w:val="006A3202"/>
    <w:rsid w:val="006A3A57"/>
    <w:rsid w:val="006A73AE"/>
    <w:rsid w:val="006B40A3"/>
    <w:rsid w:val="006B503C"/>
    <w:rsid w:val="006B6A68"/>
    <w:rsid w:val="006B7349"/>
    <w:rsid w:val="006C47EB"/>
    <w:rsid w:val="006D6BF3"/>
    <w:rsid w:val="006D6D31"/>
    <w:rsid w:val="006E1C1A"/>
    <w:rsid w:val="006E273B"/>
    <w:rsid w:val="006F24D5"/>
    <w:rsid w:val="006F4EC7"/>
    <w:rsid w:val="006F5913"/>
    <w:rsid w:val="00715D32"/>
    <w:rsid w:val="0072148A"/>
    <w:rsid w:val="00726A5E"/>
    <w:rsid w:val="007272C8"/>
    <w:rsid w:val="0073347D"/>
    <w:rsid w:val="00736620"/>
    <w:rsid w:val="00743ADA"/>
    <w:rsid w:val="00743B7F"/>
    <w:rsid w:val="007454BE"/>
    <w:rsid w:val="00754AB6"/>
    <w:rsid w:val="00755C03"/>
    <w:rsid w:val="00770B58"/>
    <w:rsid w:val="0077373C"/>
    <w:rsid w:val="007742A4"/>
    <w:rsid w:val="00783F90"/>
    <w:rsid w:val="00785739"/>
    <w:rsid w:val="007861E1"/>
    <w:rsid w:val="007919F0"/>
    <w:rsid w:val="007931CA"/>
    <w:rsid w:val="007A0CDE"/>
    <w:rsid w:val="007A28F2"/>
    <w:rsid w:val="007A4C64"/>
    <w:rsid w:val="007A7F3C"/>
    <w:rsid w:val="007B4C4C"/>
    <w:rsid w:val="007B7E79"/>
    <w:rsid w:val="007C0354"/>
    <w:rsid w:val="007C1C8F"/>
    <w:rsid w:val="007C3857"/>
    <w:rsid w:val="007C71B0"/>
    <w:rsid w:val="007C7311"/>
    <w:rsid w:val="007D1F15"/>
    <w:rsid w:val="007D487B"/>
    <w:rsid w:val="007E362A"/>
    <w:rsid w:val="007E619B"/>
    <w:rsid w:val="007F0204"/>
    <w:rsid w:val="007F3577"/>
    <w:rsid w:val="007F54F4"/>
    <w:rsid w:val="007F5A92"/>
    <w:rsid w:val="007F6D78"/>
    <w:rsid w:val="00812EE5"/>
    <w:rsid w:val="0081370E"/>
    <w:rsid w:val="00816ECA"/>
    <w:rsid w:val="008200F9"/>
    <w:rsid w:val="00823C0E"/>
    <w:rsid w:val="00825EA0"/>
    <w:rsid w:val="00827555"/>
    <w:rsid w:val="0082785E"/>
    <w:rsid w:val="008329FC"/>
    <w:rsid w:val="00835A2F"/>
    <w:rsid w:val="00836C42"/>
    <w:rsid w:val="00837D57"/>
    <w:rsid w:val="00840A0C"/>
    <w:rsid w:val="00840CE1"/>
    <w:rsid w:val="00842B83"/>
    <w:rsid w:val="00850473"/>
    <w:rsid w:val="00856B2E"/>
    <w:rsid w:val="00860A32"/>
    <w:rsid w:val="00864CF8"/>
    <w:rsid w:val="00867853"/>
    <w:rsid w:val="00881B94"/>
    <w:rsid w:val="0089680D"/>
    <w:rsid w:val="00897805"/>
    <w:rsid w:val="008A231F"/>
    <w:rsid w:val="008A78B7"/>
    <w:rsid w:val="008B04C9"/>
    <w:rsid w:val="008B7E1C"/>
    <w:rsid w:val="008C26B9"/>
    <w:rsid w:val="008E0C9A"/>
    <w:rsid w:val="008E26AE"/>
    <w:rsid w:val="008F2C98"/>
    <w:rsid w:val="008F3245"/>
    <w:rsid w:val="008F73D9"/>
    <w:rsid w:val="00910DFD"/>
    <w:rsid w:val="009112AA"/>
    <w:rsid w:val="009205EF"/>
    <w:rsid w:val="0092203A"/>
    <w:rsid w:val="00924394"/>
    <w:rsid w:val="009253EC"/>
    <w:rsid w:val="00930C7E"/>
    <w:rsid w:val="00930E3E"/>
    <w:rsid w:val="00935289"/>
    <w:rsid w:val="00936998"/>
    <w:rsid w:val="00942E1D"/>
    <w:rsid w:val="00945B21"/>
    <w:rsid w:val="00950925"/>
    <w:rsid w:val="009537D3"/>
    <w:rsid w:val="00953B1A"/>
    <w:rsid w:val="009552A4"/>
    <w:rsid w:val="0096178D"/>
    <w:rsid w:val="00970C6E"/>
    <w:rsid w:val="009776B6"/>
    <w:rsid w:val="009843C5"/>
    <w:rsid w:val="009A2963"/>
    <w:rsid w:val="009A49F7"/>
    <w:rsid w:val="009B42BF"/>
    <w:rsid w:val="009B460E"/>
    <w:rsid w:val="009B6085"/>
    <w:rsid w:val="009C246F"/>
    <w:rsid w:val="009C2D51"/>
    <w:rsid w:val="009C76BA"/>
    <w:rsid w:val="009D0770"/>
    <w:rsid w:val="009D1A4D"/>
    <w:rsid w:val="009D6C34"/>
    <w:rsid w:val="009F27A4"/>
    <w:rsid w:val="00A00098"/>
    <w:rsid w:val="00A05A09"/>
    <w:rsid w:val="00A13812"/>
    <w:rsid w:val="00A1570B"/>
    <w:rsid w:val="00A20CA7"/>
    <w:rsid w:val="00A27827"/>
    <w:rsid w:val="00A315CD"/>
    <w:rsid w:val="00A34B4E"/>
    <w:rsid w:val="00A415E9"/>
    <w:rsid w:val="00A428BA"/>
    <w:rsid w:val="00A53CCB"/>
    <w:rsid w:val="00A54E7A"/>
    <w:rsid w:val="00A62C1B"/>
    <w:rsid w:val="00A62FC0"/>
    <w:rsid w:val="00A6707A"/>
    <w:rsid w:val="00A7059D"/>
    <w:rsid w:val="00A76C50"/>
    <w:rsid w:val="00A80C72"/>
    <w:rsid w:val="00A83C5A"/>
    <w:rsid w:val="00A840FF"/>
    <w:rsid w:val="00A843BA"/>
    <w:rsid w:val="00A85400"/>
    <w:rsid w:val="00A86003"/>
    <w:rsid w:val="00A907EB"/>
    <w:rsid w:val="00A94A39"/>
    <w:rsid w:val="00A95A5E"/>
    <w:rsid w:val="00A96494"/>
    <w:rsid w:val="00A97DDE"/>
    <w:rsid w:val="00AA7AEC"/>
    <w:rsid w:val="00AB0CDA"/>
    <w:rsid w:val="00AB16A2"/>
    <w:rsid w:val="00AB4214"/>
    <w:rsid w:val="00AB42A3"/>
    <w:rsid w:val="00AB5467"/>
    <w:rsid w:val="00AB62B9"/>
    <w:rsid w:val="00AC25CF"/>
    <w:rsid w:val="00AC2E2C"/>
    <w:rsid w:val="00AC3F9A"/>
    <w:rsid w:val="00AD4A4F"/>
    <w:rsid w:val="00AE0AC5"/>
    <w:rsid w:val="00AE416D"/>
    <w:rsid w:val="00AE4E27"/>
    <w:rsid w:val="00AE663D"/>
    <w:rsid w:val="00B018B6"/>
    <w:rsid w:val="00B0485E"/>
    <w:rsid w:val="00B05C27"/>
    <w:rsid w:val="00B079F5"/>
    <w:rsid w:val="00B1701C"/>
    <w:rsid w:val="00B17B45"/>
    <w:rsid w:val="00B20068"/>
    <w:rsid w:val="00B32F6C"/>
    <w:rsid w:val="00B37958"/>
    <w:rsid w:val="00B44829"/>
    <w:rsid w:val="00B453F4"/>
    <w:rsid w:val="00B47E85"/>
    <w:rsid w:val="00B51537"/>
    <w:rsid w:val="00B52C97"/>
    <w:rsid w:val="00B54AEE"/>
    <w:rsid w:val="00B57A7D"/>
    <w:rsid w:val="00B64200"/>
    <w:rsid w:val="00B73946"/>
    <w:rsid w:val="00B759C3"/>
    <w:rsid w:val="00B77B24"/>
    <w:rsid w:val="00B81185"/>
    <w:rsid w:val="00B814C1"/>
    <w:rsid w:val="00B814CC"/>
    <w:rsid w:val="00B81785"/>
    <w:rsid w:val="00B845EF"/>
    <w:rsid w:val="00B86BF2"/>
    <w:rsid w:val="00B9531B"/>
    <w:rsid w:val="00B97B30"/>
    <w:rsid w:val="00BA6932"/>
    <w:rsid w:val="00BC505C"/>
    <w:rsid w:val="00BD080D"/>
    <w:rsid w:val="00BD1FBA"/>
    <w:rsid w:val="00BD7925"/>
    <w:rsid w:val="00BE06EF"/>
    <w:rsid w:val="00BE0CE4"/>
    <w:rsid w:val="00BE4EA3"/>
    <w:rsid w:val="00BF133C"/>
    <w:rsid w:val="00BF1954"/>
    <w:rsid w:val="00BF2405"/>
    <w:rsid w:val="00BF4721"/>
    <w:rsid w:val="00C00760"/>
    <w:rsid w:val="00C00790"/>
    <w:rsid w:val="00C04555"/>
    <w:rsid w:val="00C07EEA"/>
    <w:rsid w:val="00C1758F"/>
    <w:rsid w:val="00C26027"/>
    <w:rsid w:val="00C32E06"/>
    <w:rsid w:val="00C3324A"/>
    <w:rsid w:val="00C3767E"/>
    <w:rsid w:val="00C42088"/>
    <w:rsid w:val="00C44176"/>
    <w:rsid w:val="00C445B0"/>
    <w:rsid w:val="00C44658"/>
    <w:rsid w:val="00C5476F"/>
    <w:rsid w:val="00C63E70"/>
    <w:rsid w:val="00C76781"/>
    <w:rsid w:val="00C828CD"/>
    <w:rsid w:val="00C84416"/>
    <w:rsid w:val="00C94D09"/>
    <w:rsid w:val="00C9571C"/>
    <w:rsid w:val="00CA0D18"/>
    <w:rsid w:val="00CA6A67"/>
    <w:rsid w:val="00CA7BD2"/>
    <w:rsid w:val="00CB27B7"/>
    <w:rsid w:val="00CB4914"/>
    <w:rsid w:val="00CC035B"/>
    <w:rsid w:val="00CC4421"/>
    <w:rsid w:val="00CC6B40"/>
    <w:rsid w:val="00CC6BF3"/>
    <w:rsid w:val="00CD0023"/>
    <w:rsid w:val="00CE0554"/>
    <w:rsid w:val="00CE7018"/>
    <w:rsid w:val="00CF1C69"/>
    <w:rsid w:val="00D018C2"/>
    <w:rsid w:val="00D05BC7"/>
    <w:rsid w:val="00D20FA4"/>
    <w:rsid w:val="00D21845"/>
    <w:rsid w:val="00D22367"/>
    <w:rsid w:val="00D22905"/>
    <w:rsid w:val="00D23E14"/>
    <w:rsid w:val="00D25455"/>
    <w:rsid w:val="00D30374"/>
    <w:rsid w:val="00D30DD9"/>
    <w:rsid w:val="00D33508"/>
    <w:rsid w:val="00D338BF"/>
    <w:rsid w:val="00D365F2"/>
    <w:rsid w:val="00D41CC8"/>
    <w:rsid w:val="00D46C1E"/>
    <w:rsid w:val="00D50A92"/>
    <w:rsid w:val="00D53E95"/>
    <w:rsid w:val="00D56B39"/>
    <w:rsid w:val="00D73652"/>
    <w:rsid w:val="00DA0E51"/>
    <w:rsid w:val="00DA3132"/>
    <w:rsid w:val="00DA6431"/>
    <w:rsid w:val="00DB661B"/>
    <w:rsid w:val="00DC0968"/>
    <w:rsid w:val="00DD4FC6"/>
    <w:rsid w:val="00DD535F"/>
    <w:rsid w:val="00DD5E55"/>
    <w:rsid w:val="00DD6411"/>
    <w:rsid w:val="00DE100A"/>
    <w:rsid w:val="00DE67A3"/>
    <w:rsid w:val="00DF00EF"/>
    <w:rsid w:val="00DF0BED"/>
    <w:rsid w:val="00DF61CC"/>
    <w:rsid w:val="00DF7F3F"/>
    <w:rsid w:val="00E01D16"/>
    <w:rsid w:val="00E03236"/>
    <w:rsid w:val="00E0349C"/>
    <w:rsid w:val="00E0548B"/>
    <w:rsid w:val="00E1517C"/>
    <w:rsid w:val="00E20662"/>
    <w:rsid w:val="00E20CD3"/>
    <w:rsid w:val="00E20F16"/>
    <w:rsid w:val="00E21407"/>
    <w:rsid w:val="00E27C87"/>
    <w:rsid w:val="00E27F04"/>
    <w:rsid w:val="00E31040"/>
    <w:rsid w:val="00E31F23"/>
    <w:rsid w:val="00E46FEA"/>
    <w:rsid w:val="00E537C0"/>
    <w:rsid w:val="00E54F72"/>
    <w:rsid w:val="00E56DAC"/>
    <w:rsid w:val="00E66798"/>
    <w:rsid w:val="00E6682B"/>
    <w:rsid w:val="00E730DE"/>
    <w:rsid w:val="00E735FB"/>
    <w:rsid w:val="00E736B6"/>
    <w:rsid w:val="00E74C63"/>
    <w:rsid w:val="00E761CA"/>
    <w:rsid w:val="00E812F3"/>
    <w:rsid w:val="00E8641A"/>
    <w:rsid w:val="00E90B58"/>
    <w:rsid w:val="00E95AA9"/>
    <w:rsid w:val="00E973D4"/>
    <w:rsid w:val="00E97741"/>
    <w:rsid w:val="00E97B6B"/>
    <w:rsid w:val="00EA0855"/>
    <w:rsid w:val="00EA4657"/>
    <w:rsid w:val="00EA574B"/>
    <w:rsid w:val="00EA5DFB"/>
    <w:rsid w:val="00EA7A92"/>
    <w:rsid w:val="00EB2BD6"/>
    <w:rsid w:val="00EB30B4"/>
    <w:rsid w:val="00EB7624"/>
    <w:rsid w:val="00EC5460"/>
    <w:rsid w:val="00ED579D"/>
    <w:rsid w:val="00EE0F62"/>
    <w:rsid w:val="00EE29E8"/>
    <w:rsid w:val="00EE420E"/>
    <w:rsid w:val="00EE5214"/>
    <w:rsid w:val="00EF17B4"/>
    <w:rsid w:val="00EF198F"/>
    <w:rsid w:val="00EF3F8D"/>
    <w:rsid w:val="00EF7569"/>
    <w:rsid w:val="00F00BEE"/>
    <w:rsid w:val="00F0437B"/>
    <w:rsid w:val="00F102B5"/>
    <w:rsid w:val="00F10A7A"/>
    <w:rsid w:val="00F13775"/>
    <w:rsid w:val="00F13FAC"/>
    <w:rsid w:val="00F17895"/>
    <w:rsid w:val="00F22165"/>
    <w:rsid w:val="00F2794B"/>
    <w:rsid w:val="00F35518"/>
    <w:rsid w:val="00F36106"/>
    <w:rsid w:val="00F36D4B"/>
    <w:rsid w:val="00F40420"/>
    <w:rsid w:val="00F45C4B"/>
    <w:rsid w:val="00F50EE5"/>
    <w:rsid w:val="00F51F1E"/>
    <w:rsid w:val="00F53678"/>
    <w:rsid w:val="00F667F5"/>
    <w:rsid w:val="00F67B3F"/>
    <w:rsid w:val="00F969E8"/>
    <w:rsid w:val="00F96F38"/>
    <w:rsid w:val="00FA4881"/>
    <w:rsid w:val="00FA57F7"/>
    <w:rsid w:val="00FA709F"/>
    <w:rsid w:val="00FB0B23"/>
    <w:rsid w:val="00FB108C"/>
    <w:rsid w:val="00FB6501"/>
    <w:rsid w:val="00FC04BE"/>
    <w:rsid w:val="00FC28E2"/>
    <w:rsid w:val="00FC51BD"/>
    <w:rsid w:val="00FC5251"/>
    <w:rsid w:val="00FD43D3"/>
    <w:rsid w:val="00FD44F0"/>
    <w:rsid w:val="00FE30C8"/>
    <w:rsid w:val="00FE322F"/>
    <w:rsid w:val="00FF259B"/>
    <w:rsid w:val="00FF4916"/>
    <w:rsid w:val="00FF4FD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8D535"/>
  <w15:chartTrackingRefBased/>
  <w15:docId w15:val="{D32D785C-5D9A-4320-B292-383A0702C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7D0"/>
    <w:rPr>
      <w:rFonts w:ascii="Times New Roman" w:hAnsi="Times New Roman" w:cs="Times New Roman"/>
      <w:sz w:val="24"/>
      <w:szCs w:val="24"/>
      <w:lang w:val="en-US"/>
    </w:rPr>
  </w:style>
  <w:style w:type="paragraph" w:styleId="Heading1">
    <w:name w:val="heading 1"/>
    <w:basedOn w:val="Normal"/>
    <w:next w:val="Normal"/>
    <w:link w:val="Heading1Char"/>
    <w:uiPriority w:val="9"/>
    <w:qFormat/>
    <w:rsid w:val="001337D0"/>
    <w:pPr>
      <w:outlineLvl w:val="0"/>
    </w:pPr>
  </w:style>
  <w:style w:type="paragraph" w:styleId="Heading2">
    <w:name w:val="heading 2"/>
    <w:basedOn w:val="Normal"/>
    <w:next w:val="Normal"/>
    <w:link w:val="Heading2Char"/>
    <w:uiPriority w:val="9"/>
    <w:semiHidden/>
    <w:unhideWhenUsed/>
    <w:qFormat/>
    <w:rsid w:val="009352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52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52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52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52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52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52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52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7D0"/>
    <w:rPr>
      <w:rFonts w:ascii="Times New Roman" w:hAnsi="Times New Roman" w:cs="Times New Roman"/>
      <w:sz w:val="24"/>
      <w:szCs w:val="24"/>
      <w:lang w:val="en-US"/>
    </w:rPr>
  </w:style>
  <w:style w:type="character" w:customStyle="1" w:styleId="Heading2Char">
    <w:name w:val="Heading 2 Char"/>
    <w:basedOn w:val="DefaultParagraphFont"/>
    <w:link w:val="Heading2"/>
    <w:uiPriority w:val="9"/>
    <w:semiHidden/>
    <w:rsid w:val="00935289"/>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935289"/>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935289"/>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935289"/>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935289"/>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935289"/>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935289"/>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935289"/>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9352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289"/>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9352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5289"/>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935289"/>
    <w:pPr>
      <w:spacing w:before="160"/>
      <w:jc w:val="center"/>
    </w:pPr>
    <w:rPr>
      <w:i/>
      <w:iCs/>
      <w:color w:val="404040" w:themeColor="text1" w:themeTint="BF"/>
    </w:rPr>
  </w:style>
  <w:style w:type="character" w:customStyle="1" w:styleId="QuoteChar">
    <w:name w:val="Quote Char"/>
    <w:basedOn w:val="DefaultParagraphFont"/>
    <w:link w:val="Quote"/>
    <w:uiPriority w:val="29"/>
    <w:rsid w:val="00935289"/>
    <w:rPr>
      <w:i/>
      <w:iCs/>
      <w:color w:val="404040" w:themeColor="text1" w:themeTint="BF"/>
      <w:lang w:val="en-US"/>
    </w:rPr>
  </w:style>
  <w:style w:type="paragraph" w:styleId="ListParagraph">
    <w:name w:val="List Paragraph"/>
    <w:basedOn w:val="Normal"/>
    <w:uiPriority w:val="34"/>
    <w:qFormat/>
    <w:rsid w:val="00935289"/>
    <w:pPr>
      <w:ind w:left="720"/>
      <w:contextualSpacing/>
    </w:pPr>
  </w:style>
  <w:style w:type="character" w:styleId="IntenseEmphasis">
    <w:name w:val="Intense Emphasis"/>
    <w:basedOn w:val="DefaultParagraphFont"/>
    <w:uiPriority w:val="21"/>
    <w:qFormat/>
    <w:rsid w:val="00935289"/>
    <w:rPr>
      <w:i/>
      <w:iCs/>
      <w:color w:val="2F5496" w:themeColor="accent1" w:themeShade="BF"/>
    </w:rPr>
  </w:style>
  <w:style w:type="paragraph" w:styleId="IntenseQuote">
    <w:name w:val="Intense Quote"/>
    <w:basedOn w:val="Normal"/>
    <w:next w:val="Normal"/>
    <w:link w:val="IntenseQuoteChar"/>
    <w:uiPriority w:val="30"/>
    <w:qFormat/>
    <w:rsid w:val="009352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5289"/>
    <w:rPr>
      <w:i/>
      <w:iCs/>
      <w:color w:val="2F5496" w:themeColor="accent1" w:themeShade="BF"/>
      <w:lang w:val="en-US"/>
    </w:rPr>
  </w:style>
  <w:style w:type="character" w:styleId="IntenseReference">
    <w:name w:val="Intense Reference"/>
    <w:basedOn w:val="DefaultParagraphFont"/>
    <w:uiPriority w:val="32"/>
    <w:qFormat/>
    <w:rsid w:val="00935289"/>
    <w:rPr>
      <w:b/>
      <w:bCs/>
      <w:smallCaps/>
      <w:color w:val="2F5496" w:themeColor="accent1" w:themeShade="BF"/>
      <w:spacing w:val="5"/>
    </w:rPr>
  </w:style>
  <w:style w:type="paragraph" w:styleId="NormalWeb">
    <w:name w:val="Normal (Web)"/>
    <w:basedOn w:val="Normal"/>
    <w:uiPriority w:val="99"/>
    <w:semiHidden/>
    <w:unhideWhenUsed/>
    <w:rsid w:val="00031147"/>
    <w:pPr>
      <w:spacing w:before="100" w:beforeAutospacing="1" w:after="100" w:afterAutospacing="1" w:line="240" w:lineRule="auto"/>
    </w:pPr>
    <w:rPr>
      <w:rFonts w:eastAsia="Times New Roman"/>
      <w:kern w:val="0"/>
      <w:lang w:val="en-ID" w:eastAsia="en-ID"/>
      <w14:ligatures w14:val="none"/>
    </w:rPr>
  </w:style>
  <w:style w:type="character" w:styleId="Strong">
    <w:name w:val="Strong"/>
    <w:basedOn w:val="DefaultParagraphFont"/>
    <w:uiPriority w:val="22"/>
    <w:qFormat/>
    <w:rsid w:val="00031147"/>
    <w:rPr>
      <w:b/>
      <w:bCs/>
    </w:rPr>
  </w:style>
  <w:style w:type="character" w:styleId="Emphasis">
    <w:name w:val="Emphasis"/>
    <w:basedOn w:val="DefaultParagraphFont"/>
    <w:uiPriority w:val="20"/>
    <w:qFormat/>
    <w:rsid w:val="00031147"/>
    <w:rPr>
      <w:i/>
      <w:iCs/>
    </w:rPr>
  </w:style>
  <w:style w:type="paragraph" w:styleId="FootnoteText">
    <w:name w:val="footnote text"/>
    <w:basedOn w:val="Normal"/>
    <w:link w:val="FootnoteTextChar"/>
    <w:uiPriority w:val="99"/>
    <w:semiHidden/>
    <w:unhideWhenUsed/>
    <w:rsid w:val="006E1C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1C1A"/>
    <w:rPr>
      <w:rFonts w:ascii="Times New Roman" w:hAnsi="Times New Roman" w:cs="Times New Roman"/>
      <w:sz w:val="20"/>
      <w:szCs w:val="20"/>
      <w:lang w:val="en-US"/>
    </w:rPr>
  </w:style>
  <w:style w:type="character" w:styleId="FootnoteReference">
    <w:name w:val="footnote reference"/>
    <w:basedOn w:val="DefaultParagraphFont"/>
    <w:uiPriority w:val="99"/>
    <w:semiHidden/>
    <w:unhideWhenUsed/>
    <w:rsid w:val="006E1C1A"/>
    <w:rPr>
      <w:vertAlign w:val="superscript"/>
    </w:rPr>
  </w:style>
  <w:style w:type="paragraph" w:customStyle="1" w:styleId="whitespace-normal">
    <w:name w:val="whitespace-normal"/>
    <w:basedOn w:val="Normal"/>
    <w:rsid w:val="00B64200"/>
    <w:pPr>
      <w:spacing w:before="100" w:beforeAutospacing="1" w:after="100" w:afterAutospacing="1" w:line="240" w:lineRule="auto"/>
    </w:pPr>
    <w:rPr>
      <w:rFonts w:eastAsia="Times New Roman"/>
      <w:kern w:val="0"/>
      <w:lang w:val="en-ID" w:eastAsia="en-ID"/>
      <w14:ligatures w14:val="none"/>
    </w:rPr>
  </w:style>
  <w:style w:type="character" w:styleId="Hyperlink">
    <w:name w:val="Hyperlink"/>
    <w:basedOn w:val="DefaultParagraphFont"/>
    <w:uiPriority w:val="99"/>
    <w:unhideWhenUsed/>
    <w:rsid w:val="00330D0C"/>
    <w:rPr>
      <w:color w:val="0000FF"/>
      <w:u w:val="single"/>
    </w:rPr>
  </w:style>
  <w:style w:type="character" w:styleId="UnresolvedMention">
    <w:name w:val="Unresolved Mention"/>
    <w:basedOn w:val="DefaultParagraphFont"/>
    <w:uiPriority w:val="99"/>
    <w:semiHidden/>
    <w:unhideWhenUsed/>
    <w:rsid w:val="00F51F1E"/>
    <w:rPr>
      <w:color w:val="605E5C"/>
      <w:shd w:val="clear" w:color="auto" w:fill="E1DFDD"/>
    </w:rPr>
  </w:style>
  <w:style w:type="character" w:styleId="FollowedHyperlink">
    <w:name w:val="FollowedHyperlink"/>
    <w:basedOn w:val="DefaultParagraphFont"/>
    <w:uiPriority w:val="99"/>
    <w:semiHidden/>
    <w:unhideWhenUsed/>
    <w:rsid w:val="007931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2676-8451" TargetMode="External"/><Relationship Id="rId13" Type="http://schemas.openxmlformats.org/officeDocument/2006/relationships/hyperlink" Target="https://doi.org/10.1080/07329113.2022.2071803" TargetMode="External"/><Relationship Id="rId18" Type="http://schemas.openxmlformats.org/officeDocument/2006/relationships/hyperlink" Target="https://doi.org/10.1093/ejil/chab03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rcid.org/0009-0002-4654-6124" TargetMode="External"/><Relationship Id="rId17" Type="http://schemas.openxmlformats.org/officeDocument/2006/relationships/hyperlink" Target="https://doi.org/10.1057/dev.2011.86" TargetMode="External"/><Relationship Id="rId2" Type="http://schemas.openxmlformats.org/officeDocument/2006/relationships/numbering" Target="numbering.xml"/><Relationship Id="rId16" Type="http://schemas.openxmlformats.org/officeDocument/2006/relationships/hyperlink" Target="https://doi.org/10.4314/sajpem.v27i4.31526" TargetMode="External"/><Relationship Id="rId20" Type="http://schemas.openxmlformats.org/officeDocument/2006/relationships/hyperlink" Target="https://doi.org/10.19184/jseahr.v3i2.1149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9-0003-0176-7529" TargetMode="External"/><Relationship Id="rId5" Type="http://schemas.openxmlformats.org/officeDocument/2006/relationships/webSettings" Target="webSettings.xml"/><Relationship Id="rId15" Type="http://schemas.openxmlformats.org/officeDocument/2006/relationships/hyperlink" Target="https://doi.org/10.1016/j.heliyon.2021.e08136" TargetMode="External"/><Relationship Id="rId10" Type="http://schemas.openxmlformats.org/officeDocument/2006/relationships/hyperlink" Target="https://orcid.org/0009-0006-0889-9278" TargetMode="External"/><Relationship Id="rId19" Type="http://schemas.openxmlformats.org/officeDocument/2006/relationships/hyperlink" Target="https://doi.org/10.20956/halrev.v6i1.2431" TargetMode="External"/><Relationship Id="rId4" Type="http://schemas.openxmlformats.org/officeDocument/2006/relationships/settings" Target="settings.xml"/><Relationship Id="rId9" Type="http://schemas.openxmlformats.org/officeDocument/2006/relationships/hyperlink" Target="https://orcid.org/0009-0007-1713-8195" TargetMode="External"/><Relationship Id="rId14" Type="http://schemas.openxmlformats.org/officeDocument/2006/relationships/hyperlink" Target="https://doi.org/10.1017/S002246342100054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7C2AC-8135-4807-A123-8B153E8D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9797</Words>
  <Characters>55849</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M415DAO - FHD352</dc:creator>
  <cp:keywords/>
  <dc:description/>
  <cp:lastModifiedBy>M415DAO - FHD352</cp:lastModifiedBy>
  <cp:revision>17</cp:revision>
  <dcterms:created xsi:type="dcterms:W3CDTF">2025-10-15T06:51:00Z</dcterms:created>
  <dcterms:modified xsi:type="dcterms:W3CDTF">2025-10-15T06:57:00Z</dcterms:modified>
</cp:coreProperties>
</file>