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025" w:rsidRPr="00894025" w:rsidRDefault="00894025" w:rsidP="00114BD2">
      <w:pPr>
        <w:bidi/>
        <w:jc w:val="center"/>
        <w:rPr>
          <w:rFonts w:asciiTheme="majorBidi" w:hAnsiTheme="majorBidi" w:cstheme="majorBidi"/>
          <w:b/>
          <w:bCs/>
          <w:sz w:val="32"/>
          <w:szCs w:val="32"/>
        </w:rPr>
      </w:pPr>
      <w:r w:rsidRPr="00894025">
        <w:rPr>
          <w:rFonts w:asciiTheme="majorBidi" w:hAnsiTheme="majorBidi" w:cstheme="majorBidi"/>
          <w:b/>
          <w:bCs/>
          <w:sz w:val="32"/>
          <w:szCs w:val="32"/>
        </w:rPr>
        <w:t>Economic Transformations in Iraq During the Late Ottoman Era (1831–1914): Between Central Policies and Structural Challenges — An A</w:t>
      </w:r>
      <w:bookmarkStart w:id="0" w:name="_GoBack"/>
      <w:bookmarkEnd w:id="0"/>
      <w:r w:rsidRPr="00894025">
        <w:rPr>
          <w:rFonts w:asciiTheme="majorBidi" w:hAnsiTheme="majorBidi" w:cstheme="majorBidi"/>
          <w:b/>
          <w:bCs/>
          <w:sz w:val="32"/>
          <w:szCs w:val="32"/>
        </w:rPr>
        <w:t>nalytical Study of the Impact of Ottoman Administration on Impeding Economic Development and Restricting Local Capabilities</w:t>
      </w:r>
    </w:p>
    <w:p w:rsidR="00385E25" w:rsidRDefault="00385E25" w:rsidP="00894025">
      <w:pPr>
        <w:bidi/>
        <w:jc w:val="center"/>
        <w:rPr>
          <w:rFonts w:ascii="Simplified Arabic" w:hAnsi="Simplified Arabic" w:cs="Simplified Arabic"/>
          <w:b/>
          <w:bCs/>
          <w:lang w:bidi="ar-IQ"/>
        </w:rPr>
      </w:pPr>
      <w:r>
        <w:rPr>
          <w:b/>
          <w:bCs/>
          <w:sz w:val="32"/>
          <w:szCs w:val="32"/>
        </w:rPr>
        <w:br/>
      </w:r>
      <w:r>
        <w:rPr>
          <w:rFonts w:ascii="Simplified Arabic" w:hAnsi="Simplified Arabic" w:cs="Simplified Arabic"/>
          <w:b/>
          <w:bCs/>
          <w:lang w:bidi="ar-IQ"/>
        </w:rPr>
        <w:t>Adam Amer Jihad</w:t>
      </w:r>
    </w:p>
    <w:p w:rsidR="00385E25" w:rsidRPr="00AA62B8" w:rsidRDefault="00385E25" w:rsidP="00114BD2">
      <w:pPr>
        <w:bidi/>
        <w:jc w:val="center"/>
        <w:rPr>
          <w:rFonts w:ascii="Simplified Arabic" w:hAnsi="Simplified Arabic" w:cs="Simplified Arabic"/>
          <w:b/>
          <w:bCs/>
          <w:lang w:bidi="ar-IQ"/>
        </w:rPr>
      </w:pPr>
      <w:r w:rsidRPr="00AA62B8">
        <w:rPr>
          <w:rFonts w:ascii="Simplified Arabic" w:hAnsi="Simplified Arabic" w:cs="Simplified Arabic"/>
          <w:b/>
          <w:bCs/>
          <w:lang w:bidi="ar-IQ"/>
        </w:rPr>
        <w:t>University of Baghdad</w:t>
      </w:r>
      <w:r>
        <w:rPr>
          <w:rFonts w:ascii="Simplified Arabic" w:hAnsi="Simplified Arabic" w:cs="Simplified Arabic"/>
          <w:b/>
          <w:bCs/>
          <w:lang w:bidi="ar-IQ"/>
        </w:rPr>
        <w:t xml:space="preserve">, </w:t>
      </w:r>
      <w:r w:rsidRPr="00385E25">
        <w:rPr>
          <w:rFonts w:ascii="Simplified Arabic" w:hAnsi="Simplified Arabic" w:cs="Simplified Arabic"/>
          <w:b/>
          <w:bCs/>
          <w:lang w:bidi="ar-IQ"/>
        </w:rPr>
        <w:t>Baghdad, Iraq</w:t>
      </w:r>
    </w:p>
    <w:p w:rsidR="00385E25" w:rsidRPr="00385E25" w:rsidRDefault="0021337C" w:rsidP="00114BD2">
      <w:pPr>
        <w:bidi/>
        <w:jc w:val="center"/>
        <w:rPr>
          <w:rFonts w:ascii="Simplified Arabic" w:hAnsi="Simplified Arabic" w:cs="Simplified Arabic"/>
          <w:b/>
          <w:bCs/>
          <w:lang w:val="en-GB" w:bidi="ar-IQ"/>
        </w:rPr>
      </w:pPr>
      <w:hyperlink r:id="rId8" w:history="1">
        <w:r w:rsidR="00385E25" w:rsidRPr="00385E25">
          <w:rPr>
            <w:rStyle w:val="Hyperlink"/>
            <w:rFonts w:ascii="Simplified Arabic" w:hAnsi="Simplified Arabic" w:cs="Simplified Arabic"/>
            <w:u w:val="none"/>
            <w:lang w:val="en-GB" w:bidi="ar-IQ"/>
          </w:rPr>
          <w:t>Email:  adam.a@uobaghdad.edu.iq</w:t>
        </w:r>
      </w:hyperlink>
    </w:p>
    <w:p w:rsidR="00385E25" w:rsidRDefault="00385E25" w:rsidP="00EE0CF3">
      <w:pPr>
        <w:pStyle w:val="Heading2"/>
        <w:jc w:val="both"/>
      </w:pPr>
      <w:r>
        <w:t>Abstract</w:t>
      </w:r>
    </w:p>
    <w:p w:rsidR="00385E25" w:rsidRDefault="00385E25" w:rsidP="00EE0CF3">
      <w:pPr>
        <w:pStyle w:val="NormalWeb"/>
        <w:jc w:val="both"/>
      </w:pPr>
      <w:r>
        <w:t>This study examines the economic conditions of Iraq during the late Ottoman period (1831–1914) through a historical political economy perspective. Despite Iraq's strategic geographical location, abundant agricultural resources, and growing integration into regional and international trade networks, the country experienced limited economic development during the final decades of Ottoman rule. Existing scholarship has examined individual aspects of Iraq's economic history, including agriculture, trade, taxation, and administrative reforms; however, limited attention has been devoted to understanding how these sectors interacted within the broader framework of Ottoman governance and institutional structures.</w:t>
      </w:r>
    </w:p>
    <w:p w:rsidR="00385E25" w:rsidRDefault="00385E25" w:rsidP="00EE0CF3">
      <w:pPr>
        <w:pStyle w:val="NormalWeb"/>
        <w:jc w:val="both"/>
      </w:pPr>
      <w:r>
        <w:t xml:space="preserve">Using a qualitative historical methodology based on secondary historical sources and economic analyses, this study investigates the relationship between administrative centralization, fiscal policies, land-tenure arrangements, commercial integration, and economic performance. The analysis focuses on three key sectors: agriculture, industry, and trade. The findings reveal that agricultural development was constrained by insecure land tenure, inadequate irrigation infrastructure, heavy taxation, and the predominance of extractive institutions such as the </w:t>
      </w:r>
      <w:r>
        <w:rPr>
          <w:rStyle w:val="Emphasis"/>
        </w:rPr>
        <w:t>timar</w:t>
      </w:r>
      <w:r>
        <w:t xml:space="preserve"> and </w:t>
      </w:r>
      <w:r>
        <w:rPr>
          <w:rStyle w:val="Emphasis"/>
        </w:rPr>
        <w:t>iltizam</w:t>
      </w:r>
      <w:r>
        <w:t xml:space="preserve"> systems. Industrial development remained largely confined to traditional handicrafts due to limited investment, weak institutional support, and increasing competition from imported European manufactured goods. Meanwhile, although international trade expanded significantly—particularly following the opening of the Suez Canal in 1869—Iraq's integration into global markets reinforced its role as an exporter of agricultural commodities and raw materials while increasing dependence on imported manufactured products.</w:t>
      </w:r>
    </w:p>
    <w:p w:rsidR="00385E25" w:rsidRDefault="00385E25" w:rsidP="00EE0CF3">
      <w:pPr>
        <w:pStyle w:val="NormalWeb"/>
        <w:jc w:val="both"/>
      </w:pPr>
      <w:r>
        <w:t xml:space="preserve">The study argues that the economic challenges of late Ottoman Iraq were not solely the result of geographical or external constraints but were significantly shaped by administrative centralization, fiscal extraction, and weak institutional development. By linking economic outcomes to governance structures and state policies, this article contributes to broader debates in economic history and historical political economy </w:t>
      </w:r>
      <w:r>
        <w:lastRenderedPageBreak/>
        <w:t>concerning the relationship between institutions, state capacity, and economic development in the late Ottoman Middle East.</w:t>
      </w:r>
    </w:p>
    <w:p w:rsidR="003C7C97" w:rsidRPr="00385E25" w:rsidRDefault="00385E25" w:rsidP="00EE0CF3">
      <w:pPr>
        <w:pStyle w:val="NormalWeb"/>
        <w:jc w:val="both"/>
      </w:pPr>
      <w:r>
        <w:rPr>
          <w:rStyle w:val="Strong"/>
          <w:rFonts w:eastAsiaTheme="majorEastAsia"/>
        </w:rPr>
        <w:t>Keywords:</w:t>
      </w:r>
      <w:r>
        <w:t xml:space="preserve"> Late Ottoman Iraq; Economic History; Historical Political Economy; Ottoman Administration; Trade and Development; Institutional Economics.</w:t>
      </w:r>
    </w:p>
    <w:p w:rsidR="008325BD" w:rsidRPr="00385E25" w:rsidRDefault="008325BD" w:rsidP="00EE0CF3">
      <w:pPr>
        <w:jc w:val="both"/>
      </w:pPr>
    </w:p>
    <w:p w:rsidR="008325BD" w:rsidRPr="008325BD" w:rsidRDefault="008325BD" w:rsidP="00EE0CF3">
      <w:pPr>
        <w:spacing w:before="100" w:beforeAutospacing="1" w:after="100" w:afterAutospacing="1" w:line="240" w:lineRule="auto"/>
        <w:jc w:val="both"/>
        <w:outlineLvl w:val="0"/>
        <w:rPr>
          <w:rFonts w:ascii="Times New Roman" w:eastAsia="Times New Roman" w:hAnsi="Times New Roman" w:cs="Times New Roman"/>
          <w:b/>
          <w:bCs/>
          <w:kern w:val="36"/>
          <w:sz w:val="48"/>
          <w:szCs w:val="48"/>
        </w:rPr>
      </w:pPr>
      <w:r w:rsidRPr="008325BD">
        <w:rPr>
          <w:rFonts w:ascii="Times New Roman" w:eastAsia="Times New Roman" w:hAnsi="Times New Roman" w:cs="Times New Roman"/>
          <w:b/>
          <w:bCs/>
          <w:kern w:val="36"/>
          <w:sz w:val="48"/>
          <w:szCs w:val="48"/>
        </w:rPr>
        <w:t>Introduction</w:t>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The nineteenth century witnessed profound transformations across the Ottoman Empire as state authorities sought to consolidate administrative control, modernize governance structures, and integrate peripheral provinces into an increasingly interconnected global economy. Within this broader context, Iraq occupied a strategically significant position due to its geographic location at the crossroads of major trade routes linking the Mediterranean, the Persian Gulf, and South Asia. Despite its favorable location, abundant agricultural resources, and historical role as a commercial hub, Iraq experienced persistent economic stagnation during the late Ottoman period (1831–1914). The apparent contradiction between Iraq's economic potential and its relatively limited developmental outcomes raises important questions concerning the relationship between imperial governance, institutional structures, and economic performance.</w:t>
      </w:r>
      <w:r w:rsidR="00064B7A">
        <w:rPr>
          <w:rStyle w:val="FootnoteReference"/>
          <w:rFonts w:ascii="Times New Roman" w:eastAsia="Times New Roman" w:hAnsi="Times New Roman" w:cs="Times New Roman"/>
          <w:sz w:val="24"/>
          <w:szCs w:val="24"/>
        </w:rPr>
        <w:footnoteReference w:id="1"/>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The economic structure of late Ottoman Iraq was predominantly agrarian, with agricultural production heavily dependent upon the Tigris and Euphrates river systems. While these rivers provided considerable agricultural opportunities, recurring floods, inadequate irrigation infrastructure, and the absence of systematic water-management policies contributed to fluctuations in agricultural productivity. Simultaneously, trade constituted a vital component of the Iraqi economy, particularly through the port of Basra, which connected local markets with regional and international commercial networks. During the nineteenth century, increasing integration into global markets generated new economic opportunities; however, it also intensified Iraq’s dependence on external commercial forces and exposed local producers to growing international competition.</w:t>
      </w:r>
      <w:r w:rsidR="00064B7A">
        <w:rPr>
          <w:rStyle w:val="FootnoteReference"/>
          <w:rFonts w:ascii="Times New Roman" w:eastAsia="Times New Roman" w:hAnsi="Times New Roman" w:cs="Times New Roman"/>
          <w:sz w:val="24"/>
          <w:szCs w:val="24"/>
        </w:rPr>
        <w:footnoteReference w:id="2"/>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 xml:space="preserve">The Ottoman state introduced a series of administrative and institutional reforms, particularly during the Tanzimat era, aimed at strengthening central authority and improving provincial governance. These reforms included changes in taxation, land administration, municipal governance, and commercial regulation. In Iraq, municipal institutions expanded after the promulgation of the Municipal Law of 1877, while efforts were made to improve transportation and irrigation infrastructure. Nevertheless, the </w:t>
      </w:r>
      <w:r w:rsidRPr="008325BD">
        <w:rPr>
          <w:rFonts w:ascii="Times New Roman" w:eastAsia="Times New Roman" w:hAnsi="Times New Roman" w:cs="Times New Roman"/>
          <w:sz w:val="24"/>
          <w:szCs w:val="24"/>
        </w:rPr>
        <w:lastRenderedPageBreak/>
        <w:t>effectiveness of these reforms remained constrained by limited financial resources, administrative inefficiencies, corruption, tribal resistance, and the broader challenges associated with governing a geographically vast and economically diverse province. Consequently, many reforms failed to generate sustainable economic development or significantly improve productive capacity.</w:t>
      </w:r>
      <w:r w:rsidR="00064B7A">
        <w:rPr>
          <w:rStyle w:val="FootnoteReference"/>
          <w:rFonts w:ascii="Times New Roman" w:eastAsia="Times New Roman" w:hAnsi="Times New Roman" w:cs="Times New Roman"/>
          <w:sz w:val="24"/>
          <w:szCs w:val="24"/>
        </w:rPr>
        <w:footnoteReference w:id="3"/>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Existing scholarship has examined various aspects of Iraq’s economy during the late Ottoman period, including agricultural production, irrigation systems, trade networks, taxation policies, and administrative reforms. Studies by Al-Ani (2021), Al-Zubaidi (2024), Issawi (1982), Ceylan (2011), and Batatu have provided valuable insights into specific dimensions of economic and social change. However, much of the existing literature tends to analyze these sectors independently, often emphasizing descriptive historical narratives rather than exploring the broader institutional relationships between Ottoman centralization, fiscal extraction, administrative governance, and long-term economic development. As a result, there remains a significant gap in understanding how the interaction between state policies and structural constraints shaped the overall trajectory of economic development in Iraq during the final decades of Ottoman rule.</w:t>
      </w:r>
      <w:r w:rsidR="00064B7A">
        <w:rPr>
          <w:rStyle w:val="FootnoteReference"/>
          <w:rFonts w:ascii="Times New Roman" w:eastAsia="Times New Roman" w:hAnsi="Times New Roman" w:cs="Times New Roman"/>
          <w:sz w:val="24"/>
          <w:szCs w:val="24"/>
        </w:rPr>
        <w:footnoteReference w:id="4"/>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This study addresses that gap by adopting a historical political economy perspective to examine the economic transformation of Iraq between 1831 and 1914. Rather than treating agriculture, trade, industry, and taxation as isolated sectors, the study investigates how Ottoman administrative centralization influenced economic institutions and shaped patterns of production, exchange, and resource allocation. Particular attention is given to the role of land tenure arrangements, taxation mechanisms, infrastructure development, and commercial integration in either facilitating or constraining economic growth.</w:t>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 xml:space="preserve">The central research question guiding this study is: </w:t>
      </w:r>
      <w:r w:rsidRPr="00385E25">
        <w:rPr>
          <w:rFonts w:ascii="Times New Roman" w:eastAsia="Times New Roman" w:hAnsi="Times New Roman" w:cs="Times New Roman"/>
          <w:b/>
          <w:bCs/>
          <w:sz w:val="24"/>
          <w:szCs w:val="24"/>
        </w:rPr>
        <w:t>To what extent did Ottoman administrative and economic policies contribute to the structural weaknesses of the Iraqi economy during the period 1831–1914?</w:t>
      </w:r>
      <w:r w:rsidRPr="008325BD">
        <w:rPr>
          <w:rFonts w:ascii="Times New Roman" w:eastAsia="Times New Roman" w:hAnsi="Times New Roman" w:cs="Times New Roman"/>
          <w:sz w:val="24"/>
          <w:szCs w:val="24"/>
        </w:rPr>
        <w:t xml:space="preserve"> To answer this question, the article examines three interrelated dimensions: (1) the impact of land administration, irrigation systems, and agricultural policies on rural production; (2) the role of trade networks, commercial infrastructure, and international market integration in shaping economic opportunities; and (3) the effects of taxation systems, administrative centralization, and institutional capacity on economic performance.</w:t>
      </w:r>
    </w:p>
    <w:p w:rsidR="008325BD" w:rsidRPr="008325BD"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 xml:space="preserve">The significance of this study extends beyond the historical period under investigation. By examining the institutional foundations of economic development in late Ottoman Iraq, the research contributes to broader debates within economic history, Middle Eastern studies, and historical political economy concerning the relationship between state formation, governance structures, and developmental outcomes. Furthermore, understanding the historical roots of economic challenges in Iraq provides valuable context for interpreting </w:t>
      </w:r>
      <w:r w:rsidRPr="008325BD">
        <w:rPr>
          <w:rFonts w:ascii="Times New Roman" w:eastAsia="Times New Roman" w:hAnsi="Times New Roman" w:cs="Times New Roman"/>
          <w:sz w:val="24"/>
          <w:szCs w:val="24"/>
        </w:rPr>
        <w:lastRenderedPageBreak/>
        <w:t>contemporary debates surrounding institutional reform, state capacity, and economic diversification in the modern Iraqi state.</w:t>
      </w:r>
    </w:p>
    <w:p w:rsidR="00385E25" w:rsidRDefault="008325BD" w:rsidP="00EE0CF3">
      <w:pPr>
        <w:spacing w:before="100" w:beforeAutospacing="1" w:after="100" w:afterAutospacing="1" w:line="240" w:lineRule="auto"/>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Ultimately, this article argues that the economic difficulties experienced by Iraq during the late Ottoman era were not solely the product of geographical limitations or external market forces. Rather, they were significantly shaped by a combination of administrative centralization, extractive fiscal policies, weak institutional development, and inadequate investment in productive infrastructure. These structural constraints limited the capacity of local economic sectors to achieve sustained growth and left a lasting imprint on Iraq’s subsequent economic trajectory.</w:t>
      </w:r>
    </w:p>
    <w:p w:rsidR="00385E25" w:rsidRDefault="00385E25" w:rsidP="00EE0CF3">
      <w:pPr>
        <w:pStyle w:val="Heading1"/>
        <w:jc w:val="both"/>
      </w:pPr>
      <w:r>
        <w:t>Methodology</w:t>
      </w:r>
    </w:p>
    <w:p w:rsidR="00385E25" w:rsidRDefault="00385E25" w:rsidP="00EE0CF3">
      <w:pPr>
        <w:pStyle w:val="NormalWeb"/>
        <w:jc w:val="both"/>
      </w:pPr>
      <w:r>
        <w:t>This study employs a qualitative historical research design to examine the economic conditions of Iraq during the late Ottoman period (1831–1914). The research adopts a historical political economy approach, which enables an analysis of the relationship between state institutions, administrative policies, fiscal structures, and economic outcomes. Rather than focusing solely on descriptive historical events, the study investigates how institutional arrangements and governance practices influenced patterns of agricultural production, industrial development, and commercial activity in late Ottoman Iraq.</w:t>
      </w:r>
      <w:r w:rsidR="00064B7A">
        <w:t xml:space="preserve"> </w:t>
      </w:r>
      <w:r>
        <w:t>The study relies primarily on secondary historical sources, including scholarly books, peer-reviewed journal articles, economic histories, and studies of Ottoman administration and Middle Eastern economic development. Particular attention is given to literature addressing land tenure systems, taxation policies, irrigation infrastructure, trade networks, and industrial organization within the Ottoman Empire and Iraq specifically. In addition, historical trade statistics, administrative records reported in the literature, and contemporary historical analyses are utilized to contextualize economic developments during the period under examination. The use of multiple sources allows for the triangulation of historical evidence and enhances the reliability of the study's findings. Sources were selected based on their academic credibility, relevance to the research objectives, and contribution to understanding the economic and institutional dynamics of late Ottoman Iraq.</w:t>
      </w:r>
    </w:p>
    <w:p w:rsidR="00385E25" w:rsidRDefault="00385E25" w:rsidP="00EE0CF3">
      <w:pPr>
        <w:pStyle w:val="Heading2"/>
        <w:jc w:val="both"/>
      </w:pPr>
      <w:r>
        <w:t>Analytical Framework</w:t>
      </w:r>
    </w:p>
    <w:p w:rsidR="00385E25" w:rsidRDefault="00385E25" w:rsidP="00EE0CF3">
      <w:pPr>
        <w:pStyle w:val="NormalWeb"/>
        <w:jc w:val="both"/>
      </w:pPr>
      <w:r>
        <w:t>The analysis is guided by the theoretical perspectives of historical political economy and institutional economics. These approaches emphasize the role of formal and informal institutions in shaping economic behavior, resource allocation, and long-term development outcomes. Particular attention is paid to the concepts of administrative centralization, fiscal extraction, property rights, state capacity, and market integration.  Through this framework, the study examines how Ottoman land-tenure arrangements, tax-farming practices, commercial regulations, and administrative reforms affected economic performance. The analysis also considers the extent to which these institutions encouraged or constrained productive investment, agricultural modernization, industrial development, and commercial expansion.</w:t>
      </w:r>
    </w:p>
    <w:p w:rsidR="00385E25" w:rsidRDefault="00385E25" w:rsidP="00EE0CF3">
      <w:pPr>
        <w:pStyle w:val="Heading2"/>
        <w:jc w:val="both"/>
      </w:pPr>
      <w:r>
        <w:lastRenderedPageBreak/>
        <w:t>Data Analysis</w:t>
      </w:r>
    </w:p>
    <w:p w:rsidR="00385E25" w:rsidRDefault="00385E25" w:rsidP="00EE0CF3">
      <w:pPr>
        <w:pStyle w:val="NormalWeb"/>
        <w:jc w:val="both"/>
      </w:pPr>
      <w:r>
        <w:t>The collected materials were analyzed using qualitative content analysis and historical interpretation. Relevant information was systematically categorized into four major themes: (1) agriculture and land administration, (2) taxation and fiscal institutions, (3) trade and market integration, and (4) industrial production and economic development. Thematic analysis was employed to identify recurring patterns, institutional relationships, and structural factors influencing economic outcomes. Furthermore, a comparative interpretive approach was used to connect developments in Iraq with broader economic transformations occurring across the Ottoman Empire during the nineteenth century. This approach facilitates a deeper understanding of how local economic conditions were shaped by both internal administrative policies and external global economic forces.</w:t>
      </w:r>
    </w:p>
    <w:p w:rsidR="00385E25" w:rsidRDefault="00385E25" w:rsidP="00EE0CF3">
      <w:pPr>
        <w:pStyle w:val="Heading2"/>
        <w:jc w:val="both"/>
      </w:pPr>
      <w:r>
        <w:t>Scope and Limitations</w:t>
      </w:r>
    </w:p>
    <w:p w:rsidR="00385E25" w:rsidRPr="008325BD" w:rsidRDefault="00385E25" w:rsidP="00EE0CF3">
      <w:pPr>
        <w:pStyle w:val="NormalWeb"/>
        <w:jc w:val="both"/>
      </w:pPr>
      <w:r>
        <w:t>The study focuses exclusively on the period between 1831 and 1914, corresponding to the final phase of Ottoman administration in Iraq. The analysis concentrates on the provinces that constituted Ottoman Iraq and examines the major economic sectors of agriculture, trade, and industry. While the study draws upon a broad range of historical sources, its findings are limited by the availability and reliability of historical records and by the challenges inherent in reconstructing economic conditions from historical evidence. Nevertheless, the use of diverse scholarly sources and a systematic analytical framework provides a robust basis for understanding the institutional and economic dynamics of late Ottoman Iraq.</w:t>
      </w:r>
    </w:p>
    <w:p w:rsidR="008325BD" w:rsidRPr="00385E25" w:rsidRDefault="008325BD" w:rsidP="00EE0CF3">
      <w:pPr>
        <w:pStyle w:val="Heading2"/>
        <w:jc w:val="both"/>
        <w:rPr>
          <w:b/>
          <w:bCs/>
          <w:color w:val="auto"/>
        </w:rPr>
      </w:pPr>
      <w:r w:rsidRPr="00385E25">
        <w:rPr>
          <w:b/>
          <w:bCs/>
          <w:color w:val="auto"/>
        </w:rPr>
        <w:t>Agriculture in Iraq under Late Ottoman Rule</w:t>
      </w:r>
    </w:p>
    <w:p w:rsidR="008325BD" w:rsidRPr="00385E25" w:rsidRDefault="008325BD" w:rsidP="00EE0CF3">
      <w:pPr>
        <w:pStyle w:val="NormalWeb"/>
        <w:jc w:val="both"/>
      </w:pPr>
      <w:r w:rsidRPr="00385E25">
        <w:t>Agriculture constituted the backbone of the Iraqi economy during the late Ottoman period (1831–1914), providing the principal source of livelihood for the majority of the population residing in rural areas. The sector was heavily dependent on the Tigris and Euphrates river systems, which historically supported some of the most productive agricultural lands in the Middle East. Despite these natural advantages, agricultural development remained limited due to a combination of institutional, administrative, and environmental constraints. The absence of effective land governance, inadequate irrigation infrastructure, heavy taxation, and persistent insecurity significantly undermined agricultural productivit</w:t>
      </w:r>
      <w:r w:rsidR="00CD0991">
        <w:t>y and rural economic stability</w:t>
      </w:r>
      <w:r w:rsidRPr="00385E25">
        <w:t>.</w:t>
      </w:r>
      <w:r w:rsidR="00064B7A">
        <w:rPr>
          <w:rStyle w:val="FootnoteReference"/>
        </w:rPr>
        <w:footnoteReference w:id="5"/>
      </w:r>
    </w:p>
    <w:p w:rsidR="008325BD" w:rsidRPr="00385E25" w:rsidRDefault="008325BD" w:rsidP="00EE0CF3">
      <w:pPr>
        <w:pStyle w:val="NormalWeb"/>
        <w:jc w:val="both"/>
      </w:pPr>
      <w:r w:rsidRPr="00385E25">
        <w:t xml:space="preserve">One of the most significant obstacles to agricultural development was the weakness of land administration. Throughout much of the Ottoman period, agricultural land was not governed through a comprehensive and transparent system of private property registration. Instead, the Ottoman state primarily viewed land as a fiscal resource whose principal function was to generate revenue for the imperial treasury and support military expenditures. Consequently, government authorities conducted periodic cadastral surveys </w:t>
      </w:r>
      <w:r w:rsidRPr="00385E25">
        <w:lastRenderedPageBreak/>
        <w:t>and population counts to assess taxable resources rather than to establish secure and enforceable property rights. This institutional arrangement created uncertainty regarding land ownership and usage rights, frequently generating disputes among tribal groups, local communities, and Ottoman authorities. The absence of secure land tenure reduced incentives for long-term investment in agricultural improvement and contributed to the persistence of low-</w:t>
      </w:r>
      <w:r w:rsidR="00CD0991">
        <w:t>productivity farming practices.</w:t>
      </w:r>
      <w:r w:rsidR="00CD0991">
        <w:rPr>
          <w:rStyle w:val="FootnoteReference"/>
        </w:rPr>
        <w:footnoteReference w:id="6"/>
      </w:r>
    </w:p>
    <w:p w:rsidR="008325BD" w:rsidRPr="00EE0CF3" w:rsidRDefault="008325BD" w:rsidP="00EE0CF3">
      <w:pPr>
        <w:pStyle w:val="Heading3"/>
        <w:jc w:val="both"/>
        <w:rPr>
          <w:b/>
          <w:bCs/>
          <w:color w:val="auto"/>
        </w:rPr>
      </w:pPr>
      <w:r w:rsidRPr="00EE0CF3">
        <w:rPr>
          <w:b/>
          <w:bCs/>
          <w:color w:val="auto"/>
        </w:rPr>
        <w:t>Land Tenure and Fiscal Extraction</w:t>
      </w:r>
    </w:p>
    <w:p w:rsidR="008325BD" w:rsidRPr="00385E25" w:rsidRDefault="008325BD" w:rsidP="00EE0CF3">
      <w:pPr>
        <w:pStyle w:val="NormalWeb"/>
        <w:jc w:val="both"/>
      </w:pPr>
      <w:r w:rsidRPr="00385E25">
        <w:t>The organization of agricultural land in Iraq was closely connected to the Ottoman state's broader fiscal and administrative objectives. Land was generally administered through systems designed to maximize tax collection and maintain political control rather than to encourage agricultural development. Two principal mechanisms dominated the management of agricultural resources: the timar-based land allocation system and tax-farming arrangements.</w:t>
      </w:r>
      <w:r w:rsidR="00CD0991">
        <w:rPr>
          <w:rStyle w:val="FootnoteReference"/>
        </w:rPr>
        <w:footnoteReference w:id="7"/>
      </w:r>
      <w:r w:rsidR="00CD0991">
        <w:br/>
      </w:r>
      <w:r w:rsidRPr="00385E25">
        <w:t>The first mechanism was the traditional Ottoman land-tenure system, which allocated revenues from agricultural land to state officials, military commanders, and local elites in exchange for administrative or military services. Large estates (has), medium-sized holdings (zeamet), and smaller timar grants formed a hierarchical structure through which agricultural revenues were extracted. While this system enabled the Ottoman state to finance military activities without maintaining a large standing army, it also transferred substantial economic power to local intermediaries. Peasants were often required to provide labor, agricultural output, and, in some cases, military service, reducing their capacity to accumulate capital and invest in productive improvements.</w:t>
      </w:r>
      <w:r w:rsidR="00CD0991">
        <w:rPr>
          <w:rStyle w:val="FootnoteReference"/>
        </w:rPr>
        <w:footnoteReference w:id="8"/>
      </w:r>
    </w:p>
    <w:p w:rsidR="008325BD" w:rsidRPr="00385E25" w:rsidRDefault="008325BD" w:rsidP="00EE0CF3">
      <w:pPr>
        <w:pStyle w:val="NormalWeb"/>
        <w:jc w:val="both"/>
      </w:pPr>
      <w:r w:rsidRPr="00385E25">
        <w:t>A second mechanism involved tax farming (iltizam), whereby private individuals or local notables acquired the right to collect taxes on behalf of the state. Tax farmers were responsible for transferring a predetermined portion of revenues to the central treasury while retaining the remaining surplus. Although this arrangement enhanced short-term fiscal revenues, it frequently encouraged excessive extraction from rural producers. Since tax farmers were primarily interested in maximizing immediate returns, they often neglected investments in irrigation systems, land improvement, and rural infrastructure. As a result, agricultural communities experienced increasing economic pressures that weakened long-term productivity and rural welfare.</w:t>
      </w:r>
      <w:r w:rsidR="00CD0991">
        <w:rPr>
          <w:rStyle w:val="FootnoteReference"/>
        </w:rPr>
        <w:footnoteReference w:id="9"/>
      </w:r>
    </w:p>
    <w:p w:rsidR="008325BD" w:rsidRPr="00EE0CF3" w:rsidRDefault="008325BD" w:rsidP="00EE0CF3">
      <w:pPr>
        <w:pStyle w:val="Heading3"/>
        <w:jc w:val="both"/>
        <w:rPr>
          <w:b/>
          <w:bCs/>
          <w:color w:val="auto"/>
        </w:rPr>
      </w:pPr>
      <w:r w:rsidRPr="00EE0CF3">
        <w:rPr>
          <w:b/>
          <w:bCs/>
          <w:color w:val="auto"/>
        </w:rPr>
        <w:lastRenderedPageBreak/>
        <w:t>Irrigation and Agricultural Productivity</w:t>
      </w:r>
    </w:p>
    <w:p w:rsidR="008325BD" w:rsidRPr="00385E25" w:rsidRDefault="008325BD" w:rsidP="00EE0CF3">
      <w:pPr>
        <w:pStyle w:val="NormalWeb"/>
        <w:jc w:val="both"/>
      </w:pPr>
      <w:r w:rsidRPr="00385E25">
        <w:t>The effectiveness of agricultural production in Iraq depended heavily on irrigation. Although the Tigris and Euphrates rivers provided abundant water resources, the absence of systematic management and maintenance limited their economic potential. Irrigation canals, embankments, and drainage systems frequently deteriorated due to inadequate investment and administrative neglect. Seasonal flooding and periodic droughts further intensified production risks, creating substantial fluctuations in agricultural output.</w:t>
      </w:r>
      <w:r w:rsidR="00CD0991">
        <w:rPr>
          <w:rStyle w:val="FootnoteReference"/>
        </w:rPr>
        <w:footnoteReference w:id="10"/>
      </w:r>
    </w:p>
    <w:p w:rsidR="008325BD" w:rsidRPr="00385E25" w:rsidRDefault="008325BD" w:rsidP="00EE0CF3">
      <w:pPr>
        <w:pStyle w:val="NormalWeb"/>
        <w:jc w:val="both"/>
      </w:pPr>
      <w:r w:rsidRPr="00385E25">
        <w:t>The deterioration of irrigation infrastructure represented a critical structural challenge for the Iraqi economy. Previous studies have demonstrated that the failure to maintain river channels and irrigation networks contributed directly to declining agricultural productivity and increasing rural vulnerability. Although some modernization efforts were undertaken during the late Ottoman period, including limited irrigation projects and the construction of the Hindiya Barrage in 1913, these initiatives were insufficient to address the broader infrastructural deficiencies affecting agricultural production. Consequently, agricultural development remained constrained by environmental instability and weak instituti</w:t>
      </w:r>
      <w:r w:rsidR="00CD0991">
        <w:t>onal capacity</w:t>
      </w:r>
      <w:r w:rsidRPr="00385E25">
        <w:t>.</w:t>
      </w:r>
      <w:r w:rsidR="00CD0991">
        <w:rPr>
          <w:rStyle w:val="FootnoteReference"/>
        </w:rPr>
        <w:footnoteReference w:id="11"/>
      </w:r>
    </w:p>
    <w:p w:rsidR="008325BD" w:rsidRPr="00EE0CF3" w:rsidRDefault="008325BD" w:rsidP="00EE0CF3">
      <w:pPr>
        <w:pStyle w:val="Heading3"/>
        <w:jc w:val="both"/>
        <w:rPr>
          <w:b/>
          <w:bCs/>
          <w:color w:val="auto"/>
        </w:rPr>
      </w:pPr>
      <w:r w:rsidRPr="00EE0CF3">
        <w:rPr>
          <w:b/>
          <w:bCs/>
          <w:color w:val="auto"/>
        </w:rPr>
        <w:t>Economic Consequences for Rural Development</w:t>
      </w:r>
    </w:p>
    <w:p w:rsidR="008325BD" w:rsidRPr="00385E25" w:rsidRDefault="008325BD" w:rsidP="00EE0CF3">
      <w:pPr>
        <w:pStyle w:val="NormalWeb"/>
        <w:jc w:val="both"/>
      </w:pPr>
      <w:r w:rsidRPr="00385E25">
        <w:t>The interaction of insecure land tenure, extractive taxation, and inadequate irrigation generated a cycle of agricultural stagnation. Farmers faced limited incentives to adopt improved production methods because property rights remained uncertain and much of the agricultural surplus was absorbed through taxation. Simultaneously, the absence of substantial state investment in rural infrastructure prevented technological modernization and restricted productivity growth.</w:t>
      </w:r>
      <w:r w:rsidR="00CD0991">
        <w:rPr>
          <w:rStyle w:val="FootnoteReference"/>
        </w:rPr>
        <w:footnoteReference w:id="12"/>
      </w:r>
    </w:p>
    <w:p w:rsidR="008325BD" w:rsidRPr="00385E25" w:rsidRDefault="008325BD" w:rsidP="00EE0CF3">
      <w:pPr>
        <w:pStyle w:val="NormalWeb"/>
        <w:jc w:val="both"/>
      </w:pPr>
      <w:r w:rsidRPr="00385E25">
        <w:t xml:space="preserve">From a historical political economy perspective, these institutional arrangements reflected the priorities of an imperial administration focused primarily on revenue extraction and administrative centralization rather than developmental investment. While agriculture continued to dominate the Iraqi economy throughout the late Ottoman period, its productive potential remained largely unrealized. The resulting weaknesses not only constrained economic growth during the nineteenth century but also contributed to </w:t>
      </w:r>
      <w:r w:rsidRPr="00385E25">
        <w:lastRenderedPageBreak/>
        <w:t>structural challenges that continued to influence Iraq's rural economy in the decades that followed.</w:t>
      </w:r>
      <w:r w:rsidR="00CD0991">
        <w:rPr>
          <w:rStyle w:val="FootnoteReference"/>
        </w:rPr>
        <w:footnoteReference w:id="13"/>
      </w:r>
    </w:p>
    <w:p w:rsidR="008325BD" w:rsidRPr="00385E25" w:rsidRDefault="008325BD" w:rsidP="00EE0CF3">
      <w:pPr>
        <w:jc w:val="both"/>
      </w:pPr>
      <w:r w:rsidRPr="00385E25">
        <w:t>Table 1. Classification of Ottoman Land-Tenure Grants in Iraq during the Late Ottoman Period (1831–1914)</w:t>
      </w:r>
    </w:p>
    <w:tbl>
      <w:tblPr>
        <w:tblStyle w:val="PlainTable1"/>
        <w:tblW w:w="0" w:type="auto"/>
        <w:tblLook w:val="04A0" w:firstRow="1" w:lastRow="0" w:firstColumn="1" w:lastColumn="0" w:noHBand="0" w:noVBand="1"/>
      </w:tblPr>
      <w:tblGrid>
        <w:gridCol w:w="1225"/>
        <w:gridCol w:w="1211"/>
        <w:gridCol w:w="1281"/>
        <w:gridCol w:w="1988"/>
        <w:gridCol w:w="2925"/>
      </w:tblGrid>
      <w:tr w:rsidR="00385E25" w:rsidRPr="008325BD" w:rsidTr="00EE0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rsidR="008325BD" w:rsidRPr="008325BD" w:rsidRDefault="008325BD" w:rsidP="00EE0CF3">
            <w:pPr>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Type of Land Grant</w:t>
            </w:r>
          </w:p>
        </w:tc>
        <w:tc>
          <w:tcPr>
            <w:tcW w:w="0" w:type="auto"/>
            <w:shd w:val="clear" w:color="auto" w:fill="000000" w:themeFill="text1"/>
            <w:hideMark/>
          </w:tcPr>
          <w:p w:rsidR="008325BD" w:rsidRPr="008325BD" w:rsidRDefault="008325BD" w:rsidP="00EE0CF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Ottoman Term</w:t>
            </w:r>
          </w:p>
        </w:tc>
        <w:tc>
          <w:tcPr>
            <w:tcW w:w="0" w:type="auto"/>
            <w:shd w:val="clear" w:color="auto" w:fill="000000" w:themeFill="text1"/>
            <w:hideMark/>
          </w:tcPr>
          <w:p w:rsidR="008325BD" w:rsidRPr="008325BD" w:rsidRDefault="008325BD" w:rsidP="00EE0CF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Annual Revenue (Akçe)</w:t>
            </w:r>
          </w:p>
        </w:tc>
        <w:tc>
          <w:tcPr>
            <w:tcW w:w="0" w:type="auto"/>
            <w:shd w:val="clear" w:color="auto" w:fill="000000" w:themeFill="text1"/>
            <w:hideMark/>
          </w:tcPr>
          <w:p w:rsidR="008325BD" w:rsidRPr="008325BD" w:rsidRDefault="008325BD" w:rsidP="00EE0CF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Allocated To</w:t>
            </w:r>
          </w:p>
        </w:tc>
        <w:tc>
          <w:tcPr>
            <w:tcW w:w="0" w:type="auto"/>
            <w:shd w:val="clear" w:color="auto" w:fill="000000" w:themeFill="text1"/>
            <w:hideMark/>
          </w:tcPr>
          <w:p w:rsidR="008325BD" w:rsidRPr="008325BD" w:rsidRDefault="008325BD" w:rsidP="00EE0CF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Characteristics</w:t>
            </w:r>
          </w:p>
        </w:tc>
      </w:tr>
      <w:tr w:rsidR="00385E25" w:rsidRPr="008325BD"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8325BD" w:rsidRDefault="008325BD" w:rsidP="00EE0CF3">
            <w:pPr>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Large Estates</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85E25">
              <w:rPr>
                <w:rFonts w:ascii="Times New Roman" w:eastAsia="Times New Roman" w:hAnsi="Times New Roman" w:cs="Times New Roman"/>
                <w:b/>
                <w:bCs/>
                <w:sz w:val="24"/>
                <w:szCs w:val="24"/>
              </w:rPr>
              <w:t>Has</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More than 100,000 akçe</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Governors and the Sultan</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Represented major sources of state revenue and were administered as official domains under direct elite control.</w:t>
            </w:r>
          </w:p>
        </w:tc>
      </w:tr>
      <w:tr w:rsidR="00385E25" w:rsidRPr="008325BD"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8325BD" w:rsidRDefault="008325BD" w:rsidP="00EE0CF3">
            <w:pPr>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Medium Estates</w:t>
            </w:r>
          </w:p>
        </w:tc>
        <w:tc>
          <w:tcPr>
            <w:tcW w:w="0" w:type="auto"/>
            <w:hideMark/>
          </w:tcPr>
          <w:p w:rsidR="008325BD" w:rsidRPr="008325BD" w:rsidRDefault="008325BD" w:rsidP="00EE0CF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85E25">
              <w:rPr>
                <w:rFonts w:ascii="Times New Roman" w:eastAsia="Times New Roman" w:hAnsi="Times New Roman" w:cs="Times New Roman"/>
                <w:b/>
                <w:bCs/>
                <w:sz w:val="24"/>
                <w:szCs w:val="24"/>
              </w:rPr>
              <w:t>Zeamet</w:t>
            </w:r>
          </w:p>
        </w:tc>
        <w:tc>
          <w:tcPr>
            <w:tcW w:w="0" w:type="auto"/>
            <w:hideMark/>
          </w:tcPr>
          <w:p w:rsidR="008325BD" w:rsidRPr="008325BD" w:rsidRDefault="008325BD" w:rsidP="00EE0CF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20,000–100,000 akçe</w:t>
            </w:r>
          </w:p>
        </w:tc>
        <w:tc>
          <w:tcPr>
            <w:tcW w:w="0" w:type="auto"/>
            <w:hideMark/>
          </w:tcPr>
          <w:p w:rsidR="008325BD" w:rsidRPr="008325BD" w:rsidRDefault="008325BD" w:rsidP="00EE0CF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Senior military officers and local administrators</w:t>
            </w:r>
          </w:p>
        </w:tc>
        <w:tc>
          <w:tcPr>
            <w:tcW w:w="0" w:type="auto"/>
            <w:hideMark/>
          </w:tcPr>
          <w:p w:rsidR="008325BD" w:rsidRPr="008325BD" w:rsidRDefault="008325BD" w:rsidP="00EE0CF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Holders exercised administrative and military responsibilities within their assigned territories.</w:t>
            </w:r>
          </w:p>
        </w:tc>
      </w:tr>
      <w:tr w:rsidR="00385E25" w:rsidRPr="008325BD"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8325BD" w:rsidRDefault="008325BD" w:rsidP="00EE0CF3">
            <w:pPr>
              <w:jc w:val="both"/>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Small Estates</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85E25">
              <w:rPr>
                <w:rFonts w:ascii="Times New Roman" w:eastAsia="Times New Roman" w:hAnsi="Times New Roman" w:cs="Times New Roman"/>
                <w:b/>
                <w:bCs/>
                <w:sz w:val="24"/>
                <w:szCs w:val="24"/>
              </w:rPr>
              <w:t>Timar</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Up to 20,000 akçe</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Cavalrymen (Sipahis) and lower-ranking soldiers</w:t>
            </w:r>
          </w:p>
        </w:tc>
        <w:tc>
          <w:tcPr>
            <w:tcW w:w="0" w:type="auto"/>
            <w:hideMark/>
          </w:tcPr>
          <w:p w:rsidR="008325BD" w:rsidRPr="008325BD" w:rsidRDefault="008325BD" w:rsidP="00EE0CF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325BD">
              <w:rPr>
                <w:rFonts w:ascii="Times New Roman" w:eastAsia="Times New Roman" w:hAnsi="Times New Roman" w:cs="Times New Roman"/>
                <w:sz w:val="24"/>
                <w:szCs w:val="24"/>
              </w:rPr>
              <w:t>Granted as compensation for military service; holders collected taxes from peasants in return for military obligations.</w:t>
            </w:r>
          </w:p>
        </w:tc>
      </w:tr>
    </w:tbl>
    <w:p w:rsidR="008325BD" w:rsidRPr="00385E25" w:rsidRDefault="008325BD" w:rsidP="00EE0CF3">
      <w:pPr>
        <w:jc w:val="both"/>
      </w:pPr>
    </w:p>
    <w:p w:rsidR="008325BD" w:rsidRPr="00385E25" w:rsidRDefault="008325BD" w:rsidP="00EE0CF3">
      <w:pPr>
        <w:jc w:val="both"/>
      </w:pPr>
      <w:r w:rsidRPr="00385E25">
        <w:t xml:space="preserve">The Ottoman land-tenure system reflected the empire's broader strategy of fiscal extraction and military organization. Rather than promoting agricultural investment or private property rights, land grants were primarily designed to generate revenue and sustain military-administrative structures. The hierarchical division of land into </w:t>
      </w:r>
      <w:r w:rsidRPr="00385E25">
        <w:rPr>
          <w:rStyle w:val="Emphasis"/>
        </w:rPr>
        <w:t>has</w:t>
      </w:r>
      <w:r w:rsidRPr="00385E25">
        <w:t xml:space="preserve">, </w:t>
      </w:r>
      <w:r w:rsidRPr="00385E25">
        <w:rPr>
          <w:rStyle w:val="Emphasis"/>
        </w:rPr>
        <w:t>zeamet</w:t>
      </w:r>
      <w:r w:rsidRPr="00385E25">
        <w:t xml:space="preserve">, and </w:t>
      </w:r>
      <w:r w:rsidRPr="00385E25">
        <w:rPr>
          <w:rStyle w:val="Emphasis"/>
        </w:rPr>
        <w:t>timar</w:t>
      </w:r>
      <w:r w:rsidRPr="00385E25">
        <w:t xml:space="preserve"> estates concentrated economic and political authority in the hands of state officials and military elites. While this arrangement strengthened imperial control over provincial territories, it limited the incentives for long-term agricultural development and infrastructure investment. Consequently, peasants often faced heavy fiscal burdens and insecure tenure arrangements, contributing to lower agricultural productivity and persistent rural inequality. From a historical political economy perspective, the Ottoman land-tenure system functioned as an extractive institution that prioritized state revenue and military mobilization over sustainable economic development.</w:t>
      </w:r>
      <w:r w:rsidR="00CD0991">
        <w:rPr>
          <w:rStyle w:val="FootnoteReference"/>
        </w:rPr>
        <w:footnoteReference w:id="14"/>
      </w:r>
    </w:p>
    <w:p w:rsidR="008325BD" w:rsidRPr="00CD0991" w:rsidRDefault="008325BD" w:rsidP="00EE0CF3">
      <w:pPr>
        <w:pStyle w:val="Heading3"/>
        <w:jc w:val="both"/>
        <w:rPr>
          <w:b/>
          <w:bCs/>
          <w:color w:val="auto"/>
        </w:rPr>
      </w:pPr>
      <w:r w:rsidRPr="00CD0991">
        <w:rPr>
          <w:b/>
          <w:bCs/>
          <w:color w:val="auto"/>
        </w:rPr>
        <w:lastRenderedPageBreak/>
        <w:t>Tax Farming (Iltizam) and Agricultural Administration</w:t>
      </w:r>
    </w:p>
    <w:p w:rsidR="008325BD" w:rsidRPr="00385E25" w:rsidRDefault="008325BD" w:rsidP="00EE0CF3">
      <w:pPr>
        <w:pStyle w:val="NormalWeb"/>
        <w:jc w:val="both"/>
      </w:pPr>
      <w:r w:rsidRPr="00385E25">
        <w:t xml:space="preserve">A second mechanism through which the Ottoman state managed agricultural resources was the </w:t>
      </w:r>
      <w:r w:rsidRPr="00EE0CF3">
        <w:rPr>
          <w:rStyle w:val="Strong"/>
          <w:b w:val="0"/>
          <w:bCs w:val="0"/>
        </w:rPr>
        <w:t>tax-farming system (iltizam)</w:t>
      </w:r>
      <w:r w:rsidRPr="00EE0CF3">
        <w:rPr>
          <w:b/>
          <w:bCs/>
        </w:rPr>
        <w:t>.</w:t>
      </w:r>
      <w:r w:rsidRPr="00385E25">
        <w:t xml:space="preserve"> Under this arrangement, individuals known as </w:t>
      </w:r>
      <w:r w:rsidRPr="00385E25">
        <w:rPr>
          <w:rStyle w:val="Emphasis"/>
          <w:rFonts w:eastAsiaTheme="majorEastAsia"/>
        </w:rPr>
        <w:t>multazims</w:t>
      </w:r>
      <w:r w:rsidRPr="00385E25">
        <w:t xml:space="preserve"> (tax farmers) were granted the right to collect taxes on behalf of the state in exchange for a fixed payment to the imperial treasury. These officials were responsible not only for tax collection but also for maintaining local security, managing financial resources, and ensuring the transfer of revenues to the central government (Kera, 2008). Although the system enabled the Ottoman administration to secure fiscal revenues without expanding its bureaucratic apparatus, it frequently encouraged short-term revenue maximization rather than long-term economic development.</w:t>
      </w:r>
      <w:r w:rsidR="00CD0991">
        <w:rPr>
          <w:rStyle w:val="FootnoteReference"/>
        </w:rPr>
        <w:footnoteReference w:id="15"/>
      </w:r>
    </w:p>
    <w:p w:rsidR="008325BD" w:rsidRPr="00385E25" w:rsidRDefault="008325BD" w:rsidP="00EE0CF3">
      <w:pPr>
        <w:pStyle w:val="NormalWeb"/>
        <w:jc w:val="both"/>
      </w:pPr>
      <w:r w:rsidRPr="00385E25">
        <w:t xml:space="preserve">Because tax farmers derived their income from the surplus remaining after fulfilling their obligations to the state, they possessed strong incentives to increase tax extraction from rural producers. This often resulted in excessive fiscal burdens on peasants and discouraged investment in agricultural improvement. Furthermore, the temporary nature of tax-farming contracts reduced incentives to invest in irrigation systems, land reclamation, or rural infrastructure. Consequently, the </w:t>
      </w:r>
      <w:r w:rsidRPr="00385E25">
        <w:rPr>
          <w:rStyle w:val="Emphasis"/>
          <w:rFonts w:eastAsiaTheme="majorEastAsia"/>
        </w:rPr>
        <w:t>iltizam</w:t>
      </w:r>
      <w:r w:rsidRPr="00385E25">
        <w:t xml:space="preserve"> system contributed to institutional inefficiencies that constrained agricultural productivity and reinforced patterns of rural underdevelopment.</w:t>
      </w:r>
      <w:r w:rsidR="00CD0991">
        <w:rPr>
          <w:rStyle w:val="FootnoteReference"/>
        </w:rPr>
        <w:footnoteReference w:id="16"/>
      </w:r>
    </w:p>
    <w:p w:rsidR="008325BD" w:rsidRPr="00EE0CF3" w:rsidRDefault="008325BD" w:rsidP="00EE0CF3">
      <w:pPr>
        <w:pStyle w:val="Heading3"/>
        <w:jc w:val="both"/>
        <w:rPr>
          <w:b/>
          <w:bCs/>
          <w:color w:val="auto"/>
        </w:rPr>
      </w:pPr>
      <w:r w:rsidRPr="00EE0CF3">
        <w:rPr>
          <w:b/>
          <w:bCs/>
          <w:color w:val="auto"/>
        </w:rPr>
        <w:t>Consequences of the Ottoman Land-Tenure System</w:t>
      </w:r>
    </w:p>
    <w:p w:rsidR="008325BD" w:rsidRPr="00385E25" w:rsidRDefault="008325BD" w:rsidP="00EE0CF3">
      <w:pPr>
        <w:pStyle w:val="NormalWeb"/>
        <w:jc w:val="both"/>
      </w:pPr>
      <w:r w:rsidRPr="00385E25">
        <w:t xml:space="preserve">The Ottoman land-tenure system played an important role in supporting the empire’s military and administrative structure, particularly through the maintenance of the cavalry forces known as the </w:t>
      </w:r>
      <w:r w:rsidRPr="00385E25">
        <w:rPr>
          <w:rStyle w:val="Emphasis"/>
          <w:rFonts w:eastAsiaTheme="majorEastAsia"/>
        </w:rPr>
        <w:t>Sipahis</w:t>
      </w:r>
      <w:r w:rsidRPr="00385E25">
        <w:t>. Financing for these military units was largely derived from revenues generated by agricultural lands. While the system strengthened imperial authority and military capacity, it also produced several adverse economic consequences for rural Iraq.</w:t>
      </w:r>
      <w:r w:rsidR="00CD0991">
        <w:rPr>
          <w:rStyle w:val="FootnoteReference"/>
        </w:rPr>
        <w:footnoteReference w:id="17"/>
      </w:r>
    </w:p>
    <w:p w:rsidR="008325BD" w:rsidRPr="00385E25" w:rsidRDefault="008325BD" w:rsidP="00EE0CF3">
      <w:pPr>
        <w:pStyle w:val="NormalWeb"/>
        <w:jc w:val="both"/>
      </w:pPr>
      <w:r w:rsidRPr="00385E25">
        <w:t xml:space="preserve">The concentration of land revenues in the hands of military and administrative elites reduced the incentives for productive agricultural investment. Peasants frequently faced high fiscal obligations while receiving limited institutional support for improving agricultural output. Moreover, the allocation of resources toward military purposes diverted attention away from rural infrastructure development, particularly irrigation canals, embankments, and water-management systems. The neglect of these essential </w:t>
      </w:r>
      <w:r w:rsidRPr="00385E25">
        <w:lastRenderedPageBreak/>
        <w:t>investments contributed to declining agricultural productivity, increased rural poverty, and growing instability within farming communities. In many regions, deteriorating economic conditions encouraged migration and the abandonment of agricultural lands, further reducing productive capacit</w:t>
      </w:r>
      <w:r w:rsidR="00A4241D">
        <w:t>y.</w:t>
      </w:r>
      <w:r w:rsidR="00A4241D">
        <w:rPr>
          <w:rStyle w:val="FootnoteReference"/>
        </w:rPr>
        <w:footnoteReference w:id="18"/>
      </w:r>
    </w:p>
    <w:p w:rsidR="008325BD" w:rsidRPr="00385E25" w:rsidRDefault="008325BD" w:rsidP="00EE0CF3">
      <w:pPr>
        <w:pStyle w:val="NormalWeb"/>
        <w:jc w:val="both"/>
      </w:pPr>
      <w:r w:rsidRPr="00385E25">
        <w:t>From a historical political economy perspective, the Ottoman land-tenure and tax-farming systems functioned primarily as mechanisms of fiscal extraction and political control rather than instruments of economic development. Although they provided short-term benefits for the imperial administration, they limited the emergence of secure property rights, productive investment, and sustainable agricultural growth.</w:t>
      </w:r>
      <w:r w:rsidR="00CD0991">
        <w:rPr>
          <w:rStyle w:val="FootnoteReference"/>
        </w:rPr>
        <w:footnoteReference w:id="19"/>
      </w:r>
    </w:p>
    <w:p w:rsidR="008325BD" w:rsidRPr="00EE0CF3" w:rsidRDefault="008325BD" w:rsidP="00EE0CF3">
      <w:pPr>
        <w:pStyle w:val="Heading2"/>
        <w:jc w:val="both"/>
        <w:rPr>
          <w:b/>
          <w:bCs/>
          <w:color w:val="auto"/>
        </w:rPr>
      </w:pPr>
      <w:r w:rsidRPr="00EE0CF3">
        <w:rPr>
          <w:b/>
          <w:bCs/>
          <w:color w:val="auto"/>
        </w:rPr>
        <w:t>Industrial Development and Economic Constraints</w:t>
      </w:r>
    </w:p>
    <w:p w:rsidR="008325BD" w:rsidRPr="00385E25" w:rsidRDefault="008325BD" w:rsidP="00EE0CF3">
      <w:pPr>
        <w:pStyle w:val="NormalWeb"/>
        <w:jc w:val="both"/>
      </w:pPr>
      <w:r w:rsidRPr="00385E25">
        <w:t>Industrial development in Iraq during the late Ottoman period remained limited and was largely confined to traditional handicrafts and small-scale manufacturing activities. Industries such as textile weaving, leather tanning, blacksmithing, woodworking, and other artisanal crafts constituted the primary forms of industrial production. Despite their historical importance, these sectors experienced increasing difficulties during the nineteenth century as Iraq became more deeply integrated into global markets.</w:t>
      </w:r>
      <w:r w:rsidR="00A4241D">
        <w:t xml:space="preserve"> </w:t>
      </w:r>
      <w:r w:rsidRPr="00385E25">
        <w:t>Several factors contributed to the decline of local industries. Political instability, weak infrastructure, limited access to capital, and the absence of industrial modernization reduced the competitiveness of domestic production. More importantly, Ottoman trade policies facilitated the influx of European manufactured goods into Iraqi markets. Commercial agreements and reduced customs duties on imported products enabled European merchants to expand their presence within the region, creating intense c</w:t>
      </w:r>
      <w:r w:rsidR="00A4241D">
        <w:t>ompetition for local producers.</w:t>
      </w:r>
      <w:r w:rsidR="00A4241D">
        <w:rPr>
          <w:rStyle w:val="FootnoteReference"/>
        </w:rPr>
        <w:footnoteReference w:id="20"/>
      </w:r>
    </w:p>
    <w:p w:rsidR="008325BD" w:rsidRPr="00385E25" w:rsidRDefault="008325BD" w:rsidP="00EE0CF3">
      <w:pPr>
        <w:pStyle w:val="NormalWeb"/>
        <w:jc w:val="both"/>
      </w:pPr>
      <w:r w:rsidRPr="00385E25">
        <w:t>The growing availability of cheaper and often higher-quality imported goods undermined many traditional industries that had previously served local and regional markets. Textile production, metalworking, and other artisanal activities gradually lost market share as consumers increasingly relied on imported manufactured products. As a result, Iraq experienced a process of deindustrialization characterized by the decline of domestic manufacturing and increasing dependence on foreign industrial goods.</w:t>
      </w:r>
      <w:r w:rsidR="00A4241D">
        <w:t xml:space="preserve"> </w:t>
      </w:r>
      <w:r w:rsidRPr="00385E25">
        <w:t xml:space="preserve">This development reflected a broader pattern observed across many Ottoman provinces during the nineteenth century, where integration into the global capitalist economy occurred primarily through the export of raw materials and the import of manufactured products. Consequently, Iraq’s industrial sector remained structurally weak and unable to generate the technological </w:t>
      </w:r>
      <w:r w:rsidRPr="00385E25">
        <w:lastRenderedPageBreak/>
        <w:t>innovation, employment opportunities, and capital accumulation necessary for sustained economic development.</w:t>
      </w:r>
    </w:p>
    <w:p w:rsidR="008325BD" w:rsidRPr="00385E25" w:rsidRDefault="008325BD" w:rsidP="00EE0CF3">
      <w:pPr>
        <w:pStyle w:val="Heading3"/>
        <w:jc w:val="both"/>
        <w:rPr>
          <w:color w:val="auto"/>
        </w:rPr>
      </w:pPr>
      <w:r w:rsidRPr="00385E25">
        <w:rPr>
          <w:color w:val="auto"/>
        </w:rPr>
        <w:t>Table 2. Classification of Artisans According to Production Organization and Market Reach in Late Ottoman Iraq</w:t>
      </w:r>
    </w:p>
    <w:tbl>
      <w:tblPr>
        <w:tblStyle w:val="PlainTable1"/>
        <w:tblW w:w="0" w:type="auto"/>
        <w:tblLook w:val="04A0" w:firstRow="1" w:lastRow="0" w:firstColumn="1" w:lastColumn="0" w:noHBand="0" w:noVBand="1"/>
      </w:tblPr>
      <w:tblGrid>
        <w:gridCol w:w="1516"/>
        <w:gridCol w:w="3796"/>
        <w:gridCol w:w="3318"/>
      </w:tblGrid>
      <w:tr w:rsidR="00385E25" w:rsidRPr="00385E25" w:rsidTr="00EE0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rsidR="008325BD" w:rsidRPr="00385E25" w:rsidRDefault="008325BD" w:rsidP="00EE0CF3">
            <w:pPr>
              <w:jc w:val="both"/>
            </w:pPr>
            <w:r w:rsidRPr="00385E25">
              <w:rPr>
                <w:b w:val="0"/>
                <w:bCs w:val="0"/>
              </w:rPr>
              <w:t>Category</w:t>
            </w:r>
          </w:p>
        </w:tc>
        <w:tc>
          <w:tcPr>
            <w:tcW w:w="0" w:type="auto"/>
            <w:shd w:val="clear" w:color="auto" w:fill="000000" w:themeFill="text1"/>
            <w:hideMark/>
          </w:tcPr>
          <w:p w:rsidR="008325BD" w:rsidRPr="00385E25" w:rsidRDefault="008325BD"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Workplace and Production Method</w:t>
            </w:r>
          </w:p>
        </w:tc>
        <w:tc>
          <w:tcPr>
            <w:tcW w:w="0" w:type="auto"/>
            <w:shd w:val="clear" w:color="auto" w:fill="000000" w:themeFill="text1"/>
            <w:hideMark/>
          </w:tcPr>
          <w:p w:rsidR="008325BD" w:rsidRPr="00385E25" w:rsidRDefault="008325BD"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Market Scope</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rPr>
                <w:b w:val="0"/>
                <w:bCs w:val="0"/>
              </w:rPr>
            </w:pPr>
            <w:r w:rsidRPr="00385E25">
              <w:t>Independent Artisans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Operated from private workshops or homes using their own tools and purchasing raw materials independently.</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Limited local markets within towns and cities.</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Workshop Owners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Managed organized workshops resembling small manufacturing establishments, equipped with multiple production tools and supervised by master craftsmen and workers.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Broader urban and regional markets depending on production capacity.</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Skilled Craftsmen</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Worked independently or in partnership with other artisans and relied on commercial intermediaries (merchants) for product distribution.</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Extensive markets that could extend beyond regional boundaries and, in some cases, include export activities, particularly in carpet, textile, and silk production.</w:t>
            </w:r>
          </w:p>
        </w:tc>
      </w:tr>
    </w:tbl>
    <w:p w:rsidR="008325BD" w:rsidRPr="00385E25" w:rsidRDefault="008325BD" w:rsidP="00EE0CF3">
      <w:pPr>
        <w:pStyle w:val="NormalWeb"/>
        <w:jc w:val="both"/>
      </w:pPr>
      <w:r w:rsidRPr="00385E25">
        <w:rPr>
          <w:rStyle w:val="Strong"/>
        </w:rPr>
        <w:t>Source:</w:t>
      </w:r>
      <w:r w:rsidRPr="00385E25">
        <w:t xml:space="preserve"> Compiled by the author based on Ottoman economic and industrial studies.</w:t>
      </w:r>
    </w:p>
    <w:p w:rsidR="008325BD" w:rsidRPr="00EE0CF3" w:rsidRDefault="008325BD" w:rsidP="00EE0CF3">
      <w:pPr>
        <w:pStyle w:val="Heading3"/>
        <w:jc w:val="both"/>
        <w:rPr>
          <w:b/>
          <w:bCs/>
          <w:color w:val="auto"/>
        </w:rPr>
      </w:pPr>
      <w:r w:rsidRPr="00EE0CF3">
        <w:rPr>
          <w:b/>
          <w:bCs/>
          <w:color w:val="auto"/>
        </w:rPr>
        <w:t>Structure of Artisanal Production in Late Ottoman Iraq</w:t>
      </w:r>
    </w:p>
    <w:p w:rsidR="008325BD" w:rsidRPr="00385E25" w:rsidRDefault="008325BD" w:rsidP="00EE0CF3">
      <w:pPr>
        <w:pStyle w:val="NormalWeb"/>
        <w:jc w:val="both"/>
      </w:pPr>
      <w:r w:rsidRPr="00385E25">
        <w:t>The artisanal sector represented the principal form of industrial activity in Iraq during the late Ottoman period. Production was organized through a diverse range of occupational arrangements, reflecting varying levels of capital investment, labor specialization, and market integration. As shown in Table 2, artisans ranged from small independent producers serving local markets to more organized workshop owners capable of supplying wider regional demand.</w:t>
      </w:r>
      <w:r w:rsidR="00A4241D">
        <w:t xml:space="preserve"> </w:t>
      </w:r>
      <w:r w:rsidRPr="00385E25">
        <w:t>Independent artisans constituted the largest segment of the manufacturing sector. Their activities were generally characterized by low levels of capital accumulation, family-based labor, and limited production capacity. While this organizational structure enabled flexibility and self-employment, it also restricted opportunities for technological innovation and large-scale production. Consequently, most independent artisans remained confined to local urban markets.</w:t>
      </w:r>
      <w:r w:rsidR="00A4241D">
        <w:rPr>
          <w:rStyle w:val="FootnoteReference"/>
        </w:rPr>
        <w:footnoteReference w:id="21"/>
      </w:r>
    </w:p>
    <w:p w:rsidR="008325BD" w:rsidRPr="00385E25" w:rsidRDefault="008325BD" w:rsidP="00EE0CF3">
      <w:pPr>
        <w:pStyle w:val="NormalWeb"/>
        <w:jc w:val="both"/>
      </w:pPr>
      <w:r w:rsidRPr="00385E25">
        <w:t xml:space="preserve">In contrast, workshop owners controlled more complex production arrangements that involved multiple workers and greater specialization. These establishments represented an intermediate stage between traditional handicraft production and early forms of manufacturing. Their ability to coordinate labor and utilize larger production facilities </w:t>
      </w:r>
      <w:r w:rsidRPr="00385E25">
        <w:lastRenderedPageBreak/>
        <w:t>allowed them to access broader commercial networks and respond more effectively to market demand.</w:t>
      </w:r>
      <w:r w:rsidR="00A4241D">
        <w:t xml:space="preserve"> </w:t>
      </w:r>
      <w:r w:rsidRPr="00385E25">
        <w:t>A third category consisted of skilled craftsmen whose products were frequently distributed through merchant networks. These artisans played an important role in linking local production with regional and international trade routes. Industries such as carpet weaving, silk production, and luxury handicrafts occasionally reached export markets, demonstrating that certain sectors possessed the capacity for commercial expansion despite the broader limitations of the Iraqi economy.</w:t>
      </w:r>
      <w:r w:rsidR="00A4241D">
        <w:rPr>
          <w:rStyle w:val="FootnoteReference"/>
        </w:rPr>
        <w:footnoteReference w:id="22"/>
      </w:r>
    </w:p>
    <w:p w:rsidR="008325BD" w:rsidRPr="00385E25" w:rsidRDefault="008325BD" w:rsidP="00EE0CF3">
      <w:pPr>
        <w:pStyle w:val="NormalWeb"/>
        <w:jc w:val="both"/>
      </w:pPr>
      <w:r w:rsidRPr="00385E25">
        <w:t>Nevertheless, the overall structure of artisanal production remained dominated by small-scale enterprises characterized by limited mechanization, weak access to capital, and dependence on traditional production techniques. As European manufactured goods increasingly entered Ottoman markets during the nineteenth century, these structural weaknesses reduced the competitiveness of local industries and contributed to their gradual decline. The inability of the artisanal sector to transition toward modern industrial production became one of the defining characteristics of Iraq’s economic experience during the late Ottoman era.</w:t>
      </w:r>
      <w:r w:rsidR="00A4241D">
        <w:rPr>
          <w:rStyle w:val="FootnoteReference"/>
        </w:rPr>
        <w:footnoteReference w:id="23"/>
      </w:r>
    </w:p>
    <w:p w:rsidR="008325BD" w:rsidRPr="00EE0CF3" w:rsidRDefault="008325BD" w:rsidP="00EE0CF3">
      <w:pPr>
        <w:pStyle w:val="Heading3"/>
        <w:jc w:val="both"/>
        <w:rPr>
          <w:b/>
          <w:bCs/>
          <w:color w:val="auto"/>
        </w:rPr>
      </w:pPr>
      <w:r w:rsidRPr="00EE0CF3">
        <w:rPr>
          <w:b/>
          <w:bCs/>
          <w:color w:val="auto"/>
        </w:rPr>
        <w:t>Labor Conditions and the Organization of Artisanal Production</w:t>
      </w:r>
    </w:p>
    <w:p w:rsidR="008325BD" w:rsidRPr="00385E25" w:rsidRDefault="008325BD" w:rsidP="00EE0CF3">
      <w:pPr>
        <w:pStyle w:val="NormalWeb"/>
        <w:jc w:val="both"/>
      </w:pPr>
      <w:r w:rsidRPr="00385E25">
        <w:t>The artisanal sector in late Ottoman Iraq operated under conditions characterized by economic vulnerability and limited institutional support. Available evidence suggests that artisans faced multiple fiscal burdens, including various direct and indirect taxes that reduced their incomes and constrained their capacity for capital accumulation. In addition to these financial pressures, working conditions were often difficult, with limited regulatory oversight, minimal social protection, and a lack of institutional mechanisms to support technological advan</w:t>
      </w:r>
      <w:r w:rsidR="00A4241D">
        <w:t>cement or occupational welfare</w:t>
      </w:r>
      <w:r w:rsidRPr="00385E25">
        <w:t>.</w:t>
      </w:r>
      <w:r w:rsidR="00A4241D">
        <w:rPr>
          <w:rStyle w:val="FootnoteReference"/>
        </w:rPr>
        <w:footnoteReference w:id="24"/>
      </w:r>
    </w:p>
    <w:p w:rsidR="008325BD" w:rsidRPr="00385E25" w:rsidRDefault="008325BD" w:rsidP="00EE0CF3">
      <w:pPr>
        <w:pStyle w:val="NormalWeb"/>
        <w:jc w:val="both"/>
      </w:pPr>
      <w:r w:rsidRPr="00385E25">
        <w:t xml:space="preserve">The organization of artisanal production varied according to the scale of operations and access to resources. Most craftsmen worked in small workshops or privately owned establishments where production relied on traditional tools, family labor, and locally acquired raw materials. These enterprises constituted the dominant form of manufacturing activity in urban centers. At the same time, a smaller segment of the workforce was employed in larger productive establishments, including oil presses, tanneries, and gunpowder factories, where workers typically received daily wages or fixed salaries. </w:t>
      </w:r>
      <w:r w:rsidRPr="00385E25">
        <w:lastRenderedPageBreak/>
        <w:t>Another category of artisans specialized in transforming raw materials such as wool, cotton, and leather into finished goods for local an</w:t>
      </w:r>
      <w:r w:rsidR="00505B3D">
        <w:t>d regional markets</w:t>
      </w:r>
      <w:r w:rsidRPr="00385E25">
        <w:t>.</w:t>
      </w:r>
      <w:r w:rsidR="00505B3D">
        <w:rPr>
          <w:rStyle w:val="FootnoteReference"/>
        </w:rPr>
        <w:footnoteReference w:id="25"/>
      </w:r>
    </w:p>
    <w:p w:rsidR="008325BD" w:rsidRPr="00385E25" w:rsidRDefault="008325BD" w:rsidP="00EE0CF3">
      <w:pPr>
        <w:pStyle w:val="NormalWeb"/>
        <w:jc w:val="both"/>
      </w:pPr>
      <w:r w:rsidRPr="00385E25">
        <w:t>Despite the diversity of production arrangements, the artisanal sector remained constrained by limited access to investment capital, technological innovation, and institutional support. These structural weaknesses reduced the ability of local producers to compete with imported manufactured goods, particularly as Iraq became increasingly integrated into international markets during the nineteenth century. Consequently, traditional industries experienced growing economic pressures that contributed to their gradual decline.</w:t>
      </w:r>
      <w:r w:rsidR="00A4241D">
        <w:rPr>
          <w:rStyle w:val="FootnoteReference"/>
        </w:rPr>
        <w:footnoteReference w:id="26"/>
      </w:r>
    </w:p>
    <w:p w:rsidR="008325BD" w:rsidRPr="00EE0CF3" w:rsidRDefault="008325BD" w:rsidP="00EE0CF3">
      <w:pPr>
        <w:pStyle w:val="Heading2"/>
        <w:jc w:val="both"/>
        <w:rPr>
          <w:b/>
          <w:bCs/>
          <w:color w:val="auto"/>
        </w:rPr>
      </w:pPr>
      <w:r w:rsidRPr="00EE0CF3">
        <w:rPr>
          <w:b/>
          <w:bCs/>
          <w:color w:val="auto"/>
        </w:rPr>
        <w:t>Trade and Commercial Integration</w:t>
      </w:r>
    </w:p>
    <w:p w:rsidR="008325BD" w:rsidRPr="00385E25" w:rsidRDefault="008325BD" w:rsidP="00EE0CF3">
      <w:pPr>
        <w:pStyle w:val="NormalWeb"/>
        <w:jc w:val="both"/>
      </w:pPr>
      <w:r w:rsidRPr="00385E25">
        <w:t>Trade represented one of the most dynamic sectors of the Iraqi economy during the late Ottoman period. Owing to its strategic geographical location, Iraq served as an important commercial corridor linking the Persian Gulf, the Arabian Peninsula, Anatolia, South Asia, and Europe. Commercial activity expanded significantly during the nineteenth century as improvements in transportation, increased agricultural production, and the gradual integration of regional markets facilitated the</w:t>
      </w:r>
      <w:r w:rsidR="00505B3D">
        <w:t xml:space="preserve"> movement of goods and capital. </w:t>
      </w:r>
      <w:r w:rsidRPr="00385E25">
        <w:t>An important characteristic of Iraq's commercial development was the growth of import trade before the expansion of exports. Manufactured goods from Europe and North America entered Iraqi markets in increasing quantities before Iraq developed a substantial export-oriented economy. This pattern reflected the broader incorporation of Ottoman provinces into the global capitalist system, where peripheral economies increasingly relied on imported manufactured products while exporting agricultural commodities and raw materials. Internal developments, including improved security conditions and agricultural expansion, combined with external factors such as the opening of the Suez Canal in 1869, accelerated this process of commercial integration.</w:t>
      </w:r>
      <w:r w:rsidR="00505B3D">
        <w:rPr>
          <w:rStyle w:val="FootnoteReference"/>
        </w:rPr>
        <w:footnoteReference w:id="27"/>
      </w:r>
    </w:p>
    <w:p w:rsidR="008325BD" w:rsidRPr="00385E25" w:rsidRDefault="008325BD" w:rsidP="00EE0CF3">
      <w:pPr>
        <w:pStyle w:val="NormalWeb"/>
        <w:jc w:val="both"/>
      </w:pPr>
      <w:r w:rsidRPr="00385E25">
        <w:t xml:space="preserve">The opening of the Suez Canal significantly reduced transportation costs and shortened travel times between Europe and Asia, thereby increasing the volume of maritime trade passing through the Persian Gulf. Lower transportation costs stimulated import growth by making foreign goods more accessible and affordable in Iraqi markets. At the same time, expanding export revenues generated additional purchasing power that further encouraged </w:t>
      </w:r>
      <w:r w:rsidRPr="00385E25">
        <w:lastRenderedPageBreak/>
        <w:t>commercial exchange. Consequently, Iraq became increasingly integrated into global trade networks during the late nineteenth century.</w:t>
      </w:r>
      <w:r w:rsidR="00505B3D">
        <w:rPr>
          <w:rStyle w:val="FootnoteReference"/>
        </w:rPr>
        <w:footnoteReference w:id="28"/>
      </w:r>
    </w:p>
    <w:p w:rsidR="008325BD" w:rsidRPr="00385E25" w:rsidRDefault="008325BD" w:rsidP="00EE0CF3">
      <w:pPr>
        <w:pStyle w:val="NormalWeb"/>
        <w:jc w:val="both"/>
      </w:pPr>
      <w:r w:rsidRPr="00385E25">
        <w:t xml:space="preserve">Much of this commercial activity was concentrated in the port of Basra, which functioned as the principal gateway for maritime trade. Statistical records covering the period between 1864 and 1913 indicate that available trade data largely reflect seaborne imports passing through Basra, while substantial volumes of overland trade remain difficult to quantify due to limited documentation (Fleming, 2002). Nevertheless, the available evidence demonstrates the growing importance of international commerce in shaping the economic </w:t>
      </w:r>
      <w:r w:rsidR="00505B3D">
        <w:t xml:space="preserve">structure of late Ottoman Iraq. </w:t>
      </w:r>
      <w:r w:rsidRPr="00385E25">
        <w:t>From a historical political economy perspective, the expansion of trade generated both opportunities and challenges. While commercial integration increased market access and connected Iraq to global economic networks, it also intensified dependence on foreign manufactured goods and exposed local producers to international competition. The resulting asymmetrical relationship contributed to the weakening of domestic industries and reinforced Iraq's position as a supplier of agricultural products and raw materials rather than a center of industrial production.</w:t>
      </w:r>
      <w:r w:rsidR="00505B3D">
        <w:rPr>
          <w:rStyle w:val="FootnoteReference"/>
        </w:rPr>
        <w:footnoteReference w:id="29"/>
      </w:r>
    </w:p>
    <w:p w:rsidR="008325BD" w:rsidRPr="00385E25" w:rsidRDefault="008325BD" w:rsidP="00EE0CF3">
      <w:pPr>
        <w:pStyle w:val="Heading3"/>
        <w:jc w:val="both"/>
        <w:rPr>
          <w:color w:val="auto"/>
        </w:rPr>
      </w:pPr>
      <w:r w:rsidRPr="00385E25">
        <w:rPr>
          <w:color w:val="auto"/>
        </w:rPr>
        <w:t>Table 3. Principal Iraqi Agricultural Exports and Their International Markets (1911–1913)</w:t>
      </w:r>
    </w:p>
    <w:tbl>
      <w:tblPr>
        <w:tblStyle w:val="PlainTable1"/>
        <w:tblW w:w="0" w:type="auto"/>
        <w:tblLook w:val="04A0" w:firstRow="1" w:lastRow="0" w:firstColumn="1" w:lastColumn="0" w:noHBand="0" w:noVBand="1"/>
      </w:tblPr>
      <w:tblGrid>
        <w:gridCol w:w="2146"/>
        <w:gridCol w:w="3222"/>
        <w:gridCol w:w="3262"/>
      </w:tblGrid>
      <w:tr w:rsidR="00385E25" w:rsidRPr="00385E25" w:rsidTr="00EE0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rsidR="008325BD" w:rsidRPr="00385E25" w:rsidRDefault="008325BD" w:rsidP="00EE0CF3">
            <w:pPr>
              <w:jc w:val="both"/>
            </w:pPr>
            <w:r w:rsidRPr="00385E25">
              <w:rPr>
                <w:b w:val="0"/>
                <w:bCs w:val="0"/>
              </w:rPr>
              <w:t>Commodity</w:t>
            </w:r>
          </w:p>
        </w:tc>
        <w:tc>
          <w:tcPr>
            <w:tcW w:w="0" w:type="auto"/>
            <w:shd w:val="clear" w:color="auto" w:fill="000000" w:themeFill="text1"/>
            <w:hideMark/>
          </w:tcPr>
          <w:p w:rsidR="008325BD" w:rsidRPr="00385E25" w:rsidRDefault="008325BD"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Primary Importing Markets</w:t>
            </w:r>
          </w:p>
        </w:tc>
        <w:tc>
          <w:tcPr>
            <w:tcW w:w="0" w:type="auto"/>
            <w:shd w:val="clear" w:color="auto" w:fill="000000" w:themeFill="text1"/>
            <w:hideMark/>
          </w:tcPr>
          <w:p w:rsidR="008325BD" w:rsidRPr="00385E25" w:rsidRDefault="008325BD"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Additional Importing Markets</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rPr>
                <w:b w:val="0"/>
                <w:bCs w:val="0"/>
              </w:rPr>
            </w:pPr>
            <w:r w:rsidRPr="00385E25">
              <w:t>Dates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 India, Ottoman Empire</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Austria-Hungary, United States, Russia, Australia</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Barley</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Britain, India</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Germany</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Wheat</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 India</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Germany</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Rice</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Britain, Ottoman Empire, Gulf Ports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Germany</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Millet, Sorghum, and Maize</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 India, Gulf Ports, Mediterranean Ports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No significant change</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Sesame</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Britain, India, Gulf Ports, Mediterranean Ports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France</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Gallnuts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Remained primarily exported to Britain</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Gum</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Britain</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France, Germany</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Wool</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France, Germany, United States</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Goat Hair</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Britain</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France, Germany, United States</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Tanned Leather</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Germany</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Liquorice Root</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United States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Remained primarily exported to the United States</w:t>
            </w:r>
          </w:p>
        </w:tc>
      </w:tr>
    </w:tbl>
    <w:p w:rsidR="008325BD" w:rsidRPr="00385E25" w:rsidRDefault="008325BD" w:rsidP="00EE0CF3">
      <w:pPr>
        <w:pStyle w:val="NormalWeb"/>
        <w:jc w:val="both"/>
      </w:pPr>
      <w:r w:rsidRPr="00385E25">
        <w:rPr>
          <w:rStyle w:val="Strong"/>
        </w:rPr>
        <w:lastRenderedPageBreak/>
        <w:t>Source:</w:t>
      </w:r>
      <w:r w:rsidRPr="00385E25">
        <w:t xml:space="preserve"> Compiled by the author from trade statistics covering the period 1911–1913.</w:t>
      </w:r>
    </w:p>
    <w:p w:rsidR="008325BD" w:rsidRPr="00EE0CF3" w:rsidRDefault="008325BD" w:rsidP="00EE0CF3">
      <w:pPr>
        <w:pStyle w:val="Heading3"/>
        <w:jc w:val="both"/>
        <w:rPr>
          <w:b/>
          <w:bCs/>
          <w:color w:val="auto"/>
        </w:rPr>
      </w:pPr>
      <w:r w:rsidRPr="00EE0CF3">
        <w:rPr>
          <w:b/>
          <w:bCs/>
          <w:color w:val="auto"/>
        </w:rPr>
        <w:t>Export Structure and Commercial Integration</w:t>
      </w:r>
    </w:p>
    <w:p w:rsidR="008325BD" w:rsidRPr="00385E25" w:rsidRDefault="008325BD" w:rsidP="00EE0CF3">
      <w:pPr>
        <w:pStyle w:val="NormalWeb"/>
        <w:jc w:val="both"/>
      </w:pPr>
      <w:r w:rsidRPr="00385E25">
        <w:t>The composition of Iraqi exports during the late Ottoman period reveals the predominantly agrarian character of the economy and its increasing integration into international trade networks. As shown in Table 3, agricultural commodities and raw materials constituted the overwhelming majority of exports. Products such as dates, barley, wheat, rice, sesame, wool, and leather dominated Iraq's export basket, reflecting the limited development of manufacturing industries and the continued dependence of the economy on primary production.</w:t>
      </w:r>
      <w:r w:rsidR="00505B3D">
        <w:t xml:space="preserve"> </w:t>
      </w:r>
      <w:r w:rsidRPr="00385E25">
        <w:t>A notable feature of Iraqi trade was the central role of the British market. Britain emerged as the principal destination for many Iraqi exports, including dates, barley, wheat, wool, goat hair, and gallnuts. This pattern illustrates the growing influence of British commercial interests in the Persian Gulf and highlights Iraq's incorporation into the broader economic framework of the British Empire. At the same time, export destinations gradually diversified to include Germany, France, the United States, Russia, and Austria-Hungary, indicating expanding commercial connections beyond traditional regional markets.</w:t>
      </w:r>
      <w:r w:rsidR="00505B3D">
        <w:rPr>
          <w:rStyle w:val="FootnoteReference"/>
        </w:rPr>
        <w:footnoteReference w:id="30"/>
      </w:r>
    </w:p>
    <w:p w:rsidR="008325BD" w:rsidRPr="00385E25" w:rsidRDefault="008325BD" w:rsidP="00EE0CF3">
      <w:pPr>
        <w:pStyle w:val="NormalWeb"/>
        <w:jc w:val="both"/>
      </w:pPr>
      <w:r w:rsidRPr="00385E25">
        <w:t>The date trade provides a particularly important example of export diversification. Dates represented one of Iraq's most valuable agricultural commodities and were exported to a wide range of international destinations. The expansion of date exports reflects both increasing global demand and the strategic importance of Basra as a commercial gateway linking Iraq with international maritime trade routes. Similar patterns can be observed in the export of wool, goat hair, and other agricultural products, which found growing marke</w:t>
      </w:r>
      <w:r w:rsidR="00505B3D">
        <w:t xml:space="preserve">ts in Europe and North America. </w:t>
      </w:r>
      <w:r w:rsidRPr="00385E25">
        <w:t>From a historical political economy perspective, the export structure demonstrates a pattern commonly associated with peripheral economies integrated into the global capitalist system during the nineteenth century. Iraq primarily exported agricultural commodities and raw materials while importing manufactured goods from industrialized economies. Although participation in international trade generated commercial opportunities and export revenues, it also reinforced structural dependence on foreign markets and limited the development of domestic industrial production.</w:t>
      </w:r>
      <w:r w:rsidR="00505B3D">
        <w:rPr>
          <w:rStyle w:val="FootnoteReference"/>
        </w:rPr>
        <w:footnoteReference w:id="31"/>
      </w:r>
    </w:p>
    <w:p w:rsidR="008325BD" w:rsidRPr="00385E25" w:rsidRDefault="008325BD" w:rsidP="00EE0CF3">
      <w:pPr>
        <w:pStyle w:val="NormalWeb"/>
        <w:jc w:val="both"/>
      </w:pPr>
      <w:r w:rsidRPr="00385E25">
        <w:t>The geographical diversification of export destinations during the early twentieth century suggests that Iraq was becoming increasingly connected to global commercial networks. However, this integration occurred largely on terms favorable to industrialized economies, which benefited from access to Iraqi raw materials while simultaneously expanding markets for their manufactured products. Consequently, the growth of exports did not necessarily translate into broad-based economic development or industrial mo</w:t>
      </w:r>
      <w:r w:rsidR="00505B3D">
        <w:t xml:space="preserve">dernization within Iraq itself. </w:t>
      </w:r>
      <w:r w:rsidRPr="00385E25">
        <w:t xml:space="preserve">The opening of the Suez Canal in 1869 marked a turning point in the commercial history of Iraq and the wider Middle East. Prior to its construction, Iraq </w:t>
      </w:r>
      <w:r w:rsidRPr="00385E25">
        <w:lastRenderedPageBreak/>
        <w:t>imported commercial goods at a rate that substantially exceeded its exports, reflecting the limited integration of local production into international markets. The canal significantly reduced transportation costs and shortened maritime routes between Europe and Asia, thereby enhancing the competitiveness of Iraqi agricultural exports in global markets. As a result, demand for commodities such as dates, cereals, and other agricultural products increased considerably, particularly among European consumers.</w:t>
      </w:r>
      <w:r w:rsidR="007B183F">
        <w:rPr>
          <w:rStyle w:val="FootnoteReference"/>
        </w:rPr>
        <w:footnoteReference w:id="32"/>
      </w:r>
    </w:p>
    <w:p w:rsidR="008325BD" w:rsidRPr="00385E25" w:rsidRDefault="008325BD" w:rsidP="00EE0CF3">
      <w:pPr>
        <w:pStyle w:val="NormalWeb"/>
        <w:jc w:val="both"/>
      </w:pPr>
      <w:r w:rsidRPr="00385E25">
        <w:t>The expansion of international trade following the opening of the canal contributed to a dramatic increase in commercial activity. Import values grew approximately two and a half times during the 1880s compared to the 1860s and continued to rise thereafter, reaching more than fourteen times their earlier levels on the eve of the First World War. This rapid growth illustrates the increasing integration of Iraq into global economic networks and the growing importance of maritime trade through the Persian Gulf.</w:t>
      </w:r>
    </w:p>
    <w:p w:rsidR="008325BD" w:rsidRPr="00385E25" w:rsidRDefault="008325BD" w:rsidP="00EE0CF3">
      <w:pPr>
        <w:pStyle w:val="Heading3"/>
        <w:jc w:val="both"/>
        <w:rPr>
          <w:color w:val="auto"/>
        </w:rPr>
      </w:pPr>
      <w:r w:rsidRPr="00385E25">
        <w:rPr>
          <w:color w:val="auto"/>
        </w:rPr>
        <w:t>Table 4. Major Imported Commodities into Iraq from the Mid-Nineteenth Century to the First World War</w:t>
      </w:r>
    </w:p>
    <w:tbl>
      <w:tblPr>
        <w:tblStyle w:val="PlainTable1"/>
        <w:tblW w:w="0" w:type="auto"/>
        <w:tblLook w:val="04A0" w:firstRow="1" w:lastRow="0" w:firstColumn="1" w:lastColumn="0" w:noHBand="0" w:noVBand="1"/>
      </w:tblPr>
      <w:tblGrid>
        <w:gridCol w:w="1928"/>
        <w:gridCol w:w="3873"/>
        <w:gridCol w:w="2829"/>
      </w:tblGrid>
      <w:tr w:rsidR="00385E25" w:rsidRPr="00385E25" w:rsidTr="00EE0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rsidR="008325BD" w:rsidRPr="00385E25" w:rsidRDefault="008325BD" w:rsidP="00EE0CF3">
            <w:pPr>
              <w:jc w:val="both"/>
            </w:pPr>
            <w:r w:rsidRPr="00385E25">
              <w:rPr>
                <w:b w:val="0"/>
                <w:bCs w:val="0"/>
              </w:rPr>
              <w:t>Category</w:t>
            </w:r>
          </w:p>
        </w:tc>
        <w:tc>
          <w:tcPr>
            <w:tcW w:w="0" w:type="auto"/>
            <w:shd w:val="clear" w:color="auto" w:fill="000000" w:themeFill="text1"/>
            <w:hideMark/>
          </w:tcPr>
          <w:p w:rsidR="008325BD" w:rsidRPr="00385E25" w:rsidRDefault="008325BD"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Imported Commodities</w:t>
            </w:r>
          </w:p>
        </w:tc>
        <w:tc>
          <w:tcPr>
            <w:tcW w:w="0" w:type="auto"/>
            <w:shd w:val="clear" w:color="auto" w:fill="000000" w:themeFill="text1"/>
            <w:hideMark/>
          </w:tcPr>
          <w:p w:rsidR="008325BD" w:rsidRPr="00385E25" w:rsidRDefault="008325BD"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Principal Sources</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rPr>
                <w:b w:val="0"/>
                <w:bCs w:val="0"/>
              </w:rPr>
            </w:pPr>
            <w:r w:rsidRPr="00385E25">
              <w:t>Textiles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Cotton textiles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Britain</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Foodstuffs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Sugar, coffee, tea, wheat, rice</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Russia, Belgium, Germany, Yemen, India</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Raw Materials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Oil sheets, jute bags, coal</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Russia, United States</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Tools and Equipment</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Weapons, saws, files, tools, fishing nets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Britain, Germany</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Household Goods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Tea sets, pottery, glassware</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Various sources</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Machinery</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Clocks, machinery, boats, pumps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Various sources</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Metals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Iron, steel, tin, copper</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Various sources</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Miscellaneous Goods</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Soap, ropes, yarn, candles, cement, dyes, oils, stationery</w:t>
            </w:r>
          </w:p>
        </w:tc>
        <w:tc>
          <w:tcPr>
            <w:tcW w:w="0" w:type="auto"/>
            <w:hideMark/>
          </w:tcPr>
          <w:p w:rsidR="008325BD" w:rsidRPr="00385E25" w:rsidRDefault="008325BD" w:rsidP="00EE0CF3">
            <w:pPr>
              <w:jc w:val="both"/>
              <w:cnfStyle w:val="000000000000" w:firstRow="0" w:lastRow="0" w:firstColumn="0" w:lastColumn="0" w:oddVBand="0" w:evenVBand="0" w:oddHBand="0" w:evenHBand="0" w:firstRowFirstColumn="0" w:firstRowLastColumn="0" w:lastRowFirstColumn="0" w:lastRowLastColumn="0"/>
            </w:pPr>
            <w:r w:rsidRPr="00385E25">
              <w:t>Various sources</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325BD" w:rsidRPr="00385E25" w:rsidRDefault="008325BD" w:rsidP="00EE0CF3">
            <w:pPr>
              <w:jc w:val="both"/>
            </w:pPr>
            <w:r w:rsidRPr="00385E25">
              <w:t>Agricultural Products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Dried lime (Noomi Basra), tobacco, medicinal herbs</w:t>
            </w:r>
          </w:p>
        </w:tc>
        <w:tc>
          <w:tcPr>
            <w:tcW w:w="0" w:type="auto"/>
            <w:hideMark/>
          </w:tcPr>
          <w:p w:rsidR="008325BD" w:rsidRPr="00385E25" w:rsidRDefault="008325BD" w:rsidP="00EE0CF3">
            <w:pPr>
              <w:jc w:val="both"/>
              <w:cnfStyle w:val="000000100000" w:firstRow="0" w:lastRow="0" w:firstColumn="0" w:lastColumn="0" w:oddVBand="0" w:evenVBand="0" w:oddHBand="1" w:evenHBand="0" w:firstRowFirstColumn="0" w:firstRowLastColumn="0" w:lastRowFirstColumn="0" w:lastRowLastColumn="0"/>
            </w:pPr>
            <w:r w:rsidRPr="00385E25">
              <w:t>Oman, India</w:t>
            </w:r>
          </w:p>
        </w:tc>
      </w:tr>
    </w:tbl>
    <w:p w:rsidR="008325BD" w:rsidRPr="00385E25" w:rsidRDefault="008325BD" w:rsidP="00EE0CF3">
      <w:pPr>
        <w:pStyle w:val="NormalWeb"/>
        <w:jc w:val="both"/>
      </w:pPr>
      <w:r w:rsidRPr="00385E25">
        <w:rPr>
          <w:rStyle w:val="Strong"/>
        </w:rPr>
        <w:t>Source:</w:t>
      </w:r>
      <w:r w:rsidRPr="00385E25">
        <w:t xml:space="preserve"> Compiled by the author from trade statistics and historical records relating to Iraqi foreign trade during the late Ottoman period.</w:t>
      </w:r>
    </w:p>
    <w:p w:rsidR="008325BD" w:rsidRPr="00EE0CF3" w:rsidRDefault="008325BD" w:rsidP="00EE0CF3">
      <w:pPr>
        <w:pStyle w:val="Heading3"/>
        <w:jc w:val="both"/>
        <w:rPr>
          <w:b/>
          <w:bCs/>
          <w:color w:val="auto"/>
        </w:rPr>
      </w:pPr>
      <w:r w:rsidRPr="00EE0CF3">
        <w:rPr>
          <w:b/>
          <w:bCs/>
          <w:color w:val="auto"/>
        </w:rPr>
        <w:t>Import Structure and Economic Dependency</w:t>
      </w:r>
    </w:p>
    <w:p w:rsidR="008325BD" w:rsidRPr="00385E25" w:rsidRDefault="008325BD" w:rsidP="00EE0CF3">
      <w:pPr>
        <w:pStyle w:val="NormalWeb"/>
        <w:jc w:val="both"/>
      </w:pPr>
      <w:r w:rsidRPr="00385E25">
        <w:t xml:space="preserve">The composition of imports reveals important features of Iraq's economic structure during the late Ottoman era. As illustrated in Table 4, imported goods included not only luxury and consumer products but also essential industrial inputs, machinery, metals, and manufactured commodities. The predominance of British textiles and European manufactured goods demonstrates the increasing penetration of industrial economies into </w:t>
      </w:r>
      <w:r w:rsidRPr="00385E25">
        <w:lastRenderedPageBreak/>
        <w:t xml:space="preserve">Iraqi markets and highlights the asymmetrical nature of commercial relations between </w:t>
      </w:r>
      <w:r w:rsidR="007B183F">
        <w:t xml:space="preserve">Iraq and industrialized states. </w:t>
      </w:r>
      <w:r w:rsidRPr="00385E25">
        <w:t>A particularly notable feature of Iraqi imports was the growing dependence on foreign manufactured products. Textiles, machinery, tools, and metal products were largely supplied by European producers, while food commodities and raw materials were imported from a diverse range of international sources. This pattern suggests that local industries were unable to satisfy domestic demand for manufactured goods, thereby reinforcing Iraq's dependence on external markets.</w:t>
      </w:r>
      <w:r w:rsidR="007B183F">
        <w:rPr>
          <w:rStyle w:val="FootnoteReference"/>
        </w:rPr>
        <w:footnoteReference w:id="33"/>
      </w:r>
    </w:p>
    <w:p w:rsidR="008325BD" w:rsidRPr="00385E25" w:rsidRDefault="008325BD" w:rsidP="00EE0CF3">
      <w:pPr>
        <w:pStyle w:val="NormalWeb"/>
        <w:jc w:val="both"/>
      </w:pPr>
      <w:r w:rsidRPr="00385E25">
        <w:t>From a historical political economy perspective, the import structure reflected Iraq's position within the global capitalist economy as a supplier of agricultural commodities and a consumer of industrial products. While expanding trade generated access to new technologies, consumer goods, and commercial opportunities, it simultaneously exposed domestic producers to intense foreign competition. The influx of imported manufactured goods contributed to the gradual decline of traditional industries and hindered the emergence of a modern industrial sector capable of com</w:t>
      </w:r>
      <w:r w:rsidR="007B183F">
        <w:t xml:space="preserve">peting with European producers. </w:t>
      </w:r>
      <w:r w:rsidRPr="00385E25">
        <w:t>Consequently, the growth of imports during the late Ottoman period should not be interpreted solely as evidence of economic prosperity. Rather, it also reflected a broader process of economic dependency in which increasing integration into international markets reinforced structural imbalances between agricultural exports and manufactured imports. These developments played a significant role in shaping Iraq's economic trajectory and contributed to the persistence of a largely agrarian and externally dependent economic system on the eve of the twentieth century.</w:t>
      </w:r>
      <w:r w:rsidR="007B183F">
        <w:rPr>
          <w:rStyle w:val="FootnoteReference"/>
        </w:rPr>
        <w:footnoteReference w:id="34"/>
      </w:r>
    </w:p>
    <w:p w:rsidR="00385E25" w:rsidRPr="00EE0CF3" w:rsidRDefault="00385E25" w:rsidP="00EE0CF3">
      <w:pPr>
        <w:pStyle w:val="Heading2"/>
        <w:jc w:val="both"/>
        <w:rPr>
          <w:b/>
          <w:bCs/>
          <w:color w:val="auto"/>
        </w:rPr>
      </w:pPr>
      <w:r w:rsidRPr="00EE0CF3">
        <w:rPr>
          <w:b/>
          <w:bCs/>
          <w:color w:val="auto"/>
        </w:rPr>
        <w:t>Taxation, Fiscal Administration, and Economic Development</w:t>
      </w:r>
    </w:p>
    <w:p w:rsidR="00385E25" w:rsidRPr="00385E25" w:rsidRDefault="00385E25" w:rsidP="00EE0CF3">
      <w:pPr>
        <w:pStyle w:val="NormalWeb"/>
        <w:jc w:val="both"/>
      </w:pPr>
      <w:r w:rsidRPr="00385E25">
        <w:t>Taxation constituted one of the most significant instruments through which the Ottoman state exercised authority over Iraq during the nineteenth and early twentieth centuries. Fiscal revenues were essential for maintaining the imperial administration, financing military expenditures, and supporting the broader objectives of state centralization. Consequently, the Ottoman government imposed a wide range of taxes, including the tithe (</w:t>
      </w:r>
      <w:r w:rsidRPr="00385E25">
        <w:rPr>
          <w:rStyle w:val="Emphasis"/>
        </w:rPr>
        <w:t>ushr</w:t>
      </w:r>
      <w:r w:rsidRPr="00385E25">
        <w:t>) on agricultural production, livestock taxes, property taxes, income-related levies, customs duties, and transportation charges such as bridge tolls. While these measures generated important revenues for the state, they also imposed substantial burdens on local producers and commercial actors, often constraining economic growth and investment.</w:t>
      </w:r>
      <w:r w:rsidR="007B183F">
        <w:rPr>
          <w:rStyle w:val="FootnoteReference"/>
        </w:rPr>
        <w:footnoteReference w:id="35"/>
      </w:r>
    </w:p>
    <w:p w:rsidR="00385E25" w:rsidRPr="00385E25" w:rsidRDefault="00385E25" w:rsidP="00EE0CF3">
      <w:pPr>
        <w:pStyle w:val="NormalWeb"/>
        <w:jc w:val="both"/>
      </w:pPr>
      <w:r w:rsidRPr="00385E25">
        <w:lastRenderedPageBreak/>
        <w:t>A defining feature of Ottoman fiscal administration was the reliance on tax-farming arrangements (</w:t>
      </w:r>
      <w:r w:rsidRPr="00385E25">
        <w:rPr>
          <w:rStyle w:val="Emphasis"/>
        </w:rPr>
        <w:t>iltizam</w:t>
      </w:r>
      <w:r w:rsidRPr="00385E25">
        <w:t xml:space="preserve">), under which tax collection responsibilities were delegated to private individuals or local notables known as </w:t>
      </w:r>
      <w:r w:rsidRPr="00385E25">
        <w:rPr>
          <w:rStyle w:val="Emphasis"/>
        </w:rPr>
        <w:t>multazims</w:t>
      </w:r>
      <w:r w:rsidRPr="00385E25">
        <w:t>. In theory, this system enabled the state to secure revenues efficiently without maintaining an extensive bureaucratic apparatus. In practice, however, the system frequently encouraged corruption, rent-seeking behavior, and excessive extraction. Tax farmers often exploited their positions through arbitrary assessments, bribery, and coercive collection practices, thereby increasing economic pressures on peasants, merchants, and artisans. These practices contributed to growing dissatisfaction among local populations and intensified tensions between provincial communities and sta</w:t>
      </w:r>
      <w:r w:rsidR="007B183F">
        <w:t>te authorities.</w:t>
      </w:r>
      <w:r w:rsidR="007B183F">
        <w:rPr>
          <w:rStyle w:val="FootnoteReference"/>
        </w:rPr>
        <w:footnoteReference w:id="36"/>
      </w:r>
    </w:p>
    <w:p w:rsidR="00385E25" w:rsidRPr="00385E25" w:rsidRDefault="00385E25" w:rsidP="00EE0CF3">
      <w:pPr>
        <w:pStyle w:val="NormalWeb"/>
        <w:jc w:val="both"/>
      </w:pPr>
      <w:r w:rsidRPr="00385E25">
        <w:t>The limitations of state capacity became increasingly evident as tribal resistance and local unrest expanded during the nineteenth century. In response, Ottoman authorities frequently relied on tribal leaders to facilitate tax collection and maintain order in rural areas. While this strategy provided short-term administrative advantages, it reinforced the political influence of tribal elites and weakened the direct authority of the central government. The resulting system created overlapping layers of fiscal authority that often generated inefficiencies and increased transac</w:t>
      </w:r>
      <w:r w:rsidR="007B183F">
        <w:t xml:space="preserve">tion costs for economic actors. </w:t>
      </w:r>
      <w:r w:rsidRPr="00385E25">
        <w:t>Commercial taxation was similarly affected by administrative weaknesses. Customs revenues represented an important source of income for the Ottoman government, particularly as Iraq became more integrated into international trade networks. However, customs administration was frequently undermined by corruption, bribery, and inconsistent enforcement. Merchants often negotiated preferential treatment through informal payments, while customs officials exercised considerable discretion in assessing duties. Such practices reduced transparency and undermined the effectiveness of commercial regulation.</w:t>
      </w:r>
      <w:r w:rsidR="007B183F">
        <w:rPr>
          <w:rStyle w:val="FootnoteReference"/>
        </w:rPr>
        <w:footnoteReference w:id="37"/>
      </w:r>
    </w:p>
    <w:p w:rsidR="00385E25" w:rsidRPr="00385E25" w:rsidRDefault="00385E25" w:rsidP="00EE0CF3">
      <w:pPr>
        <w:pStyle w:val="Heading3"/>
        <w:jc w:val="both"/>
        <w:rPr>
          <w:color w:val="auto"/>
        </w:rPr>
      </w:pPr>
      <w:r w:rsidRPr="00385E25">
        <w:rPr>
          <w:color w:val="auto"/>
        </w:rPr>
        <w:t>Table 5. Major Customs Duties and Tax Regulations in Iraq during the Ottoman Period (1838–1918)</w:t>
      </w:r>
    </w:p>
    <w:tbl>
      <w:tblPr>
        <w:tblStyle w:val="PlainTable1"/>
        <w:tblW w:w="0" w:type="auto"/>
        <w:tblLook w:val="04A0" w:firstRow="1" w:lastRow="0" w:firstColumn="1" w:lastColumn="0" w:noHBand="0" w:noVBand="1"/>
      </w:tblPr>
      <w:tblGrid>
        <w:gridCol w:w="1779"/>
        <w:gridCol w:w="3002"/>
        <w:gridCol w:w="3849"/>
      </w:tblGrid>
      <w:tr w:rsidR="00385E25" w:rsidRPr="00385E25" w:rsidTr="00EE0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rsidR="00385E25" w:rsidRPr="00385E25" w:rsidRDefault="00385E25" w:rsidP="00EE0CF3">
            <w:pPr>
              <w:jc w:val="both"/>
            </w:pPr>
            <w:r w:rsidRPr="00385E25">
              <w:rPr>
                <w:b w:val="0"/>
                <w:bCs w:val="0"/>
              </w:rPr>
              <w:t>Period/Date</w:t>
            </w:r>
          </w:p>
        </w:tc>
        <w:tc>
          <w:tcPr>
            <w:tcW w:w="0" w:type="auto"/>
            <w:shd w:val="clear" w:color="auto" w:fill="000000" w:themeFill="text1"/>
            <w:hideMark/>
          </w:tcPr>
          <w:p w:rsidR="00385E25" w:rsidRPr="00385E25" w:rsidRDefault="00385E25"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Tax or Duty</w:t>
            </w:r>
          </w:p>
        </w:tc>
        <w:tc>
          <w:tcPr>
            <w:tcW w:w="0" w:type="auto"/>
            <w:shd w:val="clear" w:color="auto" w:fill="000000" w:themeFill="text1"/>
            <w:hideMark/>
          </w:tcPr>
          <w:p w:rsidR="00385E25" w:rsidRPr="00385E25" w:rsidRDefault="00385E25" w:rsidP="00EE0CF3">
            <w:pPr>
              <w:jc w:val="both"/>
              <w:cnfStyle w:val="100000000000" w:firstRow="1" w:lastRow="0" w:firstColumn="0" w:lastColumn="0" w:oddVBand="0" w:evenVBand="0" w:oddHBand="0" w:evenHBand="0" w:firstRowFirstColumn="0" w:firstRowLastColumn="0" w:lastRowFirstColumn="0" w:lastRowLastColumn="0"/>
              <w:rPr>
                <w:b w:val="0"/>
                <w:bCs w:val="0"/>
              </w:rPr>
            </w:pPr>
            <w:r w:rsidRPr="00385E25">
              <w:rPr>
                <w:b w:val="0"/>
                <w:bCs w:val="0"/>
              </w:rPr>
              <w:t>Remarks</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rPr>
                <w:b w:val="0"/>
                <w:bCs w:val="0"/>
              </w:rPr>
            </w:pPr>
            <w:r w:rsidRPr="00385E25">
              <w:t>Balta Liman Treaty (1838)</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3% import duty and 9% internal tax (12% total)</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Established customs regulations for British imports into the Ottoman Empire.</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pPr>
            <w:r w:rsidRPr="00385E25">
              <w:t>1861 Reforms</w:t>
            </w:r>
          </w:p>
        </w:tc>
        <w:tc>
          <w:tcPr>
            <w:tcW w:w="0" w:type="auto"/>
            <w:hideMark/>
          </w:tcPr>
          <w:p w:rsidR="00385E25" w:rsidRPr="00385E25" w:rsidRDefault="00385E25" w:rsidP="00EE0CF3">
            <w:pPr>
              <w:jc w:val="both"/>
              <w:cnfStyle w:val="000000000000" w:firstRow="0" w:lastRow="0" w:firstColumn="0" w:lastColumn="0" w:oddVBand="0" w:evenVBand="0" w:oddHBand="0" w:evenHBand="0" w:firstRowFirstColumn="0" w:firstRowLastColumn="0" w:lastRowFirstColumn="0" w:lastRowLastColumn="0"/>
            </w:pPr>
            <w:r w:rsidRPr="00385E25">
              <w:t>8% import duty and 8% export duty, with annual reductions of 1% on exports</w:t>
            </w:r>
          </w:p>
        </w:tc>
        <w:tc>
          <w:tcPr>
            <w:tcW w:w="0" w:type="auto"/>
            <w:hideMark/>
          </w:tcPr>
          <w:p w:rsidR="00385E25" w:rsidRPr="00385E25" w:rsidRDefault="00385E25" w:rsidP="00EE0CF3">
            <w:pPr>
              <w:jc w:val="both"/>
              <w:cnfStyle w:val="000000000000" w:firstRow="0" w:lastRow="0" w:firstColumn="0" w:lastColumn="0" w:oddVBand="0" w:evenVBand="0" w:oddHBand="0" w:evenHBand="0" w:firstRowFirstColumn="0" w:firstRowLastColumn="0" w:lastRowFirstColumn="0" w:lastRowLastColumn="0"/>
            </w:pPr>
            <w:r w:rsidRPr="00385E25">
              <w:t>Export duties were gradually reduced, while import duties remained largely unchanged.</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pPr>
            <w:r w:rsidRPr="00385E25">
              <w:t>Pre-British Occupation</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Export duties reduced to 1% and later abolished in certain sectors</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Policies increasingly favored foreign commercial interests and concessions.</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pPr>
            <w:r w:rsidRPr="00385E25">
              <w:lastRenderedPageBreak/>
              <w:t>British Occupation (1914–1918)</w:t>
            </w:r>
          </w:p>
        </w:tc>
        <w:tc>
          <w:tcPr>
            <w:tcW w:w="0" w:type="auto"/>
            <w:hideMark/>
          </w:tcPr>
          <w:p w:rsidR="00385E25" w:rsidRPr="00385E25" w:rsidRDefault="00385E25" w:rsidP="00EE0CF3">
            <w:pPr>
              <w:jc w:val="both"/>
              <w:cnfStyle w:val="000000000000" w:firstRow="0" w:lastRow="0" w:firstColumn="0" w:lastColumn="0" w:oddVBand="0" w:evenVBand="0" w:oddHBand="0" w:evenHBand="0" w:firstRowFirstColumn="0" w:firstRowLastColumn="0" w:lastRowFirstColumn="0" w:lastRowLastColumn="0"/>
            </w:pPr>
            <w:r w:rsidRPr="00385E25">
              <w:t>Import duties reduced to 10%; export duties abolished</w:t>
            </w:r>
          </w:p>
        </w:tc>
        <w:tc>
          <w:tcPr>
            <w:tcW w:w="0" w:type="auto"/>
            <w:hideMark/>
          </w:tcPr>
          <w:p w:rsidR="00385E25" w:rsidRPr="00385E25" w:rsidRDefault="00385E25" w:rsidP="00EE0CF3">
            <w:pPr>
              <w:jc w:val="both"/>
              <w:cnfStyle w:val="000000000000" w:firstRow="0" w:lastRow="0" w:firstColumn="0" w:lastColumn="0" w:oddVBand="0" w:evenVBand="0" w:oddHBand="0" w:evenHBand="0" w:firstRowFirstColumn="0" w:firstRowLastColumn="0" w:lastRowFirstColumn="0" w:lastRowLastColumn="0"/>
            </w:pPr>
            <w:r w:rsidRPr="00385E25">
              <w:t>Measures facilitated foreign commercial activity and investment.</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pPr>
            <w:r w:rsidRPr="00385E25">
              <w:t>Ottoman Period</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Tribal transit taxes (</w:t>
            </w:r>
            <w:r w:rsidRPr="00385E25">
              <w:rPr>
                <w:rStyle w:val="Emphasis"/>
              </w:rPr>
              <w:t>Khawa</w:t>
            </w:r>
            <w:r w:rsidRPr="00385E25">
              <w:t>) imposed on commercial goods</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Levied on goods passing through tribal territories, particularly between Basra and Baghdad.</w:t>
            </w:r>
          </w:p>
        </w:tc>
      </w:tr>
      <w:tr w:rsidR="00385E25" w:rsidRPr="00385E25" w:rsidTr="00385E25">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pPr>
            <w:r w:rsidRPr="00385E25">
              <w:t>1870</w:t>
            </w:r>
          </w:p>
        </w:tc>
        <w:tc>
          <w:tcPr>
            <w:tcW w:w="0" w:type="auto"/>
            <w:hideMark/>
          </w:tcPr>
          <w:p w:rsidR="00385E25" w:rsidRPr="00385E25" w:rsidRDefault="00385E25" w:rsidP="00EE0CF3">
            <w:pPr>
              <w:jc w:val="both"/>
              <w:cnfStyle w:val="000000000000" w:firstRow="0" w:lastRow="0" w:firstColumn="0" w:lastColumn="0" w:oddVBand="0" w:evenVBand="0" w:oddHBand="0" w:evenHBand="0" w:firstRowFirstColumn="0" w:firstRowLastColumn="0" w:lastRowFirstColumn="0" w:lastRowLastColumn="0"/>
            </w:pPr>
            <w:r w:rsidRPr="00385E25">
              <w:t>Bridge transit fees of 20 piastres per ship and 10 piastres per boat</w:t>
            </w:r>
          </w:p>
        </w:tc>
        <w:tc>
          <w:tcPr>
            <w:tcW w:w="0" w:type="auto"/>
            <w:hideMark/>
          </w:tcPr>
          <w:p w:rsidR="00385E25" w:rsidRPr="00385E25" w:rsidRDefault="00385E25" w:rsidP="00EE0CF3">
            <w:pPr>
              <w:jc w:val="both"/>
              <w:cnfStyle w:val="000000000000" w:firstRow="0" w:lastRow="0" w:firstColumn="0" w:lastColumn="0" w:oddVBand="0" w:evenVBand="0" w:oddHBand="0" w:evenHBand="0" w:firstRowFirstColumn="0" w:firstRowLastColumn="0" w:lastRowFirstColumn="0" w:lastRowLastColumn="0"/>
            </w:pPr>
            <w:r w:rsidRPr="00385E25">
              <w:t>Applied to vessels crossing the bridge constructed in Amarah.</w:t>
            </w:r>
          </w:p>
        </w:tc>
      </w:tr>
      <w:tr w:rsidR="00385E25" w:rsidRPr="00385E25" w:rsidTr="00385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85E25" w:rsidRPr="00385E25" w:rsidRDefault="00385E25" w:rsidP="00EE0CF3">
            <w:pPr>
              <w:jc w:val="both"/>
            </w:pPr>
            <w:r w:rsidRPr="00385E25">
              <w:t>Ottoman Period</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Tax-farming customs administration</w:t>
            </w:r>
          </w:p>
        </w:tc>
        <w:tc>
          <w:tcPr>
            <w:tcW w:w="0" w:type="auto"/>
            <w:hideMark/>
          </w:tcPr>
          <w:p w:rsidR="00385E25" w:rsidRPr="00385E25" w:rsidRDefault="00385E25" w:rsidP="00EE0CF3">
            <w:pPr>
              <w:jc w:val="both"/>
              <w:cnfStyle w:val="000000100000" w:firstRow="0" w:lastRow="0" w:firstColumn="0" w:lastColumn="0" w:oddVBand="0" w:evenVBand="0" w:oddHBand="1" w:evenHBand="0" w:firstRowFirstColumn="0" w:firstRowLastColumn="0" w:lastRowFirstColumn="0" w:lastRowLastColumn="0"/>
            </w:pPr>
            <w:r w:rsidRPr="00385E25">
              <w:t>Customs duties were often subject to administrative discretion, creating opportunities for corruption and bribery.</w:t>
            </w:r>
          </w:p>
        </w:tc>
      </w:tr>
    </w:tbl>
    <w:p w:rsidR="00385E25" w:rsidRPr="00385E25" w:rsidRDefault="00385E25" w:rsidP="00EE0CF3">
      <w:pPr>
        <w:pStyle w:val="NormalWeb"/>
        <w:jc w:val="both"/>
      </w:pPr>
      <w:r w:rsidRPr="00385E25">
        <w:rPr>
          <w:rStyle w:val="Strong"/>
          <w:rFonts w:eastAsiaTheme="majorEastAsia"/>
        </w:rPr>
        <w:t>Source:</w:t>
      </w:r>
      <w:r w:rsidRPr="00385E25">
        <w:t xml:space="preserve"> Compiled by the author from Ottoman fiscal regulations and historical studies of taxation in Iraq.</w:t>
      </w:r>
    </w:p>
    <w:p w:rsidR="00385E25" w:rsidRPr="00EE0CF3" w:rsidRDefault="00385E25" w:rsidP="00EE0CF3">
      <w:pPr>
        <w:pStyle w:val="Heading3"/>
        <w:jc w:val="both"/>
        <w:rPr>
          <w:b/>
          <w:bCs/>
          <w:color w:val="auto"/>
        </w:rPr>
      </w:pPr>
      <w:r w:rsidRPr="00EE0CF3">
        <w:rPr>
          <w:b/>
          <w:bCs/>
          <w:color w:val="auto"/>
        </w:rPr>
        <w:t>Fiscal Extraction and Economic Consequences</w:t>
      </w:r>
    </w:p>
    <w:p w:rsidR="00385E25" w:rsidRPr="00385E25" w:rsidRDefault="00385E25" w:rsidP="00EE0CF3">
      <w:pPr>
        <w:pStyle w:val="NormalWeb"/>
        <w:jc w:val="both"/>
      </w:pPr>
      <w:r w:rsidRPr="00385E25">
        <w:t>The evolution of customs and taxation policies demonstrates the changing relationship between Iraq and the global economy during the late Ottoman period. The Balta Liman Treaty of 1838 and subsequent commercial reforms gradually reduced barriers to international trade, facilitating the entry of European goods into Ottoman markets. While these measures increased commercial activity, they also exposed local producers to intensified foreign competition and reduced the state's ability to protect domestic industri</w:t>
      </w:r>
      <w:r w:rsidR="007B183F">
        <w:t xml:space="preserve">es. </w:t>
      </w:r>
      <w:r w:rsidRPr="00385E25">
        <w:t>From a historical political economy perspective, Ottoman taxation in Iraq functioned primarily as an extractive institution designed to maximize fiscal revenues rather than promote economic development. Revenue collection was prioritized over productive investment, and relatively little of the collected income was reinvested in agricultural modernization, industrial development, or infrastructure improvement. As a result, the fiscal system often weakened rather than strengthened the foundations of long-term economic growth.</w:t>
      </w:r>
      <w:r w:rsidR="007B183F">
        <w:rPr>
          <w:rStyle w:val="FootnoteReference"/>
        </w:rPr>
        <w:footnoteReference w:id="38"/>
      </w:r>
    </w:p>
    <w:p w:rsidR="00385E25" w:rsidRPr="00385E25" w:rsidRDefault="00385E25" w:rsidP="00EE0CF3">
      <w:pPr>
        <w:pStyle w:val="NormalWeb"/>
        <w:jc w:val="both"/>
      </w:pPr>
      <w:r w:rsidRPr="00385E25">
        <w:t xml:space="preserve">The cumulative effects of heavy taxation, administrative corruption, and institutional inefficiency contributed to declining agricultural incentives, reduced commercial confidence, and limited industrial expansion. Although the Ottoman state succeeded in generating revenues and maintaining administrative control, its fiscal policies failed to establish the institutional conditions necessary for sustained economic development. These structural weaknesses would continue to shape Iraq's economic trajectory well into the </w:t>
      </w:r>
      <w:r w:rsidRPr="00385E25">
        <w:lastRenderedPageBreak/>
        <w:t>twentieth century, leaving a legacy of institutional fragility and uneven economic modernization.</w:t>
      </w:r>
      <w:r w:rsidR="007B183F">
        <w:rPr>
          <w:rStyle w:val="FootnoteReference"/>
        </w:rPr>
        <w:footnoteReference w:id="39"/>
      </w:r>
    </w:p>
    <w:p w:rsidR="00385E25" w:rsidRPr="00385E25" w:rsidRDefault="00385E25" w:rsidP="00EE0CF3">
      <w:pPr>
        <w:pStyle w:val="NormalWeb"/>
        <w:jc w:val="both"/>
      </w:pPr>
      <w:r w:rsidRPr="00385E25">
        <w:rPr>
          <w:b/>
          <w:bCs/>
        </w:rPr>
        <w:t>Discussion: Administrative Centralization, Extractive Institutions, and Economic Underdevelopment in Late Ottoman Iraq</w:t>
      </w:r>
      <w:r w:rsidRPr="00385E25">
        <w:br/>
      </w:r>
      <w:r w:rsidRPr="00385E25">
        <w:br/>
        <w:t>The findings of this study demonstrate that the economic trajectory of Iraq during the late Ottoman period was shaped by a complex interaction of institutional, administrative, and structural factors. Although Iraq possessed considerable agricultural resources, a strategic geographical location, and access to regional and international trade networks, these advantages were not translated into sustained economic development. Instead, the evidence suggests that Ottoman administrative practices prioritized fiscal extraction and political control over productive investment a</w:t>
      </w:r>
      <w:r w:rsidR="007B183F">
        <w:t xml:space="preserve">nd institutional modernization. </w:t>
      </w:r>
      <w:r w:rsidRPr="00385E25">
        <w:t>Agriculture remained the dominant sector of the Iraqi economy throughout the nineteenth and early twentieth centuries. However, agricultural productivity was constrained by inadequate irrigation infrastructure, reliance on traditional cultivation methods, environmental instability, and the absence of secure land-tenure arrangements. The Ottoman state's failure to establish a comprehensive system of land registration and property protection created uncertainty regarding ownership rights and reduced incentives for long-term agricultural investment. These institutional weaknesses contributed to recurring land disputes, inefficient resource allocation, and persistent rural insecurity.</w:t>
      </w:r>
      <w:r w:rsidR="007B183F">
        <w:rPr>
          <w:rStyle w:val="FootnoteReference"/>
        </w:rPr>
        <w:footnoteReference w:id="40"/>
      </w:r>
    </w:p>
    <w:p w:rsidR="00385E25" w:rsidRPr="00385E25" w:rsidRDefault="00385E25" w:rsidP="00EE0CF3">
      <w:pPr>
        <w:pStyle w:val="NormalWeb"/>
        <w:jc w:val="both"/>
      </w:pPr>
      <w:r w:rsidRPr="00385E25">
        <w:t xml:space="preserve">The analysis further demonstrates that Ottoman land-tenure arrangements and tax-farming institutions functioned primarily as mechanisms of revenue extraction. Systems such as the </w:t>
      </w:r>
      <w:r w:rsidRPr="00385E25">
        <w:rPr>
          <w:rStyle w:val="Emphasis"/>
        </w:rPr>
        <w:t>timar</w:t>
      </w:r>
      <w:r w:rsidRPr="00385E25">
        <w:t xml:space="preserve"> and </w:t>
      </w:r>
      <w:r w:rsidRPr="00385E25">
        <w:rPr>
          <w:rStyle w:val="Emphasis"/>
        </w:rPr>
        <w:t>iltizam</w:t>
      </w:r>
      <w:r w:rsidRPr="00385E25">
        <w:t xml:space="preserve"> strengthened the state's fiscal and military capacities but provided limited incentives for agricultural modernization or infrastructure development. Consequently, much of the agricultural surplus was redirected toward administrative and military purposes rather than reinvested in productive sectors. This pattern reflects the characteristics of what institutional economists describe as extractive institutions, which prioritize revenue collection over </w:t>
      </w:r>
      <w:r w:rsidR="007B183F">
        <w:t xml:space="preserve">long-term economic development. </w:t>
      </w:r>
      <w:r w:rsidRPr="00385E25">
        <w:t xml:space="preserve">The industrial sector exhibited similar structural weaknesses. Industrial production remained concentrated in traditional handicrafts and small-scale manufacturing activities, while the absence of substantial investment, technological innovation, and state support prevented the emergence of a modern industrial base. Increasing integration into global markets exposed local producers to competition from European manufactured goods, contributing to the gradual decline of domestic industries. As a result, Iraq became increasingly dependent on </w:t>
      </w:r>
      <w:r w:rsidRPr="00385E25">
        <w:lastRenderedPageBreak/>
        <w:t>imported manufactured products while remaining reliant on agricultural exports and raw materials.</w:t>
      </w:r>
      <w:r w:rsidR="007B183F">
        <w:rPr>
          <w:rStyle w:val="FootnoteReference"/>
        </w:rPr>
        <w:footnoteReference w:id="41"/>
      </w:r>
    </w:p>
    <w:p w:rsidR="00385E25" w:rsidRPr="00385E25" w:rsidRDefault="00385E25" w:rsidP="00EE0CF3">
      <w:pPr>
        <w:pStyle w:val="NormalWeb"/>
        <w:jc w:val="both"/>
      </w:pPr>
      <w:r w:rsidRPr="00385E25">
        <w:t xml:space="preserve">Trade represented one of the most dynamic components of the Iraqi economy during this period. The expansion of international commerce, particularly following the opening of the Suez Canal in 1869, facilitated greater integration into global markets and increased the volume of exports and imports. Nevertheless, this integration occurred within an unequal international economic environment. Iraq's export structure remained dominated by agricultural commodities and raw materials, whereas manufactured goods were primarily imported from industrialized economies. This pattern reinforced economic dependency and limited opportunities </w:t>
      </w:r>
      <w:r w:rsidR="007B183F">
        <w:t xml:space="preserve">for industrial diversification. </w:t>
      </w:r>
      <w:r w:rsidRPr="00385E25">
        <w:t>The findings therefore support the argument that the economic challenges of late Ottoman Iraq cannot be attributed solely to geographical conditions or external market forces. Rather, they were significantly influenced by administrative centralization, extractive fiscal policies, weak institutional development, and insufficient investment in productive infrastructure. These factors collectively constrained economic growth and limited the capacity of local economic sectors to adapt to the changing global economy.</w:t>
      </w:r>
      <w:r w:rsidR="007B183F">
        <w:rPr>
          <w:rStyle w:val="FootnoteReference"/>
        </w:rPr>
        <w:footnoteReference w:id="42"/>
      </w:r>
    </w:p>
    <w:p w:rsidR="00385E25" w:rsidRPr="007B183F" w:rsidRDefault="00385E25" w:rsidP="00EE0CF3">
      <w:pPr>
        <w:pStyle w:val="Heading1"/>
        <w:jc w:val="both"/>
        <w:rPr>
          <w:sz w:val="24"/>
          <w:szCs w:val="24"/>
        </w:rPr>
      </w:pPr>
      <w:r w:rsidRPr="007B183F">
        <w:rPr>
          <w:sz w:val="24"/>
          <w:szCs w:val="24"/>
        </w:rPr>
        <w:t>Conclusion</w:t>
      </w:r>
    </w:p>
    <w:p w:rsidR="00385E25" w:rsidRPr="00385E25" w:rsidRDefault="00385E25" w:rsidP="00EE0CF3">
      <w:pPr>
        <w:pStyle w:val="NormalWeb"/>
        <w:jc w:val="both"/>
      </w:pPr>
      <w:r w:rsidRPr="00385E25">
        <w:t>This study examined the economic conditions of Iraq during the late Ottoman period (1831–1914) through an analysis of agriculture, industry, trade, land administration, and taxation policies. The findings reveal that although Iraq possessed substantial economic potential, its development was constrained by a combination of institutional weaknesses and administrative priorities that favored fiscal extract</w:t>
      </w:r>
      <w:r w:rsidR="00EE0CF3">
        <w:t xml:space="preserve">ion over productive investment. </w:t>
      </w:r>
      <w:r w:rsidRPr="00385E25">
        <w:t>Agriculture, the principal sector of the economy, suffered from insecure land tenure, inadequate irrigation systems, and limited technological advancement. The Ottoman land-tenure and tax-farming systems contributed to the concentration of economic power while discouraging investment in agricultural productivity. Similarly, industrial development remained limited to traditional crafts and failed to evolve into a modern manufacturing sector capable of competin</w:t>
      </w:r>
      <w:r w:rsidR="00EE0CF3">
        <w:t xml:space="preserve">g with imported European goods. </w:t>
      </w:r>
      <w:r w:rsidRPr="00385E25">
        <w:t>Commercial expansion, particularly after the opening of the Suez Canal, integrated Iraq more closely into international trade networks and increased export opportunities. However, this integration reinforced a pattern in which Iraq functioned primarily as an exporter of agricultural commodities and raw materials and an importer of manufactured products. Consequently, the benefits of commercial growth were uneven and insufficient to stimulate comprehensive economic transformation.</w:t>
      </w:r>
    </w:p>
    <w:p w:rsidR="00385E25" w:rsidRPr="00385E25" w:rsidRDefault="00385E25" w:rsidP="00EE0CF3">
      <w:pPr>
        <w:pStyle w:val="NormalWeb"/>
        <w:jc w:val="both"/>
      </w:pPr>
      <w:r w:rsidRPr="00385E25">
        <w:t xml:space="preserve">From a historical political economy perspective, the evidence suggests that Ottoman governance in Iraq was characterized by institutional arrangements designed primarily to </w:t>
      </w:r>
      <w:r w:rsidRPr="00385E25">
        <w:lastRenderedPageBreak/>
        <w:t>secure revenue and maintain administrative control. While these policies contributed to short-term fiscal stability, they failed to establish the institutional foundations necessary for sustainable economic development. The resulting structural weaknesses continued to influence Iraq's economic trajectory beyond the Ottoman period and contributed to patterns of dependency and underdevelopment that</w:t>
      </w:r>
      <w:r w:rsidR="00EE0CF3">
        <w:t xml:space="preserve"> persisted into the modern era. </w:t>
      </w:r>
      <w:r w:rsidRPr="00385E25">
        <w:t>By situating Iraq within broader debates on state formation, economic institutions, and global market integration, this study contributes to a deeper understanding of the relationship between governance structures and developmental outcomes in the late Ottoman Middle East. Future research may further explore comparative experiences across Ottoman provinces to assess how variations in administrative capacity and institutional reform influenced regional patterns of economic development.</w:t>
      </w:r>
    </w:p>
    <w:p w:rsidR="00EE0CF3" w:rsidRDefault="00EE0CF3" w:rsidP="00EE0CF3">
      <w:pPr>
        <w:pStyle w:val="Heading3"/>
        <w:jc w:val="both"/>
        <w:rPr>
          <w:b/>
          <w:bCs/>
          <w:color w:val="auto"/>
        </w:rPr>
      </w:pPr>
    </w:p>
    <w:p w:rsidR="00EE0CF3" w:rsidRDefault="00EE0CF3" w:rsidP="00EE0CF3">
      <w:pPr>
        <w:pStyle w:val="Heading3"/>
        <w:jc w:val="both"/>
        <w:rPr>
          <w:b/>
          <w:bCs/>
          <w:color w:val="auto"/>
        </w:rPr>
      </w:pPr>
      <w:r w:rsidRPr="00EE0CF3">
        <w:rPr>
          <w:b/>
          <w:bCs/>
          <w:color w:val="auto"/>
        </w:rPr>
        <w:t>References</w:t>
      </w:r>
    </w:p>
    <w:p w:rsidR="00EE0CF3" w:rsidRPr="00EE0CF3" w:rsidRDefault="00EE0CF3" w:rsidP="00EE0CF3">
      <w:pPr>
        <w:jc w:val="both"/>
      </w:pPr>
    </w:p>
    <w:p w:rsidR="00EE0CF3" w:rsidRDefault="00EE0CF3" w:rsidP="00EE0CF3">
      <w:pPr>
        <w:pStyle w:val="NormalWeb"/>
        <w:numPr>
          <w:ilvl w:val="0"/>
          <w:numId w:val="3"/>
        </w:numPr>
        <w:jc w:val="both"/>
      </w:pPr>
      <w:r>
        <w:t xml:space="preserve">Aksakal, M. (2026). </w:t>
      </w:r>
      <w:r>
        <w:rPr>
          <w:rStyle w:val="Emphasis"/>
          <w:rFonts w:eastAsiaTheme="majorEastAsia"/>
        </w:rPr>
        <w:t>The war that made the Middle East: World War I and the end of the Ottoman Empire</w:t>
      </w:r>
      <w:r>
        <w:t>. Princeton University Press.</w:t>
      </w:r>
    </w:p>
    <w:p w:rsidR="00EE0CF3" w:rsidRDefault="00EE0CF3" w:rsidP="00EE0CF3">
      <w:pPr>
        <w:pStyle w:val="NormalWeb"/>
        <w:numPr>
          <w:ilvl w:val="0"/>
          <w:numId w:val="3"/>
        </w:numPr>
        <w:jc w:val="both"/>
      </w:pPr>
      <w:r>
        <w:t xml:space="preserve">Al Azhari, F. U., Shah, S. H. M., Al Azhari, S. I., Rasool, F., Ahmed, R., Samad, A., &amp; Rehman, A. (2025). The role of Islamic economic principles in family law: A study on inheritance and property rights within the context of child protection. </w:t>
      </w:r>
      <w:r>
        <w:rPr>
          <w:rStyle w:val="Emphasis"/>
          <w:rFonts w:eastAsiaTheme="majorEastAsia"/>
        </w:rPr>
        <w:t>Global Islamic Research Journal, 1</w:t>
      </w:r>
      <w:r>
        <w:t xml:space="preserve">(1), 59–76. </w:t>
      </w:r>
      <w:hyperlink r:id="rId9" w:history="1">
        <w:r>
          <w:rPr>
            <w:rStyle w:val="Hyperlink"/>
            <w:rFonts w:eastAsiaTheme="majorEastAsia"/>
          </w:rPr>
          <w:t>https://doi.org/10.65960/girj.1.1.2025.2</w:t>
        </w:r>
      </w:hyperlink>
    </w:p>
    <w:p w:rsidR="00EE0CF3" w:rsidRDefault="00EE0CF3" w:rsidP="00EE0CF3">
      <w:pPr>
        <w:pStyle w:val="NormalWeb"/>
        <w:numPr>
          <w:ilvl w:val="0"/>
          <w:numId w:val="3"/>
        </w:numPr>
        <w:jc w:val="both"/>
      </w:pPr>
      <w:r>
        <w:t xml:space="preserve">Al-Maani, A. A.-R., &amp; Alsharari, S. (2013). Pearl trade in the Persian Gulf during the 19th century. </w:t>
      </w:r>
      <w:r>
        <w:rPr>
          <w:rStyle w:val="Emphasis"/>
          <w:rFonts w:eastAsiaTheme="majorEastAsia"/>
        </w:rPr>
        <w:t>Asian Culture and History, 6</w:t>
      </w:r>
      <w:r>
        <w:t xml:space="preserve">(1), 43–52. </w:t>
      </w:r>
      <w:hyperlink r:id="rId10" w:history="1">
        <w:r>
          <w:rPr>
            <w:rStyle w:val="Hyperlink"/>
            <w:rFonts w:eastAsiaTheme="majorEastAsia"/>
          </w:rPr>
          <w:t>https://doi.org/10.5539/ach.v6n1p43</w:t>
        </w:r>
      </w:hyperlink>
    </w:p>
    <w:p w:rsidR="00EE0CF3" w:rsidRDefault="00EE0CF3" w:rsidP="00EE0CF3">
      <w:pPr>
        <w:pStyle w:val="NormalWeb"/>
        <w:numPr>
          <w:ilvl w:val="0"/>
          <w:numId w:val="3"/>
        </w:numPr>
        <w:jc w:val="both"/>
      </w:pPr>
      <w:r>
        <w:t xml:space="preserve">Al-Sadkhan, A. K., &amp; Fehmi, P. Q. (2018). The effect of acculturation on the plans of Iraqi origin elites during the late Ottoman rule (1830–1917). </w:t>
      </w:r>
      <w:r>
        <w:rPr>
          <w:rStyle w:val="Emphasis"/>
          <w:rFonts w:eastAsiaTheme="majorEastAsia"/>
        </w:rPr>
        <w:t>Journal of Engineering</w:t>
      </w:r>
      <w:r>
        <w:t xml:space="preserve">. </w:t>
      </w:r>
      <w:hyperlink r:id="rId11" w:history="1">
        <w:r>
          <w:rPr>
            <w:rStyle w:val="Hyperlink"/>
            <w:rFonts w:eastAsiaTheme="majorEastAsia"/>
          </w:rPr>
          <w:t>https://doi.org/10.31026/j.eng.2018.02.10</w:t>
        </w:r>
      </w:hyperlink>
    </w:p>
    <w:p w:rsidR="00EE0CF3" w:rsidRDefault="00EE0CF3" w:rsidP="00EE0CF3">
      <w:pPr>
        <w:pStyle w:val="NormalWeb"/>
        <w:numPr>
          <w:ilvl w:val="0"/>
          <w:numId w:val="3"/>
        </w:numPr>
        <w:jc w:val="both"/>
      </w:pPr>
      <w:r>
        <w:t xml:space="preserve">Al-Zubaidi, I. M. (2024). Economic problems in Iraq during the late Ottoman era (1869–1914): Irrigation as a model. </w:t>
      </w:r>
      <w:r>
        <w:rPr>
          <w:rStyle w:val="Emphasis"/>
          <w:rFonts w:eastAsiaTheme="majorEastAsia"/>
        </w:rPr>
        <w:t>Journal of Sustainable Studies, 6</w:t>
      </w:r>
      <w:r>
        <w:t>(1), 55–74.</w:t>
      </w:r>
    </w:p>
    <w:p w:rsidR="00EE0CF3" w:rsidRDefault="00EE0CF3" w:rsidP="00EE0CF3">
      <w:pPr>
        <w:pStyle w:val="NormalWeb"/>
        <w:numPr>
          <w:ilvl w:val="0"/>
          <w:numId w:val="3"/>
        </w:numPr>
        <w:jc w:val="both"/>
      </w:pPr>
      <w:r>
        <w:t xml:space="preserve">Aydın, K. (2021). Ottoman provincial governance and state-society relations in the Arab provinces during the Tanzimat era. </w:t>
      </w:r>
      <w:r>
        <w:rPr>
          <w:rStyle w:val="Emphasis"/>
          <w:rFonts w:eastAsiaTheme="majorEastAsia"/>
        </w:rPr>
        <w:t>Journal of Global History</w:t>
      </w:r>
      <w:r>
        <w:t>.</w:t>
      </w:r>
    </w:p>
    <w:p w:rsidR="00EE0CF3" w:rsidRDefault="00EE0CF3" w:rsidP="00EE0CF3">
      <w:pPr>
        <w:pStyle w:val="NormalWeb"/>
        <w:numPr>
          <w:ilvl w:val="0"/>
          <w:numId w:val="3"/>
        </w:numPr>
        <w:jc w:val="both"/>
      </w:pPr>
      <w:r>
        <w:t xml:space="preserve">Azam, M., Alwreikat, N. M., Alsyouf, B., Al Fandi, A. S. A. A., &amp; Pharaon, R. A. K. M. (2026). Contemporary trade governance and cross-border data flows: A comparative study of Sharīʿah principles and international legal frameworks. </w:t>
      </w:r>
      <w:r>
        <w:rPr>
          <w:rStyle w:val="Emphasis"/>
          <w:rFonts w:eastAsiaTheme="majorEastAsia"/>
        </w:rPr>
        <w:t>MILRev: Metro Islamic Law Review, 5</w:t>
      </w:r>
      <w:r>
        <w:t xml:space="preserve">(1), 686–721. </w:t>
      </w:r>
      <w:hyperlink r:id="rId12" w:history="1">
        <w:r>
          <w:rPr>
            <w:rStyle w:val="Hyperlink"/>
            <w:rFonts w:eastAsiaTheme="majorEastAsia"/>
          </w:rPr>
          <w:t>https://doi.org/10.32332/milrev.v5i1.13387</w:t>
        </w:r>
      </w:hyperlink>
    </w:p>
    <w:p w:rsidR="00EE0CF3" w:rsidRDefault="00EE0CF3" w:rsidP="00EE0CF3">
      <w:pPr>
        <w:pStyle w:val="NormalWeb"/>
        <w:numPr>
          <w:ilvl w:val="0"/>
          <w:numId w:val="3"/>
        </w:numPr>
        <w:jc w:val="both"/>
      </w:pPr>
      <w:r>
        <w:t xml:space="preserve">Azam, M., Hamdoun, A. A.-M., Harahsheh, E. A. A. M., Mashdurohatun, A., &amp; Sidauruk, H. P. (2025). Religious diversity in the digital economy: Interfaith legal pathways to harmonize Sharia, Christian ethics, and international law. </w:t>
      </w:r>
      <w:r>
        <w:rPr>
          <w:rStyle w:val="Emphasis"/>
          <w:rFonts w:eastAsiaTheme="majorEastAsia"/>
        </w:rPr>
        <w:t>Contemporary Issues on Interfaith Law and Society, 4</w:t>
      </w:r>
      <w:r>
        <w:t xml:space="preserve">(2), 207–264. </w:t>
      </w:r>
      <w:hyperlink r:id="rId13" w:history="1">
        <w:r>
          <w:rPr>
            <w:rStyle w:val="Hyperlink"/>
            <w:rFonts w:eastAsiaTheme="majorEastAsia"/>
          </w:rPr>
          <w:t>https://doi.org/10.15294/ciils.v4i2.33011</w:t>
        </w:r>
      </w:hyperlink>
    </w:p>
    <w:p w:rsidR="00EE0CF3" w:rsidRDefault="00EE0CF3" w:rsidP="00EE0CF3">
      <w:pPr>
        <w:pStyle w:val="NormalWeb"/>
        <w:numPr>
          <w:ilvl w:val="0"/>
          <w:numId w:val="3"/>
        </w:numPr>
        <w:jc w:val="both"/>
      </w:pPr>
      <w:r>
        <w:t xml:space="preserve">Azam, M., Mashdurohatun, A., Firmansyah, A. N., Saktiawan, M. D., &amp; Jaya, K. O. P. (2025). Harmonizing contemporary international commercial law with Sharia-based national legal systems: A comparative study of Pakistan, Turkey, </w:t>
      </w:r>
      <w:r>
        <w:lastRenderedPageBreak/>
        <w:t xml:space="preserve">Indonesia, Malaysia, and Saudi Arabia. </w:t>
      </w:r>
      <w:r>
        <w:rPr>
          <w:rStyle w:val="Emphasis"/>
          <w:rFonts w:eastAsiaTheme="majorEastAsia"/>
        </w:rPr>
        <w:t>MILRev: Metro Islamic Law Review, 4</w:t>
      </w:r>
      <w:r>
        <w:t xml:space="preserve">(2), 1074–1096. </w:t>
      </w:r>
      <w:hyperlink r:id="rId14" w:history="1">
        <w:r>
          <w:rPr>
            <w:rStyle w:val="Hyperlink"/>
            <w:rFonts w:eastAsiaTheme="majorEastAsia"/>
          </w:rPr>
          <w:t>https://doi.org/10.32332/milrev.v4i2.11334</w:t>
        </w:r>
      </w:hyperlink>
    </w:p>
    <w:p w:rsidR="00EE0CF3" w:rsidRDefault="00EE0CF3" w:rsidP="00EE0CF3">
      <w:pPr>
        <w:pStyle w:val="NormalWeb"/>
        <w:numPr>
          <w:ilvl w:val="0"/>
          <w:numId w:val="3"/>
        </w:numPr>
        <w:jc w:val="both"/>
      </w:pPr>
      <w:r>
        <w:t xml:space="preserve">Bolaños, I. (2025). Pandemic influenza in late Ottoman and British occupied Iraq: The 1889–1893 and 1918–1920 influenza pandemics. </w:t>
      </w:r>
      <w:r>
        <w:rPr>
          <w:rStyle w:val="Emphasis"/>
          <w:rFonts w:eastAsiaTheme="majorEastAsia"/>
        </w:rPr>
        <w:t>Bulletin of the History of Medicine, 99</w:t>
      </w:r>
      <w:r>
        <w:t xml:space="preserve">(3), 488–515. </w:t>
      </w:r>
      <w:hyperlink r:id="rId15" w:history="1">
        <w:r>
          <w:rPr>
            <w:rStyle w:val="Hyperlink"/>
            <w:rFonts w:eastAsiaTheme="majorEastAsia"/>
          </w:rPr>
          <w:t>https://doi.org/10.1353/bhm.2025.a975182</w:t>
        </w:r>
      </w:hyperlink>
    </w:p>
    <w:p w:rsidR="00EE0CF3" w:rsidRDefault="00EE0CF3" w:rsidP="00EE0CF3">
      <w:pPr>
        <w:pStyle w:val="NormalWeb"/>
        <w:numPr>
          <w:ilvl w:val="0"/>
          <w:numId w:val="3"/>
        </w:numPr>
        <w:jc w:val="both"/>
      </w:pPr>
      <w:r>
        <w:t xml:space="preserve">Brisku, A. (2020). Renegotiating the empire, forging the nation-state: The Albanian case through the political economic thought of Ismail Qemali, Fan Noli, and Luigj Gurakuqi, c. 1890–1920s. </w:t>
      </w:r>
      <w:r>
        <w:rPr>
          <w:rStyle w:val="Emphasis"/>
          <w:rFonts w:eastAsiaTheme="majorEastAsia"/>
        </w:rPr>
        <w:t>Nationalities Papers, 48</w:t>
      </w:r>
      <w:r>
        <w:t xml:space="preserve">(1), 158–174. </w:t>
      </w:r>
      <w:hyperlink r:id="rId16" w:history="1">
        <w:r>
          <w:rPr>
            <w:rStyle w:val="Hyperlink"/>
            <w:rFonts w:eastAsiaTheme="majorEastAsia"/>
          </w:rPr>
          <w:t>https://doi.org/10.1017/nps.2018.52</w:t>
        </w:r>
      </w:hyperlink>
    </w:p>
    <w:p w:rsidR="00EE0CF3" w:rsidRDefault="00EE0CF3" w:rsidP="00EE0CF3">
      <w:pPr>
        <w:pStyle w:val="NormalWeb"/>
        <w:numPr>
          <w:ilvl w:val="0"/>
          <w:numId w:val="3"/>
        </w:numPr>
        <w:jc w:val="both"/>
      </w:pPr>
      <w:r>
        <w:t xml:space="preserve">Ceylan, P., &amp; Coşgel, M. M. (2025). Quantitative data and the economy. In </w:t>
      </w:r>
      <w:r>
        <w:rPr>
          <w:rStyle w:val="Emphasis"/>
          <w:rFonts w:eastAsiaTheme="majorEastAsia"/>
        </w:rPr>
        <w:t>The Cambridge companion to Ottoman history</w:t>
      </w:r>
      <w:r>
        <w:t xml:space="preserve"> (pp. 101–116). Cambridge University Press.</w:t>
      </w:r>
    </w:p>
    <w:p w:rsidR="00EE0CF3" w:rsidRDefault="00EE0CF3" w:rsidP="00EE0CF3">
      <w:pPr>
        <w:pStyle w:val="NormalWeb"/>
        <w:numPr>
          <w:ilvl w:val="0"/>
          <w:numId w:val="3"/>
        </w:numPr>
        <w:jc w:val="both"/>
      </w:pPr>
      <w:r>
        <w:t xml:space="preserve">Clark, P. (2012). The Ottoman origins of modern Iraq: Political reform, modernization and development in the nineteenth-century Middle East. </w:t>
      </w:r>
      <w:r>
        <w:rPr>
          <w:rStyle w:val="Emphasis"/>
          <w:rFonts w:eastAsiaTheme="majorEastAsia"/>
        </w:rPr>
        <w:t>Asian Affairs, 43</w:t>
      </w:r>
      <w:r>
        <w:t xml:space="preserve">(3), 490–492. </w:t>
      </w:r>
      <w:hyperlink r:id="rId17" w:history="1">
        <w:r>
          <w:rPr>
            <w:rStyle w:val="Hyperlink"/>
            <w:rFonts w:eastAsiaTheme="majorEastAsia"/>
          </w:rPr>
          <w:t>https://doi.org/10.1080/03068374.2012.720488</w:t>
        </w:r>
      </w:hyperlink>
    </w:p>
    <w:p w:rsidR="00EE0CF3" w:rsidRDefault="00EE0CF3" w:rsidP="00EE0CF3">
      <w:pPr>
        <w:pStyle w:val="NormalWeb"/>
        <w:numPr>
          <w:ilvl w:val="0"/>
          <w:numId w:val="3"/>
        </w:numPr>
        <w:jc w:val="both"/>
      </w:pPr>
      <w:r>
        <w:t xml:space="preserve">Cole, C. L. (2024). Nafia for the Tigris: The Privy Purse and the infrastructure of development in late Ottoman Iraq, 1882–1914. </w:t>
      </w:r>
      <w:r>
        <w:rPr>
          <w:rStyle w:val="Emphasis"/>
          <w:rFonts w:eastAsiaTheme="majorEastAsia"/>
        </w:rPr>
        <w:t>History of Science, 62</w:t>
      </w:r>
      <w:r>
        <w:t xml:space="preserve">(4), 488–510. </w:t>
      </w:r>
      <w:hyperlink r:id="rId18" w:history="1">
        <w:r>
          <w:rPr>
            <w:rStyle w:val="Hyperlink"/>
            <w:rFonts w:eastAsiaTheme="majorEastAsia"/>
          </w:rPr>
          <w:t>https://doi.org/10.1177/0073275321999265</w:t>
        </w:r>
      </w:hyperlink>
    </w:p>
    <w:p w:rsidR="00EE0CF3" w:rsidRDefault="00EE0CF3" w:rsidP="00EE0CF3">
      <w:pPr>
        <w:pStyle w:val="NormalWeb"/>
        <w:numPr>
          <w:ilvl w:val="0"/>
          <w:numId w:val="3"/>
        </w:numPr>
        <w:jc w:val="both"/>
      </w:pPr>
      <w:r>
        <w:t xml:space="preserve">Coşgel, M. M., &amp; Ergene, B. A. (2009). Taxation, wealth and economic growth in the Ottoman Empire, 1560–1914. </w:t>
      </w:r>
      <w:r>
        <w:rPr>
          <w:rStyle w:val="Emphasis"/>
          <w:rFonts w:eastAsiaTheme="majorEastAsia"/>
        </w:rPr>
        <w:t>Journal of Economic History, 69</w:t>
      </w:r>
      <w:r>
        <w:t xml:space="preserve">(2), 385–417. </w:t>
      </w:r>
      <w:hyperlink r:id="rId19" w:history="1">
        <w:r>
          <w:rPr>
            <w:rStyle w:val="Hyperlink"/>
            <w:rFonts w:eastAsiaTheme="majorEastAsia"/>
          </w:rPr>
          <w:t>https://doi.org/10.1017/S0022050709000835</w:t>
        </w:r>
      </w:hyperlink>
    </w:p>
    <w:p w:rsidR="00EE0CF3" w:rsidRDefault="00EE0CF3" w:rsidP="00EE0CF3">
      <w:pPr>
        <w:pStyle w:val="NormalWeb"/>
        <w:numPr>
          <w:ilvl w:val="0"/>
          <w:numId w:val="3"/>
        </w:numPr>
        <w:jc w:val="both"/>
      </w:pPr>
      <w:r>
        <w:t xml:space="preserve">Coşgel, M. M., &amp; Ergene, B. A. (2012). Inequality of taxation and the burden of tax farming in the early modern Ottoman Empire. </w:t>
      </w:r>
      <w:r>
        <w:rPr>
          <w:rStyle w:val="Emphasis"/>
          <w:rFonts w:eastAsiaTheme="majorEastAsia"/>
        </w:rPr>
        <w:t>Explorations in Economic History, 49</w:t>
      </w:r>
      <w:r>
        <w:t xml:space="preserve">(2), 219–231. </w:t>
      </w:r>
      <w:hyperlink r:id="rId20" w:history="1">
        <w:r>
          <w:rPr>
            <w:rStyle w:val="Hyperlink"/>
            <w:rFonts w:eastAsiaTheme="majorEastAsia"/>
          </w:rPr>
          <w:t>https://doi.org/10.1016/j.eeh.2011.12.001</w:t>
        </w:r>
      </w:hyperlink>
    </w:p>
    <w:p w:rsidR="00EE0CF3" w:rsidRDefault="00EE0CF3" w:rsidP="00EE0CF3">
      <w:pPr>
        <w:pStyle w:val="NormalWeb"/>
        <w:numPr>
          <w:ilvl w:val="0"/>
          <w:numId w:val="3"/>
        </w:numPr>
        <w:jc w:val="both"/>
      </w:pPr>
      <w:r>
        <w:t xml:space="preserve">Çolak, Z. (2024). Pathways to modernity: Ottoman reforms before and during the Tanzimat. </w:t>
      </w:r>
      <w:r>
        <w:rPr>
          <w:rStyle w:val="Emphasis"/>
          <w:rFonts w:eastAsiaTheme="majorEastAsia"/>
        </w:rPr>
        <w:t>Türk Dünyası İncelemeleri Dergisi, 24</w:t>
      </w:r>
      <w:r>
        <w:t xml:space="preserve">(2), 417–437. </w:t>
      </w:r>
      <w:hyperlink r:id="rId21" w:history="1">
        <w:r>
          <w:rPr>
            <w:rStyle w:val="Hyperlink"/>
            <w:rFonts w:eastAsiaTheme="majorEastAsia"/>
          </w:rPr>
          <w:t>https://doi.org/10.32449/egetdid.1522647</w:t>
        </w:r>
      </w:hyperlink>
    </w:p>
    <w:p w:rsidR="00EE0CF3" w:rsidRDefault="00EE0CF3" w:rsidP="00EE0CF3">
      <w:pPr>
        <w:pStyle w:val="NormalWeb"/>
        <w:numPr>
          <w:ilvl w:val="0"/>
          <w:numId w:val="3"/>
        </w:numPr>
        <w:jc w:val="both"/>
      </w:pPr>
      <w:r>
        <w:t xml:space="preserve">Escandón-Panchana, P., Martínez-Cuevas, S., Jaya-Montalvo, M., &amp; Herrera-Franco, G. (2024). Review of agricultural cadastre approaches using geomatics for rural development. </w:t>
      </w:r>
      <w:r>
        <w:rPr>
          <w:rStyle w:val="Emphasis"/>
          <w:rFonts w:eastAsiaTheme="majorEastAsia"/>
        </w:rPr>
        <w:t>WIT Transactions on Ecology and the Environment, 262</w:t>
      </w:r>
      <w:r>
        <w:t xml:space="preserve">, 465–478. </w:t>
      </w:r>
      <w:hyperlink r:id="rId22" w:history="1">
        <w:r>
          <w:rPr>
            <w:rStyle w:val="Hyperlink"/>
            <w:rFonts w:eastAsiaTheme="majorEastAsia"/>
          </w:rPr>
          <w:t>https://doi.org/10.2495/SDP240391</w:t>
        </w:r>
      </w:hyperlink>
    </w:p>
    <w:p w:rsidR="00EE0CF3" w:rsidRDefault="00EE0CF3" w:rsidP="00EE0CF3">
      <w:pPr>
        <w:pStyle w:val="NormalWeb"/>
        <w:numPr>
          <w:ilvl w:val="0"/>
          <w:numId w:val="3"/>
        </w:numPr>
        <w:jc w:val="both"/>
      </w:pPr>
      <w:r>
        <w:t xml:space="preserve">Farouk-Sluglett, M., &amp; Sluglett, P. (1983). The transformation of land tenure and rural social structure in central and southern Iraq, c. 1870–1958. </w:t>
      </w:r>
      <w:r>
        <w:rPr>
          <w:rStyle w:val="Emphasis"/>
          <w:rFonts w:eastAsiaTheme="majorEastAsia"/>
        </w:rPr>
        <w:t>International Journal of Middle East Studies, 15</w:t>
      </w:r>
      <w:r>
        <w:t xml:space="preserve">(4), 491–505. </w:t>
      </w:r>
      <w:hyperlink r:id="rId23" w:history="1">
        <w:r>
          <w:rPr>
            <w:rStyle w:val="Hyperlink"/>
            <w:rFonts w:eastAsiaTheme="majorEastAsia"/>
          </w:rPr>
          <w:t>https://doi.org/10.1017/S0020743800051400</w:t>
        </w:r>
      </w:hyperlink>
    </w:p>
    <w:p w:rsidR="00EE0CF3" w:rsidRDefault="00EE0CF3" w:rsidP="00EE0CF3">
      <w:pPr>
        <w:pStyle w:val="NormalWeb"/>
        <w:numPr>
          <w:ilvl w:val="0"/>
          <w:numId w:val="3"/>
        </w:numPr>
        <w:jc w:val="both"/>
      </w:pPr>
      <w:r>
        <w:t xml:space="preserve">Fields, S., Cole, C. L., Oei, C., &amp; Chen, A. T. (2022). Using named entity recognition and network analysis to distinguish personal networks from the social milieu in nineteenth-century Ottoman–Iraqi personal diaries. </w:t>
      </w:r>
      <w:r>
        <w:rPr>
          <w:rStyle w:val="Emphasis"/>
          <w:rFonts w:eastAsiaTheme="majorEastAsia"/>
        </w:rPr>
        <w:t>Digital Scholarship in the Humanities, 38</w:t>
      </w:r>
      <w:r>
        <w:t xml:space="preserve">(1), 66–86. </w:t>
      </w:r>
      <w:hyperlink r:id="rId24" w:history="1">
        <w:r>
          <w:rPr>
            <w:rStyle w:val="Hyperlink"/>
            <w:rFonts w:eastAsiaTheme="majorEastAsia"/>
          </w:rPr>
          <w:t>https://doi.org/10.1093/llc/fqac047</w:t>
        </w:r>
      </w:hyperlink>
    </w:p>
    <w:p w:rsidR="00EE0CF3" w:rsidRDefault="00EE0CF3" w:rsidP="00EE0CF3">
      <w:pPr>
        <w:pStyle w:val="NormalWeb"/>
        <w:numPr>
          <w:ilvl w:val="0"/>
          <w:numId w:val="3"/>
        </w:numPr>
        <w:jc w:val="both"/>
      </w:pPr>
      <w:r>
        <w:t xml:space="preserve">Grehan, J. (2015). Imperial crisis and Muslim-Christian relations in Ottoman Syria and Palestine, c. 1770–1830. </w:t>
      </w:r>
      <w:r>
        <w:rPr>
          <w:rStyle w:val="Emphasis"/>
          <w:rFonts w:eastAsiaTheme="majorEastAsia"/>
        </w:rPr>
        <w:t>Journal of the Economic and Social History of the Orient, 58</w:t>
      </w:r>
      <w:r>
        <w:t xml:space="preserve">(4), 490–531. </w:t>
      </w:r>
      <w:hyperlink r:id="rId25" w:history="1">
        <w:r>
          <w:rPr>
            <w:rStyle w:val="Hyperlink"/>
            <w:rFonts w:eastAsiaTheme="majorEastAsia"/>
          </w:rPr>
          <w:t>https://doi.org/10.1163/15685209-12341381</w:t>
        </w:r>
      </w:hyperlink>
    </w:p>
    <w:p w:rsidR="00EE0CF3" w:rsidRDefault="00EE0CF3" w:rsidP="00EE0CF3">
      <w:pPr>
        <w:pStyle w:val="NormalWeb"/>
        <w:numPr>
          <w:ilvl w:val="0"/>
          <w:numId w:val="3"/>
        </w:numPr>
        <w:jc w:val="both"/>
      </w:pPr>
      <w:r>
        <w:t xml:space="preserve">Hasanah, L. N., Faisal, M. S., Ahmed, Z., &amp; Hasyim, M. Y. A. (2025). Religious diversity and the digital economy: Legal–academic pathways to harmonize Sharia and international law. </w:t>
      </w:r>
      <w:r>
        <w:rPr>
          <w:rStyle w:val="Emphasis"/>
          <w:rFonts w:eastAsiaTheme="majorEastAsia"/>
        </w:rPr>
        <w:t>International Journal of Law and Social Sciences, 1</w:t>
      </w:r>
      <w:r>
        <w:t xml:space="preserve">(1). </w:t>
      </w:r>
      <w:hyperlink r:id="rId26" w:history="1">
        <w:r>
          <w:rPr>
            <w:rStyle w:val="Hyperlink"/>
            <w:rFonts w:eastAsiaTheme="majorEastAsia"/>
          </w:rPr>
          <w:t>https://doi.org/10.65960/ijlss.1.1.2025.8</w:t>
        </w:r>
      </w:hyperlink>
    </w:p>
    <w:p w:rsidR="00EE0CF3" w:rsidRDefault="00EE0CF3" w:rsidP="00EE0CF3">
      <w:pPr>
        <w:pStyle w:val="NormalWeb"/>
        <w:numPr>
          <w:ilvl w:val="0"/>
          <w:numId w:val="3"/>
        </w:numPr>
        <w:jc w:val="both"/>
      </w:pPr>
      <w:r>
        <w:lastRenderedPageBreak/>
        <w:t xml:space="preserve">Hatab, S. (2023). Political economy of development in the Arab republics: The state and socio-economic coalitions. </w:t>
      </w:r>
      <w:r>
        <w:rPr>
          <w:rStyle w:val="Emphasis"/>
          <w:rFonts w:eastAsiaTheme="majorEastAsia"/>
        </w:rPr>
        <w:t>Economic History of Developing Regions, 38</w:t>
      </w:r>
      <w:r>
        <w:t xml:space="preserve">(3), 281–304. </w:t>
      </w:r>
      <w:hyperlink r:id="rId27" w:history="1">
        <w:r>
          <w:rPr>
            <w:rStyle w:val="Hyperlink"/>
            <w:rFonts w:eastAsiaTheme="majorEastAsia"/>
          </w:rPr>
          <w:t>https://doi.org/10.1080/20780389.2023.2209285</w:t>
        </w:r>
      </w:hyperlink>
    </w:p>
    <w:p w:rsidR="00EE0CF3" w:rsidRDefault="00EE0CF3" w:rsidP="00EE0CF3">
      <w:pPr>
        <w:pStyle w:val="NormalWeb"/>
        <w:numPr>
          <w:ilvl w:val="0"/>
          <w:numId w:val="3"/>
        </w:numPr>
        <w:jc w:val="both"/>
      </w:pPr>
      <w:r>
        <w:t xml:space="preserve">Jordan, D. (2023). Abū l-Hudà al-Sayyādī (1850–1909), the niqābat al-ašrāf, and Sufism between Sunnah and Šīʿah in late Ottoman Iraq (Šarīfism in modernity I). </w:t>
      </w:r>
      <w:r>
        <w:rPr>
          <w:rStyle w:val="Emphasis"/>
          <w:rFonts w:eastAsiaTheme="majorEastAsia"/>
        </w:rPr>
        <w:t>Oriente Moderno, 103</w:t>
      </w:r>
      <w:r>
        <w:t xml:space="preserve">(1), 227–255. </w:t>
      </w:r>
      <w:hyperlink r:id="rId28" w:history="1">
        <w:r>
          <w:rPr>
            <w:rStyle w:val="Hyperlink"/>
            <w:rFonts w:eastAsiaTheme="majorEastAsia"/>
          </w:rPr>
          <w:t>https://doi.org/10.1163/22138617-12340313</w:t>
        </w:r>
      </w:hyperlink>
    </w:p>
    <w:p w:rsidR="00EE0CF3" w:rsidRDefault="00EE0CF3" w:rsidP="00EE0CF3">
      <w:pPr>
        <w:pStyle w:val="NormalWeb"/>
        <w:numPr>
          <w:ilvl w:val="0"/>
          <w:numId w:val="3"/>
        </w:numPr>
        <w:jc w:val="both"/>
      </w:pPr>
      <w:r>
        <w:t xml:space="preserve">Karaman, K. K., &amp; Pamuk, Ş. (2010). Ottoman state finances in European perspective, 1500–1914. </w:t>
      </w:r>
      <w:r>
        <w:rPr>
          <w:rStyle w:val="Emphasis"/>
          <w:rFonts w:eastAsiaTheme="majorEastAsia"/>
        </w:rPr>
        <w:t>The Journal of Economic History, 70</w:t>
      </w:r>
      <w:r>
        <w:t xml:space="preserve">(3), 593–629. </w:t>
      </w:r>
      <w:hyperlink r:id="rId29" w:history="1">
        <w:r>
          <w:rPr>
            <w:rStyle w:val="Hyperlink"/>
            <w:rFonts w:eastAsiaTheme="majorEastAsia"/>
          </w:rPr>
          <w:t>https://doi.org/10.1017/S0022050710000550</w:t>
        </w:r>
      </w:hyperlink>
    </w:p>
    <w:p w:rsidR="00EE0CF3" w:rsidRDefault="00EE0CF3" w:rsidP="00EE0CF3">
      <w:pPr>
        <w:pStyle w:val="NormalWeb"/>
        <w:numPr>
          <w:ilvl w:val="0"/>
          <w:numId w:val="3"/>
        </w:numPr>
        <w:jc w:val="both"/>
      </w:pPr>
      <w:r>
        <w:t xml:space="preserve">Liaqat, H., Paveljšek, D., Oberčkal, J., &amp; Matijašić, B. B. (2026). Valorisation of acid whey permeate for high-purity nisin Z production using artisanal </w:t>
      </w:r>
      <w:r>
        <w:rPr>
          <w:rStyle w:val="Emphasis"/>
          <w:rFonts w:eastAsiaTheme="majorEastAsia"/>
        </w:rPr>
        <w:t>Lactococcus lactis</w:t>
      </w:r>
      <w:r>
        <w:t xml:space="preserve"> isolates. </w:t>
      </w:r>
      <w:r>
        <w:rPr>
          <w:rStyle w:val="Emphasis"/>
          <w:rFonts w:eastAsiaTheme="majorEastAsia"/>
        </w:rPr>
        <w:t>BMC Microbiology, 26</w:t>
      </w:r>
      <w:r>
        <w:t xml:space="preserve">(1), Article 9. </w:t>
      </w:r>
      <w:hyperlink r:id="rId30" w:history="1">
        <w:r>
          <w:rPr>
            <w:rStyle w:val="Hyperlink"/>
            <w:rFonts w:eastAsiaTheme="majorEastAsia"/>
          </w:rPr>
          <w:t>https://doi.org/10.1186/s12866-025-04543-x</w:t>
        </w:r>
      </w:hyperlink>
    </w:p>
    <w:p w:rsidR="00EE0CF3" w:rsidRDefault="00EE0CF3" w:rsidP="00EE0CF3">
      <w:pPr>
        <w:pStyle w:val="NormalWeb"/>
        <w:numPr>
          <w:ilvl w:val="0"/>
          <w:numId w:val="3"/>
        </w:numPr>
        <w:jc w:val="both"/>
      </w:pPr>
      <w:r>
        <w:t xml:space="preserve">Lyan, C. (2022). The Ottoman model: Basra and the making of Qajar reform, 1881–1889. </w:t>
      </w:r>
      <w:r>
        <w:rPr>
          <w:rStyle w:val="Emphasis"/>
          <w:rFonts w:eastAsiaTheme="majorEastAsia"/>
        </w:rPr>
        <w:t>Comparative Studies in Society and History, 64</w:t>
      </w:r>
      <w:r>
        <w:t xml:space="preserve">(4), 1026–1054. </w:t>
      </w:r>
      <w:hyperlink r:id="rId31" w:history="1">
        <w:r>
          <w:rPr>
            <w:rStyle w:val="Hyperlink"/>
            <w:rFonts w:eastAsiaTheme="majorEastAsia"/>
          </w:rPr>
          <w:t>https://doi.org/10.1017/S0010417522000290</w:t>
        </w:r>
      </w:hyperlink>
    </w:p>
    <w:p w:rsidR="00EE0CF3" w:rsidRDefault="00EE0CF3" w:rsidP="00EE0CF3">
      <w:pPr>
        <w:pStyle w:val="NormalWeb"/>
        <w:numPr>
          <w:ilvl w:val="0"/>
          <w:numId w:val="3"/>
        </w:numPr>
        <w:jc w:val="both"/>
      </w:pPr>
      <w:r>
        <w:t xml:space="preserve">Moor, B. (2025). </w:t>
      </w:r>
      <w:r>
        <w:rPr>
          <w:rStyle w:val="Emphasis"/>
          <w:rFonts w:eastAsiaTheme="majorEastAsia"/>
        </w:rPr>
        <w:t>Illustrated Ottoman cosmographies, c. 1550–1700: The world through Muslim eyes</w:t>
      </w:r>
      <w:r>
        <w:t>. Edinburgh University Press.</w:t>
      </w:r>
    </w:p>
    <w:p w:rsidR="00EE0CF3" w:rsidRDefault="00EE0CF3" w:rsidP="00EE0CF3">
      <w:pPr>
        <w:pStyle w:val="NormalWeb"/>
        <w:numPr>
          <w:ilvl w:val="0"/>
          <w:numId w:val="3"/>
        </w:numPr>
        <w:jc w:val="both"/>
      </w:pPr>
      <w:r>
        <w:t xml:space="preserve">Muhammad, A. (2023). Peaceful coexistence between Muslims and others in Fallujah during the Ottoman and royal eras. </w:t>
      </w:r>
      <w:r>
        <w:rPr>
          <w:rStyle w:val="Emphasis"/>
          <w:rFonts w:eastAsiaTheme="majorEastAsia"/>
        </w:rPr>
        <w:t>Islamic Sciences Journal, 12</w:t>
      </w:r>
      <w:r>
        <w:t xml:space="preserve">(3), 24–42. </w:t>
      </w:r>
      <w:hyperlink r:id="rId32" w:history="1">
        <w:r>
          <w:rPr>
            <w:rStyle w:val="Hyperlink"/>
            <w:rFonts w:eastAsiaTheme="majorEastAsia"/>
          </w:rPr>
          <w:t>https://doi.org/10.25130/jis.21.12.3.2.2</w:t>
        </w:r>
      </w:hyperlink>
    </w:p>
    <w:p w:rsidR="00EE0CF3" w:rsidRDefault="00EE0CF3" w:rsidP="00EE0CF3">
      <w:pPr>
        <w:pStyle w:val="NormalWeb"/>
        <w:numPr>
          <w:ilvl w:val="0"/>
          <w:numId w:val="3"/>
        </w:numPr>
        <w:jc w:val="both"/>
      </w:pPr>
      <w:r>
        <w:t xml:space="preserve">Mustafa, A., Ishaque, M., Raza, R., Samiullah, &amp; Raza, M. I. (2025). When culture meets fiqh: Examining the legal authority of ʿurf in contemporary engagement traditions. </w:t>
      </w:r>
      <w:r>
        <w:rPr>
          <w:rStyle w:val="Emphasis"/>
          <w:rFonts w:eastAsiaTheme="majorEastAsia"/>
        </w:rPr>
        <w:t>Global Islamic Research Journal, 1</w:t>
      </w:r>
      <w:r>
        <w:t xml:space="preserve">(1), 1–21. </w:t>
      </w:r>
      <w:hyperlink r:id="rId33" w:history="1">
        <w:r>
          <w:rPr>
            <w:rStyle w:val="Hyperlink"/>
            <w:rFonts w:eastAsiaTheme="majorEastAsia"/>
          </w:rPr>
          <w:t>https://doi.org/10.65960/girj.1.1.2025.6</w:t>
        </w:r>
      </w:hyperlink>
    </w:p>
    <w:p w:rsidR="00EE0CF3" w:rsidRDefault="00EE0CF3" w:rsidP="00EE0CF3">
      <w:pPr>
        <w:pStyle w:val="NormalWeb"/>
        <w:numPr>
          <w:ilvl w:val="0"/>
          <w:numId w:val="3"/>
        </w:numPr>
        <w:jc w:val="both"/>
      </w:pPr>
      <w:r>
        <w:t xml:space="preserve">Orbay, K. (2018). The ‘Celâlî effect’ on rural production and demography in central Anatolia: The Waqf of Hatuniyye (1590s to 1638). </w:t>
      </w:r>
      <w:hyperlink r:id="rId34" w:history="1">
        <w:r>
          <w:rPr>
            <w:rStyle w:val="Hyperlink"/>
            <w:rFonts w:eastAsiaTheme="majorEastAsia"/>
          </w:rPr>
          <w:t>https://doi.org/10.1556/062.2018.71.1.3</w:t>
        </w:r>
      </w:hyperlink>
    </w:p>
    <w:p w:rsidR="00EE0CF3" w:rsidRDefault="00EE0CF3" w:rsidP="00EE0CF3">
      <w:pPr>
        <w:pStyle w:val="NormalWeb"/>
        <w:numPr>
          <w:ilvl w:val="0"/>
          <w:numId w:val="3"/>
        </w:numPr>
        <w:jc w:val="both"/>
      </w:pPr>
      <w:r>
        <w:t xml:space="preserve">Özervarlı, M. S. (2026). Seeking knowledge beyond Istanbul: Ottoman scholar Veliyüddin Cârullah’s (d. 1738) journey to the eastern lands of the empire for intellectual explorations. </w:t>
      </w:r>
      <w:r>
        <w:rPr>
          <w:rStyle w:val="Emphasis"/>
          <w:rFonts w:eastAsiaTheme="majorEastAsia"/>
        </w:rPr>
        <w:t>Journal of Islamic Studies, 37</w:t>
      </w:r>
      <w:r>
        <w:t xml:space="preserve">(2), 245–278. </w:t>
      </w:r>
      <w:hyperlink r:id="rId35" w:history="1">
        <w:r>
          <w:rPr>
            <w:rStyle w:val="Hyperlink"/>
            <w:rFonts w:eastAsiaTheme="majorEastAsia"/>
          </w:rPr>
          <w:t>https://doi.org/10.1093/jis/etaf026</w:t>
        </w:r>
      </w:hyperlink>
    </w:p>
    <w:p w:rsidR="00EE0CF3" w:rsidRDefault="00EE0CF3" w:rsidP="00EE0CF3">
      <w:pPr>
        <w:pStyle w:val="NormalWeb"/>
        <w:numPr>
          <w:ilvl w:val="0"/>
          <w:numId w:val="3"/>
        </w:numPr>
        <w:jc w:val="both"/>
      </w:pPr>
      <w:r>
        <w:t xml:space="preserve">Pamuk, Ş. (2006). Estimating economic growth in the Middle East since 1820. </w:t>
      </w:r>
      <w:r>
        <w:rPr>
          <w:rStyle w:val="Emphasis"/>
          <w:rFonts w:eastAsiaTheme="majorEastAsia"/>
        </w:rPr>
        <w:t>The Journal of Economic History, 66</w:t>
      </w:r>
      <w:r>
        <w:t xml:space="preserve">(3), 809–828. </w:t>
      </w:r>
      <w:hyperlink r:id="rId36" w:history="1">
        <w:r>
          <w:rPr>
            <w:rStyle w:val="Hyperlink"/>
            <w:rFonts w:eastAsiaTheme="majorEastAsia"/>
          </w:rPr>
          <w:t>https://doi.org/10.1017/S0022050706000337</w:t>
        </w:r>
      </w:hyperlink>
    </w:p>
    <w:p w:rsidR="00EE0CF3" w:rsidRDefault="00EE0CF3" w:rsidP="00EE0CF3">
      <w:pPr>
        <w:pStyle w:val="NormalWeb"/>
        <w:numPr>
          <w:ilvl w:val="0"/>
          <w:numId w:val="3"/>
        </w:numPr>
        <w:jc w:val="both"/>
      </w:pPr>
      <w:r>
        <w:t xml:space="preserve">Pamuk, Ş. (2018). </w:t>
      </w:r>
      <w:r>
        <w:rPr>
          <w:rStyle w:val="Emphasis"/>
          <w:rFonts w:eastAsiaTheme="majorEastAsia"/>
        </w:rPr>
        <w:t>Uneven centuries: Economic development of Turkey since 1820</w:t>
      </w:r>
      <w:r>
        <w:t xml:space="preserve">. Princeton University Press. </w:t>
      </w:r>
      <w:hyperlink r:id="rId37" w:history="1">
        <w:r>
          <w:rPr>
            <w:rStyle w:val="Hyperlink"/>
            <w:rFonts w:eastAsiaTheme="majorEastAsia"/>
          </w:rPr>
          <w:t>https://doi.org/10.1515/9781400884872</w:t>
        </w:r>
      </w:hyperlink>
    </w:p>
    <w:p w:rsidR="00EE0CF3" w:rsidRDefault="00EE0CF3" w:rsidP="00EE0CF3">
      <w:pPr>
        <w:pStyle w:val="NormalWeb"/>
        <w:numPr>
          <w:ilvl w:val="0"/>
          <w:numId w:val="3"/>
        </w:numPr>
        <w:jc w:val="both"/>
      </w:pPr>
      <w:r>
        <w:t xml:space="preserve">Quataert, D. (2005). </w:t>
      </w:r>
      <w:r>
        <w:rPr>
          <w:rStyle w:val="Emphasis"/>
          <w:rFonts w:eastAsiaTheme="majorEastAsia"/>
        </w:rPr>
        <w:t>The Ottoman Empire, 1700–1922</w:t>
      </w:r>
      <w:r>
        <w:t xml:space="preserve"> (2nd ed.). Cambridge University Press. </w:t>
      </w:r>
      <w:hyperlink r:id="rId38" w:history="1">
        <w:r>
          <w:rPr>
            <w:rStyle w:val="Hyperlink"/>
            <w:rFonts w:eastAsiaTheme="majorEastAsia"/>
          </w:rPr>
          <w:t>https://doi.org/10.1017/CBO9780511818851</w:t>
        </w:r>
      </w:hyperlink>
    </w:p>
    <w:p w:rsidR="00EE0CF3" w:rsidRDefault="00EE0CF3" w:rsidP="00EE0CF3">
      <w:pPr>
        <w:pStyle w:val="NormalWeb"/>
        <w:numPr>
          <w:ilvl w:val="0"/>
          <w:numId w:val="3"/>
        </w:numPr>
        <w:jc w:val="both"/>
      </w:pPr>
      <w:r>
        <w:t xml:space="preserve">Rajchlová, J., &amp; Svatošová, V. (2023). Benchmarking study of existing possibilities for the development of social farming in the Czech Republic. </w:t>
      </w:r>
      <w:r>
        <w:rPr>
          <w:rStyle w:val="Emphasis"/>
          <w:rFonts w:eastAsiaTheme="majorEastAsia"/>
        </w:rPr>
        <w:t>European Countryside, 15</w:t>
      </w:r>
      <w:r>
        <w:t xml:space="preserve">(4), 633–646. </w:t>
      </w:r>
      <w:hyperlink r:id="rId39" w:history="1">
        <w:r>
          <w:rPr>
            <w:rStyle w:val="Hyperlink"/>
            <w:rFonts w:eastAsiaTheme="majorEastAsia"/>
          </w:rPr>
          <w:t>https://doi.org/10.2478/euco-2023-0034</w:t>
        </w:r>
      </w:hyperlink>
    </w:p>
    <w:p w:rsidR="00EE0CF3" w:rsidRDefault="00EE0CF3" w:rsidP="00EE0CF3">
      <w:pPr>
        <w:pStyle w:val="NormalWeb"/>
        <w:numPr>
          <w:ilvl w:val="0"/>
          <w:numId w:val="3"/>
        </w:numPr>
        <w:jc w:val="both"/>
      </w:pPr>
      <w:r>
        <w:t xml:space="preserve">Şahin, E. (2025). A persistent opponent in the late Ottoman period: Abdurrezzak Effendi from Baghdad and the </w:t>
      </w:r>
      <w:r>
        <w:rPr>
          <w:rStyle w:val="Emphasis"/>
          <w:rFonts w:eastAsiaTheme="majorEastAsia"/>
        </w:rPr>
        <w:t>Intikad</w:t>
      </w:r>
      <w:r>
        <w:t xml:space="preserve"> newspaper. </w:t>
      </w:r>
      <w:r>
        <w:rPr>
          <w:rStyle w:val="Emphasis"/>
          <w:rFonts w:eastAsiaTheme="majorEastAsia"/>
        </w:rPr>
        <w:t>Middle Eastern Studies, 61</w:t>
      </w:r>
      <w:r>
        <w:t xml:space="preserve">(6), 801–818. </w:t>
      </w:r>
      <w:hyperlink r:id="rId40" w:history="1">
        <w:r>
          <w:rPr>
            <w:rStyle w:val="Hyperlink"/>
            <w:rFonts w:eastAsiaTheme="majorEastAsia"/>
          </w:rPr>
          <w:t>https://doi.org/10.1080/00263206.2025.2515050</w:t>
        </w:r>
      </w:hyperlink>
    </w:p>
    <w:p w:rsidR="00EE0CF3" w:rsidRDefault="00EE0CF3" w:rsidP="00EE0CF3">
      <w:pPr>
        <w:pStyle w:val="NormalWeb"/>
        <w:numPr>
          <w:ilvl w:val="0"/>
          <w:numId w:val="3"/>
        </w:numPr>
        <w:jc w:val="both"/>
      </w:pPr>
      <w:r>
        <w:lastRenderedPageBreak/>
        <w:t xml:space="preserve">Satyo, B. K., &amp; Prasetyo, B. A. Y. (2026). Artificial intelligence and the future of human rights: Legal accountability for algorithmic decision-making in democratic societies. </w:t>
      </w:r>
      <w:r>
        <w:rPr>
          <w:rStyle w:val="Emphasis"/>
          <w:rFonts w:eastAsiaTheme="majorEastAsia"/>
        </w:rPr>
        <w:t>International Journal of Law and Social Sciences, 2</w:t>
      </w:r>
      <w:r>
        <w:t xml:space="preserve">(1), 54–74. </w:t>
      </w:r>
      <w:hyperlink r:id="rId41" w:history="1">
        <w:r>
          <w:rPr>
            <w:rStyle w:val="Hyperlink"/>
            <w:rFonts w:eastAsiaTheme="majorEastAsia"/>
          </w:rPr>
          <w:t>https://doi.org/10.65960/ijlss.2.1.2026.12</w:t>
        </w:r>
      </w:hyperlink>
    </w:p>
    <w:p w:rsidR="00EE0CF3" w:rsidRDefault="00EE0CF3" w:rsidP="00EE0CF3">
      <w:pPr>
        <w:pStyle w:val="NormalWeb"/>
        <w:numPr>
          <w:ilvl w:val="0"/>
          <w:numId w:val="3"/>
        </w:numPr>
        <w:jc w:val="both"/>
      </w:pPr>
      <w:r>
        <w:t xml:space="preserve">Sharb, Z. A., &amp; Dabbagh, S. M. W. (2026). The role of heritage buildings' interior design in enhancing the identity of local architecture: Baghdad palaces during the royal era (1921–1958) as a case study. </w:t>
      </w:r>
      <w:r>
        <w:rPr>
          <w:rStyle w:val="Emphasis"/>
          <w:rFonts w:eastAsiaTheme="majorEastAsia"/>
        </w:rPr>
        <w:t>AIP Conference Proceedings, 3379</w:t>
      </w:r>
      <w:r>
        <w:t xml:space="preserve">(1), Article 050046. </w:t>
      </w:r>
      <w:hyperlink r:id="rId42" w:history="1">
        <w:r>
          <w:rPr>
            <w:rStyle w:val="Hyperlink"/>
            <w:rFonts w:eastAsiaTheme="majorEastAsia"/>
          </w:rPr>
          <w:t>https://doi.org/10.1063/5.0306691</w:t>
        </w:r>
      </w:hyperlink>
    </w:p>
    <w:p w:rsidR="00EE0CF3" w:rsidRDefault="00EE0CF3" w:rsidP="00EE0CF3">
      <w:pPr>
        <w:pStyle w:val="NormalWeb"/>
        <w:numPr>
          <w:ilvl w:val="0"/>
          <w:numId w:val="3"/>
        </w:numPr>
        <w:jc w:val="both"/>
      </w:pPr>
      <w:r>
        <w:t xml:space="preserve">Vezzoli, V., Hasan, B. J., &amp; Tonghini, C. (2024). Stations of the Ottoman period in Iraqi Kurdistan: Preliminary results from the Bazhera Archaeological Project. </w:t>
      </w:r>
      <w:r>
        <w:rPr>
          <w:rStyle w:val="Emphasis"/>
          <w:rFonts w:eastAsiaTheme="majorEastAsia"/>
        </w:rPr>
        <w:t>Annali di Ca’ Foscari. Serie Orientale, 60</w:t>
      </w:r>
      <w:r>
        <w:t xml:space="preserve">, 41–63. </w:t>
      </w:r>
      <w:hyperlink r:id="rId43" w:history="1">
        <w:r>
          <w:rPr>
            <w:rStyle w:val="Hyperlink"/>
            <w:rFonts w:eastAsiaTheme="majorEastAsia"/>
          </w:rPr>
          <w:t>https://doi.org/10.30687/AnnOr/2385-3042/2024/01/002</w:t>
        </w:r>
      </w:hyperlink>
    </w:p>
    <w:p w:rsidR="008325BD" w:rsidRPr="00114BD2" w:rsidRDefault="00EE0CF3" w:rsidP="00114BD2">
      <w:pPr>
        <w:pStyle w:val="NormalWeb"/>
        <w:numPr>
          <w:ilvl w:val="0"/>
          <w:numId w:val="3"/>
        </w:numPr>
        <w:jc w:val="both"/>
      </w:pPr>
      <w:r>
        <w:t xml:space="preserve">Yurtalan, B. (2024). İslâm düşünce tarihine kaynaklık değeri bakımından coğrafya eserleri—İbn Havkal ve Makdisî örneği [Geographical works as a source for the history of Islamic thought: The example of Ibn Hawqal and al-Maqdisī]. </w:t>
      </w:r>
      <w:r>
        <w:rPr>
          <w:rStyle w:val="Emphasis"/>
          <w:rFonts w:eastAsiaTheme="majorEastAsia"/>
        </w:rPr>
        <w:t>Hitit Theology Journal, 23</w:t>
      </w:r>
      <w:r>
        <w:t xml:space="preserve">, 208–229. </w:t>
      </w:r>
      <w:hyperlink r:id="rId44" w:history="1">
        <w:r>
          <w:rPr>
            <w:rStyle w:val="Hyperlink"/>
            <w:rFonts w:eastAsiaTheme="majorEastAsia"/>
          </w:rPr>
          <w:t>https://doi.org/10.14395/hid.1416650</w:t>
        </w:r>
      </w:hyperlink>
    </w:p>
    <w:sectPr w:rsidR="008325BD" w:rsidRPr="00114BD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37C" w:rsidRDefault="0021337C" w:rsidP="00064B7A">
      <w:pPr>
        <w:spacing w:after="0" w:line="240" w:lineRule="auto"/>
      </w:pPr>
      <w:r>
        <w:separator/>
      </w:r>
    </w:p>
  </w:endnote>
  <w:endnote w:type="continuationSeparator" w:id="0">
    <w:p w:rsidR="0021337C" w:rsidRDefault="0021337C" w:rsidP="00064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37C" w:rsidRDefault="0021337C" w:rsidP="00064B7A">
      <w:pPr>
        <w:spacing w:after="0" w:line="240" w:lineRule="auto"/>
      </w:pPr>
      <w:r>
        <w:separator/>
      </w:r>
    </w:p>
  </w:footnote>
  <w:footnote w:type="continuationSeparator" w:id="0">
    <w:p w:rsidR="0021337C" w:rsidRDefault="0021337C" w:rsidP="00064B7A">
      <w:pPr>
        <w:spacing w:after="0" w:line="240" w:lineRule="auto"/>
      </w:pPr>
      <w:r>
        <w:continuationSeparator/>
      </w:r>
    </w:p>
  </w:footnote>
  <w:footnote w:id="1">
    <w:p w:rsidR="00A4241D" w:rsidRPr="00EE0CF3" w:rsidRDefault="00A4241D" w:rsidP="00EE0CF3">
      <w:pPr>
        <w:pStyle w:val="NoSpacing"/>
        <w:jc w:val="both"/>
      </w:pPr>
      <w:r w:rsidRPr="00EE0CF3">
        <w:rPr>
          <w:rStyle w:val="FootnoteReference"/>
        </w:rPr>
        <w:footnoteRef/>
      </w:r>
      <w:r w:rsidRPr="00EE0CF3">
        <w:t xml:space="preserve"> Lyan, C. (2022). The Ottoman model: Basra and the making of Qajar reform, 1881–1889. </w:t>
      </w:r>
      <w:r w:rsidRPr="00EE0CF3">
        <w:rPr>
          <w:rStyle w:val="Emphasis"/>
        </w:rPr>
        <w:t>Comparative Studies in Society and History, 64</w:t>
      </w:r>
      <w:r w:rsidRPr="00EE0CF3">
        <w:t>(4), 1026–1054. https://doi.org/10.1017/S0010417522000290</w:t>
      </w:r>
    </w:p>
  </w:footnote>
  <w:footnote w:id="2">
    <w:p w:rsidR="00A4241D" w:rsidRPr="00EE0CF3" w:rsidRDefault="00A4241D" w:rsidP="00EE0CF3">
      <w:pPr>
        <w:pStyle w:val="NoSpacing"/>
        <w:jc w:val="both"/>
      </w:pPr>
      <w:r w:rsidRPr="00EE0CF3">
        <w:rPr>
          <w:rStyle w:val="FootnoteReference"/>
        </w:rPr>
        <w:footnoteRef/>
      </w:r>
      <w:r w:rsidRPr="00EE0CF3">
        <w:t xml:space="preserve"> Clark, P. (2012). The Ottoman origins of modern Iraq: Political reform, modernization and development in the nineteenth-century Middle East. </w:t>
      </w:r>
      <w:r w:rsidRPr="00EE0CF3">
        <w:rPr>
          <w:rStyle w:val="Emphasis"/>
        </w:rPr>
        <w:t>Asian Affairs, 43</w:t>
      </w:r>
      <w:r w:rsidRPr="00EE0CF3">
        <w:t>(3), 490–492. https://doi.org/10.1080/03068374.2012.720488</w:t>
      </w:r>
    </w:p>
  </w:footnote>
  <w:footnote w:id="3">
    <w:p w:rsidR="00A4241D" w:rsidRPr="00EE0CF3" w:rsidRDefault="00A4241D" w:rsidP="00EE0CF3">
      <w:pPr>
        <w:pStyle w:val="NoSpacing"/>
        <w:jc w:val="both"/>
      </w:pPr>
      <w:r w:rsidRPr="00EE0CF3">
        <w:rPr>
          <w:rStyle w:val="FootnoteReference"/>
        </w:rPr>
        <w:footnoteRef/>
      </w:r>
      <w:r w:rsidRPr="00EE0CF3">
        <w:t xml:space="preserve"> Ceylan, P., &amp; Coşgel, M. M. (2025). Quantitative data and the economy. In </w:t>
      </w:r>
      <w:r w:rsidRPr="00EE0CF3">
        <w:rPr>
          <w:rStyle w:val="Emphasis"/>
        </w:rPr>
        <w:t>The Cambridge Companion to Ottoman History</w:t>
      </w:r>
      <w:r w:rsidRPr="00EE0CF3">
        <w:t xml:space="preserve"> (pp. 101–116). Cambridge University Press.</w:t>
      </w:r>
    </w:p>
  </w:footnote>
  <w:footnote w:id="4">
    <w:p w:rsidR="00A4241D" w:rsidRPr="00EE0CF3" w:rsidRDefault="00A4241D" w:rsidP="00EE0CF3">
      <w:pPr>
        <w:pStyle w:val="NoSpacing"/>
        <w:jc w:val="both"/>
      </w:pPr>
      <w:r w:rsidRPr="00EE0CF3">
        <w:rPr>
          <w:rStyle w:val="FootnoteReference"/>
        </w:rPr>
        <w:footnoteRef/>
      </w:r>
      <w:r w:rsidRPr="00EE0CF3">
        <w:t xml:space="preserve"> Aydın, K. (2021). Ottoman provincial governance and state-society relations in the Arab provinces during the Tanzimat era. </w:t>
      </w:r>
      <w:r w:rsidRPr="00EE0CF3">
        <w:rPr>
          <w:rStyle w:val="Emphasis"/>
        </w:rPr>
        <w:t>Journal of Global History</w:t>
      </w:r>
      <w:r w:rsidRPr="00EE0CF3">
        <w:t>.</w:t>
      </w:r>
    </w:p>
  </w:footnote>
  <w:footnote w:id="5">
    <w:p w:rsidR="00A4241D" w:rsidRPr="00EE0CF3" w:rsidRDefault="00A4241D" w:rsidP="00EE0CF3">
      <w:pPr>
        <w:pStyle w:val="NoSpacing"/>
        <w:jc w:val="both"/>
      </w:pPr>
      <w:r w:rsidRPr="00EE0CF3">
        <w:rPr>
          <w:rStyle w:val="FootnoteReference"/>
        </w:rPr>
        <w:footnoteRef/>
      </w:r>
      <w:r w:rsidRPr="00EE0CF3">
        <w:t xml:space="preserve"> Pamuk, Ş. (2018). </w:t>
      </w:r>
      <w:r w:rsidRPr="00EE0CF3">
        <w:rPr>
          <w:rStyle w:val="Emphasis"/>
        </w:rPr>
        <w:t>Uneven centuries: Economic development of Turkey since 1820</w:t>
      </w:r>
      <w:r w:rsidRPr="00EE0CF3">
        <w:t>. Princeton University Press. https://doi.org/10.1515/9781400884872</w:t>
      </w:r>
    </w:p>
  </w:footnote>
  <w:footnote w:id="6">
    <w:p w:rsidR="00A4241D" w:rsidRPr="00EE0CF3" w:rsidRDefault="00A4241D" w:rsidP="00EE0CF3">
      <w:pPr>
        <w:pStyle w:val="NoSpacing"/>
        <w:jc w:val="both"/>
      </w:pPr>
      <w:r w:rsidRPr="00EE0CF3">
        <w:rPr>
          <w:rStyle w:val="FootnoteReference"/>
        </w:rPr>
        <w:footnoteRef/>
      </w:r>
      <w:r w:rsidRPr="00EE0CF3">
        <w:t xml:space="preserve"> Quataert, D. (2005). </w:t>
      </w:r>
      <w:r w:rsidRPr="00EE0CF3">
        <w:rPr>
          <w:rStyle w:val="Emphasis"/>
        </w:rPr>
        <w:t>The Ottoman Empire, 1700–1922</w:t>
      </w:r>
      <w:r w:rsidRPr="00EE0CF3">
        <w:t xml:space="preserve"> (2nd ed.). Cambridge University Press. </w:t>
      </w:r>
      <w:hyperlink r:id="rId1" w:tgtFrame="_new" w:history="1">
        <w:r w:rsidRPr="00EE0CF3">
          <w:rPr>
            <w:rStyle w:val="Hyperlink"/>
            <w:color w:val="auto"/>
          </w:rPr>
          <w:t>https://doi.org/10.1017/CBO9780511818851</w:t>
        </w:r>
      </w:hyperlink>
    </w:p>
  </w:footnote>
  <w:footnote w:id="7">
    <w:p w:rsidR="00A4241D" w:rsidRPr="00EE0CF3" w:rsidRDefault="00A4241D" w:rsidP="00EE0CF3">
      <w:pPr>
        <w:pStyle w:val="NoSpacing"/>
        <w:jc w:val="both"/>
      </w:pPr>
      <w:r w:rsidRPr="00EE0CF3">
        <w:rPr>
          <w:rStyle w:val="FootnoteReference"/>
        </w:rPr>
        <w:footnoteRef/>
      </w:r>
      <w:r w:rsidRPr="00EE0CF3">
        <w:t xml:space="preserve"> Coşgel, M. M., &amp; Ergene, B. A. (2012). Inequality of taxation and the burden of tax farming in the early modern Ottoman Empire. </w:t>
      </w:r>
      <w:r w:rsidRPr="00EE0CF3">
        <w:rPr>
          <w:rStyle w:val="Emphasis"/>
        </w:rPr>
        <w:t>Explorations in Economic History, 49</w:t>
      </w:r>
      <w:r w:rsidRPr="00EE0CF3">
        <w:t>(2), 219–231. https://doi.org/10.1016/j.eeh.2011.12.001</w:t>
      </w:r>
    </w:p>
  </w:footnote>
  <w:footnote w:id="8">
    <w:p w:rsidR="00A4241D" w:rsidRPr="00EE0CF3" w:rsidRDefault="00A4241D" w:rsidP="00EE0CF3">
      <w:pPr>
        <w:pStyle w:val="NoSpacing"/>
        <w:jc w:val="both"/>
      </w:pPr>
      <w:r w:rsidRPr="00EE0CF3">
        <w:rPr>
          <w:rStyle w:val="FootnoteReference"/>
        </w:rPr>
        <w:footnoteRef/>
      </w:r>
      <w:r w:rsidRPr="00EE0CF3">
        <w:t xml:space="preserve"> Lyan, C. (2022). The Ottoman model: Basra and the making of Qajar reform, 1881–1889. </w:t>
      </w:r>
      <w:r w:rsidRPr="00EE0CF3">
        <w:rPr>
          <w:rStyle w:val="Emphasis"/>
        </w:rPr>
        <w:t>Comparative Studies in Society and History, 64</w:t>
      </w:r>
      <w:r w:rsidRPr="00EE0CF3">
        <w:t>(4), 1026–1054. https://doi.org/10.1017/S0010417522000290</w:t>
      </w:r>
    </w:p>
  </w:footnote>
  <w:footnote w:id="9">
    <w:p w:rsidR="00A4241D" w:rsidRPr="00EE0CF3" w:rsidRDefault="00A4241D" w:rsidP="00EE0CF3">
      <w:pPr>
        <w:pStyle w:val="NoSpacing"/>
        <w:jc w:val="both"/>
      </w:pPr>
      <w:r w:rsidRPr="00EE0CF3">
        <w:rPr>
          <w:rStyle w:val="FootnoteReference"/>
        </w:rPr>
        <w:footnoteRef/>
      </w:r>
      <w:r w:rsidRPr="00EE0CF3">
        <w:t xml:space="preserve"> Pamuk, Ş. (2006). Estimating economic growth in the Middle East since 1820. </w:t>
      </w:r>
      <w:r w:rsidRPr="00EE0CF3">
        <w:rPr>
          <w:i/>
          <w:iCs/>
        </w:rPr>
        <w:t>The Journal of Economic History, 66</w:t>
      </w:r>
      <w:r w:rsidRPr="00EE0CF3">
        <w:t>(3), 809–828. https://doi.org/10.1017/S0022050706000337</w:t>
      </w:r>
    </w:p>
  </w:footnote>
  <w:footnote w:id="10">
    <w:p w:rsidR="00A4241D" w:rsidRPr="00EE0CF3" w:rsidRDefault="00A4241D" w:rsidP="00EE0CF3">
      <w:pPr>
        <w:pStyle w:val="NoSpacing"/>
        <w:jc w:val="both"/>
      </w:pPr>
      <w:r w:rsidRPr="00EE0CF3">
        <w:rPr>
          <w:rStyle w:val="FootnoteReference"/>
        </w:rPr>
        <w:footnoteRef/>
      </w:r>
      <w:r w:rsidRPr="00EE0CF3">
        <w:t xml:space="preserve"> Coşgel, M. M., &amp; Ergene, B. A. (2009). Taxation, wealth and economic growth in the Ottoman Empire, 1560–1914. </w:t>
      </w:r>
      <w:r w:rsidRPr="00EE0CF3">
        <w:rPr>
          <w:rStyle w:val="Emphasis"/>
        </w:rPr>
        <w:t>Journal of Economic History, 69</w:t>
      </w:r>
      <w:r w:rsidRPr="00EE0CF3">
        <w:t>(2), 385–417. https://doi.org/10.1017/S0022050709000835</w:t>
      </w:r>
    </w:p>
  </w:footnote>
  <w:footnote w:id="11">
    <w:p w:rsidR="00A4241D" w:rsidRPr="00EE0CF3" w:rsidRDefault="00A4241D" w:rsidP="00EE0CF3">
      <w:pPr>
        <w:pStyle w:val="NoSpacing"/>
        <w:jc w:val="both"/>
        <w:rPr>
          <w:rFonts w:ascii="Times New Roman" w:eastAsia="Times New Roman" w:hAnsi="Times New Roman" w:cs="Times New Roman"/>
          <w:sz w:val="24"/>
          <w:szCs w:val="24"/>
        </w:rPr>
      </w:pPr>
      <w:r w:rsidRPr="00EE0CF3">
        <w:rPr>
          <w:rStyle w:val="FootnoteReference"/>
        </w:rPr>
        <w:footnoteRef/>
      </w:r>
      <w:r w:rsidRPr="00EE0CF3">
        <w:t xml:space="preserve"> </w:t>
      </w:r>
      <w:r w:rsidRPr="00EE0CF3">
        <w:rPr>
          <w:rFonts w:ascii="Times New Roman" w:eastAsia="Times New Roman" w:hAnsi="Times New Roman" w:cs="Times New Roman"/>
          <w:sz w:val="24"/>
          <w:szCs w:val="24"/>
        </w:rPr>
        <w:t xml:space="preserve">Al-Zubaidi, I. M. (2024). </w:t>
      </w:r>
      <w:r w:rsidRPr="00EE0CF3">
        <w:rPr>
          <w:rFonts w:ascii="Times New Roman" w:eastAsia="Times New Roman" w:hAnsi="Times New Roman" w:cs="Times New Roman"/>
          <w:i/>
          <w:iCs/>
          <w:sz w:val="24"/>
          <w:szCs w:val="24"/>
        </w:rPr>
        <w:t>Economic problems in Iraq during the late Ottoman era (1869–1914): Irrigation as a model</w:t>
      </w:r>
      <w:r w:rsidRPr="00EE0CF3">
        <w:rPr>
          <w:rFonts w:ascii="Times New Roman" w:eastAsia="Times New Roman" w:hAnsi="Times New Roman" w:cs="Times New Roman"/>
          <w:sz w:val="24"/>
          <w:szCs w:val="24"/>
        </w:rPr>
        <w:t xml:space="preserve">. </w:t>
      </w:r>
      <w:r w:rsidRPr="00EE0CF3">
        <w:rPr>
          <w:rFonts w:ascii="Times New Roman" w:eastAsia="Times New Roman" w:hAnsi="Times New Roman" w:cs="Times New Roman"/>
          <w:i/>
          <w:iCs/>
          <w:sz w:val="24"/>
          <w:szCs w:val="24"/>
        </w:rPr>
        <w:t>Journal of Sustainable Studies</w:t>
      </w:r>
      <w:r w:rsidRPr="00EE0CF3">
        <w:rPr>
          <w:rFonts w:ascii="Times New Roman" w:eastAsia="Times New Roman" w:hAnsi="Times New Roman" w:cs="Times New Roman"/>
          <w:sz w:val="24"/>
          <w:szCs w:val="24"/>
        </w:rPr>
        <w:t xml:space="preserve">, 6(1), 55–74. </w:t>
      </w:r>
    </w:p>
  </w:footnote>
  <w:footnote w:id="12">
    <w:p w:rsidR="00A4241D" w:rsidRPr="00EE0CF3" w:rsidRDefault="00A4241D" w:rsidP="00EE0CF3">
      <w:pPr>
        <w:pStyle w:val="NoSpacing"/>
        <w:jc w:val="both"/>
      </w:pPr>
      <w:r w:rsidRPr="00EE0CF3">
        <w:rPr>
          <w:rStyle w:val="FootnoteReference"/>
        </w:rPr>
        <w:footnoteRef/>
      </w:r>
      <w:r w:rsidRPr="00EE0CF3">
        <w:t xml:space="preserve"> Farouk-Sluglett, M., &amp; Sluglett, P. (1983). The transformation of land tenure and rural social structure in central and southern Iraq, c. 1870–1958. </w:t>
      </w:r>
      <w:r w:rsidRPr="00EE0CF3">
        <w:rPr>
          <w:i/>
          <w:iCs/>
        </w:rPr>
        <w:t>International Journal of Middle East Studies</w:t>
      </w:r>
      <w:r w:rsidRPr="00EE0CF3">
        <w:t xml:space="preserve">, </w:t>
      </w:r>
      <w:r w:rsidRPr="00EE0CF3">
        <w:rPr>
          <w:i/>
          <w:iCs/>
        </w:rPr>
        <w:t>15</w:t>
      </w:r>
      <w:r w:rsidRPr="00EE0CF3">
        <w:t>(4), 491-505. https://doi.org/10.1017/s0020743800051400</w:t>
      </w:r>
    </w:p>
  </w:footnote>
  <w:footnote w:id="13">
    <w:p w:rsidR="00A4241D" w:rsidRPr="00EE0CF3" w:rsidRDefault="00A4241D" w:rsidP="00EE0CF3">
      <w:pPr>
        <w:pStyle w:val="NoSpacing"/>
        <w:jc w:val="both"/>
      </w:pPr>
      <w:r w:rsidRPr="00EE0CF3">
        <w:rPr>
          <w:rStyle w:val="FootnoteReference"/>
        </w:rPr>
        <w:footnoteRef/>
      </w:r>
      <w:r w:rsidRPr="00EE0CF3">
        <w:t xml:space="preserve"> Hatab, S. (2023). Political economy of development in the Arab republics: The state and socio-economic coalitions. </w:t>
      </w:r>
      <w:r w:rsidRPr="00EE0CF3">
        <w:rPr>
          <w:i/>
          <w:iCs/>
        </w:rPr>
        <w:t>Economic History of Developing Regions</w:t>
      </w:r>
      <w:r w:rsidRPr="00EE0CF3">
        <w:t xml:space="preserve">, </w:t>
      </w:r>
      <w:r w:rsidRPr="00EE0CF3">
        <w:rPr>
          <w:i/>
          <w:iCs/>
        </w:rPr>
        <w:t>38</w:t>
      </w:r>
      <w:r w:rsidRPr="00EE0CF3">
        <w:t xml:space="preserve">(3), 281-304. </w:t>
      </w:r>
      <w:hyperlink r:id="rId2" w:tgtFrame="_blank" w:history="1">
        <w:r w:rsidRPr="00EE0CF3">
          <w:rPr>
            <w:rStyle w:val="Hyperlink"/>
            <w:color w:val="auto"/>
          </w:rPr>
          <w:t>https://doi.org/10.1080/20780389.2023.2209285</w:t>
        </w:r>
      </w:hyperlink>
    </w:p>
  </w:footnote>
  <w:footnote w:id="14">
    <w:p w:rsidR="00A4241D" w:rsidRPr="00EE0CF3" w:rsidRDefault="00A4241D" w:rsidP="00EE0CF3">
      <w:pPr>
        <w:pStyle w:val="NoSpacing"/>
        <w:jc w:val="both"/>
      </w:pPr>
      <w:r w:rsidRPr="00EE0CF3">
        <w:rPr>
          <w:rStyle w:val="FootnoteReference"/>
        </w:rPr>
        <w:footnoteRef/>
      </w:r>
      <w:r w:rsidRPr="00EE0CF3">
        <w:t xml:space="preserve"> Karaman, K. K., &amp; Pamuk, Ş. (2010). Ottoman state finances in European perspective, 1500–1914. </w:t>
      </w:r>
      <w:r w:rsidRPr="00EE0CF3">
        <w:rPr>
          <w:i/>
          <w:iCs/>
        </w:rPr>
        <w:t>The Journal of Economic History</w:t>
      </w:r>
      <w:r w:rsidRPr="00EE0CF3">
        <w:t xml:space="preserve">, </w:t>
      </w:r>
      <w:r w:rsidRPr="00EE0CF3">
        <w:rPr>
          <w:i/>
          <w:iCs/>
        </w:rPr>
        <w:t>70</w:t>
      </w:r>
      <w:r w:rsidRPr="00EE0CF3">
        <w:t xml:space="preserve">(3), 593-629. </w:t>
      </w:r>
      <w:hyperlink r:id="rId3" w:tgtFrame="_blank" w:history="1">
        <w:r w:rsidRPr="00EE0CF3">
          <w:rPr>
            <w:rStyle w:val="Hyperlink"/>
            <w:color w:val="auto"/>
          </w:rPr>
          <w:t>https://doi.org/10.1017/s0022050710000550</w:t>
        </w:r>
      </w:hyperlink>
    </w:p>
  </w:footnote>
  <w:footnote w:id="15">
    <w:p w:rsidR="00A4241D" w:rsidRPr="00EE0CF3" w:rsidRDefault="00A4241D" w:rsidP="00EE0CF3">
      <w:pPr>
        <w:pStyle w:val="NoSpacing"/>
        <w:jc w:val="both"/>
      </w:pPr>
      <w:r w:rsidRPr="00EE0CF3">
        <w:rPr>
          <w:rStyle w:val="FootnoteReference"/>
        </w:rPr>
        <w:footnoteRef/>
      </w:r>
      <w:r w:rsidRPr="00EE0CF3">
        <w:t xml:space="preserve"> Escandón-Panchana, P., Martínez-Cuevas, S., Jaya-Montalvo, M., &amp; Herrera-Franco, G. (2024). Review of agricultural cadastre approaches using geomatics for rural development. </w:t>
      </w:r>
      <w:r w:rsidRPr="00EE0CF3">
        <w:rPr>
          <w:i/>
          <w:iCs/>
        </w:rPr>
        <w:t>WIT Transactions on Ecology and the Environment</w:t>
      </w:r>
      <w:r w:rsidRPr="00EE0CF3">
        <w:t xml:space="preserve">, </w:t>
      </w:r>
      <w:r w:rsidRPr="00EE0CF3">
        <w:rPr>
          <w:i/>
          <w:iCs/>
        </w:rPr>
        <w:t>262</w:t>
      </w:r>
      <w:r w:rsidRPr="00EE0CF3">
        <w:t xml:space="preserve">, 465–478. </w:t>
      </w:r>
      <w:hyperlink r:id="rId4" w:tgtFrame="_blank" w:history="1">
        <w:r w:rsidRPr="00EE0CF3">
          <w:rPr>
            <w:rStyle w:val="Hyperlink"/>
            <w:color w:val="auto"/>
          </w:rPr>
          <w:t>https://doi.org/10.2495/SDP240391</w:t>
        </w:r>
      </w:hyperlink>
    </w:p>
  </w:footnote>
  <w:footnote w:id="16">
    <w:p w:rsidR="00A4241D" w:rsidRPr="00EE0CF3" w:rsidRDefault="00A4241D" w:rsidP="00EE0CF3">
      <w:pPr>
        <w:pStyle w:val="NoSpacing"/>
        <w:jc w:val="both"/>
      </w:pPr>
      <w:r w:rsidRPr="00EE0CF3">
        <w:rPr>
          <w:rStyle w:val="FootnoteReference"/>
        </w:rPr>
        <w:footnoteRef/>
      </w:r>
      <w:r w:rsidRPr="00EE0CF3">
        <w:t xml:space="preserve"> Rajchlová, J., &amp; Svatošová, V. (2023). Benchmarking study of existing possibilities for the development of social farming in the Czech Republic. </w:t>
      </w:r>
      <w:r w:rsidRPr="00EE0CF3">
        <w:rPr>
          <w:i/>
          <w:iCs/>
        </w:rPr>
        <w:t>European Countryside</w:t>
      </w:r>
      <w:r w:rsidRPr="00EE0CF3">
        <w:t xml:space="preserve">, </w:t>
      </w:r>
      <w:r w:rsidRPr="00EE0CF3">
        <w:rPr>
          <w:i/>
          <w:iCs/>
        </w:rPr>
        <w:t>15</w:t>
      </w:r>
      <w:r w:rsidRPr="00EE0CF3">
        <w:t xml:space="preserve">(4), 633–646. </w:t>
      </w:r>
      <w:hyperlink r:id="rId5" w:tgtFrame="_blank" w:history="1">
        <w:r w:rsidRPr="00EE0CF3">
          <w:rPr>
            <w:rStyle w:val="Hyperlink"/>
            <w:color w:val="auto"/>
          </w:rPr>
          <w:t>https://doi.org/10.2478/euco-2023-0034</w:t>
        </w:r>
      </w:hyperlink>
    </w:p>
  </w:footnote>
  <w:footnote w:id="17">
    <w:p w:rsidR="00A4241D" w:rsidRPr="00EE0CF3" w:rsidRDefault="00A4241D" w:rsidP="00EE0CF3">
      <w:pPr>
        <w:pStyle w:val="NoSpacing"/>
        <w:jc w:val="both"/>
      </w:pPr>
      <w:r w:rsidRPr="00EE0CF3">
        <w:rPr>
          <w:rStyle w:val="FootnoteReference"/>
        </w:rPr>
        <w:footnoteRef/>
      </w:r>
      <w:r w:rsidRPr="00EE0CF3">
        <w:t xml:space="preserve"> Özervarlı, M. S. (2026). Seeking knowledge beyond Istanbul: Ottoman scholar Veliyüddin Cârullah’s (d. 1738) journey to the eastern lands of the empire for intellectual explorations. </w:t>
      </w:r>
      <w:r w:rsidRPr="00EE0CF3">
        <w:rPr>
          <w:i/>
          <w:iCs/>
        </w:rPr>
        <w:t>Journal of Islamic Studies</w:t>
      </w:r>
      <w:r w:rsidRPr="00EE0CF3">
        <w:t xml:space="preserve">, </w:t>
      </w:r>
      <w:r w:rsidRPr="00EE0CF3">
        <w:rPr>
          <w:i/>
          <w:iCs/>
        </w:rPr>
        <w:t>37</w:t>
      </w:r>
      <w:r w:rsidRPr="00EE0CF3">
        <w:t xml:space="preserve">(2), 245–278. </w:t>
      </w:r>
      <w:hyperlink r:id="rId6" w:tgtFrame="_blank" w:history="1">
        <w:r w:rsidRPr="00EE0CF3">
          <w:rPr>
            <w:rStyle w:val="Hyperlink"/>
            <w:color w:val="auto"/>
          </w:rPr>
          <w:t>https://doi.org/10.1093/jis/etaf026</w:t>
        </w:r>
      </w:hyperlink>
    </w:p>
  </w:footnote>
  <w:footnote w:id="18">
    <w:p w:rsidR="00A4241D" w:rsidRPr="00EE0CF3" w:rsidRDefault="00A4241D" w:rsidP="00EE0CF3">
      <w:pPr>
        <w:pStyle w:val="NoSpacing"/>
        <w:jc w:val="both"/>
        <w:rPr>
          <w:rFonts w:asciiTheme="majorBidi" w:hAnsiTheme="majorBidi" w:cstheme="majorBidi"/>
          <w:sz w:val="24"/>
          <w:szCs w:val="24"/>
        </w:rPr>
      </w:pPr>
      <w:r w:rsidRPr="00EE0CF3">
        <w:rPr>
          <w:rStyle w:val="FootnoteReference"/>
        </w:rPr>
        <w:footnoteRef/>
      </w:r>
      <w:r w:rsidRPr="00EE0CF3">
        <w:t xml:space="preserve"> </w:t>
      </w:r>
      <w:r w:rsidRPr="00EE0CF3">
        <w:rPr>
          <w:rFonts w:asciiTheme="majorBidi" w:hAnsiTheme="majorBidi" w:cstheme="majorBidi"/>
          <w:sz w:val="24"/>
          <w:szCs w:val="24"/>
        </w:rPr>
        <w:t>Grehan, J. (2015). Imperial Crisis and Muslim-Christian Relations in Ottoman Syria and Palestine, c. 1770-1830. </w:t>
      </w:r>
      <w:r w:rsidRPr="00EE0CF3">
        <w:rPr>
          <w:rFonts w:asciiTheme="majorBidi" w:hAnsiTheme="majorBidi" w:cstheme="majorBidi"/>
          <w:i/>
          <w:iCs/>
          <w:sz w:val="24"/>
          <w:szCs w:val="24"/>
        </w:rPr>
        <w:t>Journal of the Economic and Social History of the Orient</w:t>
      </w:r>
      <w:r w:rsidRPr="00EE0CF3">
        <w:rPr>
          <w:rFonts w:asciiTheme="majorBidi" w:hAnsiTheme="majorBidi" w:cstheme="majorBidi"/>
          <w:sz w:val="24"/>
          <w:szCs w:val="24"/>
        </w:rPr>
        <w:t>, </w:t>
      </w:r>
      <w:r w:rsidRPr="00EE0CF3">
        <w:rPr>
          <w:rFonts w:asciiTheme="majorBidi" w:hAnsiTheme="majorBidi" w:cstheme="majorBidi"/>
          <w:i/>
          <w:iCs/>
          <w:sz w:val="24"/>
          <w:szCs w:val="24"/>
        </w:rPr>
        <w:t>58</w:t>
      </w:r>
      <w:r w:rsidRPr="00EE0CF3">
        <w:rPr>
          <w:rFonts w:asciiTheme="majorBidi" w:hAnsiTheme="majorBidi" w:cstheme="majorBidi"/>
          <w:sz w:val="24"/>
          <w:szCs w:val="24"/>
        </w:rPr>
        <w:t>(4), 490-531. </w:t>
      </w:r>
      <w:hyperlink r:id="rId7" w:tgtFrame="_blank" w:history="1">
        <w:r w:rsidRPr="00EE0CF3">
          <w:rPr>
            <w:rStyle w:val="Hyperlink"/>
            <w:rFonts w:asciiTheme="majorBidi" w:hAnsiTheme="majorBidi" w:cstheme="majorBidi"/>
            <w:color w:val="auto"/>
            <w:sz w:val="24"/>
            <w:szCs w:val="24"/>
          </w:rPr>
          <w:t>https://doi.org/10.1163/15685209-12341381</w:t>
        </w:r>
      </w:hyperlink>
      <w:r w:rsidRPr="00EE0CF3">
        <w:rPr>
          <w:rFonts w:asciiTheme="majorBidi" w:hAnsiTheme="majorBidi" w:cstheme="majorBidi"/>
          <w:sz w:val="24"/>
          <w:szCs w:val="24"/>
        </w:rPr>
        <w:t>.</w:t>
      </w:r>
    </w:p>
  </w:footnote>
  <w:footnote w:id="19">
    <w:p w:rsidR="00A4241D" w:rsidRPr="00EE0CF3" w:rsidRDefault="00A4241D" w:rsidP="00EE0CF3">
      <w:pPr>
        <w:pStyle w:val="NoSpacing"/>
        <w:jc w:val="both"/>
      </w:pPr>
      <w:r w:rsidRPr="00EE0CF3">
        <w:rPr>
          <w:rStyle w:val="FootnoteReference"/>
        </w:rPr>
        <w:footnoteRef/>
      </w:r>
      <w:r w:rsidRPr="00EE0CF3">
        <w:t xml:space="preserve"> Aksakal, M. (2026). </w:t>
      </w:r>
      <w:r w:rsidRPr="00EE0CF3">
        <w:rPr>
          <w:i/>
          <w:iCs/>
        </w:rPr>
        <w:t>The war that made the Middle East: World War I and the end of the Ottoman Empire</w:t>
      </w:r>
      <w:r w:rsidRPr="00EE0CF3">
        <w:t>. Princeton University Press.</w:t>
      </w:r>
    </w:p>
  </w:footnote>
  <w:footnote w:id="20">
    <w:p w:rsidR="00A4241D" w:rsidRPr="00EE0CF3" w:rsidRDefault="00A4241D" w:rsidP="00EE0CF3">
      <w:pPr>
        <w:pStyle w:val="NoSpacing"/>
        <w:jc w:val="both"/>
        <w:rPr>
          <w:rFonts w:asciiTheme="majorBidi" w:hAnsiTheme="majorBidi" w:cstheme="majorBidi"/>
          <w:sz w:val="24"/>
          <w:szCs w:val="24"/>
        </w:rPr>
      </w:pPr>
      <w:r w:rsidRPr="00EE0CF3">
        <w:rPr>
          <w:rStyle w:val="FootnoteReference"/>
        </w:rPr>
        <w:footnoteRef/>
      </w:r>
      <w:r w:rsidRPr="00EE0CF3">
        <w:t xml:space="preserve"> </w:t>
      </w:r>
      <w:r w:rsidRPr="00EE0CF3">
        <w:rPr>
          <w:rFonts w:asciiTheme="majorBidi" w:hAnsiTheme="majorBidi" w:cstheme="majorBidi"/>
          <w:sz w:val="24"/>
          <w:szCs w:val="24"/>
        </w:rPr>
        <w:t>Brisku, A. (2020). Renegotiating the Empire, Forging the Nation-State: The Albanian Case through the Political Economic Thought of Ismail Qemali, Fan Noli, and Luigj Gurakuqi, c. 1890–1920s. </w:t>
      </w:r>
      <w:r w:rsidRPr="00EE0CF3">
        <w:rPr>
          <w:rFonts w:asciiTheme="majorBidi" w:hAnsiTheme="majorBidi" w:cstheme="majorBidi"/>
          <w:i/>
          <w:iCs/>
          <w:sz w:val="24"/>
          <w:szCs w:val="24"/>
        </w:rPr>
        <w:t>Nationalities Papers</w:t>
      </w:r>
      <w:r w:rsidRPr="00EE0CF3">
        <w:rPr>
          <w:rFonts w:asciiTheme="majorBidi" w:hAnsiTheme="majorBidi" w:cstheme="majorBidi"/>
          <w:sz w:val="24"/>
          <w:szCs w:val="24"/>
        </w:rPr>
        <w:t>, </w:t>
      </w:r>
      <w:r w:rsidRPr="00EE0CF3">
        <w:rPr>
          <w:rFonts w:asciiTheme="majorBidi" w:hAnsiTheme="majorBidi" w:cstheme="majorBidi"/>
          <w:i/>
          <w:iCs/>
          <w:sz w:val="24"/>
          <w:szCs w:val="24"/>
        </w:rPr>
        <w:t>48</w:t>
      </w:r>
      <w:r w:rsidRPr="00EE0CF3">
        <w:rPr>
          <w:rFonts w:asciiTheme="majorBidi" w:hAnsiTheme="majorBidi" w:cstheme="majorBidi"/>
          <w:sz w:val="24"/>
          <w:szCs w:val="24"/>
        </w:rPr>
        <w:t>(1), 158–174. doi:10.1017/nps.2018.52.</w:t>
      </w:r>
    </w:p>
  </w:footnote>
  <w:footnote w:id="21">
    <w:p w:rsidR="00A4241D" w:rsidRPr="00EE0CF3" w:rsidRDefault="00A4241D" w:rsidP="00EE0CF3">
      <w:pPr>
        <w:pStyle w:val="NoSpacing"/>
        <w:jc w:val="both"/>
      </w:pPr>
      <w:r w:rsidRPr="00EE0CF3">
        <w:rPr>
          <w:rStyle w:val="FootnoteReference"/>
        </w:rPr>
        <w:footnoteRef/>
      </w:r>
      <w:r w:rsidRPr="00EE0CF3">
        <w:t xml:space="preserve"> Liaqat, H., Paveljšek, D., Oberčkal, J., &amp; Matijašić, B. B. (2026). Valorisation of acid whey permeate for high-purity nisin Z production using artisanal </w:t>
      </w:r>
      <w:r w:rsidRPr="00EE0CF3">
        <w:rPr>
          <w:i/>
          <w:iCs/>
        </w:rPr>
        <w:t>Lactococcus lactis</w:t>
      </w:r>
      <w:r w:rsidRPr="00EE0CF3">
        <w:t xml:space="preserve"> isolates. </w:t>
      </w:r>
      <w:r w:rsidRPr="00EE0CF3">
        <w:rPr>
          <w:i/>
          <w:iCs/>
        </w:rPr>
        <w:t>BMC Microbiology</w:t>
      </w:r>
      <w:r w:rsidRPr="00EE0CF3">
        <w:t xml:space="preserve">, </w:t>
      </w:r>
      <w:r w:rsidRPr="00EE0CF3">
        <w:rPr>
          <w:i/>
          <w:iCs/>
        </w:rPr>
        <w:t>26</w:t>
      </w:r>
      <w:r w:rsidRPr="00EE0CF3">
        <w:t xml:space="preserve">(1), Article 9. </w:t>
      </w:r>
      <w:hyperlink r:id="rId8" w:tgtFrame="_blank" w:history="1">
        <w:r w:rsidRPr="00EE0CF3">
          <w:rPr>
            <w:rStyle w:val="Hyperlink"/>
            <w:color w:val="auto"/>
          </w:rPr>
          <w:t>https://doi.org/10.1186/s12866-025-04543-x</w:t>
        </w:r>
      </w:hyperlink>
    </w:p>
  </w:footnote>
  <w:footnote w:id="22">
    <w:p w:rsidR="00A4241D" w:rsidRPr="00EE0CF3" w:rsidRDefault="00A4241D" w:rsidP="00EE0CF3">
      <w:pPr>
        <w:pStyle w:val="NoSpacing"/>
        <w:jc w:val="both"/>
      </w:pPr>
      <w:r w:rsidRPr="00EE0CF3">
        <w:rPr>
          <w:rStyle w:val="FootnoteReference"/>
        </w:rPr>
        <w:footnoteRef/>
      </w:r>
      <w:r w:rsidRPr="00EE0CF3">
        <w:t xml:space="preserve"> Sharb, Z. A., &amp; Dabbagh, S. M. W. (2026). The role of heritage buildings' interior design in enhancing the identity of local architecture: Baghdad palaces during the royal era (1921-1958) as a case study. </w:t>
      </w:r>
      <w:r w:rsidRPr="00EE0CF3">
        <w:rPr>
          <w:i/>
          <w:iCs/>
        </w:rPr>
        <w:t>AIP Conference Proceedings</w:t>
      </w:r>
      <w:r w:rsidRPr="00EE0CF3">
        <w:t xml:space="preserve">, </w:t>
      </w:r>
      <w:r w:rsidRPr="00EE0CF3">
        <w:rPr>
          <w:i/>
          <w:iCs/>
        </w:rPr>
        <w:t>3379</w:t>
      </w:r>
      <w:r w:rsidRPr="00EE0CF3">
        <w:t xml:space="preserve">(1), Article 050046. </w:t>
      </w:r>
      <w:hyperlink r:id="rId9" w:tgtFrame="_blank" w:history="1">
        <w:r w:rsidRPr="00EE0CF3">
          <w:rPr>
            <w:rStyle w:val="Hyperlink"/>
            <w:color w:val="auto"/>
          </w:rPr>
          <w:t>https://doi.org/10.1063/5.0306691</w:t>
        </w:r>
      </w:hyperlink>
    </w:p>
    <w:p w:rsidR="00A4241D" w:rsidRPr="00EE0CF3" w:rsidRDefault="00A4241D" w:rsidP="00EE0CF3">
      <w:pPr>
        <w:pStyle w:val="NoSpacing"/>
        <w:jc w:val="both"/>
      </w:pPr>
    </w:p>
  </w:footnote>
  <w:footnote w:id="23">
    <w:p w:rsidR="00A4241D" w:rsidRPr="00EE0CF3" w:rsidRDefault="00A4241D" w:rsidP="00EE0CF3">
      <w:pPr>
        <w:pStyle w:val="NoSpacing"/>
        <w:jc w:val="both"/>
      </w:pPr>
      <w:r w:rsidRPr="00EE0CF3">
        <w:rPr>
          <w:rStyle w:val="FootnoteReference"/>
        </w:rPr>
        <w:footnoteRef/>
      </w:r>
      <w:r w:rsidRPr="00EE0CF3">
        <w:t xml:space="preserve"> Bolaños, I. (2025). Pandemic influenza in Late Ottoman and British occupied Iraq: The 1889–1893 and 1918–1920 influenza pandemics. </w:t>
      </w:r>
      <w:r w:rsidRPr="00EE0CF3">
        <w:rPr>
          <w:i/>
          <w:iCs/>
        </w:rPr>
        <w:t>Bulletin of the History of Medicine</w:t>
      </w:r>
      <w:r w:rsidRPr="00EE0CF3">
        <w:t xml:space="preserve">, </w:t>
      </w:r>
      <w:r w:rsidRPr="00EE0CF3">
        <w:rPr>
          <w:i/>
          <w:iCs/>
        </w:rPr>
        <w:t>99</w:t>
      </w:r>
      <w:r w:rsidRPr="00EE0CF3">
        <w:t xml:space="preserve">(3), 488–515. </w:t>
      </w:r>
      <w:hyperlink r:id="rId10" w:tgtFrame="_blank" w:history="1">
        <w:r w:rsidRPr="00EE0CF3">
          <w:rPr>
            <w:rStyle w:val="Hyperlink"/>
            <w:color w:val="auto"/>
          </w:rPr>
          <w:t>https://doi.org/10.1353/bhm.2025.a975182</w:t>
        </w:r>
      </w:hyperlink>
    </w:p>
  </w:footnote>
  <w:footnote w:id="24">
    <w:p w:rsidR="00A4241D" w:rsidRPr="00EE0CF3" w:rsidRDefault="00A4241D" w:rsidP="00EE0CF3">
      <w:pPr>
        <w:pStyle w:val="NoSpacing"/>
        <w:jc w:val="both"/>
        <w:rPr>
          <w:rFonts w:asciiTheme="majorBidi" w:hAnsiTheme="majorBidi" w:cstheme="majorBidi"/>
          <w:sz w:val="24"/>
          <w:szCs w:val="24"/>
        </w:rPr>
      </w:pPr>
      <w:r w:rsidRPr="00EE0CF3">
        <w:rPr>
          <w:rStyle w:val="FootnoteReference"/>
        </w:rPr>
        <w:footnoteRef/>
      </w:r>
      <w:r w:rsidRPr="00EE0CF3">
        <w:t xml:space="preserve"> </w:t>
      </w:r>
      <w:r w:rsidRPr="00EE0CF3">
        <w:rPr>
          <w:rFonts w:asciiTheme="majorBidi" w:hAnsiTheme="majorBidi" w:cstheme="majorBidi"/>
          <w:sz w:val="24"/>
          <w:szCs w:val="24"/>
        </w:rPr>
        <w:t xml:space="preserve">Orbay, K. (2018). The ‘Celâlî effect’ on rural production and demography in central Anatolia: The Waqf of Hatuniyye (1590S to 1638). </w:t>
      </w:r>
      <w:hyperlink r:id="rId11" w:history="1">
        <w:r w:rsidRPr="00EE0CF3">
          <w:rPr>
            <w:rStyle w:val="Hyperlink"/>
            <w:rFonts w:asciiTheme="majorBidi" w:hAnsiTheme="majorBidi" w:cstheme="majorBidi"/>
            <w:color w:val="auto"/>
            <w:sz w:val="24"/>
            <w:szCs w:val="24"/>
          </w:rPr>
          <w:t>https://doi.org/10.1556/062.2018.71.1.3</w:t>
        </w:r>
      </w:hyperlink>
      <w:r w:rsidRPr="00EE0CF3">
        <w:rPr>
          <w:rFonts w:asciiTheme="majorBidi" w:hAnsiTheme="majorBidi" w:cstheme="majorBidi"/>
          <w:sz w:val="24"/>
          <w:szCs w:val="24"/>
        </w:rPr>
        <w:t>.</w:t>
      </w:r>
    </w:p>
  </w:footnote>
  <w:footnote w:id="25">
    <w:p w:rsidR="00505B3D" w:rsidRPr="00EE0CF3" w:rsidRDefault="00505B3D" w:rsidP="00EE0CF3">
      <w:pPr>
        <w:pStyle w:val="NoSpacing"/>
        <w:jc w:val="both"/>
        <w:rPr>
          <w:rFonts w:asciiTheme="majorBidi" w:hAnsiTheme="majorBidi" w:cstheme="majorBidi"/>
          <w:sz w:val="24"/>
          <w:szCs w:val="24"/>
        </w:rPr>
      </w:pPr>
      <w:r w:rsidRPr="00EE0CF3">
        <w:rPr>
          <w:rStyle w:val="FootnoteReference"/>
        </w:rPr>
        <w:footnoteRef/>
      </w:r>
      <w:r w:rsidRPr="00EE0CF3">
        <w:t xml:space="preserve"> </w:t>
      </w:r>
      <w:r w:rsidRPr="00EE0CF3">
        <w:rPr>
          <w:rFonts w:asciiTheme="majorBidi" w:hAnsiTheme="majorBidi" w:cstheme="majorBidi"/>
          <w:sz w:val="24"/>
          <w:szCs w:val="24"/>
        </w:rPr>
        <w:t xml:space="preserve">Çolak, Z. (2024). Pathways to Modernity: Ottoman Reforms Before and During the Tanzimat. Türk Dünyası İncelemeleri Dergisi, 24(2), 417-437. </w:t>
      </w:r>
      <w:hyperlink r:id="rId12" w:history="1">
        <w:r w:rsidRPr="00EE0CF3">
          <w:rPr>
            <w:rStyle w:val="Hyperlink"/>
            <w:rFonts w:asciiTheme="majorBidi" w:hAnsiTheme="majorBidi" w:cstheme="majorBidi"/>
            <w:color w:val="auto"/>
            <w:sz w:val="24"/>
            <w:szCs w:val="24"/>
          </w:rPr>
          <w:t>https://doi.org/10.32449/egetdid.1522647</w:t>
        </w:r>
      </w:hyperlink>
      <w:r w:rsidRPr="00EE0CF3">
        <w:rPr>
          <w:rFonts w:asciiTheme="majorBidi" w:hAnsiTheme="majorBidi" w:cstheme="majorBidi"/>
          <w:sz w:val="24"/>
          <w:szCs w:val="24"/>
        </w:rPr>
        <w:t>.</w:t>
      </w:r>
    </w:p>
  </w:footnote>
  <w:footnote w:id="26">
    <w:p w:rsidR="00A4241D" w:rsidRPr="00EE0CF3" w:rsidRDefault="00A4241D" w:rsidP="00EE0CF3">
      <w:pPr>
        <w:pStyle w:val="NoSpacing"/>
        <w:jc w:val="both"/>
      </w:pPr>
      <w:r w:rsidRPr="00EE0CF3">
        <w:rPr>
          <w:rStyle w:val="FootnoteReference"/>
        </w:rPr>
        <w:footnoteRef/>
      </w:r>
      <w:r w:rsidRPr="00EE0CF3">
        <w:t xml:space="preserve"> Şahin, E. (2025). A persistent opponent in the late Ottoman period: Abdurrezzak Effendi from Baghdad and the </w:t>
      </w:r>
      <w:r w:rsidRPr="00EE0CF3">
        <w:rPr>
          <w:i/>
          <w:iCs/>
        </w:rPr>
        <w:t>Intikad</w:t>
      </w:r>
      <w:r w:rsidRPr="00EE0CF3">
        <w:t xml:space="preserve"> newspaper. </w:t>
      </w:r>
      <w:r w:rsidRPr="00EE0CF3">
        <w:rPr>
          <w:i/>
          <w:iCs/>
        </w:rPr>
        <w:t>Middle Eastern Studies</w:t>
      </w:r>
      <w:r w:rsidRPr="00EE0CF3">
        <w:t xml:space="preserve">, </w:t>
      </w:r>
      <w:r w:rsidRPr="00EE0CF3">
        <w:rPr>
          <w:i/>
          <w:iCs/>
        </w:rPr>
        <w:t>61</w:t>
      </w:r>
      <w:r w:rsidRPr="00EE0CF3">
        <w:t xml:space="preserve">(6), 801–818. </w:t>
      </w:r>
      <w:hyperlink r:id="rId13" w:tgtFrame="_blank" w:history="1">
        <w:r w:rsidRPr="00EE0CF3">
          <w:rPr>
            <w:rStyle w:val="Hyperlink"/>
            <w:color w:val="auto"/>
          </w:rPr>
          <w:t>https://doi.org/10.1080/00263206.2025.2515050</w:t>
        </w:r>
      </w:hyperlink>
    </w:p>
  </w:footnote>
  <w:footnote w:id="27">
    <w:p w:rsidR="00505B3D" w:rsidRPr="00EE0CF3" w:rsidRDefault="00505B3D" w:rsidP="00EE0CF3">
      <w:pPr>
        <w:pStyle w:val="NoSpacing"/>
        <w:jc w:val="both"/>
        <w:rPr>
          <w:rFonts w:asciiTheme="majorBidi" w:hAnsiTheme="majorBidi" w:cstheme="majorBidi"/>
          <w:sz w:val="24"/>
          <w:szCs w:val="24"/>
        </w:rPr>
      </w:pPr>
      <w:r w:rsidRPr="00EE0CF3">
        <w:rPr>
          <w:rStyle w:val="FootnoteReference"/>
        </w:rPr>
        <w:footnoteRef/>
      </w:r>
      <w:r w:rsidRPr="00EE0CF3">
        <w:t xml:space="preserve"> </w:t>
      </w:r>
      <w:r w:rsidRPr="00EE0CF3">
        <w:rPr>
          <w:rFonts w:asciiTheme="majorBidi" w:hAnsiTheme="majorBidi" w:cstheme="majorBidi"/>
          <w:sz w:val="24"/>
          <w:szCs w:val="24"/>
          <w:lang w:val="da-DK"/>
        </w:rPr>
        <w:t xml:space="preserve">Al-Sadkhan, A.K., &amp; Fehmi, P.Q. (2018). </w:t>
      </w:r>
      <w:r w:rsidRPr="00EE0CF3">
        <w:rPr>
          <w:rFonts w:asciiTheme="majorBidi" w:hAnsiTheme="majorBidi" w:cstheme="majorBidi"/>
          <w:sz w:val="24"/>
          <w:szCs w:val="24"/>
        </w:rPr>
        <w:t>The effect of Acculturation on the Plans of Iraqi Origin Elites during the Late Ottoman Rule (1830-1917). </w:t>
      </w:r>
      <w:r w:rsidRPr="00EE0CF3">
        <w:rPr>
          <w:rFonts w:asciiTheme="majorBidi" w:hAnsiTheme="majorBidi" w:cstheme="majorBidi"/>
          <w:i/>
          <w:iCs/>
          <w:sz w:val="24"/>
          <w:szCs w:val="24"/>
        </w:rPr>
        <w:t>Journal of Engineering</w:t>
      </w:r>
      <w:r w:rsidRPr="00EE0CF3">
        <w:rPr>
          <w:rFonts w:asciiTheme="majorBidi" w:hAnsiTheme="majorBidi" w:cstheme="majorBidi"/>
          <w:sz w:val="24"/>
          <w:szCs w:val="24"/>
        </w:rPr>
        <w:t xml:space="preserve">. </w:t>
      </w:r>
      <w:hyperlink r:id="rId14" w:history="1">
        <w:r w:rsidRPr="00EE0CF3">
          <w:rPr>
            <w:rStyle w:val="Hyperlink"/>
            <w:rFonts w:asciiTheme="majorBidi" w:hAnsiTheme="majorBidi" w:cstheme="majorBidi"/>
            <w:color w:val="auto"/>
            <w:sz w:val="24"/>
            <w:szCs w:val="24"/>
          </w:rPr>
          <w:t>https://doi.org/10.31026/j.eng.2018.02.10</w:t>
        </w:r>
      </w:hyperlink>
      <w:r w:rsidRPr="00EE0CF3">
        <w:rPr>
          <w:rFonts w:asciiTheme="majorBidi" w:hAnsiTheme="majorBidi" w:cstheme="majorBidi"/>
          <w:sz w:val="24"/>
          <w:szCs w:val="24"/>
        </w:rPr>
        <w:t>.</w:t>
      </w:r>
    </w:p>
  </w:footnote>
  <w:footnote w:id="28">
    <w:p w:rsidR="00505B3D" w:rsidRPr="00EE0CF3" w:rsidRDefault="00505B3D" w:rsidP="00EE0CF3">
      <w:pPr>
        <w:pStyle w:val="NoSpacing"/>
        <w:jc w:val="both"/>
      </w:pPr>
      <w:r w:rsidRPr="00EE0CF3">
        <w:rPr>
          <w:rStyle w:val="FootnoteReference"/>
        </w:rPr>
        <w:footnoteRef/>
      </w:r>
      <w:r w:rsidRPr="00EE0CF3">
        <w:t xml:space="preserve"> Al-Maani, A. A.-R., &amp; Alsharari, S. (2013). Pearl trade in the Persian Gulf during the 19th century. </w:t>
      </w:r>
      <w:r w:rsidRPr="00EE0CF3">
        <w:rPr>
          <w:i/>
          <w:iCs/>
        </w:rPr>
        <w:t>Asian Culture and History</w:t>
      </w:r>
      <w:r w:rsidRPr="00EE0CF3">
        <w:t xml:space="preserve">, </w:t>
      </w:r>
      <w:r w:rsidRPr="00EE0CF3">
        <w:rPr>
          <w:i/>
          <w:iCs/>
        </w:rPr>
        <w:t>6</w:t>
      </w:r>
      <w:r w:rsidRPr="00EE0CF3">
        <w:t xml:space="preserve">(1), 43–52. </w:t>
      </w:r>
      <w:hyperlink r:id="rId15" w:tgtFrame="_blank" w:history="1">
        <w:r w:rsidRPr="00EE0CF3">
          <w:rPr>
            <w:rStyle w:val="Hyperlink"/>
            <w:color w:val="auto"/>
          </w:rPr>
          <w:t>https://doi.org/10.5539/ach.v6n1p43</w:t>
        </w:r>
      </w:hyperlink>
    </w:p>
  </w:footnote>
  <w:footnote w:id="29">
    <w:p w:rsidR="00505B3D" w:rsidRPr="00EE0CF3" w:rsidRDefault="00505B3D" w:rsidP="00EE0CF3">
      <w:pPr>
        <w:pStyle w:val="NoSpacing"/>
        <w:jc w:val="both"/>
      </w:pPr>
      <w:r w:rsidRPr="00EE0CF3">
        <w:rPr>
          <w:rStyle w:val="FootnoteReference"/>
        </w:rPr>
        <w:footnoteRef/>
      </w:r>
      <w:r w:rsidRPr="00EE0CF3">
        <w:t xml:space="preserve"> Fields, S., Cole, C. L., Oei, C., &amp; Chen, A. T. (2022). Using named entity recognition and network analysis to distinguish personal networks from the social milieu in nineteenth-century Ottoman–Iraqi personal diaries. </w:t>
      </w:r>
      <w:r w:rsidRPr="00EE0CF3">
        <w:rPr>
          <w:i/>
          <w:iCs/>
        </w:rPr>
        <w:t>Digital Scholarship in the Humanities</w:t>
      </w:r>
      <w:r w:rsidRPr="00EE0CF3">
        <w:t xml:space="preserve">, </w:t>
      </w:r>
      <w:r w:rsidRPr="00EE0CF3">
        <w:rPr>
          <w:i/>
          <w:iCs/>
        </w:rPr>
        <w:t>38</w:t>
      </w:r>
      <w:r w:rsidRPr="00EE0CF3">
        <w:t xml:space="preserve">(1), 66–86. </w:t>
      </w:r>
      <w:hyperlink r:id="rId16" w:tgtFrame="_blank" w:history="1">
        <w:r w:rsidRPr="00EE0CF3">
          <w:rPr>
            <w:rStyle w:val="Hyperlink"/>
            <w:color w:val="auto"/>
          </w:rPr>
          <w:t>https://doi.org/10.1093/llc/fqac047</w:t>
        </w:r>
      </w:hyperlink>
    </w:p>
  </w:footnote>
  <w:footnote w:id="30">
    <w:p w:rsidR="00505B3D" w:rsidRPr="00EE0CF3" w:rsidRDefault="00505B3D" w:rsidP="00EE0CF3">
      <w:pPr>
        <w:pStyle w:val="NoSpacing"/>
        <w:jc w:val="both"/>
      </w:pPr>
      <w:r w:rsidRPr="00EE0CF3">
        <w:rPr>
          <w:rStyle w:val="FootnoteReference"/>
        </w:rPr>
        <w:footnoteRef/>
      </w:r>
      <w:r w:rsidRPr="00EE0CF3">
        <w:t xml:space="preserve"> Moor, B. (2025). </w:t>
      </w:r>
      <w:r w:rsidRPr="00EE0CF3">
        <w:rPr>
          <w:i/>
          <w:iCs/>
        </w:rPr>
        <w:t>Illustrated Ottoman cosmographies, c. 1550–1700: The world through Muslim eyes</w:t>
      </w:r>
      <w:r w:rsidRPr="00EE0CF3">
        <w:t>. Edinburgh University Press.</w:t>
      </w:r>
    </w:p>
  </w:footnote>
  <w:footnote w:id="31">
    <w:p w:rsidR="00505B3D" w:rsidRPr="00EE0CF3" w:rsidRDefault="00505B3D" w:rsidP="00EE0CF3">
      <w:pPr>
        <w:pStyle w:val="NoSpacing"/>
        <w:jc w:val="both"/>
      </w:pPr>
      <w:r w:rsidRPr="00EE0CF3">
        <w:rPr>
          <w:rStyle w:val="FootnoteReference"/>
        </w:rPr>
        <w:footnoteRef/>
      </w:r>
      <w:r w:rsidRPr="00EE0CF3">
        <w:t xml:space="preserve"> Cole, C. L. (2024). Nafia for the Tigris: The Privy Purse and the infrastructure of development in late Ottoman Iraq, 1882–1914. </w:t>
      </w:r>
      <w:r w:rsidRPr="00EE0CF3">
        <w:rPr>
          <w:i/>
          <w:iCs/>
        </w:rPr>
        <w:t>History of Science</w:t>
      </w:r>
      <w:r w:rsidRPr="00EE0CF3">
        <w:t xml:space="preserve">, </w:t>
      </w:r>
      <w:r w:rsidRPr="00EE0CF3">
        <w:rPr>
          <w:i/>
          <w:iCs/>
        </w:rPr>
        <w:t>62</w:t>
      </w:r>
      <w:r w:rsidRPr="00EE0CF3">
        <w:t xml:space="preserve">(4), 488–510. </w:t>
      </w:r>
      <w:hyperlink r:id="rId17" w:tgtFrame="_blank" w:history="1">
        <w:r w:rsidRPr="00EE0CF3">
          <w:rPr>
            <w:rStyle w:val="Hyperlink"/>
            <w:color w:val="auto"/>
          </w:rPr>
          <w:t>https://doi.org/10.1177/0073275321999265</w:t>
        </w:r>
      </w:hyperlink>
    </w:p>
  </w:footnote>
  <w:footnote w:id="32">
    <w:p w:rsidR="007B183F" w:rsidRPr="00EE0CF3" w:rsidRDefault="007B183F" w:rsidP="00EE0CF3">
      <w:pPr>
        <w:pStyle w:val="NoSpacing"/>
        <w:jc w:val="both"/>
      </w:pPr>
      <w:r w:rsidRPr="00EE0CF3">
        <w:rPr>
          <w:rStyle w:val="FootnoteReference"/>
        </w:rPr>
        <w:footnoteRef/>
      </w:r>
      <w:r w:rsidRPr="00EE0CF3">
        <w:t xml:space="preserve"> Yurtalan, B. (2024). İslâm düşünce tarihine kaynaklık değeri bakımından coğrafya eserleri - İbn Havkal ve Makdisî örneği - [Geographical works as a source for the history of Islamic thought - The example of Ibn Hawqal and al-Maqdisī -]. </w:t>
      </w:r>
      <w:r w:rsidRPr="00EE0CF3">
        <w:rPr>
          <w:i/>
          <w:iCs/>
        </w:rPr>
        <w:t>Hitit Theology Journal</w:t>
      </w:r>
      <w:r w:rsidRPr="00EE0CF3">
        <w:t xml:space="preserve">, </w:t>
      </w:r>
      <w:r w:rsidRPr="00EE0CF3">
        <w:rPr>
          <w:i/>
          <w:iCs/>
        </w:rPr>
        <w:t>23</w:t>
      </w:r>
      <w:r w:rsidRPr="00EE0CF3">
        <w:t xml:space="preserve">, 208–229. </w:t>
      </w:r>
      <w:hyperlink r:id="rId18" w:tgtFrame="_blank" w:history="1">
        <w:r w:rsidRPr="00EE0CF3">
          <w:rPr>
            <w:rStyle w:val="Hyperlink"/>
            <w:color w:val="auto"/>
          </w:rPr>
          <w:t>https://doi.org/10.14395/hid.1416650</w:t>
        </w:r>
      </w:hyperlink>
    </w:p>
  </w:footnote>
  <w:footnote w:id="33">
    <w:p w:rsidR="007B183F" w:rsidRPr="00EE0CF3" w:rsidRDefault="007B183F" w:rsidP="00EE0CF3">
      <w:pPr>
        <w:pStyle w:val="NoSpacing"/>
        <w:jc w:val="both"/>
        <w:rPr>
          <w:rFonts w:eastAsiaTheme="majorEastAsia"/>
        </w:rPr>
      </w:pPr>
      <w:r w:rsidRPr="00EE0CF3">
        <w:rPr>
          <w:rStyle w:val="FootnoteReference"/>
        </w:rPr>
        <w:footnoteRef/>
      </w:r>
      <w:r w:rsidRPr="00EE0CF3">
        <w:t xml:space="preserve"> Azam, M., Alwreikat, N. M., Alsyouf, B., Al Fandi, A. S. A. A., &amp; Pharaon, R. A. K. M. (2026). </w:t>
      </w:r>
      <w:r w:rsidRPr="00EE0CF3">
        <w:rPr>
          <w:rStyle w:val="Emphasis"/>
        </w:rPr>
        <w:t>Contemporary Trade Governance and Cross-Border Data Flows: A Comparative Study of Sharīʿah Principles and International Legal Frameworks</w:t>
      </w:r>
      <w:r w:rsidRPr="00EE0CF3">
        <w:t>. MILRev: Metro Islamic Law Review, 5(1), 686–721.</w:t>
      </w:r>
      <w:hyperlink r:id="rId19" w:tgtFrame="_new" w:history="1">
        <w:r w:rsidRPr="00EE0CF3">
          <w:rPr>
            <w:rStyle w:val="Hyperlink"/>
            <w:color w:val="auto"/>
          </w:rPr>
          <w:t>https://doi.org/10.32332/milrev.v5i1.13387</w:t>
        </w:r>
      </w:hyperlink>
    </w:p>
  </w:footnote>
  <w:footnote w:id="34">
    <w:p w:rsidR="007B183F" w:rsidRPr="00EE0CF3" w:rsidRDefault="007B183F" w:rsidP="00EE0CF3">
      <w:pPr>
        <w:pStyle w:val="NoSpacing"/>
        <w:jc w:val="both"/>
      </w:pPr>
      <w:r w:rsidRPr="00EE0CF3">
        <w:rPr>
          <w:rStyle w:val="FootnoteReference"/>
        </w:rPr>
        <w:footnoteRef/>
      </w:r>
      <w:r w:rsidRPr="00EE0CF3">
        <w:t xml:space="preserve"> </w:t>
      </w:r>
      <w:r w:rsidRPr="00EE0CF3">
        <w:rPr>
          <w:rStyle w:val="Strong"/>
          <w:b w:val="0"/>
          <w:bCs w:val="0"/>
        </w:rPr>
        <w:t>Azam, M., Hamdoun, A. A.-M., Harahsheh, E. A. A. M., Mashdurohatun, A., &amp; Sidauruk, H. P.</w:t>
      </w:r>
      <w:r w:rsidRPr="00EE0CF3">
        <w:t xml:space="preserve"> (2025). </w:t>
      </w:r>
      <w:r w:rsidRPr="00EE0CF3">
        <w:rPr>
          <w:rStyle w:val="Emphasis"/>
        </w:rPr>
        <w:t>Religious Diversity in the Digital Economy: Interfaith Legal Pathways to Harmonize Sharia, Christian Ethics, and International Law</w:t>
      </w:r>
      <w:r w:rsidRPr="00EE0CF3">
        <w:t xml:space="preserve">. </w:t>
      </w:r>
      <w:r w:rsidRPr="00EE0CF3">
        <w:rPr>
          <w:rStyle w:val="Strong"/>
          <w:b w:val="0"/>
          <w:bCs w:val="0"/>
        </w:rPr>
        <w:t>Contemporary Issues on Interfaith Law and Society</w:t>
      </w:r>
      <w:r w:rsidRPr="00EE0CF3">
        <w:t xml:space="preserve">, 4(2), 207–264. </w:t>
      </w:r>
      <w:hyperlink r:id="rId20" w:tgtFrame="_new" w:history="1">
        <w:r w:rsidRPr="00EE0CF3">
          <w:rPr>
            <w:rStyle w:val="Hyperlink"/>
            <w:color w:val="auto"/>
          </w:rPr>
          <w:t>https://doi.org/10.15294/ciils.v4i2.33011</w:t>
        </w:r>
      </w:hyperlink>
    </w:p>
  </w:footnote>
  <w:footnote w:id="35">
    <w:p w:rsidR="007B183F" w:rsidRPr="00EE0CF3" w:rsidRDefault="007B183F" w:rsidP="00EE0CF3">
      <w:pPr>
        <w:pStyle w:val="NoSpacing"/>
        <w:jc w:val="both"/>
        <w:rPr>
          <w:u w:val="single"/>
        </w:rPr>
      </w:pPr>
      <w:r w:rsidRPr="00EE0CF3">
        <w:rPr>
          <w:rStyle w:val="FootnoteReference"/>
        </w:rPr>
        <w:footnoteRef/>
      </w:r>
      <w:r w:rsidRPr="00EE0CF3">
        <w:t xml:space="preserve"> Azam, M., Mashdurohatun, A., Firmansyah, A. N., Saktiawan, M. D., &amp; Jaya, K. O. P. (2025). </w:t>
      </w:r>
      <w:r w:rsidRPr="00EE0CF3">
        <w:rPr>
          <w:rStyle w:val="Emphasis"/>
        </w:rPr>
        <w:t>Harmonizing Contemporary International Commercial Law with Sharia-Based National Legal Systems: A Comparative Study of Pakistan, Turkey, Indonesia, Malaysia, and Saudi Arabia.</w:t>
      </w:r>
      <w:r w:rsidRPr="00EE0CF3">
        <w:t xml:space="preserve"> </w:t>
      </w:r>
      <w:r w:rsidRPr="00EE0CF3">
        <w:rPr>
          <w:rStyle w:val="Strong"/>
          <w:b w:val="0"/>
          <w:bCs w:val="0"/>
        </w:rPr>
        <w:t>MILRev: Metro Islamic Law Review, 4</w:t>
      </w:r>
      <w:r w:rsidRPr="00EE0CF3">
        <w:t xml:space="preserve">(2), 1074–1096. </w:t>
      </w:r>
      <w:hyperlink r:id="rId21" w:tgtFrame="_new" w:history="1">
        <w:r w:rsidRPr="00EE0CF3">
          <w:rPr>
            <w:rStyle w:val="Hyperlink"/>
            <w:color w:val="auto"/>
          </w:rPr>
          <w:t>https://doi.org/10.32332/milrev.v4i2.11334</w:t>
        </w:r>
      </w:hyperlink>
    </w:p>
  </w:footnote>
  <w:footnote w:id="36">
    <w:p w:rsidR="007B183F" w:rsidRPr="00EE0CF3" w:rsidRDefault="007B183F" w:rsidP="00EE0CF3">
      <w:pPr>
        <w:pStyle w:val="NoSpacing"/>
        <w:jc w:val="both"/>
        <w:rPr>
          <w:rFonts w:asciiTheme="majorBidi" w:hAnsiTheme="majorBidi" w:cstheme="majorBidi"/>
          <w:sz w:val="24"/>
          <w:szCs w:val="24"/>
        </w:rPr>
      </w:pPr>
      <w:r w:rsidRPr="00EE0CF3">
        <w:rPr>
          <w:rStyle w:val="FootnoteReference"/>
        </w:rPr>
        <w:footnoteRef/>
      </w:r>
      <w:r w:rsidRPr="00EE0CF3">
        <w:t xml:space="preserve"> </w:t>
      </w:r>
      <w:r w:rsidRPr="00EE0CF3">
        <w:rPr>
          <w:rFonts w:asciiTheme="majorBidi" w:hAnsiTheme="majorBidi" w:cstheme="majorBidi"/>
          <w:sz w:val="24"/>
          <w:szCs w:val="24"/>
        </w:rPr>
        <w:t>Muhammad , A. (2023). Peaceful Coexistence between Muslims and Others in Fallujah During the Ottoman and Royal Eras. </w:t>
      </w:r>
      <w:r w:rsidRPr="00EE0CF3">
        <w:rPr>
          <w:rFonts w:asciiTheme="majorBidi" w:hAnsiTheme="majorBidi" w:cstheme="majorBidi"/>
          <w:i/>
          <w:iCs/>
          <w:sz w:val="24"/>
          <w:szCs w:val="24"/>
        </w:rPr>
        <w:t>Islamic Sciences Journal</w:t>
      </w:r>
      <w:r w:rsidRPr="00EE0CF3">
        <w:rPr>
          <w:rFonts w:asciiTheme="majorBidi" w:hAnsiTheme="majorBidi" w:cstheme="majorBidi"/>
          <w:sz w:val="24"/>
          <w:szCs w:val="24"/>
        </w:rPr>
        <w:t>, </w:t>
      </w:r>
      <w:r w:rsidRPr="00EE0CF3">
        <w:rPr>
          <w:rFonts w:asciiTheme="majorBidi" w:hAnsiTheme="majorBidi" w:cstheme="majorBidi"/>
          <w:i/>
          <w:iCs/>
          <w:sz w:val="24"/>
          <w:szCs w:val="24"/>
        </w:rPr>
        <w:t>12</w:t>
      </w:r>
      <w:r w:rsidRPr="00EE0CF3">
        <w:rPr>
          <w:rFonts w:asciiTheme="majorBidi" w:hAnsiTheme="majorBidi" w:cstheme="majorBidi"/>
          <w:sz w:val="24"/>
          <w:szCs w:val="24"/>
        </w:rPr>
        <w:t xml:space="preserve">(3), 24–42. </w:t>
      </w:r>
      <w:hyperlink r:id="rId22" w:history="1">
        <w:r w:rsidRPr="00EE0CF3">
          <w:rPr>
            <w:rStyle w:val="Hyperlink"/>
            <w:rFonts w:asciiTheme="majorBidi" w:hAnsiTheme="majorBidi" w:cstheme="majorBidi"/>
            <w:color w:val="auto"/>
            <w:sz w:val="24"/>
            <w:szCs w:val="24"/>
          </w:rPr>
          <w:t>https://doi.org/10.25130/jis.21.12.3.2.2</w:t>
        </w:r>
      </w:hyperlink>
      <w:r w:rsidRPr="00EE0CF3">
        <w:rPr>
          <w:rFonts w:asciiTheme="majorBidi" w:hAnsiTheme="majorBidi" w:cstheme="majorBidi"/>
          <w:sz w:val="24"/>
          <w:szCs w:val="24"/>
        </w:rPr>
        <w:t>.</w:t>
      </w:r>
    </w:p>
  </w:footnote>
  <w:footnote w:id="37">
    <w:p w:rsidR="007B183F" w:rsidRPr="00EE0CF3" w:rsidRDefault="007B183F" w:rsidP="00EE0CF3">
      <w:pPr>
        <w:pStyle w:val="NoSpacing"/>
        <w:jc w:val="both"/>
      </w:pPr>
      <w:r w:rsidRPr="00EE0CF3">
        <w:rPr>
          <w:rStyle w:val="FootnoteReference"/>
        </w:rPr>
        <w:footnoteRef/>
      </w:r>
      <w:r w:rsidRPr="00EE0CF3">
        <w:t xml:space="preserve"> Hasanah, L. N., Faisal, M. S., Ahmed, Z., &amp; Hasyim, M. Y. A. (2025). Religious diversity and the digital economy: Legal–academic pathways to harmonize Sharia and international law. </w:t>
      </w:r>
      <w:r w:rsidRPr="00EE0CF3">
        <w:rPr>
          <w:i/>
          <w:iCs/>
        </w:rPr>
        <w:t>International Journal of Law and Social Sciences</w:t>
      </w:r>
      <w:r w:rsidRPr="00EE0CF3">
        <w:t xml:space="preserve">, </w:t>
      </w:r>
      <w:r w:rsidRPr="00EE0CF3">
        <w:rPr>
          <w:i/>
          <w:iCs/>
        </w:rPr>
        <w:t>1</w:t>
      </w:r>
      <w:r w:rsidRPr="00EE0CF3">
        <w:t xml:space="preserve">(1). </w:t>
      </w:r>
      <w:hyperlink r:id="rId23" w:tgtFrame="_blank" w:history="1">
        <w:r w:rsidRPr="00EE0CF3">
          <w:rPr>
            <w:rStyle w:val="Hyperlink"/>
            <w:rFonts w:eastAsiaTheme="majorEastAsia"/>
            <w:color w:val="auto"/>
          </w:rPr>
          <w:t>https://doi.org/10.65960/ijlss.1.1.2025.8</w:t>
        </w:r>
      </w:hyperlink>
    </w:p>
  </w:footnote>
  <w:footnote w:id="38">
    <w:p w:rsidR="007B183F" w:rsidRPr="00EE0CF3" w:rsidRDefault="007B183F" w:rsidP="00EE0CF3">
      <w:pPr>
        <w:pStyle w:val="NoSpacing"/>
        <w:jc w:val="both"/>
      </w:pPr>
      <w:r w:rsidRPr="00EE0CF3">
        <w:rPr>
          <w:rStyle w:val="FootnoteReference"/>
        </w:rPr>
        <w:footnoteRef/>
      </w:r>
      <w:r w:rsidRPr="00EE0CF3">
        <w:t xml:space="preserve"> Satyo, B. K., &amp; Prasetyo, B. A. Y. (2026). </w:t>
      </w:r>
      <w:r w:rsidRPr="00EE0CF3">
        <w:rPr>
          <w:rStyle w:val="Emphasis"/>
        </w:rPr>
        <w:t>Artificial intelligence and the future of human rights: Legal accountability for algorithmic decision-making in democratic societies</w:t>
      </w:r>
      <w:r w:rsidRPr="00EE0CF3">
        <w:t xml:space="preserve">. </w:t>
      </w:r>
      <w:r w:rsidRPr="00EE0CF3">
        <w:rPr>
          <w:rStyle w:val="Emphasis"/>
        </w:rPr>
        <w:t>International Journal of Law and Social Sciences, 2</w:t>
      </w:r>
      <w:r w:rsidRPr="00EE0CF3">
        <w:t xml:space="preserve">(1), 54–74. </w:t>
      </w:r>
      <w:hyperlink r:id="rId24" w:tgtFrame="_new" w:history="1">
        <w:r w:rsidRPr="00EE0CF3">
          <w:rPr>
            <w:rStyle w:val="Hyperlink"/>
            <w:color w:val="auto"/>
          </w:rPr>
          <w:t>https://doi.org/10.65960/ijlss.2.1.2026.12</w:t>
        </w:r>
      </w:hyperlink>
    </w:p>
  </w:footnote>
  <w:footnote w:id="39">
    <w:p w:rsidR="007B183F" w:rsidRPr="00EE0CF3" w:rsidRDefault="007B183F" w:rsidP="00EE0CF3">
      <w:pPr>
        <w:pStyle w:val="NoSpacing"/>
        <w:jc w:val="both"/>
      </w:pPr>
      <w:r w:rsidRPr="00EE0CF3">
        <w:rPr>
          <w:rStyle w:val="FootnoteReference"/>
        </w:rPr>
        <w:footnoteRef/>
      </w:r>
      <w:r w:rsidRPr="00EE0CF3">
        <w:t xml:space="preserve"> Mustafa, A., Ishaque, M., Raza, R., Samiullah, &amp; Raza, M. I. (2025). When culture meets Fiqh: Examining the legal authority of ʿUrf in contemporary engagement traditions. </w:t>
      </w:r>
      <w:r w:rsidRPr="00EE0CF3">
        <w:rPr>
          <w:i/>
          <w:iCs/>
        </w:rPr>
        <w:t>Global Islamic Research Journal</w:t>
      </w:r>
      <w:r w:rsidRPr="00EE0CF3">
        <w:t xml:space="preserve">, </w:t>
      </w:r>
      <w:r w:rsidRPr="00EE0CF3">
        <w:rPr>
          <w:i/>
          <w:iCs/>
        </w:rPr>
        <w:t>1</w:t>
      </w:r>
      <w:r w:rsidRPr="00EE0CF3">
        <w:t xml:space="preserve">(1), 1–21. </w:t>
      </w:r>
      <w:hyperlink r:id="rId25" w:tgtFrame="_blank" w:history="1">
        <w:r w:rsidRPr="00EE0CF3">
          <w:rPr>
            <w:rStyle w:val="Hyperlink"/>
            <w:color w:val="auto"/>
          </w:rPr>
          <w:t>https://doi.org/10.65960/girj.1.1.2025.6</w:t>
        </w:r>
      </w:hyperlink>
    </w:p>
  </w:footnote>
  <w:footnote w:id="40">
    <w:p w:rsidR="007B183F" w:rsidRPr="00EE0CF3" w:rsidRDefault="007B183F" w:rsidP="00EE0CF3">
      <w:pPr>
        <w:pStyle w:val="NoSpacing"/>
        <w:jc w:val="both"/>
      </w:pPr>
      <w:r w:rsidRPr="00EE0CF3">
        <w:rPr>
          <w:rStyle w:val="FootnoteReference"/>
        </w:rPr>
        <w:footnoteRef/>
      </w:r>
      <w:r w:rsidRPr="00EE0CF3">
        <w:t xml:space="preserve"> Al Azhari, F. U., Shah, S. H. M., Al Azhari, S. I., Rasool, F., Ahmed, R., Samad, A., &amp; Rehman, A. (2025). The role of Islamic economic principles in family law: A study on inheritance and property rights within the context of child protection. </w:t>
      </w:r>
      <w:r w:rsidRPr="00EE0CF3">
        <w:rPr>
          <w:i/>
          <w:iCs/>
        </w:rPr>
        <w:t>Global Islamic Research Journal</w:t>
      </w:r>
      <w:r w:rsidRPr="00EE0CF3">
        <w:t xml:space="preserve">, </w:t>
      </w:r>
      <w:r w:rsidRPr="00EE0CF3">
        <w:rPr>
          <w:i/>
          <w:iCs/>
        </w:rPr>
        <w:t>1</w:t>
      </w:r>
      <w:r w:rsidRPr="00EE0CF3">
        <w:t xml:space="preserve">(1), 59–76. </w:t>
      </w:r>
      <w:hyperlink r:id="rId26" w:tgtFrame="_blank" w:history="1">
        <w:r w:rsidRPr="00EE0CF3">
          <w:rPr>
            <w:rStyle w:val="Hyperlink"/>
            <w:color w:val="auto"/>
          </w:rPr>
          <w:t>https://doi.org/10.65960/girj.1.1.2025.2</w:t>
        </w:r>
      </w:hyperlink>
    </w:p>
  </w:footnote>
  <w:footnote w:id="41">
    <w:p w:rsidR="007B183F" w:rsidRPr="00EE0CF3" w:rsidRDefault="007B183F" w:rsidP="00EE0CF3">
      <w:pPr>
        <w:pStyle w:val="NoSpacing"/>
        <w:jc w:val="both"/>
      </w:pPr>
      <w:r w:rsidRPr="00EE0CF3">
        <w:rPr>
          <w:rStyle w:val="FootnoteReference"/>
        </w:rPr>
        <w:footnoteRef/>
      </w:r>
      <w:r w:rsidRPr="00EE0CF3">
        <w:t xml:space="preserve"> Vezzoli, V., Hasan, B. J., &amp; Tonghini, C. (2024). Stations of the Ottoman period in Iraqi Kurdistan: Preliminary results from the Bazhera Archaeological Project. </w:t>
      </w:r>
      <w:r w:rsidRPr="00EE0CF3">
        <w:rPr>
          <w:i/>
          <w:iCs/>
        </w:rPr>
        <w:t>Annali di Ca’ Foscari. Serie Orientale</w:t>
      </w:r>
      <w:r w:rsidRPr="00EE0CF3">
        <w:t xml:space="preserve">, </w:t>
      </w:r>
      <w:r w:rsidRPr="00EE0CF3">
        <w:rPr>
          <w:i/>
          <w:iCs/>
        </w:rPr>
        <w:t>60</w:t>
      </w:r>
      <w:r w:rsidRPr="00EE0CF3">
        <w:t xml:space="preserve">, 41–63. </w:t>
      </w:r>
      <w:hyperlink r:id="rId27" w:tgtFrame="_blank" w:history="1">
        <w:r w:rsidRPr="00EE0CF3">
          <w:rPr>
            <w:rStyle w:val="Hyperlink"/>
            <w:color w:val="auto"/>
          </w:rPr>
          <w:t>https://doi.org/10.30687/AnnOr/2385-3042/2024/01/002</w:t>
        </w:r>
      </w:hyperlink>
    </w:p>
  </w:footnote>
  <w:footnote w:id="42">
    <w:p w:rsidR="007B183F" w:rsidRPr="00EE0CF3" w:rsidRDefault="007B183F" w:rsidP="00EE0CF3">
      <w:pPr>
        <w:pStyle w:val="NoSpacing"/>
        <w:jc w:val="both"/>
      </w:pPr>
      <w:r w:rsidRPr="00EE0CF3">
        <w:rPr>
          <w:rStyle w:val="FootnoteReference"/>
        </w:rPr>
        <w:footnoteRef/>
      </w:r>
      <w:r w:rsidRPr="00EE0CF3">
        <w:t xml:space="preserve"> Jordan, D. (2023). Abū l-Hudà al-Sayyādī (1850-1909), the niqābat al-ašrāf, and Sufism between Sunnah and Šīʿah in late Ottoman Iraq (Šarīfism in modernity I). </w:t>
      </w:r>
      <w:r w:rsidRPr="00EE0CF3">
        <w:rPr>
          <w:i/>
          <w:iCs/>
        </w:rPr>
        <w:t>Oriente Moderno</w:t>
      </w:r>
      <w:r w:rsidRPr="00EE0CF3">
        <w:t xml:space="preserve">, </w:t>
      </w:r>
      <w:r w:rsidRPr="00EE0CF3">
        <w:rPr>
          <w:i/>
          <w:iCs/>
        </w:rPr>
        <w:t>103</w:t>
      </w:r>
      <w:r w:rsidRPr="00EE0CF3">
        <w:t xml:space="preserve">(1), 227–255. </w:t>
      </w:r>
      <w:hyperlink r:id="rId28" w:tgtFrame="_blank" w:history="1">
        <w:r w:rsidRPr="00EE0CF3">
          <w:rPr>
            <w:rStyle w:val="Hyperlink"/>
            <w:color w:val="auto"/>
          </w:rPr>
          <w:t>https://doi.org/10.1163/22138617-12340313</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9A292A"/>
    <w:multiLevelType w:val="hybridMultilevel"/>
    <w:tmpl w:val="C8CA7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22618E"/>
    <w:multiLevelType w:val="multilevel"/>
    <w:tmpl w:val="C4D8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5F12EF"/>
    <w:multiLevelType w:val="multilevel"/>
    <w:tmpl w:val="FD5A1A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5BD"/>
    <w:rsid w:val="00064B7A"/>
    <w:rsid w:val="00114BD2"/>
    <w:rsid w:val="0021337C"/>
    <w:rsid w:val="00385E25"/>
    <w:rsid w:val="003C7C97"/>
    <w:rsid w:val="00505B3D"/>
    <w:rsid w:val="007B183F"/>
    <w:rsid w:val="008325BD"/>
    <w:rsid w:val="00894025"/>
    <w:rsid w:val="00A05046"/>
    <w:rsid w:val="00A4241D"/>
    <w:rsid w:val="00CD0991"/>
    <w:rsid w:val="00EE0C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DAF52-ECBC-464D-8492-E0E5346B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325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325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325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5BD"/>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325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25BD"/>
    <w:rPr>
      <w:b/>
      <w:bCs/>
    </w:rPr>
  </w:style>
  <w:style w:type="character" w:customStyle="1" w:styleId="Heading2Char">
    <w:name w:val="Heading 2 Char"/>
    <w:basedOn w:val="DefaultParagraphFont"/>
    <w:link w:val="Heading2"/>
    <w:uiPriority w:val="9"/>
    <w:semiHidden/>
    <w:rsid w:val="008325B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325BD"/>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8325BD"/>
    <w:rPr>
      <w:i/>
      <w:iCs/>
    </w:rPr>
  </w:style>
  <w:style w:type="table" w:styleId="PlainTable1">
    <w:name w:val="Plain Table 1"/>
    <w:basedOn w:val="TableNormal"/>
    <w:uiPriority w:val="41"/>
    <w:rsid w:val="008325B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325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8325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85E25"/>
    <w:rPr>
      <w:color w:val="0563C1" w:themeColor="hyperlink"/>
      <w:u w:val="single"/>
    </w:rPr>
  </w:style>
  <w:style w:type="paragraph" w:styleId="ListParagraph">
    <w:name w:val="List Paragraph"/>
    <w:basedOn w:val="Normal"/>
    <w:uiPriority w:val="34"/>
    <w:qFormat/>
    <w:rsid w:val="00385E25"/>
    <w:pPr>
      <w:ind w:left="720"/>
      <w:contextualSpacing/>
    </w:pPr>
    <w:rPr>
      <w:kern w:val="2"/>
      <w14:ligatures w14:val="standardContextual"/>
    </w:rPr>
  </w:style>
  <w:style w:type="paragraph" w:styleId="FootnoteText">
    <w:name w:val="footnote text"/>
    <w:basedOn w:val="Normal"/>
    <w:link w:val="FootnoteTextChar"/>
    <w:uiPriority w:val="99"/>
    <w:semiHidden/>
    <w:unhideWhenUsed/>
    <w:rsid w:val="00064B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4B7A"/>
    <w:rPr>
      <w:sz w:val="20"/>
      <w:szCs w:val="20"/>
    </w:rPr>
  </w:style>
  <w:style w:type="character" w:styleId="FootnoteReference">
    <w:name w:val="footnote reference"/>
    <w:basedOn w:val="DefaultParagraphFont"/>
    <w:uiPriority w:val="99"/>
    <w:semiHidden/>
    <w:unhideWhenUsed/>
    <w:rsid w:val="00064B7A"/>
    <w:rPr>
      <w:vertAlign w:val="superscript"/>
    </w:rPr>
  </w:style>
  <w:style w:type="paragraph" w:styleId="NoSpacing">
    <w:name w:val="No Spacing"/>
    <w:uiPriority w:val="1"/>
    <w:qFormat/>
    <w:rsid w:val="00EE0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7343">
      <w:bodyDiv w:val="1"/>
      <w:marLeft w:val="0"/>
      <w:marRight w:val="0"/>
      <w:marTop w:val="0"/>
      <w:marBottom w:val="0"/>
      <w:divBdr>
        <w:top w:val="none" w:sz="0" w:space="0" w:color="auto"/>
        <w:left w:val="none" w:sz="0" w:space="0" w:color="auto"/>
        <w:bottom w:val="none" w:sz="0" w:space="0" w:color="auto"/>
        <w:right w:val="none" w:sz="0" w:space="0" w:color="auto"/>
      </w:divBdr>
    </w:div>
    <w:div w:id="102389294">
      <w:bodyDiv w:val="1"/>
      <w:marLeft w:val="0"/>
      <w:marRight w:val="0"/>
      <w:marTop w:val="0"/>
      <w:marBottom w:val="0"/>
      <w:divBdr>
        <w:top w:val="none" w:sz="0" w:space="0" w:color="auto"/>
        <w:left w:val="none" w:sz="0" w:space="0" w:color="auto"/>
        <w:bottom w:val="none" w:sz="0" w:space="0" w:color="auto"/>
        <w:right w:val="none" w:sz="0" w:space="0" w:color="auto"/>
      </w:divBdr>
    </w:div>
    <w:div w:id="534543675">
      <w:bodyDiv w:val="1"/>
      <w:marLeft w:val="0"/>
      <w:marRight w:val="0"/>
      <w:marTop w:val="0"/>
      <w:marBottom w:val="0"/>
      <w:divBdr>
        <w:top w:val="none" w:sz="0" w:space="0" w:color="auto"/>
        <w:left w:val="none" w:sz="0" w:space="0" w:color="auto"/>
        <w:bottom w:val="none" w:sz="0" w:space="0" w:color="auto"/>
        <w:right w:val="none" w:sz="0" w:space="0" w:color="auto"/>
      </w:divBdr>
    </w:div>
    <w:div w:id="573204269">
      <w:bodyDiv w:val="1"/>
      <w:marLeft w:val="0"/>
      <w:marRight w:val="0"/>
      <w:marTop w:val="0"/>
      <w:marBottom w:val="0"/>
      <w:divBdr>
        <w:top w:val="none" w:sz="0" w:space="0" w:color="auto"/>
        <w:left w:val="none" w:sz="0" w:space="0" w:color="auto"/>
        <w:bottom w:val="none" w:sz="0" w:space="0" w:color="auto"/>
        <w:right w:val="none" w:sz="0" w:space="0" w:color="auto"/>
      </w:divBdr>
    </w:div>
    <w:div w:id="582035574">
      <w:bodyDiv w:val="1"/>
      <w:marLeft w:val="0"/>
      <w:marRight w:val="0"/>
      <w:marTop w:val="0"/>
      <w:marBottom w:val="0"/>
      <w:divBdr>
        <w:top w:val="none" w:sz="0" w:space="0" w:color="auto"/>
        <w:left w:val="none" w:sz="0" w:space="0" w:color="auto"/>
        <w:bottom w:val="none" w:sz="0" w:space="0" w:color="auto"/>
        <w:right w:val="none" w:sz="0" w:space="0" w:color="auto"/>
      </w:divBdr>
    </w:div>
    <w:div w:id="609242500">
      <w:bodyDiv w:val="1"/>
      <w:marLeft w:val="0"/>
      <w:marRight w:val="0"/>
      <w:marTop w:val="0"/>
      <w:marBottom w:val="0"/>
      <w:divBdr>
        <w:top w:val="none" w:sz="0" w:space="0" w:color="auto"/>
        <w:left w:val="none" w:sz="0" w:space="0" w:color="auto"/>
        <w:bottom w:val="none" w:sz="0" w:space="0" w:color="auto"/>
        <w:right w:val="none" w:sz="0" w:space="0" w:color="auto"/>
      </w:divBdr>
    </w:div>
    <w:div w:id="612370821">
      <w:bodyDiv w:val="1"/>
      <w:marLeft w:val="0"/>
      <w:marRight w:val="0"/>
      <w:marTop w:val="0"/>
      <w:marBottom w:val="0"/>
      <w:divBdr>
        <w:top w:val="none" w:sz="0" w:space="0" w:color="auto"/>
        <w:left w:val="none" w:sz="0" w:space="0" w:color="auto"/>
        <w:bottom w:val="none" w:sz="0" w:space="0" w:color="auto"/>
        <w:right w:val="none" w:sz="0" w:space="0" w:color="auto"/>
      </w:divBdr>
    </w:div>
    <w:div w:id="616252342">
      <w:bodyDiv w:val="1"/>
      <w:marLeft w:val="0"/>
      <w:marRight w:val="0"/>
      <w:marTop w:val="0"/>
      <w:marBottom w:val="0"/>
      <w:divBdr>
        <w:top w:val="none" w:sz="0" w:space="0" w:color="auto"/>
        <w:left w:val="none" w:sz="0" w:space="0" w:color="auto"/>
        <w:bottom w:val="none" w:sz="0" w:space="0" w:color="auto"/>
        <w:right w:val="none" w:sz="0" w:space="0" w:color="auto"/>
      </w:divBdr>
    </w:div>
    <w:div w:id="688802374">
      <w:bodyDiv w:val="1"/>
      <w:marLeft w:val="0"/>
      <w:marRight w:val="0"/>
      <w:marTop w:val="0"/>
      <w:marBottom w:val="0"/>
      <w:divBdr>
        <w:top w:val="none" w:sz="0" w:space="0" w:color="auto"/>
        <w:left w:val="none" w:sz="0" w:space="0" w:color="auto"/>
        <w:bottom w:val="none" w:sz="0" w:space="0" w:color="auto"/>
        <w:right w:val="none" w:sz="0" w:space="0" w:color="auto"/>
      </w:divBdr>
    </w:div>
    <w:div w:id="738208985">
      <w:bodyDiv w:val="1"/>
      <w:marLeft w:val="0"/>
      <w:marRight w:val="0"/>
      <w:marTop w:val="0"/>
      <w:marBottom w:val="0"/>
      <w:divBdr>
        <w:top w:val="none" w:sz="0" w:space="0" w:color="auto"/>
        <w:left w:val="none" w:sz="0" w:space="0" w:color="auto"/>
        <w:bottom w:val="none" w:sz="0" w:space="0" w:color="auto"/>
        <w:right w:val="none" w:sz="0" w:space="0" w:color="auto"/>
      </w:divBdr>
    </w:div>
    <w:div w:id="936641654">
      <w:bodyDiv w:val="1"/>
      <w:marLeft w:val="0"/>
      <w:marRight w:val="0"/>
      <w:marTop w:val="0"/>
      <w:marBottom w:val="0"/>
      <w:divBdr>
        <w:top w:val="none" w:sz="0" w:space="0" w:color="auto"/>
        <w:left w:val="none" w:sz="0" w:space="0" w:color="auto"/>
        <w:bottom w:val="none" w:sz="0" w:space="0" w:color="auto"/>
        <w:right w:val="none" w:sz="0" w:space="0" w:color="auto"/>
      </w:divBdr>
    </w:div>
    <w:div w:id="981010031">
      <w:bodyDiv w:val="1"/>
      <w:marLeft w:val="0"/>
      <w:marRight w:val="0"/>
      <w:marTop w:val="0"/>
      <w:marBottom w:val="0"/>
      <w:divBdr>
        <w:top w:val="none" w:sz="0" w:space="0" w:color="auto"/>
        <w:left w:val="none" w:sz="0" w:space="0" w:color="auto"/>
        <w:bottom w:val="none" w:sz="0" w:space="0" w:color="auto"/>
        <w:right w:val="none" w:sz="0" w:space="0" w:color="auto"/>
      </w:divBdr>
    </w:div>
    <w:div w:id="1127240733">
      <w:bodyDiv w:val="1"/>
      <w:marLeft w:val="0"/>
      <w:marRight w:val="0"/>
      <w:marTop w:val="0"/>
      <w:marBottom w:val="0"/>
      <w:divBdr>
        <w:top w:val="none" w:sz="0" w:space="0" w:color="auto"/>
        <w:left w:val="none" w:sz="0" w:space="0" w:color="auto"/>
        <w:bottom w:val="none" w:sz="0" w:space="0" w:color="auto"/>
        <w:right w:val="none" w:sz="0" w:space="0" w:color="auto"/>
      </w:divBdr>
    </w:div>
    <w:div w:id="1195584283">
      <w:bodyDiv w:val="1"/>
      <w:marLeft w:val="0"/>
      <w:marRight w:val="0"/>
      <w:marTop w:val="0"/>
      <w:marBottom w:val="0"/>
      <w:divBdr>
        <w:top w:val="none" w:sz="0" w:space="0" w:color="auto"/>
        <w:left w:val="none" w:sz="0" w:space="0" w:color="auto"/>
        <w:bottom w:val="none" w:sz="0" w:space="0" w:color="auto"/>
        <w:right w:val="none" w:sz="0" w:space="0" w:color="auto"/>
      </w:divBdr>
    </w:div>
    <w:div w:id="1262028373">
      <w:bodyDiv w:val="1"/>
      <w:marLeft w:val="0"/>
      <w:marRight w:val="0"/>
      <w:marTop w:val="0"/>
      <w:marBottom w:val="0"/>
      <w:divBdr>
        <w:top w:val="none" w:sz="0" w:space="0" w:color="auto"/>
        <w:left w:val="none" w:sz="0" w:space="0" w:color="auto"/>
        <w:bottom w:val="none" w:sz="0" w:space="0" w:color="auto"/>
        <w:right w:val="none" w:sz="0" w:space="0" w:color="auto"/>
      </w:divBdr>
    </w:div>
    <w:div w:id="1277716731">
      <w:bodyDiv w:val="1"/>
      <w:marLeft w:val="0"/>
      <w:marRight w:val="0"/>
      <w:marTop w:val="0"/>
      <w:marBottom w:val="0"/>
      <w:divBdr>
        <w:top w:val="none" w:sz="0" w:space="0" w:color="auto"/>
        <w:left w:val="none" w:sz="0" w:space="0" w:color="auto"/>
        <w:bottom w:val="none" w:sz="0" w:space="0" w:color="auto"/>
        <w:right w:val="none" w:sz="0" w:space="0" w:color="auto"/>
      </w:divBdr>
    </w:div>
    <w:div w:id="1290432407">
      <w:bodyDiv w:val="1"/>
      <w:marLeft w:val="0"/>
      <w:marRight w:val="0"/>
      <w:marTop w:val="0"/>
      <w:marBottom w:val="0"/>
      <w:divBdr>
        <w:top w:val="none" w:sz="0" w:space="0" w:color="auto"/>
        <w:left w:val="none" w:sz="0" w:space="0" w:color="auto"/>
        <w:bottom w:val="none" w:sz="0" w:space="0" w:color="auto"/>
        <w:right w:val="none" w:sz="0" w:space="0" w:color="auto"/>
      </w:divBdr>
    </w:div>
    <w:div w:id="1501505934">
      <w:bodyDiv w:val="1"/>
      <w:marLeft w:val="0"/>
      <w:marRight w:val="0"/>
      <w:marTop w:val="0"/>
      <w:marBottom w:val="0"/>
      <w:divBdr>
        <w:top w:val="none" w:sz="0" w:space="0" w:color="auto"/>
        <w:left w:val="none" w:sz="0" w:space="0" w:color="auto"/>
        <w:bottom w:val="none" w:sz="0" w:space="0" w:color="auto"/>
        <w:right w:val="none" w:sz="0" w:space="0" w:color="auto"/>
      </w:divBdr>
    </w:div>
    <w:div w:id="1534802408">
      <w:bodyDiv w:val="1"/>
      <w:marLeft w:val="0"/>
      <w:marRight w:val="0"/>
      <w:marTop w:val="0"/>
      <w:marBottom w:val="0"/>
      <w:divBdr>
        <w:top w:val="none" w:sz="0" w:space="0" w:color="auto"/>
        <w:left w:val="none" w:sz="0" w:space="0" w:color="auto"/>
        <w:bottom w:val="none" w:sz="0" w:space="0" w:color="auto"/>
        <w:right w:val="none" w:sz="0" w:space="0" w:color="auto"/>
      </w:divBdr>
    </w:div>
    <w:div w:id="1600872715">
      <w:bodyDiv w:val="1"/>
      <w:marLeft w:val="0"/>
      <w:marRight w:val="0"/>
      <w:marTop w:val="0"/>
      <w:marBottom w:val="0"/>
      <w:divBdr>
        <w:top w:val="none" w:sz="0" w:space="0" w:color="auto"/>
        <w:left w:val="none" w:sz="0" w:space="0" w:color="auto"/>
        <w:bottom w:val="none" w:sz="0" w:space="0" w:color="auto"/>
        <w:right w:val="none" w:sz="0" w:space="0" w:color="auto"/>
      </w:divBdr>
    </w:div>
    <w:div w:id="1625500153">
      <w:bodyDiv w:val="1"/>
      <w:marLeft w:val="0"/>
      <w:marRight w:val="0"/>
      <w:marTop w:val="0"/>
      <w:marBottom w:val="0"/>
      <w:divBdr>
        <w:top w:val="none" w:sz="0" w:space="0" w:color="auto"/>
        <w:left w:val="none" w:sz="0" w:space="0" w:color="auto"/>
        <w:bottom w:val="none" w:sz="0" w:space="0" w:color="auto"/>
        <w:right w:val="none" w:sz="0" w:space="0" w:color="auto"/>
      </w:divBdr>
    </w:div>
    <w:div w:id="1670716160">
      <w:bodyDiv w:val="1"/>
      <w:marLeft w:val="0"/>
      <w:marRight w:val="0"/>
      <w:marTop w:val="0"/>
      <w:marBottom w:val="0"/>
      <w:divBdr>
        <w:top w:val="none" w:sz="0" w:space="0" w:color="auto"/>
        <w:left w:val="none" w:sz="0" w:space="0" w:color="auto"/>
        <w:bottom w:val="none" w:sz="0" w:space="0" w:color="auto"/>
        <w:right w:val="none" w:sz="0" w:space="0" w:color="auto"/>
      </w:divBdr>
    </w:div>
    <w:div w:id="1759056517">
      <w:bodyDiv w:val="1"/>
      <w:marLeft w:val="0"/>
      <w:marRight w:val="0"/>
      <w:marTop w:val="0"/>
      <w:marBottom w:val="0"/>
      <w:divBdr>
        <w:top w:val="none" w:sz="0" w:space="0" w:color="auto"/>
        <w:left w:val="none" w:sz="0" w:space="0" w:color="auto"/>
        <w:bottom w:val="none" w:sz="0" w:space="0" w:color="auto"/>
        <w:right w:val="none" w:sz="0" w:space="0" w:color="auto"/>
      </w:divBdr>
    </w:div>
    <w:div w:id="1772512306">
      <w:bodyDiv w:val="1"/>
      <w:marLeft w:val="0"/>
      <w:marRight w:val="0"/>
      <w:marTop w:val="0"/>
      <w:marBottom w:val="0"/>
      <w:divBdr>
        <w:top w:val="none" w:sz="0" w:space="0" w:color="auto"/>
        <w:left w:val="none" w:sz="0" w:space="0" w:color="auto"/>
        <w:bottom w:val="none" w:sz="0" w:space="0" w:color="auto"/>
        <w:right w:val="none" w:sz="0" w:space="0" w:color="auto"/>
      </w:divBdr>
    </w:div>
    <w:div w:id="1803958280">
      <w:bodyDiv w:val="1"/>
      <w:marLeft w:val="0"/>
      <w:marRight w:val="0"/>
      <w:marTop w:val="0"/>
      <w:marBottom w:val="0"/>
      <w:divBdr>
        <w:top w:val="none" w:sz="0" w:space="0" w:color="auto"/>
        <w:left w:val="none" w:sz="0" w:space="0" w:color="auto"/>
        <w:bottom w:val="none" w:sz="0" w:space="0" w:color="auto"/>
        <w:right w:val="none" w:sz="0" w:space="0" w:color="auto"/>
      </w:divBdr>
    </w:div>
    <w:div w:id="1838840407">
      <w:bodyDiv w:val="1"/>
      <w:marLeft w:val="0"/>
      <w:marRight w:val="0"/>
      <w:marTop w:val="0"/>
      <w:marBottom w:val="0"/>
      <w:divBdr>
        <w:top w:val="none" w:sz="0" w:space="0" w:color="auto"/>
        <w:left w:val="none" w:sz="0" w:space="0" w:color="auto"/>
        <w:bottom w:val="none" w:sz="0" w:space="0" w:color="auto"/>
        <w:right w:val="none" w:sz="0" w:space="0" w:color="auto"/>
      </w:divBdr>
    </w:div>
    <w:div w:id="1971595359">
      <w:bodyDiv w:val="1"/>
      <w:marLeft w:val="0"/>
      <w:marRight w:val="0"/>
      <w:marTop w:val="0"/>
      <w:marBottom w:val="0"/>
      <w:divBdr>
        <w:top w:val="none" w:sz="0" w:space="0" w:color="auto"/>
        <w:left w:val="none" w:sz="0" w:space="0" w:color="auto"/>
        <w:bottom w:val="none" w:sz="0" w:space="0" w:color="auto"/>
        <w:right w:val="none" w:sz="0" w:space="0" w:color="auto"/>
      </w:divBdr>
    </w:div>
    <w:div w:id="201530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Email:-%20adam.a@uobaghdad.edu.iq" TargetMode="External"/><Relationship Id="rId13" Type="http://schemas.openxmlformats.org/officeDocument/2006/relationships/hyperlink" Target="https://doi.org/10.15294/ciils.v4i2.33011" TargetMode="External"/><Relationship Id="rId18" Type="http://schemas.openxmlformats.org/officeDocument/2006/relationships/hyperlink" Target="https://doi.org/10.1177/0073275321999265" TargetMode="External"/><Relationship Id="rId26" Type="http://schemas.openxmlformats.org/officeDocument/2006/relationships/hyperlink" Target="https://doi.org/10.65960/ijlss.1.1.2025.8" TargetMode="External"/><Relationship Id="rId39" Type="http://schemas.openxmlformats.org/officeDocument/2006/relationships/hyperlink" Target="https://doi.org/10.2478/euco-2023-0034" TargetMode="External"/><Relationship Id="rId3" Type="http://schemas.openxmlformats.org/officeDocument/2006/relationships/styles" Target="styles.xml"/><Relationship Id="rId21" Type="http://schemas.openxmlformats.org/officeDocument/2006/relationships/hyperlink" Target="https://doi.org/10.32449/egetdid.1522647" TargetMode="External"/><Relationship Id="rId34" Type="http://schemas.openxmlformats.org/officeDocument/2006/relationships/hyperlink" Target="https://doi.org/10.1556/062.2018.71.1.3" TargetMode="External"/><Relationship Id="rId42" Type="http://schemas.openxmlformats.org/officeDocument/2006/relationships/hyperlink" Target="https://doi.org/10.1063/5.0306691" TargetMode="External"/><Relationship Id="rId7" Type="http://schemas.openxmlformats.org/officeDocument/2006/relationships/endnotes" Target="endnotes.xml"/><Relationship Id="rId12" Type="http://schemas.openxmlformats.org/officeDocument/2006/relationships/hyperlink" Target="https://doi.org/10.32332/milrev.v5i1.13387" TargetMode="External"/><Relationship Id="rId17" Type="http://schemas.openxmlformats.org/officeDocument/2006/relationships/hyperlink" Target="https://doi.org/10.1080/03068374.2012.720488" TargetMode="External"/><Relationship Id="rId25" Type="http://schemas.openxmlformats.org/officeDocument/2006/relationships/hyperlink" Target="https://doi.org/10.1163/15685209-12341381" TargetMode="External"/><Relationship Id="rId33" Type="http://schemas.openxmlformats.org/officeDocument/2006/relationships/hyperlink" Target="https://doi.org/10.65960/girj.1.1.2025.6" TargetMode="External"/><Relationship Id="rId38" Type="http://schemas.openxmlformats.org/officeDocument/2006/relationships/hyperlink" Target="https://doi.org/10.1017/CBO9780511818851"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7/nps.2018.52" TargetMode="External"/><Relationship Id="rId20" Type="http://schemas.openxmlformats.org/officeDocument/2006/relationships/hyperlink" Target="https://doi.org/10.1016/j.eeh.2011.12.001" TargetMode="External"/><Relationship Id="rId29" Type="http://schemas.openxmlformats.org/officeDocument/2006/relationships/hyperlink" Target="https://doi.org/10.1017/S0022050710000550" TargetMode="External"/><Relationship Id="rId41" Type="http://schemas.openxmlformats.org/officeDocument/2006/relationships/hyperlink" Target="https://doi.org/10.65960/ijlss.2.1.2026.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026/j.eng.2018.02.10" TargetMode="External"/><Relationship Id="rId24" Type="http://schemas.openxmlformats.org/officeDocument/2006/relationships/hyperlink" Target="https://doi.org/10.1093/llc/fqac047" TargetMode="External"/><Relationship Id="rId32" Type="http://schemas.openxmlformats.org/officeDocument/2006/relationships/hyperlink" Target="https://doi.org/10.25130/jis.21.12.3.2.2" TargetMode="External"/><Relationship Id="rId37" Type="http://schemas.openxmlformats.org/officeDocument/2006/relationships/hyperlink" Target="https://doi.org/10.1515/9781400884872" TargetMode="External"/><Relationship Id="rId40" Type="http://schemas.openxmlformats.org/officeDocument/2006/relationships/hyperlink" Target="https://doi.org/10.1080/00263206.2025.2515050"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353/bhm.2025.a975182" TargetMode="External"/><Relationship Id="rId23" Type="http://schemas.openxmlformats.org/officeDocument/2006/relationships/hyperlink" Target="https://doi.org/10.1017/S0020743800051400" TargetMode="External"/><Relationship Id="rId28" Type="http://schemas.openxmlformats.org/officeDocument/2006/relationships/hyperlink" Target="https://doi.org/10.1163/22138617-12340313" TargetMode="External"/><Relationship Id="rId36" Type="http://schemas.openxmlformats.org/officeDocument/2006/relationships/hyperlink" Target="https://doi.org/10.1017/S0022050706000337" TargetMode="External"/><Relationship Id="rId10" Type="http://schemas.openxmlformats.org/officeDocument/2006/relationships/hyperlink" Target="https://doi.org/10.5539/ach.v6n1p43" TargetMode="External"/><Relationship Id="rId19" Type="http://schemas.openxmlformats.org/officeDocument/2006/relationships/hyperlink" Target="https://doi.org/10.1017/S0022050709000835" TargetMode="External"/><Relationship Id="rId31" Type="http://schemas.openxmlformats.org/officeDocument/2006/relationships/hyperlink" Target="https://doi.org/10.1017/S0010417522000290" TargetMode="External"/><Relationship Id="rId44" Type="http://schemas.openxmlformats.org/officeDocument/2006/relationships/hyperlink" Target="https://doi.org/10.14395/hid.1416650" TargetMode="External"/><Relationship Id="rId4" Type="http://schemas.openxmlformats.org/officeDocument/2006/relationships/settings" Target="settings.xml"/><Relationship Id="rId9" Type="http://schemas.openxmlformats.org/officeDocument/2006/relationships/hyperlink" Target="https://doi.org/10.65960/girj.1.1.2025.2" TargetMode="External"/><Relationship Id="rId14" Type="http://schemas.openxmlformats.org/officeDocument/2006/relationships/hyperlink" Target="https://doi.org/10.32332/milrev.v4i2.11334" TargetMode="External"/><Relationship Id="rId22" Type="http://schemas.openxmlformats.org/officeDocument/2006/relationships/hyperlink" Target="https://doi.org/10.2495/SDP240391" TargetMode="External"/><Relationship Id="rId27" Type="http://schemas.openxmlformats.org/officeDocument/2006/relationships/hyperlink" Target="https://doi.org/10.1080/20780389.2023.2209285" TargetMode="External"/><Relationship Id="rId30" Type="http://schemas.openxmlformats.org/officeDocument/2006/relationships/hyperlink" Target="https://doi.org/10.1186/s12866-025-04543-x" TargetMode="External"/><Relationship Id="rId35" Type="http://schemas.openxmlformats.org/officeDocument/2006/relationships/hyperlink" Target="https://doi.org/10.1093/jis/etaf026" TargetMode="External"/><Relationship Id="rId43" Type="http://schemas.openxmlformats.org/officeDocument/2006/relationships/hyperlink" Target="https://doi.org/10.30687/AnnOr/2385-3042/2024/01/00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ogle.com/search?q=https://doi.org/10.1186/s12866-025-04543-x" TargetMode="External"/><Relationship Id="rId13" Type="http://schemas.openxmlformats.org/officeDocument/2006/relationships/hyperlink" Target="https://www.google.com/search?q=https://doi.org/10.1080/00263206.2025.2515050" TargetMode="External"/><Relationship Id="rId18" Type="http://schemas.openxmlformats.org/officeDocument/2006/relationships/hyperlink" Target="https://www.google.com/search?q=https://doi.org/10.14395/hid.1416650" TargetMode="External"/><Relationship Id="rId26" Type="http://schemas.openxmlformats.org/officeDocument/2006/relationships/hyperlink" Target="https://doi.org/10.65960/girj.1.1.2025.2" TargetMode="External"/><Relationship Id="rId3" Type="http://schemas.openxmlformats.org/officeDocument/2006/relationships/hyperlink" Target="https://www.google.com/search?q=https%3A%2F%2Fdoi.org%2F10.1017%2Fs0022050710000550" TargetMode="External"/><Relationship Id="rId21" Type="http://schemas.openxmlformats.org/officeDocument/2006/relationships/hyperlink" Target="https://doi.org/10.32332/milrev.v4i2.11334?utm_source=chatgpt.com" TargetMode="External"/><Relationship Id="rId7" Type="http://schemas.openxmlformats.org/officeDocument/2006/relationships/hyperlink" Target="https://doi.org/10.1163/15685209-12341381" TargetMode="External"/><Relationship Id="rId12" Type="http://schemas.openxmlformats.org/officeDocument/2006/relationships/hyperlink" Target="https://doi.org/10.32449/egetdid.1522647" TargetMode="External"/><Relationship Id="rId17" Type="http://schemas.openxmlformats.org/officeDocument/2006/relationships/hyperlink" Target="https://www.google.com/search?q=https://doi.org/10.1177/0073275321999265" TargetMode="External"/><Relationship Id="rId25" Type="http://schemas.openxmlformats.org/officeDocument/2006/relationships/hyperlink" Target="https://doi.org/10.65960/girj.1.1.2025.6" TargetMode="External"/><Relationship Id="rId2" Type="http://schemas.openxmlformats.org/officeDocument/2006/relationships/hyperlink" Target="https://www.google.com/search?q=https%3A%2F%2Fdoi.org%2F10.1080%2F20780389.2023.2209285" TargetMode="External"/><Relationship Id="rId16" Type="http://schemas.openxmlformats.org/officeDocument/2006/relationships/hyperlink" Target="https://www.google.com/search?q=https%3A%2F%2Fdoi.org%2F10.1093%2Fllc%2Ffqac047" TargetMode="External"/><Relationship Id="rId20" Type="http://schemas.openxmlformats.org/officeDocument/2006/relationships/hyperlink" Target="https://doi.org/10.15294/ciils.v4i2.33011" TargetMode="External"/><Relationship Id="rId1" Type="http://schemas.openxmlformats.org/officeDocument/2006/relationships/hyperlink" Target="https://doi.org/10.1017/CBO9780511818851" TargetMode="External"/><Relationship Id="rId6" Type="http://schemas.openxmlformats.org/officeDocument/2006/relationships/hyperlink" Target="https://doi.org/10.1093/jis/etaf026" TargetMode="External"/><Relationship Id="rId11" Type="http://schemas.openxmlformats.org/officeDocument/2006/relationships/hyperlink" Target="https://doi.org/10.1556/062.2018.71.1.3" TargetMode="External"/><Relationship Id="rId24" Type="http://schemas.openxmlformats.org/officeDocument/2006/relationships/hyperlink" Target="https://doi.org/10.65960/ijlss.2.1.2026.12" TargetMode="External"/><Relationship Id="rId5" Type="http://schemas.openxmlformats.org/officeDocument/2006/relationships/hyperlink" Target="https://www.google.com/search?q=https://doi.org/10.2478/euco-2023-0034" TargetMode="External"/><Relationship Id="rId15" Type="http://schemas.openxmlformats.org/officeDocument/2006/relationships/hyperlink" Target="https://www.google.com/search?q=https%3A%2F%2Fdoi.org%2F10.5539%2Fach.v6n1p43" TargetMode="External"/><Relationship Id="rId23" Type="http://schemas.openxmlformats.org/officeDocument/2006/relationships/hyperlink" Target="https://doi.org/10.65960/ijlss.1.1.2025.8" TargetMode="External"/><Relationship Id="rId28" Type="http://schemas.openxmlformats.org/officeDocument/2006/relationships/hyperlink" Target="https://www.google.com/search?q=https://doi.org/10.1163/22138617-12340313" TargetMode="External"/><Relationship Id="rId10" Type="http://schemas.openxmlformats.org/officeDocument/2006/relationships/hyperlink" Target="https://www.google.com/search?q=https://doi.org/10.1353/bhm.2025.a975182" TargetMode="External"/><Relationship Id="rId19" Type="http://schemas.openxmlformats.org/officeDocument/2006/relationships/hyperlink" Target="https://doi.org/10.32332/milrev.v5i1.13387" TargetMode="External"/><Relationship Id="rId4" Type="http://schemas.openxmlformats.org/officeDocument/2006/relationships/hyperlink" Target="https://www.google.com/search?q=https://doi.org/10.2495/SDP240391" TargetMode="External"/><Relationship Id="rId9" Type="http://schemas.openxmlformats.org/officeDocument/2006/relationships/hyperlink" Target="https://www.google.com/search?q=https://doi.org/10.1063/5.0306691" TargetMode="External"/><Relationship Id="rId14" Type="http://schemas.openxmlformats.org/officeDocument/2006/relationships/hyperlink" Target="https://doi.org/10.31026/j.eng.2018.02.10" TargetMode="External"/><Relationship Id="rId22" Type="http://schemas.openxmlformats.org/officeDocument/2006/relationships/hyperlink" Target="https://doi.org/10.25130/jis.21.12.3.2.2" TargetMode="External"/><Relationship Id="rId27" Type="http://schemas.openxmlformats.org/officeDocument/2006/relationships/hyperlink" Target="https://www.google.com/search?q=https://doi.org/10.30687/AnnOr/2385-3042/2024/01/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3A66A-B913-4F47-9B7F-086A95709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25</Pages>
  <Words>9953</Words>
  <Characters>56734</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66554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2026-06-15T17:03:00Z</dcterms:created>
  <dcterms:modified xsi:type="dcterms:W3CDTF">2026-06-18T15:36:00Z</dcterms:modified>
</cp:coreProperties>
</file>