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834" w:rsidRDefault="00181834">
      <w:pPr>
        <w:widowControl w:val="0"/>
        <w:spacing w:line="276" w:lineRule="auto"/>
      </w:pPr>
    </w:p>
    <w:p w:rsidR="00181834" w:rsidRDefault="00181834">
      <w:pPr>
        <w:rPr>
          <w:sz w:val="22"/>
          <w:szCs w:val="22"/>
        </w:rPr>
      </w:pPr>
    </w:p>
    <w:p w:rsidR="00181834" w:rsidRDefault="00181834">
      <w:pPr>
        <w:rPr>
          <w:sz w:val="22"/>
          <w:szCs w:val="22"/>
        </w:rPr>
      </w:pPr>
    </w:p>
    <w:p w:rsidR="00181834" w:rsidRDefault="00181834">
      <w:pPr>
        <w:rPr>
          <w:sz w:val="22"/>
          <w:szCs w:val="22"/>
        </w:rPr>
      </w:pPr>
    </w:p>
    <w:p w:rsidR="005A47DF" w:rsidRDefault="005A47DF" w:rsidP="005A47DF">
      <w:pPr>
        <w:jc w:val="right"/>
        <w:rPr>
          <w:rFonts w:ascii="Times" w:eastAsia="Times" w:hAnsi="Times"/>
          <w:b/>
          <w:color w:val="000000"/>
          <w:sz w:val="32"/>
          <w:szCs w:val="32"/>
        </w:rPr>
      </w:pPr>
      <w:r>
        <w:rPr>
          <w:noProof/>
          <w:lang w:eastAsia="en-US"/>
        </w:rPr>
        <w:drawing>
          <wp:inline distT="0" distB="0" distL="0" distR="0" wp14:anchorId="4FB0CC49" wp14:editId="49660F3A">
            <wp:extent cx="2009775" cy="10096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009775" cy="1009650"/>
                    </a:xfrm>
                    <a:prstGeom prst="rect">
                      <a:avLst/>
                    </a:prstGeom>
                  </pic:spPr>
                </pic:pic>
              </a:graphicData>
            </a:graphic>
          </wp:inline>
        </w:drawing>
      </w:r>
    </w:p>
    <w:p w:rsidR="00181834" w:rsidRPr="005A47DF" w:rsidRDefault="005A47DF">
      <w:pPr>
        <w:rPr>
          <w:sz w:val="28"/>
          <w:szCs w:val="28"/>
        </w:rPr>
      </w:pPr>
      <w:r w:rsidRPr="005A47DF">
        <w:rPr>
          <w:rFonts w:eastAsia="Times"/>
          <w:b/>
          <w:color w:val="000000"/>
          <w:sz w:val="28"/>
          <w:szCs w:val="28"/>
        </w:rPr>
        <w:t xml:space="preserve">Antecedents </w:t>
      </w:r>
      <w:r>
        <w:rPr>
          <w:rFonts w:eastAsia="Times"/>
          <w:b/>
          <w:color w:val="000000"/>
          <w:sz w:val="28"/>
          <w:szCs w:val="28"/>
        </w:rPr>
        <w:t>a</w:t>
      </w:r>
      <w:r w:rsidRPr="005A47DF">
        <w:rPr>
          <w:rFonts w:eastAsia="Times"/>
          <w:b/>
          <w:color w:val="000000"/>
          <w:sz w:val="28"/>
          <w:szCs w:val="28"/>
        </w:rPr>
        <w:t xml:space="preserve">nd Consequences </w:t>
      </w:r>
      <w:r>
        <w:rPr>
          <w:rFonts w:eastAsia="Times"/>
          <w:b/>
          <w:color w:val="000000"/>
          <w:sz w:val="28"/>
          <w:szCs w:val="28"/>
        </w:rPr>
        <w:t>o</w:t>
      </w:r>
      <w:r w:rsidRPr="005A47DF">
        <w:rPr>
          <w:rFonts w:eastAsia="Times"/>
          <w:b/>
          <w:color w:val="000000"/>
          <w:sz w:val="28"/>
          <w:szCs w:val="28"/>
        </w:rPr>
        <w:t xml:space="preserve">f </w:t>
      </w:r>
      <w:proofErr w:type="gramStart"/>
      <w:r w:rsidRPr="005A47DF">
        <w:rPr>
          <w:rFonts w:eastAsia="Times"/>
          <w:b/>
          <w:color w:val="000000"/>
          <w:sz w:val="28"/>
          <w:szCs w:val="28"/>
        </w:rPr>
        <w:t>The</w:t>
      </w:r>
      <w:proofErr w:type="gramEnd"/>
      <w:r w:rsidRPr="005A47DF">
        <w:rPr>
          <w:rFonts w:eastAsia="Times"/>
          <w:b/>
          <w:color w:val="000000"/>
          <w:sz w:val="28"/>
          <w:szCs w:val="28"/>
        </w:rPr>
        <w:t xml:space="preserve"> Relationship Between Leader-Member Exchange </w:t>
      </w:r>
      <w:r>
        <w:rPr>
          <w:rFonts w:eastAsia="Times"/>
          <w:b/>
          <w:color w:val="000000"/>
          <w:sz w:val="28"/>
          <w:szCs w:val="28"/>
        </w:rPr>
        <w:t>o</w:t>
      </w:r>
      <w:r w:rsidRPr="005A47DF">
        <w:rPr>
          <w:rFonts w:eastAsia="Times"/>
          <w:b/>
          <w:color w:val="000000"/>
          <w:sz w:val="28"/>
          <w:szCs w:val="28"/>
        </w:rPr>
        <w:t xml:space="preserve">n Teacher Performance </w:t>
      </w:r>
      <w:r>
        <w:rPr>
          <w:rFonts w:eastAsia="Times"/>
          <w:b/>
          <w:color w:val="000000"/>
          <w:sz w:val="28"/>
          <w:szCs w:val="28"/>
        </w:rPr>
        <w:t>i</w:t>
      </w:r>
      <w:r w:rsidRPr="005A47DF">
        <w:rPr>
          <w:rFonts w:eastAsia="Times"/>
          <w:b/>
          <w:color w:val="000000"/>
          <w:sz w:val="28"/>
          <w:szCs w:val="28"/>
        </w:rPr>
        <w:t>n Private Elementary Schools</w:t>
      </w:r>
    </w:p>
    <w:p w:rsidR="005A47DF" w:rsidRDefault="005A47DF" w:rsidP="005A47DF">
      <w:pPr>
        <w:pBdr>
          <w:bottom w:val="single" w:sz="4" w:space="3" w:color="000000"/>
        </w:pBdr>
        <w:rPr>
          <w:rFonts w:eastAsia="Times New Roman"/>
          <w:b/>
          <w:color w:val="000000"/>
          <w:vertAlign w:val="superscript"/>
        </w:rPr>
      </w:pPr>
      <w:r w:rsidRPr="00CC25D4">
        <w:rPr>
          <w:rFonts w:eastAsia="Times New Roman"/>
          <w:b/>
          <w:color w:val="000000"/>
        </w:rPr>
        <w:t xml:space="preserve">Bambang </w:t>
      </w:r>
      <w:proofErr w:type="spellStart"/>
      <w:proofErr w:type="gramStart"/>
      <w:r w:rsidRPr="00CC25D4">
        <w:rPr>
          <w:rFonts w:eastAsia="Times New Roman"/>
          <w:b/>
          <w:color w:val="000000"/>
        </w:rPr>
        <w:t>Dwi</w:t>
      </w:r>
      <w:proofErr w:type="spellEnd"/>
      <w:proofErr w:type="gramEnd"/>
      <w:r w:rsidRPr="00CC25D4">
        <w:rPr>
          <w:rFonts w:eastAsia="Times New Roman"/>
          <w:b/>
          <w:color w:val="000000"/>
        </w:rPr>
        <w:t xml:space="preserve"> Suseno</w:t>
      </w:r>
      <w:r w:rsidRPr="00CC25D4">
        <w:rPr>
          <w:rFonts w:eastAsia="Times New Roman"/>
          <w:b/>
          <w:color w:val="000000"/>
          <w:vertAlign w:val="superscript"/>
        </w:rPr>
        <w:t>1</w:t>
      </w:r>
      <w:r>
        <w:rPr>
          <w:rFonts w:eastAsia="Times New Roman"/>
          <w:b/>
          <w:color w:val="000000"/>
          <w:vertAlign w:val="superscript"/>
        </w:rPr>
        <w:t>*</w:t>
      </w:r>
      <w:r>
        <w:rPr>
          <w:rFonts w:eastAsia="Times New Roman"/>
          <w:b/>
          <w:color w:val="000000"/>
        </w:rPr>
        <w:t xml:space="preserve">, </w:t>
      </w:r>
      <w:proofErr w:type="spellStart"/>
      <w:r w:rsidRPr="006A3586">
        <w:rPr>
          <w:rFonts w:eastAsia="Times New Roman"/>
          <w:b/>
          <w:color w:val="000000"/>
        </w:rPr>
        <w:t>Siti</w:t>
      </w:r>
      <w:proofErr w:type="spellEnd"/>
      <w:r w:rsidRPr="006A3586">
        <w:rPr>
          <w:rFonts w:eastAsia="Times New Roman"/>
          <w:b/>
          <w:color w:val="000000"/>
        </w:rPr>
        <w:t xml:space="preserve"> Rohmah</w:t>
      </w:r>
      <w:r>
        <w:rPr>
          <w:rFonts w:eastAsia="Times New Roman"/>
          <w:b/>
          <w:color w:val="000000"/>
          <w:vertAlign w:val="superscript"/>
        </w:rPr>
        <w:t>2</w:t>
      </w:r>
      <w:r w:rsidRPr="006A3586">
        <w:rPr>
          <w:rFonts w:eastAsia="Times New Roman"/>
          <w:b/>
          <w:color w:val="000000"/>
        </w:rPr>
        <w:t>, Umalihayati</w:t>
      </w:r>
      <w:r w:rsidRPr="006A3586">
        <w:rPr>
          <w:rFonts w:eastAsia="Times New Roman"/>
          <w:b/>
          <w:color w:val="000000"/>
          <w:vertAlign w:val="superscript"/>
        </w:rPr>
        <w:t>3</w:t>
      </w:r>
    </w:p>
    <w:p w:rsidR="005A47DF" w:rsidRDefault="005A47DF" w:rsidP="005A47DF">
      <w:pPr>
        <w:pBdr>
          <w:bottom w:val="single" w:sz="4" w:space="3" w:color="000000"/>
        </w:pBdr>
        <w:rPr>
          <w:rFonts w:eastAsia="Times New Roman"/>
          <w:color w:val="000000"/>
        </w:rPr>
      </w:pPr>
    </w:p>
    <w:p w:rsidR="005A47DF" w:rsidRDefault="005A47DF" w:rsidP="005A47DF">
      <w:pPr>
        <w:pBdr>
          <w:bottom w:val="single" w:sz="4" w:space="3" w:color="000000"/>
        </w:pBdr>
        <w:rPr>
          <w:rFonts w:eastAsia="Times New Roman"/>
          <w:color w:val="000000"/>
        </w:rPr>
      </w:pPr>
      <w:r w:rsidRPr="006B38E3">
        <w:rPr>
          <w:rFonts w:eastAsia="Times New Roman"/>
          <w:color w:val="000000"/>
        </w:rPr>
        <w:t xml:space="preserve">Master of Management, </w:t>
      </w:r>
      <w:proofErr w:type="spellStart"/>
      <w:r>
        <w:rPr>
          <w:rFonts w:eastAsia="Times New Roman"/>
          <w:color w:val="000000"/>
        </w:rPr>
        <w:t>Departement</w:t>
      </w:r>
      <w:proofErr w:type="spellEnd"/>
      <w:r>
        <w:rPr>
          <w:rFonts w:eastAsia="Times New Roman"/>
          <w:color w:val="000000"/>
        </w:rPr>
        <w:t xml:space="preserve"> of Management</w:t>
      </w:r>
      <w:r w:rsidRPr="006B38E3">
        <w:rPr>
          <w:rFonts w:eastAsia="Times New Roman"/>
          <w:color w:val="000000"/>
        </w:rPr>
        <w:t xml:space="preserve">, </w:t>
      </w:r>
      <w:proofErr w:type="spellStart"/>
      <w:r w:rsidRPr="006B38E3">
        <w:rPr>
          <w:rFonts w:eastAsia="Times New Roman"/>
          <w:color w:val="000000"/>
        </w:rPr>
        <w:t>Universitas</w:t>
      </w:r>
      <w:proofErr w:type="spellEnd"/>
      <w:r w:rsidRPr="006B38E3">
        <w:rPr>
          <w:rFonts w:eastAsia="Times New Roman"/>
          <w:color w:val="000000"/>
        </w:rPr>
        <w:t xml:space="preserve"> </w:t>
      </w:r>
      <w:proofErr w:type="spellStart"/>
      <w:r w:rsidRPr="006B38E3">
        <w:rPr>
          <w:rFonts w:eastAsia="Times New Roman"/>
          <w:color w:val="000000"/>
        </w:rPr>
        <w:t>Bina</w:t>
      </w:r>
      <w:proofErr w:type="spellEnd"/>
      <w:r w:rsidRPr="006B38E3">
        <w:rPr>
          <w:rFonts w:eastAsia="Times New Roman"/>
          <w:color w:val="000000"/>
        </w:rPr>
        <w:t xml:space="preserve"> </w:t>
      </w:r>
      <w:proofErr w:type="spellStart"/>
      <w:r w:rsidRPr="006B38E3">
        <w:rPr>
          <w:rFonts w:eastAsia="Times New Roman"/>
          <w:color w:val="000000"/>
        </w:rPr>
        <w:t>Bangsa</w:t>
      </w:r>
      <w:proofErr w:type="spellEnd"/>
      <w:r w:rsidRPr="006B38E3">
        <w:rPr>
          <w:rFonts w:eastAsia="Times New Roman"/>
          <w:color w:val="000000"/>
        </w:rPr>
        <w:t>,</w:t>
      </w:r>
      <w:r>
        <w:rPr>
          <w:rFonts w:eastAsia="Times New Roman"/>
          <w:color w:val="000000"/>
        </w:rPr>
        <w:t xml:space="preserve"> </w:t>
      </w:r>
      <w:proofErr w:type="spellStart"/>
      <w:r>
        <w:rPr>
          <w:rFonts w:eastAsia="Times New Roman"/>
          <w:color w:val="000000"/>
        </w:rPr>
        <w:t>Serang</w:t>
      </w:r>
      <w:proofErr w:type="spellEnd"/>
      <w:r>
        <w:rPr>
          <w:rFonts w:eastAsia="Times New Roman"/>
          <w:color w:val="000000"/>
        </w:rPr>
        <w:t xml:space="preserve"> </w:t>
      </w:r>
      <w:proofErr w:type="spellStart"/>
      <w:r>
        <w:rPr>
          <w:rFonts w:eastAsia="Times New Roman"/>
          <w:color w:val="000000"/>
        </w:rPr>
        <w:t>Municiple</w:t>
      </w:r>
      <w:proofErr w:type="spellEnd"/>
      <w:r>
        <w:rPr>
          <w:rFonts w:eastAsia="Times New Roman"/>
          <w:color w:val="000000"/>
        </w:rPr>
        <w:t xml:space="preserve">, </w:t>
      </w:r>
      <w:proofErr w:type="spellStart"/>
      <w:r>
        <w:rPr>
          <w:rFonts w:eastAsia="Times New Roman"/>
          <w:color w:val="000000"/>
        </w:rPr>
        <w:t>Banten</w:t>
      </w:r>
      <w:proofErr w:type="spellEnd"/>
      <w:r w:rsidRPr="006B38E3">
        <w:rPr>
          <w:rFonts w:eastAsia="Times New Roman"/>
          <w:color w:val="000000"/>
        </w:rPr>
        <w:t xml:space="preserve"> </w:t>
      </w:r>
      <w:r>
        <w:rPr>
          <w:rFonts w:eastAsia="Times New Roman"/>
          <w:color w:val="000000"/>
        </w:rPr>
        <w:t xml:space="preserve">Province, </w:t>
      </w:r>
      <w:r w:rsidRPr="006B38E3">
        <w:rPr>
          <w:rFonts w:eastAsia="Times New Roman"/>
          <w:color w:val="000000"/>
        </w:rPr>
        <w:t>Indonesia</w:t>
      </w:r>
      <w:r>
        <w:rPr>
          <w:rFonts w:eastAsia="Times New Roman"/>
          <w:color w:val="000000"/>
        </w:rPr>
        <w:t xml:space="preserve"> 42123</w:t>
      </w:r>
    </w:p>
    <w:p w:rsidR="005A47DF" w:rsidRDefault="005A47DF" w:rsidP="005A47DF">
      <w:pPr>
        <w:pBdr>
          <w:bottom w:val="single" w:sz="4" w:space="3" w:color="000000"/>
        </w:pBdr>
        <w:rPr>
          <w:rFonts w:eastAsia="Times New Roman"/>
          <w:color w:val="000000"/>
        </w:rPr>
      </w:pPr>
    </w:p>
    <w:p w:rsidR="005A47DF" w:rsidRPr="006A3586" w:rsidRDefault="005A47DF" w:rsidP="005A47DF">
      <w:pPr>
        <w:pBdr>
          <w:bottom w:val="single" w:sz="4" w:space="3" w:color="000000"/>
        </w:pBdr>
      </w:pPr>
      <w:r w:rsidRPr="00CC25D4">
        <w:rPr>
          <w:vertAlign w:val="superscript"/>
        </w:rPr>
        <w:t>1</w:t>
      </w:r>
      <w:r>
        <w:t>* corresponding author, email:bambangdwisuseno4@gmail.com</w:t>
      </w:r>
    </w:p>
    <w:p w:rsidR="005A47DF" w:rsidRPr="006B38E3" w:rsidRDefault="005A47DF" w:rsidP="005A47DF">
      <w:pPr>
        <w:pBdr>
          <w:bottom w:val="single" w:sz="4" w:space="3" w:color="000000"/>
        </w:pBdr>
        <w:rPr>
          <w:rFonts w:eastAsia="Times New Roman"/>
          <w:color w:val="000000"/>
        </w:rPr>
      </w:pPr>
    </w:p>
    <w:p w:rsidR="00181834" w:rsidRDefault="007329B5" w:rsidP="005A47DF">
      <w:pPr>
        <w:ind w:left="851"/>
        <w:rPr>
          <w:b/>
          <w:sz w:val="22"/>
          <w:szCs w:val="22"/>
        </w:rPr>
      </w:pPr>
      <w:r>
        <w:rPr>
          <w:b/>
          <w:sz w:val="22"/>
          <w:szCs w:val="22"/>
        </w:rPr>
        <w:t>A B S T R A C T</w:t>
      </w:r>
    </w:p>
    <w:p w:rsidR="005B7CAE" w:rsidRDefault="001C5AA6" w:rsidP="005B7CAE">
      <w:pPr>
        <w:ind w:left="851"/>
        <w:jc w:val="both"/>
        <w:rPr>
          <w:rFonts w:eastAsia="Times New Roman"/>
          <w:i/>
          <w:color w:val="000000"/>
          <w:sz w:val="22"/>
          <w:szCs w:val="22"/>
        </w:rPr>
      </w:pPr>
      <w:r w:rsidRPr="001C5AA6">
        <w:rPr>
          <w:rFonts w:eastAsia="Times New Roman"/>
          <w:i/>
          <w:color w:val="000000"/>
          <w:sz w:val="22"/>
          <w:szCs w:val="22"/>
        </w:rPr>
        <w:t xml:space="preserve">This study examines teacher performance in Indonesian private elementary schools, </w:t>
      </w:r>
      <w:proofErr w:type="spellStart"/>
      <w:r w:rsidRPr="001C5AA6">
        <w:rPr>
          <w:rFonts w:eastAsia="Times New Roman"/>
          <w:i/>
          <w:color w:val="000000"/>
          <w:sz w:val="22"/>
          <w:szCs w:val="22"/>
        </w:rPr>
        <w:t>analysing</w:t>
      </w:r>
      <w:proofErr w:type="spellEnd"/>
      <w:r w:rsidRPr="001C5AA6">
        <w:rPr>
          <w:rFonts w:eastAsia="Times New Roman"/>
          <w:i/>
          <w:color w:val="000000"/>
          <w:sz w:val="22"/>
          <w:szCs w:val="22"/>
        </w:rPr>
        <w:t xml:space="preserve"> the impact of digital competence and intrinsic satisfaction with leader-member exchange (LMX) as a mediator. A quantitative survey of 255 teachers, </w:t>
      </w:r>
      <w:proofErr w:type="spellStart"/>
      <w:r w:rsidRPr="001C5AA6">
        <w:rPr>
          <w:rFonts w:eastAsia="Times New Roman"/>
          <w:i/>
          <w:color w:val="000000"/>
          <w:sz w:val="22"/>
          <w:szCs w:val="22"/>
        </w:rPr>
        <w:t>analysed</w:t>
      </w:r>
      <w:proofErr w:type="spellEnd"/>
      <w:r w:rsidRPr="001C5AA6">
        <w:rPr>
          <w:rFonts w:eastAsia="Times New Roman"/>
          <w:i/>
          <w:color w:val="000000"/>
          <w:sz w:val="22"/>
          <w:szCs w:val="22"/>
        </w:rPr>
        <w:t xml:space="preserve"> via SEM-PLS, reveals that digital competence enhances both intrinsic satisfaction and performance. Intrinsic satisfaction further improves performance, with LMX mediating these relationships significantly.</w:t>
      </w:r>
    </w:p>
    <w:p w:rsidR="00181834" w:rsidRPr="005B7CAE" w:rsidRDefault="001C5AA6" w:rsidP="005B7CAE">
      <w:pPr>
        <w:ind w:left="851"/>
        <w:jc w:val="both"/>
        <w:rPr>
          <w:rFonts w:eastAsia="Times New Roman"/>
          <w:i/>
          <w:color w:val="000000"/>
          <w:sz w:val="22"/>
          <w:szCs w:val="22"/>
        </w:rPr>
      </w:pPr>
      <w:r w:rsidRPr="001C5AA6">
        <w:rPr>
          <w:rFonts w:eastAsia="Times New Roman"/>
          <w:i/>
          <w:color w:val="000000"/>
          <w:sz w:val="22"/>
          <w:szCs w:val="22"/>
        </w:rPr>
        <w:t xml:space="preserve">The novel insight is the </w:t>
      </w:r>
      <w:proofErr w:type="spellStart"/>
      <w:r w:rsidRPr="001C5AA6">
        <w:rPr>
          <w:rFonts w:eastAsia="Times New Roman"/>
          <w:i/>
          <w:color w:val="000000"/>
          <w:sz w:val="22"/>
          <w:szCs w:val="22"/>
        </w:rPr>
        <w:t>katalysing</w:t>
      </w:r>
      <w:proofErr w:type="spellEnd"/>
      <w:r w:rsidRPr="001C5AA6">
        <w:rPr>
          <w:rFonts w:eastAsia="Times New Roman"/>
          <w:i/>
          <w:color w:val="000000"/>
          <w:sz w:val="22"/>
          <w:szCs w:val="22"/>
        </w:rPr>
        <w:t xml:space="preserve"> effect of high-quality LMX, which amplifies the individual contributions of digital competency and intrinsic motivation. This underscores leadership as a critical enabler of school improvement. For developing countries, leadership development must prioritize relational and capacity-building dimensions. Strategic implications include: (1) recruiting and training principals in transformational and relationship-building practices to foster high-quality LMX; (2) embedding digital-pedagogical leadership into professional development, equipping leaders to directly support teachers' technological integration and intrinsic motivation; and (3) designing systemic policies that frame the school leader’s primary role as a </w:t>
      </w:r>
      <w:r w:rsidRPr="001C5AA6">
        <w:rPr>
          <w:rFonts w:eastAsia="Times New Roman"/>
          <w:i/>
          <w:color w:val="000000"/>
          <w:sz w:val="22"/>
          <w:szCs w:val="22"/>
        </w:rPr>
        <w:lastRenderedPageBreak/>
        <w:t xml:space="preserve">facilitator of teacher growth, resource access, and professional </w:t>
      </w:r>
      <w:proofErr w:type="spellStart"/>
      <w:r w:rsidRPr="001C5AA6">
        <w:rPr>
          <w:rFonts w:eastAsia="Times New Roman"/>
          <w:i/>
          <w:color w:val="000000"/>
          <w:sz w:val="22"/>
          <w:szCs w:val="22"/>
        </w:rPr>
        <w:t>fulfilment</w:t>
      </w:r>
      <w:proofErr w:type="spellEnd"/>
      <w:r w:rsidRPr="001C5AA6">
        <w:rPr>
          <w:rFonts w:eastAsia="Times New Roman"/>
          <w:i/>
          <w:color w:val="000000"/>
          <w:sz w:val="22"/>
          <w:szCs w:val="22"/>
        </w:rPr>
        <w:t xml:space="preserve"> to optimize overall educational quality.</w:t>
      </w:r>
    </w:p>
    <w:p w:rsidR="005B7CAE" w:rsidRDefault="007329B5" w:rsidP="005B7CAE">
      <w:pPr>
        <w:ind w:left="851"/>
        <w:jc w:val="both"/>
        <w:rPr>
          <w:i/>
          <w:sz w:val="22"/>
          <w:szCs w:val="22"/>
        </w:rPr>
      </w:pPr>
      <w:r>
        <w:rPr>
          <w:b/>
          <w:sz w:val="22"/>
          <w:szCs w:val="22"/>
        </w:rPr>
        <w:t>KEYWORDS:</w:t>
      </w:r>
      <w:r>
        <w:rPr>
          <w:i/>
          <w:sz w:val="22"/>
          <w:szCs w:val="22"/>
        </w:rPr>
        <w:t xml:space="preserve"> </w:t>
      </w:r>
      <w:r w:rsidR="005B7CAE" w:rsidRPr="005B7CAE">
        <w:rPr>
          <w:i/>
          <w:sz w:val="22"/>
          <w:szCs w:val="22"/>
        </w:rPr>
        <w:t>Teacher Performance, Digital Competence, Intrinsic Satisfaction, Leader-Member Exchange (LMX), Educational Leadership, Primary Education, Developing Countries, SEM-PLS Analysis, Private Schools, Indonesia.</w:t>
      </w:r>
    </w:p>
    <w:p w:rsidR="005B7CAE" w:rsidRDefault="005B7CAE" w:rsidP="005B7CAE">
      <w:pPr>
        <w:jc w:val="both"/>
        <w:rPr>
          <w:b/>
          <w:sz w:val="22"/>
          <w:szCs w:val="22"/>
        </w:rPr>
      </w:pPr>
    </w:p>
    <w:p w:rsidR="00181834" w:rsidRPr="005B7CAE" w:rsidRDefault="007329B5" w:rsidP="005B7CAE">
      <w:pPr>
        <w:jc w:val="both"/>
        <w:rPr>
          <w:rFonts w:eastAsia="Times New Roman"/>
          <w:b/>
          <w:sz w:val="28"/>
          <w:szCs w:val="28"/>
        </w:rPr>
      </w:pPr>
      <w:r w:rsidRPr="005B7CAE">
        <w:rPr>
          <w:rFonts w:eastAsia="Times New Roman"/>
          <w:b/>
          <w:sz w:val="28"/>
          <w:szCs w:val="28"/>
        </w:rPr>
        <w:t>Introduction</w:t>
      </w:r>
    </w:p>
    <w:p w:rsidR="00181834" w:rsidRDefault="007329B5">
      <w:pPr>
        <w:ind w:firstLine="454"/>
        <w:jc w:val="both"/>
      </w:pPr>
      <w:r>
        <w:t xml:space="preserve">Teachers in Indonesia face teaching and administrative burdens that affect performance, shaped by competence, psychological factors, and social environment </w:t>
      </w:r>
      <w:r>
        <w:fldChar w:fldCharType="begin" w:fldLock="1"/>
      </w:r>
      <w:r>
        <w:instrText>ADDIN CSL_CITATION {"citationItems":[{"id":"ITEM-1","itemData":{"DOI":"10.1080/09585192.2020.1754881","ISSN":"0958-5192","author":[{"dropping-particle":"","family":"Waeyenberg","given":"Thomas","non-dropping-particle":"Van","parse-names":false,"suffix":""},{"dropping-particle":"","family":"Peccei","given":"Riccardo","non-dropping-particle":"","parse-names":false,"suffix":""},{"dropping-particle":"","family":"Decramer","given":"Adelien","non-dropping-particle":"","parse-names":false,"suffix":""}],"container-title":"The International Journal of Human Resource Management","id":"ITEM-1","issue":"4","issued":{"date-parts":[["2022","2","21"]]},"page":"623-646","title":"Performance management and teacher performance: the role of affective organizational commitment and exhaustion","type":"article-journal","volume":"33"},"uris":["http://www.mendeley.com/documents/?uuid=dd078bb9-5e9e-3194-beb9-0fc7e01c3a6c"]}],"mendeley":{"formattedCitation":"(Van Waeyenberg et al., 2022)","plainTextFormattedCitation":"(Van Waeyenberg et al., 2022)","previouslyFormattedCitation":"(Van Waeyenberg et al., 2022)"},"properties":{"noteIndex":0},"schema":"https://github.com/citation-style-language/schema/raw/master/csl-citation.json"}</w:instrText>
      </w:r>
      <w:r>
        <w:fldChar w:fldCharType="separate"/>
      </w:r>
      <w:r>
        <w:t>(Van Waeyenberg et al., 2022)</w:t>
      </w:r>
      <w:r>
        <w:fldChar w:fldCharType="end"/>
      </w:r>
      <w:r>
        <w:t xml:space="preserve">. Their work directly influences education quality, but challenges remain, such as administrative load, limited training, and policy shifts </w:t>
      </w:r>
      <w:r>
        <w:fldChar w:fldCharType="begin" w:fldLock="1"/>
      </w:r>
      <w:r>
        <w:instrText>ADDIN CSL_CITATION {"citationItems":[{"id":"ITEM-1","itemData":{"DOI":"10.1080/02619768.2021.1919080","ISSN":"0261-9768","author":[{"dropping-particle":"","family":"Darling-Hammond","given":"Linda","non-dropping-particle":"","parse-names":false,"suffix":""}],"container-title":"European Journal of Teacher Education","id":"ITEM-1","issue":"3","issued":{"date-parts":[["2021","5","27"]]},"page":"295-308","title":"Defining teaching quality around the world","type":"article-journal","volume":"44"},"uris":["http://www.mendeley.com/documents/?uuid=cae0ecf4-003d-31b3-aadc-1bbe1526f52b"]}],"mendeley":{"formattedCitation":"(Darling-Hammond, 2021)","plainTextFormattedCitation":"(Darling-Hammond, 2021)","previouslyFormattedCitation":"(Darling-Hammond, 2021)"},"properties":{"noteIndex":0},"schema":"https://github.com/citation-style-language/schema/raw/master/csl-citation.json"}</w:instrText>
      </w:r>
      <w:r>
        <w:fldChar w:fldCharType="separate"/>
      </w:r>
      <w:r>
        <w:t>(Darling-Hammond, 2021)</w:t>
      </w:r>
      <w:r>
        <w:fldChar w:fldCharType="end"/>
      </w:r>
      <w:r>
        <w:t>.</w:t>
      </w:r>
      <w:r w:rsidR="00C30793">
        <w:t xml:space="preserve"> </w:t>
      </w:r>
      <w:r>
        <w:t xml:space="preserve">In the digital era, digital competence is essential alongside pedagogical and interpersonal skills </w:t>
      </w:r>
      <w:r>
        <w:fldChar w:fldCharType="begin" w:fldLock="1"/>
      </w:r>
      <w:r>
        <w:instrText>ADDIN CSL_CITATION {"citationItems":[{"id":"ITEM-1","itemData":{"DOI":"10.1007/s13138-024-00251-7","ISSN":"0173-5322","abstract":"&lt;p&gt; Digital competence is an increasingly important component of teacher competence. So far, self-reports are a commonly used, efficient, but potentially problematic assessment method. Standardized and valid assessments to measure digital competence for teachers—particularly of a concrete subject—and proximally to performance are lacking. To address this, we developed a performance-based assessment for pre-service mathematics teachers based on the TPACK and DigCompEdu frameworks, both widely used in teacher education. The test focuses on digital competence related to mathematics tools such as computer algebra systems, dynamic geometry, and spreadsheet software, where technical-mathematical and pedagogical competences are required. This report presents the assessment design and provides validity evidence regarding the internal structure of the test, its sensitivity to intervention, and the relation of the scores to external variables, like affective-motivational aspects or prior experiences with tools based on a study with &lt;italic&gt;N&lt;/italic&gt;  = 118 pre-service teachers. First, we confirmed a two-dimensional structure of technical-mathematical and pedagogical aspects of digital competence through a confirmatory factor analysis. Second, expectations regarding the relation to external variables were partially confirmed. Third, we identified the sensitivity of the assessment to an intervention. Especially as expected, the relations between scores and self-assessment results were mixed. Our results indicate that the assessment is suitable for measuring pre-service mathematics teachers’ digital competence in two aspects close to performance. We discuss possible uses to evaluate learning opportunities in teacher education. &lt;/p&gt;","author":[{"dropping-particle":"","family":"Seifert","given":"Hannes","non-dropping-particle":"","parse-names":false,"suffix":""},{"dropping-particle":"","family":"Lindmeier","given":"Anke","non-dropping-particle":"","parse-names":false,"suffix":""}],"container-title":"Journal für Mathematik-Didaktik","id":"ITEM-1","issue":"2","issued":{"date-parts":[["2024","12","19"]]},"page":"25","title":"Developing a Performance-Based Assessment to Measure Pre-Service Secondary Teachers’ Digital Competence to Use Digital Mathematics Tools","type":"article-journal","volume":"45"},"uris":["http://www.mendeley.com/documents/?uuid=68b6dba6-6644-369a-ad1d-928e5c1648d6"]}],"mendeley":{"formattedCitation":"(Seifert &amp; Lindmeier, 2024)","manualFormatting":"(Seifert &amp; Lindmeier, 2024; Wallace et al., 2023)","plainTextFormattedCitation":"(Seifert &amp; Lindmeier, 2024)","previouslyFormattedCitation":"(Seifert &amp; Lindmeier, 2024)"},"properties":{"noteIndex":0},"schema":"https://github.com/citation-style-language/schema/raw/master/csl-citation.json"}</w:instrText>
      </w:r>
      <w:r>
        <w:fldChar w:fldCharType="separate"/>
      </w:r>
      <w:r>
        <w:t>(Seifert &amp; Lindmeier, 2024; Wallace et al., 2023)</w:t>
      </w:r>
      <w:r>
        <w:fldChar w:fldCharType="end"/>
      </w:r>
      <w:r>
        <w:t xml:space="preserve">. This study was conducted in </w:t>
      </w:r>
      <w:proofErr w:type="spellStart"/>
      <w:r>
        <w:t>Cilegon</w:t>
      </w:r>
      <w:proofErr w:type="spellEnd"/>
      <w:r>
        <w:t xml:space="preserve">, </w:t>
      </w:r>
      <w:proofErr w:type="spellStart"/>
      <w:r>
        <w:t>Banten</w:t>
      </w:r>
      <w:proofErr w:type="spellEnd"/>
      <w:r>
        <w:t xml:space="preserve"> Province, Indonesia, an industrial city with 128 private schools and 2,127 teachers</w:t>
      </w:r>
      <w:r w:rsidR="00C30793">
        <w:t xml:space="preserve"> </w:t>
      </w:r>
      <w:proofErr w:type="spellStart"/>
      <w:r w:rsidR="00C30793">
        <w:t>Cilegon</w:t>
      </w:r>
      <w:proofErr w:type="spellEnd"/>
      <w:r w:rsidR="00C30793">
        <w:t xml:space="preserve"> City Education Office, Indonesia (</w:t>
      </w:r>
      <w:r>
        <w:t>2025</w:t>
      </w:r>
      <w:r w:rsidR="00C30793">
        <w:t>)</w:t>
      </w:r>
      <w:r>
        <w:t>. ICT adoption remains uneven, with only 49 schools actively using ICT while 79 have yet to integrate it</w:t>
      </w:r>
      <w:r w:rsidR="00C30793">
        <w:t xml:space="preserve">. </w:t>
      </w:r>
      <w:r>
        <w:t xml:space="preserve"> </w:t>
      </w:r>
      <w:r w:rsidR="00C30793">
        <w:t>H</w:t>
      </w:r>
      <w:r>
        <w:t xml:space="preserve">ighlighting the urgency of strengthening digital competence </w:t>
      </w:r>
      <w:r>
        <w:fldChar w:fldCharType="begin" w:fldLock="1"/>
      </w:r>
      <w:r>
        <w:instrText>ADDIN CSL_CITATION {"citationItems":[{"id":"ITEM-1","itemData":{"DOI":"10.1080/15700763.2020.1734210","ISSN":"1570-0763","author":[{"dropping-particle":"","family":"Baroudi","given":"Sandra","non-dropping-particle":"","parse-names":false,"suffix":""},{"dropping-particle":"","family":"Tamim","given":"Rana","non-dropping-particle":"","parse-names":false,"suffix":""},{"dropping-particle":"","family":"Hojeij","given":"Zeina","non-dropping-particle":"","parse-names":false,"suffix":""}],"container-title":"Leadership and Policy in Schools","id":"ITEM-1","issue":"2","issued":{"date-parts":[["2022","4","3"]]},"page":"127-146","title":"A Quantitative Investigation of Intrinsic and Extrinsic Factors Influencing Teachers’ Job Satisfaction IN Lebanon","type":"article-journal","volume":"21"},"uris":["http://www.mendeley.com/documents/?uuid=817116e1-4170-37bd-9741-0800a79c5dbe"]}],"mendeley":{"formattedCitation":"(Baroudi et al., 2022)","plainTextFormattedCitation":"(Baroudi et al., 2022)","previouslyFormattedCitation":"(Baroudi et al., 2022)"},"properties":{"noteIndex":0},"schema":"https://github.com/citation-style-language/schema/raw/master/csl-citation.json"}</w:instrText>
      </w:r>
      <w:r>
        <w:fldChar w:fldCharType="separate"/>
      </w:r>
      <w:r>
        <w:t>(Baroudi et al., 2022)</w:t>
      </w:r>
      <w:r>
        <w:fldChar w:fldCharType="end"/>
      </w:r>
      <w:r>
        <w:t>.</w:t>
      </w:r>
    </w:p>
    <w:p w:rsidR="00181834" w:rsidRDefault="007329B5">
      <w:pPr>
        <w:ind w:firstLine="454"/>
        <w:jc w:val="both"/>
      </w:pPr>
      <w:r>
        <w:t xml:space="preserve">Digital competence and intrinsic satisfaction significantly influence teacher performance through motivation, commitment, and recognition </w:t>
      </w:r>
      <w:r>
        <w:fldChar w:fldCharType="begin" w:fldLock="1"/>
      </w:r>
      <w:r>
        <w:instrText>ADDIN CSL_CITATION {"citationItems":[{"id":"ITEM-1","itemData":{"DOI":"10.1186/s40359-024-02324-1","ISSN":"2050-7283","author":[{"dropping-particle":"","family":"Li","given":"Lina","non-dropping-particle":"","parse-names":false,"suffix":""},{"dropping-particle":"","family":"Kanchanapoom","given":"Kessara","non-dropping-particle":"","parse-names":false,"suffix":""},{"dropping-particle":"","family":"Deeprasert","given":"Jirawan","non-dropping-particle":"","parse-names":false,"suffix":""},{"dropping-particle":"","family":"Duan","given":"Ninggui","non-dropping-particle":"","parse-names":false,"suffix":""},{"dropping-particle":"","family":"Qi","given":"Zhou","non-dropping-particle":"","parse-names":false,"suffix":""}],"container-title":"BMC Psychology","id":"ITEM-1","issue":"1","issued":{"date-parts":[["2025","1","7"]]},"page":"14","title":"Unveiling the factors shaping teacher job performance: exploring the interplay of personality traits, perceived organizational support, self-efficacy, and job satisfaction","type":"article-journal","volume":"13"},"uris":["http://www.mendeley.com/documents/?uuid=1b652750-3e80-3c08-a11c-e0029e49b844"]}],"mendeley":{"formattedCitation":"(Li et al., 2025)","plainTextFormattedCitation":"(Li et al., 2025)","previouslyFormattedCitation":"(Li et al., 2025)"},"properties":{"noteIndex":0},"schema":"https://github.com/citation-style-language/schema/raw/master/csl-citation.json"}</w:instrText>
      </w:r>
      <w:r>
        <w:fldChar w:fldCharType="separate"/>
      </w:r>
      <w:r>
        <w:t>(Li et al., 2025)</w:t>
      </w:r>
      <w:r>
        <w:fldChar w:fldCharType="end"/>
      </w:r>
      <w:r>
        <w:t xml:space="preserve">. Teachers with strong digital skills are more confident in using technology, enhancing intrinsic satisfaction. Leader–Member Exchange (LMX) mediates this effect by fostering appreciation and recognition </w:t>
      </w:r>
      <w:r>
        <w:fldChar w:fldCharType="begin" w:fldLock="1"/>
      </w:r>
      <w:r>
        <w:instrText>ADDIN CSL_CITATION {"citationItems":[{"id":"ITEM-1","itemData":{"DOI":"10.1108/JPCC-01-2021-0002","ISSN":"2056-9548","author":[{"dropping-particle":"","family":"Comstock","given":"Meghan","non-dropping-particle":"","parse-names":false,"suffix":""},{"dropping-particle":"","family":"Supovitz","given":"Jonathan","non-dropping-particle":"","parse-names":false,"suffix":""},{"dropping-particle":"","family":"Kaul","given":"Maya","non-dropping-particle":"","parse-names":false,"suffix":""}],"container-title":"Journal of Professional Capital and Community","id":"ITEM-1","issue":"4","issued":{"date-parts":[["2021","10","5"]]},"page":"395-409","title":"Exchange quality in teacher leadership ties: examining relational quality using social network and leader-member exchange theories","type":"article-journal","volume":"6"},"uris":["http://www.mendeley.com/documents/?uuid=1999e256-9718-3407-8258-b66505091fbe"]}],"mendeley":{"formattedCitation":"(Comstock et al., 2021)","manualFormatting":"(Comstock et al., 2021; Lopes &amp; Oliveira, 2020)","plainTextFormattedCitation":"(Comstock et al., 2021)","previouslyFormattedCitation":"(Comstock et al., 2021)"},"properties":{"noteIndex":0},"schema":"https://github.com/citation-style-language/schema/raw/master/csl-citation.json"}</w:instrText>
      </w:r>
      <w:r>
        <w:fldChar w:fldCharType="separate"/>
      </w:r>
      <w:r>
        <w:t>(Comstock et al., 2021; Lopes &amp; Oliveira, 2020)</w:t>
      </w:r>
      <w:r>
        <w:fldChar w:fldCharType="end"/>
      </w:r>
      <w:r>
        <w:t xml:space="preserve">. Prior research shows digital competence enhances both intrinsic satisfaction and performance, while intrinsic satisfaction increases work enthusiasm and commitment </w:t>
      </w:r>
      <w:r>
        <w:fldChar w:fldCharType="begin" w:fldLock="1"/>
      </w:r>
      <w:r>
        <w:instrText>ADDIN CSL_CITATION {"citationItems":[{"id":"ITEM-1","itemData":{"DOI":"10.1108/JRIT-05-2023-0050","ISSN":"2397-7604","author":[{"dropping-particle":"","family":"Guillén-Gámez","given":"Francisco David","non-dropping-particle":"","parse-names":false,"suffix":""},{"dropping-particle":"","family":"Colomo-Magaña","given":"Ernesto","non-dropping-particle":"","parse-names":false,"suffix":""},{"dropping-particle":"","family":"Ruiz-Palmero","given":"Julio","non-dropping-particle":"","parse-names":false,"suffix":""},{"dropping-particle":"","family":"Tomczyk","given":"Łukasz","non-dropping-particle":"","parse-names":false,"suffix":""}],"container-title":"Journal of Research in Innovative Teaching &amp; Learning","id":"ITEM-1","issue":"1","issued":{"date-parts":[["2025","3","11"]]},"page":"3-19","title":"The digital competence of the rural teacher of primary education in the mentoring process: a study by teaching speciality and gender","type":"article-journal","volume":"18"},"uris":["http://www.mendeley.com/documents/?uuid=65cc94c5-6457-3f91-a9ad-24a8cecce3d5"]}],"mendeley":{"formattedCitation":"(Guillén-Gámez et al., 2025)","plainTextFormattedCitation":"(Guillén-Gámez et al., 2025)","previouslyFormattedCitation":"(Guillén-Gámez et al., 2025)"},"properties":{"noteIndex":0},"schema":"https://github.com/citation-style-language/schema/raw/master/csl-citation.json"}</w:instrText>
      </w:r>
      <w:r>
        <w:fldChar w:fldCharType="separate"/>
      </w:r>
      <w:r>
        <w:t>(Guillén-Gámez et al., 2025; Luque-Reca et al., 2022)</w:t>
      </w:r>
      <w:r>
        <w:fldChar w:fldCharType="end"/>
      </w:r>
      <w:r>
        <w:t>.</w:t>
      </w:r>
    </w:p>
    <w:p w:rsidR="00181834" w:rsidRDefault="007329B5">
      <w:pPr>
        <w:ind w:firstLine="454"/>
        <w:jc w:val="both"/>
        <w:rPr>
          <w:rFonts w:eastAsia="DengXian"/>
          <w:lang w:val="en-ID" w:eastAsia="en-US"/>
        </w:rPr>
      </w:pPr>
      <w:r>
        <w:rPr>
          <w:rFonts w:eastAsia="DengXian"/>
          <w:lang w:val="zh-CN" w:eastAsia="en-US"/>
        </w:rPr>
        <w:t>The research gap lies in the lack of studies examining digital competence, intrinsic satisfaction, and LMX together, including how digital competence affects intrinsic satisfaction and how LMX mediates teacher performance, especially in Cilegon</w:t>
      </w:r>
      <w:r>
        <w:rPr>
          <w:rFonts w:eastAsia="DengXian"/>
          <w:lang w:eastAsia="en-US"/>
        </w:rPr>
        <w:t xml:space="preserve"> City, </w:t>
      </w:r>
      <w:proofErr w:type="spellStart"/>
      <w:r>
        <w:rPr>
          <w:rFonts w:eastAsia="DengXian"/>
          <w:lang w:eastAsia="en-US"/>
        </w:rPr>
        <w:t>Banten</w:t>
      </w:r>
      <w:proofErr w:type="spellEnd"/>
      <w:r>
        <w:rPr>
          <w:rFonts w:eastAsia="DengXian"/>
          <w:lang w:eastAsia="en-US"/>
        </w:rPr>
        <w:t xml:space="preserve"> Province, Indonesia</w:t>
      </w:r>
      <w:r>
        <w:rPr>
          <w:rFonts w:eastAsia="DengXian"/>
          <w:lang w:val="zh-CN" w:eastAsia="en-US"/>
        </w:rPr>
        <w:t>. This study investigates these relationships, offering new theoretical and empirical insights for private elementary schools in Cilegon</w:t>
      </w:r>
      <w:r>
        <w:rPr>
          <w:rFonts w:eastAsia="DengXian"/>
          <w:lang w:eastAsia="en-US"/>
        </w:rPr>
        <w:t xml:space="preserve"> City</w:t>
      </w:r>
      <w:r w:rsidR="001C5AA6">
        <w:rPr>
          <w:rFonts w:eastAsia="DengXian"/>
          <w:lang w:val="en-ID" w:eastAsia="en-US"/>
        </w:rPr>
        <w:t xml:space="preserve">, </w:t>
      </w:r>
      <w:proofErr w:type="spellStart"/>
      <w:r w:rsidR="001C5AA6">
        <w:rPr>
          <w:rFonts w:eastAsia="DengXian"/>
          <w:lang w:val="en-ID" w:eastAsia="en-US"/>
        </w:rPr>
        <w:t>Banten</w:t>
      </w:r>
      <w:proofErr w:type="spellEnd"/>
      <w:r w:rsidR="001C5AA6">
        <w:rPr>
          <w:rFonts w:eastAsia="DengXian"/>
          <w:lang w:val="en-ID" w:eastAsia="en-US"/>
        </w:rPr>
        <w:t xml:space="preserve"> Province, Indonesia.</w:t>
      </w:r>
    </w:p>
    <w:p w:rsidR="001C5AA6" w:rsidRDefault="001C5AA6">
      <w:pPr>
        <w:ind w:firstLine="454"/>
        <w:jc w:val="both"/>
        <w:rPr>
          <w:rFonts w:eastAsia="DengXian"/>
          <w:lang w:val="en-ID" w:eastAsia="en-US"/>
        </w:rPr>
      </w:pPr>
    </w:p>
    <w:p w:rsidR="001C5AA6" w:rsidRPr="001C5AA6" w:rsidRDefault="001C5AA6" w:rsidP="001C5AA6">
      <w:pPr>
        <w:jc w:val="both"/>
        <w:rPr>
          <w:b/>
          <w:lang w:val="en-ID"/>
        </w:rPr>
      </w:pPr>
      <w:r w:rsidRPr="001C5AA6">
        <w:rPr>
          <w:rFonts w:eastAsia="DengXian"/>
          <w:b/>
          <w:lang w:val="en-ID" w:eastAsia="en-US"/>
        </w:rPr>
        <w:t>Literature Review</w:t>
      </w:r>
    </w:p>
    <w:p w:rsidR="00181834" w:rsidRDefault="007329B5" w:rsidP="001C5AA6">
      <w:pPr>
        <w:pStyle w:val="Heading3"/>
        <w:spacing w:before="0" w:after="0"/>
      </w:pPr>
      <w:r>
        <w:rPr>
          <w:rFonts w:ascii="Times New Roman" w:eastAsia="Times New Roman" w:hAnsi="Times New Roman"/>
        </w:rPr>
        <w:lastRenderedPageBreak/>
        <w:t xml:space="preserve">Digital Competence </w:t>
      </w:r>
    </w:p>
    <w:p w:rsidR="00181834" w:rsidRDefault="007329B5">
      <w:pPr>
        <w:spacing w:before="240" w:after="240"/>
        <w:ind w:firstLine="454"/>
        <w:jc w:val="both"/>
        <w:rPr>
          <w:rFonts w:eastAsia="Times New Roman"/>
          <w:color w:val="000000"/>
        </w:rPr>
      </w:pPr>
      <w:r>
        <w:t xml:space="preserve">According to </w:t>
      </w:r>
      <w:r>
        <w:fldChar w:fldCharType="begin" w:fldLock="1"/>
      </w:r>
      <w:r>
        <w:instrText>ADDIN CSL_CITATION {"citationItems":[{"id":"ITEM-1","itemData":{"DOI":"10.1080/02619768.2023.2251663","ISSN":"0261-9768","author":[{"dropping-particle":"","family":"Quast","given":"Jennifer","non-dropping-particle":"","parse-names":false,"suffix":""},{"dropping-particle":"","family":"Rubach","given":"Charlott","non-dropping-particle":"","parse-names":false,"suffix":""},{"dropping-particle":"","family":"Porsch","given":"Raphaela","non-dropping-particle":"","parse-names":false,"suffix":""}],"container-title":"European Journal of Teacher Education","id":"ITEM-1","issued":{"date-parts":[["2023","9","1"]]},"page":"1-24","title":"Professional digital competence beliefs of student teachers, pre-service teachers and teachers: Validating an instrument based on the DigCompEdu framework","type":"article-journal"},"uris":["http://www.mendeley.com/documents/?uuid=aa743f70-fdfa-3880-ac80-dd5a3535a6ce"]}],"mendeley":{"formattedCitation":"(Quast et al., 2023)","plainTextFormattedCitation":"(Quast et al., 2023)","previouslyFormattedCitation":"(Quast et al., 2023)"},"properties":{"noteIndex":0},"schema":"https://github.com/citation-style-language/schema/raw/master/csl-citation.json"}</w:instrText>
      </w:r>
      <w:r>
        <w:fldChar w:fldCharType="separate"/>
      </w:r>
      <w:r>
        <w:t xml:space="preserve">Quast et al., </w:t>
      </w:r>
      <w:r w:rsidR="00C30793">
        <w:t>(</w:t>
      </w:r>
      <w:r>
        <w:t>2023)</w:t>
      </w:r>
      <w:r>
        <w:fldChar w:fldCharType="end"/>
      </w:r>
      <w:r>
        <w:t xml:space="preserve">, digital competence includes professional engagement, use of digital resources, teaching and learning, assessment, empowering learners, facilitating learners’ digital skills, and confidence in digital use. It supports technology use and enhances teacher performance </w:t>
      </w:r>
      <w:r>
        <w:rPr>
          <w:rFonts w:eastAsia="Times New Roman"/>
          <w:color w:val="000000"/>
        </w:rPr>
        <w:fldChar w:fldCharType="begin" w:fldLock="1"/>
      </w:r>
      <w:r>
        <w:rPr>
          <w:rFonts w:eastAsia="Times New Roman"/>
          <w:color w:val="000000"/>
        </w:rPr>
        <w:instrText>ADDIN CSL_CITATION {"citationItems":[{"id":"ITEM-1","itemData":{"DOI":"10.1108/AGJSR-05-2023-0191","ISSN":"1985-9899","author":[{"dropping-particle":"","family":"Lubuva","given":"Elisei Emili","non-dropping-particle":"","parse-names":false,"suffix":""},{"dropping-particle":"","family":"Ndibalema","given":"Placidius","non-dropping-particle":"","parse-names":false,"suffix":""},{"dropping-particle":"","family":"Mbwambo","given":"Esther","non-dropping-particle":"","parse-names":false,"suffix":""}],"container-title":"Arab Gulf Journal of Scientific Research","id":"ITEM-1","issue":"4","issued":{"date-parts":[["2024","11","28"]]},"page":"1917-1936","title":"Designing ICT integrated lesson activities: an intervention to bolster tutors’ pedagogical use of ICT competences in Tanzania teacher education","type":"article-journal","volume":"42"},"uris":["http://www.mendeley.com/documents/?uuid=87427acf-b85d-35a7-9357-196e15a98171"]}],"mendeley":{"formattedCitation":"(Lubuva et al., 2024)","plainTextFormattedCitation":"(Lubuva et al., 2024)","previouslyFormattedCitation":"(Lubuva et al., 2024)"},"properties":{"noteIndex":0},"schema":"https://github.com/citation-style-language/schema/raw/master/csl-citation.json"}</w:instrText>
      </w:r>
      <w:r>
        <w:rPr>
          <w:rFonts w:eastAsia="Times New Roman"/>
          <w:color w:val="000000"/>
        </w:rPr>
        <w:fldChar w:fldCharType="separate"/>
      </w:r>
      <w:r>
        <w:rPr>
          <w:rFonts w:eastAsia="Times New Roman"/>
          <w:color w:val="000000"/>
        </w:rPr>
        <w:t xml:space="preserve">Lubuva et al., </w:t>
      </w:r>
      <w:r w:rsidR="00C30793">
        <w:rPr>
          <w:rFonts w:eastAsia="Times New Roman"/>
          <w:color w:val="000000"/>
        </w:rPr>
        <w:t>(</w:t>
      </w:r>
      <w:r>
        <w:rPr>
          <w:rFonts w:eastAsia="Times New Roman"/>
          <w:color w:val="000000"/>
        </w:rPr>
        <w:t>2024</w:t>
      </w:r>
      <w:r w:rsidR="00C30793">
        <w:rPr>
          <w:rFonts w:eastAsia="Times New Roman"/>
          <w:color w:val="000000"/>
        </w:rPr>
        <w:t>) and</w:t>
      </w:r>
      <w:r>
        <w:rPr>
          <w:rFonts w:eastAsia="Times New Roman"/>
          <w:color w:val="000000"/>
        </w:rPr>
        <w:t xml:space="preserve"> </w:t>
      </w:r>
      <w:r w:rsidR="00C30793">
        <w:rPr>
          <w:rFonts w:eastAsia="Times New Roman"/>
          <w:color w:val="000000"/>
        </w:rPr>
        <w:t>(</w:t>
      </w:r>
      <w:r>
        <w:rPr>
          <w:rFonts w:eastAsia="Times New Roman"/>
          <w:color w:val="000000"/>
        </w:rPr>
        <w:t>Falloon, 2020)</w:t>
      </w:r>
      <w:r>
        <w:rPr>
          <w:rFonts w:eastAsia="Times New Roman"/>
          <w:color w:val="000000"/>
        </w:rPr>
        <w:fldChar w:fldCharType="end"/>
      </w:r>
      <w:r>
        <w:rPr>
          <w:rFonts w:eastAsia="Times New Roman"/>
          <w:color w:val="000000"/>
        </w:rPr>
        <w:t xml:space="preserve">, contributing to higher-quality education </w:t>
      </w:r>
      <w:r>
        <w:rPr>
          <w:rFonts w:eastAsia="Times New Roman"/>
          <w:color w:val="000000"/>
        </w:rPr>
        <w:fldChar w:fldCharType="begin" w:fldLock="1"/>
      </w:r>
      <w:r>
        <w:rPr>
          <w:rFonts w:eastAsia="Times New Roman"/>
          <w:color w:val="000000"/>
        </w:rPr>
        <w:instrText>ADDIN CSL_CITATION {"citationItems":[{"id":"ITEM-1","itemData":{"DOI":"10.1080/20004508.2021.1890936","ISSN":"2000-4508","author":[{"dropping-particle":"","family":"Lindfors","given":"Maria","non-dropping-particle":"","parse-names":false,"suffix":""},{"dropping-particle":"","family":"Pettersson","given":"Fanny","non-dropping-particle":"","parse-names":false,"suffix":""},{"dropping-particle":"","family":"Olofsson","given":"Anders D.","non-dropping-particle":"","parse-names":false,"suffix":""}],"container-title":"Education Inquiry","id":"ITEM-1","issue":"4","issued":{"date-parts":[["2021","10","2"]]},"page":"390-409","title":"Conditions for professional digital competence: the teacher educators’ view","type":"article-journal","volume":"12"},"uris":["http://www.mendeley.com/documents/?uuid=9704020a-037f-38bf-9259-e343a19809c7"]}],"mendeley":{"formattedCitation":"(Lindfors et al., 2021)","plainTextFormattedCitation":"(Lindfors et al., 2021)","previouslyFormattedCitation":"(Lindfors et al., 2021)"},"properties":{"noteIndex":0},"schema":"https://github.com/citation-style-language/schema/raw/master/csl-citation.json"}</w:instrText>
      </w:r>
      <w:r>
        <w:rPr>
          <w:rFonts w:eastAsia="Times New Roman"/>
          <w:color w:val="000000"/>
        </w:rPr>
        <w:fldChar w:fldCharType="separate"/>
      </w:r>
      <w:r>
        <w:rPr>
          <w:rFonts w:eastAsia="Times New Roman"/>
          <w:color w:val="000000"/>
        </w:rPr>
        <w:t>(Lindfors et al., 2021</w:t>
      </w:r>
      <w:r w:rsidR="004D0B2A">
        <w:rPr>
          <w:rFonts w:eastAsia="Times New Roman"/>
          <w:color w:val="000000"/>
        </w:rPr>
        <w:t>, Kodariah et., al 2025</w:t>
      </w:r>
      <w:r>
        <w:rPr>
          <w:rFonts w:eastAsia="Times New Roman"/>
          <w:color w:val="000000"/>
        </w:rPr>
        <w:t>)</w:t>
      </w:r>
      <w:r>
        <w:rPr>
          <w:rFonts w:eastAsia="Times New Roman"/>
          <w:color w:val="000000"/>
        </w:rPr>
        <w:fldChar w:fldCharType="end"/>
      </w:r>
      <w:r>
        <w:rPr>
          <w:rFonts w:eastAsia="Times New Roman"/>
          <w:color w:val="000000"/>
        </w:rPr>
        <w:t>.</w:t>
      </w:r>
    </w:p>
    <w:p w:rsidR="00181834" w:rsidRDefault="007329B5">
      <w:pPr>
        <w:pStyle w:val="Heading3"/>
        <w:spacing w:before="240" w:after="240"/>
      </w:pPr>
      <w:r>
        <w:rPr>
          <w:rFonts w:ascii="Times New Roman" w:eastAsia="Times New Roman" w:hAnsi="Times New Roman"/>
        </w:rPr>
        <w:t xml:space="preserve">Intrinsic Satisfaction </w:t>
      </w:r>
    </w:p>
    <w:p w:rsidR="00181834" w:rsidRDefault="007329B5">
      <w:pPr>
        <w:spacing w:before="240" w:after="240"/>
        <w:ind w:firstLine="454"/>
        <w:jc w:val="both"/>
        <w:rPr>
          <w:rFonts w:eastAsia="Times New Roman"/>
          <w:color w:val="000000"/>
        </w:rPr>
      </w:pPr>
      <w:r>
        <w:t xml:space="preserve">Intrinsic satisfaction </w:t>
      </w:r>
      <w:r>
        <w:fldChar w:fldCharType="begin" w:fldLock="1"/>
      </w:r>
      <w:r>
        <w:instrText>ADDIN CSL_CITATION {"citationItems":[{"id":"ITEM-1","itemData":{"DOI":"10.1007/s10758-024-09799-2","author":[{"dropping-particle":"","family":"Yan","given":"Ning","non-dropping-particle":"","parse-names":false,"suffix":""},{"dropping-particle":"","family":"Batako","given":"Andre","non-dropping-particle":"","parse-names":false,"suffix":""},{"dropping-particle":"","family":"Czanner","given":"Gabriela","non-dropping-particle":"","parse-names":false,"suffix":""},{"dropping-particle":"","family":"Zhang","given":"Aiping","non-dropping-particle":"","parse-names":false,"suffix":""}],"id":"ITEM-1","issued":{"date-parts":[["2024"]]},"title":"Teacher Satisfaction in Online Education: A Two-Factor Model of Extrinsic and Intrinsic Factors Across Diverse Contexts","type":"article-journal"},"uris":["http://www.mendeley.com/documents/?uuid=4ecf5e47-9425-37d6-8b84-1f5926462788"]}],"mendeley":{"formattedCitation":"(Yan et al., 2024)","plainTextFormattedCitation":"(Yan et al., 2024)","previouslyFormattedCitation":"(Yan et al., 2024)"},"properties":{"noteIndex":0},"schema":"https://github.com/citation-style-language/schema/raw/master/csl-citation.json"}</w:instrText>
      </w:r>
      <w:r>
        <w:fldChar w:fldCharType="separate"/>
      </w:r>
      <w:r>
        <w:t>(Yan et al., 2024)</w:t>
      </w:r>
      <w:r>
        <w:fldChar w:fldCharType="end"/>
      </w:r>
      <w:r>
        <w:t xml:space="preserve"> includes achievement, personal growth, personal quality, and pedagogical confidence. It arises from inner drives and the fulfillment of psychological needs such as autonomy, competence, and social relationships, enhancing well-being and performance </w:t>
      </w:r>
      <w:r>
        <w:rPr>
          <w:rFonts w:eastAsia="Times New Roman"/>
          <w:color w:val="000000"/>
        </w:rPr>
        <w:fldChar w:fldCharType="begin" w:fldLock="1"/>
      </w:r>
      <w:r>
        <w:rPr>
          <w:rFonts w:eastAsia="Times New Roman"/>
          <w:color w:val="000000"/>
        </w:rPr>
        <w:instrText>ADDIN CSL_CITATION {"citationItems":[{"id":"ITEM-1","itemData":{"DOI":"10.1002/hrdq.21430","ISSN":"1044-8004","abstract":"&lt;p&gt; Should leaders pay more attention to values? The present study aims to examine and explain the associations of engaging leadership (EL) with employees' perceptions of the organization's values, need fulfillment, and employee engagement. EL is a recent leadership concept drawing on self‐determination theory, specifically on the fulfillment of the basic psychological needs of autonomy, competence, and relatedness. We expected EL to associate with employees perceiving the values of their organization as more intrinsic (e.g., care for others, contributing to making the world a better place, stimulating personal growth), which would satisfy employees' basic psychological needs and fuel work engagement, rather than as extrinsic (financial success, power, status). Study 1 detailed the model using a cross‐sectional study design ( &lt;italic&gt;N&lt;/italic&gt;  = 436), and, as expected, structural equation modeling identified a positive path from leadership to work engagement via perceived intrinsic organizational values and subsequent satisfaction of the need for autonomy. EL associated negatively with extrinsic organizational values. Study 2 corroborated outcomes of study 1 through a longitudinal study across three time‐points ( &lt;italic&gt;N =&lt;/italic&gt;  69) in a cross‐lagged panel model and found specific directionality from leadership to perceived intrinsic values. Implications for leadership and motivation are discussed. &lt;/p&gt;","author":[{"dropping-particle":"","family":"Tuin","given":"Lars","non-dropping-particle":"van","parse-names":false,"suffix":""},{"dropping-particle":"","family":"Schaufeli","given":"Wilmar B.","non-dropping-particle":"","parse-names":false,"suffix":""},{"dropping-particle":"","family":"Broeck","given":"Anja","non-dropping-particle":"Van den","parse-names":false,"suffix":""}],"container-title":"Human Resource Development Quarterly","id":"ITEM-1","issue":"4","issued":{"date-parts":[["2021","12","24"]]},"page":"483-505","title":"Engaging leadership: Enhancing work engagement through intrinsic values and need satisfaction","type":"article-journal","volume":"32"},"uris":["http://www.mendeley.com/documents/?uuid=9e920871-4115-3c89-827c-a10ae3dd73c1"]}],"mendeley":{"formattedCitation":"(van Tuin et al., 2021)","plainTextFormattedCitation":"(van Tuin et al., 2021)","previouslyFormattedCitation":"(van Tuin et al., 2021)"},"properties":{"noteIndex":0},"schema":"https://github.com/citation-style-language/schema/raw/master/csl-citation.json"}</w:instrText>
      </w:r>
      <w:r>
        <w:rPr>
          <w:rFonts w:eastAsia="Times New Roman"/>
          <w:color w:val="000000"/>
        </w:rPr>
        <w:fldChar w:fldCharType="separate"/>
      </w:r>
      <w:r>
        <w:rPr>
          <w:rFonts w:eastAsia="Times New Roman"/>
          <w:color w:val="000000"/>
        </w:rPr>
        <w:t>(van Tuin et al., 2021)</w:t>
      </w:r>
      <w:r>
        <w:rPr>
          <w:rFonts w:eastAsia="Times New Roman"/>
          <w:color w:val="000000"/>
        </w:rPr>
        <w:fldChar w:fldCharType="end"/>
      </w:r>
      <w:r>
        <w:rPr>
          <w:rFonts w:eastAsia="Times New Roman"/>
          <w:color w:val="000000"/>
        </w:rPr>
        <w:t xml:space="preserve">. Teachers’ satisfaction stems from meaningful work and self-efficacy </w:t>
      </w:r>
      <w:r>
        <w:rPr>
          <w:rFonts w:eastAsia="Times New Roman"/>
          <w:color w:val="000000"/>
        </w:rPr>
        <w:fldChar w:fldCharType="begin" w:fldLock="1"/>
      </w:r>
      <w:r>
        <w:rPr>
          <w:rFonts w:eastAsia="Times New Roman"/>
          <w:color w:val="000000"/>
        </w:rPr>
        <w:instrText>ADDIN CSL_CITATION {"citationItems":[{"id":"ITEM-1","itemData":{"DOI":"10.1016/J.TATE.2024.104687","ISSN":"0742-051X","abstract":"Theories from occupational wellbeing posit that more satisfied workers perform better in their jobs. We tested this hypothesis by applying regression analyses to TALIS video study data (17,554 pupils; 670 teachers), exploring the association between teacher job satisfaction and lesson quality as judged from multiple perspectives. While more satisfied teachers tend to rate the quality of their lessons more highly, the relationship is much weaker when using pupil reports and those of expert observers. There is no evidence that teacher job satisfaction is related to pupil outcomes. Policymakers should focus instead on the importance of job satisfaction for teacher retention.","author":[{"dropping-particle":"","family":"Jerrim","given":"John","non-dropping-particle":"","parse-names":false,"suffix":""}],"container-title":"Teaching and Teacher Education","id":"ITEM-1","issued":{"date-parts":[["2024","10","1"]]},"page":"104687","publisher":"Pergamon","title":"Are satisfied teachers better teachers? International evidence from the TALIS video study","type":"article-journal","volume":"148"},"uris":["http://www.mendeley.com/documents/?uuid=d6ee5519-42de-3aed-bec1-8e325054b266"]}],"mendeley":{"formattedCitation":"(Jerrim, 2024)","manualFormatting":"(Jerrim, 2024; Soto-Pérez et al., 2020)","plainTextFormattedCitation":"(Jerrim, 2024)","previouslyFormattedCitation":"(Jerrim, 2024)"},"properties":{"noteIndex":0},"schema":"https://github.com/citation-style-language/schema/raw/master/csl-citation.json"}</w:instrText>
      </w:r>
      <w:r>
        <w:rPr>
          <w:rFonts w:eastAsia="Times New Roman"/>
          <w:color w:val="000000"/>
        </w:rPr>
        <w:fldChar w:fldCharType="separate"/>
      </w:r>
      <w:r>
        <w:rPr>
          <w:rFonts w:eastAsia="Times New Roman"/>
          <w:color w:val="000000"/>
        </w:rPr>
        <w:t>(Jerrim, 2024; Soto-Pérez et al., 2020)</w:t>
      </w:r>
      <w:r>
        <w:rPr>
          <w:rFonts w:eastAsia="Times New Roman"/>
          <w:color w:val="000000"/>
        </w:rPr>
        <w:fldChar w:fldCharType="end"/>
      </w:r>
      <w:r>
        <w:rPr>
          <w:rFonts w:eastAsia="Times New Roman"/>
          <w:color w:val="000000"/>
        </w:rPr>
        <w:t>.</w:t>
      </w:r>
    </w:p>
    <w:p w:rsidR="00181834" w:rsidRDefault="007329B5">
      <w:pPr>
        <w:pStyle w:val="Heading3"/>
        <w:spacing w:before="240" w:after="240"/>
      </w:pPr>
      <w:r>
        <w:rPr>
          <w:rFonts w:ascii="Times New Roman" w:eastAsia="Times New Roman" w:hAnsi="Times New Roman"/>
        </w:rPr>
        <w:t xml:space="preserve">Leader–Member Exchange (LMX) </w:t>
      </w:r>
    </w:p>
    <w:p w:rsidR="00181834" w:rsidRDefault="007329B5">
      <w:pPr>
        <w:spacing w:before="240" w:after="240"/>
        <w:ind w:firstLine="454"/>
        <w:jc w:val="both"/>
        <w:rPr>
          <w:rFonts w:eastAsia="Times New Roman"/>
          <w:color w:val="000000"/>
        </w:rPr>
      </w:pPr>
      <w:r>
        <w:t xml:space="preserve">Leader–Member Exchange (LMX) refers to interactions between leaders and subordinates that affect teacher and organizational performance </w:t>
      </w:r>
      <w:r>
        <w:fldChar w:fldCharType="begin" w:fldLock="1"/>
      </w:r>
      <w:r>
        <w:instrText>ADDIN CSL_CITATION {"citationItems":[{"id":"ITEM-1","itemData":{"DOI":"10.5937/AnEkSub2001031T","ISSN":"0350-2120","author":[{"dropping-particle":"","family":"Tasić","given":"Ivan","non-dropping-particle":"","parse-names":false,"suffix":""},{"dropping-particle":"","family":"Merdović","given":"Miroljub","non-dropping-particle":"","parse-names":false,"suffix":""},{"dropping-particle":"","family":"Jankov","given":"Jelena","non-dropping-particle":"","parse-names":false,"suffix":""},{"dropping-particle":"","family":"Terek","given":"Edit","non-dropping-particle":"","parse-names":false,"suffix":""},{"dropping-particle":"","family":"Jovanović","given":"Zoran","non-dropping-particle":"","parse-names":false,"suffix":""},{"dropping-particle":"","family":"Nikolić","given":"Milan","non-dropping-particle":"","parse-names":false,"suffix":""}],"container-title":"Anali Ekonomskog fakulteta u Subotici","id":"ITEM-1","issue":"43","issued":{"date-parts":[["2020"]]},"page":"31-48","title":"Leadership, LMX and teaching process quality in primary schools","type":"article-journal"},"uris":["http://www.mendeley.com/documents/?uuid=cedca165-5e62-3d1b-b54e-91c7634a8fbd"]}],"mendeley":{"formattedCitation":"(Tasić et al., 2020)","plainTextFormattedCitation":"(Tasić et al., 2020)","previouslyFormattedCitation":"(Tasić et al., 2020)"},"properties":{"noteIndex":0},"schema":"https://github.com/citation-style-language/schema/raw/master/csl-citation.json"}</w:instrText>
      </w:r>
      <w:r>
        <w:fldChar w:fldCharType="separate"/>
      </w:r>
      <w:r>
        <w:t>(Tasić et al., 2020</w:t>
      </w:r>
      <w:r w:rsidR="004D0B2A">
        <w:t>; Mustofa et al., 2023</w:t>
      </w:r>
      <w:r>
        <w:t>)</w:t>
      </w:r>
      <w:r>
        <w:fldChar w:fldCharType="end"/>
      </w:r>
      <w:r>
        <w:t xml:space="preserve">. High-quality LMX is characterized by trust, loyalty, support, and respect, while low-quality LMX is formal and limited </w:t>
      </w:r>
      <w:r>
        <w:fldChar w:fldCharType="begin" w:fldLock="1"/>
      </w:r>
      <w:r>
        <w:instrText>ADDIN CSL_CITATION {"citationItems":[{"id":"ITEM-1","itemData":{"DOI":"10.1007/s12144-023-05048-4","ISSN":"1046-1310","abstract":"&lt;p&gt; Distributed leadership (DL) and leader-member exchange (LMX) are highly relevant for fostering teachers’ innovative work behavior (IWB). Based on self-determination theory, we hypothesized that the satisfaction of the basic psychological needs (BPNS) for autonomy, competence, and relatedness plays a major role in mediating these relationships. To investigate this assumption, we executed a quantitative survey study among secondary education teachers involving a time-lag design with two points of measurement ( &lt;italic&gt;N&lt;/italic&gt; (T1) = 654 and &lt;italic&gt;N&lt;/italic&gt; (T2) = 293). For hypothesis testing we employed structural equation modelling (SEM) and found support for most of our assumptions: DL (at T1) enhanced teachers’ IWB (at T2) by fueling BPNS (at T1 and T2) (indirect effects: autonomy (T1/T2): &lt;italic&gt;β&lt;/italic&gt; = .10/.09, &lt;italic&gt;p&lt;/italic&gt; &amp;lt; .10/.01; competence (T1/T2): &lt;italic&gt;β&lt;/italic&gt; = .09/.10, &lt;italic&gt;p&lt;/italic&gt; &amp;lt; .01/.01; relatedness (T1/T2): &lt;italic&gt;β&lt;/italic&gt; = .00/.08, &lt;italic&gt;ns&lt;/italic&gt; / &lt;italic&gt;p&lt;/italic&gt; &amp;lt; .01). Conversely, LMX (at T1) hardly exerted its effect through BPNS (at T1 and T2) but was directly connected to teachers’ IWB (at T2) (indirect effects: autonomy (T1/T2): &lt;italic&gt;β&lt;/italic&gt; = .06/.07, &lt;italic&gt;p&lt;/italic&gt; &amp;lt; .10/.01; competence (T1/T2): &lt;italic&gt;β&lt;/italic&gt; = .01/.04, &lt;italic&gt;ns&lt;/italic&gt; / &lt;italic&gt;ns&lt;/italic&gt; ; relatedness (T1/T2): &lt;italic&gt;β&lt;/italic&gt; = .00/.03, &lt;italic&gt;ns&lt;/italic&gt; / &lt;italic&gt;p&lt;/italic&gt; &amp;lt; .10; direct effects (T1/T2): &lt;italic&gt;β&lt;/italic&gt; = .15/.09, &lt;italic&gt;p&lt;/italic&gt; &amp;lt; .05/ &lt;italic&gt;ns&lt;/italic&gt; ). Therefore, to promote teachers’ IWB, school leaders should not only focus on the relationship quality with teachers, but also on the informal distribution of leadership practice and, more generally, to the creation of an environment that bolsters teachers’ BPNS. Moreover, future research may explore these relationships in other educational sectors as well as in non-profit organizations. &lt;/p&gt;","author":[{"dropping-particle":"","family":"Evers","given":"Arnoud T.","non-dropping-particle":"","parse-names":false,"suffix":""},{"dropping-particle":"","family":"Messmann","given":"Gerhard","non-dropping-particle":"","parse-names":false,"suffix":""},{"dropping-particle":"","family":"Kreijns","given":"Karel","non-dropping-particle":"","parse-names":false,"suffix":""}],"container-title":"Current Psychology","id":"ITEM-1","issue":"12","issued":{"date-parts":[["2024","3","25"]]},"page":"11037-11049","title":"Distributed leadership, leader-member exchange and innovative work behavior: the mediating role of basic psychological needs satisfaction","type":"article-journal","volume":"43"},"uris":["http://www.mendeley.com/documents/?uuid=fc992a00-6f05-3864-9c2d-cf3494759859"]}],"mendeley":{"formattedCitation":"(Evers et al., 2024)","plainTextFormattedCitation":"(Evers et al., 2024)","previouslyFormattedCitation":"(Evers et al., 2024)"},"properties":{"noteIndex":0},"schema":"https://github.com/citation-style-language/schema/raw/master/csl-citation.json"}</w:instrText>
      </w:r>
      <w:r>
        <w:fldChar w:fldCharType="separate"/>
      </w:r>
      <w:r>
        <w:t>(Evers et al., 2024</w:t>
      </w:r>
      <w:r w:rsidR="004D0B2A">
        <w:t>; Munawir &amp; Susen</w:t>
      </w:r>
      <w:r w:rsidR="00E069C3">
        <w:t>o, 2024</w:t>
      </w:r>
      <w:r>
        <w:t>)</w:t>
      </w:r>
      <w:r>
        <w:fldChar w:fldCharType="end"/>
      </w:r>
      <w:r>
        <w:t xml:space="preserve">. Its indicators include emotional closeness, mutual support, extra effort, and recognition of competence </w:t>
      </w:r>
      <w:r>
        <w:fldChar w:fldCharType="begin" w:fldLock="1"/>
      </w:r>
      <w:r>
        <w:instrText>ADDIN CSL_CITATION {"citationItems":[{"id":"ITEM-1","itemData":{"DOI":"10.3389/fpsyg.2025.1514700","abstract":"Introduction: The growing focus on teaching research in higher education due to rapid socioeconomic development has diminished the importance of teaching. The Scholarship of Teaching and Learning (SoTL) addresses this by promoting systematic research on teaching practices. However, integrating SoTL into organizational performance management remains challenging, especially in China. This study examines how leader-member exchange (LMX) affects university teachers' SoTL performance, considering psychological capital as a mediator and LMX differentiation and traditionality as moderators. Methods: Based on social exchange theory, resource conservation theory, and social comparison theory, this study developed a cross-level three-order regulatory moderated mediation model. Data were collected from 351 university teachers across 68 grassroots teaching organizations in three universities in central China. Measures included LMX, psychological capital, traditionality, and SoTL performance. The analysis involved descriptive statistics, correlation analysis, and PROCESS macro for mediation and moderation effects. Results: The results showed a strong positive correlation between LMX and SoTL performance (r = 0.742) and between psychological capital and SoTL performance (r = 0.677). Psychological capital partially mediated the relationship between LMX and SoTL performance, accounting for 26.866% of the total effect. The study also found a significant three-order interaction effect of LMX differentiation and traditionality on the relationship between LMX and psychological capital. Specifically, the positive impact of LMX on psychological capital was most pronounced when LMX differentiation was high and teacher traditionality was low. Discussion: This study highlights the critical role of LMX in enhancing university teachers' SoTL performance through psychological capital. It underscores the importance of psychological capital as a mediator and the complex moderating effects of LMX differentiation and traditionality. The findings suggest that optimizing LMX relationships, developing psychological capital, and leveraging traditionality can significantly improve SoTL performance. The study provides new insights into the application of LMX theory in higher education and offers practical strategies for enhancing teaching quality in Chinese universities.","author":[{"dropping-particle":"","family":"Fang","given":"Jiashuai","non-dropping-particle":"","parse-names":false,"suffix":""},{"dropping-particle":"","family":"Zhang","given":"Qian","non-dropping-particle":"","parse-names":false,"suffix":""},{"dropping-particle":"","family":"Rao","given":"Peiya","non-dropping-particle":"","parse-names":false,"suffix":""},{"dropping-particle":"","family":"Ouyang","given":"Guanghua","non-dropping-particle":"","parse-names":false,"suffix":""},{"dropping-particle":"","family":"Jiménez-Zarco","given":"Ana","non-dropping-particle":"","parse-names":false,"suffix":""},{"dropping-particle":"","family":"Wang","given":"Jun","non-dropping-particle":"","parse-names":false,"suffix":""}],"id":"ITEM-1","issued":{"date-parts":[["2025"]]},"title":"How leader-member exchange affects university teachers' scholarship of teaching and learning performance: a comprehensive analysis of psychological capital, LMX differentiation, and traditionality OPEN ACCESS EDITED BY","type":"article-journal"},"uris":["http://www.mendeley.com/documents/?uuid=19ca2fa0-640a-3af6-8bf8-d45ef985ffd2"]}],"mendeley":{"formattedCitation":"(Fang et al., 2025)","plainTextFormattedCitation":"(Fang et al., 2025)","previouslyFormattedCitation":"(Fang et al., 2025)"},"properties":{"noteIndex":0},"schema":"https://github.com/citation-style-language/schema/raw/master/csl-citation.json"}</w:instrText>
      </w:r>
      <w:r>
        <w:fldChar w:fldCharType="separate"/>
      </w:r>
      <w:r>
        <w:t>(Fang et al., 2025; Čopková, 2020)</w:t>
      </w:r>
      <w:r>
        <w:fldChar w:fldCharType="end"/>
      </w:r>
      <w:r>
        <w:t xml:space="preserve">, </w:t>
      </w:r>
    </w:p>
    <w:p w:rsidR="00181834" w:rsidRDefault="007329B5">
      <w:pPr>
        <w:pStyle w:val="Heading3"/>
        <w:spacing w:before="240" w:after="240"/>
      </w:pPr>
      <w:r>
        <w:rPr>
          <w:rFonts w:ascii="Times New Roman" w:eastAsia="Times New Roman" w:hAnsi="Times New Roman"/>
        </w:rPr>
        <w:t xml:space="preserve">Teacher Performance </w:t>
      </w:r>
    </w:p>
    <w:p w:rsidR="00181834" w:rsidRDefault="007329B5">
      <w:pPr>
        <w:spacing w:before="240" w:after="240"/>
        <w:ind w:firstLine="454"/>
        <w:jc w:val="both"/>
        <w:rPr>
          <w:rFonts w:eastAsia="Times New Roman"/>
          <w:color w:val="000000"/>
        </w:rPr>
      </w:pPr>
      <w:r>
        <w:rPr>
          <w:rFonts w:eastAsia="Times New Roman"/>
          <w:color w:val="000000"/>
        </w:rPr>
        <w:t xml:space="preserve">Teacher performance refers to teachers’ actions and abilities in fulfilling professional duties, which are vital for organizational success </w:t>
      </w:r>
      <w:r>
        <w:rPr>
          <w:rFonts w:eastAsia="Times New Roman"/>
          <w:color w:val="000000"/>
        </w:rPr>
        <w:fldChar w:fldCharType="begin" w:fldLock="1"/>
      </w:r>
      <w:r>
        <w:rPr>
          <w:rFonts w:eastAsia="Times New Roman"/>
          <w:color w:val="000000"/>
        </w:rPr>
        <w:instrText>ADDIN CSL_CITATION {"citationItems":[{"id":"ITEM-1","itemData":{"DOI":"10.28934/jwee23.34.pp75-94","ISSN":"2406-0674","abstract":"&lt;p&gt;Due to the complexity of the educational market, changes are also occurring in the field of education itself - from the constant transformation of the curriculum to new trends in the management of education at all levels. Faculties compete with each other for the best students, professors, projects, discoveries and resources. This forces higher education institutions, which want to survive in the long term and to be highly listed on the market, to take special care of their reputation and prestige. In order to improve their own quality and thereby ensure a competitive advantage, higher education institutions use brand management activities to emphasize the values on which their engagement is based. The aim of the work is to investigate the opinion of students - users of the service of a higher education institution and to show the importance of instrumental values on the basis of which the brand of the faculty should be shaped. Descriptive statistics and survey techniques were used in the empirical research, and the sample consisted of 403 respondents - students at six private and state faculties. The obtained results indicate a positive opinion of the respondents about instrumental values, as those on which a higher education institution should build its own brand. This finding provides a basis for the creators of not only higher education brands, but also for the creation of study programs based on the estimated value, an incentive for further research of other values in higher education, as well as for the creation of an optimal brand model of higher education institutions.&lt;/p&gt;","author":[{"dropping-particle":"","family":"Marjanović","given":"Jelena","non-dropping-particle":"","parse-names":false,"suffix":""},{"dropping-particle":"","family":"Domazet","given":"Ivana","non-dropping-particle":"","parse-names":false,"suffix":""},{"dropping-particle":"","family":"Miljković","given":"Jovan","non-dropping-particle":"","parse-names":false,"suffix":""}],"container-title":"JWEE","id":"ITEM-1","issued":{"date-parts":[["2023","10","30"]]},"title":"Higher Education Branding through Instrumental Values","type":"article-journal"},"uris":["http://www.mendeley.com/documents/?uuid=ead20401-5e1d-34c4-9044-b98f81e109b7"]}],"mendeley":{"formattedCitation":"(Marjanović et al., 2023)","plainTextFormattedCitation":"(Marjanović et al., 2023)","previouslyFormattedCitation":"(Marjanović et al., 2023)"},"properties":{"noteIndex":0},"schema":"https://github.com/citation-style-language/schema/raw/master/csl-citation.json"}</w:instrText>
      </w:r>
      <w:r>
        <w:rPr>
          <w:rFonts w:eastAsia="Times New Roman"/>
          <w:color w:val="000000"/>
        </w:rPr>
        <w:fldChar w:fldCharType="separate"/>
      </w:r>
      <w:r>
        <w:rPr>
          <w:rFonts w:eastAsia="Times New Roman"/>
          <w:color w:val="000000"/>
        </w:rPr>
        <w:t>(Marjanović et al., 2023</w:t>
      </w:r>
      <w:r w:rsidR="004D0B2A">
        <w:rPr>
          <w:rFonts w:eastAsia="Times New Roman"/>
          <w:color w:val="000000"/>
        </w:rPr>
        <w:t>; Suseno &amp; Basrowi, 2023</w:t>
      </w:r>
      <w:r>
        <w:rPr>
          <w:rFonts w:eastAsia="Times New Roman"/>
          <w:color w:val="000000"/>
        </w:rPr>
        <w:t>)</w:t>
      </w:r>
      <w:r>
        <w:rPr>
          <w:rFonts w:eastAsia="Times New Roman"/>
          <w:color w:val="000000"/>
        </w:rPr>
        <w:fldChar w:fldCharType="end"/>
      </w:r>
      <w:r>
        <w:rPr>
          <w:rFonts w:eastAsia="Times New Roman"/>
          <w:color w:val="000000"/>
        </w:rPr>
        <w:t xml:space="preserve">. It involves digital competence and continuous professional development </w:t>
      </w:r>
      <w:r>
        <w:rPr>
          <w:rFonts w:eastAsia="Times New Roman"/>
          <w:color w:val="000000"/>
        </w:rPr>
        <w:fldChar w:fldCharType="begin" w:fldLock="1"/>
      </w:r>
      <w:r>
        <w:rPr>
          <w:rFonts w:eastAsia="Times New Roman"/>
          <w:color w:val="000000"/>
        </w:rPr>
        <w:instrText>ADDIN CSL_CITATION {"citationItems":[{"id":"ITEM-1","itemData":{"DOI":"10.28934/jwee24.34.pp160-179","ISSN":"2406-0674","abstract":"&lt;p&gt;The importance of lifelong learning and professional self-education in the modern world is beyond doubt. The search for external and internal incentives to increase people's interest in self-development is an important task for management sciences. External motivation includes the efforts of managers and HR managers to encourage employees to learn. In childhood and adolescence, parents, teachers and professors perform this function. However, it is important to understand what internal factors affect the desire for new knowledge and experience. According to numerous studies, social intelligence plays this role, as it affects the formation of positive qualities of a person from a social point of view. The purpose of this research was to verify the correlation between the level of social intelligence of an individual and his/her desire for self-development and additional training. The survey was conducted on a sample of students from a private online school that provides soft skills, financial and digital literacy training. The research results have complemented the previous survey among senior university students to form a comprehensive picture. High statistical reliability (p≤0.001***) was found for a significant relationship between social intelligence and its components and the desire to study further. The research results indicate the importance of developing a person’s social intelligence in order to stimulate professional self-education. Increasing the level of employees’ competence has a positive influence on their loyalty to the corporate culture, enhancing the personnel security of enterprises.&lt;/p&gt;","author":[{"dropping-particle":"","family":"Palaščáková","given":"Daniela","non-dropping-particle":"","parse-names":false,"suffix":""},{"dropping-particle":"","family":"Liadskyi","given":"Ihor","non-dropping-particle":"","parse-names":false,"suffix":""},{"dropping-particle":"","family":"Diachkov","given":"Dmytro","non-dropping-particle":"","parse-names":false,"suffix":""}],"container-title":"JWEE","id":"ITEM-1","issued":{"date-parts":[["2024","9","25"]]},"title":"Social Intelligence Management in the Context of Promoting Professional Self-Education: Gender Aspects","type":"article-journal"},"uris":["http://www.mendeley.com/documents/?uuid=d09b5db1-eb16-3b89-af02-7cfddca76dbb"]}],"mendeley":{"formattedCitation":"(Palaščáková et al., 2024)","plainTextFormattedCitation":"(Palaščáková et al., 2024)","previouslyFormattedCitation":"(Palaščáková et al., 2024)"},"properties":{"noteIndex":0},"schema":"https://github.com/citation-style-language/schema/raw/master/csl-citation.json"}</w:instrText>
      </w:r>
      <w:r>
        <w:rPr>
          <w:rFonts w:eastAsia="Times New Roman"/>
          <w:color w:val="000000"/>
        </w:rPr>
        <w:fldChar w:fldCharType="separate"/>
      </w:r>
      <w:r>
        <w:rPr>
          <w:rFonts w:eastAsia="Times New Roman"/>
          <w:color w:val="000000"/>
        </w:rPr>
        <w:t>(Palaščáková et al., 2024; Panakaje et al., 2024)</w:t>
      </w:r>
      <w:r>
        <w:rPr>
          <w:rFonts w:eastAsia="Times New Roman"/>
          <w:color w:val="000000"/>
        </w:rPr>
        <w:fldChar w:fldCharType="end"/>
      </w:r>
      <w:r>
        <w:rPr>
          <w:rFonts w:eastAsia="Times New Roman"/>
          <w:color w:val="000000"/>
        </w:rPr>
        <w:t xml:space="preserve">. Indicators include teaching methods, tech skills, management, and communication </w:t>
      </w:r>
      <w:r>
        <w:rPr>
          <w:rFonts w:eastAsia="Times New Roman"/>
          <w:color w:val="000000"/>
        </w:rPr>
        <w:fldChar w:fldCharType="begin" w:fldLock="1"/>
      </w:r>
      <w:r>
        <w:rPr>
          <w:rFonts w:eastAsia="Times New Roman"/>
          <w:color w:val="000000"/>
        </w:rPr>
        <w:instrText>ADDIN CSL_CITATION {"citationItems":[{"id":"ITEM-1","itemData":{"DOI":"10.1108/AGJSR-12-2022-0277","ISSN":"1985-9899","author":[{"dropping-particle":"","family":"Shahat","given":"Mohamed A.","non-dropping-particle":"","parse-names":false,"suffix":""},{"dropping-particle":"","family":"Al-Balushi","given":"Sulaiman M.","non-dropping-particle":"","parse-names":false,"suffix":""},{"dropping-particle":"","family":"Al-Amri","given":"Mohammed","non-dropping-particle":"","parse-names":false,"suffix":""}],"container-title":"Arab Gulf Journal of Scientific Research","id":"ITEM-1","issue":"2","issued":{"date-parts":[["2024","3","26"]]},"page":"259-279","title":"Measuring preservice science teachers’ performance on engineering design process tasks: implications for fostering STEM education","type":"article-journal","volume":"42"},"uris":["http://www.mendeley.com/documents/?uuid=50423cc6-dc7d-3142-8646-e15e8e8dad1e"]}],"mendeley":{"formattedCitation":"(Shahat et al., 2024)","plainTextFormattedCitation":"(Shahat et al., 2024)","previouslyFormattedCitation":"(Shahat et al., 2024)"},"properties":{"noteIndex":0},"schema":"https://github.com/citation-style-language/schema/raw/master/csl-citation.json"}</w:instrText>
      </w:r>
      <w:r>
        <w:rPr>
          <w:rFonts w:eastAsia="Times New Roman"/>
          <w:color w:val="000000"/>
        </w:rPr>
        <w:fldChar w:fldCharType="separate"/>
      </w:r>
      <w:r>
        <w:rPr>
          <w:rFonts w:eastAsia="Times New Roman"/>
          <w:color w:val="000000"/>
        </w:rPr>
        <w:t>(Shahat et al., 2024</w:t>
      </w:r>
      <w:r w:rsidR="00E069C3">
        <w:rPr>
          <w:rFonts w:eastAsia="Times New Roman"/>
          <w:color w:val="000000"/>
        </w:rPr>
        <w:t>; Maskudi et al., 2024</w:t>
      </w:r>
      <w:r>
        <w:rPr>
          <w:rFonts w:eastAsia="Times New Roman"/>
          <w:color w:val="000000"/>
        </w:rPr>
        <w:t>)</w:t>
      </w:r>
      <w:r>
        <w:rPr>
          <w:rFonts w:eastAsia="Times New Roman"/>
          <w:color w:val="000000"/>
        </w:rPr>
        <w:fldChar w:fldCharType="end"/>
      </w:r>
      <w:r>
        <w:rPr>
          <w:rFonts w:eastAsia="Times New Roman"/>
          <w:color w:val="000000"/>
        </w:rPr>
        <w:t>.</w:t>
      </w:r>
    </w:p>
    <w:p w:rsidR="00FE2C48" w:rsidRDefault="00FE2C48" w:rsidP="00FE2C48">
      <w:pPr>
        <w:spacing w:after="60"/>
        <w:jc w:val="both"/>
        <w:rPr>
          <w:lang w:eastAsia="en-US"/>
        </w:rPr>
      </w:pPr>
      <w:r>
        <w:rPr>
          <w:rFonts w:eastAsia="Times New Roman"/>
          <w:b/>
          <w:bCs/>
        </w:rPr>
        <w:t>Hypothesis Development</w:t>
      </w:r>
      <w:r>
        <w:rPr>
          <w:rFonts w:eastAsia="Times New Roman"/>
        </w:rPr>
        <w:t xml:space="preserve"> </w:t>
      </w:r>
    </w:p>
    <w:p w:rsidR="00FE2C48" w:rsidRDefault="00FE2C48" w:rsidP="00FE2C48">
      <w:pPr>
        <w:jc w:val="both"/>
        <w:rPr>
          <w:rFonts w:eastAsia="Times New Roman"/>
          <w:color w:val="000000"/>
        </w:rPr>
      </w:pPr>
      <w:r>
        <w:rPr>
          <w:rFonts w:eastAsia="Times New Roman"/>
          <w:b/>
          <w:bCs/>
          <w:color w:val="000000"/>
        </w:rPr>
        <w:t>H1</w:t>
      </w:r>
      <w:proofErr w:type="gramStart"/>
      <w:r>
        <w:rPr>
          <w:rFonts w:eastAsia="Times New Roman"/>
          <w:color w:val="000000"/>
        </w:rPr>
        <w:t>:Digital</w:t>
      </w:r>
      <w:proofErr w:type="gramEnd"/>
      <w:r>
        <w:rPr>
          <w:rFonts w:eastAsia="Times New Roman"/>
          <w:color w:val="000000"/>
        </w:rPr>
        <w:t xml:space="preserve"> competence (DC) positively influences teacher performance (TP) </w:t>
      </w:r>
    </w:p>
    <w:p w:rsidR="00FE2C48" w:rsidRDefault="00FE2C48" w:rsidP="00FE2C48">
      <w:pPr>
        <w:spacing w:after="60"/>
        <w:ind w:firstLine="720"/>
        <w:jc w:val="both"/>
        <w:rPr>
          <w:bCs/>
        </w:rPr>
      </w:pPr>
      <w:r>
        <w:rPr>
          <w:bCs/>
        </w:rPr>
        <w:lastRenderedPageBreak/>
        <w:t xml:space="preserve">Digital competence enhances teacher performance by improving efficiency and creativity </w:t>
      </w:r>
      <w:r>
        <w:rPr>
          <w:bCs/>
        </w:rPr>
        <w:fldChar w:fldCharType="begin" w:fldLock="1"/>
      </w:r>
      <w:r>
        <w:rPr>
          <w:bCs/>
        </w:rPr>
        <w:instrText>ADDIN CSL_CITATION {"citationItems":[{"id":"ITEM-1","itemData":{"DOI":"10.1007/s10758-024-09794-7","ISBN":"0123456789","abstract":"This study investigates the digital competence levels of Lebanese preservice and in-service teachers using the European Framework for the Digital Competence of Educators (DigCompEdu). The research aims to explore the existing gap in digital competence between these two groups through a cross-sectional descriptive survey, involving 170 in-service teachers and 194 preservice teachers from various undergraduate teacher training programs in Lebanon. The findings reveal significant differences between in-service and preservice teachers in all six competence areas and no significant difference per subject areas, with in-service teachers demonstrating higher overall digital competence compared to preservice teachers. The study draws attention to the need for improved practical training and targeted interventions in teacher education programs to better prepare preservice teachers for the digital demands of modern classrooms. The findings have implications for policy and practice, particularly in enhancing teacher training programs to meet the evolving digital needs of education.","author":[{"dropping-particle":"","family":"Momdjian","given":"Levon","non-dropping-particle":"","parse-names":false,"suffix":""},{"dropping-particle":"","family":"Manegre","given":"Marni","non-dropping-particle":"","parse-names":false,"suffix":""},{"dropping-particle":"","family":"Mar Gutiérrez-Colón","given":"·","non-dropping-particle":"","parse-names":false,"suffix":""}],"container-title":"Technology, Knowledge and Learning","id":"ITEM-1","issued":{"date-parts":[["2025"]]},"page":"655-683","title":"Bridging the Digital Competence Gap: A Comparative Study of Preservice and In-Service Teachers in Lebanon Using the DigCompEdu Framework","type":"article-journal","volume":"30"},"uris":["http://www.mendeley.com/documents/?uuid=e4b03262-99c9-3919-b765-3d67de41d967"]}],"mendeley":{"formattedCitation":"(Momdjian et al., 2025)","plainTextFormattedCitation":"(Momdjian et al., 2025)","previouslyFormattedCitation":"(Momdjian et al., 2025)"},"properties":{"noteIndex":0},"schema":"https://github.com/citation-style-language/schema/raw/master/csl-citation.json"}</w:instrText>
      </w:r>
      <w:r>
        <w:rPr>
          <w:bCs/>
        </w:rPr>
        <w:fldChar w:fldCharType="separate"/>
      </w:r>
      <w:r>
        <w:rPr>
          <w:bCs/>
        </w:rPr>
        <w:t>(Momdjian et al., 2025;Altin &amp; Topcu, 2025)</w:t>
      </w:r>
      <w:r>
        <w:rPr>
          <w:bCs/>
        </w:rPr>
        <w:fldChar w:fldCharType="end"/>
      </w:r>
      <w:r>
        <w:rPr>
          <w:bCs/>
        </w:rPr>
        <w:t xml:space="preserve">, supporting role effectiveness and innovation </w:t>
      </w:r>
      <w:r>
        <w:rPr>
          <w:bCs/>
        </w:rPr>
        <w:fldChar w:fldCharType="begin" w:fldLock="1"/>
      </w:r>
      <w:r>
        <w:rPr>
          <w:bCs/>
        </w:rPr>
        <w:instrText>ADDIN CSL_CITATION {"citationItems":[{"id":"ITEM-1","itemData":{"DOI":"10.1007/s10639-023-11848-9","ISBN":"0123456789","abstract":"Teachers' digital competence (DC) is an important condition for the effective application of technology in education. Although several DC tools have been designed, adjustments to digital education and pedagogical or professional components are still scarce. Therefore, this study aims at developing a new instrument for assessing teachers' DC regarding their pedagogical and professional activities in the context of digital school and digital education. The study also examines the teachers' total DC scores and explores the differences between teacher profiles on a sample of 845 teachers in primary and secondary education in Greece. The final instrument comprises 20 items allocated in six components: 1) Teaching preparation; 2) Teaching delivery &amp; students' support; 3) Teaching evaluation &amp; revision; 4) Professional development; 5) School's development; and 6) Innovating education. The PLS-SEM analysis indicated the validity and reliability of the model in respect to its facto-rial structure, internal consistency, convergence validity, and model fitness. The results revealed DC inefficiency among teachers in Greece. Primary school teachers reported significantly lower scores in Professional development and Teaching delivery &amp; students support. Female teachers reported significantly lower scores in Innovating education and School's development, but they reported higher scores in Professional development. The contribution and practical implications are discussed in the paper.","author":[{"dropping-particle":"","family":"Tzafilkou","given":"Katerina","non-dropping-particle":"","parse-names":false,"suffix":""},{"dropping-particle":"","family":"Perifanou","given":"Maria","non-dropping-particle":"","parse-names":false,"suffix":""},{"dropping-particle":"","family":"Anastasios","given":"·","non-dropping-particle":"","parse-names":false,"suffix":""},{"dropping-particle":"","family":"Economides","given":"A","non-dropping-particle":"","parse-names":false,"suffix":""}],"container-title":"Education and Information Technologies","id":"ITEM-1","issued":{"date-parts":[["2023"]]},"page":"16017-16040","title":"Assessing teachers' digital competence in primary and secondary education: Applying a new instrument to integrate pedagogical and professional elements for digital education","type":"article-journal","volume":"28"},"uris":["http://www.mendeley.com/documents/?uuid=5a4c2e31-58ff-36aa-b67b-69454d4bedfd"]}],"mendeley":{"formattedCitation":"(Tzafilkou et al., 2023)","plainTextFormattedCitation":"(Tzafilkou et al., 2023)","previouslyFormattedCitation":"(Tzafilkou et al., 2023)"},"properties":{"noteIndex":0},"schema":"https://github.com/citation-style-language/schema/raw/master/csl-citation.json"}</w:instrText>
      </w:r>
      <w:r>
        <w:rPr>
          <w:bCs/>
        </w:rPr>
        <w:fldChar w:fldCharType="separate"/>
      </w:r>
      <w:r>
        <w:rPr>
          <w:bCs/>
        </w:rPr>
        <w:t>(Tzafilkou et al., 2023; González-Medina et al., 2025)</w:t>
      </w:r>
      <w:r>
        <w:rPr>
          <w:bCs/>
        </w:rPr>
        <w:fldChar w:fldCharType="end"/>
      </w:r>
      <w:r>
        <w:rPr>
          <w:bCs/>
        </w:rPr>
        <w:t xml:space="preserve">, strengthening classroom management and learning environments </w:t>
      </w:r>
      <w:r>
        <w:rPr>
          <w:bCs/>
        </w:rPr>
        <w:fldChar w:fldCharType="begin" w:fldLock="1"/>
      </w:r>
      <w:r>
        <w:rPr>
          <w:bCs/>
        </w:rPr>
        <w:instrText>ADDIN CSL_CITATION {"citationItems":[{"id":"ITEM-1","itemData":{"DOI":"10.1016/J.COMPEDU.2023.104761","ISSN":"0360-1315","abstract":"Teachers' competence-related beliefs are crucial in determining teachers' professional competence and instructional quality. However, in the context of technology-enhanced teaching, studies regarding competence-related beliefs, specifically competence dimensions and their relations to instructional quality, are limited. Against this backdrop, the purpose of the present study is twofold: The first is to test the factorial structure of a measure that assesses teachers' competence-related beliefs in the dimension of empowering learners with its subdimensions of differentiation and actively engaging learners based on the European Framework for the Digital Competence of Educators (DigCompEdu). The second is to examine the relations between competence-related beliefs and teachers' reported use of digital technologies to enhance classroom management, cognitive activation, and supportive climate. Based on data from 145 teachers (73.1% female), both the factorial structure and the relations were analyzed using various approaches of structural equation modeling. The results supported the bifactor confirmatory factor analysis model with a general factor defined as empowering learners as well as two subdimensions representing differentiation and actively engaging learners. Teachers' competence-related beliefs regarding differentiation and empowering learners are positively related to the teacher-reported use of technologies to enhance instructional quality. Understanding the structure of teachers' competence-related beliefs about empowering learners and their relations to instructional quality in technology-enhanced teaching is relevant for teacher education to address learners’ diverse learning needs, as well as to promote active and creative engagement.","author":[{"dropping-particle":"","family":"Runge","given":"Isabell","non-dropping-particle":"","parse-names":false,"suffix":""},{"dropping-particle":"","family":"Lazarides","given":"Rebecca","non-dropping-particle":"","parse-names":false,"suffix":""},{"dropping-particle":"","family":"Rubach","given":"Charlott","non-dropping-particle":"","parse-names":false,"suffix":""},{"dropping-particle":"","family":"Richter","given":"Dirk","non-dropping-particle":"","parse-names":false,"suffix":""},{"dropping-particle":"","family":"Scheiter","given":"Katharina","non-dropping-particle":"","parse-names":false,"suffix":""}],"container-title":"Computers &amp; Education","id":"ITEM-1","issued":{"date-parts":[["2023","6","1"]]},"page":"104761","publisher":"Pergamon","title":"Teacher-reported instructional quality in the context of technology-enhanced teaching: The role of teachers’ digital competence-related beliefs in empowering learners","type":"article-journal","volume":"198"},"uris":["http://www.mendeley.com/documents/?uuid=9adb0267-5d3f-39b1-adbc-2987889ad35f"]}],"mendeley":{"formattedCitation":"(Runge et al., 2023)","plainTextFormattedCitation":"(Runge et al., 2023)","previouslyFormattedCitation":"(Runge et al., 2023)"},"properties":{"noteIndex":0},"schema":"https://github.com/citation-style-language/schema/raw/master/csl-citation.json"}</w:instrText>
      </w:r>
      <w:r>
        <w:rPr>
          <w:bCs/>
        </w:rPr>
        <w:fldChar w:fldCharType="separate"/>
      </w:r>
      <w:r>
        <w:rPr>
          <w:bCs/>
        </w:rPr>
        <w:t>(Runge et al., 2023;Arstorp et al., 2024)</w:t>
      </w:r>
      <w:r>
        <w:rPr>
          <w:bCs/>
        </w:rPr>
        <w:fldChar w:fldCharType="end"/>
      </w:r>
      <w:r>
        <w:rPr>
          <w:bCs/>
        </w:rPr>
        <w:t>.</w:t>
      </w:r>
    </w:p>
    <w:p w:rsidR="00FE2C48" w:rsidRDefault="00FE2C48" w:rsidP="00FE2C48">
      <w:pPr>
        <w:jc w:val="both"/>
        <w:rPr>
          <w:bCs/>
        </w:rPr>
      </w:pPr>
      <w:r>
        <w:rPr>
          <w:b/>
        </w:rPr>
        <w:t>H2</w:t>
      </w:r>
      <w:proofErr w:type="gramStart"/>
      <w:r>
        <w:rPr>
          <w:bCs/>
        </w:rPr>
        <w:t>:Intrinsic</w:t>
      </w:r>
      <w:proofErr w:type="gramEnd"/>
      <w:r>
        <w:rPr>
          <w:bCs/>
        </w:rPr>
        <w:t xml:space="preserve"> satisfaction (IS) positively influences teacher performance (TP).</w:t>
      </w:r>
    </w:p>
    <w:p w:rsidR="00FE2C48" w:rsidRDefault="00FE2C48" w:rsidP="00FE2C48">
      <w:pPr>
        <w:ind w:firstLine="720"/>
        <w:jc w:val="both"/>
        <w:rPr>
          <w:bCs/>
        </w:rPr>
      </w:pPr>
      <w:r>
        <w:rPr>
          <w:bCs/>
        </w:rPr>
        <w:t xml:space="preserve">Intrinsic factors strongly shape teachers’ positive perceptions of their performance, particularly through meaningful work and personal achievement </w:t>
      </w:r>
      <w:r>
        <w:rPr>
          <w:bCs/>
        </w:rPr>
        <w:fldChar w:fldCharType="begin" w:fldLock="1"/>
      </w:r>
      <w:r>
        <w:rPr>
          <w:bCs/>
        </w:rPr>
        <w:instrText>ADDIN CSL_CITATION {"citationItems":[{"id":"ITEM-1","itemData":{"DOI":"10.1007/s10758-024-09799-2","ISSN":"2211-1662","abstract":"&lt;p&gt;Blended learning modes are becoming the norm in educational institutions. This research investigates the factors affecting teacher satisfaction with online lesson delivery. This study was undertaken in primary, secondary, and higher education institutions across ten countries worldwide. A total of 247 teachers responded to the survey. This work innovatively validates a two-factor model of teacher satisfaction with online teaching, grounded in Herzberg’s two-factor theory. A first-order confirmatory factor analysis (CFA) was used to validate the constructs, followed by a second-order exploratory factor analysis (EFA) to identify key drivers of teacher satisfaction. The results showed that there were two key hidden drivers of teacher satisfaction i.e., intrinsic factor and extrinsic factor. The two factors explained 75% of the variance in teacher satisfaction. Teachers reported higher satisfaction due to the flexibility and work-life balance that online teaching affords, while dissatisfaction stemmed from institutional policies and insufficient incentives. It was observed that STEM teachers and older educators had lower satisfaction and higher technology anxiety. These insights have potential applications beyond online teaching, extending to teacher satisfaction in physical classroom settings.&lt;/p&gt;","author":[{"dropping-particle":"","family":"Yan","given":"Ning","non-dropping-particle":"","parse-names":false,"suffix":""},{"dropping-particle":"","family":"Batako","given":"Andre","non-dropping-particle":"","parse-names":false,"suffix":""},{"dropping-particle":"","family":"Czanner","given":"Gabriela","non-dropping-particle":"","parse-names":false,"suffix":""},{"dropping-particle":"","family":"Zhang","given":"Aiping","non-dropping-particle":"","parse-names":false,"suffix":""}],"container-title":"Technology, Knowledge and Learning","id":"ITEM-1","issue":"2","issued":{"date-parts":[["2025","6","20"]]},"page":"711-739","title":"Teacher Satisfaction in Online Education: A Two-Factor Model of Extrinsic and Intrinsic Factors Across Diverse Contexts","type":"article-journal","volume":"30"},"uris":["http://www.mendeley.com/documents/?uuid=6fc9c82b-200d-3c65-b19f-7afb280513ba"]}],"mendeley":{"formattedCitation":"(Yan et al., 2025)","plainTextFormattedCitation":"(Yan et al., 2025)","previouslyFormattedCitation":"(Yan et al., 2025)"},"properties":{"noteIndex":0},"schema":"https://github.com/citation-style-language/schema/raw/master/csl-citation.json"}</w:instrText>
      </w:r>
      <w:r>
        <w:rPr>
          <w:bCs/>
        </w:rPr>
        <w:fldChar w:fldCharType="separate"/>
      </w:r>
      <w:r>
        <w:rPr>
          <w:bCs/>
        </w:rPr>
        <w:t>(Yan et al., 2025)</w:t>
      </w:r>
      <w:r>
        <w:rPr>
          <w:bCs/>
        </w:rPr>
        <w:fldChar w:fldCharType="end"/>
      </w:r>
      <w:r>
        <w:rPr>
          <w:bCs/>
        </w:rPr>
        <w:t xml:space="preserve">. Teachers with high intrinsic satisfaction tend to view their teaching more positively and improve professional performance </w:t>
      </w:r>
      <w:r>
        <w:rPr>
          <w:bCs/>
        </w:rPr>
        <w:fldChar w:fldCharType="begin" w:fldLock="1"/>
      </w:r>
      <w:r>
        <w:rPr>
          <w:bCs/>
        </w:rPr>
        <w:instrText>ADDIN CSL_CITATION {"citationItems":[{"id":"ITEM-1","itemData":{"DOI":"10.1016/j.heliyon.2021.e07193","ISSN":"24058440","author":[{"dropping-particle":"","family":"Sadeghi","given":"Karim","non-dropping-particle":"","parse-names":false,"suffix":""},{"dropping-particle":"","family":"Ghaderi","given":"Farah","non-dropping-particle":"","parse-names":false,"suffix":""},{"dropping-particle":"","family":"Abdollahpour","given":"Zahra","non-dropping-particle":"","parse-names":false,"suffix":""}],"container-title":"Heliyon","id":"ITEM-1","issue":"6","issued":{"date-parts":[["2021","6"]]},"page":"e07193","title":"Self-reported teaching effectiveness and job satisfaction among teachers: the role of subject matter and other demographic variables","type":"article-journal","volume":"7"},"uris":["http://www.mendeley.com/documents/?uuid=98133c20-9758-3c35-8ed0-5446ba4459fd"]}],"mendeley":{"formattedCitation":"(Sadeghi et al., 2021)","plainTextFormattedCitation":"(Sadeghi et al., 2021)","previouslyFormattedCitation":"(Sadeghi et al., 2021)"},"properties":{"noteIndex":0},"schema":"https://github.com/citation-style-language/schema/raw/master/csl-citation.json"}</w:instrText>
      </w:r>
      <w:r>
        <w:rPr>
          <w:bCs/>
        </w:rPr>
        <w:fldChar w:fldCharType="separate"/>
      </w:r>
      <w:r>
        <w:rPr>
          <w:bCs/>
        </w:rPr>
        <w:t>(Sadeghi et al., 2021)</w:t>
      </w:r>
      <w:r>
        <w:rPr>
          <w:bCs/>
        </w:rPr>
        <w:fldChar w:fldCharType="end"/>
      </w:r>
      <w:r>
        <w:rPr>
          <w:bCs/>
        </w:rPr>
        <w:t xml:space="preserve">. It boosts motivation, engagement, and performance </w:t>
      </w:r>
      <w:r>
        <w:rPr>
          <w:bCs/>
        </w:rPr>
        <w:fldChar w:fldCharType="begin" w:fldLock="1"/>
      </w:r>
      <w:r>
        <w:rPr>
          <w:bCs/>
        </w:rPr>
        <w:instrText>ADDIN CSL_CITATION {"citationItems":[{"id":"ITEM-1","itemData":{"DOI":"10.1007/s10648-023-09831-4","ISSN":"1040-726X","abstract":"Job satisfaction has long been discussed as an important factor determining individual behavior at work. To what extent this relationship is also evident in the teaching profession is especially relevant given the manifold job tasks and tremendous responsibility teachers bear for the development of their students. From a theoretical perspective, teachers’ job satisfaction should be negatively related to turnover intentions and absenteeism, and positively to high-quality teacher-student interactions (i.e., emotional support, classroom management, and instructional support), enhanced student motivation, and achievement. This research synthesis provides a comprehensive overview of the relationship between teachers’ job satisfaction and these variables. A systematic literature search yielded 105 records. Random-effects meta-analyses supported the theoretically postulated relationships between teachers’ job satisfaction and their turnover intentions, absenteeism, teacher-student interactions, and students’ outcomes. Effects were significant not only for teachers’ self-reports of their professional performance, but also for external reports. On the basis of the research synthesis, we discuss theoretical, conceptual, and methodological considerations that inform future research and prospective intervention approaches.","author":[{"dropping-particle":"","family":"Wartenberg","given":"Gyde","non-dropping-particle":"","parse-names":false,"suffix":""},{"dropping-particle":"","family":"Aldrup","given":"Karen","non-dropping-particle":"","parse-names":false,"suffix":""},{"dropping-particle":"","family":"Grund","given":"Simon","non-dropping-particle":"","parse-names":false,"suffix":""},{"dropping-particle":"","family":"Klusmann","given":"Uta","non-dropping-particle":"","parse-names":false,"suffix":""}],"container-title":"Educational Psychology Review","id":"ITEM-1","issue":"4","issued":{"date-parts":[["2023","12","7"]]},"page":"114","title":"Satisfied and High Performing? A Meta-Analysis and Systematic Review of the Correlates of Teachers’ Job Satisfaction","type":"article-journal","volume":"35"},"uris":["http://www.mendeley.com/documents/?uuid=42acc445-3259-3682-9dbe-db213b13ae78"]}],"mendeley":{"formattedCitation":"(Wartenberg et al., 2023)","plainTextFormattedCitation":"(Wartenberg et al., 2023)","previouslyFormattedCitation":"(Wartenberg et al., 2023)"},"properties":{"noteIndex":0},"schema":"https://github.com/citation-style-language/schema/raw/master/csl-citation.json"}</w:instrText>
      </w:r>
      <w:r>
        <w:rPr>
          <w:bCs/>
        </w:rPr>
        <w:fldChar w:fldCharType="separate"/>
      </w:r>
      <w:r>
        <w:rPr>
          <w:bCs/>
        </w:rPr>
        <w:t>(Wartenberg et al., 2023)</w:t>
      </w:r>
      <w:r>
        <w:rPr>
          <w:bCs/>
        </w:rPr>
        <w:fldChar w:fldCharType="end"/>
      </w:r>
      <w:r>
        <w:rPr>
          <w:bCs/>
        </w:rPr>
        <w:t>.</w:t>
      </w:r>
    </w:p>
    <w:p w:rsidR="00FE2C48" w:rsidRDefault="00FE2C48" w:rsidP="00FE2C48">
      <w:pPr>
        <w:jc w:val="both"/>
        <w:rPr>
          <w:bCs/>
        </w:rPr>
      </w:pPr>
      <w:r>
        <w:rPr>
          <w:b/>
        </w:rPr>
        <w:t>H3</w:t>
      </w:r>
      <w:proofErr w:type="gramStart"/>
      <w:r>
        <w:rPr>
          <w:bCs/>
        </w:rPr>
        <w:t>:Digital</w:t>
      </w:r>
      <w:proofErr w:type="gramEnd"/>
      <w:r>
        <w:rPr>
          <w:bCs/>
        </w:rPr>
        <w:t xml:space="preserve"> competence (DC) positively influences intrinsic satisfaction (IS).</w:t>
      </w:r>
    </w:p>
    <w:p w:rsidR="00FE2C48" w:rsidRDefault="00FE2C48" w:rsidP="00FE2C48">
      <w:pPr>
        <w:ind w:firstLine="720"/>
        <w:jc w:val="both"/>
        <w:rPr>
          <w:bCs/>
        </w:rPr>
      </w:pPr>
      <w:r>
        <w:rPr>
          <w:bCs/>
        </w:rPr>
        <w:t xml:space="preserve">Digital competence improves self-confidence, intrinsic satisfaction, and professional achievement </w:t>
      </w:r>
      <w:r>
        <w:rPr>
          <w:bCs/>
        </w:rPr>
        <w:fldChar w:fldCharType="begin" w:fldLock="1"/>
      </w:r>
      <w:r>
        <w:rPr>
          <w:bCs/>
        </w:rPr>
        <w:instrText>ADDIN CSL_CITATION {"citationItems":[{"id":"ITEM-1","itemData":{"DOI":"10.1002/per.2274","ISSN":"0890-2070","abstract":"&lt;p&gt; The purpose of the study was to examine longitudinally how intrinsic and extrinsic values develop during preadolescence within a mother-child context by comparing three different developmental pathways—direct value transmission, indirect value transmission, and value origination. Two hundred and thirty-three Korean mother—child dyads of late elementary students (M &lt;sub&gt;age&lt;/sub&gt;  = 11.4 years; 55% girls) participated in a year-long online questionnaire survey. A longitudinal structural equation modelling analysis revealed two contrasting developmental pathways for intrinsic and extrinsic values in preadolescents. Intrinsic values developed via value origination, while extrinsic values developed via direct transmission. In other words, intrinsic values originated from the child's own inner psychological experiences and developed in accordance with changes in psychological needs satisfaction, whereas extrinsic values were transmitted from mothers in accordance with the degree to which they endorsed extrinsic values. &lt;/p&gt;","author":[{"dropping-particle":"","family":"Ahn","given":"Jiseul Sophia","non-dropping-particle":"","parse-names":false,"suffix":""},{"dropping-particle":"","family":"Reeve","given":"Johnmarshall","non-dropping-particle":"","parse-names":false,"suffix":""}],"container-title":"European Journal of Personality","id":"ITEM-1","issue":"2","issued":{"date-parts":[["2021","3","2"]]},"page":"151-167","title":"Developmental pathways of preadolescents' intrinsic and extrinsic values: The role of basic psychological needs satisfaction","type":"article-journal","volume":"35"},"uris":["http://www.mendeley.com/documents/?uuid=e0dd5fe7-15d2-35c7-8ddc-0f125ddbba02"]}],"mendeley":{"formattedCitation":"(Ahn &amp; Reeve, 2021)","plainTextFormattedCitation":"(Ahn &amp; Reeve, 2021)","previouslyFormattedCitation":"(Ahn &amp; Reeve, 2021)"},"properties":{"noteIndex":0},"schema":"https://github.com/citation-style-language/schema/raw/master/csl-citation.json"}</w:instrText>
      </w:r>
      <w:r>
        <w:rPr>
          <w:bCs/>
        </w:rPr>
        <w:fldChar w:fldCharType="separate"/>
      </w:r>
      <w:r>
        <w:rPr>
          <w:bCs/>
        </w:rPr>
        <w:t>(Ahn &amp; Reeve, 2021;Antonietti et al., 2022)</w:t>
      </w:r>
      <w:r>
        <w:rPr>
          <w:bCs/>
        </w:rPr>
        <w:fldChar w:fldCharType="end"/>
      </w:r>
      <w:r>
        <w:rPr>
          <w:bCs/>
        </w:rPr>
        <w:t xml:space="preserve">. Technology mastery enhances job meaningfulness, autonomy, and motivation, while confident digital use strengthens self-efficacy and professional growth </w:t>
      </w:r>
      <w:r>
        <w:rPr>
          <w:bCs/>
        </w:rPr>
        <w:fldChar w:fldCharType="begin" w:fldLock="1"/>
      </w:r>
      <w:r>
        <w:rPr>
          <w:bCs/>
        </w:rPr>
        <w:instrText>ADDIN CSL_CITATION {"citationItems":[{"id":"ITEM-1","itemData":{"DOI":"10.1109/RITA.2024.3368328","ISSN":"1932-8540","author":[{"dropping-particle":"","family":"Santa-Cruz-Espinoza","given":"Henry","non-dropping-particle":"","parse-names":false,"suffix":""},{"dropping-particle":"","family":"Puga","given":"Nancy Barazorda","non-dropping-particle":"","parse-names":false,"suffix":""},{"dropping-particle":"","family":"Olivares","given":"Jorge Antonio Crisostomo","non-dropping-particle":"","parse-names":false,"suffix":""},{"dropping-particle":"","family":"Carhuatocto","given":"Jeannina Del Alva Huaman","non-dropping-particle":"","parse-names":false,"suffix":""},{"dropping-particle":"","family":"Rebaza","given":"Luis Enrique Arenas","non-dropping-particle":"","parse-names":false,"suffix":""},{"dropping-particle":"","family":"Chávez-Ventura","given":"Gina","non-dropping-particle":"","parse-names":false,"suffix":""}],"container-title":"IEEE Revista Iberoamericana de Tecnologias del Aprendizaje","id":"ITEM-1","issued":{"date-parts":[["2024"]]},"page":"33-38","title":"Analysis and Validity Evidence of the Digital Competence Questionnaire for Peruvian Teachers","type":"article-journal","volume":"19"},"uris":["http://www.mendeley.com/documents/?uuid=c756fe77-b1d9-3d95-b2f6-2a233c881a42"]}],"mendeley":{"formattedCitation":"(Santa-Cruz-Espinoza et al., 2024)","plainTextFormattedCitation":"(Santa-Cruz-Espinoza et al., 2024)","previouslyFormattedCitation":"(Santa-Cruz-Espinoza et al., 2024)"},"properties":{"noteIndex":0},"schema":"https://github.com/citation-style-language/schema/raw/master/csl-citation.json"}</w:instrText>
      </w:r>
      <w:r>
        <w:rPr>
          <w:bCs/>
        </w:rPr>
        <w:fldChar w:fldCharType="separate"/>
      </w:r>
      <w:r>
        <w:rPr>
          <w:bCs/>
        </w:rPr>
        <w:t>(Santa-Cruz-Espinoza et al., 2024)</w:t>
      </w:r>
      <w:r>
        <w:rPr>
          <w:bCs/>
        </w:rPr>
        <w:fldChar w:fldCharType="end"/>
      </w:r>
      <w:r>
        <w:rPr>
          <w:bCs/>
        </w:rPr>
        <w:t>.</w:t>
      </w:r>
    </w:p>
    <w:p w:rsidR="00FE2C48" w:rsidRDefault="00FE2C48" w:rsidP="00FE2C48">
      <w:pPr>
        <w:spacing w:after="60"/>
        <w:jc w:val="both"/>
        <w:rPr>
          <w:bCs/>
        </w:rPr>
      </w:pPr>
      <w:r>
        <w:rPr>
          <w:b/>
        </w:rPr>
        <w:t>H4</w:t>
      </w:r>
      <w:r>
        <w:rPr>
          <w:bCs/>
        </w:rPr>
        <w:t>: Digital competence (DC) positively influences Leader–Member Exchange (LMX).</w:t>
      </w:r>
    </w:p>
    <w:p w:rsidR="00FE2C48" w:rsidRDefault="00FE2C48" w:rsidP="00FE2C48">
      <w:pPr>
        <w:spacing w:after="60"/>
        <w:ind w:firstLine="720"/>
        <w:jc w:val="both"/>
        <w:rPr>
          <w:bCs/>
        </w:rPr>
      </w:pPr>
      <w:r>
        <w:rPr>
          <w:bCs/>
        </w:rPr>
        <w:t xml:space="preserve">Digital competence strengthens relationships and teamwork </w:t>
      </w:r>
      <w:r>
        <w:rPr>
          <w:bCs/>
        </w:rPr>
        <w:fldChar w:fldCharType="begin" w:fldLock="1"/>
      </w:r>
      <w:r>
        <w:rPr>
          <w:bCs/>
        </w:rPr>
        <w:instrText>ADDIN CSL_CITATION {"citationItems":[{"id":"ITEM-1","itemData":{"DOI":"10.1108/MD-04-2023-0654","ISSN":"0025-1747","author":[{"dropping-particle":"","family":"Ahmed","given":"Farooq","non-dropping-particle":"","parse-names":false,"suffix":""},{"dropping-particle":"","family":"Naqshbandi","given":"M. Muzamil","non-dropping-particle":"","parse-names":false,"suffix":""},{"dropping-particle":"","family":"Waheed","given":"Mehwish","non-dropping-particle":"","parse-names":false,"suffix":""},{"dropping-particle":"","family":"Ain","given":"Noor ul","non-dropping-particle":"","parse-names":false,"suffix":""}],"container-title":"Management Decision","id":"ITEM-1","issue":"11","issued":{"date-parts":[["2024","12","11"]]},"page":"3607-3632","title":"Digital leadership and innovative work behavior: impact of LMX, learning orientation and innovation capabilities","type":"article-journal","volume":"62"},"uris":["http://www.mendeley.com/documents/?uuid=a788aa48-f21b-301c-aadc-daaed896766e"]}],"mendeley":{"formattedCitation":"(Ahmed et al., 2024)","plainTextFormattedCitation":"(Ahmed et al., 2024)","previouslyFormattedCitation":"(Ahmed et al., 2024)"},"properties":{"noteIndex":0},"schema":"https://github.com/citation-style-language/schema/raw/master/csl-citation.json"}</w:instrText>
      </w:r>
      <w:r>
        <w:rPr>
          <w:bCs/>
        </w:rPr>
        <w:fldChar w:fldCharType="separate"/>
      </w:r>
      <w:r>
        <w:rPr>
          <w:bCs/>
        </w:rPr>
        <w:t>(Ahmed et al., 2024; Huaman et al., 2021)</w:t>
      </w:r>
      <w:r>
        <w:rPr>
          <w:bCs/>
        </w:rPr>
        <w:fldChar w:fldCharType="end"/>
      </w:r>
      <w:r>
        <w:rPr>
          <w:bCs/>
        </w:rPr>
        <w:t xml:space="preserve">, supports collaboration, trust, and communication </w:t>
      </w:r>
      <w:r>
        <w:rPr>
          <w:bCs/>
        </w:rPr>
        <w:fldChar w:fldCharType="begin" w:fldLock="1"/>
      </w:r>
      <w:r>
        <w:rPr>
          <w:bCs/>
        </w:rPr>
        <w:instrText>ADDIN CSL_CITATION {"citationItems":[{"id":"ITEM-1","itemData":{"DOI":"10.1108/IJLLS-05-2021-0045","ISSN":"2046-8253","author":[{"dropping-particle":"","family":"Isoda","given":"Masami","non-dropping-particle":"","parse-names":false,"suffix":""},{"dropping-particle":"","family":"Estrella","given":"Soledad","non-dropping-particle":"","parse-names":false,"suffix":""},{"dropping-particle":"","family":"Zakaryan","given":"Diana","non-dropping-particle":"","parse-names":false,"suffix":""},{"dropping-particle":"","family":"Baldin","given":"Yuriko","non-dropping-particle":"","parse-names":false,"suffix":""},{"dropping-particle":"","family":"Olfos","given":"Raimundo","non-dropping-particle":"","parse-names":false,"suffix":""},{"dropping-particle":"","family":"Araya","given":"Roberto","non-dropping-particle":"","parse-names":false,"suffix":""}],"container-title":"International Journal for Lesson &amp; Learning Studies","id":"ITEM-1","issue":"4","issued":{"date-parts":[["2021","11","18"]]},"page":"362-377","title":"Digital competence of a teacher involved in the implementation of a cross-border lesson for classrooms in Brazil and Chile","type":"article-journal","volume":"10"},"uris":["http://www.mendeley.com/documents/?uuid=5c8133d0-643d-36a8-bb62-5578cd7e63be"]}],"mendeley":{"formattedCitation":"(Isoda et al., 2021)","plainTextFormattedCitation":"(Isoda et al., 2021)","previouslyFormattedCitation":"(Isoda et al., 2021)"},"properties":{"noteIndex":0},"schema":"https://github.com/citation-style-language/schema/raw/master/csl-citation.json"}</w:instrText>
      </w:r>
      <w:r>
        <w:rPr>
          <w:bCs/>
        </w:rPr>
        <w:fldChar w:fldCharType="separate"/>
      </w:r>
      <w:r>
        <w:rPr>
          <w:bCs/>
        </w:rPr>
        <w:t>(Isoda et al., 2021; García-Vandewalle García et al., 2023)</w:t>
      </w:r>
      <w:r>
        <w:rPr>
          <w:bCs/>
        </w:rPr>
        <w:fldChar w:fldCharType="end"/>
      </w:r>
      <w:r>
        <w:rPr>
          <w:bCs/>
        </w:rPr>
        <w:t xml:space="preserve">, and in education fosters positive, supportive teacher–leader interactions </w:t>
      </w:r>
      <w:r>
        <w:rPr>
          <w:bCs/>
        </w:rPr>
        <w:fldChar w:fldCharType="begin" w:fldLock="1"/>
      </w:r>
      <w:r>
        <w:rPr>
          <w:bCs/>
        </w:rPr>
        <w:instrText>ADDIN CSL_CITATION {"citationItems":[{"id":"ITEM-1","itemData":{"DOI":"10.3389/fpsyg.2022.1065545","abstract":"Introduction: In the aftermath of global pandemic of COVID-19, many sectors faced severe challenges to maintain security, health (psychological, and physical), and steer through the crisis by supporting the society. Methods: Through a quantitative approach a total of 250 surveys were distributed after a pilot test. Specifically, this research gathers data from 178 (71.2% response rate) university teachers from different universities across Palestine via surveys that address the role of empowering leaders on job satisfaction among teachers. The proposed model of the research was analyzed using Smart-PLS and PLS-SEM technique. Discussion and Results: The academic sector was disrupted and faced extreme changes during the pandemic, rendering teachers vulnerable and thus, role of leaders more crucial. Building on job demand-resources model, and social exchange theory, the current study examines the moderating effect of leader-member exchange (LMX) for increasing job satisfaction that can lead to enhanced overall wellbeing in the academic setting. Additionally, the mediating role of trust in leader is focused as a vital psychological element. While the results show a significantly positive effect on job satisfaction in the presence of empowering leaders, the moderating role of LMX alongside mediating impact of trust are observed. This implies that empowering leaders are highly influential in enhancing workplace for university teachers in the post-pandemic era.","author":[{"dropping-particle":"","family":"Horoub","given":"Ibrahim","non-dropping-particle":"","parse-names":false,"suffix":""},{"dropping-particle":"","family":"Zargar","given":"Pouya","non-dropping-particle":"","parse-names":false,"suffix":""}],"id":"ITEM-1","issued":{"date-parts":[["2022"]]},"title":"Empowering leadership and job satisfaction of academic staff in Palestinian universities: Implications of leader-member exchange and trust in leader","type":"article-journal"},"uris":["http://www.mendeley.com/documents/?uuid=1252d868-c102-30dc-821d-c139b3decbbd"]}],"mendeley":{"formattedCitation":"(Horoub &amp; Zargar, 2022)","plainTextFormattedCitation":"(Horoub &amp; Zargar, 2022)","previouslyFormattedCitation":"(Horoub &amp; Zargar, 2022)"},"properties":{"noteIndex":0},"schema":"https://github.com/citation-style-language/schema/raw/master/csl-citation.json"}</w:instrText>
      </w:r>
      <w:r>
        <w:rPr>
          <w:bCs/>
        </w:rPr>
        <w:fldChar w:fldCharType="separate"/>
      </w:r>
      <w:r>
        <w:rPr>
          <w:bCs/>
        </w:rPr>
        <w:t>(Horoub &amp; Zargar, 2022)</w:t>
      </w:r>
      <w:r>
        <w:rPr>
          <w:bCs/>
        </w:rPr>
        <w:fldChar w:fldCharType="end"/>
      </w:r>
      <w:r>
        <w:rPr>
          <w:bCs/>
        </w:rPr>
        <w:t>.</w:t>
      </w:r>
    </w:p>
    <w:p w:rsidR="00FE2C48" w:rsidRDefault="00FE2C48" w:rsidP="00FE2C48">
      <w:pPr>
        <w:spacing w:after="60"/>
        <w:jc w:val="both"/>
        <w:rPr>
          <w:bCs/>
        </w:rPr>
      </w:pPr>
      <w:r>
        <w:rPr>
          <w:b/>
        </w:rPr>
        <w:t>H5</w:t>
      </w:r>
      <w:proofErr w:type="gramStart"/>
      <w:r>
        <w:rPr>
          <w:bCs/>
        </w:rPr>
        <w:t>:Intrinsic</w:t>
      </w:r>
      <w:proofErr w:type="gramEnd"/>
      <w:r>
        <w:rPr>
          <w:bCs/>
        </w:rPr>
        <w:t xml:space="preserve"> satisfaction (IS) positively influences Leader–Member Exchange (LMX).</w:t>
      </w:r>
    </w:p>
    <w:p w:rsidR="00FE2C48" w:rsidRDefault="00FE2C48" w:rsidP="00FE2C48">
      <w:pPr>
        <w:ind w:firstLine="720"/>
        <w:jc w:val="both"/>
        <w:rPr>
          <w:bCs/>
        </w:rPr>
      </w:pPr>
      <w:r>
        <w:rPr>
          <w:bCs/>
        </w:rPr>
        <w:t xml:space="preserve">Intrinsic satisfaction from feeling valued and achieving professionally fosters high-quality leader–member relationships </w:t>
      </w:r>
      <w:r>
        <w:rPr>
          <w:bCs/>
        </w:rPr>
        <w:fldChar w:fldCharType="begin" w:fldLock="1"/>
      </w:r>
      <w:r>
        <w:rPr>
          <w:bCs/>
        </w:rPr>
        <w:instrText>ADDIN CSL_CITATION {"citationItems":[{"id":"ITEM-1","itemData":{"DOI":"10.3390/ijerph18105307","ISSN":"1660-4601","abstract":"&lt;p&gt;This study explores the effects of despotic leadership (DL) on employee job satisfaction (JS) using self-efficacy (SE) as a mediating variable and leader–member exchange (LMX) as a moderated variable. Building on the social learning and social exchange theory, our research proposes a research model. In this model, despotic leadership affects employee job satisfaction both directly and indirectly through self-efficacy and leader–member exchange. We used a questionnaire survey analysis approach to collect data. Data were collected from the employees of small- and medium-sized enterprises (SMEs) located in Guangdong Province, P.R. China. A pilot test of 20 participants with similar demographics as the final sample was performed to test the usability of the questionnaire. We distributed 500 questionnaires among the target population. In total, 230 usable questionnaires were returned, resulting in a response rate of 53%. To estimate the proposed relationships in the theoretical framework, we used SPSS and AMOS. The results of this study confirmed that despotic leadership has a negative impact on employee job satisfaction. Moreover, the outcomes of this study indicate that self-efficacy has a mediating effect between despotic leadership and employee job satisfaction. Similarly, the results also confirm that LMX has a moderating effect between despotic leadership and employee self-efficacy. Therefore, we conclude that the community is understanding of the mechanism of despotic leadership, identify the mechanism to effectively deal with its negative effects, broaden the relevant research on the antecedent variable of self-efficacy, and provide practical enlightenment enterprises to retain and employ people.&lt;/p&gt;","author":[{"dropping-particle":"","family":"Zhou","given":"Xiang","non-dropping-particle":"","parse-names":false,"suffix":""},{"dropping-particle":"","family":"Rasool","given":"Samma Faiz","non-dropping-particle":"","parse-names":false,"suffix":""},{"dropping-particle":"","family":"Yang","given":"Jing","non-dropping-particle":"","parse-names":false,"suffix":""},{"dropping-particle":"","family":"Asghar","given":"Muhammad Zaheer","non-dropping-particle":"","parse-names":false,"suffix":""}],"container-title":"International Journal of Environmental Research and Public Health","id":"ITEM-1","issue":"10","issued":{"date-parts":[["2021","5","17"]]},"page":"5307","title":"Exploring the Relationship between Despotic Leadership and Job Satisfaction: The Role of Self Efficacy and Leader–Member Exchange","type":"article-journal","volume":"18"},"uris":["http://www.mendeley.com/documents/?uuid=2e52191e-8065-3c48-a847-705eb1996f04"]}],"mendeley":{"formattedCitation":"(Zhou et al., 2021)","plainTextFormattedCitation":"(Zhou et al., 2021)","previouslyFormattedCitation":"(Zhou et al., 2021)"},"properties":{"noteIndex":0},"schema":"https://github.com/citation-style-language/schema/raw/master/csl-citation.json"}</w:instrText>
      </w:r>
      <w:r>
        <w:rPr>
          <w:bCs/>
        </w:rPr>
        <w:fldChar w:fldCharType="separate"/>
      </w:r>
      <w:r>
        <w:rPr>
          <w:bCs/>
        </w:rPr>
        <w:t>(Zhou et al., 2021;Campina et al., 2022</w:t>
      </w:r>
      <w:r w:rsidR="007B1861">
        <w:rPr>
          <w:bCs/>
        </w:rPr>
        <w:t xml:space="preserve">; </w:t>
      </w:r>
      <w:proofErr w:type="spellStart"/>
      <w:r w:rsidR="007B1861">
        <w:rPr>
          <w:bCs/>
        </w:rPr>
        <w:t>suseno</w:t>
      </w:r>
      <w:proofErr w:type="spellEnd"/>
      <w:r w:rsidR="007B1861">
        <w:rPr>
          <w:bCs/>
        </w:rPr>
        <w:t xml:space="preserve"> et al. 2024</w:t>
      </w:r>
      <w:bookmarkStart w:id="0" w:name="_GoBack"/>
      <w:bookmarkEnd w:id="0"/>
      <w:r>
        <w:rPr>
          <w:bCs/>
        </w:rPr>
        <w:t>)</w:t>
      </w:r>
      <w:r>
        <w:rPr>
          <w:bCs/>
        </w:rPr>
        <w:fldChar w:fldCharType="end"/>
      </w:r>
      <w:r>
        <w:rPr>
          <w:bCs/>
        </w:rPr>
        <w:t xml:space="preserve">. It strengthens psychological safety, self-confidence, and meaningful work behavior, as satisfied leaders and teachers build positive bonds within the organization </w:t>
      </w:r>
      <w:r>
        <w:rPr>
          <w:bCs/>
        </w:rPr>
        <w:fldChar w:fldCharType="begin" w:fldLock="1"/>
      </w:r>
      <w:r>
        <w:rPr>
          <w:bCs/>
        </w:rPr>
        <w:instrText>ADDIN CSL_CITATION {"citationItems":[{"id":"ITEM-1","itemData":{"DOI":"10.1186/s40359-024-01668-y","ISSN":"2050-7283","abstract":"&lt;p&gt;Humble leadership has gained attention in recent years due to its potential impact on employee performance. This study explores the association between humble leadership and follower innovative behavior by investigating the moderating role of core self-evaluation (CSE) and the mediating role of leader-member exchange (LMX). The study uses data from 328 followers and their immediate leaders to test a mediated moderation model. Results show that there is a favorable association between humble leadership and LMX and followers’ innovative behavior, particularly pronounced for followers who possess lower levels of CSE. The findings suggest that humble leaders should focus their development efforts on followers with low CSE to achieve complementarity congruity and improved innovation. This research enhances the existing body of knowledge by emphasizing the significance of comprehending the functions of relational procedures and the psychological resources of followers in determining the effectiveness of humble leadership. These findings have practical implications for organizations seeking to enhance their leadership effectiveness and followers’ innovative behavior.&lt;/p&gt;","author":[{"dropping-particle":"","family":"Wang","given":"Gaofeng","non-dropping-particle":"","parse-names":false,"suffix":""},{"dropping-particle":"","family":"Saher","given":"Laiba","non-dropping-particle":"","parse-names":false,"suffix":""},{"dropping-particle":"","family":"Hao","given":"Tang","non-dropping-particle":"","parse-names":false,"suffix":""},{"dropping-particle":"","family":"Ali","given":"Asad","non-dropping-particle":"","parse-names":false,"suffix":""},{"dropping-particle":"","family":"Amin","given":"Muhammad Waqas","non-dropping-particle":"","parse-names":false,"suffix":""}],"container-title":"BMC Psychology","id":"ITEM-1","issue":"1","issued":{"date-parts":[["2024","3","26"]]},"page":"175","title":"Unlocking employee innovative behavior: the role of humble leadership, core self-evaluation, and leader-member exchange","type":"article-journal","volume":"12"},"uris":["http://www.mendeley.com/documents/?uuid=94ba7f08-c4f2-3f4e-8d63-14b9d7ffc257"]}],"mendeley":{"formattedCitation":"(Wang et al., 2024)","plainTextFormattedCitation":"(Wang et al., 2024)","previouslyFormattedCitation":"(Wang et al., 2024)"},"properties":{"noteIndex":0},"schema":"https://github.com/citation-style-language/schema/raw/master/csl-citation.json"}</w:instrText>
      </w:r>
      <w:r>
        <w:rPr>
          <w:bCs/>
        </w:rPr>
        <w:fldChar w:fldCharType="separate"/>
      </w:r>
      <w:r>
        <w:rPr>
          <w:bCs/>
        </w:rPr>
        <w:t>(Wang et al., 2024; Bennouna et al., 2025; Rice et al., 2024)</w:t>
      </w:r>
      <w:r>
        <w:rPr>
          <w:bCs/>
        </w:rPr>
        <w:fldChar w:fldCharType="end"/>
      </w:r>
      <w:r>
        <w:rPr>
          <w:bCs/>
        </w:rPr>
        <w:t>.</w:t>
      </w:r>
    </w:p>
    <w:p w:rsidR="00FE2C48" w:rsidRDefault="00FE2C48" w:rsidP="00FE2C48">
      <w:pPr>
        <w:spacing w:after="60"/>
        <w:jc w:val="both"/>
        <w:rPr>
          <w:bCs/>
        </w:rPr>
      </w:pPr>
      <w:r>
        <w:rPr>
          <w:b/>
        </w:rPr>
        <w:t>H6</w:t>
      </w:r>
      <w:r>
        <w:rPr>
          <w:bCs/>
        </w:rPr>
        <w:t>: Leader–Member Exchange (LMX) positively influences teacher performance (TP).</w:t>
      </w:r>
    </w:p>
    <w:p w:rsidR="00FE2C48" w:rsidRDefault="00FE2C48" w:rsidP="00FE2C48">
      <w:pPr>
        <w:spacing w:after="60"/>
        <w:ind w:firstLine="720"/>
        <w:jc w:val="both"/>
        <w:rPr>
          <w:bCs/>
        </w:rPr>
      </w:pPr>
      <w:r>
        <w:rPr>
          <w:bCs/>
        </w:rPr>
        <w:t xml:space="preserve">Strong supervisor and subordinate relationships improve performance by enhancing support, trust, and access to learning resources </w:t>
      </w:r>
      <w:r>
        <w:rPr>
          <w:bCs/>
        </w:rPr>
        <w:fldChar w:fldCharType="begin" w:fldLock="1"/>
      </w:r>
      <w:r>
        <w:rPr>
          <w:bCs/>
        </w:rPr>
        <w:instrText>ADDIN CSL_CITATION {"citationItems":[{"id":"ITEM-1","itemData":{"DOI":"10.3390/ijerph18105307","ISSN":"1660-4601","abstract":"&lt;p&gt;This study explores the effects of despotic leadership (DL) on employee job satisfaction (JS) using self-efficacy (SE) as a mediating variable and leader–member exchange (LMX) as a moderated variable. Building on the social learning and social exchange theory, our research proposes a research model. In this model, despotic leadership affects employee job satisfaction both directly and indirectly through self-efficacy and leader–member exchange. We used a questionnaire survey analysis approach to collect data. Data were collected from the employees of small- and medium-sized enterprises (SMEs) located in Guangdong Province, P.R. China. A pilot test of 20 participants with similar demographics as the final sample was performed to test the usability of the questionnaire. We distributed 500 questionnaires among the target population. In total, 230 usable questionnaires were returned, resulting in a response rate of 53%. To estimate the proposed relationships in the theoretical framework, we used SPSS and AMOS. The results of this study confirmed that despotic leadership has a negative impact on employee job satisfaction. Moreover, the outcomes of this study indicate that self-efficacy has a mediating effect between despotic leadership and employee job satisfaction. Similarly, the results also confirm that LMX has a moderating effect between despotic leadership and employee self-efficacy. Therefore, we conclude that the community is understanding of the mechanism of despotic leadership, identify the mechanism to effectively deal with its negative effects, broaden the relevant research on the antecedent variable of self-efficacy, and provide practical enlightenment enterprises to retain and employ people.&lt;/p&gt;","author":[{"dropping-particle":"","family":"Zhou","given":"Xiang","non-dropping-particle":"","parse-names":false,"suffix":""},{"dropping-particle":"","family":"Rasool","given":"Samma Faiz","non-dropping-particle":"","parse-names":false,"suffix":""},{"dropping-particle":"","family":"Yang","given":"Jing","non-dropping-particle":"","parse-names":false,"suffix":""},{"dropping-particle":"","family":"Asghar","given":"Muhammad Zaheer","non-dropping-particle":"","parse-names":false,"suffix":""}],"container-title":"International Journal of Environmental Research and Public Health","id":"ITEM-1","issue":"10","issued":{"date-parts":[["2021","5","17"]]},"page":"5307","title":"Exploring the Relationship between Despotic Leadership and Job Satisfaction: The Role of Self Efficacy and Leader–Member Exchange","type":"article-journal","volume":"18"},"uris":["http://www.mendeley.com/documents/?uuid=2e52191e-8065-3c48-a847-705eb1996f04"]}],"mendeley":{"formattedCitation":"(Zhou et al., 2021)","plainTextFormattedCitation":"(Zhou et al., 2021)","previouslyFormattedCitation":"(Zhou et al., 2021)"},"properties":{"noteIndex":0},"schema":"https://github.com/citation-style-language/schema/raw/master/csl-citation.json"}</w:instrText>
      </w:r>
      <w:r>
        <w:rPr>
          <w:bCs/>
        </w:rPr>
        <w:fldChar w:fldCharType="separate"/>
      </w:r>
      <w:r>
        <w:rPr>
          <w:bCs/>
        </w:rPr>
        <w:t>(Zhou et al., 2021)</w:t>
      </w:r>
      <w:r>
        <w:rPr>
          <w:bCs/>
        </w:rPr>
        <w:fldChar w:fldCharType="end"/>
      </w:r>
      <w:r>
        <w:rPr>
          <w:bCs/>
        </w:rPr>
        <w:t xml:space="preserve">. Positive LMX boosts psychological safety, loyalty, and </w:t>
      </w:r>
      <w:r>
        <w:rPr>
          <w:bCs/>
        </w:rPr>
        <w:lastRenderedPageBreak/>
        <w:t xml:space="preserve">teachers’ initiative, while constructive relationships with school leaders encourage collaboration, decision making, and professionalism </w:t>
      </w:r>
      <w:r>
        <w:rPr>
          <w:bCs/>
        </w:rPr>
        <w:fldChar w:fldCharType="begin" w:fldLock="1"/>
      </w:r>
      <w:r>
        <w:rPr>
          <w:bCs/>
        </w:rPr>
        <w:instrText>ADDIN CSL_CITATION {"citationItems":[{"id":"ITEM-1","itemData":{"DOI":"10.1080/2331186X.2024.2351260","ISSN":"2331-186X","author":[{"dropping-particle":"","family":"Dogbe","given":"Courage Simon Kofi","non-dropping-particle":"","parse-names":false,"suffix":""},{"dropping-particle":"","family":"Tweneboah","given":"Irene","non-dropping-particle":"","parse-names":false,"suffix":""},{"dropping-particle":"","family":"Basoah","given":"Prince","non-dropping-particle":"","parse-names":false,"suffix":""},{"dropping-particle":"","family":"Arkrofi","given":"Abigail Ansaah","non-dropping-particle":"","parse-names":false,"suffix":""},{"dropping-particle":"","family":"Appiah","given":"Nicholas","non-dropping-particle":"","parse-names":false,"suffix":""}],"container-title":"Cogent Education","id":"ITEM-1","issue":"1","issued":{"date-parts":[["2024","12","31"]]},"title":"Mediating role of teacher creativity in the relationships between internal strategic communication, feedback seeking behavior and teacher performance","type":"article-journal","volume":"11"},"uris":["http://www.mendeley.com/documents/?uuid=4a5cece9-53d7-3d5b-927d-e4e80905f10b"]}],"mendeley":{"formattedCitation":"(Dogbe et al., 2024)","plainTextFormattedCitation":"(Dogbe et al., 2024)","previouslyFormattedCitation":"(Dogbe et al., 2024)"},"properties":{"noteIndex":0},"schema":"https://github.com/citation-style-language/schema/raw/master/csl-citation.json"}</w:instrText>
      </w:r>
      <w:r>
        <w:rPr>
          <w:bCs/>
        </w:rPr>
        <w:fldChar w:fldCharType="separate"/>
      </w:r>
      <w:r>
        <w:rPr>
          <w:bCs/>
        </w:rPr>
        <w:t>(Dogbe et al., 2024)</w:t>
      </w:r>
      <w:r>
        <w:rPr>
          <w:bCs/>
        </w:rPr>
        <w:fldChar w:fldCharType="end"/>
      </w:r>
      <w:r>
        <w:rPr>
          <w:bCs/>
        </w:rPr>
        <w:t>.</w:t>
      </w:r>
    </w:p>
    <w:p w:rsidR="00FE2C48" w:rsidRDefault="00FE2C48" w:rsidP="00FE2C48">
      <w:pPr>
        <w:spacing w:after="60"/>
        <w:jc w:val="both"/>
        <w:rPr>
          <w:bCs/>
        </w:rPr>
      </w:pPr>
      <w:r>
        <w:rPr>
          <w:b/>
        </w:rPr>
        <w:t>H7</w:t>
      </w:r>
      <w:r>
        <w:rPr>
          <w:bCs/>
        </w:rPr>
        <w:t>: Digital competence (DC) influences teacher performance (TP) through Leader–Member Exchange (LMX).</w:t>
      </w:r>
    </w:p>
    <w:p w:rsidR="00FE2C48" w:rsidRDefault="00FE2C48" w:rsidP="00FE2C48">
      <w:pPr>
        <w:spacing w:after="60"/>
        <w:ind w:firstLine="720"/>
        <w:jc w:val="both"/>
        <w:rPr>
          <w:bCs/>
        </w:rPr>
      </w:pPr>
      <w:r>
        <w:rPr>
          <w:bCs/>
        </w:rPr>
        <w:t>LMX links competence to teacher performance (</w:t>
      </w:r>
      <w:r>
        <w:rPr>
          <w:bCs/>
        </w:rPr>
        <w:fldChar w:fldCharType="begin" w:fldLock="1"/>
      </w:r>
      <w:r>
        <w:rPr>
          <w:bCs/>
        </w:rPr>
        <w:instrText>ADDIN CSL_CITATION {"citationItems":[{"id":"ITEM-1","itemData":{"DOI":"10.1007/s40692-023-00299-3","ISSN":"2197-9987","abstract":"&lt;p&gt;The first purpose of this study was to analyse the digital research competences of higher education teaching staff, depending on whether the level of creativity of the teacher to initiate new research projects and their level of entrepreneurial spirit was low/good. Following, it was analysed whether the use of different emerging technologies significantly affect the digital skills of teachers in research work; and to know in what order the use of these emerging technologies or the combination of several of them affect the digital competences of teachers. A ex post facto design was used with a sample of 1740 Higher Education teachers. Digital skills were measured using the instrument of Guillén-Gámez et al. (Educ Inf Technol 10.1007/s10639-023-11895-2, 2023). The levels of creativity and entrepreneurship were analyzed with dichotomous variables from a 10-point Likert scale (less than 7 points-low level, greater than or equal to 7-good level). The results showed that, although teachers possessed an adequate level of digital research skills, this could vary depending on transversal skills such as creativity and entrepreneurship, with large differences when these skills were at a basic level. Furthermore, depending on whether teachers had research experience in XR technology, cryptocurrencies, facial authentication systems, wearables or robotics, amongst others, this significantly affected the level of digital competence in research. The added value of this study lies on the one hand, in the fact that there are hardly any studies that analyse this subject; and on the other hand, the implications that this could have for institutions to launch training initiatives for their teaching staff in emerging technologies, as well as in transversal competences in any disciplinary field.&lt;/p&gt;","author":[{"dropping-particle":"","family":"Guillén-Gámez","given":"Francisco D.","non-dropping-particle":"","parse-names":false,"suffix":""},{"dropping-particle":"","family":"Ruiz-Palmero","given":"Julio","non-dropping-particle":"","parse-names":false,"suffix":""},{"dropping-particle":"","family":"Gómez-García","given":"Melchor","non-dropping-particle":"","parse-names":false,"suffix":""}],"container-title":"Journal of Computers in Education","id":"ITEM-1","issue":"4","issued":{"date-parts":[["2024","12","10"]]},"page":"1263-1282","title":"Digital competences in research: creativity and entrepreneurship as essential predictors for teacher training","type":"article-journal","volume":"11"},"uris":["http://www.mendeley.com/documents/?uuid=1bc6731e-fa09-3cb4-b5de-cfc5ebe51c29"]}],"mendeley":{"formattedCitation":"(Guillén-Gámez et al., 2024)","manualFormatting":"Guillén-Gámez et al., (2024)","plainTextFormattedCitation":"(Guillén-Gámez et al., 2024)","previouslyFormattedCitation":"(Guillén-Gámez et al., 2024)"},"properties":{"noteIndex":0},"schema":"https://github.com/citation-style-language/schema/raw/master/csl-citation.json"}</w:instrText>
      </w:r>
      <w:r>
        <w:rPr>
          <w:bCs/>
        </w:rPr>
        <w:fldChar w:fldCharType="separate"/>
      </w:r>
      <w:r>
        <w:rPr>
          <w:bCs/>
        </w:rPr>
        <w:t>Guillén-Gámez et al., 2024)</w:t>
      </w:r>
      <w:r>
        <w:rPr>
          <w:bCs/>
        </w:rPr>
        <w:fldChar w:fldCharType="end"/>
      </w:r>
      <w:r>
        <w:rPr>
          <w:bCs/>
        </w:rPr>
        <w:t xml:space="preserve">. Teachers with strong digital skills build positive relationships, trust, and support with leaders, enhancing productivity and technology use </w:t>
      </w:r>
      <w:r>
        <w:rPr>
          <w:bCs/>
        </w:rPr>
        <w:fldChar w:fldCharType="begin" w:fldLock="1"/>
      </w:r>
      <w:r>
        <w:rPr>
          <w:bCs/>
        </w:rPr>
        <w:instrText>ADDIN CSL_CITATION {"citationItems":[{"id":"ITEM-1","itemData":{"DOI":"10.3390/info16050373","abstract":"Citation: González-Medina, I.; Gavín-Chocano, Ó.; Pérez-Navío, E.; Maldonado Berea, G.A. Trajectories of Digital Teaching Competence: A Multidimensional PLS-SEM Study in University Contexts. Information 2025, 16, 373. https://doi.org/10.3390/ info16050373 Abstract: Digital teaching competence (DTC) emerges as a fundamental strategic element in today's higher education, where the DigCompEdu framework is consolidated as a key tool for assessing the digital skills of teachers. The study sample is composed of 3309 students from educational programs in Andalusian universities, and this study uses the PLS-SEM methodology to examine the interrelationships among six critical dimensions: professional engagement, digital resources, digital pedagogy, assessment and feedback, student empowerment, and digital competence development. The research proposes five main hypotheses that explore how digital resources drive pedagogy and assessment and how professional engagement directly influences student empowerment and the development of their own digital competencies. The results reveal the complexity inherent in developing digital competencies in the university setting, underscoring the need to implement ongoing training programs that address not only essential technical skills but also innovative pedagogical strategies adapted to digital environments. These programs should train teachers to effectively use digital resources, design interactive learning activities, and encourage active student participation. In addition, the importance of promoting teachers' professional engagement is highlighted, as this factor significantly influences students' empowerment and their ability to develop strong digital competencies, thus preparing them for the technological challenges of the 21st century and equipping them with the skills and competencies needed to thrive in an increasingly digitized world.","author":[{"dropping-particle":"","family":"González-Medina","given":"Isaac","non-dropping-particle":"","parse-names":false,"suffix":""},{"dropping-particle":"","family":"Gavín-Chocano","given":"Óscar","non-dropping-particle":"","parse-names":false,"suffix":""},{"dropping-particle":"","family":"Pérez-Navío","given":"Eufrasio","non-dropping-particle":"","parse-names":false,"suffix":""},{"dropping-particle":"","family":"Aurora","given":"Guadalupe","non-dropping-particle":"","parse-names":false,"suffix":""},{"dropping-particle":"","family":"Berea","given":"Maldonado","non-dropping-particle":"","parse-names":false,"suffix":""}],"id":"ITEM-1","issued":{"date-parts":[["2025"]]},"title":"Trajectories of Digital Teaching Competence: A Multidimensional PLS-SEM Study in University Contexts","type":"article-journal"},"uris":["http://www.mendeley.com/documents/?uuid=6d4f9a36-3ade-375f-9a49-c6ead53680a6"]}],"mendeley":{"formattedCitation":"(González-Medina et al., 2025)","plainTextFormattedCitation":"(González-Medina et al., 2025)","previouslyFormattedCitation":"(González-Medina et al., 2025)"},"properties":{"noteIndex":0},"schema":"https://github.com/citation-style-language/schema/raw/master/csl-citation.json"}</w:instrText>
      </w:r>
      <w:r>
        <w:rPr>
          <w:bCs/>
        </w:rPr>
        <w:fldChar w:fldCharType="separate"/>
      </w:r>
      <w:r>
        <w:rPr>
          <w:bCs/>
        </w:rPr>
        <w:t>(González-Medina et al., 2025; Jiang &amp; Yu, 2024)</w:t>
      </w:r>
      <w:r>
        <w:rPr>
          <w:bCs/>
        </w:rPr>
        <w:fldChar w:fldCharType="end"/>
      </w:r>
      <w:r>
        <w:rPr>
          <w:bCs/>
        </w:rPr>
        <w:t xml:space="preserve">. Recognizing teachers’ digital competence fosters an environment that boosts productivity and motivation, with LMX mediating the effective use of digital skills in education </w:t>
      </w:r>
      <w:r>
        <w:rPr>
          <w:bCs/>
        </w:rPr>
        <w:fldChar w:fldCharType="begin" w:fldLock="1"/>
      </w:r>
      <w:r>
        <w:rPr>
          <w:bCs/>
        </w:rPr>
        <w:instrText>ADDIN CSL_CITATION {"citationItems":[{"id":"ITEM-1","itemData":{"DOI":"10.1080/02619768.2022.2135855","ISSN":"0261-9768","author":[{"dropping-particle":"","family":"Gisbert Cervera","given":"Mercè","non-dropping-particle":"","parse-names":false,"suffix":""},{"dropping-particle":"","family":"Caena","given":"Francesca","non-dropping-particle":"","parse-names":false,"suffix":""}],"container-title":"European Journal of Teacher Education","id":"ITEM-1","issue":"4","issued":{"date-parts":[["2022","8","8"]]},"page":"451-455","title":"Teachers’ digital competence for global teacher education","type":"article-journal","volume":"45"},"uris":["http://www.mendeley.com/documents/?uuid=d90b1f0b-5956-3ec6-97cd-9d797b4a29a4"]}],"mendeley":{"formattedCitation":"(Gisbert Cervera &amp; Caena, 2022)","plainTextFormattedCitation":"(Gisbert Cervera &amp; Caena, 2022)","previouslyFormattedCitation":"(Gisbert Cervera &amp; Caena, 2022)"},"properties":{"noteIndex":0},"schema":"https://github.com/citation-style-language/schema/raw/master/csl-citation.json"}</w:instrText>
      </w:r>
      <w:r>
        <w:rPr>
          <w:bCs/>
        </w:rPr>
        <w:fldChar w:fldCharType="separate"/>
      </w:r>
      <w:r>
        <w:rPr>
          <w:bCs/>
        </w:rPr>
        <w:t>(Gisbert Cervera &amp; Caena, 2022; Jiang &amp; Yu, 2024)</w:t>
      </w:r>
      <w:r>
        <w:rPr>
          <w:bCs/>
        </w:rPr>
        <w:fldChar w:fldCharType="end"/>
      </w:r>
      <w:r>
        <w:rPr>
          <w:bCs/>
        </w:rPr>
        <w:t>.</w:t>
      </w:r>
    </w:p>
    <w:p w:rsidR="00FE2C48" w:rsidRDefault="00FE2C48" w:rsidP="00FE2C48">
      <w:pPr>
        <w:spacing w:after="60"/>
        <w:jc w:val="both"/>
        <w:rPr>
          <w:bCs/>
        </w:rPr>
      </w:pPr>
      <w:r>
        <w:rPr>
          <w:b/>
        </w:rPr>
        <w:t>H8</w:t>
      </w:r>
      <w:r>
        <w:rPr>
          <w:bCs/>
        </w:rPr>
        <w:t>: Intrinsic satisfaction (IS) influences teacher performance (TP) through Leader–Member Exchange (LMX).</w:t>
      </w:r>
    </w:p>
    <w:p w:rsidR="00FE2C48" w:rsidRDefault="00FE2C48" w:rsidP="00FE2C48">
      <w:pPr>
        <w:spacing w:after="60"/>
        <w:ind w:firstLine="720"/>
        <w:jc w:val="both"/>
        <w:rPr>
          <w:bCs/>
        </w:rPr>
      </w:pPr>
      <w:r>
        <w:rPr>
          <w:bCs/>
        </w:rPr>
        <w:t>High-quality leader–follower relationships transform job satisfaction into performance-supporting behaviors (</w:t>
      </w:r>
      <w:r>
        <w:rPr>
          <w:bCs/>
        </w:rPr>
        <w:fldChar w:fldCharType="begin" w:fldLock="1"/>
      </w:r>
      <w:r>
        <w:rPr>
          <w:bCs/>
        </w:rPr>
        <w:instrText>ADDIN CSL_CITATION {"citationItems":[{"id":"ITEM-1","itemData":{"DOI":"10.1007/s40299-024-00846-1","ISBN":"0123456789","abstract":"to the studies that focus on the effects of social utility motivation on job satisfaction.","author":[{"dropping-particle":"","family":"Dağdeviren Ertaş","given":"Behiye","non-dropping-particle":"","parse-names":false,"suffix":""},{"dropping-particle":"","family":"Fulya","given":"·","non-dropping-particle":"","parse-names":false,"suffix":""},{"dropping-particle":"","family":"Pekmezci","given":"Barış","non-dropping-particle":"","parse-names":false,"suffix":""}],"container-title":"The Asia-Pacific Education Researcher","id":"ITEM-1","issued":{"date-parts":[["2025"]]},"page":"193-207","title":"Career Motivation and Job Satisfaction in Türkiye: Mediating Role of Teacher İnnovativeness and İnstructional Practice","type":"article-journal","volume":"34"},"uris":["http://www.mendeley.com/documents/?uuid=ea17482d-c349-3b6b-8460-96418a941011"]}],"mendeley":{"formattedCitation":"(Dağdeviren Ertaş et al., 2025)","manualFormatting":"Dağdeviren Ertaş et al., (2025)","plainTextFormattedCitation":"(Dağdeviren Ertaş et al., 2025)","previouslyFormattedCitation":"(Dağdeviren Ertaş et al., 2025)"},"properties":{"noteIndex":0},"schema":"https://github.com/citation-style-language/schema/raw/master/csl-citation.json"}</w:instrText>
      </w:r>
      <w:r>
        <w:rPr>
          <w:bCs/>
        </w:rPr>
        <w:fldChar w:fldCharType="separate"/>
      </w:r>
      <w:r>
        <w:rPr>
          <w:bCs/>
        </w:rPr>
        <w:t>Dağdeviren Ertaş et al., 2025)</w:t>
      </w:r>
      <w:r>
        <w:rPr>
          <w:bCs/>
        </w:rPr>
        <w:fldChar w:fldCharType="end"/>
      </w:r>
      <w:r>
        <w:rPr>
          <w:bCs/>
        </w:rPr>
        <w:t xml:space="preserve">. Teachers with high intrinsic satisfaction foster cooperation, </w:t>
      </w:r>
      <w:proofErr w:type="spellStart"/>
      <w:r>
        <w:rPr>
          <w:bCs/>
        </w:rPr>
        <w:t>prosocial</w:t>
      </w:r>
      <w:proofErr w:type="spellEnd"/>
      <w:r>
        <w:rPr>
          <w:bCs/>
        </w:rPr>
        <w:t xml:space="preserve"> behavior, and loyalty </w:t>
      </w:r>
      <w:r>
        <w:rPr>
          <w:bCs/>
        </w:rPr>
        <w:fldChar w:fldCharType="begin" w:fldLock="1"/>
      </w:r>
      <w:r>
        <w:rPr>
          <w:bCs/>
        </w:rPr>
        <w:instrText>ADDIN CSL_CITATION {"citationItems":[{"id":"ITEM-1","itemData":{"DOI":"10.1080/09243453.2020.1764593","ISSN":"0924-3453","author":[{"dropping-particle":"","family":"Lopes","given":"João","non-dropping-particle":"","parse-names":false,"suffix":""},{"dropping-particle":"","family":"Oliveira","given":"Célia","non-dropping-particle":"","parse-names":false,"suffix":""}],"container-title":"School Effectiveness and School Improvement","id":"ITEM-1","issue":"4","issued":{"date-parts":[["2020","10","1"]]},"page":"641-659","title":"Teacher and school determinants of teacher job satisfaction: a multilevel analysis","type":"article-journal","volume":"31"},"uris":["http://www.mendeley.com/documents/?uuid=2071973d-cabb-36e5-a802-dfd689a4aad0"]}],"mendeley":{"formattedCitation":"(Lopes &amp; Oliveira, 2020)","plainTextFormattedCitation":"(Lopes &amp; Oliveira, 2020)","previouslyFormattedCitation":"(Lopes &amp; Oliveira, 2020)"},"properties":{"noteIndex":0},"schema":"https://github.com/citation-style-language/schema/raw/master/csl-citation.json"}</w:instrText>
      </w:r>
      <w:r>
        <w:rPr>
          <w:bCs/>
        </w:rPr>
        <w:fldChar w:fldCharType="separate"/>
      </w:r>
      <w:r>
        <w:rPr>
          <w:bCs/>
        </w:rPr>
        <w:t>(Lopes &amp; Oliveira, 2020)</w:t>
      </w:r>
      <w:r>
        <w:rPr>
          <w:bCs/>
        </w:rPr>
        <w:fldChar w:fldCharType="end"/>
      </w:r>
      <w:r>
        <w:rPr>
          <w:bCs/>
        </w:rPr>
        <w:t xml:space="preserve">. Reciprocal relationships and intrinsic satisfaction enhance LMX and teacher performance </w:t>
      </w:r>
      <w:r>
        <w:rPr>
          <w:bCs/>
        </w:rPr>
        <w:fldChar w:fldCharType="begin" w:fldLock="1"/>
      </w:r>
      <w:r>
        <w:rPr>
          <w:bCs/>
        </w:rPr>
        <w:instrText>ADDIN CSL_CITATION {"citationItems":[{"id":"ITEM-1","itemData":{"DOI":"10.1080/15700763.2020.1734210","ISSN":"1570-0763","author":[{"dropping-particle":"","family":"Baroudi","given":"Sandra","non-dropping-particle":"","parse-names":false,"suffix":""},{"dropping-particle":"","family":"Tamim","given":"Rana","non-dropping-particle":"","parse-names":false,"suffix":""},{"dropping-particle":"","family":"Hojeij","given":"Zeina","non-dropping-particle":"","parse-names":false,"suffix":""}],"container-title":"Leadership and Policy in Schools","id":"ITEM-1","issue":"2","issued":{"date-parts":[["2022","4","3"]]},"page":"127-146","title":"A Quantitative Investigation of Intrinsic and Extrinsic Factors Influencing Teachers’ Job Satisfaction IN Lebanon","type":"article-journal","volume":"21"},"uris":["http://www.mendeley.com/documents/?uuid=817116e1-4170-37bd-9741-0800a79c5dbe"]}],"mendeley":{"formattedCitation":"(Baroudi et al., 2022)","plainTextFormattedCitation":"(Baroudi et al., 2022)","previouslyFormattedCitation":"(Baroudi et al., 2022)"},"properties":{"noteIndex":0},"schema":"https://github.com/citation-style-language/schema/raw/master/csl-citation.json"}</w:instrText>
      </w:r>
      <w:r>
        <w:rPr>
          <w:bCs/>
        </w:rPr>
        <w:fldChar w:fldCharType="separate"/>
      </w:r>
      <w:r>
        <w:rPr>
          <w:bCs/>
        </w:rPr>
        <w:t>(Baroudi et al., 2022; Ann Fradkin-Hayslip, 2021)</w:t>
      </w:r>
      <w:r>
        <w:rPr>
          <w:bCs/>
        </w:rPr>
        <w:fldChar w:fldCharType="end"/>
      </w:r>
      <w:r>
        <w:rPr>
          <w:bCs/>
        </w:rPr>
        <w:t>.</w:t>
      </w:r>
    </w:p>
    <w:p w:rsidR="00181834" w:rsidRDefault="007329B5">
      <w:pPr>
        <w:pStyle w:val="Heading3"/>
        <w:spacing w:before="240" w:after="240"/>
        <w:rPr>
          <w:rFonts w:eastAsia="Times New Roman"/>
          <w:b w:val="0"/>
          <w:color w:val="000000"/>
        </w:rPr>
      </w:pPr>
      <w:r>
        <w:rPr>
          <w:rFonts w:ascii="Times New Roman" w:eastAsia="Times New Roman" w:hAnsi="Times New Roman"/>
        </w:rPr>
        <w:t xml:space="preserve">Methodology </w:t>
      </w:r>
    </w:p>
    <w:p w:rsidR="00FE2C48" w:rsidRDefault="00FE2C48" w:rsidP="00FE2C48">
      <w:pPr>
        <w:spacing w:before="40" w:after="40"/>
        <w:ind w:firstLine="454"/>
        <w:jc w:val="both"/>
      </w:pPr>
      <w:r>
        <w:t xml:space="preserve">This study used a quantitative survey to examine the effects of digital competence, intrinsic satisfaction, and LMX on teacher performance. The population consisted of 950 teachers from four districts in </w:t>
      </w:r>
      <w:proofErr w:type="spellStart"/>
      <w:r>
        <w:t>Cilegon</w:t>
      </w:r>
      <w:proofErr w:type="spellEnd"/>
      <w:r>
        <w:t xml:space="preserve"> City: </w:t>
      </w:r>
      <w:proofErr w:type="spellStart"/>
      <w:r>
        <w:t>Cilegon</w:t>
      </w:r>
      <w:proofErr w:type="spellEnd"/>
      <w:r>
        <w:t xml:space="preserve">, </w:t>
      </w:r>
      <w:proofErr w:type="spellStart"/>
      <w:r>
        <w:t>Ciwandan</w:t>
      </w:r>
      <w:proofErr w:type="spellEnd"/>
      <w:r>
        <w:t xml:space="preserve">, </w:t>
      </w:r>
      <w:proofErr w:type="spellStart"/>
      <w:r>
        <w:t>Citangkil</w:t>
      </w:r>
      <w:proofErr w:type="spellEnd"/>
      <w:r>
        <w:t xml:space="preserve">, and </w:t>
      </w:r>
      <w:proofErr w:type="spellStart"/>
      <w:r>
        <w:t>Grogol</w:t>
      </w:r>
      <w:proofErr w:type="spellEnd"/>
      <w:r>
        <w:t xml:space="preserve">. A sample of 255 teachers was selected proportionally using the Isaac and Michael table to ensure representativeness. Data were collected via a pre-tested questionnaire and analyzed with PLS-SEM in </w:t>
      </w:r>
      <w:proofErr w:type="spellStart"/>
      <w:r>
        <w:t>SmartPLS</w:t>
      </w:r>
      <w:proofErr w:type="spellEnd"/>
      <w:r>
        <w:t xml:space="preserve">, suitable for exploratory studies and complex relationships </w:t>
      </w:r>
      <w:r>
        <w:fldChar w:fldCharType="begin" w:fldLock="1"/>
      </w:r>
      <w:r>
        <w:instrText>ADDIN CSL_CITATION {"citationItems":[{"id":"ITEM-1","itemData":{"DOI":"10.1108/EJM-08-2023-0645","ISSN":"0309-0566","author":[{"dropping-particle":"","family":"Hair","given":"Joe F.","non-dropping-particle":"","parse-names":false,"suffix":""},{"dropping-particle":"","family":"Sarstedt","given":"Marko","non-dropping-particle":"","parse-names":false,"suffix":""},{"dropping-particle":"","family":"Ringle","given":"Christian M.","non-dropping-particle":"","parse-names":false,"suffix":""},{"dropping-particle":"","family":"Sharma","given":"Pratyush N.","non-dropping-particle":"","parse-names":false,"suffix":""},{"dropping-particle":"","family":"Liengaard","given":"Benjamin Dybro","non-dropping-particle":"","parse-names":false,"suffix":""}],"container-title":"European Journal of Marketing","id":"ITEM-1","issue":"13","issued":{"date-parts":[["2024","5","28"]]},"page":"81-106","title":"Going beyond the untold facts in PLS–SEM and moving forward","type":"article-journal","volume":"58"},"uris":["http://www.mendeley.com/documents/?uuid=4179452b-8206-3dea-8d9f-a157f93f39cf"]}],"mendeley":{"formattedCitation":"(Hair et al., 2024)","plainTextFormattedCitation":"(Hair et al., 2024)","previouslyFormattedCitation":"(Hair et al., 2024)"},"properties":{"noteIndex":0},"schema":"https://github.com/citation-style-language/schema/raw/master/csl-citation.json"}</w:instrText>
      </w:r>
      <w:r>
        <w:fldChar w:fldCharType="separate"/>
      </w:r>
      <w:r>
        <w:t>(Hair et al., 2024)</w:t>
      </w:r>
      <w:r>
        <w:fldChar w:fldCharType="end"/>
      </w:r>
      <w:r>
        <w:t>.</w:t>
      </w:r>
    </w:p>
    <w:p w:rsidR="00181834" w:rsidRDefault="007329B5">
      <w:pPr>
        <w:spacing w:after="120"/>
        <w:ind w:firstLine="454"/>
        <w:jc w:val="both"/>
        <w:rPr>
          <w:rFonts w:eastAsia="Times New Roman"/>
          <w:color w:val="000000"/>
        </w:rPr>
      </w:pPr>
      <w:r>
        <w:rPr>
          <w:rFonts w:eastAsia="Times New Roman"/>
          <w:color w:val="000000"/>
        </w:rPr>
        <w:t xml:space="preserve">This study uses descriptive statistics with a 1–5 rating scale across 255 respondents. The Three Box Method classifies responses into Low (20–46.27), Medium (47.27–73.54), and High (74.54–100) levels of acceptance. The index ranges from 20 to 100 </w:t>
      </w:r>
      <w:r>
        <w:rPr>
          <w:rFonts w:eastAsia="Times New Roman"/>
          <w:color w:val="000000"/>
        </w:rPr>
        <w:fldChar w:fldCharType="begin" w:fldLock="1"/>
      </w:r>
      <w:r>
        <w:rPr>
          <w:rFonts w:eastAsia="Times New Roman"/>
          <w:color w:val="000000"/>
        </w:rPr>
        <w:instrText>ADDIN CSL_CITATION {"citationItems":[{"id":"ITEM-1","itemData":{"DOI":"10.1108/EJM-08-2023-0645","ISSN":"0309-0566","author":[{"dropping-particle":"","family":"Hair","given":"Joe F.","non-dropping-particle":"","parse-names":false,"suffix":""},{"dropping-particle":"","family":"Sarstedt","given":"Marko","non-dropping-particle":"","parse-names":false,"suffix":""},{"dropping-particle":"","family":"Ringle","given":"Christian M.","non-dropping-particle":"","parse-names":false,"suffix":""},{"dropping-particle":"","family":"Sharma","given":"Pratyush N.","non-dropping-particle":"","parse-names":false,"suffix":""},{"dropping-particle":"","family":"Liengaard","given":"Benjamin Dybro","non-dropping-particle":"","parse-names":false,"suffix":""}],"container-title":"European Journal of Marketing","id":"ITEM-1","issue":"13","issued":{"date-parts":[["2024","5","28"]]},"page":"81-106","title":"Going beyond the untold facts in PLS–SEM and moving forward","type":"article-journal","volume":"58"},"uris":["http://www.mendeley.com/documents/?uuid=4179452b-8206-3dea-8d9f-a157f93f39cf"]}],"mendeley":{"formattedCitation":"(Hair et al., 2024)","plainTextFormattedCitation":"(Hair et al., 2024)","previouslyFormattedCitation":"(Hair et al., 2024)"},"properties":{"noteIndex":0},"schema":"https://github.com/citation-style-language/schema/raw/master/csl-citation.json"}</w:instrText>
      </w:r>
      <w:r>
        <w:rPr>
          <w:rFonts w:eastAsia="Times New Roman"/>
          <w:color w:val="000000"/>
        </w:rPr>
        <w:fldChar w:fldCharType="separate"/>
      </w:r>
      <w:r>
        <w:rPr>
          <w:rFonts w:eastAsia="Times New Roman"/>
          <w:color w:val="000000"/>
        </w:rPr>
        <w:t>(Hair et al., 2024)</w:t>
      </w:r>
      <w:r>
        <w:rPr>
          <w:rFonts w:eastAsia="Times New Roman"/>
          <w:color w:val="000000"/>
        </w:rPr>
        <w:fldChar w:fldCharType="end"/>
      </w:r>
      <w:r>
        <w:rPr>
          <w:rFonts w:eastAsia="Times New Roman"/>
          <w:color w:val="000000"/>
        </w:rPr>
        <w:t>. Tables 1–4 present data on digital competence, intrinsic satisfaction, Leader–Member Exchange, and teacher performance.</w:t>
      </w:r>
    </w:p>
    <w:p w:rsidR="00FE2C48" w:rsidRDefault="00FE2C48" w:rsidP="00FE2C48">
      <w:pPr>
        <w:spacing w:after="120"/>
        <w:jc w:val="both"/>
        <w:rPr>
          <w:rFonts w:eastAsia="Times New Roman"/>
          <w:b/>
          <w:color w:val="000000"/>
        </w:rPr>
      </w:pPr>
      <w:r w:rsidRPr="00FE2C48">
        <w:rPr>
          <w:rFonts w:eastAsia="Times New Roman"/>
          <w:b/>
          <w:color w:val="000000"/>
        </w:rPr>
        <w:t>Results</w:t>
      </w:r>
    </w:p>
    <w:p w:rsidR="00FE2C48" w:rsidRPr="00A32B4B" w:rsidRDefault="00FE2C48" w:rsidP="00FE2C48">
      <w:pPr>
        <w:spacing w:after="120"/>
        <w:jc w:val="both"/>
        <w:rPr>
          <w:rFonts w:eastAsia="Times New Roman"/>
          <w:b/>
          <w:color w:val="000000"/>
        </w:rPr>
      </w:pPr>
      <w:r w:rsidRPr="00A32B4B">
        <w:rPr>
          <w:rFonts w:eastAsia="Times New Roman"/>
          <w:b/>
          <w:color w:val="000000"/>
        </w:rPr>
        <w:lastRenderedPageBreak/>
        <w:t>Analysis of Respondents’ Digital Competence</w:t>
      </w:r>
    </w:p>
    <w:p w:rsidR="00FE2C48" w:rsidRPr="00FE2C48" w:rsidRDefault="00FE2C48" w:rsidP="00FE2C48">
      <w:pPr>
        <w:spacing w:after="120"/>
        <w:jc w:val="both"/>
        <w:rPr>
          <w:rFonts w:eastAsia="Times New Roman"/>
          <w:color w:val="000000"/>
        </w:rPr>
      </w:pPr>
      <w:r w:rsidRPr="00FE2C48">
        <w:rPr>
          <w:rFonts w:eastAsia="Times New Roman"/>
          <w:color w:val="000000"/>
        </w:rPr>
        <w:t>The analysis indicates an overall moderate level of digital competence among respondents, with an average index score of 66.8%. Competence is notably higher in the domain of Teaching and Learning (74%, categorized as 'Very Good'), suggesting a relative strength in applying digital tools directly to pedagogical processes. Conversely, dimensions such as Self-Confidence in Using Digital Tools (61-63%) and Assessment (64%) reflect weaker competencies. This disparity highlights a proficiency gap between the applied use of technology for instruction and the more foundational technical confidence and evaluative applications. The pattern suggests that while digital tools are being adopted for core teaching activities, their integration for broader professional engagement, student empowerment, and assessment remains an area for development.</w:t>
      </w:r>
    </w:p>
    <w:p w:rsidR="00181834" w:rsidRDefault="007329B5">
      <w:pPr>
        <w:spacing w:after="120"/>
        <w:ind w:firstLine="454"/>
        <w:jc w:val="center"/>
        <w:rPr>
          <w:i/>
          <w:iCs/>
        </w:rPr>
      </w:pPr>
      <w:r>
        <w:rPr>
          <w:i/>
          <w:iCs/>
        </w:rPr>
        <w:t>Table 1: Analysis of Respondents’ Digital Competence</w:t>
      </w:r>
    </w:p>
    <w:tbl>
      <w:tblPr>
        <w:tblW w:w="7301" w:type="dxa"/>
        <w:jc w:val="center"/>
        <w:tblBorders>
          <w:top w:val="single" w:sz="4" w:space="0" w:color="auto"/>
          <w:bottom w:val="single" w:sz="4" w:space="0" w:color="auto"/>
        </w:tblBorders>
        <w:tblLayout w:type="fixed"/>
        <w:tblCellMar>
          <w:left w:w="100" w:type="dxa"/>
          <w:right w:w="100" w:type="dxa"/>
        </w:tblCellMar>
        <w:tblLook w:val="04A0" w:firstRow="1" w:lastRow="0" w:firstColumn="1" w:lastColumn="0" w:noHBand="0" w:noVBand="1"/>
      </w:tblPr>
      <w:tblGrid>
        <w:gridCol w:w="738"/>
        <w:gridCol w:w="469"/>
        <w:gridCol w:w="482"/>
        <w:gridCol w:w="530"/>
        <w:gridCol w:w="530"/>
        <w:gridCol w:w="530"/>
        <w:gridCol w:w="530"/>
        <w:gridCol w:w="702"/>
        <w:gridCol w:w="726"/>
        <w:gridCol w:w="872"/>
        <w:gridCol w:w="1192"/>
      </w:tblGrid>
      <w:tr w:rsidR="00181834">
        <w:trPr>
          <w:trHeight w:hRule="exact" w:val="510"/>
          <w:jc w:val="center"/>
        </w:trPr>
        <w:tc>
          <w:tcPr>
            <w:tcW w:w="1207" w:type="dxa"/>
            <w:gridSpan w:val="2"/>
            <w:tcBorders>
              <w:bottom w:val="single" w:sz="4" w:space="0" w:color="auto"/>
            </w:tcBorders>
            <w:shd w:val="clear" w:color="auto" w:fill="auto"/>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Item</w:t>
            </w:r>
          </w:p>
        </w:tc>
        <w:tc>
          <w:tcPr>
            <w:tcW w:w="482"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SD</w:t>
            </w:r>
          </w:p>
        </w:tc>
        <w:tc>
          <w:tcPr>
            <w:tcW w:w="530"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D</w:t>
            </w:r>
          </w:p>
        </w:tc>
        <w:tc>
          <w:tcPr>
            <w:tcW w:w="530"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N</w:t>
            </w:r>
          </w:p>
        </w:tc>
        <w:tc>
          <w:tcPr>
            <w:tcW w:w="530"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A</w:t>
            </w:r>
          </w:p>
        </w:tc>
        <w:tc>
          <w:tcPr>
            <w:tcW w:w="530"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SA</w:t>
            </w:r>
          </w:p>
        </w:tc>
        <w:tc>
          <w:tcPr>
            <w:tcW w:w="702"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Total (N)</w:t>
            </w:r>
          </w:p>
        </w:tc>
        <w:tc>
          <w:tcPr>
            <w:tcW w:w="726"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Ideal Score</w:t>
            </w:r>
          </w:p>
        </w:tc>
        <w:tc>
          <w:tcPr>
            <w:tcW w:w="872"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 index</w:t>
            </w:r>
          </w:p>
        </w:tc>
        <w:tc>
          <w:tcPr>
            <w:tcW w:w="1192"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Category</w:t>
            </w:r>
          </w:p>
        </w:tc>
      </w:tr>
      <w:tr w:rsidR="00181834">
        <w:trPr>
          <w:jc w:val="center"/>
        </w:trPr>
        <w:tc>
          <w:tcPr>
            <w:tcW w:w="7301" w:type="dxa"/>
            <w:gridSpan w:val="11"/>
            <w:tcBorders>
              <w:top w:val="single" w:sz="4" w:space="0" w:color="auto"/>
            </w:tcBorders>
            <w:shd w:val="clear" w:color="auto" w:fill="auto"/>
            <w:vAlign w:val="bottom"/>
          </w:tcPr>
          <w:p w:rsidR="00181834" w:rsidRDefault="007329B5">
            <w:pPr>
              <w:rPr>
                <w:rFonts w:eastAsia="Times New Roman"/>
                <w:color w:val="000000"/>
                <w:sz w:val="22"/>
                <w:szCs w:val="22"/>
              </w:rPr>
            </w:pPr>
            <w:r>
              <w:rPr>
                <w:rFonts w:eastAsia="Times New Roman"/>
                <w:color w:val="000000"/>
                <w:sz w:val="22"/>
                <w:szCs w:val="22"/>
              </w:rPr>
              <w:t>Professional Engagement</w:t>
            </w:r>
          </w:p>
        </w:tc>
      </w:tr>
      <w:tr w:rsidR="00181834">
        <w:trPr>
          <w:trHeight w:hRule="exact" w:val="283"/>
          <w:jc w:val="center"/>
        </w:trPr>
        <w:tc>
          <w:tcPr>
            <w:tcW w:w="738"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DC_1</w:t>
            </w:r>
          </w:p>
        </w:tc>
        <w:tc>
          <w:tcPr>
            <w:tcW w:w="469"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f</w:t>
            </w:r>
          </w:p>
        </w:tc>
        <w:tc>
          <w:tcPr>
            <w:tcW w:w="482"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22</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67</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24</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73</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69</w:t>
            </w:r>
          </w:p>
        </w:tc>
        <w:tc>
          <w:tcPr>
            <w:tcW w:w="70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shd w:val="clear" w:color="auto" w:fill="auto"/>
            <w:noWrap/>
            <w:vAlign w:val="center"/>
          </w:tcPr>
          <w:p w:rsidR="00181834" w:rsidRDefault="00181834">
            <w:pPr>
              <w:spacing w:after="160" w:line="256" w:lineRule="auto"/>
              <w:rPr>
                <w:sz w:val="22"/>
                <w:szCs w:val="22"/>
              </w:rPr>
            </w:pPr>
          </w:p>
        </w:tc>
        <w:tc>
          <w:tcPr>
            <w:tcW w:w="872" w:type="dxa"/>
            <w:shd w:val="clear" w:color="auto" w:fill="auto"/>
            <w:noWrap/>
            <w:vAlign w:val="center"/>
          </w:tcPr>
          <w:p w:rsidR="00181834" w:rsidRDefault="00181834">
            <w:pPr>
              <w:spacing w:after="160" w:line="256" w:lineRule="auto"/>
              <w:rPr>
                <w:sz w:val="22"/>
                <w:szCs w:val="22"/>
              </w:rPr>
            </w:pPr>
          </w:p>
        </w:tc>
        <w:tc>
          <w:tcPr>
            <w:tcW w:w="1192" w:type="dxa"/>
            <w:shd w:val="clear" w:color="auto" w:fill="auto"/>
            <w:noWrap/>
            <w:vAlign w:val="center"/>
          </w:tcPr>
          <w:p w:rsidR="00181834" w:rsidRDefault="00181834">
            <w:pPr>
              <w:spacing w:after="160" w:line="256" w:lineRule="auto"/>
              <w:rPr>
                <w:sz w:val="22"/>
                <w:szCs w:val="22"/>
              </w:rPr>
            </w:pPr>
          </w:p>
        </w:tc>
      </w:tr>
      <w:tr w:rsidR="00181834">
        <w:trPr>
          <w:trHeight w:hRule="exact" w:val="283"/>
          <w:jc w:val="center"/>
        </w:trPr>
        <w:tc>
          <w:tcPr>
            <w:tcW w:w="738" w:type="dxa"/>
            <w:shd w:val="clear" w:color="auto" w:fill="auto"/>
            <w:noWrap/>
            <w:vAlign w:val="center"/>
          </w:tcPr>
          <w:p w:rsidR="00181834" w:rsidRDefault="00181834">
            <w:pPr>
              <w:spacing w:after="160" w:line="256" w:lineRule="auto"/>
              <w:rPr>
                <w:sz w:val="22"/>
                <w:szCs w:val="22"/>
              </w:rPr>
            </w:pPr>
          </w:p>
        </w:tc>
        <w:tc>
          <w:tcPr>
            <w:tcW w:w="469" w:type="dxa"/>
            <w:shd w:val="clear" w:color="auto" w:fill="auto"/>
            <w:noWrap/>
            <w:vAlign w:val="center"/>
          </w:tcPr>
          <w:p w:rsidR="00181834" w:rsidRDefault="007329B5">
            <w:pPr>
              <w:rPr>
                <w:rFonts w:eastAsia="Times New Roman"/>
                <w:color w:val="000000"/>
                <w:sz w:val="22"/>
                <w:szCs w:val="22"/>
              </w:rPr>
            </w:pPr>
            <w:proofErr w:type="spellStart"/>
            <w:r>
              <w:rPr>
                <w:rFonts w:eastAsia="Times New Roman"/>
                <w:color w:val="000000"/>
                <w:sz w:val="22"/>
                <w:szCs w:val="22"/>
              </w:rPr>
              <w:t>fxs</w:t>
            </w:r>
            <w:proofErr w:type="spellEnd"/>
          </w:p>
        </w:tc>
        <w:tc>
          <w:tcPr>
            <w:tcW w:w="482"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22</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134</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72</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292</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345</w:t>
            </w:r>
          </w:p>
        </w:tc>
        <w:tc>
          <w:tcPr>
            <w:tcW w:w="702" w:type="dxa"/>
            <w:shd w:val="clear" w:color="auto" w:fill="auto"/>
            <w:noWrap/>
            <w:vAlign w:val="center"/>
          </w:tcPr>
          <w:p w:rsidR="00181834" w:rsidRDefault="00181834">
            <w:pPr>
              <w:spacing w:after="160" w:line="256" w:lineRule="auto"/>
              <w:jc w:val="center"/>
              <w:rPr>
                <w:sz w:val="22"/>
                <w:szCs w:val="22"/>
              </w:rPr>
            </w:pPr>
          </w:p>
        </w:tc>
        <w:tc>
          <w:tcPr>
            <w:tcW w:w="726"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1275</w:t>
            </w:r>
          </w:p>
        </w:tc>
        <w:tc>
          <w:tcPr>
            <w:tcW w:w="872"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68%</w:t>
            </w:r>
          </w:p>
        </w:tc>
        <w:tc>
          <w:tcPr>
            <w:tcW w:w="1192"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Moderate</w:t>
            </w:r>
          </w:p>
        </w:tc>
      </w:tr>
      <w:tr w:rsidR="00181834">
        <w:trPr>
          <w:trHeight w:hRule="exact" w:val="283"/>
          <w:jc w:val="center"/>
        </w:trPr>
        <w:tc>
          <w:tcPr>
            <w:tcW w:w="738"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DC_2</w:t>
            </w:r>
          </w:p>
        </w:tc>
        <w:tc>
          <w:tcPr>
            <w:tcW w:w="469"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f</w:t>
            </w:r>
          </w:p>
        </w:tc>
        <w:tc>
          <w:tcPr>
            <w:tcW w:w="482"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44</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50</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5</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72</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84</w:t>
            </w:r>
          </w:p>
        </w:tc>
        <w:tc>
          <w:tcPr>
            <w:tcW w:w="702" w:type="dxa"/>
            <w:shd w:val="clear" w:color="auto" w:fill="auto"/>
            <w:noWrap/>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shd w:val="clear" w:color="auto" w:fill="auto"/>
            <w:noWrap/>
          </w:tcPr>
          <w:p w:rsidR="00181834" w:rsidRDefault="00181834">
            <w:pPr>
              <w:spacing w:after="160" w:line="256" w:lineRule="auto"/>
              <w:rPr>
                <w:sz w:val="22"/>
                <w:szCs w:val="22"/>
              </w:rPr>
            </w:pPr>
          </w:p>
        </w:tc>
        <w:tc>
          <w:tcPr>
            <w:tcW w:w="872" w:type="dxa"/>
            <w:shd w:val="clear" w:color="auto" w:fill="auto"/>
            <w:noWrap/>
            <w:vAlign w:val="bottom"/>
          </w:tcPr>
          <w:p w:rsidR="00181834" w:rsidRDefault="00181834">
            <w:pPr>
              <w:spacing w:after="160" w:line="256" w:lineRule="auto"/>
              <w:rPr>
                <w:sz w:val="22"/>
                <w:szCs w:val="22"/>
              </w:rPr>
            </w:pPr>
          </w:p>
        </w:tc>
        <w:tc>
          <w:tcPr>
            <w:tcW w:w="1192" w:type="dxa"/>
            <w:shd w:val="clear" w:color="auto" w:fill="auto"/>
            <w:noWrap/>
            <w:vAlign w:val="bottom"/>
          </w:tcPr>
          <w:p w:rsidR="00181834" w:rsidRDefault="00181834">
            <w:pPr>
              <w:spacing w:after="160" w:line="256" w:lineRule="auto"/>
              <w:rPr>
                <w:sz w:val="22"/>
                <w:szCs w:val="22"/>
              </w:rPr>
            </w:pPr>
          </w:p>
        </w:tc>
      </w:tr>
      <w:tr w:rsidR="00181834">
        <w:trPr>
          <w:trHeight w:hRule="exact" w:val="283"/>
          <w:jc w:val="center"/>
        </w:trPr>
        <w:tc>
          <w:tcPr>
            <w:tcW w:w="738" w:type="dxa"/>
            <w:shd w:val="clear" w:color="auto" w:fill="auto"/>
            <w:noWrap/>
            <w:vAlign w:val="bottom"/>
          </w:tcPr>
          <w:p w:rsidR="00181834" w:rsidRDefault="00181834">
            <w:pPr>
              <w:spacing w:after="160" w:line="256" w:lineRule="auto"/>
              <w:rPr>
                <w:sz w:val="22"/>
                <w:szCs w:val="22"/>
              </w:rPr>
            </w:pPr>
          </w:p>
        </w:tc>
        <w:tc>
          <w:tcPr>
            <w:tcW w:w="469" w:type="dxa"/>
            <w:shd w:val="clear" w:color="auto" w:fill="auto"/>
            <w:noWrap/>
            <w:vAlign w:val="center"/>
          </w:tcPr>
          <w:p w:rsidR="00181834" w:rsidRDefault="007329B5">
            <w:pPr>
              <w:rPr>
                <w:rFonts w:eastAsia="Times New Roman"/>
                <w:color w:val="000000"/>
                <w:sz w:val="22"/>
                <w:szCs w:val="22"/>
              </w:rPr>
            </w:pPr>
            <w:proofErr w:type="spellStart"/>
            <w:r>
              <w:rPr>
                <w:rFonts w:eastAsia="Times New Roman"/>
                <w:color w:val="000000"/>
                <w:sz w:val="22"/>
                <w:szCs w:val="22"/>
              </w:rPr>
              <w:t>fxs</w:t>
            </w:r>
            <w:proofErr w:type="spellEnd"/>
          </w:p>
        </w:tc>
        <w:tc>
          <w:tcPr>
            <w:tcW w:w="482"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44</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100</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15</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288</w:t>
            </w:r>
          </w:p>
        </w:tc>
        <w:tc>
          <w:tcPr>
            <w:tcW w:w="530" w:type="dxa"/>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420</w:t>
            </w:r>
          </w:p>
        </w:tc>
        <w:tc>
          <w:tcPr>
            <w:tcW w:w="702" w:type="dxa"/>
            <w:shd w:val="clear" w:color="auto" w:fill="auto"/>
            <w:noWrap/>
          </w:tcPr>
          <w:p w:rsidR="00181834" w:rsidRDefault="00181834">
            <w:pPr>
              <w:spacing w:after="160" w:line="256" w:lineRule="auto"/>
              <w:jc w:val="center"/>
              <w:rPr>
                <w:sz w:val="22"/>
                <w:szCs w:val="22"/>
              </w:rPr>
            </w:pPr>
          </w:p>
        </w:tc>
        <w:tc>
          <w:tcPr>
            <w:tcW w:w="726" w:type="dxa"/>
            <w:shd w:val="clear" w:color="auto" w:fill="auto"/>
            <w:noWrap/>
          </w:tcPr>
          <w:p w:rsidR="00181834" w:rsidRDefault="007329B5">
            <w:pPr>
              <w:jc w:val="both"/>
              <w:rPr>
                <w:rFonts w:eastAsia="Times New Roman"/>
                <w:color w:val="000000"/>
                <w:sz w:val="22"/>
                <w:szCs w:val="22"/>
              </w:rPr>
            </w:pPr>
            <w:r>
              <w:rPr>
                <w:rFonts w:eastAsia="Times New Roman"/>
                <w:color w:val="000000"/>
                <w:sz w:val="22"/>
                <w:szCs w:val="22"/>
              </w:rPr>
              <w:t>1275</w:t>
            </w:r>
          </w:p>
        </w:tc>
        <w:tc>
          <w:tcPr>
            <w:tcW w:w="872" w:type="dxa"/>
            <w:shd w:val="clear" w:color="auto" w:fill="auto"/>
            <w:noWrap/>
          </w:tcPr>
          <w:p w:rsidR="00181834" w:rsidRDefault="007329B5">
            <w:pPr>
              <w:jc w:val="both"/>
              <w:rPr>
                <w:rFonts w:eastAsia="Times New Roman"/>
                <w:color w:val="000000"/>
                <w:sz w:val="22"/>
                <w:szCs w:val="22"/>
              </w:rPr>
            </w:pPr>
            <w:r>
              <w:rPr>
                <w:rFonts w:eastAsia="Times New Roman"/>
                <w:color w:val="000000"/>
                <w:sz w:val="22"/>
                <w:szCs w:val="22"/>
              </w:rPr>
              <w:t>68%</w:t>
            </w:r>
          </w:p>
        </w:tc>
        <w:tc>
          <w:tcPr>
            <w:tcW w:w="1192" w:type="dxa"/>
            <w:shd w:val="clear" w:color="auto" w:fill="auto"/>
            <w:noWrap/>
          </w:tcPr>
          <w:p w:rsidR="00181834" w:rsidRDefault="007329B5">
            <w:pPr>
              <w:jc w:val="both"/>
              <w:rPr>
                <w:rFonts w:eastAsia="Times New Roman"/>
                <w:color w:val="000000"/>
                <w:sz w:val="22"/>
                <w:szCs w:val="22"/>
              </w:rPr>
            </w:pPr>
            <w:r>
              <w:rPr>
                <w:rFonts w:eastAsia="Times New Roman"/>
                <w:color w:val="000000"/>
                <w:sz w:val="22"/>
                <w:szCs w:val="22"/>
              </w:rPr>
              <w:t>Moderate</w:t>
            </w:r>
          </w:p>
        </w:tc>
      </w:tr>
      <w:tr w:rsidR="00181834">
        <w:trPr>
          <w:jc w:val="center"/>
        </w:trPr>
        <w:tc>
          <w:tcPr>
            <w:tcW w:w="7301" w:type="dxa"/>
            <w:gridSpan w:val="11"/>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Digital Resources</w:t>
            </w:r>
          </w:p>
        </w:tc>
      </w:tr>
      <w:tr w:rsidR="00181834">
        <w:trPr>
          <w:trHeight w:hRule="exact" w:val="283"/>
          <w:jc w:val="center"/>
        </w:trPr>
        <w:tc>
          <w:tcPr>
            <w:tcW w:w="738"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DC_3</w:t>
            </w:r>
          </w:p>
        </w:tc>
        <w:tc>
          <w:tcPr>
            <w:tcW w:w="469"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82" w:type="dxa"/>
            <w:shd w:val="clear" w:color="auto" w:fill="auto"/>
            <w:noWrap/>
          </w:tcPr>
          <w:p w:rsidR="00181834" w:rsidRDefault="007329B5">
            <w:pPr>
              <w:jc w:val="center"/>
              <w:rPr>
                <w:rFonts w:eastAsia="Times New Roman"/>
                <w:color w:val="000000"/>
                <w:sz w:val="22"/>
                <w:szCs w:val="22"/>
              </w:rPr>
            </w:pPr>
            <w:r>
              <w:rPr>
                <w:rFonts w:eastAsia="Times New Roman"/>
                <w:color w:val="000000"/>
                <w:sz w:val="22"/>
                <w:szCs w:val="22"/>
              </w:rPr>
              <w:t>33</w:t>
            </w:r>
          </w:p>
        </w:tc>
        <w:tc>
          <w:tcPr>
            <w:tcW w:w="530" w:type="dxa"/>
            <w:shd w:val="clear" w:color="auto" w:fill="auto"/>
            <w:noWrap/>
          </w:tcPr>
          <w:p w:rsidR="00181834" w:rsidRDefault="007329B5">
            <w:pPr>
              <w:jc w:val="center"/>
              <w:rPr>
                <w:rFonts w:eastAsia="Times New Roman"/>
                <w:color w:val="000000"/>
                <w:sz w:val="22"/>
                <w:szCs w:val="22"/>
              </w:rPr>
            </w:pPr>
            <w:r>
              <w:rPr>
                <w:rFonts w:eastAsia="Times New Roman"/>
                <w:color w:val="000000"/>
                <w:sz w:val="22"/>
                <w:szCs w:val="22"/>
              </w:rPr>
              <w:t>56</w:t>
            </w:r>
          </w:p>
        </w:tc>
        <w:tc>
          <w:tcPr>
            <w:tcW w:w="530" w:type="dxa"/>
            <w:shd w:val="clear" w:color="auto" w:fill="auto"/>
            <w:noWrap/>
          </w:tcPr>
          <w:p w:rsidR="00181834" w:rsidRDefault="007329B5">
            <w:pPr>
              <w:jc w:val="center"/>
              <w:rPr>
                <w:rFonts w:eastAsia="Times New Roman"/>
                <w:color w:val="000000"/>
                <w:sz w:val="22"/>
                <w:szCs w:val="22"/>
              </w:rPr>
            </w:pPr>
            <w:r>
              <w:rPr>
                <w:rFonts w:eastAsia="Times New Roman"/>
                <w:color w:val="000000"/>
                <w:sz w:val="22"/>
                <w:szCs w:val="22"/>
              </w:rPr>
              <w:t>16</w:t>
            </w:r>
          </w:p>
        </w:tc>
        <w:tc>
          <w:tcPr>
            <w:tcW w:w="530" w:type="dxa"/>
            <w:shd w:val="clear" w:color="auto" w:fill="auto"/>
            <w:noWrap/>
          </w:tcPr>
          <w:p w:rsidR="00181834" w:rsidRDefault="007329B5">
            <w:pPr>
              <w:jc w:val="center"/>
              <w:rPr>
                <w:rFonts w:eastAsia="Times New Roman"/>
                <w:color w:val="000000"/>
                <w:sz w:val="22"/>
                <w:szCs w:val="22"/>
              </w:rPr>
            </w:pPr>
            <w:r>
              <w:rPr>
                <w:rFonts w:eastAsia="Times New Roman"/>
                <w:color w:val="000000"/>
                <w:sz w:val="22"/>
                <w:szCs w:val="22"/>
              </w:rPr>
              <w:t>20</w:t>
            </w:r>
          </w:p>
        </w:tc>
        <w:tc>
          <w:tcPr>
            <w:tcW w:w="530" w:type="dxa"/>
            <w:shd w:val="clear" w:color="auto" w:fill="auto"/>
            <w:noWrap/>
          </w:tcPr>
          <w:p w:rsidR="00181834" w:rsidRDefault="007329B5">
            <w:pPr>
              <w:jc w:val="center"/>
              <w:rPr>
                <w:rFonts w:eastAsia="Times New Roman"/>
                <w:color w:val="000000"/>
                <w:sz w:val="22"/>
                <w:szCs w:val="22"/>
              </w:rPr>
            </w:pPr>
            <w:r>
              <w:rPr>
                <w:rFonts w:eastAsia="Times New Roman"/>
                <w:color w:val="000000"/>
                <w:sz w:val="22"/>
                <w:szCs w:val="22"/>
              </w:rPr>
              <w:t>130</w:t>
            </w:r>
          </w:p>
        </w:tc>
        <w:tc>
          <w:tcPr>
            <w:tcW w:w="70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shd w:val="clear" w:color="auto" w:fill="auto"/>
            <w:noWrap/>
            <w:vAlign w:val="bottom"/>
          </w:tcPr>
          <w:p w:rsidR="00181834" w:rsidRDefault="00181834">
            <w:pPr>
              <w:spacing w:after="160" w:line="256" w:lineRule="auto"/>
              <w:rPr>
                <w:sz w:val="22"/>
                <w:szCs w:val="22"/>
              </w:rPr>
            </w:pPr>
          </w:p>
        </w:tc>
        <w:tc>
          <w:tcPr>
            <w:tcW w:w="872" w:type="dxa"/>
            <w:shd w:val="clear" w:color="auto" w:fill="auto"/>
            <w:noWrap/>
            <w:vAlign w:val="bottom"/>
          </w:tcPr>
          <w:p w:rsidR="00181834" w:rsidRDefault="00181834">
            <w:pPr>
              <w:spacing w:after="160" w:line="256" w:lineRule="auto"/>
              <w:rPr>
                <w:sz w:val="22"/>
                <w:szCs w:val="22"/>
              </w:rPr>
            </w:pPr>
          </w:p>
        </w:tc>
        <w:tc>
          <w:tcPr>
            <w:tcW w:w="1192" w:type="dxa"/>
            <w:shd w:val="clear" w:color="auto" w:fill="auto"/>
            <w:noWrap/>
            <w:vAlign w:val="bottom"/>
          </w:tcPr>
          <w:p w:rsidR="00181834" w:rsidRDefault="00181834">
            <w:pPr>
              <w:spacing w:after="160" w:line="256" w:lineRule="auto"/>
              <w:rPr>
                <w:sz w:val="22"/>
                <w:szCs w:val="22"/>
              </w:rPr>
            </w:pPr>
          </w:p>
        </w:tc>
      </w:tr>
      <w:tr w:rsidR="00181834">
        <w:trPr>
          <w:trHeight w:hRule="exact" w:val="283"/>
          <w:jc w:val="center"/>
        </w:trPr>
        <w:tc>
          <w:tcPr>
            <w:tcW w:w="738" w:type="dxa"/>
            <w:shd w:val="clear" w:color="auto" w:fill="auto"/>
            <w:noWrap/>
            <w:vAlign w:val="bottom"/>
          </w:tcPr>
          <w:p w:rsidR="00181834" w:rsidRDefault="00181834">
            <w:pPr>
              <w:spacing w:after="160" w:line="256" w:lineRule="auto"/>
              <w:rPr>
                <w:sz w:val="22"/>
                <w:szCs w:val="22"/>
              </w:rPr>
            </w:pPr>
          </w:p>
        </w:tc>
        <w:tc>
          <w:tcPr>
            <w:tcW w:w="469"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82" w:type="dxa"/>
            <w:shd w:val="clear" w:color="auto" w:fill="auto"/>
            <w:noWrap/>
          </w:tcPr>
          <w:p w:rsidR="00181834" w:rsidRDefault="007329B5">
            <w:pPr>
              <w:jc w:val="center"/>
              <w:rPr>
                <w:rFonts w:eastAsia="Times New Roman"/>
                <w:color w:val="000000"/>
                <w:sz w:val="22"/>
                <w:szCs w:val="22"/>
              </w:rPr>
            </w:pPr>
            <w:r>
              <w:rPr>
                <w:rFonts w:eastAsia="Times New Roman"/>
                <w:color w:val="000000"/>
                <w:sz w:val="22"/>
                <w:szCs w:val="22"/>
              </w:rPr>
              <w:t>33</w:t>
            </w:r>
          </w:p>
        </w:tc>
        <w:tc>
          <w:tcPr>
            <w:tcW w:w="530" w:type="dxa"/>
            <w:shd w:val="clear" w:color="auto" w:fill="auto"/>
            <w:noWrap/>
          </w:tcPr>
          <w:p w:rsidR="00181834" w:rsidRDefault="007329B5">
            <w:pPr>
              <w:jc w:val="center"/>
              <w:rPr>
                <w:rFonts w:eastAsia="Times New Roman"/>
                <w:color w:val="000000"/>
                <w:sz w:val="22"/>
                <w:szCs w:val="22"/>
              </w:rPr>
            </w:pPr>
            <w:r>
              <w:rPr>
                <w:rFonts w:eastAsia="Times New Roman"/>
                <w:color w:val="000000"/>
                <w:sz w:val="22"/>
                <w:szCs w:val="22"/>
              </w:rPr>
              <w:t>112</w:t>
            </w:r>
          </w:p>
        </w:tc>
        <w:tc>
          <w:tcPr>
            <w:tcW w:w="530" w:type="dxa"/>
            <w:shd w:val="clear" w:color="auto" w:fill="auto"/>
            <w:noWrap/>
          </w:tcPr>
          <w:p w:rsidR="00181834" w:rsidRDefault="007329B5">
            <w:pPr>
              <w:jc w:val="center"/>
              <w:rPr>
                <w:rFonts w:eastAsia="Times New Roman"/>
                <w:color w:val="000000"/>
                <w:sz w:val="22"/>
                <w:szCs w:val="22"/>
              </w:rPr>
            </w:pPr>
            <w:r>
              <w:rPr>
                <w:rFonts w:eastAsia="Times New Roman"/>
                <w:color w:val="000000"/>
                <w:sz w:val="22"/>
                <w:szCs w:val="22"/>
              </w:rPr>
              <w:t>48</w:t>
            </w:r>
          </w:p>
        </w:tc>
        <w:tc>
          <w:tcPr>
            <w:tcW w:w="530" w:type="dxa"/>
            <w:shd w:val="clear" w:color="auto" w:fill="auto"/>
            <w:noWrap/>
          </w:tcPr>
          <w:p w:rsidR="00181834" w:rsidRDefault="007329B5">
            <w:pPr>
              <w:jc w:val="center"/>
              <w:rPr>
                <w:rFonts w:eastAsia="Times New Roman"/>
                <w:color w:val="000000"/>
                <w:sz w:val="22"/>
                <w:szCs w:val="22"/>
              </w:rPr>
            </w:pPr>
            <w:r>
              <w:rPr>
                <w:rFonts w:eastAsia="Times New Roman"/>
                <w:color w:val="000000"/>
                <w:sz w:val="22"/>
                <w:szCs w:val="22"/>
              </w:rPr>
              <w:t>80</w:t>
            </w:r>
          </w:p>
        </w:tc>
        <w:tc>
          <w:tcPr>
            <w:tcW w:w="530" w:type="dxa"/>
            <w:shd w:val="clear" w:color="auto" w:fill="auto"/>
            <w:noWrap/>
          </w:tcPr>
          <w:p w:rsidR="00181834" w:rsidRDefault="007329B5">
            <w:pPr>
              <w:jc w:val="center"/>
              <w:rPr>
                <w:rFonts w:eastAsia="Times New Roman"/>
                <w:color w:val="000000"/>
                <w:sz w:val="22"/>
                <w:szCs w:val="22"/>
              </w:rPr>
            </w:pPr>
            <w:r>
              <w:rPr>
                <w:rFonts w:eastAsia="Times New Roman"/>
                <w:color w:val="000000"/>
                <w:sz w:val="22"/>
                <w:szCs w:val="22"/>
              </w:rPr>
              <w:t>650</w:t>
            </w:r>
          </w:p>
        </w:tc>
        <w:tc>
          <w:tcPr>
            <w:tcW w:w="702" w:type="dxa"/>
            <w:shd w:val="clear" w:color="auto" w:fill="auto"/>
            <w:noWrap/>
            <w:vAlign w:val="bottom"/>
          </w:tcPr>
          <w:p w:rsidR="00181834" w:rsidRDefault="00181834">
            <w:pPr>
              <w:spacing w:after="160" w:line="256" w:lineRule="auto"/>
              <w:jc w:val="center"/>
              <w:rPr>
                <w:sz w:val="22"/>
                <w:szCs w:val="22"/>
              </w:rPr>
            </w:pPr>
          </w:p>
        </w:tc>
        <w:tc>
          <w:tcPr>
            <w:tcW w:w="726"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7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72%</w:t>
            </w:r>
          </w:p>
        </w:tc>
        <w:tc>
          <w:tcPr>
            <w:tcW w:w="1192" w:type="dxa"/>
            <w:shd w:val="clear" w:color="auto" w:fill="auto"/>
            <w:noWrap/>
            <w:vAlign w:val="bottom"/>
          </w:tcPr>
          <w:p w:rsidR="00181834" w:rsidRDefault="007329B5">
            <w:pPr>
              <w:jc w:val="both"/>
              <w:rPr>
                <w:rFonts w:eastAsia="Times New Roman"/>
                <w:color w:val="000000"/>
                <w:sz w:val="22"/>
                <w:szCs w:val="22"/>
              </w:rPr>
            </w:pPr>
            <w:r>
              <w:rPr>
                <w:rFonts w:eastAsia="Times New Roman"/>
                <w:color w:val="000000"/>
                <w:sz w:val="22"/>
                <w:szCs w:val="22"/>
              </w:rPr>
              <w:t>Moderate</w:t>
            </w:r>
          </w:p>
        </w:tc>
      </w:tr>
      <w:tr w:rsidR="00181834">
        <w:trPr>
          <w:jc w:val="center"/>
        </w:trPr>
        <w:tc>
          <w:tcPr>
            <w:tcW w:w="7301" w:type="dxa"/>
            <w:gridSpan w:val="11"/>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Teaching and Learning</w:t>
            </w:r>
          </w:p>
        </w:tc>
      </w:tr>
      <w:tr w:rsidR="00181834">
        <w:trPr>
          <w:trHeight w:hRule="exact" w:val="283"/>
          <w:jc w:val="center"/>
        </w:trPr>
        <w:tc>
          <w:tcPr>
            <w:tcW w:w="738"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DC_4</w:t>
            </w:r>
          </w:p>
        </w:tc>
        <w:tc>
          <w:tcPr>
            <w:tcW w:w="469"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82"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33</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54</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12</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18</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138</w:t>
            </w:r>
          </w:p>
        </w:tc>
        <w:tc>
          <w:tcPr>
            <w:tcW w:w="70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shd w:val="clear" w:color="auto" w:fill="auto"/>
            <w:noWrap/>
            <w:vAlign w:val="bottom"/>
          </w:tcPr>
          <w:p w:rsidR="00181834" w:rsidRDefault="00181834">
            <w:pPr>
              <w:spacing w:after="160" w:line="256" w:lineRule="auto"/>
              <w:rPr>
                <w:sz w:val="22"/>
                <w:szCs w:val="22"/>
              </w:rPr>
            </w:pPr>
          </w:p>
        </w:tc>
        <w:tc>
          <w:tcPr>
            <w:tcW w:w="872" w:type="dxa"/>
            <w:shd w:val="clear" w:color="auto" w:fill="auto"/>
            <w:noWrap/>
            <w:vAlign w:val="bottom"/>
          </w:tcPr>
          <w:p w:rsidR="00181834" w:rsidRDefault="00181834">
            <w:pPr>
              <w:spacing w:after="160" w:line="256" w:lineRule="auto"/>
              <w:rPr>
                <w:sz w:val="22"/>
                <w:szCs w:val="22"/>
              </w:rPr>
            </w:pPr>
          </w:p>
        </w:tc>
        <w:tc>
          <w:tcPr>
            <w:tcW w:w="1192" w:type="dxa"/>
            <w:shd w:val="clear" w:color="auto" w:fill="auto"/>
            <w:noWrap/>
            <w:vAlign w:val="bottom"/>
          </w:tcPr>
          <w:p w:rsidR="00181834" w:rsidRDefault="00181834">
            <w:pPr>
              <w:spacing w:after="160" w:line="256" w:lineRule="auto"/>
              <w:rPr>
                <w:sz w:val="22"/>
                <w:szCs w:val="22"/>
              </w:rPr>
            </w:pPr>
          </w:p>
        </w:tc>
      </w:tr>
      <w:tr w:rsidR="00181834">
        <w:trPr>
          <w:trHeight w:hRule="exact" w:val="283"/>
          <w:jc w:val="center"/>
        </w:trPr>
        <w:tc>
          <w:tcPr>
            <w:tcW w:w="738" w:type="dxa"/>
            <w:shd w:val="clear" w:color="auto" w:fill="auto"/>
            <w:noWrap/>
            <w:vAlign w:val="bottom"/>
          </w:tcPr>
          <w:p w:rsidR="00181834" w:rsidRDefault="00181834">
            <w:pPr>
              <w:spacing w:after="160" w:line="256" w:lineRule="auto"/>
              <w:rPr>
                <w:sz w:val="22"/>
                <w:szCs w:val="22"/>
              </w:rPr>
            </w:pPr>
          </w:p>
        </w:tc>
        <w:tc>
          <w:tcPr>
            <w:tcW w:w="469"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33</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108</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36</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72</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690</w:t>
            </w:r>
          </w:p>
        </w:tc>
        <w:tc>
          <w:tcPr>
            <w:tcW w:w="702" w:type="dxa"/>
            <w:shd w:val="clear" w:color="auto" w:fill="auto"/>
            <w:noWrap/>
            <w:vAlign w:val="bottom"/>
          </w:tcPr>
          <w:p w:rsidR="00181834" w:rsidRDefault="00181834">
            <w:pPr>
              <w:spacing w:after="160" w:line="256" w:lineRule="auto"/>
              <w:jc w:val="center"/>
              <w:rPr>
                <w:sz w:val="22"/>
                <w:szCs w:val="22"/>
              </w:rPr>
            </w:pPr>
          </w:p>
        </w:tc>
        <w:tc>
          <w:tcPr>
            <w:tcW w:w="726"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7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74%</w:t>
            </w:r>
          </w:p>
        </w:tc>
        <w:tc>
          <w:tcPr>
            <w:tcW w:w="119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Very Good</w:t>
            </w:r>
          </w:p>
        </w:tc>
      </w:tr>
      <w:tr w:rsidR="00181834">
        <w:trPr>
          <w:jc w:val="center"/>
        </w:trPr>
        <w:tc>
          <w:tcPr>
            <w:tcW w:w="7301" w:type="dxa"/>
            <w:gridSpan w:val="11"/>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Assessment</w:t>
            </w:r>
          </w:p>
        </w:tc>
      </w:tr>
      <w:tr w:rsidR="00181834">
        <w:trPr>
          <w:trHeight w:hRule="exact" w:val="283"/>
          <w:jc w:val="center"/>
        </w:trPr>
        <w:tc>
          <w:tcPr>
            <w:tcW w:w="738"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DC_5</w:t>
            </w:r>
          </w:p>
        </w:tc>
        <w:tc>
          <w:tcPr>
            <w:tcW w:w="469"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82"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26</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73</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47</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37</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72</w:t>
            </w:r>
          </w:p>
        </w:tc>
        <w:tc>
          <w:tcPr>
            <w:tcW w:w="70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shd w:val="clear" w:color="auto" w:fill="auto"/>
            <w:noWrap/>
            <w:vAlign w:val="bottom"/>
          </w:tcPr>
          <w:p w:rsidR="00181834" w:rsidRDefault="00181834">
            <w:pPr>
              <w:spacing w:after="160" w:line="256" w:lineRule="auto"/>
              <w:rPr>
                <w:sz w:val="22"/>
                <w:szCs w:val="22"/>
              </w:rPr>
            </w:pPr>
          </w:p>
        </w:tc>
        <w:tc>
          <w:tcPr>
            <w:tcW w:w="872" w:type="dxa"/>
            <w:shd w:val="clear" w:color="auto" w:fill="auto"/>
            <w:noWrap/>
            <w:vAlign w:val="bottom"/>
          </w:tcPr>
          <w:p w:rsidR="00181834" w:rsidRDefault="00181834">
            <w:pPr>
              <w:spacing w:after="160" w:line="256" w:lineRule="auto"/>
              <w:rPr>
                <w:sz w:val="22"/>
                <w:szCs w:val="22"/>
              </w:rPr>
            </w:pPr>
          </w:p>
        </w:tc>
        <w:tc>
          <w:tcPr>
            <w:tcW w:w="1192" w:type="dxa"/>
            <w:shd w:val="clear" w:color="auto" w:fill="auto"/>
            <w:noWrap/>
            <w:vAlign w:val="bottom"/>
          </w:tcPr>
          <w:p w:rsidR="00181834" w:rsidRDefault="00181834">
            <w:pPr>
              <w:spacing w:after="160" w:line="256" w:lineRule="auto"/>
              <w:rPr>
                <w:sz w:val="22"/>
                <w:szCs w:val="22"/>
              </w:rPr>
            </w:pPr>
          </w:p>
        </w:tc>
      </w:tr>
      <w:tr w:rsidR="00181834">
        <w:trPr>
          <w:trHeight w:hRule="exact" w:val="283"/>
          <w:jc w:val="center"/>
        </w:trPr>
        <w:tc>
          <w:tcPr>
            <w:tcW w:w="738" w:type="dxa"/>
            <w:shd w:val="clear" w:color="auto" w:fill="auto"/>
            <w:noWrap/>
            <w:vAlign w:val="bottom"/>
          </w:tcPr>
          <w:p w:rsidR="00181834" w:rsidRDefault="00181834">
            <w:pPr>
              <w:spacing w:after="160" w:line="256" w:lineRule="auto"/>
              <w:rPr>
                <w:sz w:val="22"/>
                <w:szCs w:val="22"/>
              </w:rPr>
            </w:pPr>
          </w:p>
        </w:tc>
        <w:tc>
          <w:tcPr>
            <w:tcW w:w="469"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26</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146</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141</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148</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360</w:t>
            </w:r>
          </w:p>
        </w:tc>
        <w:tc>
          <w:tcPr>
            <w:tcW w:w="702" w:type="dxa"/>
            <w:shd w:val="clear" w:color="auto" w:fill="auto"/>
            <w:noWrap/>
            <w:vAlign w:val="bottom"/>
          </w:tcPr>
          <w:p w:rsidR="00181834" w:rsidRDefault="00181834">
            <w:pPr>
              <w:spacing w:after="160" w:line="256" w:lineRule="auto"/>
              <w:rPr>
                <w:sz w:val="22"/>
                <w:szCs w:val="22"/>
              </w:rPr>
            </w:pPr>
          </w:p>
        </w:tc>
        <w:tc>
          <w:tcPr>
            <w:tcW w:w="726"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7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64%</w:t>
            </w:r>
          </w:p>
        </w:tc>
        <w:tc>
          <w:tcPr>
            <w:tcW w:w="119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jc w:val="center"/>
        </w:trPr>
        <w:tc>
          <w:tcPr>
            <w:tcW w:w="7301" w:type="dxa"/>
            <w:gridSpan w:val="11"/>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Student Empowerment</w:t>
            </w:r>
          </w:p>
        </w:tc>
      </w:tr>
      <w:tr w:rsidR="00181834">
        <w:trPr>
          <w:trHeight w:hRule="exact" w:val="283"/>
          <w:jc w:val="center"/>
        </w:trPr>
        <w:tc>
          <w:tcPr>
            <w:tcW w:w="738"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DC_6</w:t>
            </w:r>
          </w:p>
        </w:tc>
        <w:tc>
          <w:tcPr>
            <w:tcW w:w="469"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82"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36</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56</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34</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61</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68</w:t>
            </w:r>
          </w:p>
        </w:tc>
        <w:tc>
          <w:tcPr>
            <w:tcW w:w="70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shd w:val="clear" w:color="auto" w:fill="auto"/>
            <w:noWrap/>
            <w:vAlign w:val="bottom"/>
          </w:tcPr>
          <w:p w:rsidR="00181834" w:rsidRDefault="00181834">
            <w:pPr>
              <w:spacing w:after="160" w:line="256" w:lineRule="auto"/>
              <w:rPr>
                <w:sz w:val="22"/>
                <w:szCs w:val="22"/>
              </w:rPr>
            </w:pPr>
          </w:p>
        </w:tc>
        <w:tc>
          <w:tcPr>
            <w:tcW w:w="872" w:type="dxa"/>
            <w:shd w:val="clear" w:color="auto" w:fill="auto"/>
            <w:noWrap/>
            <w:vAlign w:val="bottom"/>
          </w:tcPr>
          <w:p w:rsidR="00181834" w:rsidRDefault="00181834">
            <w:pPr>
              <w:spacing w:after="160" w:line="256" w:lineRule="auto"/>
              <w:rPr>
                <w:sz w:val="22"/>
                <w:szCs w:val="22"/>
              </w:rPr>
            </w:pPr>
          </w:p>
        </w:tc>
        <w:tc>
          <w:tcPr>
            <w:tcW w:w="1192" w:type="dxa"/>
            <w:shd w:val="clear" w:color="auto" w:fill="auto"/>
            <w:noWrap/>
            <w:vAlign w:val="bottom"/>
          </w:tcPr>
          <w:p w:rsidR="00181834" w:rsidRDefault="00181834">
            <w:pPr>
              <w:spacing w:after="160" w:line="256" w:lineRule="auto"/>
              <w:rPr>
                <w:sz w:val="22"/>
                <w:szCs w:val="22"/>
              </w:rPr>
            </w:pPr>
          </w:p>
        </w:tc>
      </w:tr>
      <w:tr w:rsidR="00181834">
        <w:trPr>
          <w:trHeight w:hRule="exact" w:val="283"/>
          <w:jc w:val="center"/>
        </w:trPr>
        <w:tc>
          <w:tcPr>
            <w:tcW w:w="738" w:type="dxa"/>
            <w:shd w:val="clear" w:color="auto" w:fill="auto"/>
            <w:noWrap/>
            <w:vAlign w:val="bottom"/>
          </w:tcPr>
          <w:p w:rsidR="00181834" w:rsidRDefault="00181834">
            <w:pPr>
              <w:spacing w:after="160" w:line="256" w:lineRule="auto"/>
              <w:rPr>
                <w:sz w:val="22"/>
                <w:szCs w:val="22"/>
              </w:rPr>
            </w:pPr>
          </w:p>
        </w:tc>
        <w:tc>
          <w:tcPr>
            <w:tcW w:w="469"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36</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112</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102</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244</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340</w:t>
            </w:r>
          </w:p>
        </w:tc>
        <w:tc>
          <w:tcPr>
            <w:tcW w:w="702" w:type="dxa"/>
            <w:shd w:val="clear" w:color="auto" w:fill="auto"/>
            <w:noWrap/>
            <w:vAlign w:val="bottom"/>
          </w:tcPr>
          <w:p w:rsidR="00181834" w:rsidRDefault="00181834">
            <w:pPr>
              <w:spacing w:after="160" w:line="256" w:lineRule="auto"/>
              <w:rPr>
                <w:sz w:val="22"/>
                <w:szCs w:val="22"/>
              </w:rPr>
            </w:pPr>
          </w:p>
        </w:tc>
        <w:tc>
          <w:tcPr>
            <w:tcW w:w="726"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7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65%</w:t>
            </w:r>
          </w:p>
        </w:tc>
        <w:tc>
          <w:tcPr>
            <w:tcW w:w="119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jc w:val="center"/>
        </w:trPr>
        <w:tc>
          <w:tcPr>
            <w:tcW w:w="7301" w:type="dxa"/>
            <w:gridSpan w:val="11"/>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Facilitating Students’ Digital Competence</w:t>
            </w:r>
          </w:p>
        </w:tc>
      </w:tr>
      <w:tr w:rsidR="00181834">
        <w:trPr>
          <w:trHeight w:hRule="exact" w:val="283"/>
          <w:jc w:val="center"/>
        </w:trPr>
        <w:tc>
          <w:tcPr>
            <w:tcW w:w="738"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DC_7</w:t>
            </w:r>
          </w:p>
        </w:tc>
        <w:tc>
          <w:tcPr>
            <w:tcW w:w="469"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82"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32</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65</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9</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77</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72</w:t>
            </w:r>
          </w:p>
        </w:tc>
        <w:tc>
          <w:tcPr>
            <w:tcW w:w="70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shd w:val="clear" w:color="auto" w:fill="auto"/>
            <w:noWrap/>
            <w:vAlign w:val="bottom"/>
          </w:tcPr>
          <w:p w:rsidR="00181834" w:rsidRDefault="00181834">
            <w:pPr>
              <w:spacing w:after="160" w:line="256" w:lineRule="auto"/>
              <w:rPr>
                <w:sz w:val="22"/>
                <w:szCs w:val="22"/>
              </w:rPr>
            </w:pPr>
          </w:p>
        </w:tc>
        <w:tc>
          <w:tcPr>
            <w:tcW w:w="872" w:type="dxa"/>
            <w:shd w:val="clear" w:color="auto" w:fill="auto"/>
            <w:noWrap/>
            <w:vAlign w:val="bottom"/>
          </w:tcPr>
          <w:p w:rsidR="00181834" w:rsidRDefault="00181834">
            <w:pPr>
              <w:spacing w:after="160" w:line="256" w:lineRule="auto"/>
              <w:rPr>
                <w:sz w:val="22"/>
                <w:szCs w:val="22"/>
              </w:rPr>
            </w:pPr>
          </w:p>
        </w:tc>
        <w:tc>
          <w:tcPr>
            <w:tcW w:w="1192" w:type="dxa"/>
            <w:shd w:val="clear" w:color="auto" w:fill="auto"/>
            <w:noWrap/>
            <w:vAlign w:val="bottom"/>
          </w:tcPr>
          <w:p w:rsidR="00181834" w:rsidRDefault="00181834">
            <w:pPr>
              <w:spacing w:after="160" w:line="256" w:lineRule="auto"/>
              <w:rPr>
                <w:sz w:val="22"/>
                <w:szCs w:val="22"/>
              </w:rPr>
            </w:pPr>
          </w:p>
        </w:tc>
      </w:tr>
      <w:tr w:rsidR="00181834">
        <w:trPr>
          <w:trHeight w:hRule="exact" w:val="283"/>
          <w:jc w:val="center"/>
        </w:trPr>
        <w:tc>
          <w:tcPr>
            <w:tcW w:w="738" w:type="dxa"/>
            <w:shd w:val="clear" w:color="auto" w:fill="auto"/>
            <w:noWrap/>
            <w:vAlign w:val="bottom"/>
          </w:tcPr>
          <w:p w:rsidR="00181834" w:rsidRDefault="00181834">
            <w:pPr>
              <w:spacing w:after="160" w:line="256" w:lineRule="auto"/>
              <w:rPr>
                <w:sz w:val="22"/>
                <w:szCs w:val="22"/>
              </w:rPr>
            </w:pPr>
          </w:p>
        </w:tc>
        <w:tc>
          <w:tcPr>
            <w:tcW w:w="469"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32</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130</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27</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308</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360</w:t>
            </w:r>
          </w:p>
        </w:tc>
        <w:tc>
          <w:tcPr>
            <w:tcW w:w="702" w:type="dxa"/>
            <w:shd w:val="clear" w:color="auto" w:fill="auto"/>
            <w:noWrap/>
            <w:vAlign w:val="bottom"/>
          </w:tcPr>
          <w:p w:rsidR="00181834" w:rsidRDefault="00181834">
            <w:pPr>
              <w:spacing w:after="160" w:line="256" w:lineRule="auto"/>
              <w:rPr>
                <w:sz w:val="22"/>
                <w:szCs w:val="22"/>
              </w:rPr>
            </w:pPr>
          </w:p>
        </w:tc>
        <w:tc>
          <w:tcPr>
            <w:tcW w:w="726"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7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67%</w:t>
            </w:r>
          </w:p>
        </w:tc>
        <w:tc>
          <w:tcPr>
            <w:tcW w:w="119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jc w:val="center"/>
        </w:trPr>
        <w:tc>
          <w:tcPr>
            <w:tcW w:w="7301" w:type="dxa"/>
            <w:gridSpan w:val="11"/>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Self-Confidence in Using Digital Tools</w:t>
            </w:r>
          </w:p>
        </w:tc>
      </w:tr>
      <w:tr w:rsidR="00181834">
        <w:trPr>
          <w:trHeight w:hRule="exact" w:val="283"/>
          <w:jc w:val="center"/>
        </w:trPr>
        <w:tc>
          <w:tcPr>
            <w:tcW w:w="738" w:type="dxa"/>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DC_8</w:t>
            </w:r>
          </w:p>
        </w:tc>
        <w:tc>
          <w:tcPr>
            <w:tcW w:w="469"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82"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43</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61</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23</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65</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63</w:t>
            </w:r>
          </w:p>
        </w:tc>
        <w:tc>
          <w:tcPr>
            <w:tcW w:w="702" w:type="dxa"/>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255</w:t>
            </w:r>
          </w:p>
        </w:tc>
        <w:tc>
          <w:tcPr>
            <w:tcW w:w="726" w:type="dxa"/>
            <w:shd w:val="clear" w:color="auto" w:fill="auto"/>
            <w:noWrap/>
            <w:vAlign w:val="bottom"/>
          </w:tcPr>
          <w:p w:rsidR="00181834" w:rsidRDefault="00181834">
            <w:pPr>
              <w:spacing w:after="160" w:line="256" w:lineRule="auto"/>
              <w:rPr>
                <w:sz w:val="22"/>
                <w:szCs w:val="22"/>
              </w:rPr>
            </w:pPr>
          </w:p>
        </w:tc>
        <w:tc>
          <w:tcPr>
            <w:tcW w:w="872" w:type="dxa"/>
            <w:shd w:val="clear" w:color="auto" w:fill="auto"/>
            <w:noWrap/>
            <w:vAlign w:val="bottom"/>
          </w:tcPr>
          <w:p w:rsidR="00181834" w:rsidRDefault="00181834">
            <w:pPr>
              <w:spacing w:after="160" w:line="256" w:lineRule="auto"/>
              <w:rPr>
                <w:sz w:val="22"/>
                <w:szCs w:val="22"/>
              </w:rPr>
            </w:pPr>
          </w:p>
        </w:tc>
        <w:tc>
          <w:tcPr>
            <w:tcW w:w="1192" w:type="dxa"/>
            <w:shd w:val="clear" w:color="auto" w:fill="auto"/>
            <w:noWrap/>
            <w:vAlign w:val="bottom"/>
          </w:tcPr>
          <w:p w:rsidR="00181834" w:rsidRDefault="00181834">
            <w:pPr>
              <w:spacing w:after="160" w:line="256" w:lineRule="auto"/>
              <w:rPr>
                <w:sz w:val="22"/>
                <w:szCs w:val="22"/>
              </w:rPr>
            </w:pPr>
          </w:p>
        </w:tc>
      </w:tr>
      <w:tr w:rsidR="00181834">
        <w:trPr>
          <w:trHeight w:hRule="exact" w:val="283"/>
          <w:jc w:val="center"/>
        </w:trPr>
        <w:tc>
          <w:tcPr>
            <w:tcW w:w="738" w:type="dxa"/>
            <w:shd w:val="clear" w:color="auto" w:fill="auto"/>
            <w:noWrap/>
            <w:vAlign w:val="bottom"/>
          </w:tcPr>
          <w:p w:rsidR="00181834" w:rsidRDefault="00181834">
            <w:pPr>
              <w:spacing w:after="160" w:line="256" w:lineRule="auto"/>
              <w:rPr>
                <w:sz w:val="22"/>
                <w:szCs w:val="22"/>
              </w:rPr>
            </w:pPr>
          </w:p>
        </w:tc>
        <w:tc>
          <w:tcPr>
            <w:tcW w:w="469"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43</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122</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69</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260</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315</w:t>
            </w:r>
          </w:p>
        </w:tc>
        <w:tc>
          <w:tcPr>
            <w:tcW w:w="702" w:type="dxa"/>
            <w:shd w:val="clear" w:color="auto" w:fill="auto"/>
            <w:noWrap/>
            <w:vAlign w:val="bottom"/>
          </w:tcPr>
          <w:p w:rsidR="00181834" w:rsidRDefault="00181834">
            <w:pPr>
              <w:spacing w:after="160" w:line="256" w:lineRule="auto"/>
              <w:rPr>
                <w:sz w:val="22"/>
                <w:szCs w:val="22"/>
              </w:rPr>
            </w:pPr>
          </w:p>
        </w:tc>
        <w:tc>
          <w:tcPr>
            <w:tcW w:w="726" w:type="dxa"/>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1275</w:t>
            </w:r>
          </w:p>
        </w:tc>
        <w:tc>
          <w:tcPr>
            <w:tcW w:w="87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63%</w:t>
            </w:r>
          </w:p>
        </w:tc>
        <w:tc>
          <w:tcPr>
            <w:tcW w:w="119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83"/>
          <w:jc w:val="center"/>
        </w:trPr>
        <w:tc>
          <w:tcPr>
            <w:tcW w:w="738" w:type="dxa"/>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DC_9</w:t>
            </w:r>
          </w:p>
        </w:tc>
        <w:tc>
          <w:tcPr>
            <w:tcW w:w="469"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82"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63</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58</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11</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47</w:t>
            </w:r>
          </w:p>
        </w:tc>
        <w:tc>
          <w:tcPr>
            <w:tcW w:w="530"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76</w:t>
            </w:r>
          </w:p>
        </w:tc>
        <w:tc>
          <w:tcPr>
            <w:tcW w:w="702" w:type="dxa"/>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255</w:t>
            </w:r>
          </w:p>
        </w:tc>
        <w:tc>
          <w:tcPr>
            <w:tcW w:w="726" w:type="dxa"/>
            <w:shd w:val="clear" w:color="auto" w:fill="auto"/>
            <w:noWrap/>
            <w:vAlign w:val="bottom"/>
          </w:tcPr>
          <w:p w:rsidR="00181834" w:rsidRDefault="00181834">
            <w:pPr>
              <w:spacing w:after="160" w:line="256" w:lineRule="auto"/>
              <w:rPr>
                <w:sz w:val="22"/>
                <w:szCs w:val="22"/>
              </w:rPr>
            </w:pPr>
          </w:p>
        </w:tc>
        <w:tc>
          <w:tcPr>
            <w:tcW w:w="872" w:type="dxa"/>
            <w:shd w:val="clear" w:color="auto" w:fill="auto"/>
            <w:noWrap/>
            <w:vAlign w:val="bottom"/>
          </w:tcPr>
          <w:p w:rsidR="00181834" w:rsidRDefault="00181834">
            <w:pPr>
              <w:spacing w:after="160" w:line="256" w:lineRule="auto"/>
              <w:rPr>
                <w:sz w:val="22"/>
                <w:szCs w:val="22"/>
              </w:rPr>
            </w:pPr>
          </w:p>
        </w:tc>
        <w:tc>
          <w:tcPr>
            <w:tcW w:w="1192" w:type="dxa"/>
            <w:shd w:val="clear" w:color="auto" w:fill="auto"/>
            <w:noWrap/>
            <w:vAlign w:val="bottom"/>
          </w:tcPr>
          <w:p w:rsidR="00181834" w:rsidRDefault="00181834">
            <w:pPr>
              <w:spacing w:after="160" w:line="256" w:lineRule="auto"/>
              <w:rPr>
                <w:sz w:val="22"/>
                <w:szCs w:val="22"/>
              </w:rPr>
            </w:pPr>
          </w:p>
        </w:tc>
      </w:tr>
      <w:tr w:rsidR="00181834">
        <w:trPr>
          <w:trHeight w:hRule="exact" w:val="283"/>
          <w:jc w:val="center"/>
        </w:trPr>
        <w:tc>
          <w:tcPr>
            <w:tcW w:w="738" w:type="dxa"/>
            <w:shd w:val="clear" w:color="auto" w:fill="auto"/>
            <w:noWrap/>
            <w:vAlign w:val="bottom"/>
          </w:tcPr>
          <w:p w:rsidR="00181834" w:rsidRDefault="00181834">
            <w:pPr>
              <w:spacing w:after="160" w:line="256" w:lineRule="auto"/>
              <w:rPr>
                <w:sz w:val="22"/>
                <w:szCs w:val="22"/>
              </w:rPr>
            </w:pPr>
          </w:p>
        </w:tc>
        <w:tc>
          <w:tcPr>
            <w:tcW w:w="469"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63</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116</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33</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188</w:t>
            </w:r>
          </w:p>
        </w:tc>
        <w:tc>
          <w:tcPr>
            <w:tcW w:w="53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380</w:t>
            </w:r>
          </w:p>
        </w:tc>
        <w:tc>
          <w:tcPr>
            <w:tcW w:w="702" w:type="dxa"/>
            <w:shd w:val="clear" w:color="auto" w:fill="auto"/>
            <w:noWrap/>
            <w:vAlign w:val="bottom"/>
          </w:tcPr>
          <w:p w:rsidR="00181834" w:rsidRDefault="00181834">
            <w:pPr>
              <w:spacing w:after="160" w:line="256" w:lineRule="auto"/>
              <w:rPr>
                <w:sz w:val="22"/>
                <w:szCs w:val="22"/>
              </w:rPr>
            </w:pPr>
          </w:p>
        </w:tc>
        <w:tc>
          <w:tcPr>
            <w:tcW w:w="726" w:type="dxa"/>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1275</w:t>
            </w:r>
          </w:p>
        </w:tc>
        <w:tc>
          <w:tcPr>
            <w:tcW w:w="87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61%</w:t>
            </w:r>
          </w:p>
        </w:tc>
        <w:tc>
          <w:tcPr>
            <w:tcW w:w="119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83"/>
          <w:jc w:val="center"/>
        </w:trPr>
        <w:tc>
          <w:tcPr>
            <w:tcW w:w="5237" w:type="dxa"/>
            <w:gridSpan w:val="9"/>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Average Index Score</w:t>
            </w:r>
          </w:p>
        </w:tc>
        <w:tc>
          <w:tcPr>
            <w:tcW w:w="87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66.8%</w:t>
            </w:r>
          </w:p>
        </w:tc>
        <w:tc>
          <w:tcPr>
            <w:tcW w:w="119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bl>
    <w:p w:rsidR="00181834" w:rsidRDefault="007329B5">
      <w:pPr>
        <w:spacing w:after="60"/>
        <w:rPr>
          <w:i/>
          <w:iCs/>
          <w:sz w:val="20"/>
          <w:szCs w:val="20"/>
        </w:rPr>
      </w:pPr>
      <w:r>
        <w:rPr>
          <w:rFonts w:eastAsia="Calibri"/>
          <w:i/>
          <w:iCs/>
          <w:sz w:val="20"/>
          <w:szCs w:val="20"/>
        </w:rPr>
        <w:t>Source: Processed survey data (2025)</w:t>
      </w:r>
    </w:p>
    <w:p w:rsidR="00181834" w:rsidRDefault="007329B5">
      <w:pPr>
        <w:pStyle w:val="NormalWeb"/>
        <w:spacing w:beforeAutospacing="0" w:after="120" w:afterAutospacing="0"/>
        <w:ind w:firstLine="720"/>
        <w:jc w:val="both"/>
      </w:pPr>
      <w:r>
        <w:t xml:space="preserve">Table 1 </w:t>
      </w:r>
      <w:proofErr w:type="gramStart"/>
      <w:r>
        <w:t>shows</w:t>
      </w:r>
      <w:proofErr w:type="gramEnd"/>
      <w:r>
        <w:t xml:space="preserve"> that teachers’ digital competence is moderate, with strengths in digital resources and teaching, but uneven overall, highlighting the need for stronger strategies.</w:t>
      </w:r>
    </w:p>
    <w:p w:rsidR="00181834" w:rsidRDefault="007329B5">
      <w:pPr>
        <w:spacing w:after="120"/>
        <w:ind w:firstLine="454"/>
        <w:jc w:val="center"/>
        <w:rPr>
          <w:i/>
          <w:iCs/>
        </w:rPr>
      </w:pPr>
      <w:r>
        <w:rPr>
          <w:i/>
          <w:iCs/>
        </w:rPr>
        <w:t>Table 2: Analysis of Respondents’ Intrinsic Satisfaction</w:t>
      </w:r>
    </w:p>
    <w:tbl>
      <w:tblPr>
        <w:tblW w:w="7557" w:type="dxa"/>
        <w:jc w:val="center"/>
        <w:tblBorders>
          <w:top w:val="single" w:sz="2" w:space="0" w:color="auto"/>
          <w:bottom w:val="single" w:sz="2" w:space="0" w:color="auto"/>
        </w:tblBorders>
        <w:tblCellMar>
          <w:left w:w="100" w:type="dxa"/>
          <w:right w:w="100" w:type="dxa"/>
        </w:tblCellMar>
        <w:tblLook w:val="04A0" w:firstRow="1" w:lastRow="0" w:firstColumn="1" w:lastColumn="0" w:noHBand="0" w:noVBand="1"/>
      </w:tblPr>
      <w:tblGrid>
        <w:gridCol w:w="1062"/>
        <w:gridCol w:w="469"/>
        <w:gridCol w:w="494"/>
        <w:gridCol w:w="530"/>
        <w:gridCol w:w="494"/>
        <w:gridCol w:w="530"/>
        <w:gridCol w:w="530"/>
        <w:gridCol w:w="702"/>
        <w:gridCol w:w="726"/>
        <w:gridCol w:w="903"/>
        <w:gridCol w:w="1117"/>
      </w:tblGrid>
      <w:tr w:rsidR="00181834">
        <w:trPr>
          <w:trHeight w:val="249"/>
          <w:jc w:val="center"/>
        </w:trPr>
        <w:tc>
          <w:tcPr>
            <w:tcW w:w="1531" w:type="dxa"/>
            <w:gridSpan w:val="2"/>
            <w:tcBorders>
              <w:top w:val="single" w:sz="2" w:space="0" w:color="auto"/>
              <w:left w:val="nil"/>
              <w:bottom w:val="single" w:sz="2" w:space="0" w:color="auto"/>
              <w:right w:val="nil"/>
            </w:tcBorders>
            <w:shd w:val="clear" w:color="auto" w:fill="auto"/>
            <w:vAlign w:val="center"/>
          </w:tcPr>
          <w:p w:rsidR="00181834" w:rsidRDefault="007329B5">
            <w:pPr>
              <w:jc w:val="center"/>
              <w:rPr>
                <w:rFonts w:eastAsia="Times New Roman"/>
                <w:b/>
                <w:bCs/>
                <w:color w:val="000000"/>
                <w:sz w:val="22"/>
                <w:szCs w:val="22"/>
              </w:rPr>
            </w:pPr>
            <w:r>
              <w:rPr>
                <w:rFonts w:eastAsia="Times New Roman"/>
                <w:b/>
                <w:bCs/>
                <w:color w:val="000000"/>
                <w:sz w:val="22"/>
                <w:szCs w:val="22"/>
              </w:rPr>
              <w:t>Item</w:t>
            </w:r>
          </w:p>
        </w:tc>
        <w:tc>
          <w:tcPr>
            <w:tcW w:w="494" w:type="dxa"/>
            <w:tcBorders>
              <w:top w:val="single" w:sz="2" w:space="0" w:color="auto"/>
              <w:left w:val="nil"/>
              <w:bottom w:val="single" w:sz="2" w:space="0" w:color="auto"/>
              <w:right w:val="nil"/>
            </w:tcBorders>
            <w:shd w:val="clear" w:color="auto" w:fill="auto"/>
            <w:noWrap/>
            <w:vAlign w:val="center"/>
          </w:tcPr>
          <w:p w:rsidR="00181834" w:rsidRDefault="007329B5">
            <w:pPr>
              <w:jc w:val="center"/>
              <w:rPr>
                <w:rFonts w:eastAsia="Times New Roman"/>
                <w:b/>
                <w:bCs/>
                <w:color w:val="000000"/>
                <w:sz w:val="22"/>
                <w:szCs w:val="22"/>
              </w:rPr>
            </w:pPr>
            <w:r>
              <w:rPr>
                <w:rFonts w:eastAsia="Times New Roman"/>
                <w:b/>
                <w:bCs/>
                <w:color w:val="000000"/>
                <w:sz w:val="22"/>
                <w:szCs w:val="22"/>
              </w:rPr>
              <w:t>SD</w:t>
            </w:r>
          </w:p>
        </w:tc>
        <w:tc>
          <w:tcPr>
            <w:tcW w:w="530" w:type="dxa"/>
            <w:tcBorders>
              <w:top w:val="single" w:sz="2" w:space="0" w:color="auto"/>
              <w:left w:val="nil"/>
              <w:bottom w:val="single" w:sz="2" w:space="0" w:color="auto"/>
              <w:right w:val="nil"/>
            </w:tcBorders>
            <w:shd w:val="clear" w:color="auto" w:fill="auto"/>
            <w:noWrap/>
            <w:vAlign w:val="center"/>
          </w:tcPr>
          <w:p w:rsidR="00181834" w:rsidRDefault="007329B5">
            <w:pPr>
              <w:jc w:val="center"/>
              <w:rPr>
                <w:rFonts w:eastAsia="Times New Roman"/>
                <w:b/>
                <w:bCs/>
                <w:color w:val="000000"/>
                <w:sz w:val="22"/>
                <w:szCs w:val="22"/>
              </w:rPr>
            </w:pPr>
            <w:r>
              <w:rPr>
                <w:rFonts w:eastAsia="Times New Roman"/>
                <w:b/>
                <w:bCs/>
                <w:color w:val="000000"/>
                <w:sz w:val="22"/>
                <w:szCs w:val="22"/>
              </w:rPr>
              <w:t>D</w:t>
            </w:r>
          </w:p>
        </w:tc>
        <w:tc>
          <w:tcPr>
            <w:tcW w:w="494" w:type="dxa"/>
            <w:tcBorders>
              <w:top w:val="single" w:sz="2" w:space="0" w:color="auto"/>
              <w:left w:val="nil"/>
              <w:bottom w:val="single" w:sz="2" w:space="0" w:color="auto"/>
              <w:right w:val="nil"/>
            </w:tcBorders>
            <w:shd w:val="clear" w:color="auto" w:fill="auto"/>
            <w:noWrap/>
            <w:vAlign w:val="center"/>
          </w:tcPr>
          <w:p w:rsidR="00181834" w:rsidRDefault="007329B5">
            <w:pPr>
              <w:jc w:val="center"/>
              <w:rPr>
                <w:rFonts w:eastAsia="Times New Roman"/>
                <w:b/>
                <w:bCs/>
                <w:color w:val="000000"/>
                <w:sz w:val="22"/>
                <w:szCs w:val="22"/>
              </w:rPr>
            </w:pPr>
            <w:r>
              <w:rPr>
                <w:rFonts w:eastAsia="Times New Roman"/>
                <w:b/>
                <w:bCs/>
                <w:color w:val="000000"/>
                <w:sz w:val="22"/>
                <w:szCs w:val="22"/>
              </w:rPr>
              <w:t>N</w:t>
            </w:r>
          </w:p>
        </w:tc>
        <w:tc>
          <w:tcPr>
            <w:tcW w:w="530" w:type="dxa"/>
            <w:tcBorders>
              <w:top w:val="single" w:sz="2" w:space="0" w:color="auto"/>
              <w:left w:val="nil"/>
              <w:bottom w:val="single" w:sz="2" w:space="0" w:color="auto"/>
              <w:right w:val="nil"/>
            </w:tcBorders>
            <w:shd w:val="clear" w:color="auto" w:fill="auto"/>
            <w:noWrap/>
            <w:vAlign w:val="center"/>
          </w:tcPr>
          <w:p w:rsidR="00181834" w:rsidRDefault="007329B5">
            <w:pPr>
              <w:jc w:val="center"/>
              <w:rPr>
                <w:rFonts w:eastAsia="Times New Roman"/>
                <w:b/>
                <w:bCs/>
                <w:color w:val="000000"/>
                <w:sz w:val="22"/>
                <w:szCs w:val="22"/>
              </w:rPr>
            </w:pPr>
            <w:r>
              <w:rPr>
                <w:rFonts w:eastAsia="Times New Roman"/>
                <w:b/>
                <w:bCs/>
                <w:color w:val="000000"/>
                <w:sz w:val="22"/>
                <w:szCs w:val="22"/>
              </w:rPr>
              <w:t>A</w:t>
            </w:r>
          </w:p>
        </w:tc>
        <w:tc>
          <w:tcPr>
            <w:tcW w:w="530" w:type="dxa"/>
            <w:tcBorders>
              <w:top w:val="single" w:sz="2" w:space="0" w:color="auto"/>
              <w:left w:val="nil"/>
              <w:bottom w:val="single" w:sz="2" w:space="0" w:color="auto"/>
              <w:right w:val="nil"/>
            </w:tcBorders>
            <w:shd w:val="clear" w:color="auto" w:fill="auto"/>
            <w:noWrap/>
            <w:vAlign w:val="center"/>
          </w:tcPr>
          <w:p w:rsidR="00181834" w:rsidRDefault="007329B5">
            <w:pPr>
              <w:jc w:val="center"/>
              <w:rPr>
                <w:rFonts w:eastAsia="Times New Roman"/>
                <w:b/>
                <w:bCs/>
                <w:color w:val="000000"/>
                <w:sz w:val="22"/>
                <w:szCs w:val="22"/>
              </w:rPr>
            </w:pPr>
            <w:r>
              <w:rPr>
                <w:rFonts w:eastAsia="Times New Roman"/>
                <w:b/>
                <w:bCs/>
                <w:color w:val="000000"/>
                <w:sz w:val="22"/>
                <w:szCs w:val="22"/>
              </w:rPr>
              <w:t>SA</w:t>
            </w:r>
          </w:p>
        </w:tc>
        <w:tc>
          <w:tcPr>
            <w:tcW w:w="702" w:type="dxa"/>
            <w:tcBorders>
              <w:top w:val="single" w:sz="2" w:space="0" w:color="auto"/>
              <w:left w:val="nil"/>
              <w:bottom w:val="single" w:sz="2" w:space="0" w:color="auto"/>
              <w:right w:val="nil"/>
            </w:tcBorders>
            <w:shd w:val="clear" w:color="auto" w:fill="auto"/>
            <w:noWrap/>
            <w:vAlign w:val="center"/>
          </w:tcPr>
          <w:p w:rsidR="00181834" w:rsidRDefault="007329B5">
            <w:pPr>
              <w:jc w:val="center"/>
              <w:rPr>
                <w:rFonts w:eastAsia="Times New Roman"/>
                <w:b/>
                <w:bCs/>
                <w:color w:val="000000"/>
                <w:sz w:val="22"/>
                <w:szCs w:val="22"/>
              </w:rPr>
            </w:pPr>
            <w:r>
              <w:rPr>
                <w:rFonts w:eastAsia="Times New Roman"/>
                <w:b/>
                <w:bCs/>
                <w:color w:val="000000"/>
                <w:sz w:val="22"/>
                <w:szCs w:val="22"/>
              </w:rPr>
              <w:t>Total (N)</w:t>
            </w:r>
          </w:p>
        </w:tc>
        <w:tc>
          <w:tcPr>
            <w:tcW w:w="726" w:type="dxa"/>
            <w:tcBorders>
              <w:top w:val="single" w:sz="2" w:space="0" w:color="auto"/>
              <w:left w:val="nil"/>
              <w:bottom w:val="single" w:sz="2" w:space="0" w:color="auto"/>
              <w:right w:val="nil"/>
            </w:tcBorders>
            <w:shd w:val="clear" w:color="auto" w:fill="auto"/>
            <w:noWrap/>
            <w:vAlign w:val="center"/>
          </w:tcPr>
          <w:p w:rsidR="00181834" w:rsidRDefault="007329B5">
            <w:pPr>
              <w:jc w:val="center"/>
              <w:rPr>
                <w:rFonts w:eastAsia="Times New Roman"/>
                <w:b/>
                <w:bCs/>
                <w:color w:val="000000"/>
                <w:sz w:val="22"/>
                <w:szCs w:val="22"/>
              </w:rPr>
            </w:pPr>
            <w:r>
              <w:rPr>
                <w:rFonts w:eastAsia="Times New Roman"/>
                <w:b/>
                <w:bCs/>
                <w:color w:val="000000"/>
                <w:sz w:val="22"/>
                <w:szCs w:val="22"/>
              </w:rPr>
              <w:t>Ideal Score</w:t>
            </w:r>
          </w:p>
        </w:tc>
        <w:tc>
          <w:tcPr>
            <w:tcW w:w="903" w:type="dxa"/>
            <w:tcBorders>
              <w:top w:val="single" w:sz="2" w:space="0" w:color="auto"/>
              <w:left w:val="nil"/>
              <w:bottom w:val="single" w:sz="2" w:space="0" w:color="auto"/>
              <w:right w:val="nil"/>
            </w:tcBorders>
            <w:shd w:val="clear" w:color="auto" w:fill="auto"/>
            <w:noWrap/>
            <w:vAlign w:val="center"/>
          </w:tcPr>
          <w:p w:rsidR="00181834" w:rsidRDefault="007329B5">
            <w:pPr>
              <w:jc w:val="center"/>
              <w:rPr>
                <w:rFonts w:eastAsia="Times New Roman"/>
                <w:b/>
                <w:bCs/>
                <w:color w:val="000000"/>
                <w:sz w:val="22"/>
                <w:szCs w:val="22"/>
              </w:rPr>
            </w:pPr>
            <w:r>
              <w:rPr>
                <w:rFonts w:eastAsia="Times New Roman"/>
                <w:b/>
                <w:bCs/>
                <w:color w:val="000000"/>
                <w:sz w:val="22"/>
                <w:szCs w:val="22"/>
              </w:rPr>
              <w:t>% index</w:t>
            </w:r>
          </w:p>
        </w:tc>
        <w:tc>
          <w:tcPr>
            <w:tcW w:w="1117" w:type="dxa"/>
            <w:tcBorders>
              <w:top w:val="single" w:sz="2" w:space="0" w:color="auto"/>
              <w:left w:val="nil"/>
              <w:bottom w:val="single" w:sz="2" w:space="0" w:color="auto"/>
              <w:right w:val="nil"/>
            </w:tcBorders>
            <w:shd w:val="clear" w:color="auto" w:fill="auto"/>
            <w:noWrap/>
            <w:vAlign w:val="center"/>
          </w:tcPr>
          <w:p w:rsidR="00181834" w:rsidRDefault="007329B5">
            <w:pPr>
              <w:jc w:val="center"/>
              <w:rPr>
                <w:rFonts w:eastAsia="Times New Roman"/>
                <w:b/>
                <w:bCs/>
                <w:color w:val="000000"/>
                <w:sz w:val="22"/>
                <w:szCs w:val="22"/>
              </w:rPr>
            </w:pPr>
            <w:r>
              <w:rPr>
                <w:rFonts w:eastAsia="Times New Roman"/>
                <w:b/>
                <w:bCs/>
                <w:color w:val="000000"/>
                <w:sz w:val="22"/>
                <w:szCs w:val="22"/>
              </w:rPr>
              <w:t>Category</w:t>
            </w:r>
          </w:p>
        </w:tc>
      </w:tr>
      <w:tr w:rsidR="00181834">
        <w:trPr>
          <w:trHeight w:hRule="exact" w:val="249"/>
          <w:jc w:val="center"/>
        </w:trPr>
        <w:tc>
          <w:tcPr>
            <w:tcW w:w="7557" w:type="dxa"/>
            <w:gridSpan w:val="11"/>
            <w:tcBorders>
              <w:top w:val="single" w:sz="2" w:space="0" w:color="auto"/>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Achievement</w:t>
            </w:r>
          </w:p>
        </w:tc>
      </w:tr>
      <w:tr w:rsidR="00181834">
        <w:trPr>
          <w:trHeight w:hRule="exact" w:val="249"/>
          <w:jc w:val="center"/>
        </w:trPr>
        <w:tc>
          <w:tcPr>
            <w:tcW w:w="1062" w:type="dxa"/>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IS_1</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52</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44</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19</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41</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99</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903"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117"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trHeight w:hRule="exact" w:val="249"/>
          <w:jc w:val="center"/>
        </w:trPr>
        <w:tc>
          <w:tcPr>
            <w:tcW w:w="106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52</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88</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57</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164</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495</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903"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67%</w:t>
            </w:r>
          </w:p>
        </w:tc>
        <w:tc>
          <w:tcPr>
            <w:tcW w:w="1117"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1062" w:type="dxa"/>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IS_2</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43</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51</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20</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56</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85</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903"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117"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trHeight w:hRule="exact" w:val="249"/>
          <w:jc w:val="center"/>
        </w:trPr>
        <w:tc>
          <w:tcPr>
            <w:tcW w:w="106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43</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102</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60</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224</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425</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903"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67%</w:t>
            </w:r>
          </w:p>
        </w:tc>
        <w:tc>
          <w:tcPr>
            <w:tcW w:w="1117"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7557" w:type="dxa"/>
            <w:gridSpan w:val="11"/>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Personal Growth</w:t>
            </w:r>
          </w:p>
        </w:tc>
      </w:tr>
      <w:tr w:rsidR="00181834">
        <w:trPr>
          <w:trHeight w:hRule="exact" w:val="249"/>
          <w:jc w:val="center"/>
        </w:trPr>
        <w:tc>
          <w:tcPr>
            <w:tcW w:w="1062" w:type="dxa"/>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IS_3</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36</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59</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14</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62</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84</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903"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117"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trHeight w:hRule="exact" w:val="249"/>
          <w:jc w:val="center"/>
        </w:trPr>
        <w:tc>
          <w:tcPr>
            <w:tcW w:w="106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36</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118</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42</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248</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420</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903"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68%</w:t>
            </w:r>
          </w:p>
        </w:tc>
        <w:tc>
          <w:tcPr>
            <w:tcW w:w="1117"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1062" w:type="dxa"/>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IS_4</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65</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35</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5</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29</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121</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903"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117"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trHeight w:hRule="exact" w:val="249"/>
          <w:jc w:val="center"/>
        </w:trPr>
        <w:tc>
          <w:tcPr>
            <w:tcW w:w="106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65</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70</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15</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116</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605</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903"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68%</w:t>
            </w:r>
          </w:p>
        </w:tc>
        <w:tc>
          <w:tcPr>
            <w:tcW w:w="1117"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7557" w:type="dxa"/>
            <w:gridSpan w:val="11"/>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Personal Quality</w:t>
            </w:r>
          </w:p>
        </w:tc>
      </w:tr>
      <w:tr w:rsidR="00181834">
        <w:trPr>
          <w:trHeight w:hRule="exact" w:val="249"/>
          <w:jc w:val="center"/>
        </w:trPr>
        <w:tc>
          <w:tcPr>
            <w:tcW w:w="1062" w:type="dxa"/>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IS_5</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32</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63</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8</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36</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116</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903"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117"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trHeight w:hRule="exact" w:val="249"/>
          <w:jc w:val="center"/>
        </w:trPr>
        <w:tc>
          <w:tcPr>
            <w:tcW w:w="106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32</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126</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24</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144</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580</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903"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71%</w:t>
            </w:r>
          </w:p>
        </w:tc>
        <w:tc>
          <w:tcPr>
            <w:tcW w:w="1117"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7557" w:type="dxa"/>
            <w:gridSpan w:val="11"/>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Pedagogical Confidence</w:t>
            </w:r>
          </w:p>
        </w:tc>
      </w:tr>
      <w:tr w:rsidR="00181834">
        <w:trPr>
          <w:trHeight w:hRule="exact" w:val="249"/>
          <w:jc w:val="center"/>
        </w:trPr>
        <w:tc>
          <w:tcPr>
            <w:tcW w:w="1062" w:type="dxa"/>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IS_6</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38</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64</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3</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32</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118</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903"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117"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trHeight w:hRule="exact" w:val="249"/>
          <w:jc w:val="center"/>
        </w:trPr>
        <w:tc>
          <w:tcPr>
            <w:tcW w:w="106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38</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128</w:t>
            </w:r>
          </w:p>
        </w:tc>
        <w:tc>
          <w:tcPr>
            <w:tcW w:w="494"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9</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128</w:t>
            </w:r>
          </w:p>
        </w:tc>
        <w:tc>
          <w:tcPr>
            <w:tcW w:w="530" w:type="dxa"/>
            <w:tcBorders>
              <w:top w:val="nil"/>
              <w:left w:val="nil"/>
              <w:bottom w:val="nil"/>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590</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903"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70%</w:t>
            </w:r>
          </w:p>
        </w:tc>
        <w:tc>
          <w:tcPr>
            <w:tcW w:w="1117"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4811" w:type="dxa"/>
            <w:gridSpan w:val="8"/>
            <w:tcBorders>
              <w:top w:val="nil"/>
              <w:left w:val="nil"/>
              <w:bottom w:val="single" w:sz="2" w:space="0" w:color="auto"/>
              <w:right w:val="nil"/>
            </w:tcBorders>
            <w:shd w:val="clear" w:color="auto" w:fill="auto"/>
            <w:noWrap/>
            <w:vAlign w:val="bottom"/>
          </w:tcPr>
          <w:p w:rsidR="00181834" w:rsidRDefault="007329B5">
            <w:pPr>
              <w:rPr>
                <w:rFonts w:eastAsia="Times New Roman"/>
                <w:sz w:val="22"/>
                <w:szCs w:val="22"/>
              </w:rPr>
            </w:pPr>
            <w:r>
              <w:rPr>
                <w:rFonts w:eastAsia="Times New Roman"/>
                <w:color w:val="000000"/>
                <w:sz w:val="22"/>
                <w:szCs w:val="22"/>
              </w:rPr>
              <w:t>Average Index Score</w:t>
            </w:r>
          </w:p>
        </w:tc>
        <w:tc>
          <w:tcPr>
            <w:tcW w:w="726" w:type="dxa"/>
            <w:tcBorders>
              <w:top w:val="nil"/>
              <w:left w:val="nil"/>
              <w:bottom w:val="single" w:sz="2" w:space="0" w:color="auto"/>
              <w:right w:val="nil"/>
            </w:tcBorders>
            <w:shd w:val="clear" w:color="auto" w:fill="auto"/>
            <w:noWrap/>
            <w:vAlign w:val="bottom"/>
          </w:tcPr>
          <w:p w:rsidR="00181834" w:rsidRDefault="00181834">
            <w:pPr>
              <w:spacing w:after="160" w:line="256" w:lineRule="auto"/>
              <w:rPr>
                <w:sz w:val="22"/>
                <w:szCs w:val="22"/>
              </w:rPr>
            </w:pPr>
          </w:p>
        </w:tc>
        <w:tc>
          <w:tcPr>
            <w:tcW w:w="903" w:type="dxa"/>
            <w:tcBorders>
              <w:top w:val="nil"/>
              <w:left w:val="nil"/>
              <w:bottom w:val="single" w:sz="2" w:space="0" w:color="auto"/>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68,50%</w:t>
            </w:r>
          </w:p>
        </w:tc>
        <w:tc>
          <w:tcPr>
            <w:tcW w:w="1117" w:type="dxa"/>
            <w:tcBorders>
              <w:top w:val="nil"/>
              <w:left w:val="nil"/>
              <w:bottom w:val="single" w:sz="2" w:space="0" w:color="auto"/>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bl>
    <w:p w:rsidR="00181834" w:rsidRDefault="007329B5">
      <w:pPr>
        <w:spacing w:after="120"/>
        <w:jc w:val="both"/>
        <w:rPr>
          <w:i/>
          <w:iCs/>
          <w:sz w:val="20"/>
          <w:szCs w:val="20"/>
        </w:rPr>
      </w:pPr>
      <w:r>
        <w:rPr>
          <w:i/>
          <w:iCs/>
          <w:sz w:val="20"/>
          <w:szCs w:val="20"/>
        </w:rPr>
        <w:t>Source: Processed survey data (2025)</w:t>
      </w:r>
    </w:p>
    <w:p w:rsidR="00181834" w:rsidRDefault="007329B5" w:rsidP="00C625C4">
      <w:pPr>
        <w:spacing w:after="120"/>
        <w:ind w:firstLineChars="377" w:firstLine="905"/>
        <w:jc w:val="both"/>
      </w:pPr>
      <w:r>
        <w:t>Table 2 shows that teachers’ intrinsic satisfaction is generally good, with high scores in achievement, personal growth, personal quality, and pedagogical confidence, reflecting strong motivation and positive self-perception</w:t>
      </w:r>
      <w:proofErr w:type="gramStart"/>
      <w:r>
        <w:t>..</w:t>
      </w:r>
      <w:proofErr w:type="gramEnd"/>
    </w:p>
    <w:p w:rsidR="00181834" w:rsidRDefault="007329B5" w:rsidP="00C625C4">
      <w:pPr>
        <w:spacing w:after="120" w:line="360" w:lineRule="auto"/>
        <w:ind w:firstLineChars="377" w:firstLine="905"/>
        <w:jc w:val="center"/>
        <w:rPr>
          <w:i/>
          <w:iCs/>
        </w:rPr>
      </w:pPr>
      <w:r>
        <w:rPr>
          <w:i/>
          <w:iCs/>
        </w:rPr>
        <w:t>Table 3: Analysis of Respondents’ Leader–Member Exchange (LMX)</w:t>
      </w:r>
    </w:p>
    <w:tbl>
      <w:tblPr>
        <w:tblW w:w="7985" w:type="dxa"/>
        <w:jc w:val="center"/>
        <w:tblBorders>
          <w:top w:val="single" w:sz="4" w:space="0" w:color="auto"/>
          <w:bottom w:val="single" w:sz="4" w:space="0" w:color="auto"/>
        </w:tblBorders>
        <w:tblLayout w:type="fixed"/>
        <w:tblCellMar>
          <w:left w:w="100" w:type="dxa"/>
          <w:right w:w="100" w:type="dxa"/>
        </w:tblCellMar>
        <w:tblLook w:val="04A0" w:firstRow="1" w:lastRow="0" w:firstColumn="1" w:lastColumn="0" w:noHBand="0" w:noVBand="1"/>
      </w:tblPr>
      <w:tblGrid>
        <w:gridCol w:w="1010"/>
        <w:gridCol w:w="511"/>
        <w:gridCol w:w="552"/>
        <w:gridCol w:w="613"/>
        <w:gridCol w:w="673"/>
        <w:gridCol w:w="582"/>
        <w:gridCol w:w="597"/>
        <w:gridCol w:w="752"/>
        <w:gridCol w:w="750"/>
        <w:gridCol w:w="805"/>
        <w:gridCol w:w="1140"/>
      </w:tblGrid>
      <w:tr w:rsidR="00181834">
        <w:trPr>
          <w:trHeight w:hRule="exact" w:val="519"/>
          <w:jc w:val="center"/>
        </w:trPr>
        <w:tc>
          <w:tcPr>
            <w:tcW w:w="1521" w:type="dxa"/>
            <w:gridSpan w:val="2"/>
            <w:tcBorders>
              <w:bottom w:val="single" w:sz="4" w:space="0" w:color="auto"/>
            </w:tcBorders>
            <w:shd w:val="clear" w:color="auto" w:fill="auto"/>
            <w:vAlign w:val="center"/>
          </w:tcPr>
          <w:p w:rsidR="00181834" w:rsidRDefault="007329B5">
            <w:pPr>
              <w:spacing w:after="120"/>
              <w:rPr>
                <w:rFonts w:eastAsia="Times New Roman"/>
                <w:b/>
                <w:bCs/>
                <w:color w:val="000000"/>
                <w:sz w:val="22"/>
                <w:szCs w:val="22"/>
              </w:rPr>
            </w:pPr>
            <w:r>
              <w:rPr>
                <w:rFonts w:eastAsia="Times New Roman"/>
                <w:b/>
                <w:bCs/>
                <w:color w:val="000000"/>
                <w:sz w:val="22"/>
                <w:szCs w:val="22"/>
              </w:rPr>
              <w:t>Item</w:t>
            </w:r>
          </w:p>
        </w:tc>
        <w:tc>
          <w:tcPr>
            <w:tcW w:w="552"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SD</w:t>
            </w:r>
          </w:p>
        </w:tc>
        <w:tc>
          <w:tcPr>
            <w:tcW w:w="613"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D</w:t>
            </w:r>
          </w:p>
        </w:tc>
        <w:tc>
          <w:tcPr>
            <w:tcW w:w="673"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N</w:t>
            </w:r>
          </w:p>
        </w:tc>
        <w:tc>
          <w:tcPr>
            <w:tcW w:w="582"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A</w:t>
            </w:r>
          </w:p>
        </w:tc>
        <w:tc>
          <w:tcPr>
            <w:tcW w:w="597"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SA</w:t>
            </w:r>
          </w:p>
        </w:tc>
        <w:tc>
          <w:tcPr>
            <w:tcW w:w="752" w:type="dxa"/>
            <w:tcBorders>
              <w:bottom w:val="single" w:sz="4" w:space="0" w:color="auto"/>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Total (N)</w:t>
            </w:r>
          </w:p>
        </w:tc>
        <w:tc>
          <w:tcPr>
            <w:tcW w:w="750" w:type="dxa"/>
            <w:tcBorders>
              <w:bottom w:val="single" w:sz="4" w:space="0" w:color="auto"/>
            </w:tcBorders>
            <w:shd w:val="clear" w:color="auto" w:fill="auto"/>
            <w:noWrap/>
            <w:vAlign w:val="center"/>
          </w:tcPr>
          <w:p w:rsidR="00181834" w:rsidRDefault="007329B5">
            <w:pPr>
              <w:spacing w:after="120"/>
              <w:rPr>
                <w:rFonts w:eastAsia="Times New Roman"/>
                <w:b/>
                <w:bCs/>
                <w:color w:val="000000"/>
                <w:sz w:val="22"/>
                <w:szCs w:val="22"/>
              </w:rPr>
            </w:pPr>
            <w:r>
              <w:rPr>
                <w:rFonts w:eastAsia="Times New Roman"/>
                <w:b/>
                <w:bCs/>
                <w:color w:val="000000"/>
                <w:sz w:val="22"/>
                <w:szCs w:val="22"/>
              </w:rPr>
              <w:t xml:space="preserve"> Ideal Score</w:t>
            </w:r>
          </w:p>
        </w:tc>
        <w:tc>
          <w:tcPr>
            <w:tcW w:w="805" w:type="dxa"/>
            <w:tcBorders>
              <w:bottom w:val="single" w:sz="4" w:space="0" w:color="auto"/>
            </w:tcBorders>
            <w:shd w:val="clear" w:color="auto" w:fill="auto"/>
            <w:noWrap/>
            <w:vAlign w:val="center"/>
          </w:tcPr>
          <w:p w:rsidR="00181834" w:rsidRDefault="007329B5">
            <w:pPr>
              <w:spacing w:after="120"/>
              <w:rPr>
                <w:rFonts w:eastAsia="Times New Roman"/>
                <w:b/>
                <w:bCs/>
                <w:color w:val="000000"/>
                <w:sz w:val="22"/>
                <w:szCs w:val="22"/>
              </w:rPr>
            </w:pPr>
            <w:r>
              <w:rPr>
                <w:rFonts w:eastAsia="Times New Roman"/>
                <w:b/>
                <w:bCs/>
                <w:color w:val="000000"/>
                <w:sz w:val="22"/>
                <w:szCs w:val="22"/>
              </w:rPr>
              <w:t>% index</w:t>
            </w:r>
          </w:p>
        </w:tc>
        <w:tc>
          <w:tcPr>
            <w:tcW w:w="1140" w:type="dxa"/>
            <w:tcBorders>
              <w:bottom w:val="single" w:sz="4" w:space="0" w:color="auto"/>
            </w:tcBorders>
            <w:shd w:val="clear" w:color="auto" w:fill="auto"/>
            <w:noWrap/>
            <w:vAlign w:val="center"/>
          </w:tcPr>
          <w:p w:rsidR="00181834" w:rsidRDefault="007329B5">
            <w:pPr>
              <w:spacing w:after="120"/>
              <w:rPr>
                <w:rFonts w:eastAsia="Times New Roman"/>
                <w:b/>
                <w:bCs/>
                <w:color w:val="000000"/>
                <w:sz w:val="22"/>
                <w:szCs w:val="22"/>
              </w:rPr>
            </w:pPr>
            <w:r>
              <w:rPr>
                <w:rFonts w:eastAsia="Times New Roman"/>
                <w:b/>
                <w:bCs/>
                <w:color w:val="000000"/>
                <w:sz w:val="22"/>
                <w:szCs w:val="22"/>
              </w:rPr>
              <w:t>Category</w:t>
            </w:r>
          </w:p>
        </w:tc>
      </w:tr>
      <w:tr w:rsidR="00181834">
        <w:trPr>
          <w:trHeight w:hRule="exact" w:val="249"/>
          <w:jc w:val="center"/>
        </w:trPr>
        <w:tc>
          <w:tcPr>
            <w:tcW w:w="7985" w:type="dxa"/>
            <w:gridSpan w:val="11"/>
            <w:tcBorders>
              <w:top w:val="single" w:sz="4" w:space="0" w:color="auto"/>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lastRenderedPageBreak/>
              <w:t>Emotional Closeness</w:t>
            </w:r>
          </w:p>
        </w:tc>
      </w:tr>
      <w:tr w:rsidR="00181834">
        <w:trPr>
          <w:trHeight w:hRule="exact" w:val="249"/>
          <w:jc w:val="center"/>
        </w:trPr>
        <w:tc>
          <w:tcPr>
            <w:tcW w:w="101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LMX_1</w:t>
            </w:r>
          </w:p>
        </w:tc>
        <w:tc>
          <w:tcPr>
            <w:tcW w:w="511"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75</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72</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44</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39</w:t>
            </w:r>
          </w:p>
        </w:tc>
        <w:tc>
          <w:tcPr>
            <w:tcW w:w="7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50" w:type="dxa"/>
            <w:shd w:val="clear" w:color="auto" w:fill="auto"/>
            <w:noWrap/>
            <w:vAlign w:val="bottom"/>
          </w:tcPr>
          <w:p w:rsidR="00181834" w:rsidRDefault="00181834">
            <w:pPr>
              <w:spacing w:after="160"/>
              <w:rPr>
                <w:sz w:val="22"/>
                <w:szCs w:val="22"/>
              </w:rPr>
            </w:pPr>
          </w:p>
        </w:tc>
        <w:tc>
          <w:tcPr>
            <w:tcW w:w="805" w:type="dxa"/>
            <w:shd w:val="clear" w:color="auto" w:fill="auto"/>
            <w:noWrap/>
            <w:vAlign w:val="bottom"/>
          </w:tcPr>
          <w:p w:rsidR="00181834" w:rsidRDefault="00181834">
            <w:pPr>
              <w:spacing w:after="160"/>
              <w:rPr>
                <w:sz w:val="22"/>
                <w:szCs w:val="22"/>
              </w:rPr>
            </w:pPr>
          </w:p>
        </w:tc>
        <w:tc>
          <w:tcPr>
            <w:tcW w:w="1140" w:type="dxa"/>
            <w:shd w:val="clear" w:color="auto" w:fill="auto"/>
            <w:noWrap/>
            <w:vAlign w:val="bottom"/>
          </w:tcPr>
          <w:p w:rsidR="00181834" w:rsidRDefault="00181834">
            <w:pPr>
              <w:spacing w:after="160"/>
              <w:rPr>
                <w:sz w:val="22"/>
                <w:szCs w:val="22"/>
              </w:rPr>
            </w:pPr>
          </w:p>
        </w:tc>
      </w:tr>
      <w:tr w:rsidR="00181834">
        <w:trPr>
          <w:trHeight w:hRule="exact" w:val="249"/>
          <w:jc w:val="center"/>
        </w:trPr>
        <w:tc>
          <w:tcPr>
            <w:tcW w:w="1010" w:type="dxa"/>
            <w:shd w:val="clear" w:color="auto" w:fill="auto"/>
            <w:noWrap/>
            <w:vAlign w:val="bottom"/>
          </w:tcPr>
          <w:p w:rsidR="00181834" w:rsidRDefault="00181834">
            <w:pPr>
              <w:spacing w:after="160"/>
              <w:rPr>
                <w:sz w:val="22"/>
                <w:szCs w:val="22"/>
              </w:rPr>
            </w:pPr>
          </w:p>
        </w:tc>
        <w:tc>
          <w:tcPr>
            <w:tcW w:w="511"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75</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144</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75</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176</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195</w:t>
            </w:r>
          </w:p>
        </w:tc>
        <w:tc>
          <w:tcPr>
            <w:tcW w:w="752" w:type="dxa"/>
            <w:shd w:val="clear" w:color="auto" w:fill="auto"/>
            <w:noWrap/>
            <w:vAlign w:val="bottom"/>
          </w:tcPr>
          <w:p w:rsidR="00181834" w:rsidRDefault="00181834">
            <w:pPr>
              <w:spacing w:after="160"/>
              <w:rPr>
                <w:sz w:val="22"/>
                <w:szCs w:val="22"/>
              </w:rPr>
            </w:pPr>
          </w:p>
        </w:tc>
        <w:tc>
          <w:tcPr>
            <w:tcW w:w="75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05"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52%</w:t>
            </w:r>
          </w:p>
        </w:tc>
        <w:tc>
          <w:tcPr>
            <w:tcW w:w="114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101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LMX_2</w:t>
            </w:r>
          </w:p>
        </w:tc>
        <w:tc>
          <w:tcPr>
            <w:tcW w:w="511"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58</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67</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50</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47</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33</w:t>
            </w:r>
          </w:p>
        </w:tc>
        <w:tc>
          <w:tcPr>
            <w:tcW w:w="7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50" w:type="dxa"/>
            <w:shd w:val="clear" w:color="auto" w:fill="auto"/>
            <w:noWrap/>
            <w:vAlign w:val="bottom"/>
          </w:tcPr>
          <w:p w:rsidR="00181834" w:rsidRDefault="00181834">
            <w:pPr>
              <w:spacing w:after="160"/>
              <w:rPr>
                <w:sz w:val="22"/>
                <w:szCs w:val="22"/>
              </w:rPr>
            </w:pPr>
          </w:p>
        </w:tc>
        <w:tc>
          <w:tcPr>
            <w:tcW w:w="805" w:type="dxa"/>
            <w:shd w:val="clear" w:color="auto" w:fill="auto"/>
            <w:noWrap/>
            <w:vAlign w:val="bottom"/>
          </w:tcPr>
          <w:p w:rsidR="00181834" w:rsidRDefault="00181834">
            <w:pPr>
              <w:spacing w:after="160"/>
              <w:rPr>
                <w:sz w:val="22"/>
                <w:szCs w:val="22"/>
              </w:rPr>
            </w:pPr>
          </w:p>
        </w:tc>
        <w:tc>
          <w:tcPr>
            <w:tcW w:w="1140" w:type="dxa"/>
            <w:shd w:val="clear" w:color="auto" w:fill="auto"/>
            <w:noWrap/>
            <w:vAlign w:val="bottom"/>
          </w:tcPr>
          <w:p w:rsidR="00181834" w:rsidRDefault="00181834">
            <w:pPr>
              <w:spacing w:after="160"/>
              <w:rPr>
                <w:sz w:val="22"/>
                <w:szCs w:val="22"/>
              </w:rPr>
            </w:pPr>
          </w:p>
        </w:tc>
      </w:tr>
      <w:tr w:rsidR="00181834">
        <w:trPr>
          <w:trHeight w:hRule="exact" w:val="249"/>
          <w:jc w:val="center"/>
        </w:trPr>
        <w:tc>
          <w:tcPr>
            <w:tcW w:w="1010" w:type="dxa"/>
            <w:shd w:val="clear" w:color="auto" w:fill="auto"/>
            <w:noWrap/>
            <w:vAlign w:val="bottom"/>
          </w:tcPr>
          <w:p w:rsidR="00181834" w:rsidRDefault="00181834">
            <w:pPr>
              <w:spacing w:after="160"/>
              <w:rPr>
                <w:sz w:val="22"/>
                <w:szCs w:val="22"/>
              </w:rPr>
            </w:pPr>
          </w:p>
        </w:tc>
        <w:tc>
          <w:tcPr>
            <w:tcW w:w="511"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58</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134</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150</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188</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165</w:t>
            </w:r>
          </w:p>
        </w:tc>
        <w:tc>
          <w:tcPr>
            <w:tcW w:w="752" w:type="dxa"/>
            <w:shd w:val="clear" w:color="auto" w:fill="auto"/>
            <w:noWrap/>
            <w:vAlign w:val="bottom"/>
          </w:tcPr>
          <w:p w:rsidR="00181834" w:rsidRDefault="00181834">
            <w:pPr>
              <w:spacing w:after="160"/>
              <w:rPr>
                <w:sz w:val="22"/>
                <w:szCs w:val="22"/>
              </w:rPr>
            </w:pPr>
          </w:p>
        </w:tc>
        <w:tc>
          <w:tcPr>
            <w:tcW w:w="75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05"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55%</w:t>
            </w:r>
          </w:p>
        </w:tc>
        <w:tc>
          <w:tcPr>
            <w:tcW w:w="114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7985" w:type="dxa"/>
            <w:gridSpan w:val="11"/>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Support and Loyalty</w:t>
            </w:r>
          </w:p>
        </w:tc>
      </w:tr>
      <w:tr w:rsidR="00181834">
        <w:trPr>
          <w:trHeight w:hRule="exact" w:val="249"/>
          <w:jc w:val="center"/>
        </w:trPr>
        <w:tc>
          <w:tcPr>
            <w:tcW w:w="101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LMX_3</w:t>
            </w:r>
          </w:p>
        </w:tc>
        <w:tc>
          <w:tcPr>
            <w:tcW w:w="511"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61</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65</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29</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68</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32</w:t>
            </w:r>
          </w:p>
        </w:tc>
        <w:tc>
          <w:tcPr>
            <w:tcW w:w="7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50" w:type="dxa"/>
            <w:shd w:val="clear" w:color="auto" w:fill="auto"/>
            <w:noWrap/>
            <w:vAlign w:val="bottom"/>
          </w:tcPr>
          <w:p w:rsidR="00181834" w:rsidRDefault="00181834">
            <w:pPr>
              <w:spacing w:after="160"/>
              <w:rPr>
                <w:sz w:val="22"/>
                <w:szCs w:val="22"/>
              </w:rPr>
            </w:pPr>
          </w:p>
        </w:tc>
        <w:tc>
          <w:tcPr>
            <w:tcW w:w="805" w:type="dxa"/>
            <w:shd w:val="clear" w:color="auto" w:fill="auto"/>
            <w:noWrap/>
            <w:vAlign w:val="bottom"/>
          </w:tcPr>
          <w:p w:rsidR="00181834" w:rsidRDefault="00181834">
            <w:pPr>
              <w:spacing w:after="160"/>
              <w:rPr>
                <w:sz w:val="22"/>
                <w:szCs w:val="22"/>
              </w:rPr>
            </w:pPr>
          </w:p>
        </w:tc>
        <w:tc>
          <w:tcPr>
            <w:tcW w:w="1140" w:type="dxa"/>
            <w:shd w:val="clear" w:color="auto" w:fill="auto"/>
            <w:noWrap/>
            <w:vAlign w:val="bottom"/>
          </w:tcPr>
          <w:p w:rsidR="00181834" w:rsidRDefault="00181834">
            <w:pPr>
              <w:spacing w:after="160"/>
              <w:rPr>
                <w:sz w:val="22"/>
                <w:szCs w:val="22"/>
              </w:rPr>
            </w:pPr>
          </w:p>
        </w:tc>
      </w:tr>
      <w:tr w:rsidR="00181834">
        <w:trPr>
          <w:trHeight w:hRule="exact" w:val="249"/>
          <w:jc w:val="center"/>
        </w:trPr>
        <w:tc>
          <w:tcPr>
            <w:tcW w:w="1010" w:type="dxa"/>
            <w:shd w:val="clear" w:color="auto" w:fill="auto"/>
            <w:noWrap/>
            <w:vAlign w:val="bottom"/>
          </w:tcPr>
          <w:p w:rsidR="00181834" w:rsidRDefault="00181834">
            <w:pPr>
              <w:spacing w:after="160"/>
              <w:rPr>
                <w:sz w:val="22"/>
                <w:szCs w:val="22"/>
              </w:rPr>
            </w:pPr>
          </w:p>
        </w:tc>
        <w:tc>
          <w:tcPr>
            <w:tcW w:w="511"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61</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130</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87</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272</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160</w:t>
            </w:r>
          </w:p>
        </w:tc>
        <w:tc>
          <w:tcPr>
            <w:tcW w:w="752" w:type="dxa"/>
            <w:shd w:val="clear" w:color="auto" w:fill="auto"/>
            <w:noWrap/>
            <w:vAlign w:val="bottom"/>
          </w:tcPr>
          <w:p w:rsidR="00181834" w:rsidRDefault="00181834">
            <w:pPr>
              <w:spacing w:after="160"/>
              <w:rPr>
                <w:sz w:val="22"/>
                <w:szCs w:val="22"/>
              </w:rPr>
            </w:pPr>
          </w:p>
        </w:tc>
        <w:tc>
          <w:tcPr>
            <w:tcW w:w="75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05"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56%</w:t>
            </w:r>
          </w:p>
        </w:tc>
        <w:tc>
          <w:tcPr>
            <w:tcW w:w="114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101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LMX_4</w:t>
            </w:r>
          </w:p>
        </w:tc>
        <w:tc>
          <w:tcPr>
            <w:tcW w:w="511"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43</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83</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29</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59</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41</w:t>
            </w:r>
          </w:p>
        </w:tc>
        <w:tc>
          <w:tcPr>
            <w:tcW w:w="7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50" w:type="dxa"/>
            <w:shd w:val="clear" w:color="auto" w:fill="auto"/>
            <w:noWrap/>
            <w:vAlign w:val="bottom"/>
          </w:tcPr>
          <w:p w:rsidR="00181834" w:rsidRDefault="00181834">
            <w:pPr>
              <w:spacing w:after="160"/>
              <w:rPr>
                <w:sz w:val="22"/>
                <w:szCs w:val="22"/>
              </w:rPr>
            </w:pPr>
          </w:p>
        </w:tc>
        <w:tc>
          <w:tcPr>
            <w:tcW w:w="805" w:type="dxa"/>
            <w:shd w:val="clear" w:color="auto" w:fill="auto"/>
            <w:noWrap/>
            <w:vAlign w:val="bottom"/>
          </w:tcPr>
          <w:p w:rsidR="00181834" w:rsidRDefault="00181834">
            <w:pPr>
              <w:spacing w:after="160"/>
              <w:rPr>
                <w:sz w:val="22"/>
                <w:szCs w:val="22"/>
              </w:rPr>
            </w:pPr>
          </w:p>
        </w:tc>
        <w:tc>
          <w:tcPr>
            <w:tcW w:w="1140" w:type="dxa"/>
            <w:shd w:val="clear" w:color="auto" w:fill="auto"/>
            <w:noWrap/>
            <w:vAlign w:val="bottom"/>
          </w:tcPr>
          <w:p w:rsidR="00181834" w:rsidRDefault="00181834">
            <w:pPr>
              <w:spacing w:after="160"/>
              <w:rPr>
                <w:sz w:val="22"/>
                <w:szCs w:val="22"/>
              </w:rPr>
            </w:pPr>
          </w:p>
        </w:tc>
      </w:tr>
      <w:tr w:rsidR="00181834">
        <w:trPr>
          <w:trHeight w:hRule="exact" w:val="249"/>
          <w:jc w:val="center"/>
        </w:trPr>
        <w:tc>
          <w:tcPr>
            <w:tcW w:w="1010" w:type="dxa"/>
            <w:shd w:val="clear" w:color="auto" w:fill="auto"/>
            <w:noWrap/>
            <w:vAlign w:val="bottom"/>
          </w:tcPr>
          <w:p w:rsidR="00181834" w:rsidRDefault="00181834">
            <w:pPr>
              <w:spacing w:after="160"/>
              <w:rPr>
                <w:sz w:val="22"/>
                <w:szCs w:val="22"/>
              </w:rPr>
            </w:pPr>
          </w:p>
        </w:tc>
        <w:tc>
          <w:tcPr>
            <w:tcW w:w="511"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43</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166</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87</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236</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205</w:t>
            </w:r>
          </w:p>
        </w:tc>
        <w:tc>
          <w:tcPr>
            <w:tcW w:w="752" w:type="dxa"/>
            <w:shd w:val="clear" w:color="auto" w:fill="auto"/>
            <w:noWrap/>
            <w:vAlign w:val="bottom"/>
          </w:tcPr>
          <w:p w:rsidR="00181834" w:rsidRDefault="00181834">
            <w:pPr>
              <w:spacing w:after="160"/>
              <w:rPr>
                <w:sz w:val="22"/>
                <w:szCs w:val="22"/>
              </w:rPr>
            </w:pPr>
          </w:p>
        </w:tc>
        <w:tc>
          <w:tcPr>
            <w:tcW w:w="75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05"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58%</w:t>
            </w:r>
          </w:p>
        </w:tc>
        <w:tc>
          <w:tcPr>
            <w:tcW w:w="114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7985" w:type="dxa"/>
            <w:gridSpan w:val="11"/>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Willingness to Give Extra Effort</w:t>
            </w:r>
          </w:p>
        </w:tc>
      </w:tr>
      <w:tr w:rsidR="00181834">
        <w:trPr>
          <w:trHeight w:hRule="exact" w:val="249"/>
          <w:jc w:val="center"/>
        </w:trPr>
        <w:tc>
          <w:tcPr>
            <w:tcW w:w="101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LMX_5</w:t>
            </w:r>
          </w:p>
        </w:tc>
        <w:tc>
          <w:tcPr>
            <w:tcW w:w="511"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58</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64</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28</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65</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40</w:t>
            </w:r>
          </w:p>
        </w:tc>
        <w:tc>
          <w:tcPr>
            <w:tcW w:w="7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50" w:type="dxa"/>
            <w:shd w:val="clear" w:color="auto" w:fill="auto"/>
            <w:noWrap/>
            <w:vAlign w:val="bottom"/>
          </w:tcPr>
          <w:p w:rsidR="00181834" w:rsidRDefault="00181834">
            <w:pPr>
              <w:spacing w:after="160"/>
              <w:rPr>
                <w:sz w:val="22"/>
                <w:szCs w:val="22"/>
              </w:rPr>
            </w:pPr>
          </w:p>
        </w:tc>
        <w:tc>
          <w:tcPr>
            <w:tcW w:w="805" w:type="dxa"/>
            <w:shd w:val="clear" w:color="auto" w:fill="auto"/>
            <w:noWrap/>
            <w:vAlign w:val="bottom"/>
          </w:tcPr>
          <w:p w:rsidR="00181834" w:rsidRDefault="00181834">
            <w:pPr>
              <w:spacing w:after="160"/>
              <w:rPr>
                <w:sz w:val="22"/>
                <w:szCs w:val="22"/>
              </w:rPr>
            </w:pPr>
          </w:p>
        </w:tc>
        <w:tc>
          <w:tcPr>
            <w:tcW w:w="1140" w:type="dxa"/>
            <w:shd w:val="clear" w:color="auto" w:fill="auto"/>
            <w:noWrap/>
            <w:vAlign w:val="bottom"/>
          </w:tcPr>
          <w:p w:rsidR="00181834" w:rsidRDefault="00181834">
            <w:pPr>
              <w:spacing w:after="160"/>
              <w:rPr>
                <w:sz w:val="22"/>
                <w:szCs w:val="22"/>
              </w:rPr>
            </w:pPr>
          </w:p>
        </w:tc>
      </w:tr>
      <w:tr w:rsidR="00181834">
        <w:trPr>
          <w:trHeight w:hRule="exact" w:val="249"/>
          <w:jc w:val="center"/>
        </w:trPr>
        <w:tc>
          <w:tcPr>
            <w:tcW w:w="1010" w:type="dxa"/>
            <w:shd w:val="clear" w:color="auto" w:fill="auto"/>
            <w:noWrap/>
            <w:vAlign w:val="bottom"/>
          </w:tcPr>
          <w:p w:rsidR="00181834" w:rsidRDefault="00181834">
            <w:pPr>
              <w:spacing w:after="160"/>
              <w:rPr>
                <w:sz w:val="22"/>
                <w:szCs w:val="22"/>
              </w:rPr>
            </w:pPr>
          </w:p>
        </w:tc>
        <w:tc>
          <w:tcPr>
            <w:tcW w:w="511"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58</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128</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84</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260</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200</w:t>
            </w:r>
          </w:p>
        </w:tc>
        <w:tc>
          <w:tcPr>
            <w:tcW w:w="752" w:type="dxa"/>
            <w:shd w:val="clear" w:color="auto" w:fill="auto"/>
            <w:noWrap/>
            <w:vAlign w:val="bottom"/>
          </w:tcPr>
          <w:p w:rsidR="00181834" w:rsidRDefault="00181834">
            <w:pPr>
              <w:spacing w:after="160"/>
              <w:rPr>
                <w:sz w:val="22"/>
                <w:szCs w:val="22"/>
              </w:rPr>
            </w:pPr>
          </w:p>
        </w:tc>
        <w:tc>
          <w:tcPr>
            <w:tcW w:w="75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05"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57%</w:t>
            </w:r>
          </w:p>
        </w:tc>
        <w:tc>
          <w:tcPr>
            <w:tcW w:w="114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101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LMX_6</w:t>
            </w:r>
          </w:p>
        </w:tc>
        <w:tc>
          <w:tcPr>
            <w:tcW w:w="511"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53</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69</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21</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57</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55</w:t>
            </w:r>
          </w:p>
        </w:tc>
        <w:tc>
          <w:tcPr>
            <w:tcW w:w="7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50" w:type="dxa"/>
            <w:shd w:val="clear" w:color="auto" w:fill="auto"/>
            <w:noWrap/>
            <w:vAlign w:val="bottom"/>
          </w:tcPr>
          <w:p w:rsidR="00181834" w:rsidRDefault="00181834">
            <w:pPr>
              <w:spacing w:after="160"/>
              <w:rPr>
                <w:sz w:val="22"/>
                <w:szCs w:val="22"/>
              </w:rPr>
            </w:pPr>
          </w:p>
        </w:tc>
        <w:tc>
          <w:tcPr>
            <w:tcW w:w="805" w:type="dxa"/>
            <w:shd w:val="clear" w:color="auto" w:fill="auto"/>
            <w:noWrap/>
            <w:vAlign w:val="bottom"/>
          </w:tcPr>
          <w:p w:rsidR="00181834" w:rsidRDefault="00181834">
            <w:pPr>
              <w:spacing w:after="160"/>
              <w:rPr>
                <w:sz w:val="22"/>
                <w:szCs w:val="22"/>
              </w:rPr>
            </w:pPr>
          </w:p>
        </w:tc>
        <w:tc>
          <w:tcPr>
            <w:tcW w:w="1140" w:type="dxa"/>
            <w:shd w:val="clear" w:color="auto" w:fill="auto"/>
            <w:noWrap/>
            <w:vAlign w:val="bottom"/>
          </w:tcPr>
          <w:p w:rsidR="00181834" w:rsidRDefault="00181834">
            <w:pPr>
              <w:spacing w:after="160"/>
              <w:rPr>
                <w:sz w:val="22"/>
                <w:szCs w:val="22"/>
              </w:rPr>
            </w:pPr>
          </w:p>
        </w:tc>
      </w:tr>
      <w:tr w:rsidR="00181834">
        <w:trPr>
          <w:trHeight w:hRule="exact" w:val="249"/>
          <w:jc w:val="center"/>
        </w:trPr>
        <w:tc>
          <w:tcPr>
            <w:tcW w:w="1010" w:type="dxa"/>
            <w:shd w:val="clear" w:color="auto" w:fill="auto"/>
            <w:noWrap/>
            <w:vAlign w:val="bottom"/>
          </w:tcPr>
          <w:p w:rsidR="00181834" w:rsidRDefault="00181834">
            <w:pPr>
              <w:spacing w:after="160"/>
              <w:rPr>
                <w:sz w:val="22"/>
                <w:szCs w:val="22"/>
              </w:rPr>
            </w:pPr>
          </w:p>
        </w:tc>
        <w:tc>
          <w:tcPr>
            <w:tcW w:w="511"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53</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138</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63</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228</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275</w:t>
            </w:r>
          </w:p>
        </w:tc>
        <w:tc>
          <w:tcPr>
            <w:tcW w:w="752" w:type="dxa"/>
            <w:shd w:val="clear" w:color="auto" w:fill="auto"/>
            <w:noWrap/>
            <w:vAlign w:val="bottom"/>
          </w:tcPr>
          <w:p w:rsidR="00181834" w:rsidRDefault="00181834">
            <w:pPr>
              <w:spacing w:after="160"/>
              <w:rPr>
                <w:sz w:val="22"/>
                <w:szCs w:val="22"/>
              </w:rPr>
            </w:pPr>
          </w:p>
        </w:tc>
        <w:tc>
          <w:tcPr>
            <w:tcW w:w="75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05"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59%</w:t>
            </w:r>
          </w:p>
        </w:tc>
        <w:tc>
          <w:tcPr>
            <w:tcW w:w="114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7985" w:type="dxa"/>
            <w:gridSpan w:val="11"/>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Mutual Respect for Each Other’s Abilities</w:t>
            </w:r>
          </w:p>
        </w:tc>
      </w:tr>
      <w:tr w:rsidR="00181834">
        <w:trPr>
          <w:trHeight w:hRule="exact" w:val="249"/>
          <w:jc w:val="center"/>
        </w:trPr>
        <w:tc>
          <w:tcPr>
            <w:tcW w:w="101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LMX_7</w:t>
            </w:r>
          </w:p>
        </w:tc>
        <w:tc>
          <w:tcPr>
            <w:tcW w:w="511" w:type="dxa"/>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52</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65</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18</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76</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44</w:t>
            </w:r>
          </w:p>
        </w:tc>
        <w:tc>
          <w:tcPr>
            <w:tcW w:w="7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50" w:type="dxa"/>
            <w:shd w:val="clear" w:color="auto" w:fill="auto"/>
            <w:noWrap/>
            <w:vAlign w:val="bottom"/>
          </w:tcPr>
          <w:p w:rsidR="00181834" w:rsidRDefault="00181834">
            <w:pPr>
              <w:spacing w:after="160"/>
              <w:rPr>
                <w:sz w:val="22"/>
                <w:szCs w:val="22"/>
              </w:rPr>
            </w:pPr>
          </w:p>
        </w:tc>
        <w:tc>
          <w:tcPr>
            <w:tcW w:w="805" w:type="dxa"/>
            <w:shd w:val="clear" w:color="auto" w:fill="auto"/>
            <w:noWrap/>
            <w:vAlign w:val="bottom"/>
          </w:tcPr>
          <w:p w:rsidR="00181834" w:rsidRDefault="00181834">
            <w:pPr>
              <w:spacing w:after="160"/>
              <w:rPr>
                <w:sz w:val="22"/>
                <w:szCs w:val="22"/>
              </w:rPr>
            </w:pPr>
          </w:p>
        </w:tc>
        <w:tc>
          <w:tcPr>
            <w:tcW w:w="1140" w:type="dxa"/>
            <w:shd w:val="clear" w:color="auto" w:fill="auto"/>
            <w:noWrap/>
            <w:vAlign w:val="bottom"/>
          </w:tcPr>
          <w:p w:rsidR="00181834" w:rsidRDefault="00181834">
            <w:pPr>
              <w:spacing w:after="160"/>
              <w:rPr>
                <w:sz w:val="22"/>
                <w:szCs w:val="22"/>
              </w:rPr>
            </w:pPr>
          </w:p>
        </w:tc>
      </w:tr>
      <w:tr w:rsidR="00181834">
        <w:trPr>
          <w:trHeight w:hRule="exact" w:val="249"/>
          <w:jc w:val="center"/>
        </w:trPr>
        <w:tc>
          <w:tcPr>
            <w:tcW w:w="1010" w:type="dxa"/>
            <w:shd w:val="clear" w:color="auto" w:fill="auto"/>
            <w:noWrap/>
            <w:vAlign w:val="bottom"/>
          </w:tcPr>
          <w:p w:rsidR="00181834" w:rsidRDefault="00181834">
            <w:pPr>
              <w:spacing w:after="160"/>
              <w:rPr>
                <w:sz w:val="22"/>
                <w:szCs w:val="22"/>
              </w:rPr>
            </w:pPr>
          </w:p>
        </w:tc>
        <w:tc>
          <w:tcPr>
            <w:tcW w:w="511" w:type="dxa"/>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5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52</w:t>
            </w:r>
          </w:p>
        </w:tc>
        <w:tc>
          <w:tcPr>
            <w:tcW w:w="61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130</w:t>
            </w:r>
          </w:p>
        </w:tc>
        <w:tc>
          <w:tcPr>
            <w:tcW w:w="673"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54</w:t>
            </w:r>
          </w:p>
        </w:tc>
        <w:tc>
          <w:tcPr>
            <w:tcW w:w="582"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304</w:t>
            </w:r>
          </w:p>
        </w:tc>
        <w:tc>
          <w:tcPr>
            <w:tcW w:w="597"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220</w:t>
            </w:r>
          </w:p>
        </w:tc>
        <w:tc>
          <w:tcPr>
            <w:tcW w:w="752" w:type="dxa"/>
            <w:shd w:val="clear" w:color="auto" w:fill="auto"/>
            <w:noWrap/>
            <w:vAlign w:val="bottom"/>
          </w:tcPr>
          <w:p w:rsidR="00181834" w:rsidRDefault="00181834">
            <w:pPr>
              <w:spacing w:after="160"/>
              <w:rPr>
                <w:sz w:val="22"/>
                <w:szCs w:val="22"/>
              </w:rPr>
            </w:pPr>
          </w:p>
        </w:tc>
        <w:tc>
          <w:tcPr>
            <w:tcW w:w="75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05"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60%</w:t>
            </w:r>
          </w:p>
        </w:tc>
        <w:tc>
          <w:tcPr>
            <w:tcW w:w="1140" w:type="dxa"/>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9"/>
          <w:jc w:val="center"/>
        </w:trPr>
        <w:tc>
          <w:tcPr>
            <w:tcW w:w="1010" w:type="dxa"/>
            <w:shd w:val="clear" w:color="auto" w:fill="auto"/>
            <w:noWrap/>
            <w:vAlign w:val="bottom"/>
          </w:tcPr>
          <w:p w:rsidR="00181834" w:rsidRDefault="00181834">
            <w:pPr>
              <w:jc w:val="center"/>
              <w:rPr>
                <w:rFonts w:eastAsia="Times New Roman"/>
                <w:sz w:val="22"/>
                <w:szCs w:val="22"/>
              </w:rPr>
            </w:pPr>
          </w:p>
        </w:tc>
        <w:tc>
          <w:tcPr>
            <w:tcW w:w="511" w:type="dxa"/>
            <w:shd w:val="clear" w:color="auto" w:fill="auto"/>
            <w:noWrap/>
            <w:vAlign w:val="center"/>
          </w:tcPr>
          <w:p w:rsidR="00181834" w:rsidRDefault="00181834">
            <w:pPr>
              <w:jc w:val="center"/>
              <w:rPr>
                <w:rFonts w:eastAsia="Times New Roman"/>
                <w:color w:val="000000"/>
                <w:sz w:val="22"/>
                <w:szCs w:val="22"/>
              </w:rPr>
            </w:pPr>
          </w:p>
        </w:tc>
        <w:tc>
          <w:tcPr>
            <w:tcW w:w="552" w:type="dxa"/>
            <w:shd w:val="clear" w:color="auto" w:fill="auto"/>
            <w:noWrap/>
            <w:vAlign w:val="bottom"/>
          </w:tcPr>
          <w:p w:rsidR="00181834" w:rsidRDefault="00181834">
            <w:pPr>
              <w:jc w:val="center"/>
              <w:rPr>
                <w:rFonts w:eastAsia="Times New Roman"/>
                <w:color w:val="000000"/>
                <w:sz w:val="22"/>
                <w:szCs w:val="22"/>
              </w:rPr>
            </w:pPr>
          </w:p>
        </w:tc>
        <w:tc>
          <w:tcPr>
            <w:tcW w:w="613" w:type="dxa"/>
            <w:shd w:val="clear" w:color="auto" w:fill="auto"/>
            <w:noWrap/>
            <w:vAlign w:val="bottom"/>
          </w:tcPr>
          <w:p w:rsidR="00181834" w:rsidRDefault="00181834">
            <w:pPr>
              <w:jc w:val="center"/>
              <w:rPr>
                <w:rFonts w:eastAsia="Times New Roman"/>
                <w:color w:val="000000"/>
                <w:sz w:val="22"/>
                <w:szCs w:val="22"/>
              </w:rPr>
            </w:pPr>
          </w:p>
        </w:tc>
        <w:tc>
          <w:tcPr>
            <w:tcW w:w="673" w:type="dxa"/>
            <w:shd w:val="clear" w:color="auto" w:fill="auto"/>
            <w:noWrap/>
            <w:vAlign w:val="bottom"/>
          </w:tcPr>
          <w:p w:rsidR="00181834" w:rsidRDefault="00181834">
            <w:pPr>
              <w:jc w:val="center"/>
              <w:rPr>
                <w:rFonts w:eastAsia="Times New Roman"/>
                <w:color w:val="000000"/>
                <w:sz w:val="22"/>
                <w:szCs w:val="22"/>
              </w:rPr>
            </w:pPr>
          </w:p>
        </w:tc>
        <w:tc>
          <w:tcPr>
            <w:tcW w:w="582" w:type="dxa"/>
            <w:shd w:val="clear" w:color="auto" w:fill="auto"/>
            <w:noWrap/>
            <w:vAlign w:val="bottom"/>
          </w:tcPr>
          <w:p w:rsidR="00181834" w:rsidRDefault="00181834">
            <w:pPr>
              <w:jc w:val="center"/>
              <w:rPr>
                <w:rFonts w:eastAsia="Times New Roman"/>
                <w:color w:val="000000"/>
                <w:sz w:val="22"/>
                <w:szCs w:val="22"/>
              </w:rPr>
            </w:pPr>
          </w:p>
        </w:tc>
        <w:tc>
          <w:tcPr>
            <w:tcW w:w="597" w:type="dxa"/>
            <w:shd w:val="clear" w:color="auto" w:fill="auto"/>
            <w:noWrap/>
            <w:vAlign w:val="bottom"/>
          </w:tcPr>
          <w:p w:rsidR="00181834" w:rsidRDefault="00181834">
            <w:pPr>
              <w:jc w:val="center"/>
              <w:rPr>
                <w:rFonts w:eastAsia="Times New Roman"/>
                <w:color w:val="000000"/>
                <w:sz w:val="22"/>
                <w:szCs w:val="22"/>
              </w:rPr>
            </w:pPr>
          </w:p>
        </w:tc>
        <w:tc>
          <w:tcPr>
            <w:tcW w:w="752" w:type="dxa"/>
            <w:shd w:val="clear" w:color="auto" w:fill="auto"/>
            <w:noWrap/>
            <w:vAlign w:val="bottom"/>
          </w:tcPr>
          <w:p w:rsidR="00181834" w:rsidRDefault="00181834">
            <w:pPr>
              <w:jc w:val="center"/>
              <w:rPr>
                <w:rFonts w:eastAsia="Times New Roman"/>
                <w:color w:val="000000"/>
                <w:sz w:val="22"/>
                <w:szCs w:val="22"/>
              </w:rPr>
            </w:pPr>
          </w:p>
        </w:tc>
        <w:tc>
          <w:tcPr>
            <w:tcW w:w="750" w:type="dxa"/>
            <w:shd w:val="clear" w:color="auto" w:fill="auto"/>
            <w:noWrap/>
            <w:vAlign w:val="bottom"/>
          </w:tcPr>
          <w:p w:rsidR="00181834" w:rsidRDefault="00181834">
            <w:pPr>
              <w:jc w:val="center"/>
              <w:rPr>
                <w:rFonts w:eastAsia="Times New Roman"/>
                <w:color w:val="000000"/>
                <w:sz w:val="22"/>
                <w:szCs w:val="22"/>
              </w:rPr>
            </w:pPr>
          </w:p>
        </w:tc>
        <w:tc>
          <w:tcPr>
            <w:tcW w:w="805" w:type="dxa"/>
            <w:shd w:val="clear" w:color="auto" w:fill="auto"/>
            <w:noWrap/>
            <w:vAlign w:val="bottom"/>
          </w:tcPr>
          <w:p w:rsidR="00181834" w:rsidRDefault="00181834">
            <w:pPr>
              <w:jc w:val="center"/>
              <w:rPr>
                <w:rFonts w:eastAsia="Times New Roman"/>
                <w:color w:val="000000"/>
                <w:sz w:val="22"/>
                <w:szCs w:val="22"/>
              </w:rPr>
            </w:pPr>
          </w:p>
        </w:tc>
        <w:tc>
          <w:tcPr>
            <w:tcW w:w="1140" w:type="dxa"/>
            <w:shd w:val="clear" w:color="auto" w:fill="auto"/>
            <w:noWrap/>
            <w:vAlign w:val="bottom"/>
          </w:tcPr>
          <w:p w:rsidR="00181834" w:rsidRDefault="00181834">
            <w:pPr>
              <w:jc w:val="center"/>
              <w:rPr>
                <w:rFonts w:eastAsia="Times New Roman"/>
                <w:color w:val="000000"/>
                <w:sz w:val="22"/>
                <w:szCs w:val="22"/>
              </w:rPr>
            </w:pPr>
          </w:p>
        </w:tc>
      </w:tr>
      <w:tr w:rsidR="00181834">
        <w:trPr>
          <w:trHeight w:hRule="exact" w:val="249"/>
          <w:jc w:val="center"/>
        </w:trPr>
        <w:tc>
          <w:tcPr>
            <w:tcW w:w="6040" w:type="dxa"/>
            <w:gridSpan w:val="9"/>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Average Index Score</w:t>
            </w:r>
          </w:p>
        </w:tc>
        <w:tc>
          <w:tcPr>
            <w:tcW w:w="805" w:type="dxa"/>
            <w:shd w:val="clear" w:color="auto" w:fill="auto"/>
            <w:noWrap/>
            <w:vAlign w:val="bottom"/>
          </w:tcPr>
          <w:p w:rsidR="00181834" w:rsidRDefault="007329B5">
            <w:pPr>
              <w:jc w:val="both"/>
              <w:rPr>
                <w:rFonts w:eastAsia="Times New Roman"/>
                <w:color w:val="000000"/>
                <w:sz w:val="22"/>
                <w:szCs w:val="22"/>
              </w:rPr>
            </w:pPr>
            <w:r>
              <w:rPr>
                <w:rFonts w:eastAsia="Times New Roman"/>
                <w:color w:val="000000"/>
                <w:sz w:val="22"/>
                <w:szCs w:val="22"/>
              </w:rPr>
              <w:t>56,7%</w:t>
            </w:r>
          </w:p>
        </w:tc>
        <w:tc>
          <w:tcPr>
            <w:tcW w:w="1140" w:type="dxa"/>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Moderate</w:t>
            </w:r>
          </w:p>
        </w:tc>
      </w:tr>
    </w:tbl>
    <w:p w:rsidR="00181834" w:rsidRDefault="007329B5">
      <w:pPr>
        <w:spacing w:after="60"/>
        <w:rPr>
          <w:i/>
          <w:iCs/>
          <w:sz w:val="20"/>
          <w:szCs w:val="20"/>
        </w:rPr>
      </w:pPr>
      <w:r>
        <w:rPr>
          <w:i/>
          <w:iCs/>
          <w:sz w:val="20"/>
          <w:szCs w:val="20"/>
        </w:rPr>
        <w:t>Source: Processed survey data (2025)</w:t>
      </w:r>
    </w:p>
    <w:p w:rsidR="00181834" w:rsidRDefault="007329B5" w:rsidP="00C625C4">
      <w:pPr>
        <w:spacing w:after="120"/>
        <w:ind w:firstLineChars="377" w:firstLine="905"/>
        <w:jc w:val="both"/>
        <w:rPr>
          <w:i/>
          <w:iCs/>
        </w:rPr>
      </w:pPr>
      <w:r>
        <w:t>Table 3 shows that Leader–Member Exchange (LMX) quality is moderate (56.71%), ranging from Emotional Closeness (52%) to Mutual Respect (60%), indicating that teacher–leader relationships remain suboptimal.</w:t>
      </w:r>
    </w:p>
    <w:p w:rsidR="00181834" w:rsidRDefault="007329B5" w:rsidP="00C625C4">
      <w:pPr>
        <w:spacing w:after="120" w:line="360" w:lineRule="auto"/>
        <w:ind w:firstLineChars="377" w:firstLine="905"/>
        <w:jc w:val="center"/>
        <w:rPr>
          <w:rFonts w:ascii="Calibri" w:eastAsia="Calibri" w:hAnsi="Calibri"/>
        </w:rPr>
      </w:pPr>
      <w:r>
        <w:rPr>
          <w:i/>
          <w:iCs/>
        </w:rPr>
        <w:t>Table 4: Analysis of Respondents’ Teacher Performance</w:t>
      </w:r>
    </w:p>
    <w:tbl>
      <w:tblPr>
        <w:tblW w:w="8017" w:type="dxa"/>
        <w:tblBorders>
          <w:top w:val="single" w:sz="2" w:space="0" w:color="auto"/>
          <w:bottom w:val="single" w:sz="2" w:space="0" w:color="auto"/>
        </w:tblBorders>
        <w:tblCellMar>
          <w:left w:w="100" w:type="dxa"/>
          <w:right w:w="100" w:type="dxa"/>
        </w:tblCellMar>
        <w:tblLook w:val="04A0" w:firstRow="1" w:lastRow="0" w:firstColumn="1" w:lastColumn="0" w:noHBand="0" w:noVBand="1"/>
      </w:tblPr>
      <w:tblGrid>
        <w:gridCol w:w="1304"/>
        <w:gridCol w:w="469"/>
        <w:gridCol w:w="581"/>
        <w:gridCol w:w="581"/>
        <w:gridCol w:w="581"/>
        <w:gridCol w:w="581"/>
        <w:gridCol w:w="581"/>
        <w:gridCol w:w="702"/>
        <w:gridCol w:w="726"/>
        <w:gridCol w:w="828"/>
        <w:gridCol w:w="1068"/>
        <w:gridCol w:w="15"/>
      </w:tblGrid>
      <w:tr w:rsidR="00181834">
        <w:trPr>
          <w:gridAfter w:val="1"/>
          <w:wAfter w:w="15" w:type="dxa"/>
          <w:trHeight w:hRule="exact" w:val="494"/>
        </w:trPr>
        <w:tc>
          <w:tcPr>
            <w:tcW w:w="1773" w:type="dxa"/>
            <w:gridSpan w:val="2"/>
            <w:tcBorders>
              <w:top w:val="single" w:sz="2" w:space="0" w:color="auto"/>
              <w:left w:val="nil"/>
              <w:bottom w:val="single" w:sz="2" w:space="0" w:color="auto"/>
              <w:right w:val="nil"/>
            </w:tcBorders>
            <w:shd w:val="clear" w:color="auto" w:fill="auto"/>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Item</w:t>
            </w:r>
          </w:p>
        </w:tc>
        <w:tc>
          <w:tcPr>
            <w:tcW w:w="581" w:type="dxa"/>
            <w:tcBorders>
              <w:top w:val="single" w:sz="2" w:space="0" w:color="auto"/>
              <w:left w:val="nil"/>
              <w:bottom w:val="single" w:sz="2" w:space="0" w:color="auto"/>
              <w:right w:val="nil"/>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SD</w:t>
            </w:r>
          </w:p>
        </w:tc>
        <w:tc>
          <w:tcPr>
            <w:tcW w:w="581" w:type="dxa"/>
            <w:tcBorders>
              <w:top w:val="single" w:sz="2" w:space="0" w:color="auto"/>
              <w:left w:val="nil"/>
              <w:bottom w:val="single" w:sz="2" w:space="0" w:color="auto"/>
              <w:right w:val="nil"/>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D</w:t>
            </w:r>
          </w:p>
        </w:tc>
        <w:tc>
          <w:tcPr>
            <w:tcW w:w="581" w:type="dxa"/>
            <w:tcBorders>
              <w:top w:val="single" w:sz="2" w:space="0" w:color="auto"/>
              <w:left w:val="nil"/>
              <w:bottom w:val="single" w:sz="2" w:space="0" w:color="auto"/>
              <w:right w:val="nil"/>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N</w:t>
            </w:r>
          </w:p>
        </w:tc>
        <w:tc>
          <w:tcPr>
            <w:tcW w:w="581" w:type="dxa"/>
            <w:tcBorders>
              <w:top w:val="single" w:sz="2" w:space="0" w:color="auto"/>
              <w:left w:val="nil"/>
              <w:bottom w:val="single" w:sz="2" w:space="0" w:color="auto"/>
              <w:right w:val="nil"/>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A</w:t>
            </w:r>
          </w:p>
        </w:tc>
        <w:tc>
          <w:tcPr>
            <w:tcW w:w="581" w:type="dxa"/>
            <w:tcBorders>
              <w:top w:val="single" w:sz="2" w:space="0" w:color="auto"/>
              <w:left w:val="nil"/>
              <w:bottom w:val="single" w:sz="2" w:space="0" w:color="auto"/>
              <w:right w:val="nil"/>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SA</w:t>
            </w:r>
          </w:p>
        </w:tc>
        <w:tc>
          <w:tcPr>
            <w:tcW w:w="702" w:type="dxa"/>
            <w:tcBorders>
              <w:top w:val="single" w:sz="2" w:space="0" w:color="auto"/>
              <w:left w:val="nil"/>
              <w:bottom w:val="single" w:sz="2" w:space="0" w:color="auto"/>
              <w:right w:val="nil"/>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Total (N)</w:t>
            </w:r>
          </w:p>
        </w:tc>
        <w:tc>
          <w:tcPr>
            <w:tcW w:w="726" w:type="dxa"/>
            <w:tcBorders>
              <w:top w:val="single" w:sz="2" w:space="0" w:color="auto"/>
              <w:left w:val="nil"/>
              <w:bottom w:val="single" w:sz="2" w:space="0" w:color="auto"/>
              <w:right w:val="nil"/>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Ideal Score</w:t>
            </w:r>
          </w:p>
        </w:tc>
        <w:tc>
          <w:tcPr>
            <w:tcW w:w="828" w:type="dxa"/>
            <w:tcBorders>
              <w:top w:val="single" w:sz="2" w:space="0" w:color="auto"/>
              <w:left w:val="nil"/>
              <w:bottom w:val="single" w:sz="2" w:space="0" w:color="auto"/>
              <w:right w:val="nil"/>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 index</w:t>
            </w:r>
          </w:p>
        </w:tc>
        <w:tc>
          <w:tcPr>
            <w:tcW w:w="1068" w:type="dxa"/>
            <w:tcBorders>
              <w:top w:val="single" w:sz="2" w:space="0" w:color="auto"/>
              <w:left w:val="nil"/>
              <w:bottom w:val="single" w:sz="2" w:space="0" w:color="auto"/>
              <w:right w:val="nil"/>
            </w:tcBorders>
            <w:shd w:val="clear" w:color="auto" w:fill="auto"/>
            <w:noWrap/>
            <w:vAlign w:val="center"/>
          </w:tcPr>
          <w:p w:rsidR="00181834" w:rsidRDefault="007329B5">
            <w:pPr>
              <w:spacing w:after="120"/>
              <w:jc w:val="center"/>
              <w:rPr>
                <w:rFonts w:eastAsia="Times New Roman"/>
                <w:b/>
                <w:bCs/>
                <w:color w:val="000000"/>
                <w:sz w:val="22"/>
                <w:szCs w:val="22"/>
              </w:rPr>
            </w:pPr>
            <w:r>
              <w:rPr>
                <w:rFonts w:eastAsia="Times New Roman"/>
                <w:b/>
                <w:bCs/>
                <w:color w:val="000000"/>
                <w:sz w:val="22"/>
                <w:szCs w:val="22"/>
              </w:rPr>
              <w:t>Category</w:t>
            </w:r>
          </w:p>
        </w:tc>
      </w:tr>
      <w:tr w:rsidR="00181834">
        <w:trPr>
          <w:trHeight w:hRule="exact" w:val="244"/>
        </w:trPr>
        <w:tc>
          <w:tcPr>
            <w:tcW w:w="8017" w:type="dxa"/>
            <w:gridSpan w:val="12"/>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Varied Teaching Methods</w:t>
            </w:r>
          </w:p>
        </w:tc>
      </w:tr>
      <w:tr w:rsidR="00181834">
        <w:trPr>
          <w:gridAfter w:val="1"/>
          <w:wAfter w:w="15" w:type="dxa"/>
          <w:trHeight w:hRule="exact" w:val="274"/>
        </w:trPr>
        <w:tc>
          <w:tcPr>
            <w:tcW w:w="1304"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TP_1</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53</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73</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74</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82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06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gridAfter w:val="1"/>
          <w:wAfter w:w="15" w:type="dxa"/>
          <w:trHeight w:hRule="exact" w:val="244"/>
        </w:trPr>
        <w:tc>
          <w:tcPr>
            <w:tcW w:w="1304"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53</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146</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75</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370</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2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60%</w:t>
            </w:r>
          </w:p>
        </w:tc>
        <w:tc>
          <w:tcPr>
            <w:tcW w:w="106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gridAfter w:val="1"/>
          <w:wAfter w:w="15" w:type="dxa"/>
          <w:trHeight w:hRule="exact" w:val="283"/>
        </w:trPr>
        <w:tc>
          <w:tcPr>
            <w:tcW w:w="1304"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TP_2</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53</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27</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52</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53</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82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06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gridAfter w:val="1"/>
          <w:wAfter w:w="15" w:type="dxa"/>
          <w:trHeight w:hRule="exact" w:val="283"/>
        </w:trPr>
        <w:tc>
          <w:tcPr>
            <w:tcW w:w="1304"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53</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140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81</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208</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265</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2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59%</w:t>
            </w:r>
          </w:p>
        </w:tc>
        <w:tc>
          <w:tcPr>
            <w:tcW w:w="106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304"/>
        </w:trPr>
        <w:tc>
          <w:tcPr>
            <w:tcW w:w="8017" w:type="dxa"/>
            <w:gridSpan w:val="12"/>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Psychological Support</w:t>
            </w:r>
          </w:p>
        </w:tc>
      </w:tr>
      <w:tr w:rsidR="00181834">
        <w:trPr>
          <w:gridAfter w:val="1"/>
          <w:wAfter w:w="15" w:type="dxa"/>
          <w:trHeight w:hRule="exact" w:val="244"/>
        </w:trPr>
        <w:tc>
          <w:tcPr>
            <w:tcW w:w="1304"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TP_3</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66</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27</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24</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78</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82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06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gridAfter w:val="1"/>
          <w:wAfter w:w="15" w:type="dxa"/>
          <w:trHeight w:hRule="exact" w:val="244"/>
        </w:trPr>
        <w:tc>
          <w:tcPr>
            <w:tcW w:w="1304"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132</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81</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96</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390</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2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60%</w:t>
            </w:r>
          </w:p>
        </w:tc>
        <w:tc>
          <w:tcPr>
            <w:tcW w:w="106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gridAfter w:val="1"/>
          <w:wAfter w:w="15" w:type="dxa"/>
          <w:trHeight w:hRule="exact" w:val="334"/>
        </w:trPr>
        <w:tc>
          <w:tcPr>
            <w:tcW w:w="1304"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TP_4</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45</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86</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58</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56</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82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06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gridAfter w:val="1"/>
          <w:wAfter w:w="15" w:type="dxa"/>
          <w:trHeight w:hRule="exact" w:val="244"/>
        </w:trPr>
        <w:tc>
          <w:tcPr>
            <w:tcW w:w="1304"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45</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172</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232</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280</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2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60%</w:t>
            </w:r>
          </w:p>
        </w:tc>
        <w:tc>
          <w:tcPr>
            <w:tcW w:w="106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gridAfter w:val="1"/>
          <w:wAfter w:w="15" w:type="dxa"/>
          <w:trHeight w:hRule="exact" w:val="244"/>
        </w:trPr>
        <w:tc>
          <w:tcPr>
            <w:tcW w:w="6934" w:type="dxa"/>
            <w:gridSpan w:val="10"/>
            <w:tcBorders>
              <w:top w:val="nil"/>
              <w:left w:val="nil"/>
              <w:bottom w:val="nil"/>
              <w:right w:val="nil"/>
            </w:tcBorders>
            <w:shd w:val="clear" w:color="auto" w:fill="auto"/>
            <w:noWrap/>
            <w:vAlign w:val="bottom"/>
          </w:tcPr>
          <w:p w:rsidR="00181834" w:rsidRDefault="007329B5">
            <w:pPr>
              <w:rPr>
                <w:rFonts w:eastAsia="Times New Roman"/>
                <w:sz w:val="22"/>
                <w:szCs w:val="22"/>
              </w:rPr>
            </w:pPr>
            <w:r>
              <w:rPr>
                <w:rFonts w:eastAsia="Times New Roman"/>
                <w:color w:val="000000"/>
                <w:sz w:val="22"/>
                <w:szCs w:val="22"/>
              </w:rPr>
              <w:t>Digital Competence</w:t>
            </w:r>
          </w:p>
        </w:tc>
        <w:tc>
          <w:tcPr>
            <w:tcW w:w="106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gridAfter w:val="1"/>
          <w:wAfter w:w="15" w:type="dxa"/>
          <w:trHeight w:hRule="exact" w:val="283"/>
        </w:trPr>
        <w:tc>
          <w:tcPr>
            <w:tcW w:w="1304"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TP_5</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28</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104</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9</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64</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50</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82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06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gridAfter w:val="1"/>
          <w:wAfter w:w="15" w:type="dxa"/>
          <w:trHeight w:hRule="exact" w:val="244"/>
        </w:trPr>
        <w:tc>
          <w:tcPr>
            <w:tcW w:w="1304"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28</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208</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27</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256</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250</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2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60%</w:t>
            </w:r>
          </w:p>
        </w:tc>
        <w:tc>
          <w:tcPr>
            <w:tcW w:w="106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gridAfter w:val="1"/>
          <w:wAfter w:w="15" w:type="dxa"/>
          <w:trHeight w:hRule="exact" w:val="289"/>
        </w:trPr>
        <w:tc>
          <w:tcPr>
            <w:tcW w:w="1304"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TP_6</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59</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73</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13</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39</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71</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82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06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gridAfter w:val="1"/>
          <w:wAfter w:w="15" w:type="dxa"/>
          <w:trHeight w:hRule="exact" w:val="244"/>
        </w:trPr>
        <w:tc>
          <w:tcPr>
            <w:tcW w:w="1304"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59</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146</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39</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156</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355</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2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59%</w:t>
            </w:r>
          </w:p>
        </w:tc>
        <w:tc>
          <w:tcPr>
            <w:tcW w:w="106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4"/>
        </w:trPr>
        <w:tc>
          <w:tcPr>
            <w:tcW w:w="8017" w:type="dxa"/>
            <w:gridSpan w:val="12"/>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Classroom Management</w:t>
            </w:r>
          </w:p>
        </w:tc>
      </w:tr>
      <w:tr w:rsidR="00181834">
        <w:trPr>
          <w:gridAfter w:val="1"/>
          <w:wAfter w:w="15" w:type="dxa"/>
          <w:trHeight w:hRule="exact" w:val="274"/>
        </w:trPr>
        <w:tc>
          <w:tcPr>
            <w:tcW w:w="1304"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TP_7</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54</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82</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14</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75</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82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06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gridAfter w:val="1"/>
          <w:wAfter w:w="15" w:type="dxa"/>
          <w:trHeight w:hRule="exact" w:val="244"/>
        </w:trPr>
        <w:tc>
          <w:tcPr>
            <w:tcW w:w="1304"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54</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164</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42</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375</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2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59%</w:t>
            </w:r>
          </w:p>
        </w:tc>
        <w:tc>
          <w:tcPr>
            <w:tcW w:w="106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gridAfter w:val="1"/>
          <w:wAfter w:w="15" w:type="dxa"/>
          <w:trHeight w:hRule="exact" w:val="244"/>
        </w:trPr>
        <w:tc>
          <w:tcPr>
            <w:tcW w:w="1304"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TP_8</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57</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76</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11</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55</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56</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82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06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gridAfter w:val="1"/>
          <w:wAfter w:w="15" w:type="dxa"/>
          <w:trHeight w:hRule="exact" w:val="244"/>
        </w:trPr>
        <w:tc>
          <w:tcPr>
            <w:tcW w:w="1304"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57</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152</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33</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220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280</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2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58%</w:t>
            </w:r>
          </w:p>
        </w:tc>
        <w:tc>
          <w:tcPr>
            <w:tcW w:w="106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44"/>
        </w:trPr>
        <w:tc>
          <w:tcPr>
            <w:tcW w:w="8017" w:type="dxa"/>
            <w:gridSpan w:val="12"/>
            <w:tcBorders>
              <w:top w:val="nil"/>
              <w:left w:val="nil"/>
              <w:bottom w:val="nil"/>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Communication with Students</w:t>
            </w:r>
          </w:p>
        </w:tc>
      </w:tr>
      <w:tr w:rsidR="00181834">
        <w:trPr>
          <w:gridAfter w:val="1"/>
          <w:wAfter w:w="15" w:type="dxa"/>
          <w:trHeight w:hRule="exact" w:val="283"/>
        </w:trPr>
        <w:tc>
          <w:tcPr>
            <w:tcW w:w="1304"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TP_9</w:t>
            </w:r>
          </w:p>
        </w:tc>
        <w:tc>
          <w:tcPr>
            <w:tcW w:w="469" w:type="dxa"/>
            <w:tcBorders>
              <w:top w:val="nil"/>
              <w:left w:val="nil"/>
              <w:bottom w:val="nil"/>
              <w:right w:val="nil"/>
            </w:tcBorders>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f</w:t>
            </w:r>
          </w:p>
        </w:tc>
        <w:tc>
          <w:tcPr>
            <w:tcW w:w="581" w:type="dxa"/>
            <w:tcBorders>
              <w:top w:val="nil"/>
              <w:left w:val="nil"/>
              <w:bottom w:val="nil"/>
              <w:right w:val="nil"/>
            </w:tcBorders>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45</w:t>
            </w:r>
          </w:p>
        </w:tc>
        <w:tc>
          <w:tcPr>
            <w:tcW w:w="581" w:type="dxa"/>
            <w:tcBorders>
              <w:top w:val="nil"/>
              <w:left w:val="nil"/>
              <w:bottom w:val="nil"/>
              <w:right w:val="nil"/>
            </w:tcBorders>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82</w:t>
            </w:r>
          </w:p>
        </w:tc>
        <w:tc>
          <w:tcPr>
            <w:tcW w:w="581" w:type="dxa"/>
            <w:tcBorders>
              <w:top w:val="nil"/>
              <w:left w:val="nil"/>
              <w:bottom w:val="nil"/>
              <w:right w:val="nil"/>
            </w:tcBorders>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14</w:t>
            </w:r>
          </w:p>
        </w:tc>
        <w:tc>
          <w:tcPr>
            <w:tcW w:w="581" w:type="dxa"/>
            <w:tcBorders>
              <w:top w:val="nil"/>
              <w:left w:val="nil"/>
              <w:bottom w:val="nil"/>
              <w:right w:val="nil"/>
            </w:tcBorders>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61</w:t>
            </w:r>
          </w:p>
        </w:tc>
        <w:tc>
          <w:tcPr>
            <w:tcW w:w="581" w:type="dxa"/>
            <w:tcBorders>
              <w:top w:val="nil"/>
              <w:left w:val="nil"/>
              <w:bottom w:val="nil"/>
              <w:right w:val="nil"/>
            </w:tcBorders>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53</w:t>
            </w:r>
          </w:p>
        </w:tc>
        <w:tc>
          <w:tcPr>
            <w:tcW w:w="702" w:type="dxa"/>
            <w:tcBorders>
              <w:top w:val="nil"/>
              <w:left w:val="nil"/>
              <w:bottom w:val="nil"/>
              <w:right w:val="nil"/>
            </w:tcBorders>
            <w:shd w:val="clear" w:color="auto" w:fill="auto"/>
            <w:noWrap/>
            <w:vAlign w:val="center"/>
          </w:tcPr>
          <w:p w:rsidR="00181834" w:rsidRDefault="007329B5">
            <w:pP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center"/>
          </w:tcPr>
          <w:p w:rsidR="00181834" w:rsidRDefault="00181834">
            <w:pPr>
              <w:spacing w:after="160" w:line="256" w:lineRule="auto"/>
              <w:rPr>
                <w:sz w:val="22"/>
                <w:szCs w:val="22"/>
              </w:rPr>
            </w:pPr>
          </w:p>
        </w:tc>
        <w:tc>
          <w:tcPr>
            <w:tcW w:w="82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06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gridAfter w:val="1"/>
          <w:wAfter w:w="15" w:type="dxa"/>
          <w:trHeight w:hRule="exact" w:val="283"/>
        </w:trPr>
        <w:tc>
          <w:tcPr>
            <w:tcW w:w="1304"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45</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164</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42</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244</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265</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2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60%</w:t>
            </w:r>
          </w:p>
        </w:tc>
        <w:tc>
          <w:tcPr>
            <w:tcW w:w="106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gridAfter w:val="1"/>
          <w:wAfter w:w="15" w:type="dxa"/>
          <w:trHeight w:hRule="exact" w:val="283"/>
        </w:trPr>
        <w:tc>
          <w:tcPr>
            <w:tcW w:w="1304"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TP_10</w:t>
            </w: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r>
              <w:rPr>
                <w:rFonts w:eastAsia="Times New Roman"/>
                <w:color w:val="000000"/>
                <w:sz w:val="22"/>
                <w:szCs w:val="22"/>
              </w:rPr>
              <w:t>f</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58</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80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69</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43</w:t>
            </w:r>
          </w:p>
        </w:tc>
        <w:tc>
          <w:tcPr>
            <w:tcW w:w="702"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255</w:t>
            </w:r>
          </w:p>
        </w:tc>
        <w:tc>
          <w:tcPr>
            <w:tcW w:w="726"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82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1068"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r>
      <w:tr w:rsidR="00181834">
        <w:trPr>
          <w:gridAfter w:val="1"/>
          <w:wAfter w:w="15" w:type="dxa"/>
          <w:trHeight w:hRule="exact" w:val="283"/>
        </w:trPr>
        <w:tc>
          <w:tcPr>
            <w:tcW w:w="1304"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469" w:type="dxa"/>
            <w:tcBorders>
              <w:top w:val="nil"/>
              <w:left w:val="nil"/>
              <w:bottom w:val="nil"/>
              <w:right w:val="nil"/>
            </w:tcBorders>
            <w:shd w:val="clear" w:color="auto" w:fill="auto"/>
            <w:noWrap/>
            <w:vAlign w:val="center"/>
          </w:tcPr>
          <w:p w:rsidR="00181834" w:rsidRDefault="007329B5">
            <w:pPr>
              <w:jc w:val="center"/>
              <w:rPr>
                <w:rFonts w:eastAsia="Times New Roman"/>
                <w:color w:val="000000"/>
                <w:sz w:val="22"/>
                <w:szCs w:val="22"/>
              </w:rPr>
            </w:pPr>
            <w:proofErr w:type="spellStart"/>
            <w:r>
              <w:rPr>
                <w:rFonts w:eastAsia="Times New Roman"/>
                <w:color w:val="000000"/>
                <w:sz w:val="22"/>
                <w:szCs w:val="22"/>
              </w:rPr>
              <w:t>fxs</w:t>
            </w:r>
            <w:proofErr w:type="spellEnd"/>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58</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160</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15</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276</w:t>
            </w:r>
          </w:p>
        </w:tc>
        <w:tc>
          <w:tcPr>
            <w:tcW w:w="581"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215</w:t>
            </w:r>
          </w:p>
        </w:tc>
        <w:tc>
          <w:tcPr>
            <w:tcW w:w="702" w:type="dxa"/>
            <w:tcBorders>
              <w:top w:val="nil"/>
              <w:left w:val="nil"/>
              <w:bottom w:val="nil"/>
              <w:right w:val="nil"/>
            </w:tcBorders>
            <w:shd w:val="clear" w:color="auto" w:fill="auto"/>
            <w:noWrap/>
            <w:vAlign w:val="bottom"/>
          </w:tcPr>
          <w:p w:rsidR="00181834" w:rsidRDefault="00181834">
            <w:pPr>
              <w:spacing w:after="160" w:line="256" w:lineRule="auto"/>
              <w:rPr>
                <w:sz w:val="22"/>
                <w:szCs w:val="22"/>
              </w:rPr>
            </w:pPr>
          </w:p>
        </w:tc>
        <w:tc>
          <w:tcPr>
            <w:tcW w:w="726"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1275</w:t>
            </w:r>
          </w:p>
        </w:tc>
        <w:tc>
          <w:tcPr>
            <w:tcW w:w="82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57%</w:t>
            </w:r>
          </w:p>
        </w:tc>
        <w:tc>
          <w:tcPr>
            <w:tcW w:w="1068" w:type="dxa"/>
            <w:tcBorders>
              <w:top w:val="nil"/>
              <w:left w:val="nil"/>
              <w:bottom w:val="nil"/>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r w:rsidR="00181834">
        <w:trPr>
          <w:trHeight w:hRule="exact" w:val="283"/>
        </w:trPr>
        <w:tc>
          <w:tcPr>
            <w:tcW w:w="6106" w:type="dxa"/>
            <w:gridSpan w:val="9"/>
            <w:tcBorders>
              <w:top w:val="nil"/>
              <w:left w:val="nil"/>
              <w:bottom w:val="single" w:sz="2" w:space="0" w:color="auto"/>
              <w:right w:val="nil"/>
            </w:tcBorders>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rPr>
              <w:t>Average Index Score</w:t>
            </w:r>
          </w:p>
        </w:tc>
        <w:tc>
          <w:tcPr>
            <w:tcW w:w="828" w:type="dxa"/>
            <w:tcBorders>
              <w:top w:val="nil"/>
              <w:left w:val="nil"/>
              <w:bottom w:val="single" w:sz="2" w:space="0" w:color="auto"/>
              <w:right w:val="nil"/>
            </w:tcBorders>
            <w:shd w:val="clear" w:color="auto" w:fill="auto"/>
            <w:noWrap/>
            <w:vAlign w:val="bottom"/>
          </w:tcPr>
          <w:p w:rsidR="00181834" w:rsidRDefault="007329B5">
            <w:pPr>
              <w:jc w:val="right"/>
              <w:rPr>
                <w:rFonts w:eastAsia="Times New Roman"/>
                <w:color w:val="000000"/>
                <w:sz w:val="22"/>
                <w:szCs w:val="22"/>
              </w:rPr>
            </w:pPr>
            <w:r>
              <w:rPr>
                <w:rFonts w:eastAsia="Times New Roman"/>
                <w:color w:val="000000"/>
                <w:sz w:val="22"/>
                <w:szCs w:val="22"/>
              </w:rPr>
              <w:t>59,2%</w:t>
            </w:r>
          </w:p>
        </w:tc>
        <w:tc>
          <w:tcPr>
            <w:tcW w:w="1083" w:type="dxa"/>
            <w:gridSpan w:val="2"/>
            <w:tcBorders>
              <w:top w:val="nil"/>
              <w:left w:val="nil"/>
              <w:bottom w:val="single" w:sz="2" w:space="0" w:color="auto"/>
              <w:right w:val="nil"/>
            </w:tcBorders>
            <w:shd w:val="clear" w:color="auto" w:fill="auto"/>
            <w:noWrap/>
            <w:vAlign w:val="bottom"/>
          </w:tcPr>
          <w:p w:rsidR="00181834" w:rsidRDefault="007329B5">
            <w:pPr>
              <w:jc w:val="center"/>
              <w:rPr>
                <w:rFonts w:eastAsia="Times New Roman"/>
                <w:color w:val="000000"/>
                <w:sz w:val="22"/>
                <w:szCs w:val="22"/>
              </w:rPr>
            </w:pPr>
            <w:r>
              <w:rPr>
                <w:rFonts w:eastAsia="Times New Roman"/>
                <w:color w:val="000000"/>
                <w:sz w:val="22"/>
                <w:szCs w:val="22"/>
              </w:rPr>
              <w:t>Moderate</w:t>
            </w:r>
          </w:p>
        </w:tc>
      </w:tr>
    </w:tbl>
    <w:p w:rsidR="00181834" w:rsidRDefault="007329B5">
      <w:pPr>
        <w:spacing w:after="60" w:line="360" w:lineRule="auto"/>
        <w:jc w:val="both"/>
        <w:rPr>
          <w:rFonts w:eastAsia="Calibri"/>
          <w:i/>
          <w:iCs/>
          <w:sz w:val="20"/>
          <w:szCs w:val="20"/>
        </w:rPr>
      </w:pPr>
      <w:r>
        <w:rPr>
          <w:rFonts w:eastAsia="Calibri"/>
          <w:i/>
          <w:iCs/>
          <w:sz w:val="20"/>
          <w:szCs w:val="20"/>
        </w:rPr>
        <w:t>Source: Processed survey data (2025)</w:t>
      </w:r>
    </w:p>
    <w:p w:rsidR="00181834" w:rsidRDefault="007329B5">
      <w:pPr>
        <w:spacing w:after="120"/>
        <w:ind w:firstLine="720"/>
        <w:jc w:val="both"/>
        <w:rPr>
          <w:b/>
        </w:rPr>
      </w:pPr>
      <w:r>
        <w:rPr>
          <w:rFonts w:eastAsia="Times New Roman"/>
          <w:color w:val="000000"/>
        </w:rPr>
        <w:t xml:space="preserve">Table 4 shows that teacher performance is moderate, ranging from 57% in communication to 60% in teaching methods, support, and digital competence, indicating adequate but improvable performance. </w:t>
      </w:r>
    </w:p>
    <w:p w:rsidR="00181834" w:rsidRDefault="007329B5">
      <w:pPr>
        <w:spacing w:after="120" w:line="360" w:lineRule="auto"/>
        <w:jc w:val="center"/>
        <w:rPr>
          <w:rFonts w:eastAsia="Calibri"/>
          <w:i/>
          <w:iCs/>
        </w:rPr>
      </w:pPr>
      <w:r>
        <w:rPr>
          <w:rFonts w:eastAsia="Calibri"/>
          <w:i/>
          <w:iCs/>
        </w:rPr>
        <w:t>Table 5: Respondent Distribution</w:t>
      </w:r>
    </w:p>
    <w:tbl>
      <w:tblPr>
        <w:tblW w:w="7577" w:type="dxa"/>
        <w:jc w:val="center"/>
        <w:tblCellSpacing w:w="10" w:type="dxa"/>
        <w:tblBorders>
          <w:top w:val="single" w:sz="2" w:space="0" w:color="auto"/>
          <w:bottom w:val="single" w:sz="2" w:space="0" w:color="auto"/>
        </w:tblBorders>
        <w:tblCellMar>
          <w:left w:w="100" w:type="dxa"/>
          <w:right w:w="100" w:type="dxa"/>
        </w:tblCellMar>
        <w:tblLook w:val="04A0" w:firstRow="1" w:lastRow="0" w:firstColumn="1" w:lastColumn="0" w:noHBand="0" w:noVBand="1"/>
      </w:tblPr>
      <w:tblGrid>
        <w:gridCol w:w="1774"/>
        <w:gridCol w:w="1122"/>
        <w:gridCol w:w="1373"/>
        <w:gridCol w:w="1551"/>
        <w:gridCol w:w="1757"/>
      </w:tblGrid>
      <w:tr w:rsidR="00181834">
        <w:trPr>
          <w:trHeight w:val="585"/>
          <w:tblHeader/>
          <w:tblCellSpacing w:w="10" w:type="dxa"/>
          <w:jc w:val="center"/>
        </w:trPr>
        <w:tc>
          <w:tcPr>
            <w:tcW w:w="1744" w:type="dxa"/>
            <w:tcBorders>
              <w:top w:val="nil"/>
              <w:left w:val="nil"/>
              <w:bottom w:val="single" w:sz="2" w:space="0" w:color="auto"/>
              <w:right w:val="nil"/>
            </w:tcBorders>
            <w:shd w:val="clear" w:color="auto" w:fill="auto"/>
            <w:tcMar>
              <w:left w:w="0" w:type="dxa"/>
              <w:right w:w="0" w:type="dxa"/>
            </w:tcMar>
            <w:vAlign w:val="center"/>
          </w:tcPr>
          <w:p w:rsidR="00181834" w:rsidRDefault="007329B5">
            <w:pPr>
              <w:rPr>
                <w:rFonts w:eastAsia="Times New Roman"/>
                <w:b/>
                <w:bCs/>
                <w:sz w:val="22"/>
                <w:szCs w:val="22"/>
              </w:rPr>
            </w:pPr>
            <w:r>
              <w:rPr>
                <w:rFonts w:eastAsia="Times New Roman"/>
                <w:b/>
                <w:bCs/>
                <w:sz w:val="22"/>
                <w:szCs w:val="22"/>
              </w:rPr>
              <w:t>Aspect</w:t>
            </w:r>
          </w:p>
        </w:tc>
        <w:tc>
          <w:tcPr>
            <w:tcW w:w="1102" w:type="dxa"/>
            <w:tcBorders>
              <w:top w:val="nil"/>
              <w:left w:val="nil"/>
              <w:bottom w:val="single" w:sz="2" w:space="0" w:color="auto"/>
              <w:right w:val="nil"/>
            </w:tcBorders>
            <w:shd w:val="clear" w:color="auto" w:fill="auto"/>
            <w:tcMar>
              <w:left w:w="0" w:type="dxa"/>
              <w:right w:w="0" w:type="dxa"/>
            </w:tcMar>
            <w:vAlign w:val="center"/>
          </w:tcPr>
          <w:p w:rsidR="00181834" w:rsidRDefault="007329B5">
            <w:pPr>
              <w:jc w:val="both"/>
              <w:rPr>
                <w:rFonts w:eastAsia="Times New Roman"/>
                <w:b/>
                <w:bCs/>
                <w:sz w:val="22"/>
                <w:szCs w:val="22"/>
              </w:rPr>
            </w:pPr>
            <w:r>
              <w:rPr>
                <w:rFonts w:eastAsia="Times New Roman"/>
                <w:b/>
                <w:bCs/>
                <w:sz w:val="22"/>
                <w:szCs w:val="22"/>
              </w:rPr>
              <w:t>Category</w:t>
            </w:r>
          </w:p>
        </w:tc>
        <w:tc>
          <w:tcPr>
            <w:tcW w:w="1353" w:type="dxa"/>
            <w:tcBorders>
              <w:top w:val="nil"/>
              <w:left w:val="nil"/>
              <w:bottom w:val="single" w:sz="2" w:space="0" w:color="auto"/>
              <w:right w:val="nil"/>
            </w:tcBorders>
            <w:shd w:val="clear" w:color="auto" w:fill="auto"/>
            <w:tcMar>
              <w:left w:w="0" w:type="dxa"/>
              <w:right w:w="0" w:type="dxa"/>
            </w:tcMar>
            <w:vAlign w:val="center"/>
          </w:tcPr>
          <w:p w:rsidR="00181834" w:rsidRDefault="007329B5">
            <w:pPr>
              <w:jc w:val="center"/>
              <w:rPr>
                <w:rFonts w:eastAsia="Times New Roman"/>
                <w:b/>
                <w:bCs/>
                <w:sz w:val="22"/>
                <w:szCs w:val="22"/>
              </w:rPr>
            </w:pPr>
            <w:r>
              <w:rPr>
                <w:rFonts w:eastAsia="Times New Roman"/>
                <w:b/>
                <w:bCs/>
                <w:sz w:val="22"/>
                <w:szCs w:val="22"/>
              </w:rPr>
              <w:t>Absolute Frequency (f)</w:t>
            </w:r>
          </w:p>
        </w:tc>
        <w:tc>
          <w:tcPr>
            <w:tcW w:w="1531" w:type="dxa"/>
            <w:tcBorders>
              <w:top w:val="nil"/>
              <w:left w:val="nil"/>
              <w:bottom w:val="single" w:sz="2" w:space="0" w:color="auto"/>
              <w:right w:val="nil"/>
            </w:tcBorders>
            <w:shd w:val="clear" w:color="auto" w:fill="auto"/>
            <w:tcMar>
              <w:left w:w="0" w:type="dxa"/>
              <w:right w:w="0" w:type="dxa"/>
            </w:tcMar>
            <w:vAlign w:val="center"/>
          </w:tcPr>
          <w:p w:rsidR="00181834" w:rsidRDefault="007329B5">
            <w:pPr>
              <w:jc w:val="center"/>
              <w:rPr>
                <w:rFonts w:eastAsia="Times New Roman"/>
                <w:b/>
                <w:bCs/>
                <w:sz w:val="22"/>
                <w:szCs w:val="22"/>
              </w:rPr>
            </w:pPr>
            <w:r>
              <w:rPr>
                <w:rFonts w:eastAsia="Times New Roman"/>
                <w:b/>
                <w:bCs/>
                <w:sz w:val="22"/>
                <w:szCs w:val="22"/>
              </w:rPr>
              <w:t>Relative Frequency (%)</w:t>
            </w:r>
          </w:p>
        </w:tc>
        <w:tc>
          <w:tcPr>
            <w:tcW w:w="1727" w:type="dxa"/>
            <w:tcBorders>
              <w:top w:val="nil"/>
              <w:left w:val="nil"/>
              <w:bottom w:val="single" w:sz="2" w:space="0" w:color="auto"/>
              <w:right w:val="nil"/>
            </w:tcBorders>
            <w:shd w:val="clear" w:color="auto" w:fill="auto"/>
            <w:tcMar>
              <w:left w:w="0" w:type="dxa"/>
              <w:right w:w="0" w:type="dxa"/>
            </w:tcMar>
            <w:vAlign w:val="center"/>
          </w:tcPr>
          <w:p w:rsidR="00181834" w:rsidRDefault="007329B5">
            <w:pPr>
              <w:jc w:val="center"/>
              <w:rPr>
                <w:rFonts w:eastAsia="Times New Roman"/>
                <w:b/>
                <w:bCs/>
                <w:sz w:val="22"/>
                <w:szCs w:val="22"/>
              </w:rPr>
            </w:pPr>
            <w:r>
              <w:rPr>
                <w:rFonts w:eastAsia="Times New Roman"/>
                <w:b/>
                <w:bCs/>
                <w:sz w:val="22"/>
                <w:szCs w:val="22"/>
              </w:rPr>
              <w:t>Cumulative Frequency (%)</w:t>
            </w:r>
          </w:p>
        </w:tc>
      </w:tr>
      <w:tr w:rsidR="00181834">
        <w:trPr>
          <w:trHeight w:hRule="exact" w:val="283"/>
          <w:tblCellSpacing w:w="10" w:type="dxa"/>
          <w:jc w:val="center"/>
        </w:trPr>
        <w:tc>
          <w:tcPr>
            <w:tcW w:w="1744" w:type="dxa"/>
            <w:tcBorders>
              <w:top w:val="nil"/>
              <w:left w:val="nil"/>
              <w:bottom w:val="nil"/>
              <w:right w:val="nil"/>
            </w:tcBorders>
            <w:shd w:val="clear" w:color="auto" w:fill="auto"/>
            <w:tcMar>
              <w:left w:w="0" w:type="dxa"/>
              <w:right w:w="0" w:type="dxa"/>
            </w:tcMar>
            <w:vAlign w:val="center"/>
          </w:tcPr>
          <w:p w:rsidR="00181834" w:rsidRDefault="007329B5">
            <w:pPr>
              <w:rPr>
                <w:rFonts w:eastAsia="Times New Roman"/>
                <w:sz w:val="22"/>
                <w:szCs w:val="22"/>
              </w:rPr>
            </w:pPr>
            <w:r>
              <w:rPr>
                <w:rFonts w:eastAsia="Times New Roman"/>
                <w:sz w:val="22"/>
                <w:szCs w:val="22"/>
              </w:rPr>
              <w:t>Age</w:t>
            </w:r>
          </w:p>
        </w:tc>
        <w:tc>
          <w:tcPr>
            <w:tcW w:w="1102" w:type="dxa"/>
            <w:tcBorders>
              <w:top w:val="nil"/>
              <w:left w:val="nil"/>
              <w:bottom w:val="nil"/>
              <w:right w:val="nil"/>
            </w:tcBorders>
            <w:shd w:val="clear" w:color="auto" w:fill="auto"/>
            <w:tcMar>
              <w:left w:w="0" w:type="dxa"/>
              <w:right w:w="0" w:type="dxa"/>
            </w:tcMar>
            <w:vAlign w:val="center"/>
          </w:tcPr>
          <w:p w:rsidR="00181834" w:rsidRDefault="007329B5">
            <w:pPr>
              <w:rPr>
                <w:rFonts w:eastAsia="Times New Roman"/>
                <w:sz w:val="22"/>
                <w:szCs w:val="22"/>
              </w:rPr>
            </w:pPr>
            <w:r>
              <w:rPr>
                <w:rFonts w:eastAsia="Times New Roman"/>
                <w:sz w:val="22"/>
                <w:szCs w:val="22"/>
              </w:rPr>
              <w:t>≤ 30 years</w:t>
            </w:r>
          </w:p>
        </w:tc>
        <w:tc>
          <w:tcPr>
            <w:tcW w:w="1353"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59</w:t>
            </w:r>
          </w:p>
        </w:tc>
        <w:tc>
          <w:tcPr>
            <w:tcW w:w="1531"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23.14</w:t>
            </w:r>
          </w:p>
        </w:tc>
        <w:tc>
          <w:tcPr>
            <w:tcW w:w="1727"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59</w:t>
            </w:r>
          </w:p>
        </w:tc>
      </w:tr>
      <w:tr w:rsidR="00181834">
        <w:trPr>
          <w:trHeight w:hRule="exact" w:val="283"/>
          <w:tblCellSpacing w:w="10" w:type="dxa"/>
          <w:jc w:val="center"/>
        </w:trPr>
        <w:tc>
          <w:tcPr>
            <w:tcW w:w="1744" w:type="dxa"/>
            <w:tcBorders>
              <w:top w:val="nil"/>
              <w:left w:val="nil"/>
              <w:bottom w:val="nil"/>
              <w:right w:val="nil"/>
            </w:tcBorders>
            <w:shd w:val="clear" w:color="auto" w:fill="auto"/>
            <w:tcMar>
              <w:left w:w="0" w:type="dxa"/>
              <w:right w:w="0" w:type="dxa"/>
            </w:tcMar>
            <w:vAlign w:val="center"/>
          </w:tcPr>
          <w:p w:rsidR="00181834" w:rsidRDefault="00181834">
            <w:pPr>
              <w:spacing w:after="160" w:line="256" w:lineRule="auto"/>
              <w:rPr>
                <w:sz w:val="22"/>
                <w:szCs w:val="22"/>
              </w:rPr>
            </w:pPr>
          </w:p>
        </w:tc>
        <w:tc>
          <w:tcPr>
            <w:tcW w:w="1102" w:type="dxa"/>
            <w:tcBorders>
              <w:top w:val="nil"/>
              <w:left w:val="nil"/>
              <w:bottom w:val="nil"/>
              <w:right w:val="nil"/>
            </w:tcBorders>
            <w:shd w:val="clear" w:color="auto" w:fill="auto"/>
            <w:tcMar>
              <w:left w:w="0" w:type="dxa"/>
              <w:right w:w="0" w:type="dxa"/>
            </w:tcMar>
            <w:vAlign w:val="center"/>
          </w:tcPr>
          <w:p w:rsidR="00181834" w:rsidRDefault="007329B5">
            <w:pPr>
              <w:rPr>
                <w:rFonts w:eastAsia="Times New Roman"/>
                <w:sz w:val="22"/>
                <w:szCs w:val="22"/>
              </w:rPr>
            </w:pPr>
            <w:r>
              <w:rPr>
                <w:rFonts w:eastAsia="Times New Roman"/>
                <w:sz w:val="22"/>
                <w:szCs w:val="22"/>
              </w:rPr>
              <w:t>31–45 years</w:t>
            </w:r>
          </w:p>
        </w:tc>
        <w:tc>
          <w:tcPr>
            <w:tcW w:w="1353"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117</w:t>
            </w:r>
          </w:p>
        </w:tc>
        <w:tc>
          <w:tcPr>
            <w:tcW w:w="1531"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45.88</w:t>
            </w:r>
          </w:p>
        </w:tc>
        <w:tc>
          <w:tcPr>
            <w:tcW w:w="1727"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176</w:t>
            </w:r>
          </w:p>
        </w:tc>
      </w:tr>
      <w:tr w:rsidR="00181834">
        <w:trPr>
          <w:trHeight w:hRule="exact" w:val="283"/>
          <w:tblCellSpacing w:w="10" w:type="dxa"/>
          <w:jc w:val="center"/>
        </w:trPr>
        <w:tc>
          <w:tcPr>
            <w:tcW w:w="1744" w:type="dxa"/>
            <w:tcBorders>
              <w:top w:val="nil"/>
              <w:left w:val="nil"/>
              <w:bottom w:val="nil"/>
              <w:right w:val="nil"/>
            </w:tcBorders>
            <w:shd w:val="clear" w:color="auto" w:fill="auto"/>
            <w:tcMar>
              <w:left w:w="0" w:type="dxa"/>
              <w:right w:w="0" w:type="dxa"/>
            </w:tcMar>
            <w:vAlign w:val="center"/>
          </w:tcPr>
          <w:p w:rsidR="00181834" w:rsidRDefault="00181834">
            <w:pPr>
              <w:spacing w:after="160" w:line="256" w:lineRule="auto"/>
              <w:rPr>
                <w:sz w:val="22"/>
                <w:szCs w:val="22"/>
              </w:rPr>
            </w:pPr>
          </w:p>
        </w:tc>
        <w:tc>
          <w:tcPr>
            <w:tcW w:w="1102" w:type="dxa"/>
            <w:tcBorders>
              <w:top w:val="nil"/>
              <w:left w:val="nil"/>
              <w:bottom w:val="nil"/>
              <w:right w:val="nil"/>
            </w:tcBorders>
            <w:shd w:val="clear" w:color="auto" w:fill="auto"/>
            <w:tcMar>
              <w:left w:w="0" w:type="dxa"/>
              <w:right w:w="0" w:type="dxa"/>
            </w:tcMar>
            <w:vAlign w:val="center"/>
          </w:tcPr>
          <w:p w:rsidR="00181834" w:rsidRDefault="007329B5">
            <w:pPr>
              <w:rPr>
                <w:rFonts w:eastAsia="Times New Roman"/>
                <w:sz w:val="22"/>
                <w:szCs w:val="22"/>
              </w:rPr>
            </w:pPr>
            <w:r>
              <w:rPr>
                <w:rFonts w:eastAsia="Times New Roman"/>
                <w:sz w:val="22"/>
                <w:szCs w:val="22"/>
              </w:rPr>
              <w:t>≥ 46 years</w:t>
            </w:r>
          </w:p>
        </w:tc>
        <w:tc>
          <w:tcPr>
            <w:tcW w:w="1353"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79</w:t>
            </w:r>
          </w:p>
        </w:tc>
        <w:tc>
          <w:tcPr>
            <w:tcW w:w="1531"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30.98</w:t>
            </w:r>
          </w:p>
        </w:tc>
        <w:tc>
          <w:tcPr>
            <w:tcW w:w="1727"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255</w:t>
            </w:r>
          </w:p>
        </w:tc>
      </w:tr>
      <w:tr w:rsidR="00181834">
        <w:trPr>
          <w:trHeight w:val="510"/>
          <w:tblCellSpacing w:w="10" w:type="dxa"/>
          <w:jc w:val="center"/>
        </w:trPr>
        <w:tc>
          <w:tcPr>
            <w:tcW w:w="1744" w:type="dxa"/>
            <w:tcBorders>
              <w:top w:val="nil"/>
              <w:left w:val="nil"/>
              <w:bottom w:val="nil"/>
              <w:right w:val="nil"/>
            </w:tcBorders>
            <w:shd w:val="clear" w:color="auto" w:fill="auto"/>
            <w:tcMar>
              <w:left w:w="0" w:type="dxa"/>
              <w:right w:w="0" w:type="dxa"/>
            </w:tcMar>
            <w:vAlign w:val="center"/>
          </w:tcPr>
          <w:p w:rsidR="00181834" w:rsidRDefault="007329B5">
            <w:pPr>
              <w:rPr>
                <w:rFonts w:eastAsia="Times New Roman"/>
                <w:sz w:val="22"/>
                <w:szCs w:val="22"/>
              </w:rPr>
            </w:pPr>
            <w:r>
              <w:rPr>
                <w:rFonts w:eastAsia="Times New Roman"/>
                <w:sz w:val="22"/>
                <w:szCs w:val="22"/>
              </w:rPr>
              <w:t>Education Level</w:t>
            </w:r>
          </w:p>
        </w:tc>
        <w:tc>
          <w:tcPr>
            <w:tcW w:w="1102" w:type="dxa"/>
            <w:tcBorders>
              <w:top w:val="nil"/>
              <w:left w:val="nil"/>
              <w:bottom w:val="nil"/>
              <w:right w:val="nil"/>
            </w:tcBorders>
            <w:shd w:val="clear" w:color="auto" w:fill="auto"/>
            <w:tcMar>
              <w:left w:w="0" w:type="dxa"/>
              <w:right w:w="0" w:type="dxa"/>
            </w:tcMar>
            <w:vAlign w:val="center"/>
          </w:tcPr>
          <w:p w:rsidR="00181834" w:rsidRDefault="007329B5">
            <w:pPr>
              <w:rPr>
                <w:rFonts w:eastAsia="Times New Roman"/>
                <w:sz w:val="22"/>
                <w:szCs w:val="22"/>
              </w:rPr>
            </w:pPr>
            <w:r>
              <w:rPr>
                <w:rFonts w:eastAsia="Times New Roman"/>
                <w:sz w:val="22"/>
                <w:szCs w:val="22"/>
              </w:rPr>
              <w:t xml:space="preserve">Bachelor’s degree </w:t>
            </w:r>
          </w:p>
        </w:tc>
        <w:tc>
          <w:tcPr>
            <w:tcW w:w="1353"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166</w:t>
            </w:r>
          </w:p>
        </w:tc>
        <w:tc>
          <w:tcPr>
            <w:tcW w:w="1531"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65.1</w:t>
            </w:r>
          </w:p>
        </w:tc>
        <w:tc>
          <w:tcPr>
            <w:tcW w:w="1727"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166</w:t>
            </w:r>
          </w:p>
        </w:tc>
      </w:tr>
      <w:tr w:rsidR="00181834">
        <w:trPr>
          <w:trHeight w:val="397"/>
          <w:tblCellSpacing w:w="10" w:type="dxa"/>
          <w:jc w:val="center"/>
        </w:trPr>
        <w:tc>
          <w:tcPr>
            <w:tcW w:w="1744" w:type="dxa"/>
            <w:tcBorders>
              <w:top w:val="nil"/>
              <w:left w:val="nil"/>
              <w:bottom w:val="nil"/>
              <w:right w:val="nil"/>
            </w:tcBorders>
            <w:shd w:val="clear" w:color="auto" w:fill="auto"/>
            <w:tcMar>
              <w:left w:w="0" w:type="dxa"/>
              <w:right w:w="0" w:type="dxa"/>
            </w:tcMar>
            <w:vAlign w:val="center"/>
          </w:tcPr>
          <w:p w:rsidR="00181834" w:rsidRDefault="00181834">
            <w:pPr>
              <w:spacing w:after="160" w:line="256" w:lineRule="auto"/>
              <w:rPr>
                <w:sz w:val="22"/>
                <w:szCs w:val="22"/>
              </w:rPr>
            </w:pPr>
          </w:p>
        </w:tc>
        <w:tc>
          <w:tcPr>
            <w:tcW w:w="1102" w:type="dxa"/>
            <w:tcBorders>
              <w:top w:val="nil"/>
              <w:left w:val="nil"/>
              <w:bottom w:val="nil"/>
              <w:right w:val="nil"/>
            </w:tcBorders>
            <w:shd w:val="clear" w:color="auto" w:fill="auto"/>
            <w:tcMar>
              <w:left w:w="0" w:type="dxa"/>
              <w:right w:w="0" w:type="dxa"/>
            </w:tcMar>
            <w:vAlign w:val="center"/>
          </w:tcPr>
          <w:p w:rsidR="00181834" w:rsidRDefault="007329B5">
            <w:pPr>
              <w:rPr>
                <w:rFonts w:eastAsia="Times New Roman"/>
                <w:sz w:val="22"/>
                <w:szCs w:val="22"/>
              </w:rPr>
            </w:pPr>
            <w:r>
              <w:rPr>
                <w:rFonts w:eastAsia="Times New Roman"/>
                <w:sz w:val="22"/>
                <w:szCs w:val="22"/>
              </w:rPr>
              <w:t xml:space="preserve">Master’s degree </w:t>
            </w:r>
          </w:p>
        </w:tc>
        <w:tc>
          <w:tcPr>
            <w:tcW w:w="1353"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89</w:t>
            </w:r>
          </w:p>
        </w:tc>
        <w:tc>
          <w:tcPr>
            <w:tcW w:w="1531"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34.9</w:t>
            </w:r>
          </w:p>
        </w:tc>
        <w:tc>
          <w:tcPr>
            <w:tcW w:w="1727"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255</w:t>
            </w:r>
          </w:p>
        </w:tc>
      </w:tr>
      <w:tr w:rsidR="00181834">
        <w:trPr>
          <w:trHeight w:hRule="exact" w:val="340"/>
          <w:tblCellSpacing w:w="10" w:type="dxa"/>
          <w:jc w:val="center"/>
        </w:trPr>
        <w:tc>
          <w:tcPr>
            <w:tcW w:w="1744" w:type="dxa"/>
            <w:tcBorders>
              <w:top w:val="nil"/>
              <w:left w:val="nil"/>
              <w:bottom w:val="nil"/>
              <w:right w:val="nil"/>
            </w:tcBorders>
            <w:shd w:val="clear" w:color="auto" w:fill="auto"/>
            <w:tcMar>
              <w:left w:w="0" w:type="dxa"/>
              <w:right w:w="0" w:type="dxa"/>
            </w:tcMar>
            <w:vAlign w:val="center"/>
          </w:tcPr>
          <w:p w:rsidR="00181834" w:rsidRDefault="007329B5">
            <w:pPr>
              <w:rPr>
                <w:rFonts w:eastAsia="Times New Roman"/>
                <w:sz w:val="22"/>
                <w:szCs w:val="22"/>
              </w:rPr>
            </w:pPr>
            <w:r>
              <w:rPr>
                <w:rFonts w:eastAsia="Times New Roman"/>
                <w:sz w:val="22"/>
                <w:szCs w:val="22"/>
              </w:rPr>
              <w:t>Work Experience</w:t>
            </w:r>
          </w:p>
        </w:tc>
        <w:tc>
          <w:tcPr>
            <w:tcW w:w="1102" w:type="dxa"/>
            <w:tcBorders>
              <w:top w:val="nil"/>
              <w:left w:val="nil"/>
              <w:bottom w:val="nil"/>
              <w:right w:val="nil"/>
            </w:tcBorders>
            <w:shd w:val="clear" w:color="auto" w:fill="auto"/>
            <w:tcMar>
              <w:left w:w="0" w:type="dxa"/>
              <w:right w:w="0" w:type="dxa"/>
            </w:tcMar>
            <w:vAlign w:val="center"/>
          </w:tcPr>
          <w:p w:rsidR="00181834" w:rsidRDefault="007329B5">
            <w:pPr>
              <w:rPr>
                <w:rFonts w:eastAsia="Times New Roman"/>
                <w:sz w:val="22"/>
                <w:szCs w:val="22"/>
              </w:rPr>
            </w:pPr>
            <w:r>
              <w:rPr>
                <w:rFonts w:eastAsia="Times New Roman"/>
                <w:sz w:val="22"/>
                <w:szCs w:val="22"/>
              </w:rPr>
              <w:t>≤ 5 years</w:t>
            </w:r>
          </w:p>
        </w:tc>
        <w:tc>
          <w:tcPr>
            <w:tcW w:w="1353"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89</w:t>
            </w:r>
          </w:p>
        </w:tc>
        <w:tc>
          <w:tcPr>
            <w:tcW w:w="1531"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34.9</w:t>
            </w:r>
          </w:p>
        </w:tc>
        <w:tc>
          <w:tcPr>
            <w:tcW w:w="1727"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89</w:t>
            </w:r>
          </w:p>
        </w:tc>
      </w:tr>
      <w:tr w:rsidR="00181834">
        <w:trPr>
          <w:trHeight w:hRule="exact" w:val="283"/>
          <w:tblCellSpacing w:w="10" w:type="dxa"/>
          <w:jc w:val="center"/>
        </w:trPr>
        <w:tc>
          <w:tcPr>
            <w:tcW w:w="1744" w:type="dxa"/>
            <w:tcBorders>
              <w:top w:val="nil"/>
              <w:left w:val="nil"/>
              <w:bottom w:val="nil"/>
              <w:right w:val="nil"/>
            </w:tcBorders>
            <w:shd w:val="clear" w:color="auto" w:fill="auto"/>
            <w:tcMar>
              <w:left w:w="0" w:type="dxa"/>
              <w:right w:w="0" w:type="dxa"/>
            </w:tcMar>
            <w:vAlign w:val="center"/>
          </w:tcPr>
          <w:p w:rsidR="00181834" w:rsidRDefault="00181834">
            <w:pPr>
              <w:spacing w:after="160" w:line="256" w:lineRule="auto"/>
              <w:rPr>
                <w:sz w:val="22"/>
                <w:szCs w:val="22"/>
              </w:rPr>
            </w:pPr>
          </w:p>
        </w:tc>
        <w:tc>
          <w:tcPr>
            <w:tcW w:w="1102" w:type="dxa"/>
            <w:tcBorders>
              <w:top w:val="nil"/>
              <w:left w:val="nil"/>
              <w:bottom w:val="nil"/>
              <w:right w:val="nil"/>
            </w:tcBorders>
            <w:shd w:val="clear" w:color="auto" w:fill="auto"/>
            <w:tcMar>
              <w:left w:w="0" w:type="dxa"/>
              <w:right w:w="0" w:type="dxa"/>
            </w:tcMar>
            <w:vAlign w:val="center"/>
          </w:tcPr>
          <w:p w:rsidR="00181834" w:rsidRDefault="007329B5">
            <w:pPr>
              <w:rPr>
                <w:rFonts w:eastAsia="Times New Roman"/>
                <w:sz w:val="22"/>
                <w:szCs w:val="22"/>
              </w:rPr>
            </w:pPr>
            <w:r>
              <w:rPr>
                <w:rFonts w:eastAsia="Times New Roman"/>
                <w:sz w:val="22"/>
                <w:szCs w:val="22"/>
              </w:rPr>
              <w:t>6–10 years</w:t>
            </w:r>
          </w:p>
        </w:tc>
        <w:tc>
          <w:tcPr>
            <w:tcW w:w="1353"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82</w:t>
            </w:r>
          </w:p>
        </w:tc>
        <w:tc>
          <w:tcPr>
            <w:tcW w:w="1531"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32.2</w:t>
            </w:r>
          </w:p>
        </w:tc>
        <w:tc>
          <w:tcPr>
            <w:tcW w:w="1727"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171</w:t>
            </w:r>
          </w:p>
        </w:tc>
      </w:tr>
      <w:tr w:rsidR="00181834">
        <w:trPr>
          <w:trHeight w:hRule="exact" w:val="283"/>
          <w:tblCellSpacing w:w="10" w:type="dxa"/>
          <w:jc w:val="center"/>
        </w:trPr>
        <w:tc>
          <w:tcPr>
            <w:tcW w:w="1744" w:type="dxa"/>
            <w:tcBorders>
              <w:top w:val="nil"/>
              <w:left w:val="nil"/>
              <w:bottom w:val="nil"/>
              <w:right w:val="nil"/>
            </w:tcBorders>
            <w:shd w:val="clear" w:color="auto" w:fill="auto"/>
            <w:tcMar>
              <w:left w:w="0" w:type="dxa"/>
              <w:right w:w="0" w:type="dxa"/>
            </w:tcMar>
            <w:vAlign w:val="center"/>
          </w:tcPr>
          <w:p w:rsidR="00181834" w:rsidRDefault="00181834">
            <w:pPr>
              <w:spacing w:after="160" w:line="256" w:lineRule="auto"/>
              <w:rPr>
                <w:sz w:val="22"/>
                <w:szCs w:val="22"/>
              </w:rPr>
            </w:pPr>
          </w:p>
        </w:tc>
        <w:tc>
          <w:tcPr>
            <w:tcW w:w="1102" w:type="dxa"/>
            <w:tcBorders>
              <w:top w:val="nil"/>
              <w:left w:val="nil"/>
              <w:bottom w:val="nil"/>
              <w:right w:val="nil"/>
            </w:tcBorders>
            <w:shd w:val="clear" w:color="auto" w:fill="auto"/>
            <w:tcMar>
              <w:left w:w="0" w:type="dxa"/>
              <w:right w:w="0" w:type="dxa"/>
            </w:tcMar>
            <w:vAlign w:val="center"/>
          </w:tcPr>
          <w:p w:rsidR="00181834" w:rsidRDefault="007329B5">
            <w:pPr>
              <w:rPr>
                <w:rFonts w:eastAsia="Times New Roman"/>
                <w:sz w:val="22"/>
                <w:szCs w:val="22"/>
              </w:rPr>
            </w:pPr>
            <w:r>
              <w:rPr>
                <w:rFonts w:eastAsia="Times New Roman"/>
                <w:sz w:val="22"/>
                <w:szCs w:val="22"/>
              </w:rPr>
              <w:t>&gt; 10 years</w:t>
            </w:r>
          </w:p>
        </w:tc>
        <w:tc>
          <w:tcPr>
            <w:tcW w:w="1353"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84</w:t>
            </w:r>
          </w:p>
        </w:tc>
        <w:tc>
          <w:tcPr>
            <w:tcW w:w="1531"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32.9</w:t>
            </w:r>
          </w:p>
        </w:tc>
        <w:tc>
          <w:tcPr>
            <w:tcW w:w="1727" w:type="dxa"/>
            <w:tcBorders>
              <w:top w:val="nil"/>
              <w:left w:val="nil"/>
              <w:bottom w:val="nil"/>
              <w:right w:val="nil"/>
            </w:tcBorders>
            <w:shd w:val="clear" w:color="auto" w:fill="auto"/>
            <w:tcMar>
              <w:left w:w="0" w:type="dxa"/>
              <w:right w:w="0" w:type="dxa"/>
            </w:tcMar>
            <w:vAlign w:val="center"/>
          </w:tcPr>
          <w:p w:rsidR="00181834" w:rsidRDefault="007329B5">
            <w:pPr>
              <w:jc w:val="center"/>
              <w:rPr>
                <w:rFonts w:eastAsia="Times New Roman"/>
                <w:sz w:val="22"/>
                <w:szCs w:val="22"/>
              </w:rPr>
            </w:pPr>
            <w:r>
              <w:rPr>
                <w:rFonts w:eastAsia="Times New Roman"/>
                <w:sz w:val="22"/>
                <w:szCs w:val="22"/>
              </w:rPr>
              <w:t>255</w:t>
            </w:r>
          </w:p>
        </w:tc>
      </w:tr>
    </w:tbl>
    <w:p w:rsidR="00181834" w:rsidRDefault="007329B5">
      <w:pPr>
        <w:spacing w:after="60" w:line="360" w:lineRule="auto"/>
        <w:jc w:val="both"/>
        <w:rPr>
          <w:rFonts w:eastAsia="Calibri"/>
          <w:i/>
          <w:iCs/>
          <w:sz w:val="20"/>
          <w:szCs w:val="20"/>
        </w:rPr>
      </w:pPr>
      <w:r>
        <w:rPr>
          <w:rFonts w:eastAsia="Calibri"/>
          <w:i/>
          <w:iCs/>
          <w:sz w:val="20"/>
          <w:szCs w:val="20"/>
        </w:rPr>
        <w:t>Source: Processed survey data (2025)</w:t>
      </w:r>
    </w:p>
    <w:p w:rsidR="00FE2C48" w:rsidRDefault="007329B5" w:rsidP="00FE2C48">
      <w:pPr>
        <w:spacing w:after="60"/>
        <w:jc w:val="both"/>
        <w:rPr>
          <w:lang w:eastAsia="en-US"/>
        </w:rPr>
      </w:pPr>
      <w:r>
        <w:rPr>
          <w:rFonts w:eastAsia="Calibri"/>
          <w:i/>
          <w:iCs/>
          <w:sz w:val="20"/>
          <w:szCs w:val="20"/>
        </w:rPr>
        <w:tab/>
      </w:r>
      <w:r>
        <w:rPr>
          <w:rFonts w:eastAsia="Calibri"/>
        </w:rPr>
        <w:t>Table 5 shows that most respondents are aged 31–45 years (45.88%) with undergraduate degrees (65.1%), and their years of service are evenly distributed, indicating teachers in their productive age with diverse experience</w:t>
      </w:r>
      <w:r>
        <w:rPr>
          <w:lang w:eastAsia="en-US"/>
        </w:rPr>
        <w:t>.</w:t>
      </w:r>
    </w:p>
    <w:p w:rsidR="00181834" w:rsidRDefault="007329B5">
      <w:pPr>
        <w:spacing w:before="360" w:after="240"/>
        <w:rPr>
          <w:rFonts w:ascii="Times" w:eastAsia="Times" w:hAnsi="Times" w:cs="Times"/>
          <w:b/>
          <w:color w:val="000000"/>
          <w:sz w:val="26"/>
          <w:szCs w:val="26"/>
        </w:rPr>
      </w:pPr>
      <w:r>
        <w:rPr>
          <w:rFonts w:ascii="Times" w:eastAsia="Times" w:hAnsi="Times"/>
          <w:b/>
          <w:color w:val="000000"/>
          <w:sz w:val="26"/>
          <w:szCs w:val="26"/>
        </w:rPr>
        <w:lastRenderedPageBreak/>
        <w:t>Data Analysis SEM-PLS</w:t>
      </w:r>
    </w:p>
    <w:p w:rsidR="00181834" w:rsidRDefault="007329B5">
      <w:pPr>
        <w:spacing w:before="240" w:after="240"/>
        <w:jc w:val="both"/>
        <w:rPr>
          <w:b/>
          <w:bCs/>
        </w:rPr>
      </w:pPr>
      <w:r>
        <w:rPr>
          <w:b/>
          <w:bCs/>
        </w:rPr>
        <w:t>Discriminant Validity</w:t>
      </w:r>
    </w:p>
    <w:p w:rsidR="00181834" w:rsidRDefault="007329B5">
      <w:pPr>
        <w:spacing w:after="120"/>
        <w:ind w:firstLine="720"/>
        <w:jc w:val="both"/>
        <w:rPr>
          <w:rFonts w:eastAsia="Times New Roman"/>
          <w:color w:val="000000"/>
        </w:rPr>
      </w:pPr>
      <w:r>
        <w:rPr>
          <w:rFonts w:eastAsia="Times New Roman"/>
          <w:color w:val="000000"/>
        </w:rPr>
        <w:t xml:space="preserve">Indicators should exceed 0.7 to measure constructs effectively </w:t>
      </w:r>
      <w:r>
        <w:rPr>
          <w:rFonts w:eastAsia="Times New Roman"/>
          <w:color w:val="000000"/>
        </w:rPr>
        <w:fldChar w:fldCharType="begin" w:fldLock="1"/>
      </w:r>
      <w:r>
        <w:rPr>
          <w:rFonts w:eastAsia="Times New Roman"/>
          <w:color w:val="000000"/>
        </w:rPr>
        <w:instrText>ADDIN CSL_CITATION {"citationItems":[{"id":"ITEM-1","itemData":{"DOI":"10.1108/EJM-08-2023-0645","ISSN":"0309-0566","author":[{"dropping-particle":"","family":"Hair","given":"Joe F.","non-dropping-particle":"","parse-names":false,"suffix":""},{"dropping-particle":"","family":"Sarstedt","given":"Marko","non-dropping-particle":"","parse-names":false,"suffix":""},{"dropping-particle":"","family":"Ringle","given":"Christian M.","non-dropping-particle":"","parse-names":false,"suffix":""},{"dropping-particle":"","family":"Sharma","given":"Pratyush N.","non-dropping-particle":"","parse-names":false,"suffix":""},{"dropping-particle":"","family":"Liengaard","given":"Benjamin Dybro","non-dropping-particle":"","parse-names":false,"suffix":""}],"container-title":"European Journal of Marketing","id":"ITEM-1","issue":"13","issued":{"date-parts":[["2024","5","28"]]},"page":"81-106","title":"Going beyond the untold facts in PLS–SEM and moving forward","type":"article-journal","volume":"58"},"uris":["http://www.mendeley.com/documents/?uuid=4179452b-8206-3dea-8d9f-a157f93f39cf"]}],"mendeley":{"formattedCitation":"(Hair et al., 2024)","plainTextFormattedCitation":"(Hair et al., 2024)","previouslyFormattedCitation":"(Hair et al., 2024)"},"properties":{"noteIndex":0},"schema":"https://github.com/citation-style-language/schema/raw/master/csl-citation.json"}</w:instrText>
      </w:r>
      <w:r>
        <w:rPr>
          <w:rFonts w:eastAsia="Times New Roman"/>
          <w:color w:val="000000"/>
        </w:rPr>
        <w:fldChar w:fldCharType="separate"/>
      </w:r>
      <w:r>
        <w:rPr>
          <w:rFonts w:eastAsia="Times New Roman"/>
          <w:color w:val="000000"/>
        </w:rPr>
        <w:t>(Hair et al., 2024)</w:t>
      </w:r>
      <w:r>
        <w:rPr>
          <w:rFonts w:eastAsia="Times New Roman"/>
          <w:color w:val="000000"/>
        </w:rPr>
        <w:fldChar w:fldCharType="end"/>
      </w:r>
      <w:r>
        <w:rPr>
          <w:rFonts w:eastAsia="Times New Roman"/>
          <w:color w:val="000000"/>
        </w:rPr>
        <w:t>. Figure 1 shows the PLS-SEM model with path coefficients and R² values, assessing relationships and predictive capability.</w:t>
      </w:r>
    </w:p>
    <w:p w:rsidR="00181834" w:rsidRDefault="007329B5">
      <w:pPr>
        <w:spacing w:after="120" w:line="360" w:lineRule="auto"/>
        <w:jc w:val="center"/>
        <w:rPr>
          <w:i/>
          <w:iCs/>
        </w:rPr>
      </w:pPr>
      <w:r>
        <w:rPr>
          <w:noProof/>
          <w:lang w:eastAsia="en-US"/>
        </w:rPr>
        <w:drawing>
          <wp:anchor distT="0" distB="0" distL="114300" distR="114300" simplePos="0" relativeHeight="251659264" behindDoc="1" locked="0" layoutInCell="1" allowOverlap="1">
            <wp:simplePos x="0" y="0"/>
            <wp:positionH relativeFrom="column">
              <wp:posOffset>7620</wp:posOffset>
            </wp:positionH>
            <wp:positionV relativeFrom="paragraph">
              <wp:posOffset>262890</wp:posOffset>
            </wp:positionV>
            <wp:extent cx="4879975" cy="2952750"/>
            <wp:effectExtent l="0" t="0" r="15875" b="0"/>
            <wp:wrapTight wrapText="bothSides">
              <wp:wrapPolygon edited="0">
                <wp:start x="0" y="0"/>
                <wp:lineTo x="0" y="21461"/>
                <wp:lineTo x="21502" y="21461"/>
                <wp:lineTo x="21502" y="0"/>
                <wp:lineTo x="0" y="0"/>
              </wp:wrapPolygon>
            </wp:wrapTigh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11"/>
                    <a:stretch>
                      <a:fillRect/>
                    </a:stretch>
                  </pic:blipFill>
                  <pic:spPr>
                    <a:xfrm>
                      <a:off x="0" y="0"/>
                      <a:ext cx="4879975" cy="2952750"/>
                    </a:xfrm>
                    <a:prstGeom prst="rect">
                      <a:avLst/>
                    </a:prstGeom>
                    <a:noFill/>
                    <a:ln>
                      <a:noFill/>
                    </a:ln>
                  </pic:spPr>
                </pic:pic>
              </a:graphicData>
            </a:graphic>
          </wp:anchor>
        </w:drawing>
      </w:r>
    </w:p>
    <w:p w:rsidR="007B1861" w:rsidRPr="007B1861" w:rsidRDefault="007B1861" w:rsidP="007B1861">
      <w:pPr>
        <w:spacing w:after="60"/>
        <w:jc w:val="center"/>
        <w:rPr>
          <w:b/>
          <w:iCs/>
          <w:sz w:val="20"/>
          <w:szCs w:val="20"/>
        </w:rPr>
      </w:pPr>
      <w:r w:rsidRPr="007B1861">
        <w:rPr>
          <w:b/>
          <w:iCs/>
        </w:rPr>
        <w:t>Figure 1: Path Analysis</w:t>
      </w:r>
    </w:p>
    <w:p w:rsidR="00181834" w:rsidRDefault="007329B5">
      <w:pPr>
        <w:spacing w:after="60"/>
        <w:rPr>
          <w:i/>
          <w:iCs/>
          <w:sz w:val="20"/>
          <w:szCs w:val="20"/>
        </w:rPr>
      </w:pPr>
      <w:r>
        <w:rPr>
          <w:i/>
          <w:iCs/>
          <w:sz w:val="20"/>
          <w:szCs w:val="20"/>
        </w:rPr>
        <w:t xml:space="preserve">Source: Result SEM PLS </w:t>
      </w:r>
    </w:p>
    <w:p w:rsidR="00181834" w:rsidRDefault="007329B5">
      <w:pPr>
        <w:spacing w:before="240" w:after="240"/>
        <w:ind w:firstLine="720"/>
        <w:jc w:val="both"/>
      </w:pPr>
      <w:r>
        <w:t xml:space="preserve">Figure 1 </w:t>
      </w:r>
      <w:proofErr w:type="gramStart"/>
      <w:r>
        <w:t>shows</w:t>
      </w:r>
      <w:proofErr w:type="gramEnd"/>
      <w:r>
        <w:t xml:space="preserve"> that digital competence and intrinsic satisfaction influence teacher performance through LMX, with the model explaining a moderate portion of variance in each construct.</w:t>
      </w:r>
    </w:p>
    <w:p w:rsidR="00181834" w:rsidRDefault="007329B5">
      <w:pPr>
        <w:spacing w:before="240" w:after="240"/>
        <w:jc w:val="both"/>
        <w:rPr>
          <w:b/>
        </w:rPr>
      </w:pPr>
      <w:r>
        <w:rPr>
          <w:b/>
          <w:bCs/>
        </w:rPr>
        <w:t>Discriminant Validity</w:t>
      </w:r>
    </w:p>
    <w:p w:rsidR="00181834" w:rsidRDefault="007329B5">
      <w:pPr>
        <w:spacing w:after="120"/>
        <w:jc w:val="both"/>
      </w:pPr>
      <w:r>
        <w:tab/>
        <w:t xml:space="preserve">Discriminant validity was assessed using the </w:t>
      </w:r>
      <w:proofErr w:type="spellStart"/>
      <w:r>
        <w:t>Heterotrait-Monotrait</w:t>
      </w:r>
      <w:proofErr w:type="spellEnd"/>
      <w:r>
        <w:t xml:space="preserve"> Ratio (HTMT), with values below 0.85 indicating validity </w:t>
      </w:r>
      <w:r>
        <w:fldChar w:fldCharType="begin" w:fldLock="1"/>
      </w:r>
      <w:r>
        <w:instrText>ADDIN CSL_CITATION {"citationItems":[{"id":"ITEM-1","itemData":{"DOI":"10.1108/EJM-08-2023-0645","ISSN":"0309-0566","author":[{"dropping-particle":"","family":"Hair","given":"Joe F.","non-dropping-particle":"","parse-names":false,"suffix":""},{"dropping-particle":"","family":"Sarstedt","given":"Marko","non-dropping-particle":"","parse-names":false,"suffix":""},{"dropping-particle":"","family":"Ringle","given":"Christian M.","non-dropping-particle":"","parse-names":false,"suffix":""},{"dropping-particle":"","family":"Sharma","given":"Pratyush N.","non-dropping-particle":"","parse-names":false,"suffix":""},{"dropping-particle":"","family":"Liengaard","given":"Benjamin Dybro","non-dropping-particle":"","parse-names":false,"suffix":""}],"container-title":"European Journal of Marketing","id":"ITEM-1","issue":"13","issued":{"date-parts":[["2024","5","28"]]},"page":"81-106","title":"Going beyond the untold facts in PLS–SEM and moving forward","type":"article-journal","volume":"58"},"uris":["http://www.mendeley.com/documents/?uuid=4179452b-8206-3dea-8d9f-a157f93f39cf"]}],"mendeley":{"formattedCitation":"(Hair et al., 2024)","plainTextFormattedCitation":"(Hair et al., 2024)","previouslyFormattedCitation":"(Hair et al., 2024)"},"properties":{"noteIndex":0},"schema":"https://github.com/citation-style-language/schema/raw/master/csl-citation.json"}</w:instrText>
      </w:r>
      <w:r>
        <w:fldChar w:fldCharType="separate"/>
      </w:r>
      <w:r>
        <w:t>(Hair et al., 2024)</w:t>
      </w:r>
      <w:r>
        <w:fldChar w:fldCharType="end"/>
      </w:r>
      <w:r>
        <w:t>.</w:t>
      </w:r>
    </w:p>
    <w:p w:rsidR="00181834" w:rsidRDefault="007329B5">
      <w:pPr>
        <w:spacing w:after="120"/>
        <w:jc w:val="center"/>
        <w:rPr>
          <w:rFonts w:eastAsia="Times New Roman"/>
          <w:i/>
          <w:color w:val="000000"/>
        </w:rPr>
      </w:pPr>
      <w:r>
        <w:rPr>
          <w:rFonts w:eastAsia="Times New Roman"/>
          <w:i/>
          <w:color w:val="000000"/>
        </w:rPr>
        <w:t xml:space="preserve">Table 6: </w:t>
      </w:r>
      <w:proofErr w:type="spellStart"/>
      <w:r>
        <w:rPr>
          <w:rFonts w:eastAsia="Times New Roman"/>
          <w:i/>
          <w:color w:val="000000"/>
        </w:rPr>
        <w:t>Heterotrait-Monotrait</w:t>
      </w:r>
      <w:proofErr w:type="spellEnd"/>
      <w:r>
        <w:rPr>
          <w:rFonts w:eastAsia="Times New Roman"/>
          <w:i/>
          <w:color w:val="000000"/>
        </w:rPr>
        <w:t xml:space="preserve"> Ratio (HTMT) </w:t>
      </w:r>
    </w:p>
    <w:tbl>
      <w:tblPr>
        <w:tblW w:w="5000" w:type="pct"/>
        <w:jc w:val="center"/>
        <w:tblBorders>
          <w:top w:val="single" w:sz="2" w:space="0" w:color="auto"/>
          <w:bottom w:val="single" w:sz="2" w:space="0" w:color="auto"/>
        </w:tblBorders>
        <w:shd w:val="clear" w:color="auto" w:fill="FFFFFF"/>
        <w:tblCellMar>
          <w:left w:w="100" w:type="dxa"/>
          <w:right w:w="100" w:type="dxa"/>
        </w:tblCellMar>
        <w:tblLook w:val="04A0" w:firstRow="1" w:lastRow="0" w:firstColumn="1" w:lastColumn="0" w:noHBand="0" w:noVBand="1"/>
      </w:tblPr>
      <w:tblGrid>
        <w:gridCol w:w="1598"/>
        <w:gridCol w:w="1397"/>
        <w:gridCol w:w="1454"/>
        <w:gridCol w:w="1687"/>
        <w:gridCol w:w="1435"/>
      </w:tblGrid>
      <w:tr w:rsidR="00181834">
        <w:trPr>
          <w:trHeight w:val="300"/>
          <w:jc w:val="center"/>
        </w:trPr>
        <w:tc>
          <w:tcPr>
            <w:tcW w:w="2200" w:type="pct"/>
            <w:tcBorders>
              <w:top w:val="single" w:sz="2" w:space="0" w:color="auto"/>
              <w:left w:val="nil"/>
              <w:bottom w:val="single" w:sz="2" w:space="0" w:color="auto"/>
              <w:right w:val="nil"/>
            </w:tcBorders>
            <w:shd w:val="clear" w:color="auto" w:fill="FFFFFF"/>
            <w:noWrap/>
            <w:vAlign w:val="center"/>
          </w:tcPr>
          <w:p w:rsidR="00181834" w:rsidRDefault="007329B5">
            <w:pPr>
              <w:spacing w:after="160"/>
              <w:rPr>
                <w:rFonts w:ascii="Calibri" w:hAnsi="Calibri"/>
                <w:sz w:val="22"/>
                <w:szCs w:val="22"/>
              </w:rPr>
            </w:pPr>
            <w:r>
              <w:rPr>
                <w:b/>
                <w:bCs/>
                <w:sz w:val="22"/>
                <w:szCs w:val="22"/>
              </w:rPr>
              <w:lastRenderedPageBreak/>
              <w:t>Constructs</w:t>
            </w:r>
          </w:p>
        </w:tc>
        <w:tc>
          <w:tcPr>
            <w:tcW w:w="600" w:type="pct"/>
            <w:tcBorders>
              <w:top w:val="single" w:sz="2" w:space="0" w:color="auto"/>
              <w:left w:val="nil"/>
              <w:bottom w:val="single" w:sz="2" w:space="0" w:color="auto"/>
              <w:right w:val="nil"/>
            </w:tcBorders>
            <w:shd w:val="clear" w:color="auto" w:fill="FFFFFF"/>
            <w:noWrap/>
            <w:vAlign w:val="center"/>
          </w:tcPr>
          <w:p w:rsidR="00181834" w:rsidRDefault="007329B5">
            <w:pPr>
              <w:rPr>
                <w:rFonts w:eastAsia="Times New Roman"/>
                <w:b/>
                <w:bCs/>
                <w:color w:val="000000"/>
                <w:sz w:val="22"/>
                <w:szCs w:val="22"/>
              </w:rPr>
            </w:pPr>
            <w:r>
              <w:rPr>
                <w:rFonts w:eastAsia="Times New Roman"/>
                <w:b/>
                <w:bCs/>
                <w:color w:val="000000"/>
                <w:sz w:val="22"/>
                <w:szCs w:val="22"/>
              </w:rPr>
              <w:t>Digital Competence (X1)</w:t>
            </w:r>
          </w:p>
        </w:tc>
        <w:tc>
          <w:tcPr>
            <w:tcW w:w="750" w:type="pct"/>
            <w:tcBorders>
              <w:top w:val="single" w:sz="2" w:space="0" w:color="auto"/>
              <w:left w:val="nil"/>
              <w:bottom w:val="single" w:sz="2" w:space="0" w:color="auto"/>
              <w:right w:val="nil"/>
            </w:tcBorders>
            <w:shd w:val="clear" w:color="auto" w:fill="FFFFFF"/>
            <w:noWrap/>
            <w:vAlign w:val="center"/>
          </w:tcPr>
          <w:p w:rsidR="00181834" w:rsidRDefault="007329B5">
            <w:pPr>
              <w:rPr>
                <w:rFonts w:eastAsia="Times New Roman"/>
                <w:b/>
                <w:bCs/>
                <w:color w:val="000000"/>
                <w:sz w:val="22"/>
                <w:szCs w:val="22"/>
              </w:rPr>
            </w:pPr>
            <w:r>
              <w:rPr>
                <w:rFonts w:eastAsia="Times New Roman"/>
                <w:b/>
                <w:bCs/>
                <w:color w:val="000000"/>
                <w:sz w:val="22"/>
                <w:szCs w:val="22"/>
              </w:rPr>
              <w:t>Intrinsic Satisfaction (X2)</w:t>
            </w:r>
          </w:p>
        </w:tc>
        <w:tc>
          <w:tcPr>
            <w:tcW w:w="750" w:type="pct"/>
            <w:tcBorders>
              <w:top w:val="single" w:sz="2" w:space="0" w:color="auto"/>
              <w:left w:val="nil"/>
              <w:bottom w:val="single" w:sz="2" w:space="0" w:color="auto"/>
              <w:right w:val="nil"/>
            </w:tcBorders>
            <w:shd w:val="clear" w:color="auto" w:fill="FFFFFF"/>
            <w:noWrap/>
            <w:vAlign w:val="center"/>
          </w:tcPr>
          <w:p w:rsidR="00181834" w:rsidRDefault="007329B5">
            <w:pPr>
              <w:rPr>
                <w:rFonts w:eastAsia="Times New Roman"/>
                <w:b/>
                <w:bCs/>
                <w:color w:val="000000"/>
                <w:sz w:val="22"/>
                <w:szCs w:val="22"/>
              </w:rPr>
            </w:pPr>
            <w:r>
              <w:rPr>
                <w:rFonts w:eastAsia="Times New Roman"/>
                <w:b/>
                <w:bCs/>
                <w:color w:val="000000"/>
                <w:sz w:val="22"/>
                <w:szCs w:val="22"/>
              </w:rPr>
              <w:t>Leader-Member Exchange (Y)</w:t>
            </w:r>
          </w:p>
        </w:tc>
        <w:tc>
          <w:tcPr>
            <w:tcW w:w="600" w:type="pct"/>
            <w:tcBorders>
              <w:top w:val="single" w:sz="2" w:space="0" w:color="auto"/>
              <w:left w:val="nil"/>
              <w:bottom w:val="single" w:sz="2" w:space="0" w:color="auto"/>
              <w:right w:val="nil"/>
            </w:tcBorders>
            <w:shd w:val="clear" w:color="auto" w:fill="FFFFFF"/>
            <w:noWrap/>
            <w:vAlign w:val="center"/>
          </w:tcPr>
          <w:p w:rsidR="00181834" w:rsidRDefault="007329B5">
            <w:pPr>
              <w:rPr>
                <w:rFonts w:eastAsia="Times New Roman"/>
                <w:b/>
                <w:bCs/>
                <w:color w:val="000000"/>
                <w:sz w:val="22"/>
                <w:szCs w:val="22"/>
              </w:rPr>
            </w:pPr>
            <w:r>
              <w:rPr>
                <w:rFonts w:eastAsia="Times New Roman"/>
                <w:b/>
                <w:bCs/>
                <w:color w:val="000000"/>
                <w:sz w:val="22"/>
                <w:szCs w:val="22"/>
              </w:rPr>
              <w:t>Teacher Performance (Z)</w:t>
            </w:r>
          </w:p>
        </w:tc>
      </w:tr>
      <w:tr w:rsidR="00181834">
        <w:trPr>
          <w:trHeight w:val="300"/>
          <w:jc w:val="center"/>
        </w:trPr>
        <w:tc>
          <w:tcPr>
            <w:tcW w:w="2200" w:type="pct"/>
            <w:tcBorders>
              <w:top w:val="single" w:sz="2" w:space="0" w:color="auto"/>
              <w:left w:val="nil"/>
              <w:bottom w:val="nil"/>
              <w:right w:val="nil"/>
            </w:tcBorders>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Digital Competence (X1)</w:t>
            </w:r>
          </w:p>
        </w:tc>
        <w:tc>
          <w:tcPr>
            <w:tcW w:w="600" w:type="pct"/>
            <w:tcBorders>
              <w:top w:val="single" w:sz="2" w:space="0" w:color="auto"/>
              <w:left w:val="nil"/>
              <w:bottom w:val="nil"/>
              <w:right w:val="nil"/>
            </w:tcBorders>
            <w:shd w:val="clear" w:color="auto" w:fill="FFFFFF"/>
            <w:noWrap/>
            <w:vAlign w:val="center"/>
          </w:tcPr>
          <w:p w:rsidR="00181834" w:rsidRDefault="00181834">
            <w:pPr>
              <w:spacing w:after="160"/>
              <w:rPr>
                <w:rFonts w:ascii="Calibri" w:hAnsi="Calibri"/>
                <w:sz w:val="22"/>
                <w:szCs w:val="22"/>
              </w:rPr>
            </w:pPr>
          </w:p>
        </w:tc>
        <w:tc>
          <w:tcPr>
            <w:tcW w:w="750" w:type="pct"/>
            <w:tcBorders>
              <w:top w:val="single" w:sz="2" w:space="0" w:color="auto"/>
              <w:left w:val="nil"/>
              <w:bottom w:val="nil"/>
              <w:right w:val="nil"/>
            </w:tcBorders>
            <w:shd w:val="clear" w:color="auto" w:fill="FFFFFF"/>
            <w:noWrap/>
            <w:vAlign w:val="center"/>
          </w:tcPr>
          <w:p w:rsidR="00181834" w:rsidRDefault="00181834">
            <w:pPr>
              <w:spacing w:after="160"/>
              <w:rPr>
                <w:rFonts w:ascii="Calibri" w:hAnsi="Calibri"/>
                <w:sz w:val="22"/>
                <w:szCs w:val="22"/>
              </w:rPr>
            </w:pPr>
          </w:p>
        </w:tc>
        <w:tc>
          <w:tcPr>
            <w:tcW w:w="750" w:type="pct"/>
            <w:tcBorders>
              <w:top w:val="single" w:sz="2" w:space="0" w:color="auto"/>
              <w:left w:val="nil"/>
              <w:bottom w:val="nil"/>
              <w:right w:val="nil"/>
            </w:tcBorders>
            <w:shd w:val="clear" w:color="auto" w:fill="FFFFFF"/>
            <w:noWrap/>
            <w:vAlign w:val="center"/>
          </w:tcPr>
          <w:p w:rsidR="00181834" w:rsidRDefault="00181834">
            <w:pPr>
              <w:spacing w:after="160"/>
              <w:rPr>
                <w:rFonts w:ascii="Calibri" w:hAnsi="Calibri"/>
                <w:sz w:val="22"/>
                <w:szCs w:val="22"/>
              </w:rPr>
            </w:pPr>
          </w:p>
        </w:tc>
        <w:tc>
          <w:tcPr>
            <w:tcW w:w="600" w:type="pct"/>
            <w:tcBorders>
              <w:top w:val="single" w:sz="2" w:space="0" w:color="auto"/>
              <w:left w:val="nil"/>
              <w:bottom w:val="nil"/>
              <w:right w:val="nil"/>
            </w:tcBorders>
            <w:shd w:val="clear" w:color="auto" w:fill="FFFFFF"/>
            <w:noWrap/>
            <w:vAlign w:val="center"/>
          </w:tcPr>
          <w:p w:rsidR="00181834" w:rsidRDefault="00181834">
            <w:pPr>
              <w:spacing w:after="160"/>
              <w:rPr>
                <w:rFonts w:ascii="Calibri" w:hAnsi="Calibri"/>
                <w:sz w:val="22"/>
                <w:szCs w:val="22"/>
              </w:rPr>
            </w:pPr>
          </w:p>
        </w:tc>
      </w:tr>
      <w:tr w:rsidR="00181834">
        <w:trPr>
          <w:trHeight w:val="300"/>
          <w:jc w:val="center"/>
        </w:trPr>
        <w:tc>
          <w:tcPr>
            <w:tcW w:w="2200" w:type="pct"/>
            <w:tcBorders>
              <w:top w:val="nil"/>
              <w:left w:val="nil"/>
              <w:bottom w:val="nil"/>
              <w:right w:val="nil"/>
            </w:tcBorders>
            <w:shd w:val="clear" w:color="auto" w:fill="FFFFFF"/>
            <w:noWrap/>
            <w:vAlign w:val="center"/>
          </w:tcPr>
          <w:p w:rsidR="00181834" w:rsidRDefault="007329B5">
            <w:pPr>
              <w:shd w:val="clear" w:color="auto" w:fill="FFFFFF"/>
              <w:rPr>
                <w:rFonts w:eastAsia="Times New Roman"/>
                <w:color w:val="000000"/>
                <w:sz w:val="22"/>
                <w:szCs w:val="22"/>
                <w:shd w:val="clear" w:color="auto" w:fill="FFFFFF"/>
              </w:rPr>
            </w:pPr>
            <w:r>
              <w:rPr>
                <w:rFonts w:eastAsia="Times New Roman"/>
                <w:color w:val="000000"/>
                <w:sz w:val="22"/>
                <w:szCs w:val="22"/>
                <w:shd w:val="clear" w:color="auto" w:fill="FFFFFF"/>
              </w:rPr>
              <w:t>Intrinsic Satisfaction (X2)</w:t>
            </w:r>
          </w:p>
        </w:tc>
        <w:tc>
          <w:tcPr>
            <w:tcW w:w="600" w:type="pct"/>
            <w:tcBorders>
              <w:top w:val="nil"/>
              <w:left w:val="nil"/>
              <w:bottom w:val="nil"/>
              <w:right w:val="nil"/>
            </w:tcBorders>
            <w:shd w:val="clear" w:color="auto" w:fill="FFFFFF"/>
            <w:noWrap/>
            <w:vAlign w:val="center"/>
          </w:tcPr>
          <w:p w:rsidR="00181834" w:rsidRDefault="007329B5">
            <w:pPr>
              <w:shd w:val="clear" w:color="auto" w:fill="FFFFFF"/>
              <w:jc w:val="right"/>
              <w:rPr>
                <w:rFonts w:eastAsia="Times New Roman"/>
                <w:sz w:val="22"/>
                <w:szCs w:val="22"/>
                <w:shd w:val="clear" w:color="auto" w:fill="FFFFFF"/>
              </w:rPr>
            </w:pPr>
            <w:r>
              <w:rPr>
                <w:rFonts w:eastAsia="Times New Roman"/>
                <w:sz w:val="22"/>
                <w:szCs w:val="22"/>
                <w:shd w:val="clear" w:color="auto" w:fill="FFFFFF"/>
              </w:rPr>
              <w:t>0,284</w:t>
            </w:r>
          </w:p>
        </w:tc>
        <w:tc>
          <w:tcPr>
            <w:tcW w:w="750" w:type="pct"/>
            <w:tcBorders>
              <w:top w:val="nil"/>
              <w:left w:val="nil"/>
              <w:bottom w:val="nil"/>
              <w:right w:val="nil"/>
            </w:tcBorders>
            <w:shd w:val="clear" w:color="auto" w:fill="FFFFFF"/>
            <w:noWrap/>
            <w:vAlign w:val="center"/>
          </w:tcPr>
          <w:p w:rsidR="00181834" w:rsidRDefault="00181834">
            <w:pPr>
              <w:spacing w:after="160"/>
              <w:rPr>
                <w:rFonts w:ascii="Calibri" w:hAnsi="Calibri"/>
                <w:sz w:val="22"/>
                <w:szCs w:val="22"/>
              </w:rPr>
            </w:pPr>
          </w:p>
        </w:tc>
        <w:tc>
          <w:tcPr>
            <w:tcW w:w="750" w:type="pct"/>
            <w:tcBorders>
              <w:top w:val="nil"/>
              <w:left w:val="nil"/>
              <w:bottom w:val="nil"/>
              <w:right w:val="nil"/>
            </w:tcBorders>
            <w:shd w:val="clear" w:color="auto" w:fill="FFFFFF"/>
            <w:noWrap/>
            <w:vAlign w:val="center"/>
          </w:tcPr>
          <w:p w:rsidR="00181834" w:rsidRDefault="00181834">
            <w:pPr>
              <w:spacing w:after="160"/>
              <w:rPr>
                <w:rFonts w:ascii="Calibri" w:hAnsi="Calibri"/>
                <w:sz w:val="22"/>
                <w:szCs w:val="22"/>
              </w:rPr>
            </w:pPr>
          </w:p>
        </w:tc>
        <w:tc>
          <w:tcPr>
            <w:tcW w:w="600" w:type="pct"/>
            <w:tcBorders>
              <w:top w:val="nil"/>
              <w:left w:val="nil"/>
              <w:bottom w:val="nil"/>
              <w:right w:val="nil"/>
            </w:tcBorders>
            <w:shd w:val="clear" w:color="auto" w:fill="FFFFFF"/>
            <w:noWrap/>
            <w:vAlign w:val="center"/>
          </w:tcPr>
          <w:p w:rsidR="00181834" w:rsidRDefault="00181834">
            <w:pPr>
              <w:spacing w:after="160"/>
              <w:rPr>
                <w:rFonts w:ascii="Calibri" w:hAnsi="Calibri"/>
                <w:sz w:val="22"/>
                <w:szCs w:val="22"/>
              </w:rPr>
            </w:pPr>
          </w:p>
        </w:tc>
      </w:tr>
      <w:tr w:rsidR="00181834">
        <w:trPr>
          <w:trHeight w:val="300"/>
          <w:jc w:val="center"/>
        </w:trPr>
        <w:tc>
          <w:tcPr>
            <w:tcW w:w="2200" w:type="pct"/>
            <w:tcBorders>
              <w:top w:val="nil"/>
              <w:left w:val="nil"/>
              <w:bottom w:val="nil"/>
              <w:right w:val="nil"/>
            </w:tcBorders>
            <w:shd w:val="clear" w:color="auto" w:fill="FFFFFF"/>
            <w:noWrap/>
            <w:vAlign w:val="center"/>
          </w:tcPr>
          <w:p w:rsidR="00181834" w:rsidRDefault="007329B5">
            <w:pPr>
              <w:shd w:val="clear" w:color="auto" w:fill="FFFFFF"/>
              <w:rPr>
                <w:rFonts w:eastAsia="Times New Roman"/>
                <w:color w:val="000000"/>
                <w:sz w:val="22"/>
                <w:szCs w:val="22"/>
                <w:shd w:val="clear" w:color="auto" w:fill="FFFFFF"/>
              </w:rPr>
            </w:pPr>
            <w:r>
              <w:rPr>
                <w:rFonts w:eastAsia="Times New Roman"/>
                <w:color w:val="000000"/>
                <w:sz w:val="22"/>
                <w:szCs w:val="22"/>
                <w:shd w:val="clear" w:color="auto" w:fill="FFFFFF"/>
              </w:rPr>
              <w:t>Leader-Member Exchange (Y)</w:t>
            </w:r>
          </w:p>
        </w:tc>
        <w:tc>
          <w:tcPr>
            <w:tcW w:w="600" w:type="pct"/>
            <w:tcBorders>
              <w:top w:val="nil"/>
              <w:left w:val="nil"/>
              <w:bottom w:val="nil"/>
              <w:right w:val="nil"/>
            </w:tcBorders>
            <w:shd w:val="clear" w:color="auto" w:fill="FFFFFF"/>
            <w:noWrap/>
            <w:vAlign w:val="center"/>
          </w:tcPr>
          <w:p w:rsidR="00181834" w:rsidRDefault="007329B5">
            <w:pPr>
              <w:shd w:val="clear" w:color="auto" w:fill="FFFFFF"/>
              <w:jc w:val="right"/>
              <w:rPr>
                <w:rFonts w:eastAsia="Times New Roman"/>
                <w:sz w:val="22"/>
                <w:szCs w:val="22"/>
                <w:shd w:val="clear" w:color="auto" w:fill="FFFFFF"/>
              </w:rPr>
            </w:pPr>
            <w:r>
              <w:rPr>
                <w:rFonts w:eastAsia="Times New Roman"/>
                <w:sz w:val="22"/>
                <w:szCs w:val="22"/>
                <w:shd w:val="clear" w:color="auto" w:fill="FFFFFF"/>
              </w:rPr>
              <w:t>0,442</w:t>
            </w:r>
          </w:p>
        </w:tc>
        <w:tc>
          <w:tcPr>
            <w:tcW w:w="750" w:type="pct"/>
            <w:tcBorders>
              <w:top w:val="nil"/>
              <w:left w:val="nil"/>
              <w:bottom w:val="nil"/>
              <w:right w:val="nil"/>
            </w:tcBorders>
            <w:shd w:val="clear" w:color="auto" w:fill="FFFFFF"/>
            <w:noWrap/>
            <w:vAlign w:val="center"/>
          </w:tcPr>
          <w:p w:rsidR="00181834" w:rsidRDefault="007329B5">
            <w:pPr>
              <w:shd w:val="clear" w:color="auto" w:fill="FFFFFF"/>
              <w:jc w:val="right"/>
              <w:rPr>
                <w:rFonts w:eastAsia="Times New Roman"/>
                <w:sz w:val="22"/>
                <w:szCs w:val="22"/>
                <w:shd w:val="clear" w:color="auto" w:fill="FFFFFF"/>
              </w:rPr>
            </w:pPr>
            <w:r>
              <w:rPr>
                <w:rFonts w:eastAsia="Times New Roman"/>
                <w:sz w:val="22"/>
                <w:szCs w:val="22"/>
                <w:shd w:val="clear" w:color="auto" w:fill="FFFFFF"/>
              </w:rPr>
              <w:t>0,575</w:t>
            </w:r>
          </w:p>
        </w:tc>
        <w:tc>
          <w:tcPr>
            <w:tcW w:w="750" w:type="pct"/>
            <w:tcBorders>
              <w:top w:val="nil"/>
              <w:left w:val="nil"/>
              <w:bottom w:val="nil"/>
              <w:right w:val="nil"/>
            </w:tcBorders>
            <w:shd w:val="clear" w:color="auto" w:fill="FFFFFF"/>
            <w:noWrap/>
            <w:vAlign w:val="center"/>
          </w:tcPr>
          <w:p w:rsidR="00181834" w:rsidRDefault="00181834">
            <w:pPr>
              <w:spacing w:after="160"/>
              <w:rPr>
                <w:rFonts w:ascii="Calibri" w:hAnsi="Calibri"/>
                <w:sz w:val="22"/>
                <w:szCs w:val="22"/>
              </w:rPr>
            </w:pPr>
          </w:p>
        </w:tc>
        <w:tc>
          <w:tcPr>
            <w:tcW w:w="600" w:type="pct"/>
            <w:tcBorders>
              <w:top w:val="nil"/>
              <w:left w:val="nil"/>
              <w:bottom w:val="nil"/>
              <w:right w:val="nil"/>
            </w:tcBorders>
            <w:shd w:val="clear" w:color="auto" w:fill="FFFFFF"/>
            <w:noWrap/>
            <w:vAlign w:val="center"/>
          </w:tcPr>
          <w:p w:rsidR="00181834" w:rsidRDefault="00181834">
            <w:pPr>
              <w:spacing w:after="160"/>
              <w:rPr>
                <w:rFonts w:ascii="Calibri" w:hAnsi="Calibri"/>
                <w:sz w:val="22"/>
                <w:szCs w:val="22"/>
              </w:rPr>
            </w:pPr>
          </w:p>
        </w:tc>
      </w:tr>
      <w:tr w:rsidR="00181834">
        <w:trPr>
          <w:trHeight w:val="300"/>
          <w:jc w:val="center"/>
        </w:trPr>
        <w:tc>
          <w:tcPr>
            <w:tcW w:w="2200" w:type="pct"/>
            <w:tcBorders>
              <w:top w:val="nil"/>
              <w:left w:val="nil"/>
              <w:bottom w:val="single" w:sz="2" w:space="0" w:color="auto"/>
              <w:right w:val="nil"/>
            </w:tcBorders>
            <w:shd w:val="clear" w:color="auto" w:fill="FFFFFF"/>
            <w:noWrap/>
            <w:vAlign w:val="center"/>
          </w:tcPr>
          <w:p w:rsidR="00181834" w:rsidRDefault="007329B5">
            <w:pPr>
              <w:shd w:val="clear" w:color="auto" w:fill="FFFFFF"/>
              <w:rPr>
                <w:rFonts w:eastAsia="Times New Roman"/>
                <w:color w:val="000000"/>
                <w:sz w:val="22"/>
                <w:szCs w:val="22"/>
                <w:shd w:val="clear" w:color="auto" w:fill="FFFFFF"/>
              </w:rPr>
            </w:pPr>
            <w:r>
              <w:rPr>
                <w:rFonts w:eastAsia="Times New Roman"/>
                <w:color w:val="000000"/>
                <w:sz w:val="22"/>
                <w:szCs w:val="22"/>
                <w:shd w:val="clear" w:color="auto" w:fill="FFFFFF"/>
              </w:rPr>
              <w:t>Teacher Performance (Z)</w:t>
            </w:r>
          </w:p>
        </w:tc>
        <w:tc>
          <w:tcPr>
            <w:tcW w:w="600" w:type="pct"/>
            <w:tcBorders>
              <w:top w:val="nil"/>
              <w:left w:val="nil"/>
              <w:bottom w:val="single" w:sz="2" w:space="0" w:color="auto"/>
              <w:right w:val="nil"/>
            </w:tcBorders>
            <w:shd w:val="clear" w:color="auto" w:fill="FFFFFF"/>
            <w:noWrap/>
            <w:vAlign w:val="center"/>
          </w:tcPr>
          <w:p w:rsidR="00181834" w:rsidRDefault="007329B5">
            <w:pPr>
              <w:shd w:val="clear" w:color="auto" w:fill="FFFFFF"/>
              <w:jc w:val="right"/>
              <w:rPr>
                <w:rFonts w:eastAsia="Times New Roman"/>
                <w:sz w:val="22"/>
                <w:szCs w:val="22"/>
                <w:shd w:val="clear" w:color="auto" w:fill="FFFFFF"/>
              </w:rPr>
            </w:pPr>
            <w:r>
              <w:rPr>
                <w:rFonts w:eastAsia="Times New Roman"/>
                <w:sz w:val="22"/>
                <w:szCs w:val="22"/>
                <w:shd w:val="clear" w:color="auto" w:fill="FFFFFF"/>
              </w:rPr>
              <w:t>0,506</w:t>
            </w:r>
          </w:p>
        </w:tc>
        <w:tc>
          <w:tcPr>
            <w:tcW w:w="750" w:type="pct"/>
            <w:tcBorders>
              <w:top w:val="nil"/>
              <w:left w:val="nil"/>
              <w:bottom w:val="single" w:sz="2" w:space="0" w:color="auto"/>
              <w:right w:val="nil"/>
            </w:tcBorders>
            <w:shd w:val="clear" w:color="auto" w:fill="FFFFFF"/>
            <w:noWrap/>
            <w:vAlign w:val="center"/>
          </w:tcPr>
          <w:p w:rsidR="00181834" w:rsidRDefault="007329B5">
            <w:pPr>
              <w:shd w:val="clear" w:color="auto" w:fill="FFFFFF"/>
              <w:jc w:val="right"/>
              <w:rPr>
                <w:rFonts w:eastAsia="Times New Roman"/>
                <w:sz w:val="22"/>
                <w:szCs w:val="22"/>
                <w:shd w:val="clear" w:color="auto" w:fill="FFFFFF"/>
              </w:rPr>
            </w:pPr>
            <w:r>
              <w:rPr>
                <w:rFonts w:eastAsia="Times New Roman"/>
                <w:sz w:val="22"/>
                <w:szCs w:val="22"/>
                <w:shd w:val="clear" w:color="auto" w:fill="FFFFFF"/>
              </w:rPr>
              <w:t>0,600</w:t>
            </w:r>
          </w:p>
        </w:tc>
        <w:tc>
          <w:tcPr>
            <w:tcW w:w="750" w:type="pct"/>
            <w:tcBorders>
              <w:top w:val="nil"/>
              <w:left w:val="nil"/>
              <w:bottom w:val="single" w:sz="2" w:space="0" w:color="auto"/>
              <w:right w:val="nil"/>
            </w:tcBorders>
            <w:shd w:val="clear" w:color="auto" w:fill="FFFFFF"/>
            <w:noWrap/>
            <w:vAlign w:val="center"/>
          </w:tcPr>
          <w:p w:rsidR="00181834" w:rsidRDefault="007329B5">
            <w:pPr>
              <w:shd w:val="clear" w:color="auto" w:fill="FFFFFF"/>
              <w:jc w:val="right"/>
              <w:rPr>
                <w:rFonts w:eastAsia="Times New Roman"/>
                <w:sz w:val="22"/>
                <w:szCs w:val="22"/>
                <w:shd w:val="clear" w:color="auto" w:fill="FFFFFF"/>
              </w:rPr>
            </w:pPr>
            <w:r>
              <w:rPr>
                <w:rFonts w:eastAsia="Times New Roman"/>
                <w:sz w:val="22"/>
                <w:szCs w:val="22"/>
                <w:shd w:val="clear" w:color="auto" w:fill="FFFFFF"/>
              </w:rPr>
              <w:t>0,673</w:t>
            </w:r>
          </w:p>
        </w:tc>
        <w:tc>
          <w:tcPr>
            <w:tcW w:w="600" w:type="pct"/>
            <w:tcBorders>
              <w:top w:val="nil"/>
              <w:left w:val="nil"/>
              <w:bottom w:val="single" w:sz="2" w:space="0" w:color="auto"/>
              <w:right w:val="nil"/>
            </w:tcBorders>
            <w:shd w:val="clear" w:color="auto" w:fill="FFFFFF"/>
            <w:noWrap/>
            <w:vAlign w:val="center"/>
          </w:tcPr>
          <w:p w:rsidR="00181834" w:rsidRDefault="00181834">
            <w:pPr>
              <w:spacing w:after="160"/>
              <w:rPr>
                <w:rFonts w:ascii="Calibri" w:hAnsi="Calibri"/>
                <w:sz w:val="22"/>
                <w:szCs w:val="22"/>
              </w:rPr>
            </w:pPr>
          </w:p>
        </w:tc>
      </w:tr>
    </w:tbl>
    <w:p w:rsidR="00181834" w:rsidRDefault="007329B5">
      <w:pPr>
        <w:spacing w:after="60"/>
        <w:jc w:val="both"/>
      </w:pPr>
      <w:r>
        <w:rPr>
          <w:rFonts w:eastAsia="Times New Roman"/>
          <w:i/>
          <w:color w:val="000000"/>
          <w:sz w:val="20"/>
          <w:szCs w:val="20"/>
        </w:rPr>
        <w:t xml:space="preserve">Source: Result SEM PLS  </w:t>
      </w:r>
    </w:p>
    <w:p w:rsidR="00181834" w:rsidRDefault="007329B5">
      <w:pPr>
        <w:spacing w:after="60"/>
        <w:ind w:firstLine="454"/>
        <w:jc w:val="both"/>
      </w:pPr>
      <w:r>
        <w:t>The table shows that all HTMT values among the constructs range from 0.284 to 0.673, below the 0.85 threshold, confirming discriminant validity.</w:t>
      </w:r>
    </w:p>
    <w:p w:rsidR="00181834" w:rsidRDefault="007329B5">
      <w:pPr>
        <w:spacing w:before="240" w:after="240"/>
        <w:jc w:val="both"/>
        <w:rPr>
          <w:b/>
          <w:bCs/>
        </w:rPr>
      </w:pPr>
      <w:r>
        <w:rPr>
          <w:b/>
          <w:bCs/>
        </w:rPr>
        <w:t>Reliability Analysis</w:t>
      </w:r>
    </w:p>
    <w:p w:rsidR="00181834" w:rsidRDefault="007329B5">
      <w:pPr>
        <w:spacing w:after="120"/>
        <w:ind w:firstLine="720"/>
        <w:jc w:val="both"/>
        <w:rPr>
          <w:rFonts w:eastAsia="DengXian"/>
          <w:lang w:eastAsia="en-US"/>
        </w:rPr>
      </w:pPr>
      <w:r>
        <w:rPr>
          <w:rFonts w:eastAsia="DengXian"/>
          <w:lang w:eastAsia="en-US"/>
        </w:rPr>
        <w:t>R</w:t>
      </w:r>
      <w:r>
        <w:rPr>
          <w:rFonts w:eastAsia="DengXian"/>
          <w:lang w:val="zh-CN" w:eastAsia="en-US"/>
        </w:rPr>
        <w:t>eliability was confirmed as Cronbach’s alpha and composite reliability exceeded 0.7, indicating strong internal consistency</w:t>
      </w:r>
      <w:r>
        <w:rPr>
          <w:rFonts w:eastAsia="DengXian"/>
          <w:lang w:eastAsia="en-US"/>
        </w:rPr>
        <w:t xml:space="preserve"> </w:t>
      </w:r>
      <w:r>
        <w:rPr>
          <w:rFonts w:eastAsia="DengXian"/>
          <w:lang w:val="zh-CN" w:eastAsia="en-US"/>
        </w:rPr>
        <w:t>(Hair et al., 2024), as shown in Table 7</w:t>
      </w:r>
      <w:r>
        <w:rPr>
          <w:rFonts w:eastAsia="DengXian"/>
          <w:lang w:eastAsia="en-US"/>
        </w:rPr>
        <w:t>.</w:t>
      </w:r>
    </w:p>
    <w:p w:rsidR="00181834" w:rsidRDefault="007329B5">
      <w:pPr>
        <w:spacing w:after="120" w:line="360" w:lineRule="auto"/>
        <w:ind w:firstLine="720"/>
        <w:jc w:val="center"/>
        <w:rPr>
          <w:i/>
          <w:iCs/>
        </w:rPr>
      </w:pPr>
      <w:r>
        <w:rPr>
          <w:rFonts w:eastAsia="DengXian"/>
          <w:i/>
          <w:iCs/>
          <w:sz w:val="22"/>
          <w:szCs w:val="22"/>
        </w:rPr>
        <w:t xml:space="preserve">Table 7: </w:t>
      </w:r>
      <w:proofErr w:type="spellStart"/>
      <w:r>
        <w:rPr>
          <w:rFonts w:eastAsia="DengXian"/>
          <w:i/>
          <w:iCs/>
          <w:sz w:val="22"/>
          <w:szCs w:val="22"/>
        </w:rPr>
        <w:t>Cronbach's</w:t>
      </w:r>
      <w:proofErr w:type="spellEnd"/>
      <w:r>
        <w:rPr>
          <w:rFonts w:eastAsia="DengXian"/>
          <w:i/>
          <w:iCs/>
          <w:sz w:val="22"/>
          <w:szCs w:val="22"/>
        </w:rPr>
        <w:t xml:space="preserve"> Alpha and Composite Reliability Results</w:t>
      </w:r>
    </w:p>
    <w:tbl>
      <w:tblPr>
        <w:tblW w:w="7819" w:type="dxa"/>
        <w:tblInd w:w="100" w:type="dxa"/>
        <w:tblBorders>
          <w:top w:val="single" w:sz="2" w:space="0" w:color="auto"/>
          <w:bottom w:val="single" w:sz="2" w:space="0" w:color="auto"/>
        </w:tblBorders>
        <w:shd w:val="clear" w:color="auto" w:fill="FFFFFF"/>
        <w:tblLayout w:type="fixed"/>
        <w:tblCellMar>
          <w:left w:w="100" w:type="dxa"/>
          <w:right w:w="100" w:type="dxa"/>
        </w:tblCellMar>
        <w:tblLook w:val="04A0" w:firstRow="1" w:lastRow="0" w:firstColumn="1" w:lastColumn="0" w:noHBand="0" w:noVBand="1"/>
      </w:tblPr>
      <w:tblGrid>
        <w:gridCol w:w="2394"/>
        <w:gridCol w:w="1326"/>
        <w:gridCol w:w="844"/>
        <w:gridCol w:w="1257"/>
        <w:gridCol w:w="1998"/>
      </w:tblGrid>
      <w:tr w:rsidR="00181834">
        <w:trPr>
          <w:trHeight w:val="507"/>
        </w:trPr>
        <w:tc>
          <w:tcPr>
            <w:tcW w:w="2394" w:type="dxa"/>
            <w:tcBorders>
              <w:top w:val="single" w:sz="2" w:space="0" w:color="auto"/>
              <w:left w:val="nil"/>
              <w:bottom w:val="single" w:sz="2" w:space="0" w:color="auto"/>
              <w:right w:val="nil"/>
            </w:tcBorders>
            <w:shd w:val="clear" w:color="auto" w:fill="FFFFFF"/>
            <w:noWrap/>
            <w:vAlign w:val="center"/>
          </w:tcPr>
          <w:p w:rsidR="00181834" w:rsidRDefault="007329B5">
            <w:pPr>
              <w:spacing w:after="160" w:line="256" w:lineRule="auto"/>
              <w:rPr>
                <w:rFonts w:ascii="Calibri" w:hAnsi="Calibri"/>
                <w:sz w:val="22"/>
                <w:szCs w:val="22"/>
              </w:rPr>
            </w:pPr>
            <w:r>
              <w:rPr>
                <w:b/>
                <w:bCs/>
                <w:sz w:val="22"/>
                <w:szCs w:val="22"/>
              </w:rPr>
              <w:t>Construct</w:t>
            </w:r>
          </w:p>
        </w:tc>
        <w:tc>
          <w:tcPr>
            <w:tcW w:w="1326" w:type="dxa"/>
            <w:tcBorders>
              <w:top w:val="single" w:sz="2" w:space="0" w:color="auto"/>
              <w:left w:val="nil"/>
              <w:bottom w:val="single" w:sz="2" w:space="0" w:color="auto"/>
              <w:right w:val="nil"/>
            </w:tcBorders>
            <w:shd w:val="clear" w:color="auto" w:fill="FFFFFF"/>
            <w:noWrap/>
            <w:vAlign w:val="center"/>
          </w:tcPr>
          <w:p w:rsidR="00181834" w:rsidRDefault="007329B5">
            <w:pPr>
              <w:rPr>
                <w:rFonts w:eastAsia="Times New Roman"/>
                <w:b/>
                <w:bCs/>
                <w:color w:val="000000"/>
                <w:sz w:val="22"/>
                <w:szCs w:val="22"/>
              </w:rPr>
            </w:pPr>
            <w:proofErr w:type="spellStart"/>
            <w:r>
              <w:rPr>
                <w:rFonts w:eastAsia="Times New Roman"/>
                <w:b/>
                <w:bCs/>
                <w:color w:val="000000"/>
                <w:sz w:val="22"/>
                <w:szCs w:val="22"/>
              </w:rPr>
              <w:t>Cronbach's</w:t>
            </w:r>
            <w:proofErr w:type="spellEnd"/>
            <w:r>
              <w:rPr>
                <w:rFonts w:eastAsia="Times New Roman"/>
                <w:b/>
                <w:bCs/>
                <w:color w:val="000000"/>
                <w:sz w:val="22"/>
                <w:szCs w:val="22"/>
              </w:rPr>
              <w:t xml:space="preserve"> Alpha</w:t>
            </w:r>
          </w:p>
        </w:tc>
        <w:tc>
          <w:tcPr>
            <w:tcW w:w="844" w:type="dxa"/>
            <w:tcBorders>
              <w:top w:val="single" w:sz="2" w:space="0" w:color="auto"/>
              <w:left w:val="nil"/>
              <w:bottom w:val="single" w:sz="2" w:space="0" w:color="auto"/>
              <w:right w:val="nil"/>
            </w:tcBorders>
            <w:shd w:val="clear" w:color="auto" w:fill="FFFFFF"/>
            <w:noWrap/>
            <w:vAlign w:val="center"/>
          </w:tcPr>
          <w:p w:rsidR="00181834" w:rsidRDefault="007329B5">
            <w:pPr>
              <w:rPr>
                <w:rFonts w:eastAsia="Times New Roman"/>
                <w:b/>
                <w:bCs/>
                <w:color w:val="000000"/>
                <w:sz w:val="22"/>
                <w:szCs w:val="22"/>
              </w:rPr>
            </w:pPr>
            <w:proofErr w:type="spellStart"/>
            <w:r>
              <w:rPr>
                <w:rFonts w:eastAsia="Times New Roman"/>
                <w:b/>
                <w:bCs/>
                <w:color w:val="000000"/>
                <w:sz w:val="22"/>
                <w:szCs w:val="22"/>
              </w:rPr>
              <w:t>rho_A</w:t>
            </w:r>
            <w:proofErr w:type="spellEnd"/>
          </w:p>
        </w:tc>
        <w:tc>
          <w:tcPr>
            <w:tcW w:w="1257" w:type="dxa"/>
            <w:tcBorders>
              <w:top w:val="single" w:sz="2" w:space="0" w:color="auto"/>
              <w:left w:val="nil"/>
              <w:bottom w:val="single" w:sz="2" w:space="0" w:color="auto"/>
              <w:right w:val="nil"/>
            </w:tcBorders>
            <w:shd w:val="clear" w:color="auto" w:fill="FFFFFF"/>
            <w:noWrap/>
            <w:vAlign w:val="center"/>
          </w:tcPr>
          <w:p w:rsidR="00181834" w:rsidRDefault="007329B5">
            <w:pPr>
              <w:rPr>
                <w:rFonts w:eastAsia="Times New Roman"/>
                <w:b/>
                <w:bCs/>
                <w:color w:val="000000"/>
                <w:sz w:val="22"/>
                <w:szCs w:val="22"/>
              </w:rPr>
            </w:pPr>
            <w:r>
              <w:rPr>
                <w:rFonts w:eastAsia="Times New Roman"/>
                <w:b/>
                <w:bCs/>
                <w:color w:val="000000"/>
                <w:sz w:val="22"/>
                <w:szCs w:val="22"/>
              </w:rPr>
              <w:t>Composite Reliability</w:t>
            </w:r>
          </w:p>
        </w:tc>
        <w:tc>
          <w:tcPr>
            <w:tcW w:w="1998" w:type="dxa"/>
            <w:tcBorders>
              <w:top w:val="single" w:sz="2" w:space="0" w:color="auto"/>
              <w:left w:val="nil"/>
              <w:bottom w:val="single" w:sz="2" w:space="0" w:color="auto"/>
              <w:right w:val="nil"/>
            </w:tcBorders>
            <w:shd w:val="clear" w:color="auto" w:fill="FFFFFF"/>
            <w:noWrap/>
            <w:vAlign w:val="center"/>
          </w:tcPr>
          <w:p w:rsidR="00181834" w:rsidRDefault="007329B5">
            <w:pPr>
              <w:rPr>
                <w:rFonts w:eastAsia="Times New Roman"/>
                <w:b/>
                <w:bCs/>
                <w:color w:val="000000"/>
                <w:sz w:val="22"/>
                <w:szCs w:val="22"/>
              </w:rPr>
            </w:pPr>
            <w:r>
              <w:rPr>
                <w:rFonts w:eastAsia="Times New Roman"/>
                <w:b/>
                <w:bCs/>
                <w:color w:val="000000"/>
                <w:sz w:val="22"/>
                <w:szCs w:val="22"/>
              </w:rPr>
              <w:t>Average Variance Extracted (AVE)</w:t>
            </w:r>
          </w:p>
        </w:tc>
      </w:tr>
      <w:tr w:rsidR="00181834">
        <w:trPr>
          <w:trHeight w:val="303"/>
        </w:trPr>
        <w:tc>
          <w:tcPr>
            <w:tcW w:w="2394" w:type="dxa"/>
            <w:tcBorders>
              <w:top w:val="single" w:sz="2" w:space="0" w:color="auto"/>
              <w:left w:val="nil"/>
              <w:bottom w:val="nil"/>
              <w:right w:val="nil"/>
            </w:tcBorders>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Digital Competence (X1)</w:t>
            </w:r>
          </w:p>
        </w:tc>
        <w:tc>
          <w:tcPr>
            <w:tcW w:w="1326" w:type="dxa"/>
            <w:tcBorders>
              <w:top w:val="single" w:sz="2" w:space="0" w:color="auto"/>
              <w:left w:val="nil"/>
              <w:bottom w:val="nil"/>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0,963</w:t>
            </w:r>
          </w:p>
        </w:tc>
        <w:tc>
          <w:tcPr>
            <w:tcW w:w="844" w:type="dxa"/>
            <w:tcBorders>
              <w:top w:val="single" w:sz="2" w:space="0" w:color="auto"/>
              <w:left w:val="nil"/>
              <w:bottom w:val="nil"/>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0,967</w:t>
            </w:r>
          </w:p>
        </w:tc>
        <w:tc>
          <w:tcPr>
            <w:tcW w:w="1257" w:type="dxa"/>
            <w:tcBorders>
              <w:top w:val="single" w:sz="2" w:space="0" w:color="auto"/>
              <w:left w:val="nil"/>
              <w:bottom w:val="nil"/>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0,969</w:t>
            </w:r>
          </w:p>
        </w:tc>
        <w:tc>
          <w:tcPr>
            <w:tcW w:w="1998" w:type="dxa"/>
            <w:tcBorders>
              <w:top w:val="single" w:sz="2" w:space="0" w:color="auto"/>
              <w:left w:val="nil"/>
              <w:bottom w:val="nil"/>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0,777</w:t>
            </w:r>
          </w:p>
        </w:tc>
      </w:tr>
      <w:tr w:rsidR="00181834">
        <w:trPr>
          <w:trHeight w:val="298"/>
        </w:trPr>
        <w:tc>
          <w:tcPr>
            <w:tcW w:w="2394" w:type="dxa"/>
            <w:tcBorders>
              <w:top w:val="nil"/>
              <w:left w:val="nil"/>
              <w:bottom w:val="nil"/>
              <w:right w:val="nil"/>
            </w:tcBorders>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Intrinsic Satisfaction (X2)</w:t>
            </w:r>
          </w:p>
        </w:tc>
        <w:tc>
          <w:tcPr>
            <w:tcW w:w="1326" w:type="dxa"/>
            <w:tcBorders>
              <w:top w:val="nil"/>
              <w:left w:val="nil"/>
              <w:bottom w:val="nil"/>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0,977</w:t>
            </w:r>
          </w:p>
        </w:tc>
        <w:tc>
          <w:tcPr>
            <w:tcW w:w="844" w:type="dxa"/>
            <w:tcBorders>
              <w:top w:val="nil"/>
              <w:left w:val="nil"/>
              <w:bottom w:val="nil"/>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0,979</w:t>
            </w:r>
          </w:p>
        </w:tc>
        <w:tc>
          <w:tcPr>
            <w:tcW w:w="1257" w:type="dxa"/>
            <w:tcBorders>
              <w:top w:val="nil"/>
              <w:left w:val="nil"/>
              <w:bottom w:val="nil"/>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0,981</w:t>
            </w:r>
          </w:p>
        </w:tc>
        <w:tc>
          <w:tcPr>
            <w:tcW w:w="1998" w:type="dxa"/>
            <w:tcBorders>
              <w:top w:val="nil"/>
              <w:left w:val="nil"/>
              <w:bottom w:val="nil"/>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0,897</w:t>
            </w:r>
          </w:p>
        </w:tc>
      </w:tr>
      <w:tr w:rsidR="00181834">
        <w:trPr>
          <w:trHeight w:val="502"/>
        </w:trPr>
        <w:tc>
          <w:tcPr>
            <w:tcW w:w="2394" w:type="dxa"/>
            <w:tcBorders>
              <w:top w:val="nil"/>
              <w:left w:val="nil"/>
              <w:bottom w:val="nil"/>
              <w:right w:val="nil"/>
            </w:tcBorders>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Leader-Member Exchange (Y)</w:t>
            </w:r>
          </w:p>
        </w:tc>
        <w:tc>
          <w:tcPr>
            <w:tcW w:w="1326" w:type="dxa"/>
            <w:tcBorders>
              <w:top w:val="nil"/>
              <w:left w:val="nil"/>
              <w:bottom w:val="nil"/>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0,945</w:t>
            </w:r>
          </w:p>
        </w:tc>
        <w:tc>
          <w:tcPr>
            <w:tcW w:w="844" w:type="dxa"/>
            <w:tcBorders>
              <w:top w:val="nil"/>
              <w:left w:val="nil"/>
              <w:bottom w:val="nil"/>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0,955</w:t>
            </w:r>
          </w:p>
        </w:tc>
        <w:tc>
          <w:tcPr>
            <w:tcW w:w="1257" w:type="dxa"/>
            <w:tcBorders>
              <w:top w:val="nil"/>
              <w:left w:val="nil"/>
              <w:bottom w:val="nil"/>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0,955</w:t>
            </w:r>
          </w:p>
        </w:tc>
        <w:tc>
          <w:tcPr>
            <w:tcW w:w="1998" w:type="dxa"/>
            <w:tcBorders>
              <w:top w:val="nil"/>
              <w:left w:val="nil"/>
              <w:bottom w:val="nil"/>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0,752</w:t>
            </w:r>
          </w:p>
        </w:tc>
      </w:tr>
      <w:tr w:rsidR="00181834">
        <w:trPr>
          <w:trHeight w:val="303"/>
        </w:trPr>
        <w:tc>
          <w:tcPr>
            <w:tcW w:w="2394" w:type="dxa"/>
            <w:tcBorders>
              <w:top w:val="nil"/>
              <w:left w:val="nil"/>
              <w:bottom w:val="single" w:sz="2" w:space="0" w:color="auto"/>
              <w:right w:val="nil"/>
            </w:tcBorders>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Teacher Performance (Z)</w:t>
            </w:r>
          </w:p>
        </w:tc>
        <w:tc>
          <w:tcPr>
            <w:tcW w:w="1326" w:type="dxa"/>
            <w:tcBorders>
              <w:top w:val="nil"/>
              <w:left w:val="nil"/>
              <w:bottom w:val="single" w:sz="2" w:space="0" w:color="auto"/>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0,987</w:t>
            </w:r>
          </w:p>
        </w:tc>
        <w:tc>
          <w:tcPr>
            <w:tcW w:w="844" w:type="dxa"/>
            <w:tcBorders>
              <w:top w:val="nil"/>
              <w:left w:val="nil"/>
              <w:bottom w:val="single" w:sz="2" w:space="0" w:color="auto"/>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0,988</w:t>
            </w:r>
          </w:p>
        </w:tc>
        <w:tc>
          <w:tcPr>
            <w:tcW w:w="1257" w:type="dxa"/>
            <w:tcBorders>
              <w:top w:val="nil"/>
              <w:left w:val="nil"/>
              <w:bottom w:val="single" w:sz="2" w:space="0" w:color="auto"/>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0,989</w:t>
            </w:r>
          </w:p>
        </w:tc>
        <w:tc>
          <w:tcPr>
            <w:tcW w:w="1998" w:type="dxa"/>
            <w:tcBorders>
              <w:top w:val="nil"/>
              <w:left w:val="nil"/>
              <w:bottom w:val="single" w:sz="2" w:space="0" w:color="auto"/>
              <w:right w:val="nil"/>
            </w:tcBorders>
            <w:shd w:val="clear" w:color="auto" w:fill="FFFFFF"/>
            <w:noWrap/>
            <w:vAlign w:val="center"/>
          </w:tcPr>
          <w:p w:rsidR="00181834" w:rsidRDefault="007329B5">
            <w:pPr>
              <w:jc w:val="both"/>
              <w:rPr>
                <w:rFonts w:eastAsia="Times New Roman"/>
                <w:sz w:val="22"/>
                <w:szCs w:val="22"/>
              </w:rPr>
            </w:pPr>
            <w:r>
              <w:rPr>
                <w:rFonts w:eastAsia="Times New Roman"/>
                <w:sz w:val="22"/>
                <w:szCs w:val="22"/>
              </w:rPr>
              <w:t>0,897</w:t>
            </w:r>
          </w:p>
        </w:tc>
      </w:tr>
    </w:tbl>
    <w:p w:rsidR="00181834" w:rsidRDefault="007329B5">
      <w:pPr>
        <w:spacing w:after="60"/>
        <w:jc w:val="both"/>
        <w:rPr>
          <w:rFonts w:eastAsia="DengXian"/>
          <w:sz w:val="22"/>
          <w:szCs w:val="22"/>
          <w:lang w:eastAsia="en-US"/>
        </w:rPr>
      </w:pPr>
      <w:r>
        <w:rPr>
          <w:rFonts w:eastAsia="Times New Roman"/>
          <w:i/>
          <w:color w:val="000000"/>
          <w:sz w:val="20"/>
          <w:szCs w:val="20"/>
        </w:rPr>
        <w:t xml:space="preserve">Source: Result SEM PLS  </w:t>
      </w:r>
    </w:p>
    <w:p w:rsidR="00181834" w:rsidRDefault="007329B5">
      <w:pPr>
        <w:spacing w:after="60"/>
        <w:ind w:firstLine="454"/>
        <w:jc w:val="both"/>
      </w:pPr>
      <w:r>
        <w:t>Table 7 shows that all constructs have high reliability and strong validity as they meet the required criteria.</w:t>
      </w:r>
    </w:p>
    <w:p w:rsidR="00181834" w:rsidRDefault="007329B5">
      <w:pPr>
        <w:spacing w:before="240" w:after="240"/>
        <w:rPr>
          <w:rFonts w:ascii="Times" w:eastAsia="Times" w:hAnsi="Times"/>
          <w:b/>
          <w:color w:val="000000"/>
        </w:rPr>
      </w:pPr>
      <w:r>
        <w:rPr>
          <w:rFonts w:ascii="Times" w:eastAsia="Times" w:hAnsi="Times"/>
          <w:b/>
          <w:color w:val="000000"/>
        </w:rPr>
        <w:t>Hypothesis Test</w:t>
      </w:r>
    </w:p>
    <w:p w:rsidR="00181834" w:rsidRDefault="007329B5">
      <w:pPr>
        <w:spacing w:after="120"/>
        <w:ind w:firstLine="720"/>
        <w:jc w:val="both"/>
        <w:rPr>
          <w:rFonts w:ascii="Times" w:eastAsia="Times" w:hAnsi="Times"/>
          <w:b/>
          <w:color w:val="000000"/>
          <w:sz w:val="26"/>
          <w:szCs w:val="26"/>
        </w:rPr>
      </w:pPr>
      <w:r>
        <w:rPr>
          <w:rFonts w:eastAsia="Times New Roman"/>
          <w:color w:val="000000"/>
        </w:rPr>
        <w:lastRenderedPageBreak/>
        <w:t>Hypothesis testing shows significant direct effects between the independent and dependent variables (p = 0.000; t &gt; 1.96).</w:t>
      </w:r>
    </w:p>
    <w:p w:rsidR="00181834" w:rsidRDefault="007329B5">
      <w:pPr>
        <w:spacing w:after="120" w:line="360" w:lineRule="auto"/>
        <w:ind w:firstLine="720"/>
        <w:jc w:val="center"/>
      </w:pPr>
      <w:r>
        <w:rPr>
          <w:i/>
          <w:iCs/>
        </w:rPr>
        <w:t>Table 8: Hypothesis Test</w:t>
      </w:r>
    </w:p>
    <w:tbl>
      <w:tblPr>
        <w:tblW w:w="8316" w:type="dxa"/>
        <w:jc w:val="center"/>
        <w:tblBorders>
          <w:top w:val="single" w:sz="4" w:space="0" w:color="auto"/>
          <w:bottom w:val="single" w:sz="4" w:space="0" w:color="auto"/>
        </w:tblBorders>
        <w:shd w:val="clear" w:color="auto" w:fill="FFFFFF"/>
        <w:tblLayout w:type="fixed"/>
        <w:tblCellMar>
          <w:left w:w="100" w:type="dxa"/>
          <w:right w:w="100" w:type="dxa"/>
        </w:tblCellMar>
        <w:tblLook w:val="04A0" w:firstRow="1" w:lastRow="0" w:firstColumn="1" w:lastColumn="0" w:noHBand="0" w:noVBand="1"/>
      </w:tblPr>
      <w:tblGrid>
        <w:gridCol w:w="2991"/>
        <w:gridCol w:w="1320"/>
        <w:gridCol w:w="915"/>
        <w:gridCol w:w="1215"/>
        <w:gridCol w:w="1050"/>
        <w:gridCol w:w="825"/>
      </w:tblGrid>
      <w:tr w:rsidR="00181834">
        <w:trPr>
          <w:trHeight w:hRule="exact" w:val="510"/>
          <w:jc w:val="center"/>
        </w:trPr>
        <w:tc>
          <w:tcPr>
            <w:tcW w:w="2991" w:type="dxa"/>
            <w:tcBorders>
              <w:bottom w:val="single" w:sz="4" w:space="0" w:color="auto"/>
            </w:tcBorders>
            <w:shd w:val="clear" w:color="auto" w:fill="FFFFFF"/>
            <w:noWrap/>
          </w:tcPr>
          <w:p w:rsidR="00181834" w:rsidRDefault="007329B5">
            <w:pPr>
              <w:spacing w:after="120"/>
              <w:jc w:val="center"/>
              <w:rPr>
                <w:rFonts w:eastAsia="Times New Roman"/>
                <w:sz w:val="22"/>
                <w:szCs w:val="22"/>
              </w:rPr>
            </w:pPr>
            <w:r>
              <w:rPr>
                <w:b/>
                <w:bCs/>
                <w:sz w:val="22"/>
                <w:szCs w:val="22"/>
              </w:rPr>
              <w:t>Construct</w:t>
            </w:r>
          </w:p>
        </w:tc>
        <w:tc>
          <w:tcPr>
            <w:tcW w:w="1320" w:type="dxa"/>
            <w:tcBorders>
              <w:bottom w:val="single" w:sz="4" w:space="0" w:color="auto"/>
            </w:tcBorders>
            <w:shd w:val="clear" w:color="auto" w:fill="FFFFFF"/>
            <w:noWrap/>
            <w:vAlign w:val="center"/>
          </w:tcPr>
          <w:p w:rsidR="00181834" w:rsidRDefault="007329B5">
            <w:pPr>
              <w:spacing w:after="120"/>
              <w:rPr>
                <w:rFonts w:eastAsia="Times New Roman"/>
                <w:b/>
                <w:bCs/>
                <w:color w:val="000000"/>
                <w:sz w:val="22"/>
                <w:szCs w:val="22"/>
              </w:rPr>
            </w:pPr>
            <w:r>
              <w:rPr>
                <w:rFonts w:eastAsia="Times New Roman"/>
                <w:b/>
                <w:bCs/>
                <w:color w:val="000000"/>
                <w:sz w:val="22"/>
                <w:szCs w:val="22"/>
              </w:rPr>
              <w:t xml:space="preserve">Original Sample </w:t>
            </w:r>
          </w:p>
        </w:tc>
        <w:tc>
          <w:tcPr>
            <w:tcW w:w="915" w:type="dxa"/>
            <w:tcBorders>
              <w:bottom w:val="single" w:sz="4" w:space="0" w:color="auto"/>
            </w:tcBorders>
            <w:shd w:val="clear" w:color="auto" w:fill="FFFFFF"/>
            <w:noWrap/>
            <w:vAlign w:val="center"/>
          </w:tcPr>
          <w:p w:rsidR="00181834" w:rsidRDefault="007329B5">
            <w:pPr>
              <w:spacing w:after="120"/>
              <w:rPr>
                <w:rFonts w:eastAsia="Times New Roman"/>
                <w:b/>
                <w:bCs/>
                <w:color w:val="000000"/>
                <w:sz w:val="22"/>
                <w:szCs w:val="22"/>
              </w:rPr>
            </w:pPr>
            <w:r>
              <w:rPr>
                <w:rFonts w:eastAsia="Times New Roman"/>
                <w:b/>
                <w:bCs/>
                <w:color w:val="000000"/>
                <w:sz w:val="22"/>
                <w:szCs w:val="22"/>
              </w:rPr>
              <w:t xml:space="preserve">Sample Mean </w:t>
            </w:r>
          </w:p>
        </w:tc>
        <w:tc>
          <w:tcPr>
            <w:tcW w:w="1215" w:type="dxa"/>
            <w:tcBorders>
              <w:bottom w:val="single" w:sz="4" w:space="0" w:color="auto"/>
            </w:tcBorders>
            <w:shd w:val="clear" w:color="auto" w:fill="FFFFFF"/>
            <w:noWrap/>
            <w:vAlign w:val="center"/>
          </w:tcPr>
          <w:p w:rsidR="00181834" w:rsidRDefault="007329B5">
            <w:pPr>
              <w:spacing w:after="120"/>
              <w:rPr>
                <w:rFonts w:eastAsia="Times New Roman"/>
                <w:b/>
                <w:bCs/>
                <w:color w:val="000000"/>
                <w:sz w:val="22"/>
                <w:szCs w:val="22"/>
              </w:rPr>
            </w:pPr>
            <w:r>
              <w:rPr>
                <w:rFonts w:eastAsia="Times New Roman"/>
                <w:b/>
                <w:bCs/>
                <w:color w:val="000000"/>
                <w:sz w:val="22"/>
                <w:szCs w:val="22"/>
              </w:rPr>
              <w:t>Standard Deviation</w:t>
            </w:r>
          </w:p>
        </w:tc>
        <w:tc>
          <w:tcPr>
            <w:tcW w:w="1050" w:type="dxa"/>
            <w:tcBorders>
              <w:bottom w:val="single" w:sz="4" w:space="0" w:color="auto"/>
            </w:tcBorders>
            <w:shd w:val="clear" w:color="auto" w:fill="FFFFFF"/>
            <w:noWrap/>
            <w:vAlign w:val="center"/>
          </w:tcPr>
          <w:p w:rsidR="00181834" w:rsidRDefault="007329B5">
            <w:pPr>
              <w:spacing w:after="120"/>
              <w:rPr>
                <w:rFonts w:eastAsia="Times New Roman"/>
                <w:b/>
                <w:bCs/>
                <w:color w:val="000000"/>
                <w:sz w:val="22"/>
                <w:szCs w:val="22"/>
              </w:rPr>
            </w:pPr>
            <w:r>
              <w:rPr>
                <w:rFonts w:eastAsia="Times New Roman"/>
                <w:b/>
                <w:bCs/>
                <w:color w:val="000000"/>
                <w:sz w:val="22"/>
                <w:szCs w:val="22"/>
              </w:rPr>
              <w:t xml:space="preserve">T Statistics </w:t>
            </w:r>
          </w:p>
        </w:tc>
        <w:tc>
          <w:tcPr>
            <w:tcW w:w="825" w:type="dxa"/>
            <w:tcBorders>
              <w:bottom w:val="single" w:sz="4" w:space="0" w:color="auto"/>
            </w:tcBorders>
            <w:shd w:val="clear" w:color="auto" w:fill="FFFFFF"/>
            <w:noWrap/>
            <w:vAlign w:val="center"/>
          </w:tcPr>
          <w:p w:rsidR="00181834" w:rsidRDefault="007329B5">
            <w:pPr>
              <w:spacing w:after="120"/>
              <w:rPr>
                <w:rFonts w:eastAsia="Times New Roman"/>
                <w:b/>
                <w:bCs/>
                <w:color w:val="000000"/>
                <w:sz w:val="22"/>
                <w:szCs w:val="22"/>
              </w:rPr>
            </w:pPr>
            <w:r>
              <w:rPr>
                <w:rFonts w:eastAsia="Times New Roman"/>
                <w:b/>
                <w:bCs/>
                <w:color w:val="000000"/>
                <w:sz w:val="22"/>
                <w:szCs w:val="22"/>
              </w:rPr>
              <w:t>P Values</w:t>
            </w:r>
          </w:p>
        </w:tc>
      </w:tr>
      <w:tr w:rsidR="00181834">
        <w:trPr>
          <w:trHeight w:val="510"/>
          <w:jc w:val="center"/>
        </w:trPr>
        <w:tc>
          <w:tcPr>
            <w:tcW w:w="2991" w:type="dxa"/>
            <w:tcBorders>
              <w:top w:val="single" w:sz="4" w:space="0" w:color="auto"/>
            </w:tcBorders>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Digital Competence (X1) -&gt; Teacher Performance (Z)</w:t>
            </w:r>
          </w:p>
        </w:tc>
        <w:tc>
          <w:tcPr>
            <w:tcW w:w="1320" w:type="dxa"/>
            <w:tcBorders>
              <w:top w:val="single" w:sz="4" w:space="0" w:color="auto"/>
            </w:tcBorders>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0,248</w:t>
            </w:r>
          </w:p>
        </w:tc>
        <w:tc>
          <w:tcPr>
            <w:tcW w:w="915" w:type="dxa"/>
            <w:tcBorders>
              <w:top w:val="single" w:sz="4" w:space="0" w:color="auto"/>
            </w:tcBorders>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0,246</w:t>
            </w:r>
          </w:p>
        </w:tc>
        <w:tc>
          <w:tcPr>
            <w:tcW w:w="1215" w:type="dxa"/>
            <w:tcBorders>
              <w:top w:val="single" w:sz="4" w:space="0" w:color="auto"/>
            </w:tcBorders>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0,048</w:t>
            </w:r>
          </w:p>
        </w:tc>
        <w:tc>
          <w:tcPr>
            <w:tcW w:w="1050" w:type="dxa"/>
            <w:tcBorders>
              <w:top w:val="single" w:sz="4" w:space="0" w:color="auto"/>
            </w:tcBorders>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5,200</w:t>
            </w:r>
          </w:p>
        </w:tc>
        <w:tc>
          <w:tcPr>
            <w:tcW w:w="825" w:type="dxa"/>
            <w:tcBorders>
              <w:top w:val="single" w:sz="4" w:space="0" w:color="auto"/>
            </w:tcBorders>
            <w:shd w:val="clear" w:color="auto" w:fill="FFFFFF"/>
            <w:noWrap/>
            <w:vAlign w:val="center"/>
          </w:tcPr>
          <w:p w:rsidR="00181834" w:rsidRDefault="007329B5">
            <w:pPr>
              <w:rPr>
                <w:rFonts w:eastAsia="Times New Roman"/>
                <w:sz w:val="22"/>
                <w:szCs w:val="22"/>
              </w:rPr>
            </w:pPr>
            <w:r>
              <w:rPr>
                <w:rFonts w:eastAsia="Times New Roman"/>
                <w:sz w:val="22"/>
                <w:szCs w:val="22"/>
              </w:rPr>
              <w:t>0,000</w:t>
            </w:r>
          </w:p>
        </w:tc>
      </w:tr>
      <w:tr w:rsidR="00181834">
        <w:trPr>
          <w:trHeight w:val="624"/>
          <w:jc w:val="center"/>
        </w:trPr>
        <w:tc>
          <w:tcPr>
            <w:tcW w:w="2991"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Intrinsic Satisfaction (X2) -&gt; Teacher Performance (Z)</w:t>
            </w:r>
          </w:p>
        </w:tc>
        <w:tc>
          <w:tcPr>
            <w:tcW w:w="132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0,312</w:t>
            </w:r>
          </w:p>
        </w:tc>
        <w:tc>
          <w:tcPr>
            <w:tcW w:w="9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0,310</w:t>
            </w:r>
          </w:p>
        </w:tc>
        <w:tc>
          <w:tcPr>
            <w:tcW w:w="12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0,057</w:t>
            </w:r>
          </w:p>
        </w:tc>
        <w:tc>
          <w:tcPr>
            <w:tcW w:w="105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5,420</w:t>
            </w:r>
          </w:p>
        </w:tc>
        <w:tc>
          <w:tcPr>
            <w:tcW w:w="825" w:type="dxa"/>
            <w:shd w:val="clear" w:color="auto" w:fill="FFFFFF"/>
            <w:noWrap/>
            <w:vAlign w:val="center"/>
          </w:tcPr>
          <w:p w:rsidR="00181834" w:rsidRDefault="007329B5">
            <w:pPr>
              <w:rPr>
                <w:rFonts w:eastAsia="Times New Roman"/>
                <w:sz w:val="22"/>
                <w:szCs w:val="22"/>
              </w:rPr>
            </w:pPr>
            <w:r>
              <w:rPr>
                <w:rFonts w:eastAsia="Times New Roman"/>
                <w:sz w:val="22"/>
                <w:szCs w:val="22"/>
              </w:rPr>
              <w:t>0,000</w:t>
            </w:r>
          </w:p>
        </w:tc>
      </w:tr>
      <w:tr w:rsidR="00181834">
        <w:trPr>
          <w:trHeight w:val="624"/>
          <w:jc w:val="center"/>
        </w:trPr>
        <w:tc>
          <w:tcPr>
            <w:tcW w:w="2991"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Digital Competence (X1) -&gt; Intrinsic Satisfaction (X2)</w:t>
            </w:r>
          </w:p>
        </w:tc>
        <w:tc>
          <w:tcPr>
            <w:tcW w:w="132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0,280</w:t>
            </w:r>
          </w:p>
        </w:tc>
        <w:tc>
          <w:tcPr>
            <w:tcW w:w="9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0,281</w:t>
            </w:r>
          </w:p>
        </w:tc>
        <w:tc>
          <w:tcPr>
            <w:tcW w:w="12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0,062</w:t>
            </w:r>
          </w:p>
        </w:tc>
        <w:tc>
          <w:tcPr>
            <w:tcW w:w="105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4,544</w:t>
            </w:r>
          </w:p>
        </w:tc>
        <w:tc>
          <w:tcPr>
            <w:tcW w:w="825" w:type="dxa"/>
            <w:shd w:val="clear" w:color="auto" w:fill="FFFFFF"/>
            <w:noWrap/>
            <w:vAlign w:val="center"/>
          </w:tcPr>
          <w:p w:rsidR="00181834" w:rsidRDefault="007329B5">
            <w:pPr>
              <w:rPr>
                <w:rFonts w:eastAsia="Times New Roman"/>
                <w:sz w:val="22"/>
                <w:szCs w:val="22"/>
              </w:rPr>
            </w:pPr>
            <w:r>
              <w:rPr>
                <w:rFonts w:eastAsia="Times New Roman"/>
                <w:sz w:val="22"/>
                <w:szCs w:val="22"/>
              </w:rPr>
              <w:t>0,000</w:t>
            </w:r>
          </w:p>
        </w:tc>
      </w:tr>
      <w:tr w:rsidR="00181834">
        <w:trPr>
          <w:trHeight w:val="624"/>
          <w:jc w:val="center"/>
        </w:trPr>
        <w:tc>
          <w:tcPr>
            <w:tcW w:w="2991"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Digital Competence (X1) -&gt; Leader-Member Exchange (Y)</w:t>
            </w:r>
          </w:p>
        </w:tc>
        <w:tc>
          <w:tcPr>
            <w:tcW w:w="132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0,295</w:t>
            </w:r>
          </w:p>
        </w:tc>
        <w:tc>
          <w:tcPr>
            <w:tcW w:w="9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0,296</w:t>
            </w:r>
          </w:p>
        </w:tc>
        <w:tc>
          <w:tcPr>
            <w:tcW w:w="12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0,057</w:t>
            </w:r>
          </w:p>
        </w:tc>
        <w:tc>
          <w:tcPr>
            <w:tcW w:w="105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5,216</w:t>
            </w:r>
          </w:p>
        </w:tc>
        <w:tc>
          <w:tcPr>
            <w:tcW w:w="825" w:type="dxa"/>
            <w:shd w:val="clear" w:color="auto" w:fill="FFFFFF"/>
            <w:noWrap/>
            <w:vAlign w:val="center"/>
          </w:tcPr>
          <w:p w:rsidR="00181834" w:rsidRDefault="007329B5">
            <w:pPr>
              <w:rPr>
                <w:rFonts w:eastAsia="Times New Roman"/>
                <w:sz w:val="22"/>
                <w:szCs w:val="22"/>
              </w:rPr>
            </w:pPr>
            <w:r>
              <w:rPr>
                <w:rFonts w:eastAsia="Times New Roman"/>
                <w:sz w:val="22"/>
                <w:szCs w:val="22"/>
              </w:rPr>
              <w:t>0,000</w:t>
            </w:r>
          </w:p>
        </w:tc>
      </w:tr>
      <w:tr w:rsidR="00181834">
        <w:trPr>
          <w:trHeight w:val="510"/>
          <w:jc w:val="center"/>
        </w:trPr>
        <w:tc>
          <w:tcPr>
            <w:tcW w:w="2991"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Intrinsic Satisfaction (X2) -&gt; Leader-Member Exchange (Y)</w:t>
            </w:r>
          </w:p>
        </w:tc>
        <w:tc>
          <w:tcPr>
            <w:tcW w:w="132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0,477</w:t>
            </w:r>
          </w:p>
        </w:tc>
        <w:tc>
          <w:tcPr>
            <w:tcW w:w="9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0,479</w:t>
            </w:r>
          </w:p>
        </w:tc>
        <w:tc>
          <w:tcPr>
            <w:tcW w:w="12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0,053</w:t>
            </w:r>
          </w:p>
        </w:tc>
        <w:tc>
          <w:tcPr>
            <w:tcW w:w="105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9,000</w:t>
            </w:r>
          </w:p>
        </w:tc>
        <w:tc>
          <w:tcPr>
            <w:tcW w:w="825" w:type="dxa"/>
            <w:shd w:val="clear" w:color="auto" w:fill="FFFFFF"/>
            <w:noWrap/>
            <w:vAlign w:val="center"/>
          </w:tcPr>
          <w:p w:rsidR="00181834" w:rsidRDefault="007329B5">
            <w:pPr>
              <w:rPr>
                <w:rFonts w:eastAsia="Times New Roman"/>
                <w:sz w:val="22"/>
                <w:szCs w:val="22"/>
              </w:rPr>
            </w:pPr>
            <w:r>
              <w:rPr>
                <w:rFonts w:eastAsia="Times New Roman"/>
                <w:sz w:val="22"/>
                <w:szCs w:val="22"/>
              </w:rPr>
              <w:t>0,000</w:t>
            </w:r>
          </w:p>
        </w:tc>
      </w:tr>
      <w:tr w:rsidR="00181834">
        <w:trPr>
          <w:trHeight w:val="567"/>
          <w:jc w:val="center"/>
        </w:trPr>
        <w:tc>
          <w:tcPr>
            <w:tcW w:w="2991"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Leader-Member Exchange (Y) -&gt; Teacher Performance (Z)</w:t>
            </w:r>
          </w:p>
        </w:tc>
        <w:tc>
          <w:tcPr>
            <w:tcW w:w="132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0,377</w:t>
            </w:r>
          </w:p>
        </w:tc>
        <w:tc>
          <w:tcPr>
            <w:tcW w:w="9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0,382</w:t>
            </w:r>
          </w:p>
        </w:tc>
        <w:tc>
          <w:tcPr>
            <w:tcW w:w="12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0,064</w:t>
            </w:r>
          </w:p>
        </w:tc>
        <w:tc>
          <w:tcPr>
            <w:tcW w:w="105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5,878</w:t>
            </w:r>
          </w:p>
        </w:tc>
        <w:tc>
          <w:tcPr>
            <w:tcW w:w="825" w:type="dxa"/>
            <w:shd w:val="clear" w:color="auto" w:fill="FFFFFF"/>
            <w:noWrap/>
            <w:vAlign w:val="center"/>
          </w:tcPr>
          <w:p w:rsidR="00181834" w:rsidRDefault="007329B5">
            <w:pPr>
              <w:rPr>
                <w:rFonts w:eastAsia="Times New Roman"/>
                <w:sz w:val="22"/>
                <w:szCs w:val="22"/>
              </w:rPr>
            </w:pPr>
            <w:r>
              <w:rPr>
                <w:rFonts w:eastAsia="Times New Roman"/>
                <w:sz w:val="22"/>
                <w:szCs w:val="22"/>
              </w:rPr>
              <w:t>0,000</w:t>
            </w:r>
          </w:p>
        </w:tc>
      </w:tr>
      <w:tr w:rsidR="00181834">
        <w:trPr>
          <w:trHeight w:val="850"/>
          <w:jc w:val="center"/>
        </w:trPr>
        <w:tc>
          <w:tcPr>
            <w:tcW w:w="2991"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Digital Competence (X1) -&gt; Leader-Member Exchange (Y) -&gt; Teacher Performance (Z)</w:t>
            </w:r>
          </w:p>
        </w:tc>
        <w:tc>
          <w:tcPr>
            <w:tcW w:w="132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0,111</w:t>
            </w:r>
          </w:p>
        </w:tc>
        <w:tc>
          <w:tcPr>
            <w:tcW w:w="9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0,113</w:t>
            </w:r>
          </w:p>
        </w:tc>
        <w:tc>
          <w:tcPr>
            <w:tcW w:w="12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0,031</w:t>
            </w:r>
          </w:p>
        </w:tc>
        <w:tc>
          <w:tcPr>
            <w:tcW w:w="105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3,585</w:t>
            </w:r>
          </w:p>
        </w:tc>
        <w:tc>
          <w:tcPr>
            <w:tcW w:w="825" w:type="dxa"/>
            <w:shd w:val="clear" w:color="auto" w:fill="FFFFFF"/>
            <w:noWrap/>
            <w:vAlign w:val="center"/>
          </w:tcPr>
          <w:p w:rsidR="00181834" w:rsidRDefault="007329B5">
            <w:pPr>
              <w:rPr>
                <w:rFonts w:eastAsia="Times New Roman"/>
                <w:sz w:val="22"/>
                <w:szCs w:val="22"/>
              </w:rPr>
            </w:pPr>
            <w:r>
              <w:rPr>
                <w:rFonts w:eastAsia="Times New Roman"/>
                <w:sz w:val="22"/>
                <w:szCs w:val="22"/>
              </w:rPr>
              <w:t>0,000</w:t>
            </w:r>
          </w:p>
        </w:tc>
      </w:tr>
      <w:tr w:rsidR="00181834">
        <w:trPr>
          <w:trHeight w:val="794"/>
          <w:jc w:val="center"/>
        </w:trPr>
        <w:tc>
          <w:tcPr>
            <w:tcW w:w="2991"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Intrinsic Satisfaction (X2) -&gt; Leader-Member Exchange (Y) -&gt; Teacher Performance (Z)</w:t>
            </w:r>
          </w:p>
        </w:tc>
        <w:tc>
          <w:tcPr>
            <w:tcW w:w="132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0,180</w:t>
            </w:r>
          </w:p>
        </w:tc>
        <w:tc>
          <w:tcPr>
            <w:tcW w:w="9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0,183</w:t>
            </w:r>
          </w:p>
        </w:tc>
        <w:tc>
          <w:tcPr>
            <w:tcW w:w="1215"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0,037</w:t>
            </w:r>
          </w:p>
        </w:tc>
        <w:tc>
          <w:tcPr>
            <w:tcW w:w="1050" w:type="dxa"/>
            <w:shd w:val="clear" w:color="auto" w:fill="FFFFFF"/>
            <w:noWrap/>
            <w:vAlign w:val="center"/>
          </w:tcPr>
          <w:p w:rsidR="00181834" w:rsidRDefault="007329B5">
            <w:pPr>
              <w:rPr>
                <w:rFonts w:eastAsia="Times New Roman"/>
                <w:color w:val="000000"/>
                <w:sz w:val="22"/>
                <w:szCs w:val="22"/>
              </w:rPr>
            </w:pPr>
            <w:r>
              <w:rPr>
                <w:rFonts w:eastAsia="Times New Roman"/>
                <w:color w:val="000000"/>
                <w:sz w:val="22"/>
                <w:szCs w:val="22"/>
              </w:rPr>
              <w:t>4,840</w:t>
            </w:r>
          </w:p>
        </w:tc>
        <w:tc>
          <w:tcPr>
            <w:tcW w:w="825" w:type="dxa"/>
            <w:shd w:val="clear" w:color="auto" w:fill="FFFFFF"/>
            <w:noWrap/>
            <w:vAlign w:val="center"/>
          </w:tcPr>
          <w:p w:rsidR="00181834" w:rsidRDefault="007329B5">
            <w:pPr>
              <w:rPr>
                <w:rFonts w:eastAsia="Times New Roman"/>
                <w:sz w:val="22"/>
                <w:szCs w:val="22"/>
              </w:rPr>
            </w:pPr>
            <w:r>
              <w:rPr>
                <w:rFonts w:eastAsia="Times New Roman"/>
                <w:sz w:val="22"/>
                <w:szCs w:val="22"/>
              </w:rPr>
              <w:t>0,000</w:t>
            </w:r>
          </w:p>
        </w:tc>
      </w:tr>
    </w:tbl>
    <w:p w:rsidR="00181834" w:rsidRDefault="007329B5">
      <w:pPr>
        <w:spacing w:after="60"/>
        <w:rPr>
          <w:i/>
          <w:sz w:val="20"/>
          <w:szCs w:val="20"/>
        </w:rPr>
      </w:pPr>
      <w:r>
        <w:rPr>
          <w:i/>
          <w:sz w:val="20"/>
          <w:szCs w:val="20"/>
        </w:rPr>
        <w:t>Source: Result SEM PLS</w:t>
      </w:r>
    </w:p>
    <w:p w:rsidR="00181834" w:rsidRDefault="007329B5">
      <w:pPr>
        <w:spacing w:after="60"/>
        <w:ind w:firstLine="454"/>
        <w:jc w:val="both"/>
        <w:rPr>
          <w:rFonts w:eastAsia="Times New Roman"/>
          <w:color w:val="000000"/>
        </w:rPr>
      </w:pPr>
      <w:r>
        <w:rPr>
          <w:rFonts w:eastAsia="Times New Roman"/>
          <w:color w:val="000000"/>
        </w:rPr>
        <w:t>Table 8 indicates that Digital Competence (X1) and Intrinsic Satisfaction (X2) positively influence Teacher Performance (Z), both directly and through LMX (Y).</w:t>
      </w:r>
    </w:p>
    <w:p w:rsidR="002126BC" w:rsidRPr="002126BC" w:rsidRDefault="002126BC" w:rsidP="002126BC">
      <w:pPr>
        <w:spacing w:after="60"/>
        <w:jc w:val="both"/>
        <w:rPr>
          <w:rFonts w:eastAsia="Times New Roman"/>
          <w:b/>
          <w:color w:val="000000"/>
        </w:rPr>
      </w:pPr>
      <w:r w:rsidRPr="002126BC">
        <w:rPr>
          <w:rFonts w:eastAsia="Times New Roman"/>
          <w:b/>
          <w:color w:val="000000"/>
        </w:rPr>
        <w:t>Discussion and Implications</w:t>
      </w:r>
    </w:p>
    <w:p w:rsidR="00181834" w:rsidRDefault="007329B5">
      <w:pPr>
        <w:spacing w:before="40" w:after="40"/>
        <w:ind w:firstLine="454"/>
        <w:jc w:val="both"/>
        <w:rPr>
          <w:rFonts w:eastAsia="Times New Roman"/>
          <w:color w:val="000000"/>
        </w:rPr>
      </w:pPr>
      <w:r>
        <w:rPr>
          <w:rFonts w:eastAsia="Times New Roman"/>
          <w:color w:val="000000"/>
        </w:rPr>
        <w:t xml:space="preserve">First hypothesis, the finding that digital competence influences teacher performance is consistent with </w:t>
      </w:r>
      <w:r>
        <w:rPr>
          <w:rFonts w:eastAsia="Times New Roman"/>
          <w:color w:val="000000"/>
        </w:rPr>
        <w:fldChar w:fldCharType="begin" w:fldLock="1"/>
      </w:r>
      <w:r>
        <w:rPr>
          <w:rFonts w:eastAsia="Times New Roman"/>
          <w:color w:val="000000"/>
        </w:rPr>
        <w:instrText>ADDIN CSL_CITATION {"citationItems":[{"id":"ITEM-1","itemData":{"DOI":"10.1080/08856257.2023.2216573","ISSN":"0885-6257","author":[{"dropping-particle":"","family":"Montenegro-Rueda","given":"Marta","non-dropping-particle":"","parse-names":false,"suffix":""},{"dropping-particle":"","family":"Fernández-Batanero","given":"José María","non-dropping-particle":"","parse-names":false,"suffix":""}],"container-title":"European Journal of Special Needs Education","id":"ITEM-1","issue":"3","issued":{"date-parts":[["2024","5","3"]]},"page":"367-382","title":"Adaptation and validation of an instrument for assessing the digital competence of special education teachers","type":"article-journal","volume":"39"},"uris":["http://www.mendeley.com/documents/?uuid=11ae87c5-4f56-3a37-9cf5-2b4ad19270f2"]}],"mendeley":{"formattedCitation":"(Montenegro-Rueda &amp; Fernández-Batanero, 2024)","plainTextFormattedCitation":"(Montenegro-Rueda &amp; Fernández-Batanero, 2024)","previouslyFormattedCitation":"(Montenegro-Rueda &amp; Fernández-Batanero, 2024)"},"properties":{"noteIndex":0},"schema":"https://github.com/citation-style-language/schema/raw/master/csl-citation.json"}</w:instrText>
      </w:r>
      <w:r>
        <w:rPr>
          <w:rFonts w:eastAsia="Times New Roman"/>
          <w:color w:val="000000"/>
        </w:rPr>
        <w:fldChar w:fldCharType="separate"/>
      </w:r>
      <w:r>
        <w:rPr>
          <w:rFonts w:eastAsia="Times New Roman"/>
          <w:color w:val="000000"/>
        </w:rPr>
        <w:t>(Montenegro-Rueda &amp; Fernández-Batanero, 2024)</w:t>
      </w:r>
      <w:r>
        <w:rPr>
          <w:rFonts w:eastAsia="Times New Roman"/>
          <w:color w:val="000000"/>
        </w:rPr>
        <w:fldChar w:fldCharType="end"/>
      </w:r>
      <w:r>
        <w:rPr>
          <w:rFonts w:eastAsia="Times New Roman"/>
          <w:color w:val="000000"/>
        </w:rPr>
        <w:t>, who emphasize that professionalism is strengthened through the use of ICT. Digital competence drives educational transformation, active learning, and better teacher performance (</w:t>
      </w:r>
      <w:r>
        <w:rPr>
          <w:rFonts w:eastAsia="Times New Roman"/>
          <w:color w:val="000000"/>
        </w:rPr>
        <w:fldChar w:fldCharType="begin" w:fldLock="1"/>
      </w:r>
      <w:r>
        <w:rPr>
          <w:rFonts w:eastAsia="Times New Roman"/>
          <w:color w:val="000000"/>
        </w:rPr>
        <w:instrText>ADDIN CSL_CITATION {"citationItems":[{"id":"ITEM-1","itemData":{"DOI":"10.1007/s10639-023-11848-9","ISBN":"0123456789","abstract":"Teachers' digital competence (DC) is an important condition for the effective application of technology in education. Although several DC tools have been designed, adjustments to digital education and pedagogical or professional components are still scarce. Therefore, this study aims at developing a new instrument for assessing teachers' DC regarding their pedagogical and professional activities in the context of digital school and digital education. The study also examines the teachers' total DC scores and explores the differences between teacher profiles on a sample of 845 teachers in primary and secondary education in Greece. The final instrument comprises 20 items allocated in six components: 1) Teaching preparation; 2) Teaching delivery &amp; students' support; 3) Teaching evaluation &amp; revision; 4) Professional development; 5) School's development; and 6) Innovating education. The PLS-SEM analysis indicated the validity and reliability of the model in respect to its facto-rial structure, internal consistency, convergence validity, and model fitness. The results revealed DC inefficiency among teachers in Greece. Primary school teachers reported significantly lower scores in Professional development and Teaching delivery &amp; students support. Female teachers reported significantly lower scores in Innovating education and School's development, but they reported higher scores in Professional development. The contribution and practical implications are discussed in the paper.","author":[{"dropping-particle":"","family":"Tzafilkou","given":"Katerina","non-dropping-particle":"","parse-names":false,"suffix":""},{"dropping-particle":"","family":"Perifanou","given":"Maria","non-dropping-particle":"","parse-names":false,"suffix":""},{"dropping-particle":"","family":"Anastasios","given":"·","non-dropping-particle":"","parse-names":false,"suffix":""},{"dropping-particle":"","family":"Economides","given":"A","non-dropping-particle":"","parse-names":false,"suffix":""}],"container-title":"Education and Information Technologies","id":"ITEM-1","issued":{"date-parts":[["2023"]]},"page":"16017-16040","title":"Assessing teachers' digital competence in primary and secondary education: Applying a new instrument to integrate pedagogical and professional elements for digital education","type":"article-journal","volume":"28"},"uris":["http://www.mendeley.com/documents/?uuid=5a4c2e31-58ff-36aa-b67b-69454d4bedfd"]}],"mendeley":{"formattedCitation":"(Tzafilkou et al., 2023)","manualFormatting":"Tzafilkou et al., (2023)","plainTextFormattedCitation":"(Tzafilkou et al., 2023)","previouslyFormattedCitation":"(Tzafilkou et al., 2023)"},"properties":{"noteIndex":0},"schema":"https://github.com/citation-style-language/schema/raw/master/csl-citation.json"}</w:instrText>
      </w:r>
      <w:r>
        <w:rPr>
          <w:rFonts w:eastAsia="Times New Roman"/>
          <w:color w:val="000000"/>
        </w:rPr>
        <w:fldChar w:fldCharType="separate"/>
      </w:r>
      <w:r>
        <w:rPr>
          <w:rFonts w:eastAsia="Times New Roman"/>
          <w:color w:val="000000"/>
        </w:rPr>
        <w:t>Tzafilkou et al., 2023;Beardsley et al., 2021; Gisbert Cervera &amp; Caena, 2022)</w:t>
      </w:r>
      <w:r>
        <w:rPr>
          <w:rFonts w:eastAsia="Times New Roman"/>
          <w:color w:val="000000"/>
        </w:rPr>
        <w:fldChar w:fldCharType="end"/>
      </w:r>
      <w:r>
        <w:rPr>
          <w:rFonts w:eastAsia="Times New Roman"/>
          <w:color w:val="000000"/>
        </w:rPr>
        <w:t xml:space="preserve"> </w:t>
      </w:r>
    </w:p>
    <w:p w:rsidR="00181834" w:rsidRDefault="007329B5">
      <w:pPr>
        <w:spacing w:before="40" w:after="40"/>
        <w:ind w:firstLine="454"/>
        <w:jc w:val="both"/>
        <w:rPr>
          <w:rFonts w:eastAsia="Times New Roman"/>
          <w:color w:val="000000"/>
        </w:rPr>
      </w:pPr>
      <w:r>
        <w:rPr>
          <w:rFonts w:eastAsia="Times New Roman"/>
          <w:color w:val="000000"/>
        </w:rPr>
        <w:t xml:space="preserve">Second hypothesis, intrinsic satisfaction positively affects teacher performance, as satisfied teachers are more motivated to teach effectively </w:t>
      </w:r>
      <w:r>
        <w:rPr>
          <w:rFonts w:eastAsia="Times New Roman"/>
          <w:color w:val="000000"/>
        </w:rPr>
        <w:lastRenderedPageBreak/>
        <w:fldChar w:fldCharType="begin" w:fldLock="1"/>
      </w:r>
      <w:r>
        <w:rPr>
          <w:rFonts w:eastAsia="Times New Roman"/>
          <w:color w:val="000000"/>
        </w:rPr>
        <w:instrText>ADDIN CSL_CITATION {"citationItems":[{"id":"ITEM-1","itemData":{"DOI":"10.1186/s40359-025-02471-z","ISSN":"2050-7283","author":[{"dropping-particle":"","family":"Muñoz-Fernández","given":"Guzmán Antonio","non-dropping-particle":"","parse-names":false,"suffix":""},{"dropping-particle":"","family":"Toala-Mendoza","given":"Rossana Dolores","non-dropping-particle":"","parse-names":false,"suffix":""},{"dropping-particle":"","family":"González-Mohíno","given":"Miguel","non-dropping-particle":"","parse-names":false,"suffix":""},{"dropping-particle":"","family":"Félix-López","given":"Miryam Elizabeth","non-dropping-particle":"","parse-names":false,"suffix":""}],"container-title":"BMC Psychology","id":"ITEM-1","issue":"1","issued":{"date-parts":[["2025","2","18"]]},"page":"134","title":"Unveiling the nexus of teacher commitment and job satisfaction: insights from Ecuador's educational landscape","type":"article-journal","volume":"13"},"uris":["http://www.mendeley.com/documents/?uuid=609bf21c-d2dc-3cef-9b96-640d953de481"]}],"mendeley":{"formattedCitation":"(Muñoz-Fernández et al., 2025)","plainTextFormattedCitation":"(Muñoz-Fernández et al., 2025)","previouslyFormattedCitation":"(Muñoz-Fernández et al., 2025)"},"properties":{"noteIndex":0},"schema":"https://github.com/citation-style-language/schema/raw/master/csl-citation.json"}</w:instrText>
      </w:r>
      <w:r>
        <w:rPr>
          <w:rFonts w:eastAsia="Times New Roman"/>
          <w:color w:val="000000"/>
        </w:rPr>
        <w:fldChar w:fldCharType="separate"/>
      </w:r>
      <w:r>
        <w:rPr>
          <w:rFonts w:eastAsia="Times New Roman"/>
          <w:color w:val="000000"/>
        </w:rPr>
        <w:t>(Muñoz-Fernández et al., 2025)</w:t>
      </w:r>
      <w:r>
        <w:rPr>
          <w:rFonts w:eastAsia="Times New Roman"/>
          <w:color w:val="000000"/>
        </w:rPr>
        <w:fldChar w:fldCharType="end"/>
      </w:r>
      <w:r>
        <w:rPr>
          <w:rFonts w:eastAsia="Times New Roman"/>
          <w:color w:val="000000"/>
        </w:rPr>
        <w:t xml:space="preserve">. Fulfillment of psychological needs, achievement, and recognition drives motivation, while meaningful work enhances satisfaction, productivity, loyalty, and dedication </w:t>
      </w:r>
      <w:r>
        <w:rPr>
          <w:rFonts w:eastAsia="Times New Roman"/>
          <w:color w:val="000000"/>
        </w:rPr>
        <w:fldChar w:fldCharType="begin" w:fldLock="1"/>
      </w:r>
      <w:r>
        <w:rPr>
          <w:rFonts w:eastAsia="Times New Roman"/>
          <w:color w:val="000000"/>
        </w:rPr>
        <w:instrText>ADDIN CSL_CITATION {"citationItems":[{"id":"ITEM-1","itemData":{"DOI":"10.1016/j.heliyon.2021.e07193","ISSN":"24058440","author":[{"dropping-particle":"","family":"Sadeghi","given":"Karim","non-dropping-particle":"","parse-names":false,"suffix":""},{"dropping-particle":"","family":"Ghaderi","given":"Farah","non-dropping-particle":"","parse-names":false,"suffix":""},{"dropping-particle":"","family":"Abdollahpour","given":"Zahra","non-dropping-particle":"","parse-names":false,"suffix":""}],"container-title":"Heliyon","id":"ITEM-1","issue":"6","issued":{"date-parts":[["2021","6"]]},"page":"e07193","title":"Self-reported teaching effectiveness and job satisfaction among teachers: the role of subject matter and other demographic variables","type":"article-journal","volume":"7"},"uris":["http://www.mendeley.com/documents/?uuid=98133c20-9758-3c35-8ed0-5446ba4459fd"]}],"mendeley":{"formattedCitation":"(Sadeghi et al., 2021)","manualFormatting":"(Sadeghi et al., 2021; Lopes &amp; Oliveira, 2020)","plainTextFormattedCitation":"(Sadeghi et al., 2021)","previouslyFormattedCitation":"(Sadeghi et al., 2021)"},"properties":{"noteIndex":0},"schema":"https://github.com/citation-style-language/schema/raw/master/csl-citation.json"}</w:instrText>
      </w:r>
      <w:r>
        <w:rPr>
          <w:rFonts w:eastAsia="Times New Roman"/>
          <w:color w:val="000000"/>
        </w:rPr>
        <w:fldChar w:fldCharType="separate"/>
      </w:r>
      <w:r>
        <w:rPr>
          <w:rFonts w:eastAsia="Times New Roman"/>
          <w:color w:val="000000"/>
        </w:rPr>
        <w:t>(Sadeghi et al., 2021; Lopes &amp; Oliveira, 2020)</w:t>
      </w:r>
      <w:r>
        <w:rPr>
          <w:rFonts w:eastAsia="Times New Roman"/>
          <w:color w:val="000000"/>
        </w:rPr>
        <w:fldChar w:fldCharType="end"/>
      </w:r>
      <w:r>
        <w:rPr>
          <w:rFonts w:eastAsia="Times New Roman"/>
          <w:color w:val="000000"/>
        </w:rPr>
        <w:t xml:space="preserve">. </w:t>
      </w:r>
    </w:p>
    <w:p w:rsidR="00181834" w:rsidRDefault="007329B5">
      <w:pPr>
        <w:spacing w:before="40" w:after="40"/>
        <w:ind w:firstLine="454"/>
        <w:jc w:val="both"/>
        <w:rPr>
          <w:rFonts w:eastAsia="Times New Roman"/>
          <w:color w:val="000000"/>
        </w:rPr>
      </w:pPr>
      <w:r>
        <w:rPr>
          <w:rFonts w:eastAsia="Times New Roman"/>
          <w:color w:val="000000"/>
        </w:rPr>
        <w:t xml:space="preserve">Third hypothesis, digital competence has a positive effect on teachers’ intrinsic satisfaction, as effective use of technology enhances satisfaction and empowerment </w:t>
      </w:r>
      <w:r>
        <w:rPr>
          <w:rFonts w:eastAsia="Times New Roman"/>
          <w:color w:val="000000"/>
        </w:rPr>
        <w:fldChar w:fldCharType="begin" w:fldLock="1"/>
      </w:r>
      <w:r>
        <w:rPr>
          <w:rFonts w:eastAsia="Times New Roman"/>
          <w:color w:val="000000"/>
        </w:rPr>
        <w:instrText>ADDIN CSL_CITATION {"citationItems":[{"id":"ITEM-1","itemData":{"DOI":"10.1111/ejed.12674","ISSN":"0141-8211","abstract":"&lt;p&gt; Technology in the classroom can facilitate learning, but little is known about how the motivational climate set by teachers shapes its impacts on students. Informed by self‐determination theory, the current study explored technology use in English language classrooms to understand how autonomy‐supportive and structured teaching styles influenced positive outcomes of classroom technology use. Teachers ( &lt;italic&gt;N&lt;/italic&gt;  = 101) reported on technology use and motivational styles, and students ( &lt;italic&gt;N&lt;/italic&gt;  = 550) aged 9–16 years reported on basic psychological needs satisfaction (autonomy, relatedness and competence) and academic well‐being (interest and effort). Findings of nested models showed no direct benefits for the amount of technology use; more autonomous teaching style and low structure linked to students' need satisfaction and interest. Beyond these main effects, when teachers were more autonomous, using technology enhanced student need satisfaction and interest; the combination of both was most beneficial for these student outcomes. Counter to expectations, when teachers had &lt;italic&gt;low&lt;/italic&gt; structure technology use enhanced their impact on students. Findings suggest that to optimize student well‐being and interest in learning, teachers benefit from combining autonomy‐supportive education styles and technology use. &lt;/p&gt;","author":[{"dropping-particle":"","family":"David","given":"Loukia","non-dropping-particle":"","parse-names":false,"suffix":""},{"dropping-particle":"","family":"Weinstein","given":"Netta","non-dropping-particle":"","parse-names":false,"suffix":""}],"container-title":"European Journal of Education","id":"ITEM-1","issue":"4","issued":{"date-parts":[["2024","12","11"]]},"title":"The how and how much of technology use in the classroom: A motivational approach to teachers' technology use","type":"article-journal","volume":"59"},"uris":["http://www.mendeley.com/documents/?uuid=bbd3852c-62a4-3277-a1e3-b5d3676fea62"]}],"mendeley":{"formattedCitation":"(David &amp; Weinstein, 2024a)","manualFormatting":"(David &amp; Weinstein, 2024a; Panakaje et al., 2024)","plainTextFormattedCitation":"(David &amp; Weinstein, 2024a)","previouslyFormattedCitation":"(David &amp; Weinstein, 2024a)"},"properties":{"noteIndex":0},"schema":"https://github.com/citation-style-language/schema/raw/master/csl-citation.json"}</w:instrText>
      </w:r>
      <w:r>
        <w:rPr>
          <w:rFonts w:eastAsia="Times New Roman"/>
          <w:color w:val="000000"/>
        </w:rPr>
        <w:fldChar w:fldCharType="separate"/>
      </w:r>
      <w:r>
        <w:rPr>
          <w:rFonts w:eastAsia="Times New Roman"/>
          <w:color w:val="000000"/>
        </w:rPr>
        <w:t>(David &amp; Weinstein, 2024a; Panakaje et al., 2024)</w:t>
      </w:r>
      <w:r>
        <w:rPr>
          <w:rFonts w:eastAsia="Times New Roman"/>
          <w:color w:val="000000"/>
        </w:rPr>
        <w:fldChar w:fldCharType="end"/>
      </w:r>
      <w:r>
        <w:rPr>
          <w:rFonts w:eastAsia="Times New Roman"/>
          <w:color w:val="000000"/>
        </w:rPr>
        <w:t xml:space="preserve">. Technology integration boosts motivation and self-efficacy, while digital competence is a key pillar of teacher professionalism </w:t>
      </w:r>
      <w:r>
        <w:rPr>
          <w:rFonts w:eastAsia="Times New Roman"/>
          <w:color w:val="000000"/>
        </w:rPr>
        <w:fldChar w:fldCharType="begin" w:fldLock="1"/>
      </w:r>
      <w:r>
        <w:rPr>
          <w:rFonts w:eastAsia="Times New Roman"/>
          <w:color w:val="000000"/>
        </w:rPr>
        <w:instrText>ADDIN CSL_CITATION {"citationItems":[{"id":"ITEM-1","itemData":{"DOI":"10.1007/s10639-023-12338-8","ISSN":"1360-2357","abstract":"&lt;p&gt;This research paper introduces the (D)FIT-Choice (Digital Factors Influencing Teacher Choice) scale and discusses the outcomes of its initial implementation. The (D)FIT-Choice scale expands upon the existing FIT-Choice scale by incorporating additional subscales, namely “Prior digital technology use in education” within Socialization Influences, “Perceived digital teaching competence” within Self-perceptions, and “Contribute to the digital transformation” within Social Utility Value. “Intrinsic value subject” has also been incorporated within Intrinsic Value, and other items have been improved. By administering the (D)FIT-Choice scale to a sample of 506 student teachers, its validity and reliability as an assessment tool were established. The results indicate that digital factors are not prominent drivers for individuals choosing to pursue a career in teaching. Instead, higher levels of digital motivation are associated with the practical benefits of the job rather than with teaching-related intentions. These findings hold implications for teacher training, emphasizing the importance of understanding student teachers’ motivations concerning digital technology and adequately preparing future educators for the present and future digital educational landscape.&lt;/p&gt;","author":[{"dropping-particle":"","family":"Martínez-Moreno","given":"Judit","non-dropping-particle":"","parse-names":false,"suffix":""},{"dropping-particle":"","family":"Petko","given":"Dominik","non-dropping-particle":"","parse-names":false,"suffix":""}],"container-title":"Education and Information Technologies","id":"ITEM-1","issue":"11","issued":{"date-parts":[["2024","8","13"]]},"page":"13221-13245","title":"Motives for becoming a teacher in times of digital change: Development and validation of the (D)FIT-Choice scale","type":"article-journal","volume":"29"},"uris":["http://www.mendeley.com/documents/?uuid=79a2b6d8-58ec-3b79-ba1f-f82544e1b1d6"]}],"mendeley":{"formattedCitation":"(Martínez-Moreno &amp; Petko, 2024)","plainTextFormattedCitation":"(Martínez-Moreno &amp; Petko, 2024)","previouslyFormattedCitation":"(Martínez-Moreno &amp; Petko, 2024)"},"properties":{"noteIndex":0},"schema":"https://github.com/citation-style-language/schema/raw/master/csl-citation.json"}</w:instrText>
      </w:r>
      <w:r>
        <w:rPr>
          <w:rFonts w:eastAsia="Times New Roman"/>
          <w:color w:val="000000"/>
        </w:rPr>
        <w:fldChar w:fldCharType="separate"/>
      </w:r>
      <w:r>
        <w:rPr>
          <w:rFonts w:eastAsia="Times New Roman"/>
          <w:color w:val="000000"/>
        </w:rPr>
        <w:t>(Martínez-Moreno &amp; Petko, 2024; Guillén-Gámez et al., 2025 )</w:t>
      </w:r>
      <w:r>
        <w:rPr>
          <w:rFonts w:eastAsia="Times New Roman"/>
          <w:color w:val="000000"/>
        </w:rPr>
        <w:fldChar w:fldCharType="end"/>
      </w:r>
      <w:r>
        <w:rPr>
          <w:rFonts w:eastAsia="Times New Roman"/>
          <w:color w:val="000000"/>
        </w:rPr>
        <w:t>.</w:t>
      </w:r>
    </w:p>
    <w:p w:rsidR="00181834" w:rsidRDefault="007329B5">
      <w:pPr>
        <w:spacing w:before="40" w:after="40"/>
        <w:ind w:firstLine="454"/>
        <w:jc w:val="both"/>
        <w:rPr>
          <w:rFonts w:eastAsia="Times New Roman"/>
          <w:color w:val="000000"/>
        </w:rPr>
      </w:pPr>
      <w:r>
        <w:rPr>
          <w:rFonts w:eastAsia="Times New Roman"/>
          <w:color w:val="000000"/>
        </w:rPr>
        <w:t>Fourth hypothesis, Digital competence positively affects LMX, as technologically skilled teachers communicate openly and collaborate in decision-</w:t>
      </w:r>
      <w:proofErr w:type="spellStart"/>
      <w:r>
        <w:rPr>
          <w:rFonts w:eastAsia="Times New Roman"/>
          <w:color w:val="000000"/>
        </w:rPr>
        <w:t>making.Technology</w:t>
      </w:r>
      <w:proofErr w:type="spellEnd"/>
      <w:r>
        <w:rPr>
          <w:rFonts w:eastAsia="Times New Roman"/>
          <w:color w:val="000000"/>
        </w:rPr>
        <w:t xml:space="preserve">-based interactions strengthen trust, engagement, and team performance </w:t>
      </w:r>
      <w:r>
        <w:rPr>
          <w:rFonts w:eastAsia="Times New Roman"/>
          <w:color w:val="000000"/>
        </w:rPr>
        <w:fldChar w:fldCharType="begin" w:fldLock="1"/>
      </w:r>
      <w:r>
        <w:rPr>
          <w:rFonts w:eastAsia="Times New Roman"/>
          <w:color w:val="000000"/>
        </w:rPr>
        <w:instrText>ADDIN CSL_CITATION {"citationItems":[{"id":"ITEM-1","itemData":{"DOI":"10.3389/fpsyg.2025.1514700","abstract":"Introduction: The growing focus on teaching research in higher education due to rapid socioeconomic development has diminished the importance of teaching. The Scholarship of Teaching and Learning (SoTL) addresses this by promoting systematic research on teaching practices. However, integrating SoTL into organizational performance management remains challenging, especially in China. This study examines how leader-member exchange (LMX) affects university teachers' SoTL performance, considering psychological capital as a mediator and LMX differentiation and traditionality as moderators. Methods: Based on social exchange theory, resource conservation theory, and social comparison theory, this study developed a cross-level three-order regulatory moderated mediation model. Data were collected from 351 university teachers across 68 grassroots teaching organizations in three universities in central China. Measures included LMX, psychological capital, traditionality, and SoTL performance. The analysis involved descriptive statistics, correlation analysis, and PROCESS macro for mediation and moderation effects. Results: The results showed a strong positive correlation between LMX and SoTL performance (r = 0.742) and between psychological capital and SoTL performance (r = 0.677). Psychological capital partially mediated the relationship between LMX and SoTL performance, accounting for 26.866% of the total effect. The study also found a significant three-order interaction effect of LMX differentiation and traditionality on the relationship between LMX and psychological capital. Specifically, the positive impact of LMX on psychological capital was most pronounced when LMX differentiation was high and teacher traditionality was low. Discussion: This study highlights the critical role of LMX in enhancing university teachers' SoTL performance through psychological capital. It underscores the importance of psychological capital as a mediator and the complex moderating effects of LMX differentiation and traditionality. The findings suggest that optimizing LMX relationships, developing psychological capital, and leveraging traditionality can significantly improve SoTL performance. The study provides new insights into the application of LMX theory in higher education and offers practical strategies for enhancing teaching quality in Chinese universities.","author":[{"dropping-particle":"","family":"Fang","given":"Jiashuai","non-dropping-particle":"","parse-names":false,"suffix":""},{"dropping-particle":"","family":"Zhang","given":"Qian","non-dropping-particle":"","parse-names":false,"suffix":""},{"dropping-particle":"","family":"Rao","given":"Peiya","non-dropping-particle":"","parse-names":false,"suffix":""},{"dropping-particle":"","family":"Ouyang","given":"Guanghua","non-dropping-particle":"","parse-names":false,"suffix":""},{"dropping-particle":"","family":"Jiménez-Zarco","given":"Ana","non-dropping-particle":"","parse-names":false,"suffix":""},{"dropping-particle":"","family":"Wang","given":"Jun","non-dropping-particle":"","parse-names":false,"suffix":""}],"id":"ITEM-1","issued":{"date-parts":[["2025"]]},"title":"How leader-member exchange affects university teachers' scholarship of teaching and learning performance: a comprehensive analysis of psychological capital, LMX differentiation, and traditionality OPEN ACCESS EDITED BY","type":"article-journal"},"uris":["http://www.mendeley.com/documents/?uuid=19ca2fa0-640a-3af6-8bf8-d45ef985ffd2"]}],"mendeley":{"formattedCitation":"(Fang et al., 2025)","plainTextFormattedCitation":"(Fang et al., 2025)","previouslyFormattedCitation":"(Fang et al., 2025)"},"properties":{"noteIndex":0},"schema":"https://github.com/citation-style-language/schema/raw/master/csl-citation.json"}</w:instrText>
      </w:r>
      <w:r>
        <w:rPr>
          <w:rFonts w:eastAsia="Times New Roman"/>
          <w:color w:val="000000"/>
        </w:rPr>
        <w:fldChar w:fldCharType="separate"/>
      </w:r>
      <w:r>
        <w:rPr>
          <w:rFonts w:eastAsia="Times New Roman"/>
          <w:color w:val="000000"/>
        </w:rPr>
        <w:t>(Fang et al., 2025; Evers et al., 2024; Zhou et al., 2021; Ahmed et al., 2024)</w:t>
      </w:r>
      <w:r>
        <w:rPr>
          <w:rFonts w:eastAsia="Times New Roman"/>
          <w:color w:val="000000"/>
        </w:rPr>
        <w:fldChar w:fldCharType="end"/>
      </w:r>
      <w:r>
        <w:rPr>
          <w:rFonts w:eastAsia="Times New Roman"/>
          <w:color w:val="000000"/>
        </w:rPr>
        <w:t xml:space="preserve"> </w:t>
      </w:r>
    </w:p>
    <w:p w:rsidR="00181834" w:rsidRDefault="007329B5">
      <w:pPr>
        <w:spacing w:before="40" w:after="40"/>
        <w:ind w:firstLine="454"/>
        <w:jc w:val="both"/>
        <w:rPr>
          <w:rFonts w:eastAsia="Times New Roman"/>
          <w:color w:val="000000"/>
        </w:rPr>
      </w:pPr>
      <w:r>
        <w:rPr>
          <w:rFonts w:eastAsia="Times New Roman"/>
          <w:color w:val="000000"/>
        </w:rPr>
        <w:t>Fifth hypothesis, intrinsic satisfaction positively affects LMX, as valued teachers are more motivated. Strong relationships support well-being, motivation, and positive organizational perceptions (</w:t>
      </w:r>
      <w:r>
        <w:rPr>
          <w:rFonts w:eastAsia="Times New Roman"/>
          <w:color w:val="000000"/>
        </w:rPr>
        <w:fldChar w:fldCharType="begin" w:fldLock="1"/>
      </w:r>
      <w:r>
        <w:rPr>
          <w:rFonts w:eastAsia="Times New Roman"/>
          <w:color w:val="000000"/>
        </w:rPr>
        <w:instrText>ADDIN CSL_CITATION {"citationItems":[{"id":"ITEM-1","itemData":{"DOI":"10.28934/jwee23.34.pp75-94","ISSN":"2406-0674","abstract":"&lt;p&gt;Due to the complexity of the educational market, changes are also occurring in the field of education itself - from the constant transformation of the curriculum to new trends in the management of education at all levels. Faculties compete with each other for the best students, professors, projects, discoveries and resources. This forces higher education institutions, which want to survive in the long term and to be highly listed on the market, to take special care of their reputation and prestige. In order to improve their own quality and thereby ensure a competitive advantage, higher education institutions use brand management activities to emphasize the values on which their engagement is based. The aim of the work is to investigate the opinion of students - users of the service of a higher education institution and to show the importance of instrumental values on the basis of which the brand of the faculty should be shaped. Descriptive statistics and survey techniques were used in the empirical research, and the sample consisted of 403 respondents - students at six private and state faculties. The obtained results indicate a positive opinion of the respondents about instrumental values, as those on which a higher education institution should build its own brand. This finding provides a basis for the creators of not only higher education brands, but also for the creation of study programs based on the estimated value, an incentive for further research of other values in higher education, as well as for the creation of an optimal brand model of higher education institutions.&lt;/p&gt;","author":[{"dropping-particle":"","family":"Marjanović","given":"Jelena","non-dropping-particle":"","parse-names":false,"suffix":""},{"dropping-particle":"","family":"Domazet","given":"Ivana","non-dropping-particle":"","parse-names":false,"suffix":""},{"dropping-particle":"","family":"Miljković","given":"Jovan","non-dropping-particle":"","parse-names":false,"suffix":""}],"container-title":"JWEE","id":"ITEM-1","issued":{"date-parts":[["2023","10","30"]]},"title":"Higher Education Branding through Instrumental Values","type":"article-journal"},"uris":["http://www.mendeley.com/documents/?uuid=ead20401-5e1d-34c4-9044-b98f81e109b7"]}],"mendeley":{"formattedCitation":"(Marjanović et al., 2023)","manualFormatting":"Marjanović et al., (2023)","plainTextFormattedCitation":"(Marjanović et al., 2023)","previouslyFormattedCitation":"(Marjanović et al., 2023)"},"properties":{"noteIndex":0},"schema":"https://github.com/citation-style-language/schema/raw/master/csl-citation.json"}</w:instrText>
      </w:r>
      <w:r>
        <w:rPr>
          <w:rFonts w:eastAsia="Times New Roman"/>
          <w:color w:val="000000"/>
        </w:rPr>
        <w:fldChar w:fldCharType="separate"/>
      </w:r>
      <w:r>
        <w:rPr>
          <w:rFonts w:eastAsia="Times New Roman"/>
          <w:color w:val="000000"/>
        </w:rPr>
        <w:t>Marjanović et al., 2023; Luque-Reca et al., 2022; Wartenberg et al., 2023)</w:t>
      </w:r>
      <w:r>
        <w:rPr>
          <w:rFonts w:eastAsia="Times New Roman"/>
          <w:color w:val="000000"/>
        </w:rPr>
        <w:fldChar w:fldCharType="end"/>
      </w:r>
      <w:r>
        <w:rPr>
          <w:rFonts w:eastAsia="Times New Roman"/>
          <w:color w:val="000000"/>
        </w:rPr>
        <w:t>.</w:t>
      </w:r>
    </w:p>
    <w:p w:rsidR="00181834" w:rsidRDefault="007329B5">
      <w:pPr>
        <w:spacing w:before="40" w:after="40"/>
        <w:ind w:firstLine="454"/>
        <w:jc w:val="both"/>
        <w:rPr>
          <w:rFonts w:eastAsia="Times New Roman"/>
          <w:color w:val="000000"/>
        </w:rPr>
      </w:pPr>
      <w:r>
        <w:rPr>
          <w:rFonts w:eastAsia="Times New Roman"/>
          <w:color w:val="000000"/>
        </w:rPr>
        <w:t xml:space="preserve">Sixth hypothesis, Leader-Member Exchange (LMX) positively and significantly affects teacher performance, as harmonious relationships with leaders foster optimal performance through support, trust, and autonomy </w:t>
      </w:r>
      <w:r>
        <w:rPr>
          <w:rFonts w:eastAsia="Times New Roman"/>
          <w:color w:val="000000"/>
        </w:rPr>
        <w:fldChar w:fldCharType="begin" w:fldLock="1"/>
      </w:r>
      <w:r>
        <w:rPr>
          <w:rFonts w:eastAsia="Times New Roman"/>
          <w:color w:val="000000"/>
        </w:rPr>
        <w:instrText>ADDIN CSL_CITATION {"citationItems":[{"id":"ITEM-1","itemData":{"DOI":"10.1016/J.SHAW.2024.11.003","ISSN":"2093-7911","abstract":"Background: In healthcare, ensuring safety is crucial for quality care and patient outcomes. While research links leader–member exchange (LMX) quality to safety behavior, this remains understudied in healthcare. Our study explores LMX's long-term impact on safety behavior, proposing a model that includes the moderated mediating role of psychological safety and job satisfaction in the relationship between LMX and safety behaviors, regarding compliance (SCB) and participation (SPB). By identifying the mechanisms through which LMX influences safety behavior, this study can provide insights into the development of interventions that promote workplace safety and enhance the well-being of healthcare workers. Methods: We collected data from 325 Algerian healthcare workers across three public hospitals at three points. Through SmartPLS analysis, we used advanced features of Partial Least Squares Structural Equation Modeling (PLS-SEM) alongside PROCESS analysis to evaluate the relationships within our proposed model. Results: Our analysis found a significant association between higher LMX and increased job satisfaction that positively correlated with enhanced SCB adherence and mediated the LMX–SCB relationship. This relationship was strengthened with high psychological safety. Conclusion: Our study emphasizes the crucial role of LMX quality in shaping safety behavior among Algerian healthcare workers, providing insights for cultivating a safety culture in healthcare settings, highlighting the significance of prioritizing LMX, JS, and PS to improve workplace safety and support healthcare worker well-being.","author":[{"dropping-particle":"","family":"Bennouna","given":"Aida","non-dropping-particle":"","parse-names":false,"suffix":""},{"dropping-particle":"","family":"Boughaba","given":"Assia","non-dropping-particle":"","parse-names":false,"suffix":""},{"dropping-particle":"","family":"Djabou","given":"Salim","non-dropping-particle":"","parse-names":false,"suffix":""},{"dropping-particle":"","family":"Mouda","given":"Mohamed","non-dropping-particle":"","parse-names":false,"suffix":""}],"container-title":"Safety and Health at Work","id":"ITEM-1","issue":"1","issued":{"date-parts":[["2025","3","1"]]},"page":"36-45","publisher":"Elsevier","title":"Enhancing Workplace Well-being: Unveiling the Dynamics of Leader–Member Exchange and Worker Safety Behavior Through Psychological Safety and Job Satisfaction","type":"article-journal","volume":"16"},"uris":["http://www.mendeley.com/documents/?uuid=2869fa57-2e6f-32bc-8be3-bb8dae844d79"]}],"mendeley":{"formattedCitation":"(Bennouna et al., 2025)","plainTextFormattedCitation":"(Bennouna et al., 2025)","previouslyFormattedCitation":"(Bennouna et al., 2025)"},"properties":{"noteIndex":0},"schema":"https://github.com/citation-style-language/schema/raw/master/csl-citation.json"}</w:instrText>
      </w:r>
      <w:r>
        <w:rPr>
          <w:rFonts w:eastAsia="Times New Roman"/>
          <w:color w:val="000000"/>
        </w:rPr>
        <w:fldChar w:fldCharType="separate"/>
      </w:r>
      <w:r>
        <w:rPr>
          <w:rFonts w:eastAsia="Times New Roman"/>
          <w:color w:val="000000"/>
        </w:rPr>
        <w:t>(Bennouna et al., 2025)</w:t>
      </w:r>
      <w:r>
        <w:rPr>
          <w:rFonts w:eastAsia="Times New Roman"/>
          <w:color w:val="000000"/>
        </w:rPr>
        <w:fldChar w:fldCharType="end"/>
      </w:r>
      <w:r>
        <w:rPr>
          <w:rFonts w:eastAsia="Times New Roman"/>
          <w:color w:val="000000"/>
        </w:rPr>
        <w:t>. LMX also mediates leadership and performance, with positive relationships enhancing loyalty and effectiveness (</w:t>
      </w:r>
      <w:r>
        <w:rPr>
          <w:rFonts w:eastAsia="Times New Roman"/>
          <w:color w:val="000000"/>
        </w:rPr>
        <w:fldChar w:fldCharType="begin" w:fldLock="1"/>
      </w:r>
      <w:r>
        <w:rPr>
          <w:rFonts w:eastAsia="Times New Roman"/>
          <w:color w:val="000000"/>
        </w:rPr>
        <w:instrText>ADDIN CSL_CITATION {"citationItems":[{"id":"ITEM-1","itemData":{"DOI":"10.1080/15228916.2019.1641303","ISSN":"1522-8916","author":[{"dropping-particle":"","family":"Usadolo","given":"Sam Erevbenagie","non-dropping-particle":"","parse-names":false,"suffix":""},{"dropping-particle":"","family":"Usadolo","given":"Queen Emwenkeke","non-dropping-particle":"","parse-names":false,"suffix":""},{"dropping-particle":"","family":"Makwambeni","given":"Blessing","non-dropping-particle":"","parse-names":false,"suffix":""}],"container-title":"Journal of African Business","id":"ITEM-1","issue":"2","issued":{"date-parts":[["2020","4","2"]]},"page":"264-287","title":"Influence of Leader-Member Exchange on Teachers’ Workplace Outcomes at Vocational Colleges in South Africa","type":"article-journal","volume":"21"},"uris":["http://www.mendeley.com/documents/?uuid=fb1d27d8-425c-314f-a659-4ac913a5ddc1"]}],"mendeley":{"formattedCitation":"(Usadolo et al., 2020)","manualFormatting":"Usadolo et al., (2020)","plainTextFormattedCitation":"(Usadolo et al., 2020)","previouslyFormattedCitation":"(Usadolo et al., 2020)"},"properties":{"noteIndex":0},"schema":"https://github.com/citation-style-language/schema/raw/master/csl-citation.json"}</w:instrText>
      </w:r>
      <w:r>
        <w:rPr>
          <w:rFonts w:eastAsia="Times New Roman"/>
          <w:color w:val="000000"/>
        </w:rPr>
        <w:fldChar w:fldCharType="separate"/>
      </w:r>
      <w:r>
        <w:rPr>
          <w:rFonts w:eastAsia="Times New Roman"/>
          <w:color w:val="000000"/>
        </w:rPr>
        <w:t>Usadolo et al., 2020; Comstock et al., 2021; Horoub &amp; Zargar, 2022)</w:t>
      </w:r>
      <w:r>
        <w:rPr>
          <w:rFonts w:eastAsia="Times New Roman"/>
          <w:color w:val="000000"/>
        </w:rPr>
        <w:fldChar w:fldCharType="end"/>
      </w:r>
      <w:r>
        <w:rPr>
          <w:rFonts w:eastAsia="Times New Roman"/>
          <w:color w:val="000000"/>
        </w:rPr>
        <w:t xml:space="preserve">. </w:t>
      </w:r>
    </w:p>
    <w:p w:rsidR="00181834" w:rsidRDefault="007329B5">
      <w:pPr>
        <w:ind w:firstLine="454"/>
        <w:jc w:val="both"/>
        <w:rPr>
          <w:rFonts w:eastAsia="Times New Roman"/>
          <w:color w:val="000000"/>
        </w:rPr>
      </w:pPr>
      <w:r>
        <w:rPr>
          <w:rFonts w:eastAsia="Times New Roman"/>
          <w:color w:val="000000"/>
        </w:rPr>
        <w:t xml:space="preserve">Seventh hypothesis, digital competence significantly affects teacher performance through Leader-Member Exchange (LMX), as technology mastery is more effective when supported by strong teacher–leader relationships </w:t>
      </w:r>
      <w:r>
        <w:rPr>
          <w:rFonts w:eastAsia="Times New Roman"/>
          <w:color w:val="000000"/>
        </w:rPr>
        <w:fldChar w:fldCharType="begin" w:fldLock="1"/>
      </w:r>
      <w:r>
        <w:rPr>
          <w:rFonts w:eastAsia="Times New Roman"/>
          <w:color w:val="000000"/>
        </w:rPr>
        <w:instrText>ADDIN CSL_CITATION {"citationItems":[{"id":"ITEM-1","itemData":{"DOI":"10.1111/bjet.13101","ISSN":"0007-1013","author":[{"dropping-particle":"","family":"Beardsley","given":"Marc","non-dropping-particle":"","parse-names":false,"suffix":""},{"dropping-particle":"","family":"Albó","given":"Laia","non-dropping-particle":"","parse-names":false,"suffix":""},{"dropping-particle":"","family":"Aragón","given":"Pablo","non-dropping-particle":"","parse-names":false,"suffix":""},{"dropping-particle":"","family":"Hernández‐Leo","given":"Davinia","non-dropping-particle":"","parse-names":false,"suffix":""}],"container-title":"British Journal of Educational Technology","id":"ITEM-1","issue":"4","issued":{"date-parts":[["2021","7"]]},"page":"1455-1477","title":"Emergency education effects on teacher abilities and motivation to use digital technologies","type":"article-journal","volume":"52"},"uris":["http://www.mendeley.com/documents/?uuid=ac5decd0-a6e1-3766-9323-32469a589ebb"]}],"mendeley":{"formattedCitation":"(Beardsley et al., 2021)","plainTextFormattedCitation":"(Beardsley et al., 2021)","previouslyFormattedCitation":"(Beardsley et al., 2021)"},"properties":{"noteIndex":0},"schema":"https://github.com/citation-style-language/schema/raw/master/csl-citation.json"}</w:instrText>
      </w:r>
      <w:r>
        <w:rPr>
          <w:rFonts w:eastAsia="Times New Roman"/>
          <w:color w:val="000000"/>
        </w:rPr>
        <w:fldChar w:fldCharType="separate"/>
      </w:r>
      <w:r>
        <w:rPr>
          <w:rFonts w:eastAsia="Times New Roman"/>
          <w:color w:val="000000"/>
        </w:rPr>
        <w:t>(Beardsley et al., 2021</w:t>
      </w:r>
      <w:r w:rsidR="007B1861">
        <w:rPr>
          <w:rFonts w:eastAsia="Times New Roman"/>
          <w:color w:val="000000"/>
        </w:rPr>
        <w:t xml:space="preserve">; </w:t>
      </w:r>
      <w:proofErr w:type="spellStart"/>
      <w:r w:rsidR="007B1861">
        <w:rPr>
          <w:rFonts w:eastAsia="Times New Roman"/>
          <w:color w:val="000000"/>
        </w:rPr>
        <w:t>Suseno</w:t>
      </w:r>
      <w:proofErr w:type="spellEnd"/>
      <w:r w:rsidR="007B1861">
        <w:rPr>
          <w:rFonts w:eastAsia="Times New Roman"/>
          <w:color w:val="000000"/>
        </w:rPr>
        <w:t xml:space="preserve"> and </w:t>
      </w:r>
      <w:proofErr w:type="spellStart"/>
      <w:r w:rsidR="007B1861">
        <w:rPr>
          <w:rFonts w:eastAsia="Times New Roman"/>
          <w:color w:val="000000"/>
        </w:rPr>
        <w:t>Basrowi</w:t>
      </w:r>
      <w:proofErr w:type="spellEnd"/>
      <w:r w:rsidR="007B1861">
        <w:rPr>
          <w:rFonts w:eastAsia="Times New Roman"/>
          <w:color w:val="000000"/>
        </w:rPr>
        <w:t>, 2023</w:t>
      </w:r>
      <w:r>
        <w:rPr>
          <w:rFonts w:eastAsia="Times New Roman"/>
          <w:color w:val="000000"/>
        </w:rPr>
        <w:t>)</w:t>
      </w:r>
      <w:r>
        <w:rPr>
          <w:rFonts w:eastAsia="Times New Roman"/>
          <w:color w:val="000000"/>
        </w:rPr>
        <w:fldChar w:fldCharType="end"/>
      </w:r>
      <w:r>
        <w:rPr>
          <w:rFonts w:eastAsia="Times New Roman"/>
          <w:color w:val="000000"/>
        </w:rPr>
        <w:t>. Social support enhances performance, and positive emotional ties strengthen technology’s impact (</w:t>
      </w:r>
      <w:r>
        <w:rPr>
          <w:rFonts w:eastAsia="Times New Roman"/>
          <w:color w:val="000000"/>
        </w:rPr>
        <w:fldChar w:fldCharType="begin" w:fldLock="1"/>
      </w:r>
      <w:r>
        <w:rPr>
          <w:rFonts w:eastAsia="Times New Roman"/>
          <w:color w:val="000000"/>
        </w:rPr>
        <w:instrText>ADDIN CSL_CITATION {"citationItems":[{"id":"ITEM-1","itemData":{"DOI":"10.1080/2331186X.2024.2308430","ISSN":"2331-186X","author":[{"dropping-particle":"","family":"Panakaje","given":"Niyaz","non-dropping-particle":"","parse-names":false,"suffix":""},{"dropping-particle":"","family":"Ur Rahiman","given":"Habeeb","non-dropping-particle":"","parse-names":false,"suffix":""},{"dropping-particle":"","family":"Parvin","given":"S. M. Riha","non-dropping-particle":"","parse-names":false,"suffix":""},{"dropping-particle":"","family":"P","given":"Shareena","non-dropping-particle":"","parse-names":false,"suffix":""},{"dropping-particle":"","family":"K","given":"Madhura","non-dropping-particle":"","parse-names":false,"suffix":""},{"dropping-particle":"","family":"Yatheen","given":"","non-dropping-particle":"","parse-names":false,"suffix":""},{"dropping-particle":"","family":"Irfana","given":"Shakeera","non-dropping-particle":"","parse-names":false,"suffix":""}],"container-title":"Cogent Education","id":"ITEM-1","issue":"1","issued":{"date-parts":[["2024","12","31"]]},"title":"Revolutionizing pedagogy: navigating the integration of technology in higher education for teacher learning and performance enhancement","type":"article-journal","volume":"11"},"uris":["http://www.mendeley.com/documents/?uuid=700d365d-48b1-3b73-93c7-a89f005959cf"]}],"mendeley":{"formattedCitation":"(Panakaje et al., 2024)","manualFormatting":"Panakaje et al., (2024)","plainTextFormattedCitation":"(Panakaje et al., 2024)","previouslyFormattedCitation":"(Panakaje et al., 2024)"},"properties":{"noteIndex":0},"schema":"https://github.com/citation-style-language/schema/raw/master/csl-citation.json"}</w:instrText>
      </w:r>
      <w:r>
        <w:rPr>
          <w:rFonts w:eastAsia="Times New Roman"/>
          <w:color w:val="000000"/>
        </w:rPr>
        <w:fldChar w:fldCharType="separate"/>
      </w:r>
      <w:r>
        <w:rPr>
          <w:rFonts w:eastAsia="Times New Roman"/>
          <w:color w:val="000000"/>
        </w:rPr>
        <w:t>Panakaje et al., 2024; Arstorp et al., 2024; Ballová Mikušková et al., 2024)</w:t>
      </w:r>
      <w:r>
        <w:rPr>
          <w:rFonts w:eastAsia="Times New Roman"/>
          <w:color w:val="000000"/>
        </w:rPr>
        <w:fldChar w:fldCharType="end"/>
      </w:r>
    </w:p>
    <w:p w:rsidR="00181834" w:rsidRDefault="007329B5">
      <w:pPr>
        <w:ind w:firstLine="454"/>
        <w:jc w:val="both"/>
        <w:rPr>
          <w:rFonts w:eastAsia="Times New Roman"/>
          <w:color w:val="000000"/>
        </w:rPr>
      </w:pPr>
      <w:r>
        <w:rPr>
          <w:rFonts w:eastAsia="Times New Roman"/>
          <w:color w:val="000000"/>
        </w:rPr>
        <w:t xml:space="preserve">Eighth hypothesis, intrinsic satisfaction significantly affects teacher performance through Leader-Member Exchange (LMX), as satisfied teachers build better leader relationships that enhance professional performance </w:t>
      </w:r>
      <w:r>
        <w:rPr>
          <w:rFonts w:eastAsia="Times New Roman"/>
          <w:color w:val="000000"/>
        </w:rPr>
        <w:fldChar w:fldCharType="begin" w:fldLock="1"/>
      </w:r>
      <w:r>
        <w:rPr>
          <w:rFonts w:eastAsia="Times New Roman"/>
          <w:color w:val="000000"/>
        </w:rPr>
        <w:instrText>ADDIN CSL_CITATION {"citationItems":[{"id":"ITEM-1","itemData":{"DOI":"10.3389/fpsyg.2022.1065545","abstract":"Introduction: In the aftermath of global pandemic of COVID-19, many sectors faced severe challenges to maintain security, health (psychological, and physical), and steer through the crisis by supporting the society. Methods: Through a quantitative approach a total of 250 surveys were distributed after a pilot test. Specifically, this research gathers data from 178 (71.2% response rate) university teachers from different universities across Palestine via surveys that address the role of empowering leaders on job satisfaction among teachers. The proposed model of the research was analyzed using Smart-PLS and PLS-SEM technique. Discussion and Results: The academic sector was disrupted and faced extreme changes during the pandemic, rendering teachers vulnerable and thus, role of leaders more crucial. Building on job demand-resources model, and social exchange theory, the current study examines the moderating effect of leader-member exchange (LMX) for increasing job satisfaction that can lead to enhanced overall wellbeing in the academic setting. Additionally, the mediating role of trust in leader is focused as a vital psychological element. While the results show a significantly positive effect on job satisfaction in the presence of empowering leaders, the moderating role of LMX alongside mediating impact of trust are observed. This implies that empowering leaders are highly influential in enhancing workplace for university teachers in the post-pandemic era.","author":[{"dropping-particle":"","family":"Horoub","given":"Ibrahim","non-dropping-particle":"","parse-names":false,"suffix":""},{"dropping-particle":"","family":"Zargar","given":"Pouya","non-dropping-particle":"","parse-names":false,"suffix":""}],"id":"ITEM-1","issued":{"date-parts":[["2022"]]},"title":"Empowering leadership and job satisfaction of academic staff in Palestinian universities: Implications of leader-member exchange and trust in leader","type":"article-journal"},"uris":["http://www.mendeley.com/documents/?uuid=1252d868-c102-30dc-821d-c139b3decbbd"]}],"mendeley":{"formattedCitation":"(Horoub &amp; Zargar, 2022)","plainTextFormattedCitation":"(Horoub &amp; Zargar, 2022)","previouslyFormattedCitation":"(Horoub &amp; Zargar, 2022)"},"properties":{"noteIndex":0},"schema":"https://github.com/citation-style-language/schema/raw/master/csl-citation.json"}</w:instrText>
      </w:r>
      <w:r>
        <w:rPr>
          <w:rFonts w:eastAsia="Times New Roman"/>
          <w:color w:val="000000"/>
        </w:rPr>
        <w:fldChar w:fldCharType="separate"/>
      </w:r>
      <w:r>
        <w:rPr>
          <w:rFonts w:eastAsia="Times New Roman"/>
          <w:color w:val="000000"/>
        </w:rPr>
        <w:t>(Horoub &amp; Zargar, 2022)</w:t>
      </w:r>
      <w:r>
        <w:rPr>
          <w:rFonts w:eastAsia="Times New Roman"/>
          <w:color w:val="000000"/>
        </w:rPr>
        <w:fldChar w:fldCharType="end"/>
      </w:r>
      <w:r>
        <w:rPr>
          <w:rFonts w:eastAsia="Times New Roman"/>
          <w:color w:val="000000"/>
        </w:rPr>
        <w:t>. LMX mediates motivation and productive behavior, converting intrinsic motivation into effective performance (</w:t>
      </w:r>
      <w:r>
        <w:rPr>
          <w:rFonts w:eastAsia="Times New Roman"/>
          <w:color w:val="000000"/>
        </w:rPr>
        <w:fldChar w:fldCharType="begin" w:fldLock="1"/>
      </w:r>
      <w:r>
        <w:rPr>
          <w:rFonts w:eastAsia="Times New Roman"/>
          <w:color w:val="000000"/>
        </w:rPr>
        <w:instrText>ADDIN CSL_CITATION {"citationItems":[{"id":"ITEM-1","itemData":{"DOI":"10.1080/2331186X.2024.2351260","ISSN":"2331-186X","author":[{"dropping-particle":"","family":"Dogbe","given":"Courage Simon Kofi","non-dropping-particle":"","parse-names":false,"suffix":""},{"dropping-particle":"","family":"Tweneboah","given":"Irene","non-dropping-particle":"","parse-names":false,"suffix":""},{"dropping-particle":"","family":"Basoah","given":"Prince","non-dropping-particle":"","parse-names":false,"suffix":""},{"dropping-particle":"","family":"Arkrofi","given":"Abigail Ansaah","non-dropping-particle":"","parse-names":false,"suffix":""},{"dropping-particle":"","family":"Appiah","given":"Nicholas","non-dropping-particle":"","parse-names":false,"suffix":""}],"container-title":"Cogent Education","id":"ITEM-1","issue":"1","issued":{"date-parts":[["2024","12","31"]]},"title":"Mediating role of teacher creativity in the relationships between internal strategic communication, feedback seeking behavior and teacher performance","type":"article-journal","volume":"11"},"uris":["http://www.mendeley.com/documents/?uuid=4a5cece9-53d7-3d5b-927d-e4e80905f10b"]}],"mendeley":{"formattedCitation":"(Dogbe et al., 2024)","manualFormatting":"Dogbe et al., (2024)","plainTextFormattedCitation":"(Dogbe et al., 2024)","previouslyFormattedCitation":"(Dogbe et al., 2024)"},"properties":{"noteIndex":0},"schema":"https://github.com/citation-style-language/schema/raw/master/csl-citation.json"}</w:instrText>
      </w:r>
      <w:r>
        <w:rPr>
          <w:rFonts w:eastAsia="Times New Roman"/>
          <w:color w:val="000000"/>
        </w:rPr>
        <w:fldChar w:fldCharType="separate"/>
      </w:r>
      <w:r>
        <w:rPr>
          <w:rFonts w:eastAsia="Times New Roman"/>
          <w:color w:val="000000"/>
        </w:rPr>
        <w:t>Dogbe et al., 2024; Campina et al., 2022)</w:t>
      </w:r>
      <w:r>
        <w:rPr>
          <w:rFonts w:eastAsia="Times New Roman"/>
          <w:color w:val="000000"/>
        </w:rPr>
        <w:fldChar w:fldCharType="end"/>
      </w:r>
      <w:r>
        <w:rPr>
          <w:rFonts w:eastAsia="Times New Roman"/>
          <w:color w:val="000000"/>
        </w:rPr>
        <w:t>.</w:t>
      </w:r>
    </w:p>
    <w:p w:rsidR="002126BC" w:rsidRDefault="002126BC" w:rsidP="002126BC">
      <w:pPr>
        <w:ind w:firstLine="454"/>
        <w:jc w:val="both"/>
      </w:pPr>
      <w:r>
        <w:lastRenderedPageBreak/>
        <w:t>This study demonstrates that digital competence, intrinsic satisfaction, and Leader–Member Exchange (LMX) operate together to enhance teacher performance. Teachers who possess strong digital skills and experience intrinsic satisfaction are more likely to develop high-quality, trustful relationships with their leaders; those relationships in turn strengthen professional practice. Empirically, LMX functions as a mediator and amplifier: it does not merely coexist with competence and satisfaction but channels and magnifies their positive effects on classroom- and school-level performance.</w:t>
      </w:r>
    </w:p>
    <w:p w:rsidR="002126BC" w:rsidRDefault="002126BC" w:rsidP="002126BC">
      <w:pPr>
        <w:ind w:firstLine="454"/>
        <w:jc w:val="both"/>
      </w:pPr>
      <w:r w:rsidRPr="002126BC">
        <w:rPr>
          <w:rFonts w:eastAsia="Times New Roman"/>
          <w:lang w:eastAsia="en-US"/>
        </w:rPr>
        <w:t xml:space="preserve">For policymakers in developing nations, these findings suggest a three-pronged, integrated policy approach rather than isolated interventions. First, </w:t>
      </w:r>
      <w:r w:rsidRPr="002126BC">
        <w:rPr>
          <w:rFonts w:eastAsia="Times New Roman"/>
          <w:bCs/>
          <w:lang w:eastAsia="en-US"/>
        </w:rPr>
        <w:t>institutionalize teacher digital literacy</w:t>
      </w:r>
      <w:r w:rsidRPr="002126BC">
        <w:rPr>
          <w:rFonts w:eastAsia="Times New Roman"/>
          <w:lang w:eastAsia="en-US"/>
        </w:rPr>
        <w:t xml:space="preserve"> through national or district-level standards, pre-service curriculum requirements, and mandatory in-service professional development tied to pedagogical use (not just technical skills). Digital literacy here should be framed as both competency and an enabler of teacher autonomy and job satisfaction. Second, </w:t>
      </w:r>
      <w:r w:rsidRPr="002126BC">
        <w:rPr>
          <w:rFonts w:eastAsia="Times New Roman"/>
          <w:bCs/>
          <w:lang w:eastAsia="en-US"/>
        </w:rPr>
        <w:t>redesign leadership development</w:t>
      </w:r>
      <w:r w:rsidRPr="002126BC">
        <w:rPr>
          <w:rFonts w:eastAsia="Times New Roman"/>
          <w:lang w:eastAsia="en-US"/>
        </w:rPr>
        <w:t xml:space="preserve">: training programs for principals and instructional leaders should prioritize relational skills (coaching, feedback, </w:t>
      </w:r>
      <w:proofErr w:type="gramStart"/>
      <w:r w:rsidRPr="002126BC">
        <w:rPr>
          <w:rFonts w:eastAsia="Times New Roman"/>
          <w:lang w:eastAsia="en-US"/>
        </w:rPr>
        <w:t>distributed</w:t>
      </w:r>
      <w:proofErr w:type="gramEnd"/>
      <w:r w:rsidRPr="002126BC">
        <w:rPr>
          <w:rFonts w:eastAsia="Times New Roman"/>
          <w:lang w:eastAsia="en-US"/>
        </w:rPr>
        <w:t xml:space="preserve"> leadership) that produce high-quality LMX. Practical components—mentoring, reflective supervision, and structured teacher-leader dialogues—will convert leadership training into better relational exchanges. Third, </w:t>
      </w:r>
      <w:r w:rsidRPr="002126BC">
        <w:rPr>
          <w:rFonts w:eastAsia="Times New Roman"/>
          <w:bCs/>
          <w:lang w:eastAsia="en-US"/>
        </w:rPr>
        <w:t>align incentives and systems</w:t>
      </w:r>
      <w:r w:rsidRPr="002126BC">
        <w:rPr>
          <w:rFonts w:eastAsia="Times New Roman"/>
          <w:lang w:eastAsia="en-US"/>
        </w:rPr>
        <w:t xml:space="preserve"> so that investments in skills and leadership translate into persistent performance gains: integrate digital competency and LMX indicators into appraisal systems, support collaborative professional learning communities, and earmark funds for the necessary infrastructure and ongoing technical support.</w:t>
      </w:r>
    </w:p>
    <w:p w:rsidR="002126BC" w:rsidRPr="002126BC" w:rsidRDefault="002126BC" w:rsidP="002126BC">
      <w:pPr>
        <w:ind w:firstLine="454"/>
        <w:jc w:val="both"/>
      </w:pPr>
      <w:r w:rsidRPr="002126BC">
        <w:rPr>
          <w:rFonts w:eastAsia="Times New Roman"/>
          <w:lang w:eastAsia="en-US"/>
        </w:rPr>
        <w:t>Operationalizing this integrated strategy requires attention to equity and sustainability. Prioritize resource allocation to close school-level digital gaps (connectivity, devices, maintenance) so digital competence does not become a privilege of better-resourced schools. Use phased rollouts with embedded monitoring and evaluation that track not only access and skills, but also changes in intrinsic motivation, the quality of teacher–leader interactions, and student learning outcomes. Public–private partnerships, community involvement, and modular low-cost training packages can help scale interventions while maintaining quality.</w:t>
      </w:r>
    </w:p>
    <w:p w:rsidR="00181834" w:rsidRDefault="007329B5">
      <w:pPr>
        <w:spacing w:before="360" w:after="240"/>
        <w:rPr>
          <w:rFonts w:ascii="Times" w:eastAsia="Times" w:hAnsi="Times" w:cs="Times"/>
          <w:b/>
          <w:color w:val="000000"/>
          <w:sz w:val="26"/>
          <w:szCs w:val="26"/>
        </w:rPr>
      </w:pPr>
      <w:r>
        <w:rPr>
          <w:rFonts w:ascii="Times" w:eastAsia="Times" w:hAnsi="Times"/>
          <w:b/>
          <w:color w:val="000000"/>
          <w:sz w:val="26"/>
          <w:szCs w:val="26"/>
        </w:rPr>
        <w:t>Conclusion</w:t>
      </w:r>
      <w:r w:rsidR="002126BC">
        <w:rPr>
          <w:rFonts w:ascii="Times" w:eastAsia="Times" w:hAnsi="Times"/>
          <w:b/>
          <w:color w:val="000000"/>
          <w:sz w:val="26"/>
          <w:szCs w:val="26"/>
        </w:rPr>
        <w:t xml:space="preserve"> and Future Research Direction</w:t>
      </w:r>
    </w:p>
    <w:p w:rsidR="002126BC" w:rsidRDefault="007329B5" w:rsidP="002126BC">
      <w:pPr>
        <w:ind w:firstLine="720"/>
        <w:jc w:val="both"/>
        <w:rPr>
          <w:rFonts w:eastAsia="Times New Roman"/>
          <w:color w:val="000000"/>
        </w:rPr>
      </w:pPr>
      <w:r>
        <w:rPr>
          <w:rFonts w:eastAsia="Times New Roman"/>
          <w:color w:val="000000"/>
        </w:rPr>
        <w:lastRenderedPageBreak/>
        <w:t>This study demonstrates that digital competence, intrinsic satisfaction, and Leader–Member Exchange (LMX) jointly enhance teacher performance. Teachers with strong digital skills and intrinsic motivation build better leader relationships, positively influencing their professional performance. LMX mediates, amplifying the effects of digital competence and intrinsic satisfaction. Enhancing teacher performance requires developing digital skills, fostering intrinsic motivation, and promoting positive teacher–leader interactions; neglecting these areas may reduce motivation, collaboration, and effective technology use in teaching.</w:t>
      </w:r>
      <w:r w:rsidR="002126BC">
        <w:rPr>
          <w:rFonts w:eastAsia="Times New Roman"/>
          <w:color w:val="000000"/>
        </w:rPr>
        <w:t xml:space="preserve"> </w:t>
      </w:r>
      <w:r w:rsidR="002126BC" w:rsidRPr="002126BC">
        <w:rPr>
          <w:rFonts w:eastAsia="Times New Roman"/>
          <w:color w:val="000000"/>
        </w:rPr>
        <w:t>This study makes a threefold contribution to the academic discourse on educational effectiveness. Firstly, it proposes an integrative framework that synthesizes digital competence, intrinsic satisfaction, and Leader-Member Exchange (LMX) into a cohesive model, addressing a gap in literature that often examines these constructs in isolation. Secondly, it provides contextual novelty by empirically validating this model within the underexplored setting of private elementary education in a developing country, thereby enriching the global evidence base. Thirdly, it elucidates critical mediating mechanisms, robustly establishing LMX not merely as a supportive factor but as a pivotal catalyst that amplifies the impact of both competence and satis</w:t>
      </w:r>
      <w:r w:rsidR="002126BC">
        <w:rPr>
          <w:rFonts w:eastAsia="Times New Roman"/>
          <w:color w:val="000000"/>
        </w:rPr>
        <w:t>faction on teacher performance.</w:t>
      </w:r>
    </w:p>
    <w:p w:rsidR="00181834" w:rsidRDefault="002126BC" w:rsidP="002126BC">
      <w:pPr>
        <w:ind w:firstLine="720"/>
        <w:jc w:val="both"/>
        <w:rPr>
          <w:rFonts w:eastAsia="Times New Roman"/>
          <w:color w:val="000000"/>
        </w:rPr>
      </w:pPr>
      <w:r w:rsidRPr="002126BC">
        <w:rPr>
          <w:rFonts w:eastAsia="Times New Roman"/>
          <w:color w:val="000000"/>
        </w:rPr>
        <w:t>For developing nations, these findings carry significant implications. They argue for policy interventions that institutionalize digital literacy, recognizing its dual role in building capability and fostering professional fulfillment. Concurrently, they necessitate a transformative approach to leadership development, where training programs prioritize the cultivation of high-quality relational exchanges (LMX) as a core strategic lever. This integrated focus can advance educational equity by mitigating digital-divide repercussions and promote systemic sustainability by building a more motivated and relationally supported teaching workforce, ultimately creating a more resilient foundation for educational quality.</w:t>
      </w:r>
    </w:p>
    <w:p w:rsidR="002126BC" w:rsidRPr="002126BC" w:rsidRDefault="002126BC" w:rsidP="002126BC">
      <w:pPr>
        <w:ind w:firstLine="720"/>
        <w:jc w:val="both"/>
        <w:rPr>
          <w:rFonts w:eastAsia="Times New Roman"/>
          <w:color w:val="000000"/>
        </w:rPr>
      </w:pPr>
      <w:r w:rsidRPr="002126BC">
        <w:rPr>
          <w:rFonts w:eastAsia="Times New Roman"/>
          <w:color w:val="000000"/>
        </w:rPr>
        <w:t>While this study provides important insights, several avenues for future research remain open. First, longitudinal designs are needed to examine how digital competence, intrinsic satisfaction, and LMX evolve over time and to assess the sustainability of their combined effects on teacher performance. Such designs would help clarify causal pathways and identify critical stages where interventions are most effective.</w:t>
      </w:r>
    </w:p>
    <w:p w:rsidR="002126BC" w:rsidRPr="002126BC" w:rsidRDefault="002126BC" w:rsidP="002126BC">
      <w:pPr>
        <w:ind w:firstLine="720"/>
        <w:jc w:val="both"/>
        <w:rPr>
          <w:rFonts w:eastAsia="Times New Roman"/>
          <w:color w:val="000000"/>
        </w:rPr>
      </w:pPr>
      <w:r w:rsidRPr="002126BC">
        <w:rPr>
          <w:rFonts w:eastAsia="Times New Roman"/>
          <w:color w:val="000000"/>
        </w:rPr>
        <w:t xml:space="preserve">Second, future studies could extend this framework across different educational levels (secondary and tertiary education), institutional types (public versus private schools), and cultural or national contexts. </w:t>
      </w:r>
      <w:r w:rsidRPr="002126BC">
        <w:rPr>
          <w:rFonts w:eastAsia="Times New Roman"/>
          <w:color w:val="000000"/>
        </w:rPr>
        <w:lastRenderedPageBreak/>
        <w:t>Comparative and cross-country analyses would deepen understanding of how contextual factors—such as governance structures, resource availability, and cultural norms of leadership—moderate the relationships identified in this study.</w:t>
      </w:r>
    </w:p>
    <w:p w:rsidR="002126BC" w:rsidRPr="002126BC" w:rsidRDefault="002126BC" w:rsidP="002126BC">
      <w:pPr>
        <w:ind w:firstLine="720"/>
        <w:jc w:val="both"/>
        <w:rPr>
          <w:rFonts w:eastAsia="Times New Roman"/>
          <w:color w:val="000000"/>
        </w:rPr>
      </w:pPr>
      <w:r w:rsidRPr="002126BC">
        <w:rPr>
          <w:rFonts w:eastAsia="Times New Roman"/>
          <w:color w:val="000000"/>
        </w:rPr>
        <w:t>Third, qualitative and mixed-method approaches could enrich the findings by unpacking the lived experiences of teachers and school leaders. In-depth case studies and interviews would illuminate how high-quality LMX is built in practice and how teachers interpret digital competence and intrinsic satisfaction in resource-constrained environments.</w:t>
      </w:r>
    </w:p>
    <w:p w:rsidR="002126BC" w:rsidRDefault="002126BC" w:rsidP="002126BC">
      <w:pPr>
        <w:ind w:firstLine="720"/>
        <w:jc w:val="both"/>
        <w:rPr>
          <w:rFonts w:eastAsia="Times New Roman"/>
          <w:color w:val="000000"/>
        </w:rPr>
      </w:pPr>
      <w:r w:rsidRPr="002126BC">
        <w:rPr>
          <w:rFonts w:eastAsia="Times New Roman"/>
          <w:color w:val="000000"/>
        </w:rPr>
        <w:t>Finally, future research may incorporate additional mediators or moderators, such as organizational culture, psychological safety, workload, or policy incentives, to develop a more comprehensive model of teacher performance. Exploring the role of emerging technologies—such as artificial intelligence–supported teaching tools—could also offer timely insights into how digital competence and leadership relationships will shape the next phase of educational transformation in developing countries.</w:t>
      </w:r>
    </w:p>
    <w:p w:rsidR="00181834" w:rsidRDefault="007329B5">
      <w:pPr>
        <w:pStyle w:val="Heading3"/>
        <w:spacing w:after="240"/>
        <w:rPr>
          <w:rFonts w:ascii="Times New Roman" w:eastAsia="Times New Roman" w:hAnsi="Times New Roman" w:cs="Times New Roman"/>
          <w:sz w:val="26"/>
          <w:szCs w:val="26"/>
        </w:rPr>
      </w:pPr>
      <w:r>
        <w:rPr>
          <w:rFonts w:ascii="Times New Roman" w:eastAsia="Times New Roman" w:hAnsi="Times New Roman" w:cs="Times New Roman"/>
          <w:sz w:val="26"/>
          <w:szCs w:val="26"/>
        </w:rPr>
        <w:t>References</w:t>
      </w:r>
    </w:p>
    <w:p w:rsidR="00B24E9F" w:rsidRDefault="007329B5" w:rsidP="00B24E9F">
      <w:pPr>
        <w:widowControl w:val="0"/>
        <w:autoSpaceDE w:val="0"/>
        <w:autoSpaceDN w:val="0"/>
        <w:adjustRightInd w:val="0"/>
        <w:ind w:left="480" w:hanging="480"/>
        <w:jc w:val="both"/>
        <w:rPr>
          <w:sz w:val="22"/>
          <w:szCs w:val="22"/>
        </w:rPr>
      </w:pPr>
      <w:r>
        <w:rPr>
          <w:sz w:val="22"/>
          <w:szCs w:val="22"/>
        </w:rPr>
        <w:fldChar w:fldCharType="begin" w:fldLock="1"/>
      </w:r>
      <w:r>
        <w:rPr>
          <w:sz w:val="22"/>
          <w:szCs w:val="22"/>
        </w:rPr>
        <w:instrText xml:space="preserve">ADDIN Mendeley Bibliography CSL_BIBLIOGRAPHY </w:instrText>
      </w:r>
      <w:r>
        <w:rPr>
          <w:sz w:val="22"/>
          <w:szCs w:val="22"/>
        </w:rPr>
        <w:fldChar w:fldCharType="separate"/>
      </w:r>
      <w:bookmarkStart w:id="1" w:name="_Hlk207579433"/>
      <w:r w:rsidRPr="00B24E9F">
        <w:rPr>
          <w:bCs/>
          <w:sz w:val="22"/>
          <w:szCs w:val="22"/>
        </w:rPr>
        <w:t>Ahmed, F., Naqshbandi, M. M., Waheed, M., &amp; Ain, N. ul. (2024)</w:t>
      </w:r>
      <w:r>
        <w:rPr>
          <w:b/>
          <w:bCs/>
          <w:sz w:val="22"/>
          <w:szCs w:val="22"/>
        </w:rPr>
        <w:t>.</w:t>
      </w:r>
      <w:r>
        <w:rPr>
          <w:sz w:val="22"/>
          <w:szCs w:val="22"/>
        </w:rPr>
        <w:t xml:space="preserve"> Digital leadership and innovative work behavior: impact of LMX, learning orientation and innovation capabilities. </w:t>
      </w:r>
      <w:r>
        <w:rPr>
          <w:i/>
          <w:iCs/>
          <w:sz w:val="22"/>
          <w:szCs w:val="22"/>
        </w:rPr>
        <w:t>Management Decision</w:t>
      </w:r>
      <w:r>
        <w:rPr>
          <w:sz w:val="22"/>
          <w:szCs w:val="22"/>
        </w:rPr>
        <w:t xml:space="preserve">, </w:t>
      </w:r>
      <w:r>
        <w:rPr>
          <w:i/>
          <w:iCs/>
          <w:sz w:val="22"/>
          <w:szCs w:val="22"/>
        </w:rPr>
        <w:t>62</w:t>
      </w:r>
      <w:r>
        <w:rPr>
          <w:sz w:val="22"/>
          <w:szCs w:val="22"/>
        </w:rPr>
        <w:t>(11), 3607–3632. https://doi.org/10.1108/MD-04-2023-0654</w:t>
      </w:r>
    </w:p>
    <w:p w:rsidR="00B24E9F" w:rsidRDefault="007329B5" w:rsidP="00B24E9F">
      <w:pPr>
        <w:widowControl w:val="0"/>
        <w:autoSpaceDE w:val="0"/>
        <w:autoSpaceDN w:val="0"/>
        <w:adjustRightInd w:val="0"/>
        <w:ind w:left="480" w:hanging="480"/>
        <w:jc w:val="both"/>
        <w:rPr>
          <w:sz w:val="22"/>
          <w:szCs w:val="22"/>
        </w:rPr>
      </w:pPr>
      <w:proofErr w:type="gramStart"/>
      <w:r w:rsidRPr="000756D7">
        <w:rPr>
          <w:bCs/>
          <w:sz w:val="22"/>
          <w:szCs w:val="22"/>
        </w:rPr>
        <w:t>Ahn, J. S., &amp; Reeve, J. (2021)</w:t>
      </w:r>
      <w:r>
        <w:rPr>
          <w:sz w:val="22"/>
          <w:szCs w:val="22"/>
        </w:rPr>
        <w:t>.</w:t>
      </w:r>
      <w:proofErr w:type="gramEnd"/>
      <w:r>
        <w:rPr>
          <w:sz w:val="22"/>
          <w:szCs w:val="22"/>
        </w:rPr>
        <w:t xml:space="preserve"> Developmental pathways of preadolescents’ intrinsic and extrinsic values: The role of basic psychological needs satisfaction. </w:t>
      </w:r>
      <w:r>
        <w:rPr>
          <w:i/>
          <w:iCs/>
          <w:sz w:val="22"/>
          <w:szCs w:val="22"/>
        </w:rPr>
        <w:t>European Journal of Personality</w:t>
      </w:r>
      <w:r>
        <w:rPr>
          <w:sz w:val="22"/>
          <w:szCs w:val="22"/>
        </w:rPr>
        <w:t xml:space="preserve">, </w:t>
      </w:r>
      <w:r>
        <w:rPr>
          <w:i/>
          <w:iCs/>
          <w:sz w:val="22"/>
          <w:szCs w:val="22"/>
        </w:rPr>
        <w:t>35</w:t>
      </w:r>
      <w:r>
        <w:rPr>
          <w:sz w:val="22"/>
          <w:szCs w:val="22"/>
        </w:rPr>
        <w:t>(2), 151–167. https://doi.org/10.1002/per.2274</w:t>
      </w:r>
    </w:p>
    <w:p w:rsidR="000756D7" w:rsidRDefault="007329B5" w:rsidP="000756D7">
      <w:pPr>
        <w:widowControl w:val="0"/>
        <w:autoSpaceDE w:val="0"/>
        <w:autoSpaceDN w:val="0"/>
        <w:adjustRightInd w:val="0"/>
        <w:ind w:left="480" w:hanging="480"/>
        <w:jc w:val="both"/>
        <w:rPr>
          <w:sz w:val="22"/>
          <w:szCs w:val="22"/>
        </w:rPr>
      </w:pPr>
      <w:proofErr w:type="gramStart"/>
      <w:r w:rsidRPr="000756D7">
        <w:rPr>
          <w:bCs/>
          <w:sz w:val="22"/>
          <w:szCs w:val="22"/>
        </w:rPr>
        <w:t>Altin, A., &amp; Topcu, Z. (2025)</w:t>
      </w:r>
      <w:r>
        <w:rPr>
          <w:sz w:val="22"/>
          <w:szCs w:val="22"/>
        </w:rPr>
        <w:t>.</w:t>
      </w:r>
      <w:proofErr w:type="gramEnd"/>
      <w:r>
        <w:rPr>
          <w:sz w:val="22"/>
          <w:szCs w:val="22"/>
        </w:rPr>
        <w:t xml:space="preserve"> Influence of professional motivation and digital competence on teachers’ career satisfaction. </w:t>
      </w:r>
      <w:r>
        <w:rPr>
          <w:i/>
          <w:iCs/>
          <w:sz w:val="22"/>
          <w:szCs w:val="22"/>
        </w:rPr>
        <w:t>Asian Journal of Education and Training</w:t>
      </w:r>
      <w:r>
        <w:rPr>
          <w:sz w:val="22"/>
          <w:szCs w:val="22"/>
        </w:rPr>
        <w:t xml:space="preserve">, </w:t>
      </w:r>
      <w:r>
        <w:rPr>
          <w:i/>
          <w:iCs/>
          <w:sz w:val="22"/>
          <w:szCs w:val="22"/>
        </w:rPr>
        <w:t>11</w:t>
      </w:r>
      <w:r>
        <w:rPr>
          <w:sz w:val="22"/>
          <w:szCs w:val="22"/>
        </w:rPr>
        <w:t>(1), 1–12. https://doi.org/10.20448/edu.v11i1.6324</w:t>
      </w:r>
    </w:p>
    <w:p w:rsidR="000756D7" w:rsidRDefault="007329B5" w:rsidP="000756D7">
      <w:pPr>
        <w:widowControl w:val="0"/>
        <w:autoSpaceDE w:val="0"/>
        <w:autoSpaceDN w:val="0"/>
        <w:adjustRightInd w:val="0"/>
        <w:ind w:left="480" w:hanging="480"/>
        <w:jc w:val="both"/>
        <w:rPr>
          <w:sz w:val="22"/>
          <w:szCs w:val="22"/>
        </w:rPr>
      </w:pPr>
      <w:r w:rsidRPr="000756D7">
        <w:rPr>
          <w:bCs/>
          <w:sz w:val="22"/>
          <w:szCs w:val="22"/>
        </w:rPr>
        <w:t xml:space="preserve">Ann </w:t>
      </w:r>
      <w:proofErr w:type="spellStart"/>
      <w:r w:rsidRPr="000756D7">
        <w:rPr>
          <w:bCs/>
          <w:sz w:val="22"/>
          <w:szCs w:val="22"/>
        </w:rPr>
        <w:t>Fradkin-Hayslip</w:t>
      </w:r>
      <w:proofErr w:type="spellEnd"/>
      <w:r w:rsidRPr="000756D7">
        <w:rPr>
          <w:bCs/>
          <w:sz w:val="22"/>
          <w:szCs w:val="22"/>
        </w:rPr>
        <w:t>. (2021)</w:t>
      </w:r>
      <w:r w:rsidRPr="000756D7">
        <w:rPr>
          <w:sz w:val="22"/>
          <w:szCs w:val="22"/>
        </w:rPr>
        <w:t>.</w:t>
      </w:r>
      <w:r>
        <w:rPr>
          <w:sz w:val="22"/>
          <w:szCs w:val="22"/>
        </w:rPr>
        <w:t xml:space="preserve"> Teacher Autonomy, Motivation, and Job Satisfaction: Perceptions of Elementary School Teachers According to Self-Determination Theory. </w:t>
      </w:r>
      <w:r>
        <w:rPr>
          <w:i/>
          <w:iCs/>
          <w:sz w:val="22"/>
          <w:szCs w:val="22"/>
        </w:rPr>
        <w:t>İlköğretim Online</w:t>
      </w:r>
      <w:r>
        <w:rPr>
          <w:sz w:val="22"/>
          <w:szCs w:val="22"/>
        </w:rPr>
        <w:t xml:space="preserve">, </w:t>
      </w:r>
      <w:r>
        <w:rPr>
          <w:i/>
          <w:iCs/>
          <w:sz w:val="22"/>
          <w:szCs w:val="22"/>
        </w:rPr>
        <w:t>20</w:t>
      </w:r>
      <w:r>
        <w:rPr>
          <w:sz w:val="22"/>
          <w:szCs w:val="22"/>
        </w:rPr>
        <w:t>(2). https://doi.org/10.17051/ilkonline.2021.02.25</w:t>
      </w:r>
      <w:r w:rsidR="000756D7">
        <w:rPr>
          <w:sz w:val="22"/>
          <w:szCs w:val="22"/>
        </w:rPr>
        <w:t>.</w:t>
      </w:r>
    </w:p>
    <w:p w:rsidR="000756D7" w:rsidRDefault="007329B5" w:rsidP="000756D7">
      <w:pPr>
        <w:widowControl w:val="0"/>
        <w:autoSpaceDE w:val="0"/>
        <w:autoSpaceDN w:val="0"/>
        <w:adjustRightInd w:val="0"/>
        <w:ind w:left="480" w:hanging="480"/>
        <w:jc w:val="both"/>
        <w:rPr>
          <w:sz w:val="22"/>
          <w:szCs w:val="22"/>
        </w:rPr>
      </w:pPr>
      <w:proofErr w:type="spellStart"/>
      <w:proofErr w:type="gramStart"/>
      <w:r w:rsidRPr="000756D7">
        <w:rPr>
          <w:bCs/>
          <w:sz w:val="22"/>
          <w:szCs w:val="22"/>
        </w:rPr>
        <w:t>Antonietti</w:t>
      </w:r>
      <w:proofErr w:type="spellEnd"/>
      <w:r w:rsidRPr="000756D7">
        <w:rPr>
          <w:bCs/>
          <w:sz w:val="22"/>
          <w:szCs w:val="22"/>
        </w:rPr>
        <w:t>, C., Cattaneo, A., &amp; Amenduni, F. (2022)</w:t>
      </w:r>
      <w:r w:rsidRPr="000756D7">
        <w:rPr>
          <w:sz w:val="22"/>
          <w:szCs w:val="22"/>
        </w:rPr>
        <w:t>.</w:t>
      </w:r>
      <w:proofErr w:type="gramEnd"/>
      <w:r>
        <w:rPr>
          <w:sz w:val="22"/>
          <w:szCs w:val="22"/>
        </w:rPr>
        <w:t xml:space="preserve"> Can teachers’ digital competence influence technology acceptance in vocational education? </w:t>
      </w:r>
      <w:r>
        <w:rPr>
          <w:i/>
          <w:iCs/>
          <w:sz w:val="22"/>
          <w:szCs w:val="22"/>
        </w:rPr>
        <w:t>Computers in Human Behavior</w:t>
      </w:r>
      <w:r>
        <w:rPr>
          <w:sz w:val="22"/>
          <w:szCs w:val="22"/>
        </w:rPr>
        <w:t xml:space="preserve">, </w:t>
      </w:r>
      <w:r>
        <w:rPr>
          <w:i/>
          <w:iCs/>
          <w:sz w:val="22"/>
          <w:szCs w:val="22"/>
        </w:rPr>
        <w:t>132</w:t>
      </w:r>
      <w:r>
        <w:rPr>
          <w:sz w:val="22"/>
          <w:szCs w:val="22"/>
        </w:rPr>
        <w:t>, 107266. https://doi.org/10.1016/j.chb.2022.107266</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0756D7">
        <w:rPr>
          <w:bCs/>
          <w:sz w:val="22"/>
          <w:szCs w:val="22"/>
        </w:rPr>
        <w:t>Arstorp</w:t>
      </w:r>
      <w:proofErr w:type="spellEnd"/>
      <w:r w:rsidRPr="000756D7">
        <w:rPr>
          <w:bCs/>
          <w:sz w:val="22"/>
          <w:szCs w:val="22"/>
        </w:rPr>
        <w:t>, A.-T., Olofsson, A. D., &amp; Lindberg, J. O. (2024)</w:t>
      </w:r>
      <w:r>
        <w:rPr>
          <w:sz w:val="22"/>
          <w:szCs w:val="22"/>
        </w:rPr>
        <w:t>.</w:t>
      </w:r>
      <w:proofErr w:type="gramEnd"/>
      <w:r>
        <w:rPr>
          <w:sz w:val="22"/>
          <w:szCs w:val="22"/>
        </w:rPr>
        <w:t xml:space="preserve"> Professional digital competence in teacher education – where are we, where are we headed and </w:t>
      </w:r>
      <w:r>
        <w:rPr>
          <w:sz w:val="22"/>
          <w:szCs w:val="22"/>
        </w:rPr>
        <w:lastRenderedPageBreak/>
        <w:t xml:space="preserve">how to get there? </w:t>
      </w:r>
      <w:r>
        <w:rPr>
          <w:i/>
          <w:iCs/>
          <w:sz w:val="22"/>
          <w:szCs w:val="22"/>
        </w:rPr>
        <w:t>Teachers and Teaching</w:t>
      </w:r>
      <w:r>
        <w:rPr>
          <w:sz w:val="22"/>
          <w:szCs w:val="22"/>
        </w:rPr>
        <w:t xml:space="preserve">, </w:t>
      </w:r>
      <w:r>
        <w:rPr>
          <w:i/>
          <w:iCs/>
          <w:sz w:val="22"/>
          <w:szCs w:val="22"/>
        </w:rPr>
        <w:t>30</w:t>
      </w:r>
      <w:r>
        <w:rPr>
          <w:sz w:val="22"/>
          <w:szCs w:val="22"/>
        </w:rPr>
        <w:t>(4), 395–399. https://doi.org/10.1080/13540602.2024.2379845</w:t>
      </w:r>
    </w:p>
    <w:p w:rsidR="001449F9" w:rsidRDefault="007329B5" w:rsidP="001449F9">
      <w:pPr>
        <w:widowControl w:val="0"/>
        <w:autoSpaceDE w:val="0"/>
        <w:autoSpaceDN w:val="0"/>
        <w:adjustRightInd w:val="0"/>
        <w:ind w:left="480" w:hanging="480"/>
        <w:jc w:val="both"/>
        <w:rPr>
          <w:sz w:val="22"/>
          <w:szCs w:val="22"/>
        </w:rPr>
      </w:pPr>
      <w:proofErr w:type="spellStart"/>
      <w:r w:rsidRPr="001449F9">
        <w:rPr>
          <w:bCs/>
          <w:sz w:val="22"/>
          <w:szCs w:val="22"/>
        </w:rPr>
        <w:t>Ballová</w:t>
      </w:r>
      <w:proofErr w:type="spellEnd"/>
      <w:r w:rsidRPr="001449F9">
        <w:rPr>
          <w:bCs/>
          <w:sz w:val="22"/>
          <w:szCs w:val="22"/>
        </w:rPr>
        <w:t xml:space="preserve"> </w:t>
      </w:r>
      <w:proofErr w:type="spellStart"/>
      <w:r w:rsidRPr="001449F9">
        <w:rPr>
          <w:bCs/>
          <w:sz w:val="22"/>
          <w:szCs w:val="22"/>
        </w:rPr>
        <w:t>Mikušková</w:t>
      </w:r>
      <w:proofErr w:type="spellEnd"/>
      <w:r w:rsidRPr="001449F9">
        <w:rPr>
          <w:bCs/>
          <w:sz w:val="22"/>
          <w:szCs w:val="22"/>
        </w:rPr>
        <w:t>, E., Verešová, M., &amp; Gatial, V. (2024)</w:t>
      </w:r>
      <w:r w:rsidRPr="001449F9">
        <w:rPr>
          <w:sz w:val="22"/>
          <w:szCs w:val="22"/>
        </w:rPr>
        <w:t>.</w:t>
      </w:r>
      <w:r>
        <w:rPr>
          <w:sz w:val="22"/>
          <w:szCs w:val="22"/>
        </w:rPr>
        <w:t xml:space="preserve"> Antecedents of teachers’ professional competencies. </w:t>
      </w:r>
      <w:r>
        <w:rPr>
          <w:i/>
          <w:iCs/>
          <w:sz w:val="22"/>
          <w:szCs w:val="22"/>
        </w:rPr>
        <w:t>Cogent Education</w:t>
      </w:r>
      <w:r>
        <w:rPr>
          <w:sz w:val="22"/>
          <w:szCs w:val="22"/>
        </w:rPr>
        <w:t xml:space="preserve">, </w:t>
      </w:r>
      <w:r>
        <w:rPr>
          <w:i/>
          <w:iCs/>
          <w:sz w:val="22"/>
          <w:szCs w:val="22"/>
        </w:rPr>
        <w:t>11</w:t>
      </w:r>
      <w:r>
        <w:rPr>
          <w:sz w:val="22"/>
          <w:szCs w:val="22"/>
        </w:rPr>
        <w:t>(1). https://doi.org/10.1080/2331186X.2023.2286813</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Baroudi</w:t>
      </w:r>
      <w:proofErr w:type="spellEnd"/>
      <w:r w:rsidRPr="001449F9">
        <w:rPr>
          <w:bCs/>
          <w:sz w:val="22"/>
          <w:szCs w:val="22"/>
        </w:rPr>
        <w:t>, S., Tamim, R., &amp; Hojeij, Z. (2022)</w:t>
      </w:r>
      <w:r w:rsidRPr="001449F9">
        <w:rPr>
          <w:sz w:val="22"/>
          <w:szCs w:val="22"/>
        </w:rPr>
        <w:t>.</w:t>
      </w:r>
      <w:proofErr w:type="gramEnd"/>
      <w:r>
        <w:rPr>
          <w:sz w:val="22"/>
          <w:szCs w:val="22"/>
        </w:rPr>
        <w:t xml:space="preserve"> A Quantitative Investigation of Intrinsic and Extrinsic Factors Influencing Teachers’ Job Satisfaction IN Lebanon. </w:t>
      </w:r>
      <w:r>
        <w:rPr>
          <w:i/>
          <w:iCs/>
          <w:sz w:val="22"/>
          <w:szCs w:val="22"/>
        </w:rPr>
        <w:t>Leadership and Policy in Schools</w:t>
      </w:r>
      <w:r>
        <w:rPr>
          <w:sz w:val="22"/>
          <w:szCs w:val="22"/>
        </w:rPr>
        <w:t xml:space="preserve">, </w:t>
      </w:r>
      <w:r>
        <w:rPr>
          <w:i/>
          <w:iCs/>
          <w:sz w:val="22"/>
          <w:szCs w:val="22"/>
        </w:rPr>
        <w:t>21</w:t>
      </w:r>
      <w:r>
        <w:rPr>
          <w:sz w:val="22"/>
          <w:szCs w:val="22"/>
        </w:rPr>
        <w:t>(2), 127–146. https://doi.org/10.1080/15700763.2020.1734210</w:t>
      </w:r>
    </w:p>
    <w:p w:rsidR="001449F9" w:rsidRDefault="007329B5" w:rsidP="001449F9">
      <w:pPr>
        <w:widowControl w:val="0"/>
        <w:autoSpaceDE w:val="0"/>
        <w:autoSpaceDN w:val="0"/>
        <w:adjustRightInd w:val="0"/>
        <w:ind w:left="480" w:hanging="480"/>
        <w:jc w:val="both"/>
        <w:rPr>
          <w:sz w:val="22"/>
          <w:szCs w:val="22"/>
        </w:rPr>
      </w:pPr>
      <w:proofErr w:type="gramStart"/>
      <w:r w:rsidRPr="001449F9">
        <w:rPr>
          <w:bCs/>
          <w:sz w:val="22"/>
          <w:szCs w:val="22"/>
        </w:rPr>
        <w:t>Beardsley, M., Albó, L., Aragón, P., &amp; Hernández‐Leo, D. (2021)</w:t>
      </w:r>
      <w:r w:rsidRPr="001449F9">
        <w:rPr>
          <w:sz w:val="22"/>
          <w:szCs w:val="22"/>
        </w:rPr>
        <w:t>.</w:t>
      </w:r>
      <w:proofErr w:type="gramEnd"/>
      <w:r>
        <w:rPr>
          <w:sz w:val="22"/>
          <w:szCs w:val="22"/>
        </w:rPr>
        <w:t xml:space="preserve"> Emergency education effects on teacher abilities and motivation to use digital technologies. </w:t>
      </w:r>
      <w:r>
        <w:rPr>
          <w:i/>
          <w:iCs/>
          <w:sz w:val="22"/>
          <w:szCs w:val="22"/>
        </w:rPr>
        <w:t>British Journal of Educational Technology</w:t>
      </w:r>
      <w:r>
        <w:rPr>
          <w:sz w:val="22"/>
          <w:szCs w:val="22"/>
        </w:rPr>
        <w:t xml:space="preserve">, </w:t>
      </w:r>
      <w:r>
        <w:rPr>
          <w:i/>
          <w:iCs/>
          <w:sz w:val="22"/>
          <w:szCs w:val="22"/>
        </w:rPr>
        <w:t>52</w:t>
      </w:r>
      <w:r>
        <w:rPr>
          <w:sz w:val="22"/>
          <w:szCs w:val="22"/>
        </w:rPr>
        <w:t>(4), 1455–1477. https://doi.org/10.1111/bjet.13101</w:t>
      </w:r>
    </w:p>
    <w:p w:rsidR="001449F9" w:rsidRDefault="007329B5" w:rsidP="001449F9">
      <w:pPr>
        <w:widowControl w:val="0"/>
        <w:autoSpaceDE w:val="0"/>
        <w:autoSpaceDN w:val="0"/>
        <w:adjustRightInd w:val="0"/>
        <w:ind w:left="480" w:hanging="480"/>
        <w:jc w:val="both"/>
        <w:rPr>
          <w:sz w:val="22"/>
          <w:szCs w:val="22"/>
        </w:rPr>
      </w:pPr>
      <w:proofErr w:type="gramStart"/>
      <w:r w:rsidRPr="001449F9">
        <w:rPr>
          <w:bCs/>
          <w:sz w:val="22"/>
          <w:szCs w:val="22"/>
        </w:rPr>
        <w:t>Campina, A., Pluut, H., Decuypere, A., Bauwens, R., &amp; Audenaert, M. (2022)</w:t>
      </w:r>
      <w:r w:rsidRPr="001449F9">
        <w:rPr>
          <w:sz w:val="22"/>
          <w:szCs w:val="22"/>
        </w:rPr>
        <w:t>.</w:t>
      </w:r>
      <w:proofErr w:type="gramEnd"/>
      <w:r w:rsidRPr="001449F9">
        <w:rPr>
          <w:sz w:val="22"/>
          <w:szCs w:val="22"/>
        </w:rPr>
        <w:t xml:space="preserve"> </w:t>
      </w:r>
      <w:r>
        <w:rPr>
          <w:i/>
          <w:iCs/>
          <w:sz w:val="22"/>
          <w:szCs w:val="22"/>
        </w:rPr>
        <w:t>Leader Psychological Need Satisfaction Trickles Down: The Role of Leader-Member Exchange</w:t>
      </w:r>
      <w:r>
        <w:rPr>
          <w:sz w:val="22"/>
          <w:szCs w:val="22"/>
        </w:rPr>
        <w:t>. https://doi.org/10.3389/fpsyg.2022.799921</w:t>
      </w:r>
    </w:p>
    <w:p w:rsidR="001449F9" w:rsidRDefault="007329B5" w:rsidP="001449F9">
      <w:pPr>
        <w:widowControl w:val="0"/>
        <w:autoSpaceDE w:val="0"/>
        <w:autoSpaceDN w:val="0"/>
        <w:adjustRightInd w:val="0"/>
        <w:ind w:left="480" w:hanging="480"/>
        <w:jc w:val="both"/>
        <w:rPr>
          <w:sz w:val="22"/>
          <w:szCs w:val="22"/>
        </w:rPr>
      </w:pPr>
      <w:proofErr w:type="gramStart"/>
      <w:r w:rsidRPr="001449F9">
        <w:rPr>
          <w:bCs/>
          <w:sz w:val="22"/>
          <w:szCs w:val="22"/>
        </w:rPr>
        <w:t>Comstock, M., Supovitz, J., &amp; Kaul, M. (2021)</w:t>
      </w:r>
      <w:r>
        <w:rPr>
          <w:sz w:val="22"/>
          <w:szCs w:val="22"/>
        </w:rPr>
        <w:t>.</w:t>
      </w:r>
      <w:proofErr w:type="gramEnd"/>
      <w:r>
        <w:rPr>
          <w:sz w:val="22"/>
          <w:szCs w:val="22"/>
        </w:rPr>
        <w:t xml:space="preserve"> Exchange quality in teacher leadership ties: examining relational quality using social network and leader-member exchange theories. </w:t>
      </w:r>
      <w:r>
        <w:rPr>
          <w:i/>
          <w:iCs/>
          <w:sz w:val="22"/>
          <w:szCs w:val="22"/>
        </w:rPr>
        <w:t>Journal of Professional Capital and Community</w:t>
      </w:r>
      <w:r>
        <w:rPr>
          <w:sz w:val="22"/>
          <w:szCs w:val="22"/>
        </w:rPr>
        <w:t xml:space="preserve">, </w:t>
      </w:r>
      <w:r>
        <w:rPr>
          <w:i/>
          <w:iCs/>
          <w:sz w:val="22"/>
          <w:szCs w:val="22"/>
        </w:rPr>
        <w:t>6</w:t>
      </w:r>
      <w:r>
        <w:rPr>
          <w:sz w:val="22"/>
          <w:szCs w:val="22"/>
        </w:rPr>
        <w:t>(4), 395–409. https://doi.org/10.1108/JPCC-01-2021-0002</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Čopková</w:t>
      </w:r>
      <w:proofErr w:type="spellEnd"/>
      <w:r w:rsidRPr="001449F9">
        <w:rPr>
          <w:bCs/>
          <w:sz w:val="22"/>
          <w:szCs w:val="22"/>
        </w:rPr>
        <w:t>, R. (2020)</w:t>
      </w:r>
      <w:r w:rsidRPr="001449F9">
        <w:rPr>
          <w:sz w:val="22"/>
          <w:szCs w:val="22"/>
        </w:rPr>
        <w:t>.</w:t>
      </w:r>
      <w:proofErr w:type="gramEnd"/>
      <w:r w:rsidRPr="001449F9">
        <w:rPr>
          <w:sz w:val="22"/>
          <w:szCs w:val="22"/>
        </w:rPr>
        <w:t xml:space="preserve"> </w:t>
      </w:r>
      <w:r>
        <w:rPr>
          <w:sz w:val="22"/>
          <w:szCs w:val="22"/>
        </w:rPr>
        <w:t xml:space="preserve">The Dark Triad in Helping Professions – Comparison of Teachers and Pedagogy Students. </w:t>
      </w:r>
      <w:r>
        <w:rPr>
          <w:i/>
          <w:iCs/>
          <w:sz w:val="22"/>
          <w:szCs w:val="22"/>
        </w:rPr>
        <w:t>JWEE</w:t>
      </w:r>
      <w:r>
        <w:rPr>
          <w:sz w:val="22"/>
          <w:szCs w:val="22"/>
        </w:rPr>
        <w:t xml:space="preserve">, </w:t>
      </w:r>
      <w:r>
        <w:rPr>
          <w:i/>
          <w:iCs/>
          <w:sz w:val="22"/>
          <w:szCs w:val="22"/>
        </w:rPr>
        <w:t>1</w:t>
      </w:r>
      <w:r>
        <w:rPr>
          <w:sz w:val="22"/>
          <w:szCs w:val="22"/>
        </w:rPr>
        <w:t>–</w:t>
      </w:r>
      <w:r>
        <w:rPr>
          <w:i/>
          <w:iCs/>
          <w:sz w:val="22"/>
          <w:szCs w:val="22"/>
        </w:rPr>
        <w:t>2</w:t>
      </w:r>
      <w:r>
        <w:rPr>
          <w:sz w:val="22"/>
          <w:szCs w:val="22"/>
        </w:rPr>
        <w:t>, 125–141. https://doi.org/10.28934/jwee20.12.pp125-141</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Dağdeviren</w:t>
      </w:r>
      <w:proofErr w:type="spellEnd"/>
      <w:r w:rsidRPr="001449F9">
        <w:rPr>
          <w:bCs/>
          <w:sz w:val="22"/>
          <w:szCs w:val="22"/>
        </w:rPr>
        <w:t xml:space="preserve"> </w:t>
      </w:r>
      <w:proofErr w:type="spellStart"/>
      <w:r w:rsidRPr="001449F9">
        <w:rPr>
          <w:bCs/>
          <w:sz w:val="22"/>
          <w:szCs w:val="22"/>
        </w:rPr>
        <w:t>Ertaş</w:t>
      </w:r>
      <w:proofErr w:type="spellEnd"/>
      <w:r w:rsidRPr="001449F9">
        <w:rPr>
          <w:bCs/>
          <w:sz w:val="22"/>
          <w:szCs w:val="22"/>
        </w:rPr>
        <w:t>, B., Fulya, ·, &amp; Pekmezci, B. (2025)</w:t>
      </w:r>
      <w:r w:rsidRPr="001449F9">
        <w:rPr>
          <w:sz w:val="22"/>
          <w:szCs w:val="22"/>
        </w:rPr>
        <w:t>.</w:t>
      </w:r>
      <w:proofErr w:type="gramEnd"/>
      <w:r>
        <w:rPr>
          <w:sz w:val="22"/>
          <w:szCs w:val="22"/>
        </w:rPr>
        <w:t xml:space="preserve"> Career Motivation and Job Satisfaction in Türkiye: Mediating Role of Teacher İnnovativeness and İnstructional Practice. </w:t>
      </w:r>
      <w:r>
        <w:rPr>
          <w:i/>
          <w:iCs/>
          <w:sz w:val="22"/>
          <w:szCs w:val="22"/>
        </w:rPr>
        <w:t>The Asia-Pacific Education Researcher</w:t>
      </w:r>
      <w:r>
        <w:rPr>
          <w:sz w:val="22"/>
          <w:szCs w:val="22"/>
        </w:rPr>
        <w:t xml:space="preserve">, </w:t>
      </w:r>
      <w:r>
        <w:rPr>
          <w:i/>
          <w:iCs/>
          <w:sz w:val="22"/>
          <w:szCs w:val="22"/>
        </w:rPr>
        <w:t>34</w:t>
      </w:r>
      <w:r>
        <w:rPr>
          <w:sz w:val="22"/>
          <w:szCs w:val="22"/>
        </w:rPr>
        <w:t>, 193–207. https://doi.org/10.1007/s40299-024-00846-1</w:t>
      </w:r>
    </w:p>
    <w:p w:rsidR="001449F9" w:rsidRDefault="007329B5" w:rsidP="001449F9">
      <w:pPr>
        <w:widowControl w:val="0"/>
        <w:autoSpaceDE w:val="0"/>
        <w:autoSpaceDN w:val="0"/>
        <w:adjustRightInd w:val="0"/>
        <w:ind w:left="480" w:hanging="480"/>
        <w:jc w:val="both"/>
        <w:rPr>
          <w:sz w:val="22"/>
          <w:szCs w:val="22"/>
        </w:rPr>
      </w:pPr>
      <w:proofErr w:type="gramStart"/>
      <w:r w:rsidRPr="001449F9">
        <w:rPr>
          <w:bCs/>
          <w:sz w:val="22"/>
          <w:szCs w:val="22"/>
        </w:rPr>
        <w:t>Dai, K., Ma, J., Han, F., &amp; Althubyani, A. R. (2024)</w:t>
      </w:r>
      <w:r w:rsidRPr="001449F9">
        <w:rPr>
          <w:sz w:val="22"/>
          <w:szCs w:val="22"/>
        </w:rPr>
        <w:t>.</w:t>
      </w:r>
      <w:proofErr w:type="gramEnd"/>
      <w:r>
        <w:rPr>
          <w:sz w:val="22"/>
          <w:szCs w:val="22"/>
        </w:rPr>
        <w:t xml:space="preserve"> </w:t>
      </w:r>
      <w:r>
        <w:rPr>
          <w:i/>
          <w:iCs/>
          <w:sz w:val="22"/>
          <w:szCs w:val="22"/>
        </w:rPr>
        <w:t>Digital Competence of Teachers and the Factors Affecting Their Competence Level: A Nationwide Mixed-Methods Study</w:t>
      </w:r>
      <w:r>
        <w:rPr>
          <w:sz w:val="22"/>
          <w:szCs w:val="22"/>
        </w:rPr>
        <w:t>. https://doi.org/10.3390/su16072796</w:t>
      </w:r>
    </w:p>
    <w:p w:rsidR="001449F9" w:rsidRDefault="007329B5" w:rsidP="001449F9">
      <w:pPr>
        <w:widowControl w:val="0"/>
        <w:autoSpaceDE w:val="0"/>
        <w:autoSpaceDN w:val="0"/>
        <w:adjustRightInd w:val="0"/>
        <w:ind w:left="480" w:hanging="480"/>
        <w:jc w:val="both"/>
        <w:rPr>
          <w:sz w:val="22"/>
          <w:szCs w:val="22"/>
        </w:rPr>
      </w:pPr>
      <w:proofErr w:type="gramStart"/>
      <w:r w:rsidRPr="001449F9">
        <w:rPr>
          <w:bCs/>
          <w:sz w:val="22"/>
          <w:szCs w:val="22"/>
        </w:rPr>
        <w:t>Darling-Hammond, L. (2021)</w:t>
      </w:r>
      <w:r w:rsidRPr="001449F9">
        <w:rPr>
          <w:sz w:val="22"/>
          <w:szCs w:val="22"/>
        </w:rPr>
        <w:t>.</w:t>
      </w:r>
      <w:proofErr w:type="gramEnd"/>
      <w:r>
        <w:rPr>
          <w:sz w:val="22"/>
          <w:szCs w:val="22"/>
        </w:rPr>
        <w:t xml:space="preserve"> Defining teaching quality around the world. </w:t>
      </w:r>
      <w:r>
        <w:rPr>
          <w:i/>
          <w:iCs/>
          <w:sz w:val="22"/>
          <w:szCs w:val="22"/>
        </w:rPr>
        <w:t>European Journal of Teacher Education</w:t>
      </w:r>
      <w:r>
        <w:rPr>
          <w:sz w:val="22"/>
          <w:szCs w:val="22"/>
        </w:rPr>
        <w:t xml:space="preserve">, </w:t>
      </w:r>
      <w:r>
        <w:rPr>
          <w:i/>
          <w:iCs/>
          <w:sz w:val="22"/>
          <w:szCs w:val="22"/>
        </w:rPr>
        <w:t>44</w:t>
      </w:r>
      <w:r>
        <w:rPr>
          <w:sz w:val="22"/>
          <w:szCs w:val="22"/>
        </w:rPr>
        <w:t>(3), 295–308. https://doi.org/10.1080/02619768.2021.1919080</w:t>
      </w:r>
    </w:p>
    <w:p w:rsidR="001449F9" w:rsidRDefault="007329B5" w:rsidP="001449F9">
      <w:pPr>
        <w:widowControl w:val="0"/>
        <w:autoSpaceDE w:val="0"/>
        <w:autoSpaceDN w:val="0"/>
        <w:adjustRightInd w:val="0"/>
        <w:ind w:left="480" w:hanging="480"/>
        <w:jc w:val="both"/>
        <w:rPr>
          <w:sz w:val="22"/>
          <w:szCs w:val="22"/>
        </w:rPr>
      </w:pPr>
      <w:r w:rsidRPr="001449F9">
        <w:rPr>
          <w:bCs/>
          <w:sz w:val="22"/>
          <w:szCs w:val="22"/>
        </w:rPr>
        <w:t>David, L., &amp; Weinstein, N. (2024a)</w:t>
      </w:r>
      <w:r w:rsidRPr="001449F9">
        <w:rPr>
          <w:sz w:val="22"/>
          <w:szCs w:val="22"/>
        </w:rPr>
        <w:t>.</w:t>
      </w:r>
      <w:r>
        <w:rPr>
          <w:sz w:val="22"/>
          <w:szCs w:val="22"/>
        </w:rPr>
        <w:t xml:space="preserve"> The how and how much of technology use in the classroom: A motivational approach to teachers’ technology use. </w:t>
      </w:r>
      <w:r>
        <w:rPr>
          <w:i/>
          <w:iCs/>
          <w:sz w:val="22"/>
          <w:szCs w:val="22"/>
        </w:rPr>
        <w:t>European Journal of Education</w:t>
      </w:r>
      <w:r>
        <w:rPr>
          <w:sz w:val="22"/>
          <w:szCs w:val="22"/>
        </w:rPr>
        <w:t xml:space="preserve">, </w:t>
      </w:r>
      <w:r>
        <w:rPr>
          <w:i/>
          <w:iCs/>
          <w:sz w:val="22"/>
          <w:szCs w:val="22"/>
        </w:rPr>
        <w:t>59</w:t>
      </w:r>
      <w:r>
        <w:rPr>
          <w:sz w:val="22"/>
          <w:szCs w:val="22"/>
        </w:rPr>
        <w:t>(4). https://doi.org/10.1111/ejed.12674</w:t>
      </w:r>
    </w:p>
    <w:p w:rsidR="001449F9" w:rsidRDefault="007329B5" w:rsidP="001449F9">
      <w:pPr>
        <w:widowControl w:val="0"/>
        <w:autoSpaceDE w:val="0"/>
        <w:autoSpaceDN w:val="0"/>
        <w:adjustRightInd w:val="0"/>
        <w:ind w:left="480" w:hanging="480"/>
        <w:jc w:val="both"/>
        <w:rPr>
          <w:sz w:val="22"/>
          <w:szCs w:val="22"/>
        </w:rPr>
      </w:pPr>
      <w:r w:rsidRPr="001449F9">
        <w:rPr>
          <w:bCs/>
          <w:sz w:val="22"/>
          <w:szCs w:val="22"/>
        </w:rPr>
        <w:t>David, L., &amp; Weinstein, N. (2024b)</w:t>
      </w:r>
      <w:r w:rsidRPr="001449F9">
        <w:rPr>
          <w:sz w:val="22"/>
          <w:szCs w:val="22"/>
        </w:rPr>
        <w:t>.</w:t>
      </w:r>
      <w:r>
        <w:rPr>
          <w:sz w:val="22"/>
          <w:szCs w:val="22"/>
        </w:rPr>
        <w:t xml:space="preserve"> Using technology to make learning fun: technology use is best made fun and challenging to optimize intrinsic motivation and engagement. </w:t>
      </w:r>
      <w:r>
        <w:rPr>
          <w:i/>
          <w:iCs/>
          <w:sz w:val="22"/>
          <w:szCs w:val="22"/>
        </w:rPr>
        <w:t>European Journal of Psychology of Education</w:t>
      </w:r>
      <w:r>
        <w:rPr>
          <w:sz w:val="22"/>
          <w:szCs w:val="22"/>
        </w:rPr>
        <w:t xml:space="preserve">, </w:t>
      </w:r>
      <w:r>
        <w:rPr>
          <w:i/>
          <w:iCs/>
          <w:sz w:val="22"/>
          <w:szCs w:val="22"/>
        </w:rPr>
        <w:t>39</w:t>
      </w:r>
      <w:r>
        <w:rPr>
          <w:sz w:val="22"/>
          <w:szCs w:val="22"/>
        </w:rPr>
        <w:t>(2), 1441–1463. https://doi.org/10.1007/s10212-023-00734-0</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Dogbe</w:t>
      </w:r>
      <w:proofErr w:type="spellEnd"/>
      <w:r w:rsidRPr="001449F9">
        <w:rPr>
          <w:bCs/>
          <w:sz w:val="22"/>
          <w:szCs w:val="22"/>
        </w:rPr>
        <w:t>, C. S. K., Tweneboah, I., Basoah, P., Arkrofi, A. A., &amp; Appiah, N. (2024)</w:t>
      </w:r>
      <w:r>
        <w:rPr>
          <w:sz w:val="22"/>
          <w:szCs w:val="22"/>
        </w:rPr>
        <w:t>.</w:t>
      </w:r>
      <w:proofErr w:type="gramEnd"/>
      <w:r>
        <w:rPr>
          <w:sz w:val="22"/>
          <w:szCs w:val="22"/>
        </w:rPr>
        <w:t xml:space="preserve"> Mediating role of teacher creativity in the relationships between internal </w:t>
      </w:r>
      <w:r>
        <w:rPr>
          <w:sz w:val="22"/>
          <w:szCs w:val="22"/>
        </w:rPr>
        <w:lastRenderedPageBreak/>
        <w:t xml:space="preserve">strategic communication, feedback seeking behavior and teacher performance. </w:t>
      </w:r>
      <w:r>
        <w:rPr>
          <w:i/>
          <w:iCs/>
          <w:sz w:val="22"/>
          <w:szCs w:val="22"/>
        </w:rPr>
        <w:t>Cogent Education</w:t>
      </w:r>
      <w:r>
        <w:rPr>
          <w:sz w:val="22"/>
          <w:szCs w:val="22"/>
        </w:rPr>
        <w:t xml:space="preserve">, </w:t>
      </w:r>
      <w:r>
        <w:rPr>
          <w:i/>
          <w:iCs/>
          <w:sz w:val="22"/>
          <w:szCs w:val="22"/>
        </w:rPr>
        <w:t>11</w:t>
      </w:r>
      <w:r>
        <w:rPr>
          <w:sz w:val="22"/>
          <w:szCs w:val="22"/>
        </w:rPr>
        <w:t>(1). https://doi.org/10.1080/2331186X.2024.2351260</w:t>
      </w:r>
      <w:r w:rsidR="001449F9">
        <w:rPr>
          <w:sz w:val="22"/>
          <w:szCs w:val="22"/>
        </w:rPr>
        <w:t>.</w:t>
      </w:r>
    </w:p>
    <w:p w:rsidR="001449F9" w:rsidRDefault="007329B5" w:rsidP="001449F9">
      <w:pPr>
        <w:widowControl w:val="0"/>
        <w:autoSpaceDE w:val="0"/>
        <w:autoSpaceDN w:val="0"/>
        <w:adjustRightInd w:val="0"/>
        <w:ind w:left="480" w:hanging="480"/>
        <w:jc w:val="both"/>
        <w:rPr>
          <w:sz w:val="22"/>
          <w:szCs w:val="22"/>
        </w:rPr>
      </w:pPr>
      <w:proofErr w:type="gramStart"/>
      <w:r w:rsidRPr="001449F9">
        <w:rPr>
          <w:bCs/>
          <w:sz w:val="22"/>
          <w:szCs w:val="22"/>
        </w:rPr>
        <w:t>Evers, A. T., Messmann, G., &amp; Kreijns, K. (2024)</w:t>
      </w:r>
      <w:r w:rsidRPr="001449F9">
        <w:rPr>
          <w:sz w:val="22"/>
          <w:szCs w:val="22"/>
        </w:rPr>
        <w:t>.</w:t>
      </w:r>
      <w:proofErr w:type="gramEnd"/>
      <w:r>
        <w:rPr>
          <w:sz w:val="22"/>
          <w:szCs w:val="22"/>
        </w:rPr>
        <w:t xml:space="preserve"> Distributed leadership, leader-member exchange and innovative work behavior: the mediating role of basic psychological needs satisfaction. </w:t>
      </w:r>
      <w:r>
        <w:rPr>
          <w:i/>
          <w:iCs/>
          <w:sz w:val="22"/>
          <w:szCs w:val="22"/>
        </w:rPr>
        <w:t>Current Psychology</w:t>
      </w:r>
      <w:r>
        <w:rPr>
          <w:sz w:val="22"/>
          <w:szCs w:val="22"/>
        </w:rPr>
        <w:t xml:space="preserve">, </w:t>
      </w:r>
      <w:r>
        <w:rPr>
          <w:i/>
          <w:iCs/>
          <w:sz w:val="22"/>
          <w:szCs w:val="22"/>
        </w:rPr>
        <w:t>43</w:t>
      </w:r>
      <w:r>
        <w:rPr>
          <w:sz w:val="22"/>
          <w:szCs w:val="22"/>
        </w:rPr>
        <w:t>(12), 11037–11049. https://doi.org/10.1007/s12144-023-05048-4</w:t>
      </w:r>
    </w:p>
    <w:p w:rsidR="001449F9" w:rsidRDefault="007329B5" w:rsidP="001449F9">
      <w:pPr>
        <w:widowControl w:val="0"/>
        <w:autoSpaceDE w:val="0"/>
        <w:autoSpaceDN w:val="0"/>
        <w:adjustRightInd w:val="0"/>
        <w:ind w:left="480" w:hanging="480"/>
        <w:jc w:val="both"/>
        <w:rPr>
          <w:sz w:val="22"/>
          <w:szCs w:val="22"/>
        </w:rPr>
      </w:pPr>
      <w:proofErr w:type="spellStart"/>
      <w:r w:rsidRPr="001449F9">
        <w:rPr>
          <w:bCs/>
          <w:sz w:val="22"/>
          <w:szCs w:val="22"/>
        </w:rPr>
        <w:t>Falloon</w:t>
      </w:r>
      <w:proofErr w:type="spellEnd"/>
      <w:r w:rsidRPr="001449F9">
        <w:rPr>
          <w:bCs/>
          <w:sz w:val="22"/>
          <w:szCs w:val="22"/>
        </w:rPr>
        <w:t>, G. (2020)</w:t>
      </w:r>
      <w:r w:rsidRPr="001449F9">
        <w:rPr>
          <w:sz w:val="22"/>
          <w:szCs w:val="22"/>
        </w:rPr>
        <w:t>.</w:t>
      </w:r>
      <w:r>
        <w:rPr>
          <w:sz w:val="22"/>
          <w:szCs w:val="22"/>
        </w:rPr>
        <w:t xml:space="preserve"> From digital literacy to digital competence: the teacher digital competency (TDC) framework. </w:t>
      </w:r>
      <w:r>
        <w:rPr>
          <w:i/>
          <w:iCs/>
          <w:sz w:val="22"/>
          <w:szCs w:val="22"/>
        </w:rPr>
        <w:t>Educational Technology Research and Development</w:t>
      </w:r>
      <w:r>
        <w:rPr>
          <w:sz w:val="22"/>
          <w:szCs w:val="22"/>
        </w:rPr>
        <w:t xml:space="preserve">, </w:t>
      </w:r>
      <w:r>
        <w:rPr>
          <w:i/>
          <w:iCs/>
          <w:sz w:val="22"/>
          <w:szCs w:val="22"/>
        </w:rPr>
        <w:t>68</w:t>
      </w:r>
      <w:r>
        <w:rPr>
          <w:sz w:val="22"/>
          <w:szCs w:val="22"/>
        </w:rPr>
        <w:t>(5), 2449–2472. https://doi.org/10.1007/s11423-020-09767-4</w:t>
      </w:r>
    </w:p>
    <w:p w:rsidR="001449F9" w:rsidRDefault="007329B5" w:rsidP="001449F9">
      <w:pPr>
        <w:widowControl w:val="0"/>
        <w:autoSpaceDE w:val="0"/>
        <w:autoSpaceDN w:val="0"/>
        <w:adjustRightInd w:val="0"/>
        <w:ind w:left="480" w:hanging="480"/>
        <w:jc w:val="both"/>
        <w:rPr>
          <w:sz w:val="22"/>
          <w:szCs w:val="22"/>
        </w:rPr>
      </w:pPr>
      <w:proofErr w:type="gramStart"/>
      <w:r w:rsidRPr="001449F9">
        <w:rPr>
          <w:bCs/>
          <w:sz w:val="22"/>
          <w:szCs w:val="22"/>
        </w:rPr>
        <w:t>Fang, J., Zhang, Q., Rao, P., Ouyang, G., Jiménez-Zarco, A., &amp; Wang, J. (2025)</w:t>
      </w:r>
      <w:r w:rsidRPr="001449F9">
        <w:rPr>
          <w:sz w:val="22"/>
          <w:szCs w:val="22"/>
        </w:rPr>
        <w:t>.</w:t>
      </w:r>
      <w:proofErr w:type="gramEnd"/>
      <w:r>
        <w:rPr>
          <w:sz w:val="22"/>
          <w:szCs w:val="22"/>
        </w:rPr>
        <w:t xml:space="preserve"> </w:t>
      </w:r>
      <w:r>
        <w:rPr>
          <w:i/>
          <w:iCs/>
          <w:sz w:val="22"/>
          <w:szCs w:val="22"/>
        </w:rPr>
        <w:t>How leader-member exchange affects university teachers’ scholarship of teaching and learning performance: a comprehensive analysis of psychological capital, LMX differentiation, and traditionality OPEN ACCESS EDITED BY</w:t>
      </w:r>
      <w:r>
        <w:rPr>
          <w:sz w:val="22"/>
          <w:szCs w:val="22"/>
        </w:rPr>
        <w:t>. https://doi.org/10.3389/fpsyg.2025.1514700</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García-Vandewalle</w:t>
      </w:r>
      <w:proofErr w:type="spellEnd"/>
      <w:r w:rsidRPr="001449F9">
        <w:rPr>
          <w:bCs/>
          <w:sz w:val="22"/>
          <w:szCs w:val="22"/>
        </w:rPr>
        <w:t xml:space="preserve"> </w:t>
      </w:r>
      <w:proofErr w:type="spellStart"/>
      <w:r w:rsidRPr="001449F9">
        <w:rPr>
          <w:bCs/>
          <w:sz w:val="22"/>
          <w:szCs w:val="22"/>
        </w:rPr>
        <w:t>García</w:t>
      </w:r>
      <w:proofErr w:type="spellEnd"/>
      <w:r w:rsidRPr="001449F9">
        <w:rPr>
          <w:bCs/>
          <w:sz w:val="22"/>
          <w:szCs w:val="22"/>
        </w:rPr>
        <w:t>, J. M., García-Carmona, M., Trujillo Torres, J. M., &amp; Moya Fernández, P. (2023)</w:t>
      </w:r>
      <w:r w:rsidRPr="001449F9">
        <w:rPr>
          <w:sz w:val="22"/>
          <w:szCs w:val="22"/>
        </w:rPr>
        <w:t>.</w:t>
      </w:r>
      <w:proofErr w:type="gramEnd"/>
      <w:r>
        <w:rPr>
          <w:sz w:val="22"/>
          <w:szCs w:val="22"/>
        </w:rPr>
        <w:t xml:space="preserve"> Analysis of digital competence of educators (DigCompEdu) in teacher trainees: the context of Melilla, Spain. </w:t>
      </w:r>
      <w:r>
        <w:rPr>
          <w:i/>
          <w:iCs/>
          <w:sz w:val="22"/>
          <w:szCs w:val="22"/>
        </w:rPr>
        <w:t>Technology, Knowledge and Learning</w:t>
      </w:r>
      <w:r>
        <w:rPr>
          <w:sz w:val="22"/>
          <w:szCs w:val="22"/>
        </w:rPr>
        <w:t xml:space="preserve">, </w:t>
      </w:r>
      <w:r>
        <w:rPr>
          <w:i/>
          <w:iCs/>
          <w:sz w:val="22"/>
          <w:szCs w:val="22"/>
        </w:rPr>
        <w:t>28</w:t>
      </w:r>
      <w:r>
        <w:rPr>
          <w:sz w:val="22"/>
          <w:szCs w:val="22"/>
        </w:rPr>
        <w:t>(2), 585–612. https://doi.org/10.1007/s10758-021-09546-x</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Gisbert</w:t>
      </w:r>
      <w:proofErr w:type="spellEnd"/>
      <w:r w:rsidRPr="001449F9">
        <w:rPr>
          <w:bCs/>
          <w:sz w:val="22"/>
          <w:szCs w:val="22"/>
        </w:rPr>
        <w:t xml:space="preserve"> </w:t>
      </w:r>
      <w:proofErr w:type="spellStart"/>
      <w:r w:rsidRPr="001449F9">
        <w:rPr>
          <w:bCs/>
          <w:sz w:val="22"/>
          <w:szCs w:val="22"/>
        </w:rPr>
        <w:t>Cervera</w:t>
      </w:r>
      <w:proofErr w:type="spellEnd"/>
      <w:r w:rsidRPr="001449F9">
        <w:rPr>
          <w:bCs/>
          <w:sz w:val="22"/>
          <w:szCs w:val="22"/>
        </w:rPr>
        <w:t>, M., &amp; Caena, F. (2022)</w:t>
      </w:r>
      <w:r w:rsidRPr="001449F9">
        <w:rPr>
          <w:sz w:val="22"/>
          <w:szCs w:val="22"/>
        </w:rPr>
        <w:t>.</w:t>
      </w:r>
      <w:proofErr w:type="gramEnd"/>
      <w:r>
        <w:rPr>
          <w:sz w:val="22"/>
          <w:szCs w:val="22"/>
        </w:rPr>
        <w:t xml:space="preserve"> Teachers’ digital competence for global teacher education. </w:t>
      </w:r>
      <w:r>
        <w:rPr>
          <w:i/>
          <w:iCs/>
          <w:sz w:val="22"/>
          <w:szCs w:val="22"/>
        </w:rPr>
        <w:t>European Journal of Teacher Education</w:t>
      </w:r>
      <w:r>
        <w:rPr>
          <w:sz w:val="22"/>
          <w:szCs w:val="22"/>
        </w:rPr>
        <w:t xml:space="preserve">, </w:t>
      </w:r>
      <w:r>
        <w:rPr>
          <w:i/>
          <w:iCs/>
          <w:sz w:val="22"/>
          <w:szCs w:val="22"/>
        </w:rPr>
        <w:t>45</w:t>
      </w:r>
      <w:r>
        <w:rPr>
          <w:sz w:val="22"/>
          <w:szCs w:val="22"/>
        </w:rPr>
        <w:t>(4), 451–455. https://doi.org/10.1080/02619768.2022.2135855</w:t>
      </w:r>
    </w:p>
    <w:p w:rsidR="001449F9" w:rsidRDefault="007329B5" w:rsidP="001449F9">
      <w:pPr>
        <w:widowControl w:val="0"/>
        <w:autoSpaceDE w:val="0"/>
        <w:autoSpaceDN w:val="0"/>
        <w:adjustRightInd w:val="0"/>
        <w:ind w:left="480" w:hanging="480"/>
        <w:jc w:val="both"/>
        <w:rPr>
          <w:sz w:val="22"/>
          <w:szCs w:val="22"/>
        </w:rPr>
      </w:pPr>
      <w:r w:rsidRPr="001449F9">
        <w:rPr>
          <w:bCs/>
          <w:sz w:val="22"/>
          <w:szCs w:val="22"/>
        </w:rPr>
        <w:t xml:space="preserve">González-Medina, I., Gavín-Chocano, </w:t>
      </w:r>
      <w:proofErr w:type="gramStart"/>
      <w:r w:rsidRPr="001449F9">
        <w:rPr>
          <w:bCs/>
          <w:sz w:val="22"/>
          <w:szCs w:val="22"/>
        </w:rPr>
        <w:t>Ó.,</w:t>
      </w:r>
      <w:proofErr w:type="gramEnd"/>
      <w:r w:rsidRPr="001449F9">
        <w:rPr>
          <w:bCs/>
          <w:sz w:val="22"/>
          <w:szCs w:val="22"/>
        </w:rPr>
        <w:t xml:space="preserve"> Pérez-Navío, E., Aurora, G., &amp; Berea, M. (2025)</w:t>
      </w:r>
      <w:r w:rsidRPr="001449F9">
        <w:rPr>
          <w:sz w:val="22"/>
          <w:szCs w:val="22"/>
        </w:rPr>
        <w:t xml:space="preserve">. </w:t>
      </w:r>
      <w:r>
        <w:rPr>
          <w:i/>
          <w:iCs/>
          <w:sz w:val="22"/>
          <w:szCs w:val="22"/>
        </w:rPr>
        <w:t>Trajectories of Digital Teaching Competence: A Multidimensional PLS-SEM Study in University Contexts</w:t>
      </w:r>
      <w:r>
        <w:rPr>
          <w:sz w:val="22"/>
          <w:szCs w:val="22"/>
        </w:rPr>
        <w:t>. https://doi.org/10.3390/info16050373</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Guillén-Gámez</w:t>
      </w:r>
      <w:proofErr w:type="spellEnd"/>
      <w:r w:rsidRPr="001449F9">
        <w:rPr>
          <w:bCs/>
          <w:sz w:val="22"/>
          <w:szCs w:val="22"/>
        </w:rPr>
        <w:t>, F. D., Colomo-Magaña, E., Ruiz-Palmero, J., &amp; Tomczyk, Ł. (2025)</w:t>
      </w:r>
      <w:r w:rsidRPr="001449F9">
        <w:rPr>
          <w:sz w:val="22"/>
          <w:szCs w:val="22"/>
        </w:rPr>
        <w:t>.</w:t>
      </w:r>
      <w:proofErr w:type="gramEnd"/>
      <w:r>
        <w:rPr>
          <w:sz w:val="22"/>
          <w:szCs w:val="22"/>
        </w:rPr>
        <w:t xml:space="preserve"> The digital competence of the rural teacher of primary education in the mentoring process: a study by teaching speciality and gender. </w:t>
      </w:r>
      <w:r>
        <w:rPr>
          <w:i/>
          <w:iCs/>
          <w:sz w:val="22"/>
          <w:szCs w:val="22"/>
        </w:rPr>
        <w:t>Journal of Research in Innovative Teaching &amp; Learning</w:t>
      </w:r>
      <w:r>
        <w:rPr>
          <w:sz w:val="22"/>
          <w:szCs w:val="22"/>
        </w:rPr>
        <w:t xml:space="preserve">, </w:t>
      </w:r>
      <w:r>
        <w:rPr>
          <w:i/>
          <w:iCs/>
          <w:sz w:val="22"/>
          <w:szCs w:val="22"/>
        </w:rPr>
        <w:t>18</w:t>
      </w:r>
      <w:r>
        <w:rPr>
          <w:sz w:val="22"/>
          <w:szCs w:val="22"/>
        </w:rPr>
        <w:t>(1), 3–19. https://doi.org/10.1108/JRIT-05-2023-0050</w:t>
      </w:r>
    </w:p>
    <w:p w:rsidR="001449F9" w:rsidRDefault="007329B5" w:rsidP="001449F9">
      <w:pPr>
        <w:widowControl w:val="0"/>
        <w:autoSpaceDE w:val="0"/>
        <w:autoSpaceDN w:val="0"/>
        <w:adjustRightInd w:val="0"/>
        <w:ind w:left="480" w:hanging="480"/>
        <w:jc w:val="both"/>
        <w:rPr>
          <w:sz w:val="22"/>
          <w:szCs w:val="22"/>
        </w:rPr>
      </w:pPr>
      <w:r w:rsidRPr="001449F9">
        <w:rPr>
          <w:sz w:val="22"/>
          <w:szCs w:val="22"/>
        </w:rPr>
        <w:t xml:space="preserve"> </w:t>
      </w:r>
      <w:proofErr w:type="gramStart"/>
      <w:r w:rsidRPr="001449F9">
        <w:rPr>
          <w:bCs/>
          <w:sz w:val="22"/>
          <w:szCs w:val="22"/>
        </w:rPr>
        <w:t>Hair, J. F., Sarstedt, M., Ringle, C. M., Sharma, P. N., &amp; Liengaard, B. D. (2024)</w:t>
      </w:r>
      <w:r w:rsidRPr="001449F9">
        <w:rPr>
          <w:sz w:val="22"/>
          <w:szCs w:val="22"/>
        </w:rPr>
        <w:t>.</w:t>
      </w:r>
      <w:proofErr w:type="gramEnd"/>
      <w:r>
        <w:rPr>
          <w:sz w:val="22"/>
          <w:szCs w:val="22"/>
        </w:rPr>
        <w:t xml:space="preserve"> Going beyond the untold facts in PLS–SEM and moving forward. </w:t>
      </w:r>
      <w:r>
        <w:rPr>
          <w:i/>
          <w:iCs/>
          <w:sz w:val="22"/>
          <w:szCs w:val="22"/>
        </w:rPr>
        <w:t>European Journal of Marketing</w:t>
      </w:r>
      <w:r>
        <w:rPr>
          <w:sz w:val="22"/>
          <w:szCs w:val="22"/>
        </w:rPr>
        <w:t xml:space="preserve">, </w:t>
      </w:r>
      <w:r>
        <w:rPr>
          <w:i/>
          <w:iCs/>
          <w:sz w:val="22"/>
          <w:szCs w:val="22"/>
        </w:rPr>
        <w:t>58</w:t>
      </w:r>
      <w:r>
        <w:rPr>
          <w:sz w:val="22"/>
          <w:szCs w:val="22"/>
        </w:rPr>
        <w:t>(13), 81–106. https://doi.org/10.1108/EJM-08-2023-0645</w:t>
      </w:r>
      <w:r w:rsidR="001449F9">
        <w:rPr>
          <w:sz w:val="22"/>
          <w:szCs w:val="22"/>
        </w:rPr>
        <w:t>.</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Horoub</w:t>
      </w:r>
      <w:proofErr w:type="spellEnd"/>
      <w:r w:rsidRPr="001449F9">
        <w:rPr>
          <w:bCs/>
          <w:sz w:val="22"/>
          <w:szCs w:val="22"/>
        </w:rPr>
        <w:t>, I., &amp; Zargar, P. (2022)</w:t>
      </w:r>
      <w:r w:rsidRPr="001449F9">
        <w:rPr>
          <w:sz w:val="22"/>
          <w:szCs w:val="22"/>
        </w:rPr>
        <w:t>.</w:t>
      </w:r>
      <w:proofErr w:type="gramEnd"/>
      <w:r>
        <w:rPr>
          <w:sz w:val="22"/>
          <w:szCs w:val="22"/>
        </w:rPr>
        <w:t xml:space="preserve"> </w:t>
      </w:r>
      <w:r>
        <w:rPr>
          <w:i/>
          <w:iCs/>
          <w:sz w:val="22"/>
          <w:szCs w:val="22"/>
        </w:rPr>
        <w:t>Empowering leadership and job satisfaction of academic staff in Palestinian universities: Implications of leader-member exchange and trust in leader</w:t>
      </w:r>
      <w:r>
        <w:rPr>
          <w:sz w:val="22"/>
          <w:szCs w:val="22"/>
        </w:rPr>
        <w:t>. https://doi.org/10.3389/fpsyg.2022.1065545</w:t>
      </w:r>
    </w:p>
    <w:p w:rsidR="001449F9" w:rsidRDefault="007329B5" w:rsidP="001449F9">
      <w:pPr>
        <w:widowControl w:val="0"/>
        <w:autoSpaceDE w:val="0"/>
        <w:autoSpaceDN w:val="0"/>
        <w:adjustRightInd w:val="0"/>
        <w:ind w:left="480" w:hanging="480"/>
        <w:jc w:val="both"/>
        <w:rPr>
          <w:sz w:val="22"/>
          <w:szCs w:val="22"/>
        </w:rPr>
      </w:pPr>
      <w:proofErr w:type="spellStart"/>
      <w:r w:rsidRPr="001449F9">
        <w:rPr>
          <w:bCs/>
          <w:sz w:val="22"/>
          <w:szCs w:val="22"/>
        </w:rPr>
        <w:t>Huaman</w:t>
      </w:r>
      <w:proofErr w:type="spellEnd"/>
      <w:r w:rsidRPr="001449F9">
        <w:rPr>
          <w:bCs/>
          <w:sz w:val="22"/>
          <w:szCs w:val="22"/>
        </w:rPr>
        <w:t>, D. R. T., Rodriguez, M. A. A., Cordero, R. C., &amp; Huaman, A. L. T. [(2021)</w:t>
      </w:r>
      <w:r w:rsidRPr="001449F9">
        <w:rPr>
          <w:sz w:val="22"/>
          <w:szCs w:val="22"/>
        </w:rPr>
        <w:t xml:space="preserve">. </w:t>
      </w:r>
      <w:r>
        <w:rPr>
          <w:sz w:val="22"/>
          <w:szCs w:val="22"/>
        </w:rPr>
        <w:t xml:space="preserve">Digital skills, teacher’s leadership styles and academic performance in the digital learning context. </w:t>
      </w:r>
      <w:r>
        <w:rPr>
          <w:i/>
          <w:iCs/>
          <w:sz w:val="22"/>
          <w:szCs w:val="22"/>
        </w:rPr>
        <w:t>2021 IEEE Sciences and Humanities International Research Conference (SHIRCON)</w:t>
      </w:r>
      <w:r>
        <w:rPr>
          <w:sz w:val="22"/>
          <w:szCs w:val="22"/>
        </w:rPr>
        <w:t>, 1–3. https://doi.org/10.1109/SHIRCON53068.2021.9652359</w:t>
      </w:r>
      <w:r w:rsidR="001449F9">
        <w:rPr>
          <w:sz w:val="22"/>
          <w:szCs w:val="22"/>
        </w:rPr>
        <w:t>.</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lastRenderedPageBreak/>
        <w:t>Isoda</w:t>
      </w:r>
      <w:proofErr w:type="spellEnd"/>
      <w:r w:rsidRPr="001449F9">
        <w:rPr>
          <w:bCs/>
          <w:sz w:val="22"/>
          <w:szCs w:val="22"/>
        </w:rPr>
        <w:t>, M., Estrella, S., Zakaryan, D., Baldin, Y., Olfos, R., &amp; Araya, R. (2021)</w:t>
      </w:r>
      <w:r w:rsidRPr="001449F9">
        <w:rPr>
          <w:sz w:val="22"/>
          <w:szCs w:val="22"/>
        </w:rPr>
        <w:t>.</w:t>
      </w:r>
      <w:proofErr w:type="gramEnd"/>
      <w:r w:rsidRPr="001449F9">
        <w:rPr>
          <w:sz w:val="22"/>
          <w:szCs w:val="22"/>
        </w:rPr>
        <w:t xml:space="preserve"> </w:t>
      </w:r>
      <w:r>
        <w:rPr>
          <w:sz w:val="22"/>
          <w:szCs w:val="22"/>
        </w:rPr>
        <w:t xml:space="preserve">Digital competence of a teacher involved in the implementation of a cross-border lesson for classrooms in Brazil and Chile. </w:t>
      </w:r>
      <w:r>
        <w:rPr>
          <w:i/>
          <w:iCs/>
          <w:sz w:val="22"/>
          <w:szCs w:val="22"/>
        </w:rPr>
        <w:t>International Journal for Lesson &amp; Learning Studies</w:t>
      </w:r>
      <w:r>
        <w:rPr>
          <w:sz w:val="22"/>
          <w:szCs w:val="22"/>
        </w:rPr>
        <w:t xml:space="preserve">, </w:t>
      </w:r>
      <w:r>
        <w:rPr>
          <w:i/>
          <w:iCs/>
          <w:sz w:val="22"/>
          <w:szCs w:val="22"/>
        </w:rPr>
        <w:t>10</w:t>
      </w:r>
      <w:r>
        <w:rPr>
          <w:sz w:val="22"/>
          <w:szCs w:val="22"/>
        </w:rPr>
        <w:t>(4), 362–377. https://doi.org/10.1108/IJLLS-05-2021-0045</w:t>
      </w:r>
    </w:p>
    <w:p w:rsidR="001449F9" w:rsidRDefault="007329B5" w:rsidP="001449F9">
      <w:pPr>
        <w:widowControl w:val="0"/>
        <w:autoSpaceDE w:val="0"/>
        <w:autoSpaceDN w:val="0"/>
        <w:adjustRightInd w:val="0"/>
        <w:ind w:left="480" w:hanging="480"/>
        <w:jc w:val="both"/>
        <w:rPr>
          <w:sz w:val="22"/>
          <w:szCs w:val="22"/>
        </w:rPr>
      </w:pPr>
      <w:proofErr w:type="spellStart"/>
      <w:r w:rsidRPr="001449F9">
        <w:rPr>
          <w:bCs/>
          <w:sz w:val="22"/>
          <w:szCs w:val="22"/>
        </w:rPr>
        <w:t>Jerrim</w:t>
      </w:r>
      <w:proofErr w:type="spellEnd"/>
      <w:r w:rsidRPr="001449F9">
        <w:rPr>
          <w:bCs/>
          <w:sz w:val="22"/>
          <w:szCs w:val="22"/>
        </w:rPr>
        <w:t>, J. (2024)</w:t>
      </w:r>
      <w:r w:rsidRPr="001449F9">
        <w:rPr>
          <w:sz w:val="22"/>
          <w:szCs w:val="22"/>
        </w:rPr>
        <w:t>.</w:t>
      </w:r>
      <w:r>
        <w:rPr>
          <w:sz w:val="22"/>
          <w:szCs w:val="22"/>
        </w:rPr>
        <w:t xml:space="preserve"> Are satisfied teachers better teachers? International evidence from the TALIS video study. </w:t>
      </w:r>
      <w:r>
        <w:rPr>
          <w:i/>
          <w:iCs/>
          <w:sz w:val="22"/>
          <w:szCs w:val="22"/>
        </w:rPr>
        <w:t>Teaching and Teacher Education</w:t>
      </w:r>
      <w:r>
        <w:rPr>
          <w:sz w:val="22"/>
          <w:szCs w:val="22"/>
        </w:rPr>
        <w:t xml:space="preserve">, </w:t>
      </w:r>
      <w:r>
        <w:rPr>
          <w:i/>
          <w:iCs/>
          <w:sz w:val="22"/>
          <w:szCs w:val="22"/>
        </w:rPr>
        <w:t>148</w:t>
      </w:r>
      <w:r>
        <w:rPr>
          <w:sz w:val="22"/>
          <w:szCs w:val="22"/>
        </w:rPr>
        <w:t>, 104687. https://doi.org/10.1016/J.TATE.2024.104687</w:t>
      </w:r>
    </w:p>
    <w:p w:rsidR="001449F9" w:rsidRDefault="007329B5" w:rsidP="001449F9">
      <w:pPr>
        <w:widowControl w:val="0"/>
        <w:autoSpaceDE w:val="0"/>
        <w:autoSpaceDN w:val="0"/>
        <w:adjustRightInd w:val="0"/>
        <w:ind w:left="480" w:hanging="480"/>
        <w:jc w:val="both"/>
        <w:rPr>
          <w:sz w:val="22"/>
          <w:szCs w:val="22"/>
        </w:rPr>
      </w:pPr>
      <w:proofErr w:type="gramStart"/>
      <w:r w:rsidRPr="001449F9">
        <w:rPr>
          <w:bCs/>
          <w:sz w:val="22"/>
          <w:szCs w:val="22"/>
        </w:rPr>
        <w:t>Jiang, L., &amp; Yu, N. (2024)</w:t>
      </w:r>
      <w:r w:rsidRPr="001449F9">
        <w:rPr>
          <w:sz w:val="22"/>
          <w:szCs w:val="22"/>
        </w:rPr>
        <w:t>.</w:t>
      </w:r>
      <w:proofErr w:type="gramEnd"/>
      <w:r w:rsidRPr="001449F9">
        <w:rPr>
          <w:sz w:val="22"/>
          <w:szCs w:val="22"/>
        </w:rPr>
        <w:t xml:space="preserve"> </w:t>
      </w:r>
      <w:r>
        <w:rPr>
          <w:sz w:val="22"/>
          <w:szCs w:val="22"/>
        </w:rPr>
        <w:t xml:space="preserve">Developing and validating a Teachers’ Digital Competence Model and Self-Assessment Instrument for secondary school teachers in China. </w:t>
      </w:r>
      <w:r>
        <w:rPr>
          <w:i/>
          <w:iCs/>
          <w:sz w:val="22"/>
          <w:szCs w:val="22"/>
        </w:rPr>
        <w:t>Education and Information Technologies</w:t>
      </w:r>
      <w:r>
        <w:rPr>
          <w:sz w:val="22"/>
          <w:szCs w:val="22"/>
        </w:rPr>
        <w:t xml:space="preserve">, </w:t>
      </w:r>
      <w:r>
        <w:rPr>
          <w:i/>
          <w:iCs/>
          <w:sz w:val="22"/>
          <w:szCs w:val="22"/>
        </w:rPr>
        <w:t>29</w:t>
      </w:r>
      <w:r>
        <w:rPr>
          <w:sz w:val="22"/>
          <w:szCs w:val="22"/>
        </w:rPr>
        <w:t>(7), 8817–8842. https://doi.org/10.1007/s10639-023-12182-</w:t>
      </w:r>
      <w:r w:rsidR="00E130F4">
        <w:rPr>
          <w:sz w:val="22"/>
          <w:szCs w:val="22"/>
        </w:rPr>
        <w:t>w</w:t>
      </w:r>
    </w:p>
    <w:p w:rsidR="001449F9" w:rsidRDefault="00E130F4" w:rsidP="001449F9">
      <w:pPr>
        <w:widowControl w:val="0"/>
        <w:autoSpaceDE w:val="0"/>
        <w:autoSpaceDN w:val="0"/>
        <w:adjustRightInd w:val="0"/>
        <w:ind w:left="480" w:hanging="480"/>
        <w:jc w:val="both"/>
        <w:rPr>
          <w:sz w:val="22"/>
          <w:szCs w:val="22"/>
        </w:rPr>
      </w:pPr>
      <w:proofErr w:type="spellStart"/>
      <w:proofErr w:type="gramStart"/>
      <w:r w:rsidRPr="001449F9">
        <w:rPr>
          <w:sz w:val="22"/>
          <w:szCs w:val="22"/>
        </w:rPr>
        <w:t>Kodariyah</w:t>
      </w:r>
      <w:proofErr w:type="spellEnd"/>
      <w:r w:rsidRPr="001449F9">
        <w:rPr>
          <w:sz w:val="22"/>
          <w:szCs w:val="22"/>
        </w:rPr>
        <w:t xml:space="preserve">, L; </w:t>
      </w:r>
      <w:proofErr w:type="spellStart"/>
      <w:r w:rsidRPr="001449F9">
        <w:rPr>
          <w:sz w:val="22"/>
          <w:szCs w:val="22"/>
        </w:rPr>
        <w:t>Suseno</w:t>
      </w:r>
      <w:proofErr w:type="spellEnd"/>
      <w:r w:rsidRPr="001449F9">
        <w:rPr>
          <w:sz w:val="22"/>
          <w:szCs w:val="22"/>
        </w:rPr>
        <w:t>, BD; Sari, GI.</w:t>
      </w:r>
      <w:proofErr w:type="gramEnd"/>
      <w:r w:rsidRPr="001449F9">
        <w:rPr>
          <w:sz w:val="22"/>
          <w:szCs w:val="22"/>
        </w:rPr>
        <w:t xml:space="preserve"> (2025).</w:t>
      </w:r>
      <w:r w:rsidRPr="00E130F4">
        <w:rPr>
          <w:sz w:val="22"/>
          <w:szCs w:val="22"/>
        </w:rPr>
        <w:t xml:space="preserve"> Financial Inclusion: Boosting Green Practices and Innovation for Female Vendors Well-Being, </w:t>
      </w:r>
      <w:r w:rsidRPr="00E130F4">
        <w:rPr>
          <w:i/>
          <w:sz w:val="22"/>
          <w:szCs w:val="22"/>
        </w:rPr>
        <w:t>Journal of Women's Entrepreneurship and Education</w:t>
      </w:r>
      <w:r w:rsidRPr="00E130F4">
        <w:rPr>
          <w:sz w:val="22"/>
          <w:szCs w:val="22"/>
        </w:rPr>
        <w:t>, Apr 8, pp. 1-24, DOI https://doi.org/10.28934/jwee25.12.pp83-106</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Layek</w:t>
      </w:r>
      <w:proofErr w:type="spellEnd"/>
      <w:r w:rsidRPr="001449F9">
        <w:rPr>
          <w:bCs/>
          <w:sz w:val="22"/>
          <w:szCs w:val="22"/>
        </w:rPr>
        <w:t>, D., &amp; Koodamara, N. K. (2024)</w:t>
      </w:r>
      <w:r w:rsidRPr="001449F9">
        <w:rPr>
          <w:sz w:val="22"/>
          <w:szCs w:val="22"/>
        </w:rPr>
        <w:t>.</w:t>
      </w:r>
      <w:proofErr w:type="gramEnd"/>
      <w:r w:rsidRPr="001449F9">
        <w:rPr>
          <w:sz w:val="22"/>
          <w:szCs w:val="22"/>
        </w:rPr>
        <w:t xml:space="preserve"> </w:t>
      </w:r>
      <w:r>
        <w:rPr>
          <w:sz w:val="22"/>
          <w:szCs w:val="22"/>
        </w:rPr>
        <w:t xml:space="preserve">Motivation, work experience, and teacher performance: A comparative study. </w:t>
      </w:r>
      <w:r>
        <w:rPr>
          <w:i/>
          <w:iCs/>
          <w:sz w:val="22"/>
          <w:szCs w:val="22"/>
        </w:rPr>
        <w:t>Acta Psychologica</w:t>
      </w:r>
      <w:r>
        <w:rPr>
          <w:sz w:val="22"/>
          <w:szCs w:val="22"/>
        </w:rPr>
        <w:t xml:space="preserve">, </w:t>
      </w:r>
      <w:r>
        <w:rPr>
          <w:i/>
          <w:iCs/>
          <w:sz w:val="22"/>
          <w:szCs w:val="22"/>
        </w:rPr>
        <w:t>245</w:t>
      </w:r>
      <w:r>
        <w:rPr>
          <w:sz w:val="22"/>
          <w:szCs w:val="22"/>
        </w:rPr>
        <w:t>, 104217. https://doi.org/10.1016/J.ACTPSY.2024.104217</w:t>
      </w:r>
    </w:p>
    <w:p w:rsidR="001449F9" w:rsidRDefault="007329B5" w:rsidP="001449F9">
      <w:pPr>
        <w:widowControl w:val="0"/>
        <w:autoSpaceDE w:val="0"/>
        <w:autoSpaceDN w:val="0"/>
        <w:adjustRightInd w:val="0"/>
        <w:ind w:left="480" w:hanging="480"/>
        <w:jc w:val="both"/>
        <w:rPr>
          <w:sz w:val="22"/>
          <w:szCs w:val="22"/>
        </w:rPr>
      </w:pPr>
      <w:proofErr w:type="gramStart"/>
      <w:r w:rsidRPr="001449F9">
        <w:rPr>
          <w:bCs/>
          <w:sz w:val="22"/>
          <w:szCs w:val="22"/>
        </w:rPr>
        <w:t>Li, L., Kanchanapoom, K., Deeprasert, J., Duan, N., &amp; Qi, Z. (2025)</w:t>
      </w:r>
      <w:r w:rsidRPr="001449F9">
        <w:rPr>
          <w:sz w:val="22"/>
          <w:szCs w:val="22"/>
        </w:rPr>
        <w:t>.</w:t>
      </w:r>
      <w:proofErr w:type="gramEnd"/>
      <w:r w:rsidRPr="001449F9">
        <w:rPr>
          <w:sz w:val="22"/>
          <w:szCs w:val="22"/>
        </w:rPr>
        <w:t xml:space="preserve"> </w:t>
      </w:r>
      <w:r>
        <w:rPr>
          <w:sz w:val="22"/>
          <w:szCs w:val="22"/>
        </w:rPr>
        <w:t xml:space="preserve">Unveiling the factors shaping teacher job performance: exploring the interplay of personality traits, perceived organizational support, self-efficacy, and job satisfaction. </w:t>
      </w:r>
      <w:r>
        <w:rPr>
          <w:i/>
          <w:iCs/>
          <w:sz w:val="22"/>
          <w:szCs w:val="22"/>
        </w:rPr>
        <w:t>BMC Psychology</w:t>
      </w:r>
      <w:r>
        <w:rPr>
          <w:sz w:val="22"/>
          <w:szCs w:val="22"/>
        </w:rPr>
        <w:t xml:space="preserve">, </w:t>
      </w:r>
      <w:r>
        <w:rPr>
          <w:i/>
          <w:iCs/>
          <w:sz w:val="22"/>
          <w:szCs w:val="22"/>
        </w:rPr>
        <w:t>13</w:t>
      </w:r>
      <w:r>
        <w:rPr>
          <w:sz w:val="22"/>
          <w:szCs w:val="22"/>
        </w:rPr>
        <w:t>(1), 14. https://doi.org/10.1186/s40359-024-02324-1</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Lindfors</w:t>
      </w:r>
      <w:proofErr w:type="spellEnd"/>
      <w:r w:rsidRPr="001449F9">
        <w:rPr>
          <w:bCs/>
          <w:sz w:val="22"/>
          <w:szCs w:val="22"/>
        </w:rPr>
        <w:t>, M., Pettersson, F., &amp; Olofsson, A. D. (2021)</w:t>
      </w:r>
      <w:r w:rsidRPr="001449F9">
        <w:rPr>
          <w:sz w:val="22"/>
          <w:szCs w:val="22"/>
        </w:rPr>
        <w:t>.</w:t>
      </w:r>
      <w:proofErr w:type="gramEnd"/>
      <w:r>
        <w:rPr>
          <w:sz w:val="22"/>
          <w:szCs w:val="22"/>
        </w:rPr>
        <w:t xml:space="preserve"> Conditions for professional digital competence: the teacher educators’ view. </w:t>
      </w:r>
      <w:r>
        <w:rPr>
          <w:i/>
          <w:iCs/>
          <w:sz w:val="22"/>
          <w:szCs w:val="22"/>
        </w:rPr>
        <w:t>Education Inquiry</w:t>
      </w:r>
      <w:r>
        <w:rPr>
          <w:sz w:val="22"/>
          <w:szCs w:val="22"/>
        </w:rPr>
        <w:t xml:space="preserve">, </w:t>
      </w:r>
      <w:r>
        <w:rPr>
          <w:i/>
          <w:iCs/>
          <w:sz w:val="22"/>
          <w:szCs w:val="22"/>
        </w:rPr>
        <w:t>12</w:t>
      </w:r>
      <w:r>
        <w:rPr>
          <w:sz w:val="22"/>
          <w:szCs w:val="22"/>
        </w:rPr>
        <w:t>(4), 390–409. https://doi.org/10.1080/20004508.2021.1890936</w:t>
      </w:r>
    </w:p>
    <w:p w:rsidR="001449F9" w:rsidRDefault="007329B5" w:rsidP="001449F9">
      <w:pPr>
        <w:widowControl w:val="0"/>
        <w:autoSpaceDE w:val="0"/>
        <w:autoSpaceDN w:val="0"/>
        <w:adjustRightInd w:val="0"/>
        <w:ind w:left="480" w:hanging="480"/>
        <w:jc w:val="both"/>
        <w:rPr>
          <w:sz w:val="22"/>
          <w:szCs w:val="22"/>
        </w:rPr>
      </w:pPr>
      <w:proofErr w:type="gramStart"/>
      <w:r w:rsidRPr="001449F9">
        <w:rPr>
          <w:bCs/>
          <w:sz w:val="22"/>
          <w:szCs w:val="22"/>
        </w:rPr>
        <w:t>Lopes, J., &amp; Oliveira, C. (2020)</w:t>
      </w:r>
      <w:r w:rsidRPr="001449F9">
        <w:rPr>
          <w:sz w:val="22"/>
          <w:szCs w:val="22"/>
        </w:rPr>
        <w:t>.</w:t>
      </w:r>
      <w:proofErr w:type="gramEnd"/>
      <w:r>
        <w:rPr>
          <w:sz w:val="22"/>
          <w:szCs w:val="22"/>
        </w:rPr>
        <w:t xml:space="preserve"> Teacher and school determinants of teacher job satisfaction: a multilevel analysis. </w:t>
      </w:r>
      <w:r>
        <w:rPr>
          <w:i/>
          <w:iCs/>
          <w:sz w:val="22"/>
          <w:szCs w:val="22"/>
        </w:rPr>
        <w:t>School Effectiveness and School Improvement</w:t>
      </w:r>
      <w:r>
        <w:rPr>
          <w:sz w:val="22"/>
          <w:szCs w:val="22"/>
        </w:rPr>
        <w:t xml:space="preserve">, </w:t>
      </w:r>
      <w:r>
        <w:rPr>
          <w:i/>
          <w:iCs/>
          <w:sz w:val="22"/>
          <w:szCs w:val="22"/>
        </w:rPr>
        <w:t>31</w:t>
      </w:r>
      <w:r>
        <w:rPr>
          <w:sz w:val="22"/>
          <w:szCs w:val="22"/>
        </w:rPr>
        <w:t>(4), 641–659. https://doi.org/10.1080/09243453.2020.1764593</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Lubuva</w:t>
      </w:r>
      <w:proofErr w:type="spellEnd"/>
      <w:r w:rsidRPr="001449F9">
        <w:rPr>
          <w:bCs/>
          <w:sz w:val="22"/>
          <w:szCs w:val="22"/>
        </w:rPr>
        <w:t>, E. E., Ndibalema, P., &amp; Mbwambo, E. (2024)</w:t>
      </w:r>
      <w:r w:rsidRPr="001449F9">
        <w:rPr>
          <w:sz w:val="22"/>
          <w:szCs w:val="22"/>
        </w:rPr>
        <w:t>.</w:t>
      </w:r>
      <w:proofErr w:type="gramEnd"/>
      <w:r>
        <w:rPr>
          <w:sz w:val="22"/>
          <w:szCs w:val="22"/>
        </w:rPr>
        <w:t xml:space="preserve"> Designing ICT integrated lesson activities: an intervention to bolster tutors’ pedagogical use of ICT competences in Tanzania teacher education. </w:t>
      </w:r>
      <w:r>
        <w:rPr>
          <w:i/>
          <w:iCs/>
          <w:sz w:val="22"/>
          <w:szCs w:val="22"/>
        </w:rPr>
        <w:t>Arab Gulf Journal of Scientific Research</w:t>
      </w:r>
      <w:r>
        <w:rPr>
          <w:sz w:val="22"/>
          <w:szCs w:val="22"/>
        </w:rPr>
        <w:t xml:space="preserve">, </w:t>
      </w:r>
      <w:r>
        <w:rPr>
          <w:i/>
          <w:iCs/>
          <w:sz w:val="22"/>
          <w:szCs w:val="22"/>
        </w:rPr>
        <w:t>42</w:t>
      </w:r>
      <w:r>
        <w:rPr>
          <w:sz w:val="22"/>
          <w:szCs w:val="22"/>
        </w:rPr>
        <w:t>(4), 1917–1936. https://doi.org/10.1108/AGJSR-05-2023-0191</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Luque-Reca</w:t>
      </w:r>
      <w:proofErr w:type="spellEnd"/>
      <w:r w:rsidRPr="001449F9">
        <w:rPr>
          <w:bCs/>
          <w:sz w:val="22"/>
          <w:szCs w:val="22"/>
        </w:rPr>
        <w:t>, O., García-Martínez, I., Pulido-Martos, M., Lorenzo Burguera, J., &amp; Augusto-Landa, J. M. (2022)</w:t>
      </w:r>
      <w:r w:rsidRPr="001449F9">
        <w:rPr>
          <w:sz w:val="22"/>
          <w:szCs w:val="22"/>
        </w:rPr>
        <w:t>.</w:t>
      </w:r>
      <w:proofErr w:type="gramEnd"/>
      <w:r w:rsidRPr="001449F9">
        <w:rPr>
          <w:sz w:val="22"/>
          <w:szCs w:val="22"/>
        </w:rPr>
        <w:t xml:space="preserve"> </w:t>
      </w:r>
      <w:r>
        <w:rPr>
          <w:sz w:val="22"/>
          <w:szCs w:val="22"/>
        </w:rPr>
        <w:t xml:space="preserve">Teachers’ life satisfaction: A structural equation model analyzing the role of trait emotion regulation, intrinsic job satisfaction and affect. </w:t>
      </w:r>
      <w:r>
        <w:rPr>
          <w:i/>
          <w:iCs/>
          <w:sz w:val="22"/>
          <w:szCs w:val="22"/>
        </w:rPr>
        <w:t>Teaching and Teacher Education</w:t>
      </w:r>
      <w:r>
        <w:rPr>
          <w:sz w:val="22"/>
          <w:szCs w:val="22"/>
        </w:rPr>
        <w:t xml:space="preserve">, </w:t>
      </w:r>
      <w:r>
        <w:rPr>
          <w:i/>
          <w:iCs/>
          <w:sz w:val="22"/>
          <w:szCs w:val="22"/>
        </w:rPr>
        <w:t>113</w:t>
      </w:r>
      <w:r>
        <w:rPr>
          <w:sz w:val="22"/>
          <w:szCs w:val="22"/>
        </w:rPr>
        <w:t>, 103668. https://doi.org/10.1016/j.tate.2022.10366</w:t>
      </w:r>
      <w:r w:rsidR="00E130F4">
        <w:rPr>
          <w:sz w:val="22"/>
          <w:szCs w:val="22"/>
        </w:rPr>
        <w:t>8</w:t>
      </w:r>
    </w:p>
    <w:p w:rsidR="001449F9" w:rsidRDefault="00E130F4" w:rsidP="001449F9">
      <w:pPr>
        <w:widowControl w:val="0"/>
        <w:autoSpaceDE w:val="0"/>
        <w:autoSpaceDN w:val="0"/>
        <w:adjustRightInd w:val="0"/>
        <w:ind w:left="480" w:hanging="480"/>
        <w:jc w:val="both"/>
        <w:rPr>
          <w:sz w:val="22"/>
          <w:szCs w:val="22"/>
        </w:rPr>
      </w:pPr>
      <w:proofErr w:type="spellStart"/>
      <w:r w:rsidRPr="001449F9">
        <w:rPr>
          <w:sz w:val="22"/>
          <w:szCs w:val="22"/>
        </w:rPr>
        <w:t>Munawir</w:t>
      </w:r>
      <w:proofErr w:type="spellEnd"/>
      <w:r w:rsidRPr="001449F9">
        <w:rPr>
          <w:sz w:val="22"/>
          <w:szCs w:val="22"/>
        </w:rPr>
        <w:t xml:space="preserve">, A, </w:t>
      </w:r>
      <w:proofErr w:type="spellStart"/>
      <w:r w:rsidRPr="001449F9">
        <w:rPr>
          <w:sz w:val="22"/>
          <w:szCs w:val="22"/>
        </w:rPr>
        <w:t>Suseno</w:t>
      </w:r>
      <w:proofErr w:type="spellEnd"/>
      <w:r w:rsidRPr="001449F9">
        <w:rPr>
          <w:sz w:val="22"/>
          <w:szCs w:val="22"/>
        </w:rPr>
        <w:t xml:space="preserve">, </w:t>
      </w:r>
      <w:proofErr w:type="gramStart"/>
      <w:r w:rsidRPr="001449F9">
        <w:rPr>
          <w:sz w:val="22"/>
          <w:szCs w:val="22"/>
        </w:rPr>
        <w:t>BD .(</w:t>
      </w:r>
      <w:proofErr w:type="gramEnd"/>
      <w:r w:rsidRPr="001449F9">
        <w:rPr>
          <w:sz w:val="22"/>
          <w:szCs w:val="22"/>
        </w:rPr>
        <w:t>2024).</w:t>
      </w:r>
      <w:r w:rsidRPr="00E130F4">
        <w:rPr>
          <w:sz w:val="22"/>
          <w:szCs w:val="22"/>
        </w:rPr>
        <w:t xml:space="preserve"> Employee Performance: Exploring the Nexus of Nonstandard Services, Psychological Contracts, and Knowledge Sharing, </w:t>
      </w:r>
      <w:r w:rsidRPr="00E130F4">
        <w:rPr>
          <w:sz w:val="22"/>
          <w:szCs w:val="22"/>
        </w:rPr>
        <w:lastRenderedPageBreak/>
        <w:t>Human Behavior and Emerging Technologies, Volume 2024, issue 1, 16 pages, DOI. https://doi.o</w:t>
      </w:r>
      <w:r>
        <w:rPr>
          <w:sz w:val="22"/>
          <w:szCs w:val="22"/>
        </w:rPr>
        <w:t>rg/10.1155/2024/6746963</w:t>
      </w:r>
    </w:p>
    <w:p w:rsidR="001449F9" w:rsidRDefault="00E130F4" w:rsidP="001449F9">
      <w:pPr>
        <w:widowControl w:val="0"/>
        <w:autoSpaceDE w:val="0"/>
        <w:autoSpaceDN w:val="0"/>
        <w:adjustRightInd w:val="0"/>
        <w:ind w:left="480" w:hanging="480"/>
        <w:jc w:val="both"/>
        <w:rPr>
          <w:sz w:val="22"/>
          <w:szCs w:val="22"/>
        </w:rPr>
      </w:pPr>
      <w:proofErr w:type="spellStart"/>
      <w:r w:rsidRPr="001449F9">
        <w:rPr>
          <w:sz w:val="22"/>
          <w:szCs w:val="22"/>
        </w:rPr>
        <w:t>Maskudi</w:t>
      </w:r>
      <w:proofErr w:type="spellEnd"/>
      <w:r w:rsidRPr="001449F9">
        <w:rPr>
          <w:sz w:val="22"/>
          <w:szCs w:val="22"/>
        </w:rPr>
        <w:t xml:space="preserve">, </w:t>
      </w:r>
      <w:proofErr w:type="spellStart"/>
      <w:r w:rsidRPr="001449F9">
        <w:rPr>
          <w:sz w:val="22"/>
          <w:szCs w:val="22"/>
        </w:rPr>
        <w:t>Suseno</w:t>
      </w:r>
      <w:proofErr w:type="spellEnd"/>
      <w:r w:rsidRPr="001449F9">
        <w:rPr>
          <w:sz w:val="22"/>
          <w:szCs w:val="22"/>
        </w:rPr>
        <w:t xml:space="preserve"> BD, </w:t>
      </w:r>
      <w:proofErr w:type="spellStart"/>
      <w:r w:rsidRPr="001449F9">
        <w:rPr>
          <w:sz w:val="22"/>
          <w:szCs w:val="22"/>
        </w:rPr>
        <w:t>Munawir</w:t>
      </w:r>
      <w:proofErr w:type="spellEnd"/>
      <w:r w:rsidRPr="001449F9">
        <w:rPr>
          <w:sz w:val="22"/>
          <w:szCs w:val="22"/>
        </w:rPr>
        <w:t xml:space="preserve"> A</w:t>
      </w:r>
      <w:proofErr w:type="gramStart"/>
      <w:r w:rsidRPr="001449F9">
        <w:rPr>
          <w:sz w:val="22"/>
          <w:szCs w:val="22"/>
        </w:rPr>
        <w:t>,Firjatullah</w:t>
      </w:r>
      <w:proofErr w:type="gramEnd"/>
      <w:r w:rsidRPr="001449F9">
        <w:rPr>
          <w:sz w:val="22"/>
          <w:szCs w:val="22"/>
        </w:rPr>
        <w:t xml:space="preserve"> S. (2024)</w:t>
      </w:r>
      <w:r w:rsidRPr="00E130F4">
        <w:rPr>
          <w:b/>
          <w:sz w:val="22"/>
          <w:szCs w:val="22"/>
        </w:rPr>
        <w:t>.</w:t>
      </w:r>
      <w:r w:rsidRPr="00E130F4">
        <w:rPr>
          <w:sz w:val="22"/>
          <w:szCs w:val="22"/>
        </w:rPr>
        <w:t xml:space="preserve"> Employee innovation performance: Exploring non-standard service relationships, psychological contracts, and knowledge sharing in green manufacturing industry development. </w:t>
      </w:r>
      <w:r w:rsidRPr="00E130F4">
        <w:rPr>
          <w:i/>
          <w:sz w:val="22"/>
          <w:szCs w:val="22"/>
        </w:rPr>
        <w:t>Journal of Infrastructure, Policy and Development</w:t>
      </w:r>
      <w:r w:rsidRPr="00E130F4">
        <w:rPr>
          <w:sz w:val="22"/>
          <w:szCs w:val="22"/>
        </w:rPr>
        <w:t>. 8(7): 5111 . https://doi.org/10.24294/jipd.v8i7.5111</w:t>
      </w:r>
      <w:r>
        <w:rPr>
          <w:sz w:val="22"/>
          <w:szCs w:val="22"/>
        </w:rPr>
        <w:t xml:space="preserve"> </w:t>
      </w:r>
      <w:r w:rsidR="007329B5">
        <w:rPr>
          <w:sz w:val="22"/>
          <w:szCs w:val="22"/>
        </w:rPr>
        <w:t>8</w:t>
      </w:r>
    </w:p>
    <w:p w:rsidR="001449F9" w:rsidRDefault="00E130F4" w:rsidP="001449F9">
      <w:pPr>
        <w:widowControl w:val="0"/>
        <w:autoSpaceDE w:val="0"/>
        <w:autoSpaceDN w:val="0"/>
        <w:adjustRightInd w:val="0"/>
        <w:ind w:left="480" w:hanging="480"/>
        <w:jc w:val="both"/>
        <w:rPr>
          <w:sz w:val="22"/>
          <w:szCs w:val="22"/>
        </w:rPr>
      </w:pPr>
      <w:proofErr w:type="spellStart"/>
      <w:r w:rsidRPr="001449F9">
        <w:rPr>
          <w:sz w:val="22"/>
          <w:szCs w:val="22"/>
        </w:rPr>
        <w:t>Mustofa</w:t>
      </w:r>
      <w:proofErr w:type="spellEnd"/>
      <w:r w:rsidRPr="001449F9">
        <w:rPr>
          <w:sz w:val="22"/>
          <w:szCs w:val="22"/>
        </w:rPr>
        <w:t>, MA</w:t>
      </w:r>
      <w:proofErr w:type="gramStart"/>
      <w:r w:rsidRPr="001449F9">
        <w:rPr>
          <w:sz w:val="22"/>
          <w:szCs w:val="22"/>
        </w:rPr>
        <w:t xml:space="preserve">,  </w:t>
      </w:r>
      <w:proofErr w:type="spellStart"/>
      <w:r w:rsidRPr="001449F9">
        <w:rPr>
          <w:sz w:val="22"/>
          <w:szCs w:val="22"/>
        </w:rPr>
        <w:t>Suseno</w:t>
      </w:r>
      <w:proofErr w:type="spellEnd"/>
      <w:proofErr w:type="gramEnd"/>
      <w:r w:rsidRPr="001449F9">
        <w:rPr>
          <w:sz w:val="22"/>
          <w:szCs w:val="22"/>
        </w:rPr>
        <w:t>, BD, Basrowi. (2023).</w:t>
      </w:r>
      <w:r w:rsidRPr="00E130F4">
        <w:rPr>
          <w:sz w:val="22"/>
          <w:szCs w:val="22"/>
        </w:rPr>
        <w:t xml:space="preserve"> Technological innovation and the environmentally friendly building material supply chain: Implications for sustainable environment, Uncertain Supply Chain Management 11 (2023) 1405–1416, </w:t>
      </w:r>
      <w:proofErr w:type="spellStart"/>
      <w:r w:rsidRPr="00E130F4">
        <w:rPr>
          <w:sz w:val="22"/>
          <w:szCs w:val="22"/>
        </w:rPr>
        <w:t>doi</w:t>
      </w:r>
      <w:proofErr w:type="spellEnd"/>
      <w:r w:rsidRPr="00E130F4">
        <w:rPr>
          <w:sz w:val="22"/>
          <w:szCs w:val="22"/>
        </w:rPr>
        <w:t>: https://doi.org/10.5267/j.uscm.2023.8.006</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Marjanović</w:t>
      </w:r>
      <w:proofErr w:type="spellEnd"/>
      <w:r w:rsidRPr="001449F9">
        <w:rPr>
          <w:bCs/>
          <w:sz w:val="22"/>
          <w:szCs w:val="22"/>
        </w:rPr>
        <w:t>, J., Domazet, I., &amp; Miljković, J. (2023)</w:t>
      </w:r>
      <w:r>
        <w:rPr>
          <w:sz w:val="22"/>
          <w:szCs w:val="22"/>
        </w:rPr>
        <w:t>.</w:t>
      </w:r>
      <w:proofErr w:type="gramEnd"/>
      <w:r>
        <w:rPr>
          <w:sz w:val="22"/>
          <w:szCs w:val="22"/>
        </w:rPr>
        <w:t xml:space="preserve"> Higher Education Branding through Instrumental Values. </w:t>
      </w:r>
      <w:r>
        <w:rPr>
          <w:i/>
          <w:iCs/>
          <w:sz w:val="22"/>
          <w:szCs w:val="22"/>
        </w:rPr>
        <w:t>JWEE</w:t>
      </w:r>
      <w:r>
        <w:rPr>
          <w:sz w:val="22"/>
          <w:szCs w:val="22"/>
        </w:rPr>
        <w:t>. https://doi.org/10.28934/jwee23.34.pp75-94</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Martínez</w:t>
      </w:r>
      <w:proofErr w:type="spellEnd"/>
      <w:r w:rsidRPr="001449F9">
        <w:rPr>
          <w:bCs/>
          <w:sz w:val="22"/>
          <w:szCs w:val="22"/>
        </w:rPr>
        <w:t>-Moreno, J., &amp; Petko, D. (2024)</w:t>
      </w:r>
      <w:r w:rsidRPr="001449F9">
        <w:rPr>
          <w:sz w:val="22"/>
          <w:szCs w:val="22"/>
        </w:rPr>
        <w:t>.</w:t>
      </w:r>
      <w:proofErr w:type="gramEnd"/>
      <w:r w:rsidRPr="001449F9">
        <w:rPr>
          <w:sz w:val="22"/>
          <w:szCs w:val="22"/>
        </w:rPr>
        <w:t xml:space="preserve"> </w:t>
      </w:r>
      <w:r>
        <w:rPr>
          <w:sz w:val="22"/>
          <w:szCs w:val="22"/>
        </w:rPr>
        <w:t xml:space="preserve">Motives for becoming a teacher in times of digital change: Development and validation of the (D)FIT-Choice scale. </w:t>
      </w:r>
      <w:r>
        <w:rPr>
          <w:i/>
          <w:iCs/>
          <w:sz w:val="22"/>
          <w:szCs w:val="22"/>
        </w:rPr>
        <w:t>Education and Information Technologies</w:t>
      </w:r>
      <w:r>
        <w:rPr>
          <w:sz w:val="22"/>
          <w:szCs w:val="22"/>
        </w:rPr>
        <w:t xml:space="preserve">, </w:t>
      </w:r>
      <w:r>
        <w:rPr>
          <w:i/>
          <w:iCs/>
          <w:sz w:val="22"/>
          <w:szCs w:val="22"/>
        </w:rPr>
        <w:t>29</w:t>
      </w:r>
      <w:r>
        <w:rPr>
          <w:sz w:val="22"/>
          <w:szCs w:val="22"/>
        </w:rPr>
        <w:t>(11), 13221–13245. https://doi.org/10.1007/s10639-023-12338-8</w:t>
      </w:r>
    </w:p>
    <w:p w:rsidR="001449F9" w:rsidRDefault="007329B5" w:rsidP="001449F9">
      <w:pPr>
        <w:widowControl w:val="0"/>
        <w:autoSpaceDE w:val="0"/>
        <w:autoSpaceDN w:val="0"/>
        <w:adjustRightInd w:val="0"/>
        <w:ind w:left="480" w:hanging="480"/>
        <w:jc w:val="both"/>
        <w:rPr>
          <w:sz w:val="22"/>
          <w:szCs w:val="22"/>
        </w:rPr>
      </w:pPr>
      <w:proofErr w:type="spellStart"/>
      <w:proofErr w:type="gramStart"/>
      <w:r w:rsidRPr="001449F9">
        <w:rPr>
          <w:bCs/>
          <w:sz w:val="22"/>
          <w:szCs w:val="22"/>
        </w:rPr>
        <w:t>Momdjian</w:t>
      </w:r>
      <w:proofErr w:type="spellEnd"/>
      <w:r w:rsidRPr="001449F9">
        <w:rPr>
          <w:bCs/>
          <w:sz w:val="22"/>
          <w:szCs w:val="22"/>
        </w:rPr>
        <w:t>, L., Manegre</w:t>
      </w:r>
      <w:r w:rsidR="001449F9">
        <w:rPr>
          <w:bCs/>
          <w:sz w:val="22"/>
          <w:szCs w:val="22"/>
        </w:rPr>
        <w:t>, M., &amp; Mar Gutiérrez-Colón.</w:t>
      </w:r>
      <w:proofErr w:type="gramEnd"/>
      <w:r w:rsidR="001449F9">
        <w:rPr>
          <w:bCs/>
          <w:sz w:val="22"/>
          <w:szCs w:val="22"/>
        </w:rPr>
        <w:t xml:space="preserve"> </w:t>
      </w:r>
      <w:r w:rsidRPr="001449F9">
        <w:rPr>
          <w:bCs/>
          <w:sz w:val="22"/>
          <w:szCs w:val="22"/>
        </w:rPr>
        <w:t>(2025)</w:t>
      </w:r>
      <w:r w:rsidRPr="001449F9">
        <w:rPr>
          <w:sz w:val="22"/>
          <w:szCs w:val="22"/>
        </w:rPr>
        <w:t>.</w:t>
      </w:r>
      <w:r>
        <w:rPr>
          <w:sz w:val="22"/>
          <w:szCs w:val="22"/>
        </w:rPr>
        <w:t xml:space="preserve"> Bridging the Digital Competence Gap: A Comparative Study of Preservice and In-Service Teachers in Lebanon Using the DigCompEdu Framework. </w:t>
      </w:r>
      <w:r>
        <w:rPr>
          <w:i/>
          <w:iCs/>
          <w:sz w:val="22"/>
          <w:szCs w:val="22"/>
        </w:rPr>
        <w:t>Technology, Knowledge and Learning</w:t>
      </w:r>
      <w:r>
        <w:rPr>
          <w:sz w:val="22"/>
          <w:szCs w:val="22"/>
        </w:rPr>
        <w:t xml:space="preserve">, </w:t>
      </w:r>
      <w:r>
        <w:rPr>
          <w:i/>
          <w:iCs/>
          <w:sz w:val="22"/>
          <w:szCs w:val="22"/>
        </w:rPr>
        <w:t>30</w:t>
      </w:r>
      <w:r>
        <w:rPr>
          <w:sz w:val="22"/>
          <w:szCs w:val="22"/>
        </w:rPr>
        <w:t xml:space="preserve">, 655–683. </w:t>
      </w:r>
    </w:p>
    <w:p w:rsidR="00C16161" w:rsidRDefault="007329B5" w:rsidP="00C16161">
      <w:pPr>
        <w:widowControl w:val="0"/>
        <w:autoSpaceDE w:val="0"/>
        <w:autoSpaceDN w:val="0"/>
        <w:adjustRightInd w:val="0"/>
        <w:ind w:left="480" w:hanging="480"/>
        <w:jc w:val="both"/>
        <w:rPr>
          <w:sz w:val="22"/>
          <w:szCs w:val="22"/>
        </w:rPr>
      </w:pPr>
      <w:proofErr w:type="gramStart"/>
      <w:r w:rsidRPr="001449F9">
        <w:rPr>
          <w:bCs/>
          <w:sz w:val="22"/>
          <w:szCs w:val="22"/>
        </w:rPr>
        <w:t>Montenegro-Rueda, M., &amp; Fernández-Batanero, J. M. (2024)</w:t>
      </w:r>
      <w:r>
        <w:rPr>
          <w:sz w:val="22"/>
          <w:szCs w:val="22"/>
        </w:rPr>
        <w:t>.</w:t>
      </w:r>
      <w:proofErr w:type="gramEnd"/>
      <w:r>
        <w:rPr>
          <w:sz w:val="22"/>
          <w:szCs w:val="22"/>
        </w:rPr>
        <w:t xml:space="preserve"> Adaptation and validation of an instrument for assessing the digital competence of special education teachers. </w:t>
      </w:r>
      <w:r>
        <w:rPr>
          <w:i/>
          <w:iCs/>
          <w:sz w:val="22"/>
          <w:szCs w:val="22"/>
        </w:rPr>
        <w:t>European Journal of Special Needs Education</w:t>
      </w:r>
      <w:r>
        <w:rPr>
          <w:sz w:val="22"/>
          <w:szCs w:val="22"/>
        </w:rPr>
        <w:t xml:space="preserve">, </w:t>
      </w:r>
      <w:r>
        <w:rPr>
          <w:i/>
          <w:iCs/>
          <w:sz w:val="22"/>
          <w:szCs w:val="22"/>
        </w:rPr>
        <w:t>39</w:t>
      </w:r>
      <w:r>
        <w:rPr>
          <w:sz w:val="22"/>
          <w:szCs w:val="22"/>
        </w:rPr>
        <w:t>(3), 367–382. https://doi.org/10.1080/08856257.2023.2216573</w:t>
      </w:r>
    </w:p>
    <w:p w:rsidR="00C16161" w:rsidRDefault="007329B5" w:rsidP="00C16161">
      <w:pPr>
        <w:widowControl w:val="0"/>
        <w:autoSpaceDE w:val="0"/>
        <w:autoSpaceDN w:val="0"/>
        <w:adjustRightInd w:val="0"/>
        <w:ind w:left="480" w:hanging="480"/>
        <w:jc w:val="both"/>
        <w:rPr>
          <w:sz w:val="22"/>
          <w:szCs w:val="22"/>
        </w:rPr>
      </w:pPr>
      <w:proofErr w:type="gramStart"/>
      <w:r w:rsidRPr="00C16161">
        <w:rPr>
          <w:bCs/>
          <w:sz w:val="22"/>
          <w:szCs w:val="22"/>
        </w:rPr>
        <w:t>Muñoz-</w:t>
      </w:r>
      <w:proofErr w:type="spellStart"/>
      <w:r w:rsidRPr="00C16161">
        <w:rPr>
          <w:bCs/>
          <w:sz w:val="22"/>
          <w:szCs w:val="22"/>
        </w:rPr>
        <w:t>Fernández</w:t>
      </w:r>
      <w:proofErr w:type="spellEnd"/>
      <w:r w:rsidRPr="00C16161">
        <w:rPr>
          <w:bCs/>
          <w:sz w:val="22"/>
          <w:szCs w:val="22"/>
        </w:rPr>
        <w:t>, G. A., Toala-Mendoza, R. D., González-Mohíno, M., &amp; Félix-López, M. E. (2025)</w:t>
      </w:r>
      <w:r w:rsidRPr="00C16161">
        <w:rPr>
          <w:sz w:val="22"/>
          <w:szCs w:val="22"/>
        </w:rPr>
        <w:t>.</w:t>
      </w:r>
      <w:proofErr w:type="gramEnd"/>
      <w:r>
        <w:rPr>
          <w:sz w:val="22"/>
          <w:szCs w:val="22"/>
        </w:rPr>
        <w:t xml:space="preserve"> Unveiling the nexus of teacher commitment and job satisfaction: insights from Ecuador’s educational landscape. </w:t>
      </w:r>
      <w:r>
        <w:rPr>
          <w:i/>
          <w:iCs/>
          <w:sz w:val="22"/>
          <w:szCs w:val="22"/>
        </w:rPr>
        <w:t>BMC Psychology</w:t>
      </w:r>
      <w:r>
        <w:rPr>
          <w:sz w:val="22"/>
          <w:szCs w:val="22"/>
        </w:rPr>
        <w:t xml:space="preserve">, </w:t>
      </w:r>
      <w:r>
        <w:rPr>
          <w:i/>
          <w:iCs/>
          <w:sz w:val="22"/>
          <w:szCs w:val="22"/>
        </w:rPr>
        <w:t>13</w:t>
      </w:r>
      <w:r>
        <w:rPr>
          <w:sz w:val="22"/>
          <w:szCs w:val="22"/>
        </w:rPr>
        <w:t>(1), 134. https://doi.org/10.1186/s40359-025-02471-z</w:t>
      </w:r>
    </w:p>
    <w:p w:rsidR="00C16161" w:rsidRDefault="007329B5" w:rsidP="00C16161">
      <w:pPr>
        <w:widowControl w:val="0"/>
        <w:autoSpaceDE w:val="0"/>
        <w:autoSpaceDN w:val="0"/>
        <w:adjustRightInd w:val="0"/>
        <w:ind w:left="480" w:hanging="480"/>
        <w:jc w:val="both"/>
        <w:rPr>
          <w:sz w:val="22"/>
          <w:szCs w:val="22"/>
        </w:rPr>
      </w:pPr>
      <w:proofErr w:type="spellStart"/>
      <w:proofErr w:type="gramStart"/>
      <w:r w:rsidRPr="00C16161">
        <w:rPr>
          <w:bCs/>
          <w:sz w:val="22"/>
          <w:szCs w:val="22"/>
        </w:rPr>
        <w:t>Palaščáková</w:t>
      </w:r>
      <w:proofErr w:type="spellEnd"/>
      <w:r w:rsidRPr="00C16161">
        <w:rPr>
          <w:bCs/>
          <w:sz w:val="22"/>
          <w:szCs w:val="22"/>
        </w:rPr>
        <w:t>, D., Liadskyi, I., &amp; Diachkov, D. (2024)</w:t>
      </w:r>
      <w:r w:rsidRPr="00C16161">
        <w:rPr>
          <w:sz w:val="22"/>
          <w:szCs w:val="22"/>
        </w:rPr>
        <w:t>.</w:t>
      </w:r>
      <w:proofErr w:type="gramEnd"/>
      <w:r>
        <w:rPr>
          <w:sz w:val="22"/>
          <w:szCs w:val="22"/>
        </w:rPr>
        <w:t xml:space="preserve"> Social Intelligence Management in the Context of Promoting Professional Self-Education: Gender Aspects. </w:t>
      </w:r>
      <w:r>
        <w:rPr>
          <w:i/>
          <w:iCs/>
          <w:sz w:val="22"/>
          <w:szCs w:val="22"/>
        </w:rPr>
        <w:t>JWEE</w:t>
      </w:r>
      <w:r>
        <w:rPr>
          <w:sz w:val="22"/>
          <w:szCs w:val="22"/>
        </w:rPr>
        <w:t>. https://doi.org/10.28934/jwee24.34.pp160-179</w:t>
      </w:r>
    </w:p>
    <w:p w:rsidR="00C16161" w:rsidRDefault="007329B5" w:rsidP="00C16161">
      <w:pPr>
        <w:widowControl w:val="0"/>
        <w:autoSpaceDE w:val="0"/>
        <w:autoSpaceDN w:val="0"/>
        <w:adjustRightInd w:val="0"/>
        <w:ind w:left="480" w:hanging="480"/>
        <w:jc w:val="both"/>
        <w:rPr>
          <w:sz w:val="22"/>
          <w:szCs w:val="22"/>
        </w:rPr>
      </w:pPr>
      <w:proofErr w:type="spellStart"/>
      <w:r w:rsidRPr="00C16161">
        <w:rPr>
          <w:bCs/>
          <w:sz w:val="22"/>
          <w:szCs w:val="22"/>
        </w:rPr>
        <w:t>Panakaje</w:t>
      </w:r>
      <w:proofErr w:type="spellEnd"/>
      <w:r w:rsidRPr="00C16161">
        <w:rPr>
          <w:bCs/>
          <w:sz w:val="22"/>
          <w:szCs w:val="22"/>
        </w:rPr>
        <w:t>, N., Ur Rahiman, H., Parvin, S. M. R., P, S., K, M., Yatheen, &amp; Irfana, S. (2024)</w:t>
      </w:r>
      <w:r w:rsidRPr="00C16161">
        <w:rPr>
          <w:sz w:val="22"/>
          <w:szCs w:val="22"/>
        </w:rPr>
        <w:t>.</w:t>
      </w:r>
      <w:r>
        <w:rPr>
          <w:sz w:val="22"/>
          <w:szCs w:val="22"/>
        </w:rPr>
        <w:t xml:space="preserve"> Revolutionizing pedagogy: navigating the integration of technology in higher education for teacher learning and performance enhancement. </w:t>
      </w:r>
      <w:r>
        <w:rPr>
          <w:i/>
          <w:iCs/>
          <w:sz w:val="22"/>
          <w:szCs w:val="22"/>
        </w:rPr>
        <w:t>Cogent Education</w:t>
      </w:r>
      <w:r>
        <w:rPr>
          <w:sz w:val="22"/>
          <w:szCs w:val="22"/>
        </w:rPr>
        <w:t xml:space="preserve">, </w:t>
      </w:r>
      <w:r>
        <w:rPr>
          <w:i/>
          <w:iCs/>
          <w:sz w:val="22"/>
          <w:szCs w:val="22"/>
        </w:rPr>
        <w:t>11</w:t>
      </w:r>
      <w:r>
        <w:rPr>
          <w:sz w:val="22"/>
          <w:szCs w:val="22"/>
        </w:rPr>
        <w:t>(1). https://doi.org/10.1080/2331186X.2024.2308430</w:t>
      </w:r>
      <w:r w:rsidR="00C16161">
        <w:rPr>
          <w:sz w:val="22"/>
          <w:szCs w:val="22"/>
        </w:rPr>
        <w:t>.</w:t>
      </w:r>
    </w:p>
    <w:p w:rsidR="00C16161" w:rsidRDefault="007329B5" w:rsidP="00C16161">
      <w:pPr>
        <w:widowControl w:val="0"/>
        <w:autoSpaceDE w:val="0"/>
        <w:autoSpaceDN w:val="0"/>
        <w:adjustRightInd w:val="0"/>
        <w:ind w:left="480" w:hanging="480"/>
        <w:jc w:val="both"/>
        <w:rPr>
          <w:sz w:val="22"/>
          <w:szCs w:val="22"/>
        </w:rPr>
      </w:pPr>
      <w:proofErr w:type="spellStart"/>
      <w:proofErr w:type="gramStart"/>
      <w:r w:rsidRPr="00C16161">
        <w:rPr>
          <w:bCs/>
          <w:sz w:val="22"/>
          <w:szCs w:val="22"/>
        </w:rPr>
        <w:t>Quast</w:t>
      </w:r>
      <w:proofErr w:type="spellEnd"/>
      <w:r w:rsidRPr="00C16161">
        <w:rPr>
          <w:bCs/>
          <w:sz w:val="22"/>
          <w:szCs w:val="22"/>
        </w:rPr>
        <w:t>, J., Rubach, C., &amp; Porsch, R. (2023)</w:t>
      </w:r>
      <w:r w:rsidRPr="00C16161">
        <w:rPr>
          <w:sz w:val="22"/>
          <w:szCs w:val="22"/>
        </w:rPr>
        <w:t>.</w:t>
      </w:r>
      <w:proofErr w:type="gramEnd"/>
      <w:r>
        <w:rPr>
          <w:sz w:val="22"/>
          <w:szCs w:val="22"/>
        </w:rPr>
        <w:t xml:space="preserve"> Professional digital competence beliefs of student teachers, pre-service teachers and teachers: Validating an instrument based on the DigCompEdu framework. </w:t>
      </w:r>
      <w:r>
        <w:rPr>
          <w:i/>
          <w:iCs/>
          <w:sz w:val="22"/>
          <w:szCs w:val="22"/>
        </w:rPr>
        <w:t>European Journal of Teacher Education</w:t>
      </w:r>
      <w:r>
        <w:rPr>
          <w:sz w:val="22"/>
          <w:szCs w:val="22"/>
        </w:rPr>
        <w:t>, 1–24. https://doi.org/10.1080/02619768.2023.2251663</w:t>
      </w:r>
    </w:p>
    <w:p w:rsidR="00C16161" w:rsidRDefault="007329B5" w:rsidP="00C16161">
      <w:pPr>
        <w:widowControl w:val="0"/>
        <w:autoSpaceDE w:val="0"/>
        <w:autoSpaceDN w:val="0"/>
        <w:adjustRightInd w:val="0"/>
        <w:ind w:left="480" w:hanging="480"/>
        <w:jc w:val="both"/>
        <w:rPr>
          <w:sz w:val="22"/>
          <w:szCs w:val="22"/>
        </w:rPr>
      </w:pPr>
      <w:proofErr w:type="gramStart"/>
      <w:r w:rsidRPr="00C16161">
        <w:rPr>
          <w:bCs/>
          <w:sz w:val="22"/>
          <w:szCs w:val="22"/>
        </w:rPr>
        <w:t>Rice, B., Raziq, M. M., Martin, N., Rice, J. L., Memon, M., &amp; Fieger, P. (2024)</w:t>
      </w:r>
      <w:r w:rsidRPr="00C16161">
        <w:rPr>
          <w:sz w:val="22"/>
          <w:szCs w:val="22"/>
        </w:rPr>
        <w:t>.</w:t>
      </w:r>
      <w:proofErr w:type="gramEnd"/>
      <w:r w:rsidRPr="00C16161">
        <w:rPr>
          <w:sz w:val="22"/>
          <w:szCs w:val="22"/>
        </w:rPr>
        <w:t xml:space="preserve"> </w:t>
      </w:r>
      <w:r>
        <w:rPr>
          <w:sz w:val="22"/>
          <w:szCs w:val="22"/>
        </w:rPr>
        <w:lastRenderedPageBreak/>
        <w:t xml:space="preserve">Intrinsic satisfaction and turnover intentions: the moderating roles of collegial and managerial values congruence. </w:t>
      </w:r>
      <w:r>
        <w:rPr>
          <w:i/>
          <w:iCs/>
          <w:sz w:val="22"/>
          <w:szCs w:val="22"/>
        </w:rPr>
        <w:t>Benchmarking: An International Journal</w:t>
      </w:r>
      <w:r>
        <w:rPr>
          <w:sz w:val="22"/>
          <w:szCs w:val="22"/>
        </w:rPr>
        <w:t>. https://doi.org/10.1108/BIJ-02-2023-0081</w:t>
      </w:r>
    </w:p>
    <w:p w:rsidR="00C16161" w:rsidRDefault="007329B5" w:rsidP="00C16161">
      <w:pPr>
        <w:widowControl w:val="0"/>
        <w:autoSpaceDE w:val="0"/>
        <w:autoSpaceDN w:val="0"/>
        <w:adjustRightInd w:val="0"/>
        <w:ind w:left="480" w:hanging="480"/>
        <w:jc w:val="both"/>
        <w:rPr>
          <w:sz w:val="22"/>
          <w:szCs w:val="22"/>
        </w:rPr>
      </w:pPr>
      <w:proofErr w:type="spellStart"/>
      <w:proofErr w:type="gramStart"/>
      <w:r w:rsidRPr="00C16161">
        <w:rPr>
          <w:bCs/>
          <w:sz w:val="22"/>
          <w:szCs w:val="22"/>
        </w:rPr>
        <w:t>Runge</w:t>
      </w:r>
      <w:proofErr w:type="spellEnd"/>
      <w:r w:rsidRPr="00C16161">
        <w:rPr>
          <w:bCs/>
          <w:sz w:val="22"/>
          <w:szCs w:val="22"/>
        </w:rPr>
        <w:t>, I., Lazarides, R., Rubach, C., Richter, D., &amp; Scheiter, K. (2023).</w:t>
      </w:r>
      <w:proofErr w:type="gramEnd"/>
      <w:r w:rsidRPr="00C16161">
        <w:rPr>
          <w:bCs/>
          <w:sz w:val="22"/>
          <w:szCs w:val="22"/>
        </w:rPr>
        <w:t xml:space="preserve"> </w:t>
      </w:r>
      <w:r>
        <w:rPr>
          <w:sz w:val="22"/>
          <w:szCs w:val="22"/>
        </w:rPr>
        <w:t xml:space="preserve">Teacher-reported instructional quality in the context of technology-enhanced teaching: The role of teachers’ digital competence-related beliefs in empowering learners. </w:t>
      </w:r>
      <w:r>
        <w:rPr>
          <w:i/>
          <w:iCs/>
          <w:sz w:val="22"/>
          <w:szCs w:val="22"/>
        </w:rPr>
        <w:t>Computers &amp; Education</w:t>
      </w:r>
      <w:r>
        <w:rPr>
          <w:sz w:val="22"/>
          <w:szCs w:val="22"/>
        </w:rPr>
        <w:t xml:space="preserve">, </w:t>
      </w:r>
      <w:r>
        <w:rPr>
          <w:i/>
          <w:iCs/>
          <w:sz w:val="22"/>
          <w:szCs w:val="22"/>
        </w:rPr>
        <w:t>198</w:t>
      </w:r>
      <w:r>
        <w:rPr>
          <w:sz w:val="22"/>
          <w:szCs w:val="22"/>
        </w:rPr>
        <w:t>, 104761. https://doi.org/10.1016/J.COMPEDU.2023.104761</w:t>
      </w:r>
    </w:p>
    <w:p w:rsidR="00C16161" w:rsidRDefault="007329B5" w:rsidP="00C16161">
      <w:pPr>
        <w:widowControl w:val="0"/>
        <w:autoSpaceDE w:val="0"/>
        <w:autoSpaceDN w:val="0"/>
        <w:adjustRightInd w:val="0"/>
        <w:ind w:left="480" w:hanging="480"/>
        <w:jc w:val="both"/>
        <w:rPr>
          <w:sz w:val="22"/>
          <w:szCs w:val="22"/>
        </w:rPr>
      </w:pPr>
      <w:proofErr w:type="spellStart"/>
      <w:proofErr w:type="gramStart"/>
      <w:r w:rsidRPr="00C16161">
        <w:rPr>
          <w:bCs/>
          <w:sz w:val="22"/>
          <w:szCs w:val="22"/>
        </w:rPr>
        <w:t>Sadeghi</w:t>
      </w:r>
      <w:proofErr w:type="spellEnd"/>
      <w:r w:rsidRPr="00C16161">
        <w:rPr>
          <w:bCs/>
          <w:sz w:val="22"/>
          <w:szCs w:val="22"/>
        </w:rPr>
        <w:t>, K., Ghaderi, F., &amp; Abdollahpour, Z. (2021)</w:t>
      </w:r>
      <w:r w:rsidRPr="00C16161">
        <w:rPr>
          <w:sz w:val="22"/>
          <w:szCs w:val="22"/>
        </w:rPr>
        <w:t>.</w:t>
      </w:r>
      <w:proofErr w:type="gramEnd"/>
      <w:r>
        <w:rPr>
          <w:sz w:val="22"/>
          <w:szCs w:val="22"/>
        </w:rPr>
        <w:t xml:space="preserve"> Self-reported teaching effectiveness and job satisfaction among teachers: the role of subject matter and other demographic variables. </w:t>
      </w:r>
      <w:r>
        <w:rPr>
          <w:i/>
          <w:iCs/>
          <w:sz w:val="22"/>
          <w:szCs w:val="22"/>
        </w:rPr>
        <w:t>Heliyon</w:t>
      </w:r>
      <w:r>
        <w:rPr>
          <w:sz w:val="22"/>
          <w:szCs w:val="22"/>
        </w:rPr>
        <w:t xml:space="preserve">, </w:t>
      </w:r>
      <w:r>
        <w:rPr>
          <w:i/>
          <w:iCs/>
          <w:sz w:val="22"/>
          <w:szCs w:val="22"/>
        </w:rPr>
        <w:t>7</w:t>
      </w:r>
      <w:r>
        <w:rPr>
          <w:sz w:val="22"/>
          <w:szCs w:val="22"/>
        </w:rPr>
        <w:t>(6), e07193. https://doi.org/10.1016/j.heliyon.2021.e07193</w:t>
      </w:r>
    </w:p>
    <w:p w:rsidR="00934A14" w:rsidRDefault="002612A3" w:rsidP="00934A14">
      <w:pPr>
        <w:widowControl w:val="0"/>
        <w:autoSpaceDE w:val="0"/>
        <w:autoSpaceDN w:val="0"/>
        <w:adjustRightInd w:val="0"/>
        <w:ind w:left="480" w:hanging="480"/>
        <w:jc w:val="both"/>
        <w:rPr>
          <w:sz w:val="22"/>
          <w:szCs w:val="22"/>
        </w:rPr>
      </w:pPr>
      <w:proofErr w:type="spellStart"/>
      <w:r w:rsidRPr="00C16161">
        <w:rPr>
          <w:sz w:val="22"/>
          <w:szCs w:val="22"/>
        </w:rPr>
        <w:t>Suseno</w:t>
      </w:r>
      <w:proofErr w:type="spellEnd"/>
      <w:r w:rsidRPr="00C16161">
        <w:rPr>
          <w:sz w:val="22"/>
          <w:szCs w:val="22"/>
        </w:rPr>
        <w:t xml:space="preserve">, B. D. (2019). </w:t>
      </w:r>
      <w:r w:rsidRPr="002612A3">
        <w:rPr>
          <w:sz w:val="22"/>
          <w:szCs w:val="22"/>
        </w:rPr>
        <w:t xml:space="preserve">The strength of justified knowledge sharing on good manufacturing practices: Empirical evidence on food beverage joint venture company of Japan – Indonesia. </w:t>
      </w:r>
      <w:r w:rsidRPr="002612A3">
        <w:rPr>
          <w:i/>
          <w:sz w:val="22"/>
          <w:szCs w:val="22"/>
        </w:rPr>
        <w:t xml:space="preserve">Quality - Access to Success </w:t>
      </w:r>
      <w:r w:rsidR="00934A14">
        <w:rPr>
          <w:sz w:val="22"/>
          <w:szCs w:val="22"/>
        </w:rPr>
        <w:t>Vol. 20 (170), 130-13</w:t>
      </w:r>
    </w:p>
    <w:p w:rsidR="00934A14" w:rsidRDefault="007329B5" w:rsidP="00934A14">
      <w:pPr>
        <w:widowControl w:val="0"/>
        <w:autoSpaceDE w:val="0"/>
        <w:autoSpaceDN w:val="0"/>
        <w:adjustRightInd w:val="0"/>
        <w:ind w:left="480" w:hanging="480"/>
        <w:jc w:val="both"/>
      </w:pPr>
      <w:r w:rsidRPr="00C16161">
        <w:rPr>
          <w:bCs/>
          <w:sz w:val="22"/>
          <w:szCs w:val="22"/>
        </w:rPr>
        <w:t>Santa-Cruz-Espinoza, H., Puga, N. B., Olivares, J. A. C., Carhuatocto, J. D. A. H., Rebaza, L. E. A., &amp; Chávez-Ventura, G. (2024)</w:t>
      </w:r>
      <w:r w:rsidRPr="00C16161">
        <w:rPr>
          <w:sz w:val="22"/>
          <w:szCs w:val="22"/>
        </w:rPr>
        <w:t xml:space="preserve">. </w:t>
      </w:r>
      <w:proofErr w:type="gramStart"/>
      <w:r>
        <w:rPr>
          <w:sz w:val="22"/>
          <w:szCs w:val="22"/>
        </w:rPr>
        <w:t>Analysis and Validity Evidence of the Digital Competence Questionnaire for Peruvian Teachers.</w:t>
      </w:r>
      <w:proofErr w:type="gramEnd"/>
      <w:r>
        <w:rPr>
          <w:sz w:val="22"/>
          <w:szCs w:val="22"/>
        </w:rPr>
        <w:t xml:space="preserve"> </w:t>
      </w:r>
      <w:proofErr w:type="gramStart"/>
      <w:r>
        <w:rPr>
          <w:i/>
          <w:iCs/>
          <w:sz w:val="22"/>
          <w:szCs w:val="22"/>
        </w:rPr>
        <w:t>IEEE Revista Iberoamericana de Tecnologias Del Aprendizaje</w:t>
      </w:r>
      <w:r>
        <w:rPr>
          <w:sz w:val="22"/>
          <w:szCs w:val="22"/>
        </w:rPr>
        <w:t xml:space="preserve">, </w:t>
      </w:r>
      <w:r>
        <w:rPr>
          <w:i/>
          <w:iCs/>
          <w:sz w:val="22"/>
          <w:szCs w:val="22"/>
        </w:rPr>
        <w:t>19</w:t>
      </w:r>
      <w:r>
        <w:rPr>
          <w:sz w:val="22"/>
          <w:szCs w:val="22"/>
        </w:rPr>
        <w:t>, 33–38.</w:t>
      </w:r>
      <w:proofErr w:type="gramEnd"/>
      <w:r>
        <w:rPr>
          <w:sz w:val="22"/>
          <w:szCs w:val="22"/>
        </w:rPr>
        <w:t xml:space="preserve"> https://doi.org/10.1109/RITA.2024.3368328</w:t>
      </w:r>
      <w:r w:rsidR="00934A14" w:rsidRPr="00934A14">
        <w:t xml:space="preserve"> </w:t>
      </w:r>
    </w:p>
    <w:p w:rsidR="00934A14" w:rsidRPr="00934A14" w:rsidRDefault="00934A14" w:rsidP="00934A14">
      <w:pPr>
        <w:widowControl w:val="0"/>
        <w:autoSpaceDE w:val="0"/>
        <w:autoSpaceDN w:val="0"/>
        <w:adjustRightInd w:val="0"/>
        <w:ind w:left="480" w:hanging="480"/>
        <w:jc w:val="both"/>
        <w:rPr>
          <w:sz w:val="22"/>
          <w:szCs w:val="22"/>
        </w:rPr>
      </w:pPr>
      <w:proofErr w:type="spellStart"/>
      <w:proofErr w:type="gramStart"/>
      <w:r>
        <w:t>Suseno</w:t>
      </w:r>
      <w:proofErr w:type="spellEnd"/>
      <w:r>
        <w:t xml:space="preserve">, BD; </w:t>
      </w:r>
      <w:proofErr w:type="spellStart"/>
      <w:r>
        <w:t>Basrowi</w:t>
      </w:r>
      <w:proofErr w:type="spellEnd"/>
      <w:r>
        <w:t>.</w:t>
      </w:r>
      <w:proofErr w:type="gramEnd"/>
      <w:r>
        <w:t xml:space="preserve"> (2023). </w:t>
      </w:r>
      <w:r w:rsidRPr="008B55AA">
        <w:t xml:space="preserve">Role of the Magnitude of Digital Adaptability in Sustainability of </w:t>
      </w:r>
      <w:r>
        <w:t xml:space="preserve"> </w:t>
      </w:r>
      <w:r w:rsidRPr="008B55AA">
        <w:t>Food and Beverage Small Enterprises Competitiveness</w:t>
      </w:r>
      <w:r>
        <w:t xml:space="preserve">, </w:t>
      </w:r>
      <w:proofErr w:type="spellStart"/>
      <w:r w:rsidRPr="000D0B8F">
        <w:rPr>
          <w:i/>
        </w:rPr>
        <w:t>HighTech</w:t>
      </w:r>
      <w:proofErr w:type="spellEnd"/>
      <w:r w:rsidRPr="000D0B8F">
        <w:rPr>
          <w:i/>
        </w:rPr>
        <w:t xml:space="preserve"> and Innovation Journal</w:t>
      </w:r>
      <w:r>
        <w:t xml:space="preserve">, </w:t>
      </w:r>
      <w:r w:rsidRPr="008B55AA">
        <w:t>Vol. 4</w:t>
      </w:r>
      <w:r>
        <w:t xml:space="preserve">, </w:t>
      </w:r>
      <w:r w:rsidRPr="008B55AA">
        <w:t xml:space="preserve"> No. 2</w:t>
      </w:r>
      <w:r>
        <w:t xml:space="preserve">, pp. 270-282. </w:t>
      </w:r>
      <w:hyperlink r:id="rId12" w:history="1">
        <w:r w:rsidRPr="00716D66">
          <w:rPr>
            <w:rStyle w:val="Hyperlink"/>
          </w:rPr>
          <w:t>http://dx.doi.org/10.28991/HIJ-2023-04-02-02</w:t>
        </w:r>
      </w:hyperlink>
    </w:p>
    <w:p w:rsidR="00C16161" w:rsidRDefault="007329B5" w:rsidP="00C16161">
      <w:pPr>
        <w:widowControl w:val="0"/>
        <w:autoSpaceDE w:val="0"/>
        <w:autoSpaceDN w:val="0"/>
        <w:adjustRightInd w:val="0"/>
        <w:ind w:left="480" w:hanging="480"/>
        <w:jc w:val="both"/>
        <w:rPr>
          <w:sz w:val="22"/>
          <w:szCs w:val="22"/>
        </w:rPr>
      </w:pPr>
      <w:proofErr w:type="gramStart"/>
      <w:r w:rsidRPr="00C16161">
        <w:rPr>
          <w:bCs/>
          <w:sz w:val="22"/>
          <w:szCs w:val="22"/>
        </w:rPr>
        <w:t>Seifert, H., &amp; Lindmeier, A. (2024)</w:t>
      </w:r>
      <w:r w:rsidRPr="00C16161">
        <w:rPr>
          <w:sz w:val="22"/>
          <w:szCs w:val="22"/>
        </w:rPr>
        <w:t>.</w:t>
      </w:r>
      <w:proofErr w:type="gramEnd"/>
      <w:r>
        <w:rPr>
          <w:sz w:val="22"/>
          <w:szCs w:val="22"/>
        </w:rPr>
        <w:t xml:space="preserve"> Developing a Performance-Based Assessment to Measure Pre-Service Secondary Teachers’ Digital Competence to Use Digital Mathematics Tools. </w:t>
      </w:r>
      <w:r>
        <w:rPr>
          <w:i/>
          <w:iCs/>
          <w:sz w:val="22"/>
          <w:szCs w:val="22"/>
        </w:rPr>
        <w:t>Journal Für Mathematik-Didaktik</w:t>
      </w:r>
      <w:r>
        <w:rPr>
          <w:sz w:val="22"/>
          <w:szCs w:val="22"/>
        </w:rPr>
        <w:t xml:space="preserve">, </w:t>
      </w:r>
      <w:r>
        <w:rPr>
          <w:i/>
          <w:iCs/>
          <w:sz w:val="22"/>
          <w:szCs w:val="22"/>
        </w:rPr>
        <w:t>45</w:t>
      </w:r>
      <w:r>
        <w:rPr>
          <w:sz w:val="22"/>
          <w:szCs w:val="22"/>
        </w:rPr>
        <w:t>(2), 25. https://doi.org/10.1007/s13138-024-00251-7</w:t>
      </w:r>
    </w:p>
    <w:p w:rsidR="00934A14" w:rsidRDefault="007329B5" w:rsidP="00C16161">
      <w:pPr>
        <w:widowControl w:val="0"/>
        <w:autoSpaceDE w:val="0"/>
        <w:autoSpaceDN w:val="0"/>
        <w:adjustRightInd w:val="0"/>
        <w:ind w:left="480" w:hanging="480"/>
        <w:jc w:val="both"/>
      </w:pPr>
      <w:proofErr w:type="spellStart"/>
      <w:r w:rsidRPr="00C16161">
        <w:rPr>
          <w:bCs/>
          <w:sz w:val="22"/>
          <w:szCs w:val="22"/>
        </w:rPr>
        <w:t>Senyametor</w:t>
      </w:r>
      <w:proofErr w:type="spellEnd"/>
      <w:r w:rsidRPr="00C16161">
        <w:rPr>
          <w:bCs/>
          <w:sz w:val="22"/>
          <w:szCs w:val="22"/>
        </w:rPr>
        <w:t>, F., Abreh, M. K., Amponsah, M. K. O., Mills, C. A., Bakah, M. A. B., &amp; Abango, M. A. (2024).</w:t>
      </w:r>
      <w:r w:rsidRPr="00C16161">
        <w:rPr>
          <w:sz w:val="22"/>
          <w:szCs w:val="22"/>
        </w:rPr>
        <w:t xml:space="preserve"> D</w:t>
      </w:r>
      <w:r>
        <w:rPr>
          <w:sz w:val="22"/>
          <w:szCs w:val="22"/>
        </w:rPr>
        <w:t xml:space="preserve">o support services provided in distance education context matter in trainee teacher performance? </w:t>
      </w:r>
      <w:r>
        <w:rPr>
          <w:i/>
          <w:iCs/>
          <w:sz w:val="22"/>
          <w:szCs w:val="22"/>
        </w:rPr>
        <w:t>Cogent Education</w:t>
      </w:r>
      <w:r>
        <w:rPr>
          <w:sz w:val="22"/>
          <w:szCs w:val="22"/>
        </w:rPr>
        <w:t xml:space="preserve">, </w:t>
      </w:r>
      <w:r>
        <w:rPr>
          <w:i/>
          <w:iCs/>
          <w:sz w:val="22"/>
          <w:szCs w:val="22"/>
        </w:rPr>
        <w:t>11</w:t>
      </w:r>
      <w:r>
        <w:rPr>
          <w:sz w:val="22"/>
          <w:szCs w:val="22"/>
        </w:rPr>
        <w:t>(1). https://doi.org/10.1080/2331186X.2024.2398717</w:t>
      </w:r>
      <w:r w:rsidR="00934A14" w:rsidRPr="00934A14">
        <w:t xml:space="preserve"> </w:t>
      </w:r>
    </w:p>
    <w:p w:rsidR="00C16161" w:rsidRDefault="00934A14" w:rsidP="00C16161">
      <w:pPr>
        <w:widowControl w:val="0"/>
        <w:autoSpaceDE w:val="0"/>
        <w:autoSpaceDN w:val="0"/>
        <w:adjustRightInd w:val="0"/>
        <w:ind w:left="480" w:hanging="480"/>
        <w:jc w:val="both"/>
        <w:rPr>
          <w:sz w:val="22"/>
          <w:szCs w:val="22"/>
        </w:rPr>
      </w:pPr>
      <w:proofErr w:type="spellStart"/>
      <w:r w:rsidRPr="00934A14">
        <w:rPr>
          <w:sz w:val="22"/>
          <w:szCs w:val="22"/>
        </w:rPr>
        <w:t>Suseno</w:t>
      </w:r>
      <w:proofErr w:type="spellEnd"/>
      <w:r w:rsidRPr="00934A14">
        <w:rPr>
          <w:sz w:val="22"/>
          <w:szCs w:val="22"/>
        </w:rPr>
        <w:t>, BD</w:t>
      </w:r>
      <w:proofErr w:type="gramStart"/>
      <w:r w:rsidRPr="00934A14">
        <w:rPr>
          <w:sz w:val="22"/>
          <w:szCs w:val="22"/>
        </w:rPr>
        <w:t xml:space="preserve">;  </w:t>
      </w:r>
      <w:proofErr w:type="spellStart"/>
      <w:r w:rsidRPr="00934A14">
        <w:rPr>
          <w:sz w:val="22"/>
          <w:szCs w:val="22"/>
        </w:rPr>
        <w:t>Rochmaedah</w:t>
      </w:r>
      <w:proofErr w:type="spellEnd"/>
      <w:proofErr w:type="gramEnd"/>
      <w:r w:rsidRPr="00934A14">
        <w:rPr>
          <w:sz w:val="22"/>
          <w:szCs w:val="22"/>
        </w:rPr>
        <w:t xml:space="preserve">, D; </w:t>
      </w:r>
      <w:proofErr w:type="spellStart"/>
      <w:r w:rsidRPr="00934A14">
        <w:rPr>
          <w:sz w:val="22"/>
          <w:szCs w:val="22"/>
        </w:rPr>
        <w:t>Firjatullah</w:t>
      </w:r>
      <w:proofErr w:type="spellEnd"/>
      <w:r w:rsidRPr="00934A14">
        <w:rPr>
          <w:sz w:val="22"/>
          <w:szCs w:val="22"/>
        </w:rPr>
        <w:t xml:space="preserve">, F;  </w:t>
      </w:r>
      <w:proofErr w:type="spellStart"/>
      <w:r w:rsidRPr="00934A14">
        <w:rPr>
          <w:sz w:val="22"/>
          <w:szCs w:val="22"/>
        </w:rPr>
        <w:t>Munawir</w:t>
      </w:r>
      <w:proofErr w:type="spellEnd"/>
      <w:r w:rsidRPr="00934A14">
        <w:rPr>
          <w:sz w:val="22"/>
          <w:szCs w:val="22"/>
        </w:rPr>
        <w:t xml:space="preserve">, A; </w:t>
      </w:r>
      <w:proofErr w:type="spellStart"/>
      <w:r w:rsidRPr="00934A14">
        <w:rPr>
          <w:sz w:val="22"/>
          <w:szCs w:val="22"/>
        </w:rPr>
        <w:t>Idrus</w:t>
      </w:r>
      <w:proofErr w:type="spellEnd"/>
      <w:r w:rsidRPr="00934A14">
        <w:rPr>
          <w:sz w:val="22"/>
          <w:szCs w:val="22"/>
        </w:rPr>
        <w:t xml:space="preserve">, I. (2024). The Influence of Exceptional Service and Product Quality on Online Purchase, </w:t>
      </w:r>
      <w:r w:rsidRPr="00934A14">
        <w:rPr>
          <w:i/>
          <w:sz w:val="22"/>
          <w:szCs w:val="22"/>
        </w:rPr>
        <w:t xml:space="preserve">Advances in Business-Related Scientific Research Journal (ABSRJ), </w:t>
      </w:r>
      <w:r w:rsidRPr="00934A14">
        <w:rPr>
          <w:sz w:val="22"/>
          <w:szCs w:val="22"/>
        </w:rPr>
        <w:t>Vo. 15 No. 1 pp.1- 19. https://www.absrc.org/publications/absrj-2024-volume-15-number-1-bds/,</w:t>
      </w:r>
    </w:p>
    <w:p w:rsidR="00C16161" w:rsidRDefault="007329B5" w:rsidP="00C16161">
      <w:pPr>
        <w:widowControl w:val="0"/>
        <w:autoSpaceDE w:val="0"/>
        <w:autoSpaceDN w:val="0"/>
        <w:adjustRightInd w:val="0"/>
        <w:ind w:left="480" w:hanging="480"/>
        <w:jc w:val="both"/>
        <w:rPr>
          <w:sz w:val="22"/>
          <w:szCs w:val="22"/>
        </w:rPr>
      </w:pPr>
      <w:proofErr w:type="spellStart"/>
      <w:proofErr w:type="gramStart"/>
      <w:r w:rsidRPr="00C16161">
        <w:rPr>
          <w:bCs/>
          <w:sz w:val="22"/>
          <w:szCs w:val="22"/>
        </w:rPr>
        <w:t>Tasić</w:t>
      </w:r>
      <w:proofErr w:type="spellEnd"/>
      <w:r w:rsidRPr="00C16161">
        <w:rPr>
          <w:bCs/>
          <w:sz w:val="22"/>
          <w:szCs w:val="22"/>
        </w:rPr>
        <w:t>, I., Merdović, M., Jankov, J., Terek, E., Jovanović, Z., &amp; Nikolić, M. (2020)</w:t>
      </w:r>
      <w:r w:rsidRPr="00C16161">
        <w:rPr>
          <w:sz w:val="22"/>
          <w:szCs w:val="22"/>
        </w:rPr>
        <w:t>.</w:t>
      </w:r>
      <w:proofErr w:type="gramEnd"/>
      <w:r w:rsidRPr="00C16161">
        <w:rPr>
          <w:sz w:val="22"/>
          <w:szCs w:val="22"/>
        </w:rPr>
        <w:t xml:space="preserve"> </w:t>
      </w:r>
      <w:r>
        <w:rPr>
          <w:sz w:val="22"/>
          <w:szCs w:val="22"/>
        </w:rPr>
        <w:t xml:space="preserve">Leadership, LMX and teaching process quality in primary schools. </w:t>
      </w:r>
      <w:r>
        <w:rPr>
          <w:i/>
          <w:iCs/>
          <w:sz w:val="22"/>
          <w:szCs w:val="22"/>
        </w:rPr>
        <w:t>Anali Ekonomskog Fakulteta u Subotici</w:t>
      </w:r>
      <w:r>
        <w:rPr>
          <w:sz w:val="22"/>
          <w:szCs w:val="22"/>
        </w:rPr>
        <w:t xml:space="preserve">, </w:t>
      </w:r>
      <w:r>
        <w:rPr>
          <w:i/>
          <w:iCs/>
          <w:sz w:val="22"/>
          <w:szCs w:val="22"/>
        </w:rPr>
        <w:t>43</w:t>
      </w:r>
      <w:r>
        <w:rPr>
          <w:sz w:val="22"/>
          <w:szCs w:val="22"/>
        </w:rPr>
        <w:t>, 31–48. https://doi.org/10.5937/AnEkSub2001031T</w:t>
      </w:r>
    </w:p>
    <w:p w:rsidR="00C16161" w:rsidRDefault="007329B5" w:rsidP="00C16161">
      <w:pPr>
        <w:widowControl w:val="0"/>
        <w:autoSpaceDE w:val="0"/>
        <w:autoSpaceDN w:val="0"/>
        <w:adjustRightInd w:val="0"/>
        <w:ind w:left="480" w:hanging="480"/>
        <w:jc w:val="both"/>
        <w:rPr>
          <w:sz w:val="22"/>
          <w:szCs w:val="22"/>
        </w:rPr>
      </w:pPr>
      <w:proofErr w:type="spellStart"/>
      <w:proofErr w:type="gramStart"/>
      <w:r w:rsidRPr="00C16161">
        <w:rPr>
          <w:bCs/>
          <w:sz w:val="22"/>
          <w:szCs w:val="22"/>
        </w:rPr>
        <w:lastRenderedPageBreak/>
        <w:t>Tzafilkou</w:t>
      </w:r>
      <w:proofErr w:type="spellEnd"/>
      <w:r w:rsidRPr="00C16161">
        <w:rPr>
          <w:bCs/>
          <w:sz w:val="22"/>
          <w:szCs w:val="22"/>
        </w:rPr>
        <w:t>, K.</w:t>
      </w:r>
      <w:r w:rsidR="00C16161" w:rsidRPr="00C16161">
        <w:rPr>
          <w:bCs/>
          <w:sz w:val="22"/>
          <w:szCs w:val="22"/>
        </w:rPr>
        <w:t xml:space="preserve">, Perifanou, M., </w:t>
      </w:r>
      <w:proofErr w:type="spellStart"/>
      <w:r w:rsidR="00C16161" w:rsidRPr="00C16161">
        <w:rPr>
          <w:bCs/>
          <w:sz w:val="22"/>
          <w:szCs w:val="22"/>
        </w:rPr>
        <w:t>Anastasios</w:t>
      </w:r>
      <w:proofErr w:type="spellEnd"/>
      <w:r w:rsidR="00C16161" w:rsidRPr="00C16161">
        <w:rPr>
          <w:bCs/>
          <w:sz w:val="22"/>
          <w:szCs w:val="22"/>
        </w:rPr>
        <w:t xml:space="preserve"> </w:t>
      </w:r>
      <w:r w:rsidRPr="00C16161">
        <w:rPr>
          <w:bCs/>
          <w:sz w:val="22"/>
          <w:szCs w:val="22"/>
        </w:rPr>
        <w:t>&amp; Economides, A. (2023)</w:t>
      </w:r>
      <w:r w:rsidRPr="00C16161">
        <w:rPr>
          <w:sz w:val="22"/>
          <w:szCs w:val="22"/>
        </w:rPr>
        <w:t>.</w:t>
      </w:r>
      <w:proofErr w:type="gramEnd"/>
      <w:r>
        <w:rPr>
          <w:sz w:val="22"/>
          <w:szCs w:val="22"/>
        </w:rPr>
        <w:t xml:space="preserve"> Assessing teachers’ digital competence in primary and secondary education: Applying a new instrument to integrate pedagogical and professional elements for digital education. </w:t>
      </w:r>
      <w:r>
        <w:rPr>
          <w:i/>
          <w:iCs/>
          <w:sz w:val="22"/>
          <w:szCs w:val="22"/>
        </w:rPr>
        <w:t>Education and Information Technologies</w:t>
      </w:r>
      <w:r>
        <w:rPr>
          <w:sz w:val="22"/>
          <w:szCs w:val="22"/>
        </w:rPr>
        <w:t xml:space="preserve">, </w:t>
      </w:r>
      <w:r>
        <w:rPr>
          <w:i/>
          <w:iCs/>
          <w:sz w:val="22"/>
          <w:szCs w:val="22"/>
        </w:rPr>
        <w:t>28</w:t>
      </w:r>
      <w:r>
        <w:rPr>
          <w:sz w:val="22"/>
          <w:szCs w:val="22"/>
        </w:rPr>
        <w:t>, 16017–16040. https://doi.org/10.1007/s10639-023-11848-9</w:t>
      </w:r>
      <w:r w:rsidR="00C16161">
        <w:rPr>
          <w:sz w:val="22"/>
          <w:szCs w:val="22"/>
        </w:rPr>
        <w:t>.</w:t>
      </w:r>
    </w:p>
    <w:p w:rsidR="00C16161" w:rsidRDefault="007329B5" w:rsidP="00C16161">
      <w:pPr>
        <w:widowControl w:val="0"/>
        <w:autoSpaceDE w:val="0"/>
        <w:autoSpaceDN w:val="0"/>
        <w:adjustRightInd w:val="0"/>
        <w:ind w:left="480" w:hanging="480"/>
        <w:jc w:val="both"/>
        <w:rPr>
          <w:sz w:val="22"/>
          <w:szCs w:val="22"/>
        </w:rPr>
      </w:pPr>
      <w:proofErr w:type="spellStart"/>
      <w:proofErr w:type="gramStart"/>
      <w:r w:rsidRPr="00C16161">
        <w:rPr>
          <w:bCs/>
          <w:sz w:val="22"/>
          <w:szCs w:val="22"/>
        </w:rPr>
        <w:t>Usadolo</w:t>
      </w:r>
      <w:proofErr w:type="spellEnd"/>
      <w:r w:rsidRPr="00C16161">
        <w:rPr>
          <w:bCs/>
          <w:sz w:val="22"/>
          <w:szCs w:val="22"/>
        </w:rPr>
        <w:t>, S. E., Usadolo, Q. E., &amp; Makwambeni, B. (2020)</w:t>
      </w:r>
      <w:r w:rsidRPr="00C16161">
        <w:rPr>
          <w:sz w:val="22"/>
          <w:szCs w:val="22"/>
        </w:rPr>
        <w:t>.</w:t>
      </w:r>
      <w:proofErr w:type="gramEnd"/>
      <w:r>
        <w:rPr>
          <w:sz w:val="22"/>
          <w:szCs w:val="22"/>
        </w:rPr>
        <w:t xml:space="preserve"> Influence of Leader-Member Exchange on Teachers’ Workplace Outcomes at Vocational Colleges in South Africa. </w:t>
      </w:r>
      <w:r>
        <w:rPr>
          <w:i/>
          <w:iCs/>
          <w:sz w:val="22"/>
          <w:szCs w:val="22"/>
        </w:rPr>
        <w:t>Journal of African Business</w:t>
      </w:r>
      <w:r>
        <w:rPr>
          <w:sz w:val="22"/>
          <w:szCs w:val="22"/>
        </w:rPr>
        <w:t xml:space="preserve">, </w:t>
      </w:r>
      <w:r>
        <w:rPr>
          <w:i/>
          <w:iCs/>
          <w:sz w:val="22"/>
          <w:szCs w:val="22"/>
        </w:rPr>
        <w:t>21</w:t>
      </w:r>
      <w:r>
        <w:rPr>
          <w:sz w:val="22"/>
          <w:szCs w:val="22"/>
        </w:rPr>
        <w:t>(2), 264–287. https://doi.org/10.1080/15228916.2019.1641303</w:t>
      </w:r>
    </w:p>
    <w:p w:rsidR="00C16161" w:rsidRDefault="007329B5" w:rsidP="00C16161">
      <w:pPr>
        <w:widowControl w:val="0"/>
        <w:autoSpaceDE w:val="0"/>
        <w:autoSpaceDN w:val="0"/>
        <w:adjustRightInd w:val="0"/>
        <w:ind w:left="480" w:hanging="480"/>
        <w:jc w:val="both"/>
        <w:rPr>
          <w:sz w:val="22"/>
          <w:szCs w:val="22"/>
        </w:rPr>
      </w:pPr>
      <w:proofErr w:type="gramStart"/>
      <w:r w:rsidRPr="00C16161">
        <w:rPr>
          <w:bCs/>
          <w:sz w:val="22"/>
          <w:szCs w:val="22"/>
        </w:rPr>
        <w:t>van</w:t>
      </w:r>
      <w:proofErr w:type="gramEnd"/>
      <w:r w:rsidRPr="00C16161">
        <w:rPr>
          <w:bCs/>
          <w:sz w:val="22"/>
          <w:szCs w:val="22"/>
        </w:rPr>
        <w:t xml:space="preserve"> </w:t>
      </w:r>
      <w:proofErr w:type="spellStart"/>
      <w:r w:rsidRPr="00C16161">
        <w:rPr>
          <w:bCs/>
          <w:sz w:val="22"/>
          <w:szCs w:val="22"/>
        </w:rPr>
        <w:t>Tuin</w:t>
      </w:r>
      <w:proofErr w:type="spellEnd"/>
      <w:r w:rsidRPr="00C16161">
        <w:rPr>
          <w:bCs/>
          <w:sz w:val="22"/>
          <w:szCs w:val="22"/>
        </w:rPr>
        <w:t>, L., Schaufeli, W. B., &amp; Van den Broeck, A. (2021)</w:t>
      </w:r>
      <w:r w:rsidRPr="00C16161">
        <w:rPr>
          <w:sz w:val="22"/>
          <w:szCs w:val="22"/>
        </w:rPr>
        <w:t>.</w:t>
      </w:r>
      <w:r>
        <w:rPr>
          <w:sz w:val="22"/>
          <w:szCs w:val="22"/>
        </w:rPr>
        <w:t xml:space="preserve"> Engaging leadership: Enhancing work engagement through intrinsic values and need satisfaction. </w:t>
      </w:r>
      <w:r>
        <w:rPr>
          <w:i/>
          <w:iCs/>
          <w:sz w:val="22"/>
          <w:szCs w:val="22"/>
        </w:rPr>
        <w:t>Human Resource Development Quarterly</w:t>
      </w:r>
      <w:r>
        <w:rPr>
          <w:sz w:val="22"/>
          <w:szCs w:val="22"/>
        </w:rPr>
        <w:t xml:space="preserve">, </w:t>
      </w:r>
      <w:r>
        <w:rPr>
          <w:i/>
          <w:iCs/>
          <w:sz w:val="22"/>
          <w:szCs w:val="22"/>
        </w:rPr>
        <w:t>32</w:t>
      </w:r>
      <w:r>
        <w:rPr>
          <w:sz w:val="22"/>
          <w:szCs w:val="22"/>
        </w:rPr>
        <w:t>(4), 483–505. https://doi.org/10.1002/hrdq.21430</w:t>
      </w:r>
    </w:p>
    <w:p w:rsidR="00C16161" w:rsidRDefault="007329B5" w:rsidP="00C16161">
      <w:pPr>
        <w:widowControl w:val="0"/>
        <w:autoSpaceDE w:val="0"/>
        <w:autoSpaceDN w:val="0"/>
        <w:adjustRightInd w:val="0"/>
        <w:ind w:left="480" w:hanging="480"/>
        <w:jc w:val="both"/>
        <w:rPr>
          <w:sz w:val="22"/>
          <w:szCs w:val="22"/>
        </w:rPr>
      </w:pPr>
      <w:proofErr w:type="gramStart"/>
      <w:r w:rsidRPr="00C16161">
        <w:rPr>
          <w:bCs/>
          <w:sz w:val="22"/>
          <w:szCs w:val="22"/>
        </w:rPr>
        <w:t xml:space="preserve">Van </w:t>
      </w:r>
      <w:proofErr w:type="spellStart"/>
      <w:r w:rsidRPr="00C16161">
        <w:rPr>
          <w:bCs/>
          <w:sz w:val="22"/>
          <w:szCs w:val="22"/>
        </w:rPr>
        <w:t>Waeyenberg</w:t>
      </w:r>
      <w:proofErr w:type="spellEnd"/>
      <w:r w:rsidRPr="00C16161">
        <w:rPr>
          <w:bCs/>
          <w:sz w:val="22"/>
          <w:szCs w:val="22"/>
        </w:rPr>
        <w:t>, T., Peccei, R., &amp; Decramer, A. (2022)</w:t>
      </w:r>
      <w:r w:rsidRPr="00C16161">
        <w:rPr>
          <w:sz w:val="22"/>
          <w:szCs w:val="22"/>
        </w:rPr>
        <w:t>.</w:t>
      </w:r>
      <w:proofErr w:type="gramEnd"/>
      <w:r>
        <w:rPr>
          <w:sz w:val="22"/>
          <w:szCs w:val="22"/>
        </w:rPr>
        <w:t xml:space="preserve"> Performance management and teacher performance: the role of affective organizational commitment and exhaustion. </w:t>
      </w:r>
      <w:r>
        <w:rPr>
          <w:i/>
          <w:iCs/>
          <w:sz w:val="22"/>
          <w:szCs w:val="22"/>
        </w:rPr>
        <w:t>The International Journal of Human Resource Management</w:t>
      </w:r>
      <w:r>
        <w:rPr>
          <w:sz w:val="22"/>
          <w:szCs w:val="22"/>
        </w:rPr>
        <w:t xml:space="preserve">, </w:t>
      </w:r>
      <w:r>
        <w:rPr>
          <w:i/>
          <w:iCs/>
          <w:sz w:val="22"/>
          <w:szCs w:val="22"/>
        </w:rPr>
        <w:t>33</w:t>
      </w:r>
      <w:r>
        <w:rPr>
          <w:sz w:val="22"/>
          <w:szCs w:val="22"/>
        </w:rPr>
        <w:t>(4), 623–646. https://doi.org/10.1080/09585192.2020.1754881</w:t>
      </w:r>
    </w:p>
    <w:p w:rsidR="00C16161" w:rsidRDefault="007329B5" w:rsidP="00C16161">
      <w:pPr>
        <w:widowControl w:val="0"/>
        <w:autoSpaceDE w:val="0"/>
        <w:autoSpaceDN w:val="0"/>
        <w:adjustRightInd w:val="0"/>
        <w:ind w:left="480" w:hanging="480"/>
        <w:jc w:val="both"/>
        <w:rPr>
          <w:sz w:val="22"/>
          <w:szCs w:val="22"/>
        </w:rPr>
      </w:pPr>
      <w:proofErr w:type="gramStart"/>
      <w:r w:rsidRPr="00C16161">
        <w:rPr>
          <w:bCs/>
          <w:sz w:val="22"/>
          <w:szCs w:val="22"/>
        </w:rPr>
        <w:t>Wang, G., Saher, L., Hao, T., Ali, A., &amp; Amin, M. W. (2024)</w:t>
      </w:r>
      <w:r w:rsidRPr="00C16161">
        <w:rPr>
          <w:sz w:val="22"/>
          <w:szCs w:val="22"/>
        </w:rPr>
        <w:t>.</w:t>
      </w:r>
      <w:proofErr w:type="gramEnd"/>
      <w:r>
        <w:rPr>
          <w:sz w:val="22"/>
          <w:szCs w:val="22"/>
        </w:rPr>
        <w:t xml:space="preserve"> Unlocking employee innovative behavior: the role of humble leadership, core self-evaluation, and leader-member exchange. </w:t>
      </w:r>
      <w:r>
        <w:rPr>
          <w:i/>
          <w:iCs/>
          <w:sz w:val="22"/>
          <w:szCs w:val="22"/>
        </w:rPr>
        <w:t>BMC Psychology</w:t>
      </w:r>
      <w:r>
        <w:rPr>
          <w:sz w:val="22"/>
          <w:szCs w:val="22"/>
        </w:rPr>
        <w:t xml:space="preserve">, </w:t>
      </w:r>
      <w:r>
        <w:rPr>
          <w:i/>
          <w:iCs/>
          <w:sz w:val="22"/>
          <w:szCs w:val="22"/>
        </w:rPr>
        <w:t>12</w:t>
      </w:r>
      <w:r>
        <w:rPr>
          <w:sz w:val="22"/>
          <w:szCs w:val="22"/>
        </w:rPr>
        <w:t>(1), 175. https://doi.org/10.1186/s40359-024-01668-y</w:t>
      </w:r>
    </w:p>
    <w:p w:rsidR="00C16161" w:rsidRDefault="002612A3" w:rsidP="00C16161">
      <w:pPr>
        <w:widowControl w:val="0"/>
        <w:autoSpaceDE w:val="0"/>
        <w:autoSpaceDN w:val="0"/>
        <w:adjustRightInd w:val="0"/>
        <w:ind w:left="480" w:hanging="480"/>
        <w:jc w:val="both"/>
        <w:rPr>
          <w:sz w:val="22"/>
          <w:szCs w:val="22"/>
        </w:rPr>
      </w:pPr>
      <w:proofErr w:type="spellStart"/>
      <w:proofErr w:type="gramStart"/>
      <w:r w:rsidRPr="00C16161">
        <w:rPr>
          <w:sz w:val="22"/>
          <w:szCs w:val="22"/>
        </w:rPr>
        <w:t>Wulandari</w:t>
      </w:r>
      <w:proofErr w:type="spellEnd"/>
      <w:r w:rsidRPr="00C16161">
        <w:rPr>
          <w:sz w:val="22"/>
          <w:szCs w:val="22"/>
        </w:rPr>
        <w:t xml:space="preserve">, S.S., </w:t>
      </w:r>
      <w:proofErr w:type="spellStart"/>
      <w:r w:rsidRPr="00C16161">
        <w:rPr>
          <w:sz w:val="22"/>
          <w:szCs w:val="22"/>
        </w:rPr>
        <w:t>Suryapermana</w:t>
      </w:r>
      <w:proofErr w:type="spellEnd"/>
      <w:r w:rsidRPr="00C16161">
        <w:rPr>
          <w:sz w:val="22"/>
          <w:szCs w:val="22"/>
        </w:rPr>
        <w:t>, N., Fauzi, A. and Suseno, B.D. (2024).</w:t>
      </w:r>
      <w:proofErr w:type="gramEnd"/>
      <w:r w:rsidRPr="00C16161">
        <w:rPr>
          <w:sz w:val="22"/>
          <w:szCs w:val="22"/>
        </w:rPr>
        <w:t xml:space="preserve"> </w:t>
      </w:r>
      <w:r w:rsidRPr="002612A3">
        <w:rPr>
          <w:sz w:val="22"/>
          <w:szCs w:val="22"/>
        </w:rPr>
        <w:t>Development of an empirical model and using community sport organizations as the basis for intervening variables in Islamic sports, Journal of Islamic Marketing, 15(2)  pp. 1519-1533. https://do</w:t>
      </w:r>
      <w:r w:rsidR="00C16161">
        <w:rPr>
          <w:sz w:val="22"/>
          <w:szCs w:val="22"/>
        </w:rPr>
        <w:t>i.org/10.1108/JIMA-04-2023-0109.</w:t>
      </w:r>
    </w:p>
    <w:p w:rsidR="00C16161" w:rsidRDefault="007329B5" w:rsidP="00C16161">
      <w:pPr>
        <w:widowControl w:val="0"/>
        <w:autoSpaceDE w:val="0"/>
        <w:autoSpaceDN w:val="0"/>
        <w:adjustRightInd w:val="0"/>
        <w:ind w:left="480" w:hanging="480"/>
        <w:jc w:val="both"/>
        <w:rPr>
          <w:sz w:val="22"/>
          <w:szCs w:val="22"/>
        </w:rPr>
      </w:pPr>
      <w:proofErr w:type="spellStart"/>
      <w:r w:rsidRPr="00C16161">
        <w:rPr>
          <w:bCs/>
          <w:sz w:val="22"/>
          <w:szCs w:val="22"/>
        </w:rPr>
        <w:t>Wartenberg</w:t>
      </w:r>
      <w:proofErr w:type="spellEnd"/>
      <w:r w:rsidRPr="00C16161">
        <w:rPr>
          <w:bCs/>
          <w:sz w:val="22"/>
          <w:szCs w:val="22"/>
        </w:rPr>
        <w:t>, G., Aldrup, K., Grund, S., &amp; Klusmann, U. (2023)</w:t>
      </w:r>
      <w:r w:rsidRPr="00C16161">
        <w:rPr>
          <w:sz w:val="22"/>
          <w:szCs w:val="22"/>
        </w:rPr>
        <w:t xml:space="preserve">. </w:t>
      </w:r>
      <w:r>
        <w:rPr>
          <w:sz w:val="22"/>
          <w:szCs w:val="22"/>
        </w:rPr>
        <w:t xml:space="preserve">Satisfied and High Performing? A Meta-Analysis and Systematic Review of the Correlates of Teachers’ Job Satisfaction. </w:t>
      </w:r>
      <w:r>
        <w:rPr>
          <w:i/>
          <w:iCs/>
          <w:sz w:val="22"/>
          <w:szCs w:val="22"/>
        </w:rPr>
        <w:t>Educational Psychology Review</w:t>
      </w:r>
      <w:r>
        <w:rPr>
          <w:sz w:val="22"/>
          <w:szCs w:val="22"/>
        </w:rPr>
        <w:t xml:space="preserve">, </w:t>
      </w:r>
      <w:r>
        <w:rPr>
          <w:i/>
          <w:iCs/>
          <w:sz w:val="22"/>
          <w:szCs w:val="22"/>
        </w:rPr>
        <w:t>35</w:t>
      </w:r>
      <w:r>
        <w:rPr>
          <w:sz w:val="22"/>
          <w:szCs w:val="22"/>
        </w:rPr>
        <w:t>(4), 114. https://doi.org/10.1007/s10648-023-09831-4</w:t>
      </w:r>
    </w:p>
    <w:p w:rsidR="00181834" w:rsidRDefault="007329B5" w:rsidP="00C16161">
      <w:pPr>
        <w:widowControl w:val="0"/>
        <w:autoSpaceDE w:val="0"/>
        <w:autoSpaceDN w:val="0"/>
        <w:adjustRightInd w:val="0"/>
        <w:ind w:left="480" w:hanging="480"/>
        <w:jc w:val="both"/>
        <w:rPr>
          <w:sz w:val="22"/>
          <w:szCs w:val="22"/>
        </w:rPr>
      </w:pPr>
      <w:proofErr w:type="gramStart"/>
      <w:r w:rsidRPr="00C16161">
        <w:rPr>
          <w:bCs/>
          <w:sz w:val="22"/>
          <w:szCs w:val="22"/>
        </w:rPr>
        <w:t>Yan, N., Batako, A., Czanner, G., &amp; Zhang, A. (2025)</w:t>
      </w:r>
      <w:r w:rsidRPr="00C16161">
        <w:rPr>
          <w:sz w:val="22"/>
          <w:szCs w:val="22"/>
        </w:rPr>
        <w:t>.</w:t>
      </w:r>
      <w:proofErr w:type="gramEnd"/>
      <w:r>
        <w:rPr>
          <w:sz w:val="22"/>
          <w:szCs w:val="22"/>
        </w:rPr>
        <w:t xml:space="preserve"> Teacher Satisfaction in Online Education: A Two-Factor Model of Extrinsic and Intrinsic Factors Across Diverse Contexts. </w:t>
      </w:r>
      <w:r>
        <w:rPr>
          <w:i/>
          <w:iCs/>
          <w:sz w:val="22"/>
          <w:szCs w:val="22"/>
        </w:rPr>
        <w:t>Technology, Knowledge and Learning</w:t>
      </w:r>
      <w:r>
        <w:rPr>
          <w:sz w:val="22"/>
          <w:szCs w:val="22"/>
        </w:rPr>
        <w:t xml:space="preserve">, </w:t>
      </w:r>
      <w:r>
        <w:rPr>
          <w:i/>
          <w:iCs/>
          <w:sz w:val="22"/>
          <w:szCs w:val="22"/>
        </w:rPr>
        <w:t>30</w:t>
      </w:r>
      <w:r>
        <w:rPr>
          <w:sz w:val="22"/>
          <w:szCs w:val="22"/>
        </w:rPr>
        <w:t>(2), 711–739. https://doi.org/10.1007/s10758-024-09799-2</w:t>
      </w:r>
    </w:p>
    <w:p w:rsidR="00181834" w:rsidRDefault="007329B5">
      <w:pPr>
        <w:widowControl w:val="0"/>
        <w:autoSpaceDE w:val="0"/>
        <w:autoSpaceDN w:val="0"/>
        <w:adjustRightInd w:val="0"/>
        <w:ind w:left="480" w:hanging="480"/>
        <w:jc w:val="both"/>
        <w:rPr>
          <w:sz w:val="22"/>
          <w:szCs w:val="22"/>
        </w:rPr>
      </w:pPr>
      <w:proofErr w:type="gramStart"/>
      <w:r w:rsidRPr="00C16161">
        <w:rPr>
          <w:bCs/>
          <w:sz w:val="22"/>
          <w:szCs w:val="22"/>
        </w:rPr>
        <w:t>Zhou, X., Rasool, S. F., Yang, J., &amp; Asghar, M. Z. (2021)</w:t>
      </w:r>
      <w:r>
        <w:rPr>
          <w:sz w:val="22"/>
          <w:szCs w:val="22"/>
        </w:rPr>
        <w:t>.</w:t>
      </w:r>
      <w:proofErr w:type="gramEnd"/>
      <w:r>
        <w:rPr>
          <w:sz w:val="22"/>
          <w:szCs w:val="22"/>
        </w:rPr>
        <w:t xml:space="preserve"> Exploring the Relationship between Despotic Leadership and Job Satisfaction: The Role of Self-Efficacy and Leader–Member Exchange. </w:t>
      </w:r>
      <w:r>
        <w:rPr>
          <w:i/>
          <w:iCs/>
          <w:sz w:val="22"/>
          <w:szCs w:val="22"/>
        </w:rPr>
        <w:t>International Journal of Environmental Research and Public Health</w:t>
      </w:r>
      <w:r>
        <w:rPr>
          <w:sz w:val="22"/>
          <w:szCs w:val="22"/>
        </w:rPr>
        <w:t xml:space="preserve">, </w:t>
      </w:r>
      <w:r>
        <w:rPr>
          <w:i/>
          <w:iCs/>
          <w:sz w:val="22"/>
          <w:szCs w:val="22"/>
        </w:rPr>
        <w:t>18</w:t>
      </w:r>
      <w:r>
        <w:rPr>
          <w:sz w:val="22"/>
          <w:szCs w:val="22"/>
        </w:rPr>
        <w:t>(10), 5307. https://doi.org/10.3390/ijerph18105307</w:t>
      </w:r>
      <w:bookmarkEnd w:id="1"/>
    </w:p>
    <w:p w:rsidR="00181834" w:rsidRDefault="007329B5">
      <w:pPr>
        <w:spacing w:before="240" w:after="240"/>
        <w:jc w:val="both"/>
      </w:pPr>
      <w:r>
        <w:rPr>
          <w:sz w:val="22"/>
          <w:szCs w:val="22"/>
        </w:rPr>
        <w:fldChar w:fldCharType="end"/>
      </w:r>
      <w:r>
        <w:rPr>
          <w:rFonts w:ascii="Times" w:eastAsia="Times" w:hAnsi="Times" w:cs="Times"/>
          <w:b/>
          <w:color w:val="000000"/>
          <w:sz w:val="26"/>
          <w:szCs w:val="26"/>
        </w:rPr>
        <w:t>Appendix</w:t>
      </w:r>
    </w:p>
    <w:tbl>
      <w:tblPr>
        <w:tblW w:w="9360" w:type="dxa"/>
        <w:jc w:val="center"/>
        <w:tblBorders>
          <w:top w:val="single" w:sz="4" w:space="0" w:color="auto"/>
          <w:bottom w:val="single" w:sz="4" w:space="0" w:color="auto"/>
        </w:tblBorders>
        <w:tblLook w:val="04A0" w:firstRow="1" w:lastRow="0" w:firstColumn="1" w:lastColumn="0" w:noHBand="0" w:noVBand="1"/>
      </w:tblPr>
      <w:tblGrid>
        <w:gridCol w:w="2165"/>
        <w:gridCol w:w="6334"/>
        <w:gridCol w:w="999"/>
      </w:tblGrid>
      <w:tr w:rsidR="00181834">
        <w:trPr>
          <w:trHeight w:val="300"/>
          <w:jc w:val="center"/>
        </w:trPr>
        <w:tc>
          <w:tcPr>
            <w:tcW w:w="2165" w:type="dxa"/>
            <w:tcBorders>
              <w:top w:val="single" w:sz="4" w:space="0" w:color="auto"/>
              <w:bottom w:val="single" w:sz="4" w:space="0" w:color="auto"/>
            </w:tcBorders>
            <w:shd w:val="clear" w:color="auto" w:fill="auto"/>
            <w:noWrap/>
            <w:vAlign w:val="bottom"/>
          </w:tcPr>
          <w:p w:rsidR="00181834" w:rsidRDefault="007329B5">
            <w:pPr>
              <w:rPr>
                <w:rFonts w:eastAsia="Times New Roman"/>
                <w:b/>
                <w:bCs/>
                <w:color w:val="000000"/>
                <w:sz w:val="22"/>
                <w:szCs w:val="22"/>
                <w:lang w:val="zh-CN"/>
              </w:rPr>
            </w:pPr>
            <w:r>
              <w:rPr>
                <w:rFonts w:eastAsia="Times New Roman"/>
                <w:b/>
                <w:bCs/>
                <w:color w:val="000000"/>
                <w:sz w:val="22"/>
                <w:szCs w:val="22"/>
                <w:lang w:val="zh-CN"/>
              </w:rPr>
              <w:lastRenderedPageBreak/>
              <w:t>Construct</w:t>
            </w:r>
          </w:p>
        </w:tc>
        <w:tc>
          <w:tcPr>
            <w:tcW w:w="6334" w:type="dxa"/>
            <w:tcBorders>
              <w:top w:val="single" w:sz="4" w:space="0" w:color="auto"/>
              <w:bottom w:val="single" w:sz="4" w:space="0" w:color="auto"/>
            </w:tcBorders>
            <w:shd w:val="clear" w:color="auto" w:fill="auto"/>
            <w:noWrap/>
            <w:vAlign w:val="bottom"/>
          </w:tcPr>
          <w:p w:rsidR="00181834" w:rsidRDefault="007329B5">
            <w:pPr>
              <w:rPr>
                <w:rFonts w:eastAsia="Times New Roman"/>
                <w:b/>
                <w:bCs/>
                <w:color w:val="000000"/>
                <w:sz w:val="22"/>
                <w:szCs w:val="22"/>
                <w:lang w:val="zh-CN"/>
              </w:rPr>
            </w:pPr>
            <w:r>
              <w:rPr>
                <w:rFonts w:eastAsia="Times New Roman"/>
                <w:b/>
                <w:bCs/>
                <w:color w:val="000000"/>
                <w:sz w:val="22"/>
                <w:szCs w:val="22"/>
                <w:lang w:val="zh-CN"/>
              </w:rPr>
              <w:t>Item Statement</w:t>
            </w:r>
          </w:p>
        </w:tc>
        <w:tc>
          <w:tcPr>
            <w:tcW w:w="861" w:type="dxa"/>
            <w:tcBorders>
              <w:top w:val="single" w:sz="4" w:space="0" w:color="auto"/>
              <w:bottom w:val="single" w:sz="4" w:space="0" w:color="auto"/>
            </w:tcBorders>
            <w:shd w:val="clear" w:color="auto" w:fill="auto"/>
            <w:noWrap/>
            <w:vAlign w:val="bottom"/>
          </w:tcPr>
          <w:p w:rsidR="00181834" w:rsidRDefault="007329B5">
            <w:pPr>
              <w:rPr>
                <w:rFonts w:eastAsia="Times New Roman"/>
                <w:b/>
                <w:bCs/>
                <w:color w:val="000000"/>
                <w:sz w:val="22"/>
                <w:szCs w:val="22"/>
                <w:lang w:val="zh-CN"/>
              </w:rPr>
            </w:pPr>
            <w:r>
              <w:rPr>
                <w:rFonts w:eastAsia="Times New Roman"/>
                <w:b/>
                <w:bCs/>
                <w:color w:val="000000"/>
                <w:sz w:val="22"/>
                <w:szCs w:val="22"/>
                <w:lang w:val="zh-CN"/>
              </w:rPr>
              <w:t>Factor Loading</w:t>
            </w:r>
          </w:p>
        </w:tc>
      </w:tr>
      <w:tr w:rsidR="00181834">
        <w:trPr>
          <w:trHeight w:val="300"/>
          <w:jc w:val="center"/>
        </w:trPr>
        <w:tc>
          <w:tcPr>
            <w:tcW w:w="2165" w:type="dxa"/>
            <w:tcBorders>
              <w:top w:val="single" w:sz="4" w:space="0" w:color="auto"/>
            </w:tcBorders>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Digital Competence</w:t>
            </w:r>
          </w:p>
        </w:tc>
        <w:tc>
          <w:tcPr>
            <w:tcW w:w="6334" w:type="dxa"/>
            <w:tcBorders>
              <w:top w:val="single" w:sz="4" w:space="0" w:color="auto"/>
            </w:tcBorders>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actively participate in digital education training communities.</w:t>
            </w:r>
          </w:p>
        </w:tc>
        <w:tc>
          <w:tcPr>
            <w:tcW w:w="861" w:type="dxa"/>
            <w:tcBorders>
              <w:top w:val="single" w:sz="4" w:space="0" w:color="auto"/>
            </w:tcBorders>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0.909</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use digital platforms for professional development as a teacher.</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0.938</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can select appropriate digital learning materials.</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0.899</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integrate digital technology into teaching students.</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0.942</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use digital applications to support student assessment.</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0.811</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encourage students to actively use technology in their learning.</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0.907</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guide students in the responsible use of technology.</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0.880</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am confident in using technology for teaching activities.</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0.863</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believe I can solve technical problems that arise during teaching.</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0.767</w:t>
            </w:r>
          </w:p>
        </w:tc>
      </w:tr>
      <w:tr w:rsidR="00181834">
        <w:trPr>
          <w:trHeight w:val="300"/>
          <w:jc w:val="center"/>
        </w:trPr>
        <w:tc>
          <w:tcPr>
            <w:tcW w:w="2165"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Intrinsic Satisfaction</w:t>
            </w: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take pride in my work as a teacher.</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0.930</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feel satisfied when students understand the material I teach.</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0.945</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This job motivates me to keep improving.</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0.945</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gain constructive challenges from this job.</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0.962</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feel this job aligns with my personal values.</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0.952</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am confident in motivating students to learn independently.</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0.950</w:t>
            </w:r>
          </w:p>
        </w:tc>
      </w:tr>
      <w:tr w:rsidR="00181834">
        <w:trPr>
          <w:trHeight w:val="300"/>
          <w:jc w:val="center"/>
        </w:trPr>
        <w:tc>
          <w:tcPr>
            <w:tcW w:w="2165" w:type="dxa"/>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lang w:val="zh-CN"/>
              </w:rPr>
              <w:t>L</w:t>
            </w:r>
            <w:r>
              <w:rPr>
                <w:rFonts w:eastAsia="Times New Roman"/>
                <w:color w:val="000000"/>
                <w:sz w:val="22"/>
                <w:szCs w:val="22"/>
              </w:rPr>
              <w:t>MX</w:t>
            </w: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have a positive emotional relationship with my supervisor.</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0.756</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My supervisor cares about my condition.</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0.874</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My supervisor always supports me in my work.</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0.881</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am loyal to my leader because I feel appreciated.</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0.869</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work harder because of a good relationship with my leader.</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0.867</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feel motivated to give more than what is asked.</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0.889</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My supervisor values my expertise as a teacher.</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0.925</w:t>
            </w:r>
          </w:p>
        </w:tc>
      </w:tr>
      <w:tr w:rsidR="00181834">
        <w:trPr>
          <w:trHeight w:val="300"/>
          <w:jc w:val="center"/>
        </w:trPr>
        <w:tc>
          <w:tcPr>
            <w:tcW w:w="2165"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Teacher Performance</w:t>
            </w: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deliver learning materials using varied methods.</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0.944</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adjust teaching methods according to students’ needs.</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0.950</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master the subject matter to instill confidence in students.</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0.926</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explain complex material in a simple way for better understanding.</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0.944</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use technology in learning to enhance teaching effectiveness.</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0.956</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rPr>
            </w:pPr>
            <w:r>
              <w:rPr>
                <w:rFonts w:eastAsia="Times New Roman"/>
                <w:color w:val="000000"/>
                <w:sz w:val="22"/>
                <w:szCs w:val="22"/>
                <w:lang w:val="zh-CN"/>
              </w:rPr>
              <w:t>I use digital applications to support school administrative tasks</w:t>
            </w:r>
            <w:r>
              <w:rPr>
                <w:rFonts w:eastAsia="Times New Roman"/>
                <w:color w:val="000000"/>
                <w:sz w:val="22"/>
                <w:szCs w:val="22"/>
              </w:rPr>
              <w:t>.</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0.967</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manage the classroom to remain conducive during learning.</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0.916</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promote a positive climate through two-way communication</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0.949</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foster good communication with students in learning</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0.954</w:t>
            </w:r>
          </w:p>
        </w:tc>
      </w:tr>
      <w:tr w:rsidR="00181834">
        <w:trPr>
          <w:trHeight w:val="300"/>
          <w:jc w:val="center"/>
        </w:trPr>
        <w:tc>
          <w:tcPr>
            <w:tcW w:w="2165" w:type="dxa"/>
            <w:shd w:val="clear" w:color="auto" w:fill="auto"/>
            <w:noWrap/>
            <w:vAlign w:val="bottom"/>
          </w:tcPr>
          <w:p w:rsidR="00181834" w:rsidRDefault="00181834">
            <w:pPr>
              <w:rPr>
                <w:rFonts w:eastAsia="Times New Roman"/>
                <w:color w:val="000000"/>
                <w:sz w:val="22"/>
                <w:szCs w:val="22"/>
                <w:lang w:val="zh-CN"/>
              </w:rPr>
            </w:pPr>
          </w:p>
        </w:tc>
        <w:tc>
          <w:tcPr>
            <w:tcW w:w="6334"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I provide constructive responses in every interaction with students.</w:t>
            </w:r>
          </w:p>
        </w:tc>
        <w:tc>
          <w:tcPr>
            <w:tcW w:w="861" w:type="dxa"/>
            <w:shd w:val="clear" w:color="auto" w:fill="auto"/>
            <w:noWrap/>
            <w:vAlign w:val="bottom"/>
          </w:tcPr>
          <w:p w:rsidR="00181834" w:rsidRDefault="007329B5">
            <w:pPr>
              <w:rPr>
                <w:rFonts w:eastAsia="Times New Roman"/>
                <w:color w:val="000000"/>
                <w:sz w:val="22"/>
                <w:szCs w:val="22"/>
                <w:lang w:val="zh-CN"/>
              </w:rPr>
            </w:pPr>
            <w:r>
              <w:rPr>
                <w:rFonts w:eastAsia="Times New Roman"/>
                <w:color w:val="000000"/>
                <w:sz w:val="22"/>
                <w:szCs w:val="22"/>
                <w:lang w:val="zh-CN"/>
              </w:rPr>
              <w:t>0.966</w:t>
            </w:r>
          </w:p>
        </w:tc>
      </w:tr>
    </w:tbl>
    <w:p w:rsidR="00181834" w:rsidRDefault="00181834"/>
    <w:sectPr w:rsidR="00181834">
      <w:headerReference w:type="even" r:id="rId13"/>
      <w:headerReference w:type="default" r:id="rId14"/>
      <w:pgSz w:w="10319" w:h="14572"/>
      <w:pgMar w:top="1871" w:right="1474" w:bottom="1871" w:left="1474" w:header="1418" w:footer="68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510" w:rsidRDefault="00921510">
      <w:r>
        <w:separator/>
      </w:r>
    </w:p>
  </w:endnote>
  <w:endnote w:type="continuationSeparator" w:id="0">
    <w:p w:rsidR="00921510" w:rsidRDefault="00921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default"/>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DengXian">
    <w:altName w:val="SimSun"/>
    <w:charset w:val="86"/>
    <w:family w:val="auto"/>
    <w:pitch w:val="default"/>
    <w:sig w:usb0="00000000" w:usb1="00000000"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510" w:rsidRDefault="00921510">
      <w:r>
        <w:separator/>
      </w:r>
    </w:p>
  </w:footnote>
  <w:footnote w:type="continuationSeparator" w:id="0">
    <w:p w:rsidR="00921510" w:rsidRDefault="009215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9F9" w:rsidRDefault="001449F9">
    <w:pPr>
      <w:pBdr>
        <w:bottom w:val="single" w:sz="4" w:space="1" w:color="000000"/>
      </w:pBdr>
      <w:tabs>
        <w:tab w:val="center" w:pos="4680"/>
        <w:tab w:val="right" w:pos="9360"/>
      </w:tabs>
      <w:rPr>
        <w:rFonts w:eastAsia="Times New Roman"/>
        <w:color w:val="00000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49F9" w:rsidRDefault="001449F9">
    <w:pPr>
      <w:pBdr>
        <w:bottom w:val="single" w:sz="4" w:space="1" w:color="000000"/>
      </w:pBdr>
      <w:tabs>
        <w:tab w:val="center" w:pos="4680"/>
        <w:tab w:val="right" w:pos="9360"/>
      </w:tabs>
      <w:rPr>
        <w:rFonts w:eastAsia="Times New Roman"/>
        <w:color w:val="000000"/>
        <w:sz w:val="20"/>
        <w:szCs w:val="20"/>
      </w:rPr>
    </w:pPr>
    <w:r>
      <w:rPr>
        <w:i/>
        <w:sz w:val="20"/>
        <w:szCs w:val="20"/>
      </w:rPr>
      <w:t xml:space="preserve">                                                      </w:t>
    </w:r>
    <w:r>
      <w:rPr>
        <w:rFonts w:eastAsia="Times New Roman"/>
        <w:i/>
        <w:color w:val="000000"/>
        <w:sz w:val="20"/>
        <w:szCs w:val="20"/>
      </w:rPr>
      <w:t xml:space="preserve">Xxx, X., et al. xx, JWEE (XXXX)                                     </w:t>
    </w: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7B1861">
      <w:rPr>
        <w:rFonts w:eastAsia="Times New Roman"/>
        <w:noProof/>
        <w:color w:val="000000"/>
        <w:sz w:val="20"/>
        <w:szCs w:val="20"/>
      </w:rPr>
      <w:t>5</w:t>
    </w:r>
    <w:r>
      <w:rPr>
        <w:rFonts w:eastAsia="Times New Roman"/>
        <w:color w:val="000000"/>
        <w:sz w:val="20"/>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BA6BD5"/>
    <w:multiLevelType w:val="hybridMultilevel"/>
    <w:tmpl w:val="1E04CC10"/>
    <w:lvl w:ilvl="0" w:tplc="FA16B66A">
      <w:start w:val="1"/>
      <w:numFmt w:val="bullet"/>
      <w:lvlText w:val=""/>
      <w:lvlJc w:val="left"/>
      <w:pPr>
        <w:tabs>
          <w:tab w:val="num" w:pos="1212"/>
        </w:tabs>
        <w:ind w:left="1212" w:hanging="360"/>
      </w:pPr>
      <w:rPr>
        <w:rFonts w:ascii="Wingdings 2" w:hAnsi="Wingdings 2" w:hint="default"/>
      </w:rPr>
    </w:lvl>
    <w:lvl w:ilvl="1" w:tplc="B1069F9E" w:tentative="1">
      <w:start w:val="1"/>
      <w:numFmt w:val="bullet"/>
      <w:lvlText w:val=""/>
      <w:lvlJc w:val="left"/>
      <w:pPr>
        <w:tabs>
          <w:tab w:val="num" w:pos="1440"/>
        </w:tabs>
        <w:ind w:left="1440" w:hanging="360"/>
      </w:pPr>
      <w:rPr>
        <w:rFonts w:ascii="Wingdings 2" w:hAnsi="Wingdings 2" w:hint="default"/>
      </w:rPr>
    </w:lvl>
    <w:lvl w:ilvl="2" w:tplc="E18EB658" w:tentative="1">
      <w:start w:val="1"/>
      <w:numFmt w:val="bullet"/>
      <w:lvlText w:val=""/>
      <w:lvlJc w:val="left"/>
      <w:pPr>
        <w:tabs>
          <w:tab w:val="num" w:pos="2160"/>
        </w:tabs>
        <w:ind w:left="2160" w:hanging="360"/>
      </w:pPr>
      <w:rPr>
        <w:rFonts w:ascii="Wingdings 2" w:hAnsi="Wingdings 2" w:hint="default"/>
      </w:rPr>
    </w:lvl>
    <w:lvl w:ilvl="3" w:tplc="C0180850" w:tentative="1">
      <w:start w:val="1"/>
      <w:numFmt w:val="bullet"/>
      <w:lvlText w:val=""/>
      <w:lvlJc w:val="left"/>
      <w:pPr>
        <w:tabs>
          <w:tab w:val="num" w:pos="2880"/>
        </w:tabs>
        <w:ind w:left="2880" w:hanging="360"/>
      </w:pPr>
      <w:rPr>
        <w:rFonts w:ascii="Wingdings 2" w:hAnsi="Wingdings 2" w:hint="default"/>
      </w:rPr>
    </w:lvl>
    <w:lvl w:ilvl="4" w:tplc="45F416D0" w:tentative="1">
      <w:start w:val="1"/>
      <w:numFmt w:val="bullet"/>
      <w:lvlText w:val=""/>
      <w:lvlJc w:val="left"/>
      <w:pPr>
        <w:tabs>
          <w:tab w:val="num" w:pos="3600"/>
        </w:tabs>
        <w:ind w:left="3600" w:hanging="360"/>
      </w:pPr>
      <w:rPr>
        <w:rFonts w:ascii="Wingdings 2" w:hAnsi="Wingdings 2" w:hint="default"/>
      </w:rPr>
    </w:lvl>
    <w:lvl w:ilvl="5" w:tplc="6C86E5C6" w:tentative="1">
      <w:start w:val="1"/>
      <w:numFmt w:val="bullet"/>
      <w:lvlText w:val=""/>
      <w:lvlJc w:val="left"/>
      <w:pPr>
        <w:tabs>
          <w:tab w:val="num" w:pos="4320"/>
        </w:tabs>
        <w:ind w:left="4320" w:hanging="360"/>
      </w:pPr>
      <w:rPr>
        <w:rFonts w:ascii="Wingdings 2" w:hAnsi="Wingdings 2" w:hint="default"/>
      </w:rPr>
    </w:lvl>
    <w:lvl w:ilvl="6" w:tplc="85269C24" w:tentative="1">
      <w:start w:val="1"/>
      <w:numFmt w:val="bullet"/>
      <w:lvlText w:val=""/>
      <w:lvlJc w:val="left"/>
      <w:pPr>
        <w:tabs>
          <w:tab w:val="num" w:pos="5040"/>
        </w:tabs>
        <w:ind w:left="5040" w:hanging="360"/>
      </w:pPr>
      <w:rPr>
        <w:rFonts w:ascii="Wingdings 2" w:hAnsi="Wingdings 2" w:hint="default"/>
      </w:rPr>
    </w:lvl>
    <w:lvl w:ilvl="7" w:tplc="BB90382A" w:tentative="1">
      <w:start w:val="1"/>
      <w:numFmt w:val="bullet"/>
      <w:lvlText w:val=""/>
      <w:lvlJc w:val="left"/>
      <w:pPr>
        <w:tabs>
          <w:tab w:val="num" w:pos="5760"/>
        </w:tabs>
        <w:ind w:left="5760" w:hanging="360"/>
      </w:pPr>
      <w:rPr>
        <w:rFonts w:ascii="Wingdings 2" w:hAnsi="Wingdings 2" w:hint="default"/>
      </w:rPr>
    </w:lvl>
    <w:lvl w:ilvl="8" w:tplc="FE82559E"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0AE"/>
    <w:rsid w:val="0002545C"/>
    <w:rsid w:val="00070838"/>
    <w:rsid w:val="000756D7"/>
    <w:rsid w:val="000828DC"/>
    <w:rsid w:val="000A67E4"/>
    <w:rsid w:val="000B70D5"/>
    <w:rsid w:val="000E7FAF"/>
    <w:rsid w:val="00100B27"/>
    <w:rsid w:val="001449F9"/>
    <w:rsid w:val="0015337F"/>
    <w:rsid w:val="00181834"/>
    <w:rsid w:val="001874BF"/>
    <w:rsid w:val="001A3D14"/>
    <w:rsid w:val="001C5AA6"/>
    <w:rsid w:val="001F506F"/>
    <w:rsid w:val="002126BC"/>
    <w:rsid w:val="00252FA3"/>
    <w:rsid w:val="00257605"/>
    <w:rsid w:val="002612A3"/>
    <w:rsid w:val="0027483E"/>
    <w:rsid w:val="002A3D2D"/>
    <w:rsid w:val="002D58F9"/>
    <w:rsid w:val="003305B8"/>
    <w:rsid w:val="003A3C96"/>
    <w:rsid w:val="00403AD4"/>
    <w:rsid w:val="004C75EE"/>
    <w:rsid w:val="004D0B2A"/>
    <w:rsid w:val="004D5B3F"/>
    <w:rsid w:val="0050007B"/>
    <w:rsid w:val="005731D0"/>
    <w:rsid w:val="005863F8"/>
    <w:rsid w:val="005A463F"/>
    <w:rsid w:val="005A47DF"/>
    <w:rsid w:val="005B0339"/>
    <w:rsid w:val="005B7CAE"/>
    <w:rsid w:val="005D65B3"/>
    <w:rsid w:val="005F0679"/>
    <w:rsid w:val="005F69DD"/>
    <w:rsid w:val="00634531"/>
    <w:rsid w:val="006E537D"/>
    <w:rsid w:val="00723841"/>
    <w:rsid w:val="00724BE6"/>
    <w:rsid w:val="0073002C"/>
    <w:rsid w:val="007329B5"/>
    <w:rsid w:val="00754F63"/>
    <w:rsid w:val="00764010"/>
    <w:rsid w:val="0076725A"/>
    <w:rsid w:val="00780A25"/>
    <w:rsid w:val="007A2C5D"/>
    <w:rsid w:val="007B1861"/>
    <w:rsid w:val="007D35A2"/>
    <w:rsid w:val="00812B68"/>
    <w:rsid w:val="008A0327"/>
    <w:rsid w:val="008E7347"/>
    <w:rsid w:val="00911540"/>
    <w:rsid w:val="009136FB"/>
    <w:rsid w:val="00921510"/>
    <w:rsid w:val="00934A14"/>
    <w:rsid w:val="0094222F"/>
    <w:rsid w:val="0094319F"/>
    <w:rsid w:val="00984347"/>
    <w:rsid w:val="00A10BA4"/>
    <w:rsid w:val="00A32B4B"/>
    <w:rsid w:val="00A46369"/>
    <w:rsid w:val="00A634B8"/>
    <w:rsid w:val="00A75EC4"/>
    <w:rsid w:val="00A774A6"/>
    <w:rsid w:val="00B05AFB"/>
    <w:rsid w:val="00B05FF2"/>
    <w:rsid w:val="00B24E9F"/>
    <w:rsid w:val="00B35B07"/>
    <w:rsid w:val="00B3613F"/>
    <w:rsid w:val="00BC122F"/>
    <w:rsid w:val="00BD5E94"/>
    <w:rsid w:val="00C154CA"/>
    <w:rsid w:val="00C16161"/>
    <w:rsid w:val="00C24A45"/>
    <w:rsid w:val="00C30793"/>
    <w:rsid w:val="00C43765"/>
    <w:rsid w:val="00C625C4"/>
    <w:rsid w:val="00C638F8"/>
    <w:rsid w:val="00C66BFD"/>
    <w:rsid w:val="00C740AE"/>
    <w:rsid w:val="00C76022"/>
    <w:rsid w:val="00C82763"/>
    <w:rsid w:val="00C86B18"/>
    <w:rsid w:val="00D00460"/>
    <w:rsid w:val="00D01E9E"/>
    <w:rsid w:val="00D4305B"/>
    <w:rsid w:val="00D60F94"/>
    <w:rsid w:val="00D840A8"/>
    <w:rsid w:val="00DE1D04"/>
    <w:rsid w:val="00E069C3"/>
    <w:rsid w:val="00E130F4"/>
    <w:rsid w:val="00E46496"/>
    <w:rsid w:val="00E62264"/>
    <w:rsid w:val="00E76D66"/>
    <w:rsid w:val="00E90BCC"/>
    <w:rsid w:val="00EA4783"/>
    <w:rsid w:val="00F50663"/>
    <w:rsid w:val="00F559DB"/>
    <w:rsid w:val="00FB215A"/>
    <w:rsid w:val="00FC4DB1"/>
    <w:rsid w:val="00FE2C48"/>
    <w:rsid w:val="108E5345"/>
    <w:rsid w:val="1DB565BA"/>
    <w:rsid w:val="1EBD0F1D"/>
    <w:rsid w:val="23EA70C6"/>
    <w:rsid w:val="26B11081"/>
    <w:rsid w:val="276A30CC"/>
    <w:rsid w:val="29945E2D"/>
    <w:rsid w:val="2C9C4509"/>
    <w:rsid w:val="2D6F1493"/>
    <w:rsid w:val="340D03F4"/>
    <w:rsid w:val="3C545783"/>
    <w:rsid w:val="3DF262D8"/>
    <w:rsid w:val="3F501AD6"/>
    <w:rsid w:val="495C04CA"/>
    <w:rsid w:val="498330E5"/>
    <w:rsid w:val="51F91A65"/>
    <w:rsid w:val="5214298C"/>
    <w:rsid w:val="52F539BA"/>
    <w:rsid w:val="6A114754"/>
    <w:rsid w:val="6A60694B"/>
    <w:rsid w:val="6E423132"/>
    <w:rsid w:val="6E92552D"/>
    <w:rsid w:val="7D431501"/>
    <w:rsid w:val="7E0263EF"/>
    <w:rsid w:val="7F3A2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annotation text" w:uiPriority="99" w:unhideWhenUsed="1" w:qFormat="1"/>
    <w:lsdException w:name="header" w:uiPriority="99" w:unhideWhenUsed="1" w:qFormat="1"/>
    <w:lsdException w:name="footer" w:uiPriority="99" w:unhideWhenUsed="1" w:qFormat="1"/>
    <w:lsdException w:name="caption" w:semiHidden="1" w:unhideWhenUsed="1" w:qFormat="1"/>
    <w:lsdException w:name="footnote reference" w:semiHidden="1" w:uiPriority="99" w:unhideWhenUsed="1" w:qFormat="1"/>
    <w:lsdException w:name="annotation reference" w:semiHidden="1" w:uiPriority="99" w:unhideWhenUsed="1" w:qFormat="1"/>
    <w:lsdException w:name="Title" w:qFormat="1"/>
    <w:lsdException w:name="Default Paragraph Font" w:semiHidden="1" w:uiPriority="1" w:unhideWhenUsed="1" w:qFormat="1"/>
    <w:lsdException w:name="Body Text" w:uiPriority="1" w:qFormat="1"/>
    <w:lsdException w:name="Subtitle" w:qFormat="1"/>
    <w:lsdException w:name="Hyperlink" w:uiPriority="99" w:qFormat="1"/>
    <w:lsdException w:name="FollowedHyperlink" w:semiHidden="1"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47DF"/>
    <w:rPr>
      <w:sz w:val="24"/>
      <w:szCs w:val="24"/>
      <w:lang w:eastAsia="zh-CN"/>
    </w:rPr>
  </w:style>
  <w:style w:type="paragraph" w:styleId="Heading1">
    <w:name w:val="heading 1"/>
    <w:next w:val="Normal"/>
    <w:link w:val="Heading1Char"/>
    <w:uiPriority w:val="9"/>
    <w:qFormat/>
    <w:pPr>
      <w:keepNext/>
      <w:keepLines/>
      <w:shd w:val="clear" w:color="auto" w:fill="BFBFBF" w:themeFill="background1" w:themeFillShade="BF"/>
      <w:jc w:val="right"/>
      <w:outlineLvl w:val="0"/>
    </w:pPr>
    <w:rPr>
      <w:rFonts w:ascii="Palatino Linotype" w:eastAsiaTheme="majorEastAsia" w:hAnsi="Palatino Linotype" w:cstheme="majorBidi"/>
      <w:b/>
      <w:bCs/>
      <w:sz w:val="32"/>
      <w:szCs w:val="28"/>
      <w:lang w:eastAsia="zh-CN"/>
    </w:rPr>
  </w:style>
  <w:style w:type="paragraph" w:styleId="Heading2">
    <w:name w:val="heading 2"/>
    <w:next w:val="Normal"/>
    <w:link w:val="Heading2Char"/>
    <w:uiPriority w:val="9"/>
    <w:unhideWhenUsed/>
    <w:qFormat/>
    <w:pPr>
      <w:keepNext/>
      <w:keepLines/>
      <w:shd w:val="clear" w:color="auto" w:fill="BFBFBF" w:themeFill="background1" w:themeFillShade="BF"/>
      <w:jc w:val="right"/>
      <w:outlineLvl w:val="1"/>
    </w:pPr>
    <w:rPr>
      <w:rFonts w:ascii="Palatino Linotype" w:eastAsiaTheme="majorEastAsia" w:hAnsi="Palatino Linotype" w:cstheme="majorBidi"/>
      <w:b/>
      <w:bCs/>
      <w:sz w:val="22"/>
      <w:szCs w:val="26"/>
      <w:lang w:eastAsia="zh-CN"/>
    </w:rPr>
  </w:style>
  <w:style w:type="paragraph" w:styleId="Heading3">
    <w:name w:val="heading 3"/>
    <w:next w:val="Normal"/>
    <w:link w:val="Heading3Char"/>
    <w:uiPriority w:val="9"/>
    <w:unhideWhenUsed/>
    <w:qFormat/>
    <w:pPr>
      <w:keepNext/>
      <w:keepLines/>
      <w:spacing w:before="360" w:after="180"/>
      <w:jc w:val="both"/>
      <w:outlineLvl w:val="2"/>
    </w:pPr>
    <w:rPr>
      <w:rFonts w:ascii="Palatino Linotype" w:eastAsiaTheme="majorEastAsia" w:hAnsi="Palatino Linotype" w:cstheme="majorBidi"/>
      <w:b/>
      <w:bCs/>
      <w:sz w:val="24"/>
      <w:szCs w:val="24"/>
      <w:lang w:eastAsia="zh-CN"/>
    </w:rPr>
  </w:style>
  <w:style w:type="paragraph" w:styleId="Heading4">
    <w:name w:val="heading 4"/>
    <w:next w:val="Normal"/>
    <w:link w:val="Heading4Char"/>
    <w:uiPriority w:val="9"/>
    <w:unhideWhenUsed/>
    <w:qFormat/>
    <w:pPr>
      <w:keepNext/>
      <w:keepLines/>
      <w:spacing w:before="240" w:after="180"/>
      <w:ind w:firstLine="340"/>
      <w:jc w:val="both"/>
      <w:outlineLvl w:val="3"/>
    </w:pPr>
    <w:rPr>
      <w:rFonts w:ascii="Palatino Linotype" w:eastAsiaTheme="majorEastAsia" w:hAnsi="Palatino Linotype" w:cstheme="majorBidi"/>
      <w:b/>
      <w:bCs/>
      <w:iCs/>
      <w:sz w:val="24"/>
      <w:szCs w:val="24"/>
      <w:lang w:eastAsia="zh-CN"/>
    </w:rPr>
  </w:style>
  <w:style w:type="paragraph" w:styleId="Heading5">
    <w:name w:val="heading 5"/>
    <w:basedOn w:val="Normal"/>
    <w:next w:val="Normal"/>
    <w:qFormat/>
    <w:pPr>
      <w:keepNext/>
      <w:keepLines/>
      <w:spacing w:before="220" w:after="40"/>
      <w:outlineLvl w:val="4"/>
    </w:pPr>
    <w:rPr>
      <w:b/>
      <w:sz w:val="22"/>
      <w:szCs w:val="22"/>
    </w:rPr>
  </w:style>
  <w:style w:type="paragraph" w:styleId="Heading6">
    <w:name w:val="heading 6"/>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uiPriority w:val="1"/>
    <w:qFormat/>
    <w:pPr>
      <w:ind w:left="993"/>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jc w:val="both"/>
    </w:pPr>
    <w:rPr>
      <w:rFonts w:ascii="Palatino Linotype" w:hAnsi="Palatino Linotype"/>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qFormat/>
    <w:rPr>
      <w:color w:val="0000FF"/>
      <w:u w:val="single"/>
    </w:rPr>
  </w:style>
  <w:style w:type="paragraph" w:styleId="NormalWeb">
    <w:name w:val="Normal (Web)"/>
    <w:uiPriority w:val="99"/>
    <w:qFormat/>
    <w:pPr>
      <w:spacing w:beforeAutospacing="1" w:afterAutospacing="1"/>
    </w:pPr>
    <w:rPr>
      <w:sz w:val="24"/>
      <w:szCs w:val="24"/>
      <w:lang w:eastAsia="zh-CN"/>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table" w:styleId="TableGrid">
    <w:name w:val="Table Grid"/>
    <w:basedOn w:val="TableNormal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Normal1">
    <w:name w:val="Table Normal1"/>
    <w:qFormat/>
    <w:tblPr>
      <w:tblCellMar>
        <w:top w:w="0" w:type="dxa"/>
        <w:left w:w="0" w:type="dxa"/>
        <w:bottom w:w="0" w:type="dxa"/>
        <w:right w:w="0" w:type="dxa"/>
      </w:tblCellMar>
    </w:tblPr>
  </w:style>
  <w:style w:type="paragraph" w:styleId="Title">
    <w:name w:val="Title"/>
    <w:basedOn w:val="Normal"/>
    <w:next w:val="Normal"/>
    <w:qFormat/>
    <w:pPr>
      <w:keepNext/>
      <w:keepLines/>
      <w:spacing w:before="480" w:after="120"/>
    </w:pPr>
    <w:rPr>
      <w:b/>
      <w:sz w:val="72"/>
      <w:szCs w:val="72"/>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1Naslovrada">
    <w:name w:val="1 Naslov rada"/>
    <w:basedOn w:val="Normal"/>
    <w:qFormat/>
    <w:rPr>
      <w:rFonts w:ascii="Times New Roman Bold" w:hAnsi="Times New Roman Bold"/>
      <w:b/>
      <w:sz w:val="32"/>
    </w:rPr>
  </w:style>
  <w:style w:type="paragraph" w:customStyle="1" w:styleId="1Autorirada">
    <w:name w:val="1 Autori rada"/>
    <w:basedOn w:val="Normal"/>
    <w:qFormat/>
    <w:pPr>
      <w:jc w:val="center"/>
    </w:pPr>
    <w:rPr>
      <w:sz w:val="26"/>
    </w:rPr>
  </w:style>
  <w:style w:type="paragraph" w:customStyle="1" w:styleId="1Bodytekst">
    <w:name w:val="1 Body tekst"/>
    <w:basedOn w:val="Normal"/>
    <w:qFormat/>
    <w:pPr>
      <w:spacing w:before="40" w:after="40"/>
      <w:ind w:firstLine="454"/>
      <w:jc w:val="both"/>
    </w:pPr>
  </w:style>
  <w:style w:type="paragraph" w:customStyle="1" w:styleId="Apstrakttekst">
    <w:name w:val="Apstrakt tekst"/>
    <w:basedOn w:val="Normal"/>
    <w:qFormat/>
    <w:pPr>
      <w:spacing w:before="40" w:after="40"/>
      <w:ind w:firstLine="454"/>
      <w:jc w:val="both"/>
    </w:pPr>
    <w:rPr>
      <w:i/>
      <w:sz w:val="22"/>
    </w:rPr>
  </w:style>
  <w:style w:type="paragraph" w:customStyle="1" w:styleId="1Prvinaslov">
    <w:name w:val="1 Prvi naslov"/>
    <w:basedOn w:val="Normal"/>
    <w:qFormat/>
    <w:pPr>
      <w:spacing w:before="360" w:after="240"/>
    </w:pPr>
    <w:rPr>
      <w:rFonts w:ascii="Times New Roman Bold" w:hAnsi="Times New Roman Bold"/>
      <w:b/>
      <w:sz w:val="26"/>
    </w:rPr>
  </w:style>
  <w:style w:type="paragraph" w:customStyle="1" w:styleId="1Druginaslov">
    <w:name w:val="1 Drugi naslov"/>
    <w:basedOn w:val="Normal"/>
    <w:qFormat/>
    <w:pPr>
      <w:spacing w:before="240" w:after="240"/>
    </w:pPr>
    <w:rPr>
      <w:rFonts w:ascii="Times New Roman Bold" w:hAnsi="Times New Roman Bold"/>
      <w:b/>
    </w:rPr>
  </w:style>
  <w:style w:type="paragraph" w:customStyle="1" w:styleId="1Tabela">
    <w:name w:val="1 Tabela"/>
    <w:basedOn w:val="Normal"/>
    <w:qFormat/>
    <w:pPr>
      <w:spacing w:after="120"/>
      <w:jc w:val="center"/>
    </w:pPr>
    <w:rPr>
      <w:i/>
    </w:rPr>
  </w:style>
  <w:style w:type="paragraph" w:customStyle="1" w:styleId="1Izvor">
    <w:name w:val="1 Izvor"/>
    <w:basedOn w:val="Normal"/>
    <w:qFormat/>
    <w:pPr>
      <w:spacing w:before="60"/>
      <w:jc w:val="both"/>
    </w:pPr>
    <w:rPr>
      <w:i/>
      <w:sz w:val="20"/>
    </w:rPr>
  </w:style>
  <w:style w:type="character" w:customStyle="1" w:styleId="HeaderChar">
    <w:name w:val="Header Char"/>
    <w:basedOn w:val="DefaultParagraphFont"/>
    <w:link w:val="Header"/>
    <w:uiPriority w:val="99"/>
    <w:qFormat/>
    <w:rPr>
      <w:rFonts w:ascii="Times New Roman" w:hAnsi="Times New Roman"/>
      <w:sz w:val="24"/>
    </w:rPr>
  </w:style>
  <w:style w:type="character" w:customStyle="1" w:styleId="FooterChar">
    <w:name w:val="Footer Char"/>
    <w:basedOn w:val="DefaultParagraphFont"/>
    <w:link w:val="Footer"/>
    <w:uiPriority w:val="99"/>
    <w:qFormat/>
    <w:rPr>
      <w:rFonts w:ascii="Times New Roman" w:hAnsi="Times New Roman"/>
      <w:sz w:val="24"/>
    </w:rPr>
  </w:style>
  <w:style w:type="character" w:customStyle="1" w:styleId="ReferenciasCarCar">
    <w:name w:val="Referencias Car Car"/>
    <w:link w:val="ReferenciasCar"/>
    <w:uiPriority w:val="99"/>
    <w:qFormat/>
    <w:locked/>
    <w:rPr>
      <w:sz w:val="24"/>
      <w:lang w:val="pt-PT" w:eastAsia="es-ES"/>
    </w:rPr>
  </w:style>
  <w:style w:type="paragraph" w:customStyle="1" w:styleId="ReferenciasCar">
    <w:name w:val="Referencias Car"/>
    <w:basedOn w:val="Normal"/>
    <w:link w:val="ReferenciasCarCar"/>
    <w:uiPriority w:val="99"/>
    <w:qFormat/>
    <w:pPr>
      <w:spacing w:line="480" w:lineRule="auto"/>
      <w:ind w:left="576" w:hanging="576"/>
    </w:pPr>
    <w:rPr>
      <w:rFonts w:asciiTheme="minorHAnsi" w:hAnsiTheme="minorHAnsi"/>
      <w:lang w:val="pt-PT" w:eastAsia="es-ES"/>
    </w:rPr>
  </w:style>
  <w:style w:type="character" w:customStyle="1" w:styleId="Heading1Char">
    <w:name w:val="Heading 1 Char"/>
    <w:basedOn w:val="DefaultParagraphFont"/>
    <w:link w:val="Heading1"/>
    <w:uiPriority w:val="9"/>
    <w:qFormat/>
    <w:rPr>
      <w:rFonts w:ascii="Palatino Linotype" w:eastAsiaTheme="majorEastAsia" w:hAnsi="Palatino Linotype" w:cstheme="majorBidi"/>
      <w:b/>
      <w:bCs/>
      <w:sz w:val="32"/>
      <w:szCs w:val="28"/>
      <w:shd w:val="clear" w:color="auto" w:fill="BFBFBF" w:themeFill="background1" w:themeFillShade="BF"/>
    </w:rPr>
  </w:style>
  <w:style w:type="character" w:customStyle="1" w:styleId="Heading2Char">
    <w:name w:val="Heading 2 Char"/>
    <w:basedOn w:val="DefaultParagraphFont"/>
    <w:link w:val="Heading2"/>
    <w:uiPriority w:val="9"/>
    <w:qFormat/>
    <w:rPr>
      <w:rFonts w:ascii="Palatino Linotype" w:eastAsiaTheme="majorEastAsia" w:hAnsi="Palatino Linotype" w:cstheme="majorBidi"/>
      <w:b/>
      <w:bCs/>
      <w:szCs w:val="26"/>
      <w:shd w:val="clear" w:color="auto" w:fill="BFBFBF" w:themeFill="background1" w:themeFillShade="BF"/>
    </w:rPr>
  </w:style>
  <w:style w:type="character" w:customStyle="1" w:styleId="Heading3Char">
    <w:name w:val="Heading 3 Char"/>
    <w:basedOn w:val="DefaultParagraphFont"/>
    <w:link w:val="Heading3"/>
    <w:uiPriority w:val="9"/>
    <w:qFormat/>
    <w:rPr>
      <w:rFonts w:ascii="Palatino Linotype" w:eastAsiaTheme="majorEastAsia" w:hAnsi="Palatino Linotype" w:cstheme="majorBidi"/>
      <w:b/>
      <w:bCs/>
      <w:sz w:val="24"/>
    </w:rPr>
  </w:style>
  <w:style w:type="character" w:customStyle="1" w:styleId="Heading4Char">
    <w:name w:val="Heading 4 Char"/>
    <w:basedOn w:val="DefaultParagraphFont"/>
    <w:link w:val="Heading4"/>
    <w:uiPriority w:val="9"/>
    <w:qFormat/>
    <w:rPr>
      <w:rFonts w:ascii="Palatino Linotype" w:eastAsiaTheme="majorEastAsia" w:hAnsi="Palatino Linotype" w:cstheme="majorBidi"/>
      <w:b/>
      <w:bCs/>
      <w:iCs/>
      <w:sz w:val="24"/>
    </w:rPr>
  </w:style>
  <w:style w:type="paragraph" w:customStyle="1" w:styleId="SORtekst">
    <w:name w:val="SOR_tekst"/>
    <w:basedOn w:val="Normal"/>
    <w:qFormat/>
    <w:pPr>
      <w:jc w:val="both"/>
    </w:pPr>
    <w:rPr>
      <w:rFonts w:eastAsia="Times New Roman"/>
      <w:lang w:val="sl-SI" w:eastAsia="sl-SI"/>
    </w:rPr>
  </w:style>
  <w:style w:type="paragraph" w:customStyle="1" w:styleId="BodyText1">
    <w:name w:val="Body Text1"/>
    <w:basedOn w:val="Normal"/>
    <w:qFormat/>
    <w:pPr>
      <w:spacing w:before="40" w:after="40"/>
      <w:ind w:firstLine="340"/>
      <w:jc w:val="both"/>
    </w:pPr>
    <w:rPr>
      <w:rFonts w:ascii="Palatino Linotype" w:hAnsi="Palatino Linotype"/>
      <w:sz w:val="22"/>
    </w:rPr>
  </w:style>
  <w:style w:type="character" w:customStyle="1" w:styleId="FootnoteTextChar">
    <w:name w:val="Footnote Text Char"/>
    <w:basedOn w:val="DefaultParagraphFont"/>
    <w:link w:val="FootnoteText"/>
    <w:uiPriority w:val="99"/>
    <w:semiHidden/>
    <w:qFormat/>
    <w:rPr>
      <w:rFonts w:ascii="Palatino Linotype" w:hAnsi="Palatino Linotype"/>
      <w:sz w:val="20"/>
      <w:szCs w:val="20"/>
    </w:rPr>
  </w:style>
  <w:style w:type="paragraph" w:styleId="ListParagraph">
    <w:name w:val="List Paragraph"/>
    <w:basedOn w:val="Normal"/>
    <w:link w:val="ListParagraphChar"/>
    <w:uiPriority w:val="34"/>
    <w:qFormat/>
    <w:pPr>
      <w:ind w:left="720"/>
      <w:contextualSpacing/>
    </w:pPr>
  </w:style>
  <w:style w:type="character" w:customStyle="1" w:styleId="Heading6Char">
    <w:name w:val="Heading 6 Char"/>
    <w:basedOn w:val="DefaultParagraphFont"/>
    <w:link w:val="Heading6"/>
    <w:qFormat/>
    <w:rPr>
      <w:rFonts w:asciiTheme="majorHAnsi" w:eastAsiaTheme="majorEastAsia" w:hAnsiTheme="majorHAnsi" w:cstheme="majorBidi"/>
      <w:i/>
      <w:iCs/>
      <w:color w:val="244061" w:themeColor="accent1" w:themeShade="80"/>
      <w:sz w:val="24"/>
    </w:rPr>
  </w:style>
  <w:style w:type="character" w:customStyle="1" w:styleId="ListParagraphChar">
    <w:name w:val="List Paragraph Char"/>
    <w:link w:val="ListParagraph"/>
    <w:uiPriority w:val="34"/>
    <w:qFormat/>
    <w:locked/>
    <w:rPr>
      <w:rFonts w:ascii="Times New Roman" w:hAnsi="Times New Roman"/>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Revision1">
    <w:name w:val="Revision1"/>
    <w:hidden/>
    <w:uiPriority w:val="99"/>
    <w:semiHidden/>
    <w:qFormat/>
    <w:rPr>
      <w:sz w:val="24"/>
      <w:szCs w:val="24"/>
      <w:lang w:eastAsia="zh-CN"/>
    </w:rPr>
  </w:style>
  <w:style w:type="character" w:customStyle="1" w:styleId="CommentTextChar">
    <w:name w:val="Comment Text Char"/>
    <w:basedOn w:val="DefaultParagraphFont"/>
    <w:link w:val="CommentText"/>
    <w:uiPriority w:val="99"/>
    <w:qFormat/>
    <w:rPr>
      <w:rFonts w:ascii="Times New Roman" w:hAnsi="Times New Roman"/>
      <w:sz w:val="20"/>
      <w:szCs w:val="20"/>
    </w:rPr>
  </w:style>
  <w:style w:type="character" w:customStyle="1" w:styleId="CommentSubjectChar">
    <w:name w:val="Comment Subject Char"/>
    <w:basedOn w:val="CommentTextChar"/>
    <w:link w:val="CommentSubject"/>
    <w:uiPriority w:val="99"/>
    <w:semiHidden/>
    <w:qFormat/>
    <w:rPr>
      <w:rFonts w:ascii="Times New Roman" w:hAnsi="Times New Roman"/>
      <w:b/>
      <w:bCs/>
      <w:sz w:val="20"/>
      <w:szCs w:val="20"/>
    </w:rPr>
  </w:style>
  <w:style w:type="table" w:customStyle="1" w:styleId="Style56">
    <w:name w:val="_Style 56"/>
    <w:basedOn w:val="TableNormal1"/>
    <w:qFormat/>
    <w:tblPr>
      <w:tblCellMar>
        <w:top w:w="0" w:type="dxa"/>
        <w:left w:w="108" w:type="dxa"/>
        <w:bottom w:w="0" w:type="dxa"/>
        <w:right w:w="108" w:type="dxa"/>
      </w:tblCellMar>
    </w:tblPr>
  </w:style>
  <w:style w:type="table" w:customStyle="1" w:styleId="Style57">
    <w:name w:val="_Style 57"/>
    <w:basedOn w:val="TableNormal1"/>
    <w:qFormat/>
    <w:tblPr>
      <w:tblCellMar>
        <w:top w:w="0" w:type="dxa"/>
        <w:left w:w="115" w:type="dxa"/>
        <w:bottom w:w="0" w:type="dxa"/>
        <w:right w:w="115" w:type="dxa"/>
      </w:tblCellMar>
    </w:tblPr>
  </w:style>
  <w:style w:type="character" w:styleId="Strong">
    <w:name w:val="Strong"/>
    <w:basedOn w:val="DefaultParagraphFont"/>
    <w:uiPriority w:val="22"/>
    <w:qFormat/>
    <w:rsid w:val="002126B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annotation text" w:uiPriority="99" w:unhideWhenUsed="1" w:qFormat="1"/>
    <w:lsdException w:name="header" w:uiPriority="99" w:unhideWhenUsed="1" w:qFormat="1"/>
    <w:lsdException w:name="footer" w:uiPriority="99" w:unhideWhenUsed="1" w:qFormat="1"/>
    <w:lsdException w:name="caption" w:semiHidden="1" w:unhideWhenUsed="1" w:qFormat="1"/>
    <w:lsdException w:name="footnote reference" w:semiHidden="1" w:uiPriority="99" w:unhideWhenUsed="1" w:qFormat="1"/>
    <w:lsdException w:name="annotation reference" w:semiHidden="1" w:uiPriority="99" w:unhideWhenUsed="1" w:qFormat="1"/>
    <w:lsdException w:name="Title" w:qFormat="1"/>
    <w:lsdException w:name="Default Paragraph Font" w:semiHidden="1" w:uiPriority="1" w:unhideWhenUsed="1" w:qFormat="1"/>
    <w:lsdException w:name="Body Text" w:uiPriority="1" w:qFormat="1"/>
    <w:lsdException w:name="Subtitle" w:qFormat="1"/>
    <w:lsdException w:name="Hyperlink" w:uiPriority="99" w:qFormat="1"/>
    <w:lsdException w:name="FollowedHyperlink" w:semiHidden="1" w:uiPriority="99" w:unhideWhenUsed="1"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47DF"/>
    <w:rPr>
      <w:sz w:val="24"/>
      <w:szCs w:val="24"/>
      <w:lang w:eastAsia="zh-CN"/>
    </w:rPr>
  </w:style>
  <w:style w:type="paragraph" w:styleId="Heading1">
    <w:name w:val="heading 1"/>
    <w:next w:val="Normal"/>
    <w:link w:val="Heading1Char"/>
    <w:uiPriority w:val="9"/>
    <w:qFormat/>
    <w:pPr>
      <w:keepNext/>
      <w:keepLines/>
      <w:shd w:val="clear" w:color="auto" w:fill="BFBFBF" w:themeFill="background1" w:themeFillShade="BF"/>
      <w:jc w:val="right"/>
      <w:outlineLvl w:val="0"/>
    </w:pPr>
    <w:rPr>
      <w:rFonts w:ascii="Palatino Linotype" w:eastAsiaTheme="majorEastAsia" w:hAnsi="Palatino Linotype" w:cstheme="majorBidi"/>
      <w:b/>
      <w:bCs/>
      <w:sz w:val="32"/>
      <w:szCs w:val="28"/>
      <w:lang w:eastAsia="zh-CN"/>
    </w:rPr>
  </w:style>
  <w:style w:type="paragraph" w:styleId="Heading2">
    <w:name w:val="heading 2"/>
    <w:next w:val="Normal"/>
    <w:link w:val="Heading2Char"/>
    <w:uiPriority w:val="9"/>
    <w:unhideWhenUsed/>
    <w:qFormat/>
    <w:pPr>
      <w:keepNext/>
      <w:keepLines/>
      <w:shd w:val="clear" w:color="auto" w:fill="BFBFBF" w:themeFill="background1" w:themeFillShade="BF"/>
      <w:jc w:val="right"/>
      <w:outlineLvl w:val="1"/>
    </w:pPr>
    <w:rPr>
      <w:rFonts w:ascii="Palatino Linotype" w:eastAsiaTheme="majorEastAsia" w:hAnsi="Palatino Linotype" w:cstheme="majorBidi"/>
      <w:b/>
      <w:bCs/>
      <w:sz w:val="22"/>
      <w:szCs w:val="26"/>
      <w:lang w:eastAsia="zh-CN"/>
    </w:rPr>
  </w:style>
  <w:style w:type="paragraph" w:styleId="Heading3">
    <w:name w:val="heading 3"/>
    <w:next w:val="Normal"/>
    <w:link w:val="Heading3Char"/>
    <w:uiPriority w:val="9"/>
    <w:unhideWhenUsed/>
    <w:qFormat/>
    <w:pPr>
      <w:keepNext/>
      <w:keepLines/>
      <w:spacing w:before="360" w:after="180"/>
      <w:jc w:val="both"/>
      <w:outlineLvl w:val="2"/>
    </w:pPr>
    <w:rPr>
      <w:rFonts w:ascii="Palatino Linotype" w:eastAsiaTheme="majorEastAsia" w:hAnsi="Palatino Linotype" w:cstheme="majorBidi"/>
      <w:b/>
      <w:bCs/>
      <w:sz w:val="24"/>
      <w:szCs w:val="24"/>
      <w:lang w:eastAsia="zh-CN"/>
    </w:rPr>
  </w:style>
  <w:style w:type="paragraph" w:styleId="Heading4">
    <w:name w:val="heading 4"/>
    <w:next w:val="Normal"/>
    <w:link w:val="Heading4Char"/>
    <w:uiPriority w:val="9"/>
    <w:unhideWhenUsed/>
    <w:qFormat/>
    <w:pPr>
      <w:keepNext/>
      <w:keepLines/>
      <w:spacing w:before="240" w:after="180"/>
      <w:ind w:firstLine="340"/>
      <w:jc w:val="both"/>
      <w:outlineLvl w:val="3"/>
    </w:pPr>
    <w:rPr>
      <w:rFonts w:ascii="Palatino Linotype" w:eastAsiaTheme="majorEastAsia" w:hAnsi="Palatino Linotype" w:cstheme="majorBidi"/>
      <w:b/>
      <w:bCs/>
      <w:iCs/>
      <w:sz w:val="24"/>
      <w:szCs w:val="24"/>
      <w:lang w:eastAsia="zh-CN"/>
    </w:rPr>
  </w:style>
  <w:style w:type="paragraph" w:styleId="Heading5">
    <w:name w:val="heading 5"/>
    <w:basedOn w:val="Normal"/>
    <w:next w:val="Normal"/>
    <w:qFormat/>
    <w:pPr>
      <w:keepNext/>
      <w:keepLines/>
      <w:spacing w:before="220" w:after="40"/>
      <w:outlineLvl w:val="4"/>
    </w:pPr>
    <w:rPr>
      <w:b/>
      <w:sz w:val="22"/>
      <w:szCs w:val="22"/>
    </w:rPr>
  </w:style>
  <w:style w:type="paragraph" w:styleId="Heading6">
    <w:name w:val="heading 6"/>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uiPriority w:val="1"/>
    <w:qFormat/>
    <w:pPr>
      <w:ind w:left="993"/>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jc w:val="both"/>
    </w:pPr>
    <w:rPr>
      <w:rFonts w:ascii="Palatino Linotype" w:hAnsi="Palatino Linotype"/>
      <w:sz w:val="20"/>
      <w:szCs w:val="20"/>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qFormat/>
    <w:rPr>
      <w:color w:val="0000FF"/>
      <w:u w:val="single"/>
    </w:rPr>
  </w:style>
  <w:style w:type="paragraph" w:styleId="NormalWeb">
    <w:name w:val="Normal (Web)"/>
    <w:uiPriority w:val="99"/>
    <w:qFormat/>
    <w:pPr>
      <w:spacing w:beforeAutospacing="1" w:afterAutospacing="1"/>
    </w:pPr>
    <w:rPr>
      <w:sz w:val="24"/>
      <w:szCs w:val="24"/>
      <w:lang w:eastAsia="zh-CN"/>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table" w:styleId="TableGrid">
    <w:name w:val="Table Grid"/>
    <w:basedOn w:val="TableNormal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Normal1">
    <w:name w:val="Table Normal1"/>
    <w:qFormat/>
    <w:tblPr>
      <w:tblCellMar>
        <w:top w:w="0" w:type="dxa"/>
        <w:left w:w="0" w:type="dxa"/>
        <w:bottom w:w="0" w:type="dxa"/>
        <w:right w:w="0" w:type="dxa"/>
      </w:tblCellMar>
    </w:tblPr>
  </w:style>
  <w:style w:type="paragraph" w:styleId="Title">
    <w:name w:val="Title"/>
    <w:basedOn w:val="Normal"/>
    <w:next w:val="Normal"/>
    <w:qFormat/>
    <w:pPr>
      <w:keepNext/>
      <w:keepLines/>
      <w:spacing w:before="480" w:after="120"/>
    </w:pPr>
    <w:rPr>
      <w:b/>
      <w:sz w:val="72"/>
      <w:szCs w:val="72"/>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1Naslovrada">
    <w:name w:val="1 Naslov rada"/>
    <w:basedOn w:val="Normal"/>
    <w:qFormat/>
    <w:rPr>
      <w:rFonts w:ascii="Times New Roman Bold" w:hAnsi="Times New Roman Bold"/>
      <w:b/>
      <w:sz w:val="32"/>
    </w:rPr>
  </w:style>
  <w:style w:type="paragraph" w:customStyle="1" w:styleId="1Autorirada">
    <w:name w:val="1 Autori rada"/>
    <w:basedOn w:val="Normal"/>
    <w:qFormat/>
    <w:pPr>
      <w:jc w:val="center"/>
    </w:pPr>
    <w:rPr>
      <w:sz w:val="26"/>
    </w:rPr>
  </w:style>
  <w:style w:type="paragraph" w:customStyle="1" w:styleId="1Bodytekst">
    <w:name w:val="1 Body tekst"/>
    <w:basedOn w:val="Normal"/>
    <w:qFormat/>
    <w:pPr>
      <w:spacing w:before="40" w:after="40"/>
      <w:ind w:firstLine="454"/>
      <w:jc w:val="both"/>
    </w:pPr>
  </w:style>
  <w:style w:type="paragraph" w:customStyle="1" w:styleId="Apstrakttekst">
    <w:name w:val="Apstrakt tekst"/>
    <w:basedOn w:val="Normal"/>
    <w:qFormat/>
    <w:pPr>
      <w:spacing w:before="40" w:after="40"/>
      <w:ind w:firstLine="454"/>
      <w:jc w:val="both"/>
    </w:pPr>
    <w:rPr>
      <w:i/>
      <w:sz w:val="22"/>
    </w:rPr>
  </w:style>
  <w:style w:type="paragraph" w:customStyle="1" w:styleId="1Prvinaslov">
    <w:name w:val="1 Prvi naslov"/>
    <w:basedOn w:val="Normal"/>
    <w:qFormat/>
    <w:pPr>
      <w:spacing w:before="360" w:after="240"/>
    </w:pPr>
    <w:rPr>
      <w:rFonts w:ascii="Times New Roman Bold" w:hAnsi="Times New Roman Bold"/>
      <w:b/>
      <w:sz w:val="26"/>
    </w:rPr>
  </w:style>
  <w:style w:type="paragraph" w:customStyle="1" w:styleId="1Druginaslov">
    <w:name w:val="1 Drugi naslov"/>
    <w:basedOn w:val="Normal"/>
    <w:qFormat/>
    <w:pPr>
      <w:spacing w:before="240" w:after="240"/>
    </w:pPr>
    <w:rPr>
      <w:rFonts w:ascii="Times New Roman Bold" w:hAnsi="Times New Roman Bold"/>
      <w:b/>
    </w:rPr>
  </w:style>
  <w:style w:type="paragraph" w:customStyle="1" w:styleId="1Tabela">
    <w:name w:val="1 Tabela"/>
    <w:basedOn w:val="Normal"/>
    <w:qFormat/>
    <w:pPr>
      <w:spacing w:after="120"/>
      <w:jc w:val="center"/>
    </w:pPr>
    <w:rPr>
      <w:i/>
    </w:rPr>
  </w:style>
  <w:style w:type="paragraph" w:customStyle="1" w:styleId="1Izvor">
    <w:name w:val="1 Izvor"/>
    <w:basedOn w:val="Normal"/>
    <w:qFormat/>
    <w:pPr>
      <w:spacing w:before="60"/>
      <w:jc w:val="both"/>
    </w:pPr>
    <w:rPr>
      <w:i/>
      <w:sz w:val="20"/>
    </w:rPr>
  </w:style>
  <w:style w:type="character" w:customStyle="1" w:styleId="HeaderChar">
    <w:name w:val="Header Char"/>
    <w:basedOn w:val="DefaultParagraphFont"/>
    <w:link w:val="Header"/>
    <w:uiPriority w:val="99"/>
    <w:qFormat/>
    <w:rPr>
      <w:rFonts w:ascii="Times New Roman" w:hAnsi="Times New Roman"/>
      <w:sz w:val="24"/>
    </w:rPr>
  </w:style>
  <w:style w:type="character" w:customStyle="1" w:styleId="FooterChar">
    <w:name w:val="Footer Char"/>
    <w:basedOn w:val="DefaultParagraphFont"/>
    <w:link w:val="Footer"/>
    <w:uiPriority w:val="99"/>
    <w:qFormat/>
    <w:rPr>
      <w:rFonts w:ascii="Times New Roman" w:hAnsi="Times New Roman"/>
      <w:sz w:val="24"/>
    </w:rPr>
  </w:style>
  <w:style w:type="character" w:customStyle="1" w:styleId="ReferenciasCarCar">
    <w:name w:val="Referencias Car Car"/>
    <w:link w:val="ReferenciasCar"/>
    <w:uiPriority w:val="99"/>
    <w:qFormat/>
    <w:locked/>
    <w:rPr>
      <w:sz w:val="24"/>
      <w:lang w:val="pt-PT" w:eastAsia="es-ES"/>
    </w:rPr>
  </w:style>
  <w:style w:type="paragraph" w:customStyle="1" w:styleId="ReferenciasCar">
    <w:name w:val="Referencias Car"/>
    <w:basedOn w:val="Normal"/>
    <w:link w:val="ReferenciasCarCar"/>
    <w:uiPriority w:val="99"/>
    <w:qFormat/>
    <w:pPr>
      <w:spacing w:line="480" w:lineRule="auto"/>
      <w:ind w:left="576" w:hanging="576"/>
    </w:pPr>
    <w:rPr>
      <w:rFonts w:asciiTheme="minorHAnsi" w:hAnsiTheme="minorHAnsi"/>
      <w:lang w:val="pt-PT" w:eastAsia="es-ES"/>
    </w:rPr>
  </w:style>
  <w:style w:type="character" w:customStyle="1" w:styleId="Heading1Char">
    <w:name w:val="Heading 1 Char"/>
    <w:basedOn w:val="DefaultParagraphFont"/>
    <w:link w:val="Heading1"/>
    <w:uiPriority w:val="9"/>
    <w:qFormat/>
    <w:rPr>
      <w:rFonts w:ascii="Palatino Linotype" w:eastAsiaTheme="majorEastAsia" w:hAnsi="Palatino Linotype" w:cstheme="majorBidi"/>
      <w:b/>
      <w:bCs/>
      <w:sz w:val="32"/>
      <w:szCs w:val="28"/>
      <w:shd w:val="clear" w:color="auto" w:fill="BFBFBF" w:themeFill="background1" w:themeFillShade="BF"/>
    </w:rPr>
  </w:style>
  <w:style w:type="character" w:customStyle="1" w:styleId="Heading2Char">
    <w:name w:val="Heading 2 Char"/>
    <w:basedOn w:val="DefaultParagraphFont"/>
    <w:link w:val="Heading2"/>
    <w:uiPriority w:val="9"/>
    <w:qFormat/>
    <w:rPr>
      <w:rFonts w:ascii="Palatino Linotype" w:eastAsiaTheme="majorEastAsia" w:hAnsi="Palatino Linotype" w:cstheme="majorBidi"/>
      <w:b/>
      <w:bCs/>
      <w:szCs w:val="26"/>
      <w:shd w:val="clear" w:color="auto" w:fill="BFBFBF" w:themeFill="background1" w:themeFillShade="BF"/>
    </w:rPr>
  </w:style>
  <w:style w:type="character" w:customStyle="1" w:styleId="Heading3Char">
    <w:name w:val="Heading 3 Char"/>
    <w:basedOn w:val="DefaultParagraphFont"/>
    <w:link w:val="Heading3"/>
    <w:uiPriority w:val="9"/>
    <w:qFormat/>
    <w:rPr>
      <w:rFonts w:ascii="Palatino Linotype" w:eastAsiaTheme="majorEastAsia" w:hAnsi="Palatino Linotype" w:cstheme="majorBidi"/>
      <w:b/>
      <w:bCs/>
      <w:sz w:val="24"/>
    </w:rPr>
  </w:style>
  <w:style w:type="character" w:customStyle="1" w:styleId="Heading4Char">
    <w:name w:val="Heading 4 Char"/>
    <w:basedOn w:val="DefaultParagraphFont"/>
    <w:link w:val="Heading4"/>
    <w:uiPriority w:val="9"/>
    <w:qFormat/>
    <w:rPr>
      <w:rFonts w:ascii="Palatino Linotype" w:eastAsiaTheme="majorEastAsia" w:hAnsi="Palatino Linotype" w:cstheme="majorBidi"/>
      <w:b/>
      <w:bCs/>
      <w:iCs/>
      <w:sz w:val="24"/>
    </w:rPr>
  </w:style>
  <w:style w:type="paragraph" w:customStyle="1" w:styleId="SORtekst">
    <w:name w:val="SOR_tekst"/>
    <w:basedOn w:val="Normal"/>
    <w:qFormat/>
    <w:pPr>
      <w:jc w:val="both"/>
    </w:pPr>
    <w:rPr>
      <w:rFonts w:eastAsia="Times New Roman"/>
      <w:lang w:val="sl-SI" w:eastAsia="sl-SI"/>
    </w:rPr>
  </w:style>
  <w:style w:type="paragraph" w:customStyle="1" w:styleId="BodyText1">
    <w:name w:val="Body Text1"/>
    <w:basedOn w:val="Normal"/>
    <w:qFormat/>
    <w:pPr>
      <w:spacing w:before="40" w:after="40"/>
      <w:ind w:firstLine="340"/>
      <w:jc w:val="both"/>
    </w:pPr>
    <w:rPr>
      <w:rFonts w:ascii="Palatino Linotype" w:hAnsi="Palatino Linotype"/>
      <w:sz w:val="22"/>
    </w:rPr>
  </w:style>
  <w:style w:type="character" w:customStyle="1" w:styleId="FootnoteTextChar">
    <w:name w:val="Footnote Text Char"/>
    <w:basedOn w:val="DefaultParagraphFont"/>
    <w:link w:val="FootnoteText"/>
    <w:uiPriority w:val="99"/>
    <w:semiHidden/>
    <w:qFormat/>
    <w:rPr>
      <w:rFonts w:ascii="Palatino Linotype" w:hAnsi="Palatino Linotype"/>
      <w:sz w:val="20"/>
      <w:szCs w:val="20"/>
    </w:rPr>
  </w:style>
  <w:style w:type="paragraph" w:styleId="ListParagraph">
    <w:name w:val="List Paragraph"/>
    <w:basedOn w:val="Normal"/>
    <w:link w:val="ListParagraphChar"/>
    <w:uiPriority w:val="34"/>
    <w:qFormat/>
    <w:pPr>
      <w:ind w:left="720"/>
      <w:contextualSpacing/>
    </w:pPr>
  </w:style>
  <w:style w:type="character" w:customStyle="1" w:styleId="Heading6Char">
    <w:name w:val="Heading 6 Char"/>
    <w:basedOn w:val="DefaultParagraphFont"/>
    <w:link w:val="Heading6"/>
    <w:qFormat/>
    <w:rPr>
      <w:rFonts w:asciiTheme="majorHAnsi" w:eastAsiaTheme="majorEastAsia" w:hAnsiTheme="majorHAnsi" w:cstheme="majorBidi"/>
      <w:i/>
      <w:iCs/>
      <w:color w:val="244061" w:themeColor="accent1" w:themeShade="80"/>
      <w:sz w:val="24"/>
    </w:rPr>
  </w:style>
  <w:style w:type="character" w:customStyle="1" w:styleId="ListParagraphChar">
    <w:name w:val="List Paragraph Char"/>
    <w:link w:val="ListParagraph"/>
    <w:uiPriority w:val="34"/>
    <w:qFormat/>
    <w:locked/>
    <w:rPr>
      <w:rFonts w:ascii="Times New Roman" w:hAnsi="Times New Roman"/>
      <w:sz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Revision1">
    <w:name w:val="Revision1"/>
    <w:hidden/>
    <w:uiPriority w:val="99"/>
    <w:semiHidden/>
    <w:qFormat/>
    <w:rPr>
      <w:sz w:val="24"/>
      <w:szCs w:val="24"/>
      <w:lang w:eastAsia="zh-CN"/>
    </w:rPr>
  </w:style>
  <w:style w:type="character" w:customStyle="1" w:styleId="CommentTextChar">
    <w:name w:val="Comment Text Char"/>
    <w:basedOn w:val="DefaultParagraphFont"/>
    <w:link w:val="CommentText"/>
    <w:uiPriority w:val="99"/>
    <w:qFormat/>
    <w:rPr>
      <w:rFonts w:ascii="Times New Roman" w:hAnsi="Times New Roman"/>
      <w:sz w:val="20"/>
      <w:szCs w:val="20"/>
    </w:rPr>
  </w:style>
  <w:style w:type="character" w:customStyle="1" w:styleId="CommentSubjectChar">
    <w:name w:val="Comment Subject Char"/>
    <w:basedOn w:val="CommentTextChar"/>
    <w:link w:val="CommentSubject"/>
    <w:uiPriority w:val="99"/>
    <w:semiHidden/>
    <w:qFormat/>
    <w:rPr>
      <w:rFonts w:ascii="Times New Roman" w:hAnsi="Times New Roman"/>
      <w:b/>
      <w:bCs/>
      <w:sz w:val="20"/>
      <w:szCs w:val="20"/>
    </w:rPr>
  </w:style>
  <w:style w:type="table" w:customStyle="1" w:styleId="Style56">
    <w:name w:val="_Style 56"/>
    <w:basedOn w:val="TableNormal1"/>
    <w:qFormat/>
    <w:tblPr>
      <w:tblCellMar>
        <w:top w:w="0" w:type="dxa"/>
        <w:left w:w="108" w:type="dxa"/>
        <w:bottom w:w="0" w:type="dxa"/>
        <w:right w:w="108" w:type="dxa"/>
      </w:tblCellMar>
    </w:tblPr>
  </w:style>
  <w:style w:type="table" w:customStyle="1" w:styleId="Style57">
    <w:name w:val="_Style 57"/>
    <w:basedOn w:val="TableNormal1"/>
    <w:qFormat/>
    <w:tblPr>
      <w:tblCellMar>
        <w:top w:w="0" w:type="dxa"/>
        <w:left w:w="115" w:type="dxa"/>
        <w:bottom w:w="0" w:type="dxa"/>
        <w:right w:w="115" w:type="dxa"/>
      </w:tblCellMar>
    </w:tblPr>
  </w:style>
  <w:style w:type="character" w:styleId="Strong">
    <w:name w:val="Strong"/>
    <w:basedOn w:val="DefaultParagraphFont"/>
    <w:uiPriority w:val="22"/>
    <w:qFormat/>
    <w:rsid w:val="002126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280489">
      <w:bodyDiv w:val="1"/>
      <w:marLeft w:val="0"/>
      <w:marRight w:val="0"/>
      <w:marTop w:val="0"/>
      <w:marBottom w:val="0"/>
      <w:divBdr>
        <w:top w:val="none" w:sz="0" w:space="0" w:color="auto"/>
        <w:left w:val="none" w:sz="0" w:space="0" w:color="auto"/>
        <w:bottom w:val="none" w:sz="0" w:space="0" w:color="auto"/>
        <w:right w:val="none" w:sz="0" w:space="0" w:color="auto"/>
      </w:divBdr>
    </w:div>
    <w:div w:id="924188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dx.doi.org/10.28991/HIJ-2023-04-02-0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L45nO5O3qEN6FIRuT5OGCv1Z+A==">CgMxLjA4AHIhMVBnbHQwVkRfVTdfaTJIeXEwaTYwcWYxb0hibGxsMENw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37C63BB-2697-41FE-A75A-DFBAC67ED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23</Pages>
  <Words>24283</Words>
  <Characters>138417</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Bambang DS;D. Suseno</dc:creator>
  <cp:lastModifiedBy>Bambang DS</cp:lastModifiedBy>
  <cp:revision>8</cp:revision>
  <dcterms:created xsi:type="dcterms:W3CDTF">2025-12-18T08:12:00Z</dcterms:created>
  <dcterms:modified xsi:type="dcterms:W3CDTF">2025-12-19T02:16:00Z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7deb791ae7fb38a29c7785b6905bf39e26a705430ba1d0ebf6fb24e415a29ac2</vt:lpwstr>
  </property>
  <property fmtid="{D5CDD505-2E9C-101B-9397-08002B2CF9AE}" pid="3" name="KSOProductBuildVer">
    <vt:lpwstr>1033-12.2.0.21931</vt:lpwstr>
  </property>
  <property fmtid="{D5CDD505-2E9C-101B-9397-08002B2CF9AE}" pid="4" name="ICV">
    <vt:lpwstr>1E207C54C13942DDBD2C3D07686A46B9_12</vt:lpwstr>
  </property>
  <property fmtid="{D5CDD505-2E9C-101B-9397-08002B2CF9AE}" pid="5" name="Mendeley Document_1">
    <vt:lpwstr>True</vt:lpwstr>
  </property>
  <property fmtid="{D5CDD505-2E9C-101B-9397-08002B2CF9AE}" pid="6" name="Mendeley Unique User Id_1">
    <vt:lpwstr>c40125de-1536-3a17-8572-5d6d75e3df50</vt:lpwstr>
  </property>
  <property fmtid="{D5CDD505-2E9C-101B-9397-08002B2CF9AE}" pid="7" name="Mendeley Citation Style_1">
    <vt:lpwstr>http://www.zotero.org/styles/apa</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 11th edition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7th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 6th/7th edition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17th edition (author-date)</vt:lpwstr>
  </property>
  <property fmtid="{D5CDD505-2E9C-101B-9397-08002B2CF9AE}" pid="18" name="Mendeley Recent Style Id 5_1">
    <vt:lpwstr>http://www.zotero.org/styles/chicago-fullnote-bibliography</vt:lpwstr>
  </property>
  <property fmtid="{D5CDD505-2E9C-101B-9397-08002B2CF9AE}" pid="19" name="Mendeley Recent Style Name 5_1">
    <vt:lpwstr>Chicago Manual of Style 17th edition (full note)</vt:lpwstr>
  </property>
  <property fmtid="{D5CDD505-2E9C-101B-9397-08002B2CF9AE}" pid="20" name="Mendeley Recent Style Id 6_1">
    <vt:lpwstr>http://www.zotero.org/styles/harvard-cite-them-right</vt:lpwstr>
  </property>
  <property fmtid="{D5CDD505-2E9C-101B-9397-08002B2CF9AE}" pid="21" name="Mendeley Recent Style Name 6_1">
    <vt:lpwstr>Cite Them Right 12th edition - Harvard</vt:lpwstr>
  </property>
  <property fmtid="{D5CDD505-2E9C-101B-9397-08002B2CF9AE}" pid="22" name="Mendeley Recent Style Id 7_1">
    <vt:lpwstr>http://www.zotero.org/styles/ieee</vt:lpwstr>
  </property>
  <property fmtid="{D5CDD505-2E9C-101B-9397-08002B2CF9AE}" pid="23" name="Mendeley Recent Style Name 7_1">
    <vt:lpwstr>IEEE</vt:lpwstr>
  </property>
  <property fmtid="{D5CDD505-2E9C-101B-9397-08002B2CF9AE}" pid="24" name="Mendeley Recent Style Id 8_1">
    <vt:lpwstr>http://www.zotero.org/styles/modern-humanities-research-association</vt:lpwstr>
  </property>
  <property fmtid="{D5CDD505-2E9C-101B-9397-08002B2CF9AE}" pid="25" name="Mendeley Recent Style Name 8_1">
    <vt:lpwstr>Modern Humanities Research Association 4th edition (note with bibliography)</vt:lpwstr>
  </property>
  <property fmtid="{D5CDD505-2E9C-101B-9397-08002B2CF9AE}" pid="26" name="Mendeley Recent Style Id 9_1">
    <vt:lpwstr>http://www.zotero.org/styles/modern-language-association</vt:lpwstr>
  </property>
  <property fmtid="{D5CDD505-2E9C-101B-9397-08002B2CF9AE}" pid="27" name="Mendeley Recent Style Name 9_1">
    <vt:lpwstr>Modern Language Association 9th edition</vt:lpwstr>
  </property>
</Properties>
</file>