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ACD86" w14:textId="7D642F9D" w:rsidR="00586CA9" w:rsidRDefault="00C84DE3" w:rsidP="00586CA9">
      <w:pPr>
        <w:jc w:val="center"/>
        <w:rPr>
          <w:b/>
          <w:bCs/>
        </w:rPr>
      </w:pPr>
      <w:bookmarkStart w:id="0" w:name="_Hlk200726022"/>
      <w:bookmarkEnd w:id="0"/>
      <w:r w:rsidRPr="00FB22BE">
        <w:rPr>
          <w:b/>
          <w:bCs/>
        </w:rPr>
        <w:t xml:space="preserve">Local Government Policy: Strategies For Resolving Conflict Of Interest And Social Instability In The Managemenet Of Coastal Area Shrimp Ponds, </w:t>
      </w:r>
      <w:r>
        <w:rPr>
          <w:b/>
          <w:bCs/>
        </w:rPr>
        <w:t>Indonesia</w:t>
      </w:r>
    </w:p>
    <w:p w14:paraId="46E3A581" w14:textId="2651234D" w:rsidR="00586CA9" w:rsidRDefault="00586CA9" w:rsidP="00586CA9">
      <w:pPr>
        <w:jc w:val="center"/>
        <w:rPr>
          <w:b/>
          <w:bCs/>
        </w:rPr>
      </w:pPr>
    </w:p>
    <w:p w14:paraId="11C407DC" w14:textId="3893BB91" w:rsidR="00586CA9" w:rsidRDefault="00586CA9" w:rsidP="00586CA9">
      <w:pPr>
        <w:jc w:val="center"/>
        <w:rPr>
          <w:b/>
          <w:bCs/>
        </w:rPr>
      </w:pPr>
    </w:p>
    <w:p w14:paraId="168F6E63" w14:textId="77777777" w:rsidR="009B7EEA" w:rsidRDefault="009B7EEA" w:rsidP="00586CA9">
      <w:pPr>
        <w:jc w:val="center"/>
        <w:rPr>
          <w:b/>
          <w:bCs/>
        </w:rPr>
      </w:pPr>
      <w:bookmarkStart w:id="1" w:name="_GoBack"/>
      <w:bookmarkEnd w:id="1"/>
    </w:p>
    <w:p w14:paraId="263283DA" w14:textId="64EC3C5B" w:rsidR="00586CA9" w:rsidRDefault="00586CA9" w:rsidP="00586CA9">
      <w:pPr>
        <w:jc w:val="center"/>
        <w:rPr>
          <w:b/>
          <w:color w:val="201F1E"/>
          <w:shd w:val="clear" w:color="auto" w:fill="FFFFFF"/>
          <w:lang w:val="en-US"/>
        </w:rPr>
      </w:pPr>
      <w:r>
        <w:rPr>
          <w:b/>
          <w:color w:val="201F1E"/>
          <w:shd w:val="clear" w:color="auto" w:fill="FFFFFF"/>
          <w:lang w:val="en-US"/>
        </w:rPr>
        <w:t xml:space="preserve">Wilda </w:t>
      </w:r>
      <w:proofErr w:type="spellStart"/>
      <w:r>
        <w:rPr>
          <w:b/>
          <w:color w:val="201F1E"/>
          <w:shd w:val="clear" w:color="auto" w:fill="FFFFFF"/>
          <w:lang w:val="en-US"/>
        </w:rPr>
        <w:t>Rasaili</w:t>
      </w:r>
      <w:proofErr w:type="spellEnd"/>
      <w:r>
        <w:rPr>
          <w:rStyle w:val="FootnoteReference"/>
          <w:b/>
          <w:color w:val="201F1E"/>
          <w:shd w:val="clear" w:color="auto" w:fill="FFFFFF"/>
          <w:lang w:val="en-US"/>
        </w:rPr>
        <w:footnoteReference w:id="1"/>
      </w:r>
    </w:p>
    <w:p w14:paraId="4F1C8D46" w14:textId="77777777" w:rsidR="009352C0" w:rsidRDefault="009352C0" w:rsidP="009352C0">
      <w:pPr>
        <w:jc w:val="center"/>
        <w:rPr>
          <w:b/>
          <w:color w:val="201F1E"/>
          <w:shd w:val="clear" w:color="auto" w:fill="FFFFFF"/>
          <w:lang w:val="en-US"/>
        </w:rPr>
      </w:pPr>
      <w:proofErr w:type="spellStart"/>
      <w:r>
        <w:rPr>
          <w:b/>
          <w:color w:val="201F1E"/>
          <w:shd w:val="clear" w:color="auto" w:fill="FFFFFF"/>
          <w:lang w:val="en-US"/>
        </w:rPr>
        <w:t>Zarnuji</w:t>
      </w:r>
      <w:proofErr w:type="spellEnd"/>
      <w:r w:rsidRPr="00B20D80">
        <w:rPr>
          <w:rStyle w:val="FootnoteReference"/>
          <w:b/>
          <w:color w:val="201F1E"/>
          <w:shd w:val="clear" w:color="auto" w:fill="FFFFFF"/>
          <w:lang w:val="en-US"/>
        </w:rPr>
        <w:t xml:space="preserve"> </w:t>
      </w:r>
      <w:r>
        <w:rPr>
          <w:rStyle w:val="FootnoteReference"/>
          <w:b/>
          <w:color w:val="201F1E"/>
          <w:shd w:val="clear" w:color="auto" w:fill="FFFFFF"/>
          <w:lang w:val="en-US"/>
        </w:rPr>
        <w:footnoteReference w:id="2"/>
      </w:r>
    </w:p>
    <w:p w14:paraId="15649511" w14:textId="77777777" w:rsidR="009352C0" w:rsidRPr="00B20D80" w:rsidRDefault="009352C0" w:rsidP="009352C0">
      <w:pPr>
        <w:jc w:val="center"/>
        <w:rPr>
          <w:b/>
          <w:color w:val="201F1E"/>
          <w:shd w:val="clear" w:color="auto" w:fill="FFFFFF"/>
          <w:lang w:val="en-US"/>
        </w:rPr>
      </w:pPr>
      <w:r>
        <w:rPr>
          <w:b/>
          <w:color w:val="201F1E"/>
          <w:shd w:val="clear" w:color="auto" w:fill="FFFFFF"/>
          <w:lang w:val="en-US"/>
        </w:rPr>
        <w:t xml:space="preserve">Hasan </w:t>
      </w:r>
      <w:proofErr w:type="spellStart"/>
      <w:r>
        <w:rPr>
          <w:b/>
          <w:color w:val="201F1E"/>
          <w:shd w:val="clear" w:color="auto" w:fill="FFFFFF"/>
          <w:lang w:val="en-US"/>
        </w:rPr>
        <w:t>Muchtar</w:t>
      </w:r>
      <w:proofErr w:type="spellEnd"/>
      <w:r>
        <w:rPr>
          <w:b/>
          <w:color w:val="201F1E"/>
          <w:shd w:val="clear" w:color="auto" w:fill="FFFFFF"/>
          <w:lang w:val="en-US"/>
        </w:rPr>
        <w:t xml:space="preserve"> </w:t>
      </w:r>
      <w:proofErr w:type="spellStart"/>
      <w:r>
        <w:rPr>
          <w:b/>
          <w:color w:val="201F1E"/>
          <w:shd w:val="clear" w:color="auto" w:fill="FFFFFF"/>
          <w:lang w:val="en-US"/>
        </w:rPr>
        <w:t>Fauzi</w:t>
      </w:r>
      <w:proofErr w:type="spellEnd"/>
      <w:r>
        <w:rPr>
          <w:rStyle w:val="FootnoteReference"/>
          <w:b/>
          <w:color w:val="201F1E"/>
          <w:shd w:val="clear" w:color="auto" w:fill="FFFFFF"/>
          <w:lang w:val="en-US"/>
        </w:rPr>
        <w:footnoteReference w:id="3"/>
      </w:r>
    </w:p>
    <w:p w14:paraId="55D45DBA" w14:textId="2CE638DF" w:rsidR="009352C0" w:rsidRDefault="009352C0" w:rsidP="009352C0">
      <w:pPr>
        <w:jc w:val="center"/>
        <w:rPr>
          <w:b/>
          <w:color w:val="201F1E"/>
          <w:shd w:val="clear" w:color="auto" w:fill="FFFFFF"/>
          <w:lang w:val="en-US"/>
        </w:rPr>
      </w:pPr>
      <w:r>
        <w:rPr>
          <w:b/>
          <w:color w:val="201F1E"/>
          <w:shd w:val="clear" w:color="auto" w:fill="FFFFFF"/>
          <w:lang w:val="en-US"/>
        </w:rPr>
        <w:t xml:space="preserve">Dini Noor </w:t>
      </w:r>
      <w:proofErr w:type="spellStart"/>
      <w:r>
        <w:rPr>
          <w:b/>
          <w:color w:val="201F1E"/>
          <w:shd w:val="clear" w:color="auto" w:fill="FFFFFF"/>
          <w:lang w:val="en-US"/>
        </w:rPr>
        <w:t>Aini</w:t>
      </w:r>
      <w:proofErr w:type="spellEnd"/>
      <w:r>
        <w:rPr>
          <w:rStyle w:val="FootnoteReference"/>
          <w:b/>
          <w:color w:val="201F1E"/>
          <w:shd w:val="clear" w:color="auto" w:fill="FFFFFF"/>
          <w:lang w:val="en-US"/>
        </w:rPr>
        <w:footnoteReference w:id="4"/>
      </w:r>
    </w:p>
    <w:p w14:paraId="55C99E03" w14:textId="7B32A0DC" w:rsidR="002D2DED" w:rsidRDefault="002D2DED" w:rsidP="00586CA9"/>
    <w:p w14:paraId="6051FF2C" w14:textId="44B72083" w:rsidR="009352C0" w:rsidRDefault="009352C0" w:rsidP="00586CA9"/>
    <w:p w14:paraId="40672026" w14:textId="4F49347C" w:rsidR="009352C0" w:rsidRDefault="009352C0" w:rsidP="00586CA9"/>
    <w:p w14:paraId="466F5B5A" w14:textId="39107186" w:rsidR="009352C0" w:rsidRDefault="009352C0" w:rsidP="00586CA9"/>
    <w:p w14:paraId="46DFF5C0" w14:textId="18E398F3" w:rsidR="009352C0" w:rsidRDefault="009352C0" w:rsidP="00586CA9"/>
    <w:p w14:paraId="6E6F5FB7" w14:textId="41B7ED96" w:rsidR="009352C0" w:rsidRDefault="009352C0" w:rsidP="00586CA9"/>
    <w:p w14:paraId="482261F1" w14:textId="6A143B35" w:rsidR="009352C0" w:rsidRDefault="009352C0" w:rsidP="00586CA9"/>
    <w:p w14:paraId="2530463C" w14:textId="48032771" w:rsidR="009352C0" w:rsidRDefault="009352C0" w:rsidP="00586CA9"/>
    <w:p w14:paraId="3C0CE401" w14:textId="5593DEEB" w:rsidR="009352C0" w:rsidRDefault="009352C0" w:rsidP="00586CA9"/>
    <w:p w14:paraId="24DBAE12" w14:textId="1AB1B412" w:rsidR="009352C0" w:rsidRDefault="009352C0" w:rsidP="00586CA9"/>
    <w:p w14:paraId="2E55CD9D" w14:textId="2CBDC6EB" w:rsidR="009352C0" w:rsidRDefault="009352C0" w:rsidP="00586CA9"/>
    <w:p w14:paraId="0784F8C5" w14:textId="1348576A" w:rsidR="009352C0" w:rsidRDefault="009352C0" w:rsidP="00586CA9"/>
    <w:p w14:paraId="594E39AD" w14:textId="29077638" w:rsidR="009352C0" w:rsidRDefault="009352C0" w:rsidP="00586CA9"/>
    <w:p w14:paraId="1E4F0A0D" w14:textId="5941680B" w:rsidR="009352C0" w:rsidRDefault="009352C0" w:rsidP="00586CA9"/>
    <w:p w14:paraId="3D41473C" w14:textId="0C56AF74" w:rsidR="009352C0" w:rsidRDefault="009352C0" w:rsidP="00586CA9"/>
    <w:p w14:paraId="7495A2C5" w14:textId="2B925129" w:rsidR="009352C0" w:rsidRDefault="009352C0" w:rsidP="00586CA9"/>
    <w:p w14:paraId="27405375" w14:textId="69CE86DE" w:rsidR="009352C0" w:rsidRDefault="009352C0" w:rsidP="00586CA9"/>
    <w:p w14:paraId="3318EAE9" w14:textId="5DF8B493" w:rsidR="009352C0" w:rsidRDefault="009352C0" w:rsidP="00586CA9"/>
    <w:p w14:paraId="293453A1" w14:textId="5779145D" w:rsidR="009352C0" w:rsidRDefault="009352C0" w:rsidP="00586CA9"/>
    <w:p w14:paraId="5B0F1B8F" w14:textId="6DA12CBD" w:rsidR="009352C0" w:rsidRDefault="009352C0" w:rsidP="00586CA9"/>
    <w:p w14:paraId="5B3E4F29" w14:textId="006FC585" w:rsidR="009352C0" w:rsidRDefault="009352C0" w:rsidP="00586CA9"/>
    <w:p w14:paraId="5AF928D3" w14:textId="23A0189F" w:rsidR="009352C0" w:rsidRDefault="009352C0" w:rsidP="00586CA9"/>
    <w:p w14:paraId="4FDD5544" w14:textId="791CF2CF" w:rsidR="009352C0" w:rsidRDefault="009352C0" w:rsidP="00586CA9"/>
    <w:p w14:paraId="669BD89F" w14:textId="03D23B7C" w:rsidR="009352C0" w:rsidRDefault="009352C0" w:rsidP="00586CA9"/>
    <w:p w14:paraId="3340B0DB" w14:textId="53CD8CDC" w:rsidR="009352C0" w:rsidRDefault="009352C0" w:rsidP="00586CA9"/>
    <w:p w14:paraId="0FA1C2D2" w14:textId="4BBB9F2C" w:rsidR="009352C0" w:rsidRDefault="009352C0" w:rsidP="00586CA9"/>
    <w:p w14:paraId="77D62D41" w14:textId="6E930162" w:rsidR="009352C0" w:rsidRDefault="009352C0" w:rsidP="00586CA9"/>
    <w:p w14:paraId="18A906AA" w14:textId="27715730" w:rsidR="009352C0" w:rsidRDefault="009352C0" w:rsidP="00586CA9"/>
    <w:p w14:paraId="422AA574" w14:textId="791A24E2" w:rsidR="009352C0" w:rsidRDefault="009352C0" w:rsidP="00586CA9"/>
    <w:p w14:paraId="7B05F8D2" w14:textId="2F2780E8" w:rsidR="009352C0" w:rsidRDefault="009352C0" w:rsidP="00586CA9"/>
    <w:p w14:paraId="19891E6C" w14:textId="3C60DC6B" w:rsidR="009352C0" w:rsidRDefault="009352C0" w:rsidP="00586CA9"/>
    <w:p w14:paraId="6AF4BDC6" w14:textId="4A214B04" w:rsidR="009352C0" w:rsidRDefault="009352C0" w:rsidP="00586CA9"/>
    <w:p w14:paraId="7A47BC7B" w14:textId="2D16A755" w:rsidR="009352C0" w:rsidRDefault="009352C0" w:rsidP="00586CA9"/>
    <w:p w14:paraId="591E2A0A" w14:textId="753FAA61" w:rsidR="009352C0" w:rsidRDefault="009352C0" w:rsidP="00586CA9"/>
    <w:p w14:paraId="267848E5" w14:textId="6F914431" w:rsidR="009352C0" w:rsidRDefault="009352C0" w:rsidP="00586CA9"/>
    <w:p w14:paraId="0737774D" w14:textId="7D488B72" w:rsidR="009352C0" w:rsidRPr="009352C0" w:rsidRDefault="009352C0" w:rsidP="009352C0">
      <w:pPr>
        <w:jc w:val="center"/>
        <w:rPr>
          <w:b/>
          <w:sz w:val="22"/>
          <w:szCs w:val="22"/>
          <w:lang w:val="en-US"/>
        </w:rPr>
      </w:pPr>
      <w:r w:rsidRPr="009352C0">
        <w:rPr>
          <w:b/>
          <w:sz w:val="22"/>
          <w:szCs w:val="22"/>
          <w:lang w:val="en-US"/>
        </w:rPr>
        <w:lastRenderedPageBreak/>
        <w:t>Abstract</w:t>
      </w:r>
    </w:p>
    <w:p w14:paraId="75E87BD1" w14:textId="77777777" w:rsidR="009352C0" w:rsidRPr="009352C0" w:rsidRDefault="009352C0" w:rsidP="009352C0">
      <w:pPr>
        <w:jc w:val="both"/>
        <w:rPr>
          <w:b/>
          <w:bCs/>
          <w:iCs/>
          <w:sz w:val="18"/>
          <w:szCs w:val="18"/>
          <w:lang w:val="en-US"/>
        </w:rPr>
      </w:pPr>
    </w:p>
    <w:p w14:paraId="72E2FFA0" w14:textId="77777777" w:rsidR="009352C0" w:rsidRPr="009352C0" w:rsidRDefault="009352C0" w:rsidP="009352C0">
      <w:pPr>
        <w:spacing w:after="240"/>
        <w:jc w:val="both"/>
        <w:rPr>
          <w:bCs/>
          <w:iCs/>
          <w:color w:val="000000"/>
          <w:sz w:val="20"/>
          <w:szCs w:val="20"/>
          <w:lang w:val="en-AU"/>
        </w:rPr>
      </w:pPr>
      <w:r w:rsidRPr="009352C0">
        <w:rPr>
          <w:bCs/>
          <w:iCs/>
          <w:sz w:val="22"/>
          <w:szCs w:val="20"/>
        </w:rPr>
        <w:t>The management of shrimp farms in coastal areas often leads to conflicts of interest involving local governments, shrimp farm operators and communities. Social stability is also disrupted because the management of shrimp ponds has an impact on environmental pollution, damage to marine ecosystems resulting in loss of livelihoods of coastal communities, and environmental disturbances due to aerators that are lit continuously. This study aims to formulate a deliberative policy strategy in resolving conflicts of interest and social instability in the management of shrimp ponds. The method used is descriptive qualitative with a case study approach. This study involved 9 institutions with 11 informants with data collection through observation, interviews, and documentation. Data were categorized through the Nvivo Pro 12 application. To deepen the data, questionnaires were distributed to 100 samples, which were analyzed by simple regression to test the impact. The results explain that shrimp pond management involves many actors and has a significant impact on the environment, social, and economy.  The local government's deliberation policy as a solution-oriented and progressive strategy in preventing conflict and aligning actors' interests. The research findings are deepened by interpreting the problems and strengthening interests, shrimp pond management practices, and deliberations involved by local governments to harmonize interests. However, public involvement in planning needs to be optimized for more effective resolution and conflict resolution.</w:t>
      </w:r>
    </w:p>
    <w:p w14:paraId="0975A353" w14:textId="77777777" w:rsidR="009352C0" w:rsidRPr="009352C0" w:rsidRDefault="009352C0" w:rsidP="009352C0">
      <w:pPr>
        <w:jc w:val="both"/>
        <w:rPr>
          <w:bCs/>
          <w:iCs/>
          <w:sz w:val="18"/>
          <w:szCs w:val="18"/>
          <w:lang w:val="en-US"/>
        </w:rPr>
      </w:pPr>
    </w:p>
    <w:p w14:paraId="010766EC" w14:textId="77777777" w:rsidR="009352C0" w:rsidRPr="009352C0" w:rsidRDefault="009352C0" w:rsidP="009352C0">
      <w:pPr>
        <w:jc w:val="both"/>
        <w:rPr>
          <w:bCs/>
          <w:iCs/>
          <w:sz w:val="22"/>
          <w:szCs w:val="22"/>
        </w:rPr>
      </w:pPr>
      <w:r w:rsidRPr="009352C0">
        <w:rPr>
          <w:b/>
          <w:bCs/>
          <w:iCs/>
          <w:sz w:val="22"/>
          <w:szCs w:val="22"/>
          <w:lang w:val="en-US"/>
        </w:rPr>
        <w:t>Keywords:</w:t>
      </w:r>
      <w:r w:rsidRPr="009352C0">
        <w:rPr>
          <w:bCs/>
          <w:iCs/>
          <w:sz w:val="22"/>
          <w:szCs w:val="22"/>
          <w:lang w:val="en-US"/>
        </w:rPr>
        <w:t xml:space="preserve"> Deliberative policy; coastal governance; shrimp </w:t>
      </w:r>
      <w:proofErr w:type="spellStart"/>
      <w:r w:rsidRPr="009352C0">
        <w:rPr>
          <w:bCs/>
          <w:iCs/>
          <w:sz w:val="22"/>
          <w:szCs w:val="22"/>
          <w:lang w:val="en-US"/>
        </w:rPr>
        <w:t>pon</w:t>
      </w:r>
      <w:proofErr w:type="spellEnd"/>
      <w:r w:rsidRPr="009352C0">
        <w:rPr>
          <w:bCs/>
          <w:iCs/>
          <w:sz w:val="22"/>
          <w:szCs w:val="22"/>
          <w:lang w:val="en-US"/>
        </w:rPr>
        <w:t xml:space="preserve"> management; social and environmental stability; conflict of interest.</w:t>
      </w:r>
    </w:p>
    <w:p w14:paraId="32F20530" w14:textId="09BDBFCF" w:rsidR="009352C0" w:rsidRDefault="009352C0" w:rsidP="00586CA9"/>
    <w:p w14:paraId="4F74129C" w14:textId="32FABD2B" w:rsidR="009352C0" w:rsidRDefault="009352C0" w:rsidP="00586CA9"/>
    <w:p w14:paraId="5837F3EF" w14:textId="75960571" w:rsidR="009352C0" w:rsidRDefault="009352C0" w:rsidP="00586CA9"/>
    <w:p w14:paraId="175BB64A" w14:textId="346D00A3" w:rsidR="009352C0" w:rsidRDefault="009352C0" w:rsidP="00586CA9"/>
    <w:p w14:paraId="54BE3931" w14:textId="20A4EDAF" w:rsidR="009352C0" w:rsidRDefault="009352C0" w:rsidP="00586CA9"/>
    <w:p w14:paraId="723F2717" w14:textId="7BCB995C" w:rsidR="009352C0" w:rsidRDefault="009352C0" w:rsidP="00586CA9"/>
    <w:p w14:paraId="4CC74FF0" w14:textId="15528B39" w:rsidR="009352C0" w:rsidRDefault="009352C0" w:rsidP="00586CA9"/>
    <w:p w14:paraId="1AB3C5CD" w14:textId="7DB816DF" w:rsidR="009352C0" w:rsidRDefault="009352C0" w:rsidP="00586CA9"/>
    <w:p w14:paraId="1A525B34" w14:textId="6F0B481A" w:rsidR="009352C0" w:rsidRDefault="009352C0" w:rsidP="00586CA9"/>
    <w:p w14:paraId="1EDA0436" w14:textId="2CE03B59" w:rsidR="009352C0" w:rsidRDefault="009352C0" w:rsidP="00586CA9"/>
    <w:p w14:paraId="315193DC" w14:textId="21A22030" w:rsidR="009352C0" w:rsidRDefault="009352C0" w:rsidP="00586CA9"/>
    <w:p w14:paraId="63B98CEE" w14:textId="606068D7" w:rsidR="009352C0" w:rsidRDefault="009352C0" w:rsidP="00586CA9"/>
    <w:p w14:paraId="6DA2ECE6" w14:textId="1E6729DE" w:rsidR="009352C0" w:rsidRDefault="009352C0" w:rsidP="00586CA9"/>
    <w:p w14:paraId="76BDFC4B" w14:textId="7184B07F" w:rsidR="009352C0" w:rsidRDefault="009352C0" w:rsidP="00586CA9"/>
    <w:p w14:paraId="0A73DDAB" w14:textId="1A0BA165" w:rsidR="009352C0" w:rsidRDefault="009352C0" w:rsidP="00586CA9"/>
    <w:p w14:paraId="4B3B62FA" w14:textId="4050EF01" w:rsidR="009352C0" w:rsidRDefault="009352C0" w:rsidP="00586CA9"/>
    <w:p w14:paraId="7BEDDF90" w14:textId="6FA68E39" w:rsidR="009352C0" w:rsidRDefault="009352C0" w:rsidP="00586CA9"/>
    <w:p w14:paraId="63AB04BC" w14:textId="32E18D05" w:rsidR="009352C0" w:rsidRDefault="009352C0" w:rsidP="00586CA9"/>
    <w:p w14:paraId="11EBC1CD" w14:textId="1C7685CE" w:rsidR="009352C0" w:rsidRDefault="009352C0" w:rsidP="00586CA9"/>
    <w:p w14:paraId="09F7E962" w14:textId="06C11B43" w:rsidR="009352C0" w:rsidRDefault="009352C0" w:rsidP="00586CA9"/>
    <w:p w14:paraId="393F97D5" w14:textId="57B08C96" w:rsidR="009352C0" w:rsidRDefault="009352C0" w:rsidP="00586CA9"/>
    <w:p w14:paraId="2B0E37E7" w14:textId="5B83517D" w:rsidR="009352C0" w:rsidRDefault="009352C0" w:rsidP="00586CA9"/>
    <w:p w14:paraId="57DA0791" w14:textId="626139BD" w:rsidR="009352C0" w:rsidRDefault="009352C0" w:rsidP="00586CA9"/>
    <w:p w14:paraId="46F0EF5C" w14:textId="394165A6" w:rsidR="009352C0" w:rsidRDefault="009352C0" w:rsidP="00586CA9"/>
    <w:p w14:paraId="1CE55CAF" w14:textId="26217513" w:rsidR="009352C0" w:rsidRDefault="009352C0" w:rsidP="00586CA9"/>
    <w:p w14:paraId="6C952906" w14:textId="3153C431" w:rsidR="009352C0" w:rsidRDefault="009352C0" w:rsidP="00586CA9"/>
    <w:p w14:paraId="759A4CC3" w14:textId="77777777" w:rsidR="009352C0" w:rsidRDefault="009352C0" w:rsidP="00586CA9"/>
    <w:p w14:paraId="4ED3A025" w14:textId="27B3989D" w:rsidR="009352C0" w:rsidRDefault="009352C0" w:rsidP="00586CA9"/>
    <w:p w14:paraId="2FF28B77" w14:textId="06DD1233" w:rsidR="009352C0" w:rsidRDefault="009352C0" w:rsidP="00586CA9"/>
    <w:p w14:paraId="6A0FEA51" w14:textId="7F9D23AD" w:rsidR="009352C0" w:rsidRDefault="009352C0" w:rsidP="00586CA9"/>
    <w:p w14:paraId="44895D0B" w14:textId="2F231B17" w:rsidR="009352C0" w:rsidRPr="009352C0" w:rsidRDefault="009352C0" w:rsidP="009352C0">
      <w:pPr>
        <w:spacing w:line="360" w:lineRule="auto"/>
        <w:jc w:val="both"/>
        <w:rPr>
          <w:b/>
          <w:sz w:val="22"/>
          <w:szCs w:val="22"/>
          <w:lang w:val="en-US"/>
        </w:rPr>
      </w:pPr>
      <w:r w:rsidRPr="009352C0">
        <w:rPr>
          <w:b/>
          <w:sz w:val="22"/>
          <w:szCs w:val="22"/>
          <w:lang w:val="en-US"/>
        </w:rPr>
        <w:lastRenderedPageBreak/>
        <w:t>INTRODUCTION</w:t>
      </w:r>
    </w:p>
    <w:p w14:paraId="34A29656" w14:textId="77777777" w:rsidR="009352C0" w:rsidRPr="009352C0" w:rsidRDefault="009352C0" w:rsidP="009352C0">
      <w:pPr>
        <w:widowControl w:val="0"/>
        <w:autoSpaceDE w:val="0"/>
        <w:autoSpaceDN w:val="0"/>
        <w:spacing w:line="480" w:lineRule="auto"/>
        <w:ind w:firstLine="709"/>
        <w:jc w:val="both"/>
        <w:rPr>
          <w:sz w:val="22"/>
          <w:szCs w:val="22"/>
        </w:rPr>
      </w:pPr>
      <w:r w:rsidRPr="009352C0">
        <w:rPr>
          <w:sz w:val="22"/>
          <w:szCs w:val="22"/>
        </w:rPr>
        <w:t xml:space="preserve">Conflicts of interest and social instability in coastal shrimp farm management are popular and growing issues in several countries, illustrating the complexity of the difficulties of public officials in offering strategic solutions. Shrimp farm management has complex socio-economic and environmental impacts, land and environmental security, loss of traditional agriculture </w:t>
      </w:r>
      <w:r w:rsidRPr="009352C0">
        <w:rPr>
          <w:sz w:val="22"/>
          <w:szCs w:val="22"/>
        </w:rPr>
        <w:fldChar w:fldCharType="begin" w:fldLock="1"/>
      </w:r>
      <w:r w:rsidRPr="009352C0">
        <w:rPr>
          <w:sz w:val="22"/>
          <w:szCs w:val="22"/>
        </w:rPr>
        <w:instrText>ADDIN CSL_CITATION {"citationItems":[{"id":"ITEM-1","itemData":{"DOI":"10.1016/j.ocecoaman.2013.08.015","ISSN":"09645691","abstract":"An interview survey was conducted among some of the stakeholders in the shrimp value chain on the south-western coast of Bangladesh. The study was conducted in four subdistricts. Eight negative influences were treated as conflict generating factors. The following two hypotheses were tested: 'environmental degradation is the main cause of the conflict' and 'loss of traditional agriculture is another main cause of the conflict'. Attitudes towards seven of the eight conflict generating factors varied significantly among the four sub-districts. Differences between sub-districts and differences in land use histories were the significant contributors to the explanation of the variation in the attitudes towards the conflicts. In our study, we found a trend that attitude conflict-generating factors were more prominent where brackish water intrusion and brackish water shrimp farming were dominant. Landless people and marginal farmers were the two pioneer groups most intensively involved in these conflicts. Two of the most popular suggestions towards sustainable farming and conflict resolution were to 'maintain proper outlet and inlet systems' and to 'maintain alternate farming of shrimp and rice'. © 2013 Elsevier Ltd.","author":[{"dropping-particle":"","family":"Paul","given":"Ajit Kumar","non-dropping-particle":"","parse-names":false,"suffix":""},{"dropping-particle":"","family":"Røskaft","given":"Eivin","non-dropping-particle":"","parse-names":false,"suffix":""}],"container-title":"Ocean and Coastal Management","id":"ITEM-1","issued":{"date-parts":[["2013"]]},"page":"19-28","publisher":"Elsevier Ltd","title":"Environmental degradation and loss of traditional agriculture as two causes of conflicts in shrimp farming in the southwestern coastal Bangladesh: Present status and probable solutions","type":"article-journal","volume":"85"},"uris":["http://www.mendeley.com/documents/?uuid=87b418ef-d71f-49ba-a8b9-3549a52d68e5"]}],"mendeley":{"formattedCitation":"(Paul &amp; Røskaft, 2013)","plainTextFormattedCitation":"(Paul &amp; Røskaft, 2013)","previouslyFormattedCitation":"(Paul &amp; Røskaft, 2013)"},"properties":{"noteIndex":0},"schema":"https://github.com/citation-style-language/schema/raw/master/csl-citation.json"}</w:instrText>
      </w:r>
      <w:r w:rsidRPr="009352C0">
        <w:rPr>
          <w:sz w:val="22"/>
          <w:szCs w:val="22"/>
        </w:rPr>
        <w:fldChar w:fldCharType="separate"/>
      </w:r>
      <w:r w:rsidRPr="009352C0">
        <w:rPr>
          <w:sz w:val="22"/>
          <w:szCs w:val="22"/>
        </w:rPr>
        <w:t>(Paul &amp; Røskaft, 2013)</w:t>
      </w:r>
      <w:r w:rsidRPr="009352C0">
        <w:rPr>
          <w:sz w:val="22"/>
          <w:szCs w:val="22"/>
        </w:rPr>
        <w:fldChar w:fldCharType="end"/>
      </w:r>
      <w:r w:rsidRPr="009352C0">
        <w:rPr>
          <w:sz w:val="22"/>
          <w:szCs w:val="22"/>
        </w:rPr>
        <w:t xml:space="preserve">, food insecurity, marginalization, rural unemployment, social disorder and conflict, mangrove degradation, biodiversity loss, sanitation, saltwater intrusion, pollution and disease outbreaks are the most strategically affected </w:t>
      </w:r>
      <w:r w:rsidRPr="009352C0">
        <w:rPr>
          <w:sz w:val="22"/>
          <w:szCs w:val="22"/>
        </w:rPr>
        <w:fldChar w:fldCharType="begin" w:fldLock="1"/>
      </w:r>
      <w:r w:rsidRPr="009352C0">
        <w:rPr>
          <w:sz w:val="22"/>
          <w:szCs w:val="22"/>
        </w:rPr>
        <w:instrText>ADDIN CSL_CITATION {"citationItems":[{"id":"ITEM-1","itemData":{"DOI":"10.1007/s11157-013-9311-5","ISSN":"15691705","abstract":"The frozen food export sector, next to readymade garments sector, is the second largest export earner of Bangladesh. Shrimp, main item of frozen food, is a major contributor in the national economy of Bangladesh since mid 1980s. Although it provides millions of employment and earns more than US$ 445 million annually, it has been facing a host of challenges. Shrimp farming has been associated with a number of negative environmental and social impacts which hinder the sustainable development of this blooming sector. This paper aim to focus on how the shrimp culture in Bangladesh is affecting the adjacent environment as well as society and management approach for it's sustain ability by means of reviewing the available scientific literatures. It finds the grave socioeconomic impacts including traditional livelihood displacement, loss of land security, food insecurity, marginalization, rural unemployment, social unrest and conflicts in the wake of shrimp culture development in Bangladesh. Similarly, environmental impacts such as mangrove degradation, loss of biodiversity, sedimentation, saltwater intrusion, and pollution and disease outbreaks are found to be the main obstacles for the development of sustainable shrimp farming. Inappropriate management practices and inadequate plans regarding water quality, seed supply, irrigation facilities and fishery resources are the main reasons for these impacts of shrimp farming. The effective management measures to mitigate the adverse environmental impact of shrimp farming development have now become urgent requirement. © 2013 Springer Science+Business Media Dordrecht.","author":[{"dropping-particle":"","family":"Hossain","given":"M. S.","non-dropping-particle":"","parse-names":false,"suffix":""},{"dropping-particle":"","family":"Uddin","given":"M. J.","non-dropping-particle":"","parse-names":false,"suffix":""},{"dropping-particle":"","family":"Fakhruddin","given":"A. N.M.","non-dropping-particle":"","parse-names":false,"suffix":""}],"container-title":"Reviews in Environmental Science and Biotechnology","id":"ITEM-1","issue":"3","issued":{"date-parts":[["2013"]]},"page":"313-332","title":"Impacts of shrimp farming on the coastal environment of Bangladesh and approach for management","type":"article-journal","volume":"12"},"uris":["http://www.mendeley.com/documents/?uuid=0a695298-9ad4-4278-aea8-752cdc0b04e3"]},{"id":"ITEM-2","itemData":{"DOI":"10.1068/c15s","ISSN":"0263774X","abstract":"Shrimp are harvested in two different ways. They are fished in the sea (sometimes to the cost of turtles) or they are 'farmed' in ponds in coastal areas. Such aquaculture is increasing around the world as shrimp become a valuable item of world trade. Mangrove forests are sacrificed for commercial shrimp farming. The author considers the conflict between mangrove conservation and shrimp exports in different countries. Who has title to the mangroves, who wins and who loses in this tragedy of enclosures? Which languages of valuation are used by different actors in order to compare the increase in shrimp exports and the losses in livelihoods and in environmental services? The economic valuation of damages is only one of the possible languages of valuation which are relevant in practice. Who has the power to impose a particular language of valuation?.","author":[{"dropping-particle":"","family":"Martinez-Alier","given":"J.","non-dropping-particle":"","parse-names":false,"suffix":""}],"container-title":"Environment and Planning C: Government and Policy","id":"ITEM-2","issue":"5","issued":{"date-parts":[["2001"]]},"page":"713-728","title":"Ecological conflicts and valuation: Mangroves versus shrimps in the late 1990s","type":"article-journal","volume":"19"},"uris":["http://www.mendeley.com/documents/?uuid=fcc522c1-a01a-4be4-ba8d-e4f7f07c087e"]}],"mendeley":{"formattedCitation":"(Hossain et al., 2013; Martinez-Alier, 2001)","plainTextFormattedCitation":"(Hossain et al., 2013; Martinez-Alier, 2001)","previouslyFormattedCitation":"(Hossain et al., 2013; Martinez-Alier, 2001)"},"properties":{"noteIndex":0},"schema":"https://github.com/citation-style-language/schema/raw/master/csl-citation.json"}</w:instrText>
      </w:r>
      <w:r w:rsidRPr="009352C0">
        <w:rPr>
          <w:sz w:val="22"/>
          <w:szCs w:val="22"/>
        </w:rPr>
        <w:fldChar w:fldCharType="separate"/>
      </w:r>
      <w:r w:rsidRPr="009352C0">
        <w:rPr>
          <w:sz w:val="22"/>
          <w:szCs w:val="22"/>
        </w:rPr>
        <w:t>(Hossain et al., 2013; Martinez-Alier, 2001)</w:t>
      </w:r>
      <w:r w:rsidRPr="009352C0">
        <w:rPr>
          <w:sz w:val="22"/>
          <w:szCs w:val="22"/>
        </w:rPr>
        <w:fldChar w:fldCharType="end"/>
      </w:r>
      <w:r w:rsidRPr="009352C0">
        <w:rPr>
          <w:sz w:val="22"/>
          <w:szCs w:val="22"/>
        </w:rPr>
        <w:t xml:space="preserve">. Agricultural actors, shrimp farming actors and fisheries actors are the three actors involved in short-term and long-term interests </w:t>
      </w:r>
      <w:r w:rsidRPr="009352C0">
        <w:rPr>
          <w:sz w:val="22"/>
          <w:szCs w:val="22"/>
        </w:rPr>
        <w:fldChar w:fldCharType="begin" w:fldLock="1"/>
      </w:r>
      <w:r w:rsidRPr="009352C0">
        <w:rPr>
          <w:sz w:val="22"/>
          <w:szCs w:val="22"/>
        </w:rPr>
        <w:instrText>ADDIN CSL_CITATION {"citationItems":[{"id":"ITEM-1","itemData":{"DOI":"10.1016/j.aquaculture.2023.739643","ISSN":"00448486","abstract":"The expansion of the Norwegian aquaculture industry has generated a need for balancing aquaculture with other societal interests in the coastal zone. The interactions, conflicts and synergies of different uses of a Norwegian coastal region heavily influenced by large-scale salmonid aquaculture was analyzed and mapped by means of systematic stakeholder participatory approach and a GIS-based spatial interaction analysis tool, SEAGRID. Our study focused on spatial conflicts/synergies, whereas non-spatial interactions were taken into account in order to elucidate the spatial effects. The questionnaire analysis showed that there was a large agreement across the respondents that aquaculture and fisheries compete for access to sea areas, which is also in agreement with the SEAGRID analysis. All but one of the interviewees thought that conservation issues will become more important in the future. We found that societal interests and infrastructure obstruct or displace private enterprises and economic interests, whereas environmental protection measures do so to a lesser extent; an exception are coral reefs which seem to be well protected against both fishing operations as well as new aquaculture facilities. Nature protection was not found to affect fisheries nor aquaculture to a large extent, with the exception of the single salmon fjord, which is protected from salmonid aquaculture, but otherwise open to other activities, such as fisheries, tourist fisheries and tourism in general. The restricted military areas had a limited extent, and were not viewed as a cause of conflicts. Stakeholder consultations, like our participatory GIS approach, combined with GIS-based tools for analysis of spatial conflicts/synergies may be useful in identifying areas where aquaculture production can increase with little increase in degree of conflict with fisheries, although some interactions are not strictly spatial. Our results indicated a certain degree of mistrust of management authorities since neither fishermen nor aquaculturists perceived that their own sector was given priority by management authorities, but thought the other sector was prioritized.","author":[{"dropping-particle":"","family":"Bergh","given":"Øivind","non-dropping-particle":"","parse-names":false,"suffix":""},{"dropping-particle":"","family":"Beck","given":"Alexander Christian","non-dropping-particle":"","parse-names":false,"suffix":""},{"dropping-particle":"","family":"Tassetti","given":"Anna Nora","non-dropping-particle":"","parse-names":false,"suffix":""},{"dropping-particle":"","family":"Olsen","given":"Erik","non-dropping-particle":"","parse-names":false,"suffix":""},{"dropping-particle":"","family":"Thangstad","given":"Trude H.","non-dropping-particle":"","parse-names":false,"suffix":""},{"dropping-particle":"","family":"Gonzalez-Mirelis","given":"Genoveva","non-dropping-particle":"","parse-names":false,"suffix":""},{"dropping-particle":"","family":"Grati","given":"Fabio","non-dropping-particle":"","parse-names":false,"suffix":""},{"dropping-particle":"","family":"Bolognini","given":"Luca","non-dropping-particle":"","parse-names":false,"suffix":""},{"dropping-particle":"","family":"Søvik","given":"Guldborg","non-dropping-particle":"","parse-names":false,"suffix":""}],"container-title":"Aquaculture","id":"ITEM-1","issue":"August 2022","issued":{"date-parts":[["2023"]]},"title":"Analysis of spatial conflicts of large scale salmonid aquaculture with coastal fisheries and other interests in a Norwegian fjord environment, using the novel GIS-tool SEAGRID and stakeholder surveys","type":"article-journal","volume":"574"},"uris":["http://www.mendeley.com/documents/?uuid=938713eb-a537-4fc5-9e00-550bf7f52dbd"]}],"mendeley":{"formattedCitation":"(Bergh et al., 2023)","plainTextFormattedCitation":"(Bergh et al., 2023)","previouslyFormattedCitation":"(Bergh et al., 2023)"},"properties":{"noteIndex":0},"schema":"https://github.com/citation-style-language/schema/raw/master/csl-citation.json"}</w:instrText>
      </w:r>
      <w:r w:rsidRPr="009352C0">
        <w:rPr>
          <w:sz w:val="22"/>
          <w:szCs w:val="22"/>
        </w:rPr>
        <w:fldChar w:fldCharType="separate"/>
      </w:r>
      <w:r w:rsidRPr="009352C0">
        <w:rPr>
          <w:sz w:val="22"/>
          <w:szCs w:val="22"/>
        </w:rPr>
        <w:t>(Bergh et al., 2023)</w:t>
      </w:r>
      <w:r w:rsidRPr="009352C0">
        <w:rPr>
          <w:sz w:val="22"/>
          <w:szCs w:val="22"/>
        </w:rPr>
        <w:fldChar w:fldCharType="end"/>
      </w:r>
      <w:r w:rsidRPr="009352C0">
        <w:rPr>
          <w:sz w:val="22"/>
          <w:szCs w:val="22"/>
        </w:rPr>
        <w:t>.</w:t>
      </w:r>
    </w:p>
    <w:p w14:paraId="5C6E2713" w14:textId="77777777" w:rsidR="009352C0" w:rsidRPr="009352C0" w:rsidRDefault="009352C0" w:rsidP="009352C0">
      <w:pPr>
        <w:widowControl w:val="0"/>
        <w:autoSpaceDE w:val="0"/>
        <w:autoSpaceDN w:val="0"/>
        <w:spacing w:line="480" w:lineRule="auto"/>
        <w:ind w:firstLine="709"/>
        <w:jc w:val="both"/>
        <w:rPr>
          <w:rFonts w:eastAsia="Trebuchet MS"/>
          <w:sz w:val="22"/>
          <w:szCs w:val="22"/>
          <w:lang w:val="en-US"/>
        </w:rPr>
      </w:pPr>
      <w:r w:rsidRPr="009352C0">
        <w:rPr>
          <w:sz w:val="22"/>
          <w:szCs w:val="22"/>
        </w:rPr>
        <w:t>Problems that often arise in conceptual studies is the absence of studies on the concept of deliberative policy in the management of shrimp ponds in coastal areas. Therefore, this research is important to develop a description and basic concepts of deliberative policy strategies in preventing conflicts of interest and instability in the management of shrimp ponds in coastal areas. Research will be conducted on policy makers, communities and environmental care communities in Sumenep District. The essence of deliberative policy must be raised considering the fact that the field often shows that there are conflicts of interest involving policy makers, pond entrepreneurs and surrounding communities. Another fact is the instability in the sustainability of shrimp pond management that often experiences opposition from the surrounding community and environmental care communities in Sumenep District. The next fact is that the surrounding community is affected by pollution of shrimp pond waste because waste treatment infrastructure in the form of Waste Water Treatment Plants (WWTP) is not provided optimally. The surrounding community is also affected by the noise of the non-stop pinwheel engine as the main tool for shrimp growth so as not to die. The next fact is that the number of illegal shrimp ponds continues to grow. Records from the One-Stop Investment and Integrated Services Office (DPMPTSP) show that by 2023 there will be 700 shrimp farms that do not have operational permits.</w:t>
      </w:r>
    </w:p>
    <w:p w14:paraId="08DDE8D6" w14:textId="77777777" w:rsidR="009352C0" w:rsidRPr="009352C0" w:rsidRDefault="009352C0" w:rsidP="009352C0">
      <w:pPr>
        <w:widowControl w:val="0"/>
        <w:autoSpaceDE w:val="0"/>
        <w:autoSpaceDN w:val="0"/>
        <w:spacing w:line="480" w:lineRule="auto"/>
        <w:ind w:firstLine="709"/>
        <w:jc w:val="both"/>
        <w:rPr>
          <w:rFonts w:eastAsia="Trebuchet MS"/>
          <w:sz w:val="22"/>
          <w:szCs w:val="22"/>
          <w:lang w:val="en-US"/>
        </w:rPr>
      </w:pPr>
      <w:r w:rsidRPr="009352C0">
        <w:rPr>
          <w:sz w:val="22"/>
          <w:szCs w:val="22"/>
        </w:rPr>
        <w:t xml:space="preserve">The existence of shrimp ponds continues to increase, even the amount of production based on data from the Sumenep Fisheries Service in 2023 reached 2,463.23 tons, an increase compared to 2021 </w:t>
      </w:r>
      <w:r w:rsidRPr="009352C0">
        <w:rPr>
          <w:sz w:val="22"/>
          <w:szCs w:val="22"/>
        </w:rPr>
        <w:lastRenderedPageBreak/>
        <w:t>which only reached 976 tons. Along with that, opposition from various parties is also increasing. Communities around the pond area covering three coastal sub-districts, namely Batang Batang, Batu Putih and Slopeng sub-districts, continue to hold demonstrations urging the ponds to be controlled. Environmental communities from the Indonesian Forum for the Environment (WALHI) East Java, Barisan Ajaga Tanah Ajaga Na'poto (BATAN) and Form Masyarakat Peduli Lingkungan (FMPL) have also repeatedly urged and conducted hearings with the local government. Several members of the Regional People's Representative Council (DPRD) also urged the government to provide WWTPs and demanded the curbing of illegal shrimp ponds. The conflict of interest and public pressure continued until the end of 2023.</w:t>
      </w:r>
    </w:p>
    <w:p w14:paraId="443A008E" w14:textId="77777777" w:rsidR="009352C0" w:rsidRPr="009352C0" w:rsidRDefault="009352C0" w:rsidP="009352C0">
      <w:pPr>
        <w:widowControl w:val="0"/>
        <w:autoSpaceDE w:val="0"/>
        <w:autoSpaceDN w:val="0"/>
        <w:spacing w:line="480" w:lineRule="auto"/>
        <w:ind w:firstLine="709"/>
        <w:jc w:val="both"/>
        <w:rPr>
          <w:sz w:val="22"/>
          <w:szCs w:val="22"/>
        </w:rPr>
      </w:pPr>
      <w:r w:rsidRPr="009352C0">
        <w:rPr>
          <w:sz w:val="22"/>
          <w:szCs w:val="22"/>
        </w:rPr>
        <w:t xml:space="preserve">The results of this study will contribute to the resolution of conflict of interest issues that have an impact on the unstable management of shrimp ponds and community business development. Furthermore, this research will provide recommendations for policy design that is equitable and accommodates all the interests of the Local Government, pond entrepreneurs, and surrounding communities in the review of public policy theory and public interest. Policy is more than just government action to carry out development </w:t>
      </w:r>
      <w:r w:rsidRPr="009352C0">
        <w:rPr>
          <w:sz w:val="22"/>
          <w:szCs w:val="22"/>
        </w:rPr>
        <w:fldChar w:fldCharType="begin" w:fldLock="1"/>
      </w:r>
      <w:r w:rsidRPr="009352C0">
        <w:rPr>
          <w:sz w:val="22"/>
          <w:szCs w:val="22"/>
        </w:rPr>
        <w:instrText>ADDIN CSL_CITATION {"citationItems":[{"id":"ITEM-1","itemData":{"DOI":"10.1108/s2053-769720200000033003","author":[{"dropping-particle":"","family":"Hassall","given":"Graham","non-dropping-particle":"","parse-names":false,"suffix":""}],"id":"ITEM-1","issued":{"date-parts":[["2020"]]},"page":"99-168","title":"Governance and Public Policy: The Interaction of Systems and Lifeworlds","type":"article-journal"},"uris":["http://www.mendeley.com/documents/?uuid=fd2f4eb4-ecc4-44a9-8c0c-a829d424f38a"]}],"mendeley":{"formattedCitation":"(Hassall, 2020)","plainTextFormattedCitation":"(Hassall, 2020)","previouslyFormattedCitation":"(Hassall, 2020)"},"properties":{"noteIndex":0},"schema":"https://github.com/citation-style-language/schema/raw/master/csl-citation.json"}</w:instrText>
      </w:r>
      <w:r w:rsidRPr="009352C0">
        <w:rPr>
          <w:sz w:val="22"/>
          <w:szCs w:val="22"/>
        </w:rPr>
        <w:fldChar w:fldCharType="separate"/>
      </w:r>
      <w:r w:rsidRPr="009352C0">
        <w:rPr>
          <w:noProof/>
          <w:sz w:val="22"/>
          <w:szCs w:val="22"/>
        </w:rPr>
        <w:t>(Hassall, 2020)</w:t>
      </w:r>
      <w:r w:rsidRPr="009352C0">
        <w:rPr>
          <w:sz w:val="22"/>
          <w:szCs w:val="22"/>
        </w:rPr>
        <w:fldChar w:fldCharType="end"/>
      </w:r>
      <w:r w:rsidRPr="009352C0">
        <w:rPr>
          <w:sz w:val="22"/>
          <w:szCs w:val="22"/>
        </w:rPr>
        <w:t xml:space="preserve">. Policy is closely related to the fulfillment of public interests and realizing development justice. Equitable policies include responsive policies to public problems that have an impact on social stability. Policies are not only production-oriented (people-centered) but human development </w:t>
      </w:r>
      <w:r w:rsidRPr="009352C0">
        <w:rPr>
          <w:sz w:val="22"/>
          <w:szCs w:val="22"/>
        </w:rPr>
        <w:fldChar w:fldCharType="begin" w:fldLock="1"/>
      </w:r>
      <w:r w:rsidRPr="009352C0">
        <w:rPr>
          <w:sz w:val="22"/>
          <w:szCs w:val="22"/>
        </w:rPr>
        <w:instrText>ADDIN CSL_CITATION {"citationItems":[{"id":"ITEM-1","itemData":{"abstract":"Kajian karakter kebijakan adalah sebuah sisi kajian formulasi kebijakan yang partisipatif. Karakter kebijakan adalah penggambaran visi dan kepentingan yang diperjuangkan oleh aktor kebijakan dalam proses perumusan kebijakan. Apabila suatu kebijakan publik dimaksudkan untuk meningkatkan partisipasi, maka tentu bangun ideal dari kebijakan dimaksud adalah dicapainya perubahan kualitas partisipasi masyarakat menuju arah yang lebih baik. Sebaliknya, bila kebijakan publik tidak menempatkan posisi dan kepentingan masyarakat sebagai orientasi utama, bahkan kebijakan lebih mencerminkan visi elit politik dan pembuat kebijakan, maka kebijakan seperti itu disebut sebagai kebijakan yang bersifat “ortodoks”. Diantara kebijakan publik yang responsif dan ortodoks inilah daerah abu-abu yang menjadi tarik ulur antar aktor pemerintah dan masyarakat. Kebijakan ini secara konsepsional sering disebut sebagai kebijakan yang “paternalis”.","author":[{"dropping-particle":"","family":"Prasetyo","given":"Budi","non-dropping-particle":"","parse-names":false,"suffix":""}],"container-title":"Jurnal Politik Indonesia","id":"ITEM-1","issue":"1","issued":{"date-parts":[["2012"]]},"page":"1-10","title":"Kajian Teoretik Karakter Kebijakan Publik","type":"article-journal","volume":"1"},"uris":["http://www.mendeley.com/documents/?uuid=3e8ddc77-d99d-44d8-b765-bf832abe67b1"]}],"mendeley":{"formattedCitation":"(Prasetyo, 2012)","plainTextFormattedCitation":"(Prasetyo, 2012)","previouslyFormattedCitation":"(Prasetyo, 2012)"},"properties":{"noteIndex":0},"schema":"https://github.com/citation-style-language/schema/raw/master/csl-citation.json"}</w:instrText>
      </w:r>
      <w:r w:rsidRPr="009352C0">
        <w:rPr>
          <w:sz w:val="22"/>
          <w:szCs w:val="22"/>
        </w:rPr>
        <w:fldChar w:fldCharType="separate"/>
      </w:r>
      <w:r w:rsidRPr="009352C0">
        <w:rPr>
          <w:noProof/>
          <w:sz w:val="22"/>
          <w:szCs w:val="22"/>
        </w:rPr>
        <w:t>(Prasetyo, 2012)</w:t>
      </w:r>
      <w:r w:rsidRPr="009352C0">
        <w:rPr>
          <w:sz w:val="22"/>
          <w:szCs w:val="22"/>
        </w:rPr>
        <w:fldChar w:fldCharType="end"/>
      </w:r>
    </w:p>
    <w:p w14:paraId="003424E0" w14:textId="77777777" w:rsidR="009352C0" w:rsidRPr="009352C0" w:rsidRDefault="009352C0" w:rsidP="009352C0">
      <w:pPr>
        <w:widowControl w:val="0"/>
        <w:autoSpaceDE w:val="0"/>
        <w:autoSpaceDN w:val="0"/>
        <w:spacing w:line="480" w:lineRule="auto"/>
        <w:ind w:firstLine="709"/>
        <w:jc w:val="both"/>
        <w:rPr>
          <w:rFonts w:eastAsia="Trebuchet MS"/>
          <w:sz w:val="22"/>
          <w:szCs w:val="22"/>
          <w:lang w:val="en-US"/>
        </w:rPr>
      </w:pPr>
    </w:p>
    <w:p w14:paraId="6B775E51" w14:textId="55E1C3A8" w:rsidR="009352C0" w:rsidRPr="009352C0" w:rsidRDefault="009352C0" w:rsidP="009352C0">
      <w:pPr>
        <w:widowControl w:val="0"/>
        <w:autoSpaceDE w:val="0"/>
        <w:autoSpaceDN w:val="0"/>
        <w:spacing w:line="480" w:lineRule="auto"/>
        <w:jc w:val="both"/>
        <w:rPr>
          <w:rFonts w:eastAsia="Trebuchet MS"/>
          <w:b/>
          <w:sz w:val="22"/>
          <w:szCs w:val="22"/>
          <w:lang w:val="en-US"/>
        </w:rPr>
      </w:pPr>
      <w:r w:rsidRPr="009352C0">
        <w:rPr>
          <w:rFonts w:eastAsia="Trebuchet MS"/>
          <w:b/>
          <w:sz w:val="22"/>
          <w:szCs w:val="22"/>
          <w:lang w:val="en-US"/>
        </w:rPr>
        <w:t>THEORETICAL FRAMEWORK</w:t>
      </w:r>
    </w:p>
    <w:p w14:paraId="5D6A4B6D" w14:textId="77777777" w:rsidR="009352C0" w:rsidRPr="009352C0" w:rsidRDefault="009352C0" w:rsidP="009352C0">
      <w:pPr>
        <w:widowControl w:val="0"/>
        <w:autoSpaceDE w:val="0"/>
        <w:autoSpaceDN w:val="0"/>
        <w:spacing w:line="480" w:lineRule="auto"/>
        <w:ind w:firstLine="708"/>
        <w:jc w:val="both"/>
        <w:rPr>
          <w:rFonts w:eastAsia="Trebuchet MS"/>
          <w:sz w:val="22"/>
          <w:szCs w:val="22"/>
          <w:lang w:val="en-US"/>
        </w:rPr>
      </w:pPr>
      <w:r w:rsidRPr="009352C0">
        <w:rPr>
          <w:rFonts w:eastAsia="Book Antiqua"/>
          <w:sz w:val="22"/>
          <w:szCs w:val="22"/>
        </w:rPr>
        <w:t xml:space="preserve">Deliberative policies refer to inclusive development and equitable policies. Inclusive development is applying the principle of optimal participation, involving marginalized groups and accommodating strategic issues </w:t>
      </w:r>
      <w:r w:rsidRPr="009352C0">
        <w:rPr>
          <w:rFonts w:eastAsia="Book Antiqua"/>
          <w:sz w:val="22"/>
          <w:szCs w:val="22"/>
        </w:rPr>
        <w:fldChar w:fldCharType="begin" w:fldLock="1"/>
      </w:r>
      <w:r w:rsidRPr="009352C0">
        <w:rPr>
          <w:rFonts w:eastAsia="Book Antiqua"/>
          <w:sz w:val="22"/>
          <w:szCs w:val="22"/>
        </w:rPr>
        <w:instrText>ADDIN CSL_CITATION {"citationItems":[{"id":"ITEM-1","itemData":{"DOI":"10.21787/jbp.11.2019.137-147","ISSN":"20854323","abstract":"This article discusses how inclusive development is translated into policy and regional development planning. Inclusive development has been a buzz word since the implementation of sustainable development paradigm. Perspectives used are that of the regional government apparatus in-charge of development planning. As a strategic actor in decision making, those in charge of development planning hold an important role in determining what counts as inclusive development, who the targets are, and how such inclusivity could be realized through development programs. The research was conducted in Bandung Regency, one of the regions that have been experiencing rapid economic growth, as well as one that is facing the challenges of poverty and the decline of environmental support capacity. These indicates that there is still a gap between inclusive commitment and practice of resource’s allocation through planning and budgeting policy. To reveal the reason behind this gap, this research applies mixed method analysis from survey questionnaire and textual analysis of regional development planning documents. This initial research concludes that policy and practice of development in Bandung Regency has not go beyond a narrow understanding of development as a primarily economic process to an integral focus on the achievement of equity and the rights of citizenship. The issues of poverty and the poor are mentioned in development planning strategic documents. However, the programs create to overcome these issues are still uncomprehensive and sectoral based, aimed only to pursue macro indicators of development. Therefore, there is a need to create a comprehensive effort towards achieving an inclusive development agenda as the primary goal in Bandung Regency development. Keywords:","author":[{"dropping-particle":"","family":"Widianingsih","given":"Ida","non-dropping-particle":"","parse-names":false,"suffix":""},{"dropping-particle":"","family":"Paskarina","given":"Caroline","non-dropping-particle":"","parse-names":false,"suffix":""}],"container-title":"Jurnal Bina Praja","id":"ITEM-1","issue":"21","issued":{"date-parts":[["2019"]]},"page":"137-147","title":"Defining Inclusiveness in Development: Perspective from Local Government’s Apparatus","type":"article-journal"},"uris":["http://www.mendeley.com/documents/?uuid=50356c35-4bca-4572-9d45-b09940e2662c"]}],"mendeley":{"formattedCitation":"(Widianingsih &amp; Paskarina, 2019)","plainTextFormattedCitation":"(Widianingsih &amp; Paskarina, 2019)","previouslyFormattedCitation":"(Widianingsih &amp; Paskarina, 2019)"},"properties":{"noteIndex":0},"schema":"https://github.com/citation-style-language/schema/raw/master/csl-citation.json"}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(Widianingsih &amp; Paskarina, 2019)</w:t>
      </w:r>
      <w:r w:rsidRPr="009352C0">
        <w:rPr>
          <w:rFonts w:eastAsia="Book Antiqua"/>
          <w:sz w:val="22"/>
          <w:szCs w:val="22"/>
        </w:rPr>
        <w:fldChar w:fldCharType="end"/>
      </w:r>
      <w:r w:rsidRPr="009352C0">
        <w:rPr>
          <w:rFonts w:eastAsia="Book Antiqua"/>
          <w:sz w:val="22"/>
          <w:szCs w:val="22"/>
        </w:rPr>
        <w:t xml:space="preserve">. Inclusiveness in development includes social, ecological and relational dimensions </w:t>
      </w:r>
      <w:r w:rsidRPr="009352C0">
        <w:rPr>
          <w:rFonts w:eastAsia="Book Antiqua"/>
          <w:sz w:val="22"/>
          <w:szCs w:val="22"/>
        </w:rPr>
        <w:fldChar w:fldCharType="begin" w:fldLock="1"/>
      </w:r>
      <w:r w:rsidRPr="009352C0">
        <w:rPr>
          <w:rFonts w:eastAsia="Book Antiqua"/>
          <w:sz w:val="22"/>
          <w:szCs w:val="22"/>
        </w:rPr>
        <w:instrText>ADDIN CSL_CITATION {"citationItems":[{"id":"ITEM-1","itemData":{"DOI":"10.1016/j.envsci.2021.06.012","ISSN":"18736416","abstract":"The 2030 Sustainable Development Agenda rests on both economic growth and Inclusive Development (ID). However, since growth is entangled with socio-ecological exploitation and appropriation, it conflicts with ID where ‘inclusive’ encompasses social, ecological and relational dimensions, and fundamentally redefines ‘development’. Using Toulmin's argumentative model, we show that: (a) inclusive green growth does not promote socio-ecological inclusion and ignores relational inclusion, as economic growth cannot be optimized towards those broader aims; (b) policies for inclusion through pro-poor ‘access’ without ‘re-allocation’ of resources are self-defeating, as inequitable allocation of wealth and of a limited environmental utilization space impoverishes the poor and transfers ecological risks to them; (c) ‘re-allocation’ requires a post-growth agenda involving a downscaling of overconsumption and overaccumulation by the global Centers, and a redefinition of development by the Peripheries; and (d) such an agenda is obstructed by the unequal distribution of wealth and political power. The only way forward is when science and social movements converge to demand system change on the streets and in the courts.","author":[{"dropping-particle":"","family":"Rammelt","given":"Crelis F.","non-dropping-particle":"","parse-names":false,"suffix":""},{"dropping-particle":"","family":"Gupta","given":"Joyeeta","non-dropping-particle":"","parse-names":false,"suffix":""}],"container-title":"Environmental Science and Policy","id":"ITEM-1","issue":"June","issued":{"date-parts":[["2021"]]},"page":"144-155","publisher":"Elsevier Ltd","title":"Inclusive is not an adjective, it transforms development: A post-growth interpretation of Inclusive Development","type":"article-journal","volume":"124"},"uris":["http://www.mendeley.com/documents/?uuid=d78d8755-4990-45ae-896e-92c1c69a4b12"]}],"mendeley":{"formattedCitation":"(Rammelt &amp; Gupta, 2021)","plainTextFormattedCitation":"(Rammelt &amp; Gupta, 2021)","previouslyFormattedCitation":"(Rammelt &amp; Gupta, 2021)"},"properties":{"noteIndex":0},"schema":"https://github.com/citation-style-language/schema/raw/master/csl-citation.json"}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(Rammelt &amp; Gupta, 2021)</w:t>
      </w:r>
      <w:r w:rsidRPr="009352C0">
        <w:rPr>
          <w:rFonts w:eastAsia="Book Antiqua"/>
          <w:sz w:val="22"/>
          <w:szCs w:val="22"/>
        </w:rPr>
        <w:fldChar w:fldCharType="end"/>
      </w:r>
      <w:r w:rsidRPr="009352C0">
        <w:rPr>
          <w:rFonts w:eastAsia="Book Antiqua"/>
          <w:sz w:val="22"/>
          <w:szCs w:val="22"/>
        </w:rPr>
        <w:t xml:space="preserve">. Deliberative policy to bring together a wider spectrum of citizens, politicians and experts in achieving effective and democratic policies </w:t>
      </w:r>
      <w:r w:rsidRPr="009352C0">
        <w:rPr>
          <w:rFonts w:eastAsia="Book Antiqua"/>
          <w:sz w:val="22"/>
          <w:szCs w:val="22"/>
        </w:rPr>
        <w:fldChar w:fldCharType="begin" w:fldLock="1"/>
      </w:r>
      <w:r w:rsidRPr="009352C0">
        <w:rPr>
          <w:rFonts w:eastAsia="Book Antiqua"/>
          <w:sz w:val="22"/>
          <w:szCs w:val="22"/>
        </w:rPr>
        <w:instrText>ADDIN CSL_CITATION {"citationItems":[{"id":"ITEM-1","itemData":{"DOI":"10.1093/oxfordhb/9780198747369.013.39","ISBN":"9780198747369","abstract":"What kind of policy analysis is required now that governments increasingly encounter the limits of governing? Exploring the new contexts of politics and policy making, this book presents an original analysis of the relationship between state and society, and new possibilities for collective learning and conflict resolution. The key insight of the book is that democratic governance calls for a new deliberatively-oriented policy analysis. Traditionally policy analysis has been state-centered, based on the assumption that central government is self-evidently the locus of governing. Drawing on detailed empirical examples, the book examines the influence of developments such as increasing ethnic and cultural diversity, the complexity of socio-technical systems, and the impact of transnational arrangements on national policy making. This contextual approach indicates the need to rethink the relationship between social theory, policy analysis, and politics. The book is essential reading for all those involved in the study of public policy.","author":[{"dropping-particle":"","family":"Fischer","given":"Frank","non-dropping-particle":"","parse-names":false,"suffix":""},{"dropping-particle":"","family":"Boossabong","given":"Piyapong","non-dropping-particle":"","parse-names":false,"suffix":""}],"container-title":"The Oxford Handbook of Deliberative Democracy","id":"ITEM-1","issue":"October","issued":{"date-parts":[["2018"]]},"page":"583-594","title":"Deliberative Policy Analysis","type":"article-journal"},"uris":["http://www.mendeley.com/documents/?uuid=b1b0a1a3-43d0-42cb-8e59-673884f7e17f"]}],"mendeley":{"formattedCitation":"(Fischer &amp; Boossabong, 2018)","plainTextFormattedCitation":"(Fischer &amp; Boossabong, 2018)","previouslyFormattedCitation":"(Fischer &amp; Boossabong, 2018)"},"properties":{"noteIndex":0},"schema":"https://github.com/citation-style-language/schema/raw/master/csl-citation.json"}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(Fischer &amp; Boossabong, 2018)</w:t>
      </w:r>
      <w:r w:rsidRPr="009352C0">
        <w:rPr>
          <w:rFonts w:eastAsia="Book Antiqua"/>
          <w:sz w:val="22"/>
          <w:szCs w:val="22"/>
        </w:rPr>
        <w:fldChar w:fldCharType="end"/>
      </w:r>
      <w:r w:rsidRPr="009352C0">
        <w:rPr>
          <w:rFonts w:eastAsia="Book Antiqua"/>
          <w:sz w:val="22"/>
          <w:szCs w:val="22"/>
        </w:rPr>
        <w:t xml:space="preserve">. Deliberative policies to bridge the gap of interests and provide opportunities to find innovative policies. In deliberative policy there is a design to increase capacity and reflexivity, communication, and public engagement among different actors and represent </w:t>
      </w:r>
      <w:r w:rsidRPr="009352C0">
        <w:rPr>
          <w:rFonts w:eastAsia="Book Antiqua"/>
          <w:sz w:val="22"/>
          <w:szCs w:val="22"/>
        </w:rPr>
        <w:lastRenderedPageBreak/>
        <w:t xml:space="preserve">minority groups </w:t>
      </w:r>
      <w:r w:rsidRPr="009352C0">
        <w:rPr>
          <w:rFonts w:eastAsia="Book Antiqua"/>
          <w:sz w:val="22"/>
          <w:szCs w:val="22"/>
        </w:rPr>
        <w:fldChar w:fldCharType="begin" w:fldLock="1"/>
      </w:r>
      <w:r w:rsidRPr="009352C0">
        <w:rPr>
          <w:rFonts w:eastAsia="Book Antiqua"/>
          <w:sz w:val="22"/>
          <w:szCs w:val="22"/>
        </w:rPr>
        <w:instrText>ADDIN CSL_CITATION {"citationItems":[{"id":"ITEM-1","itemData":{"DOI":"10.1007/s10584-020-02913-0","ISSN":"15731480","abstract":"Part of the reference section on the article was included as Supplementary Material with the article online. The full reference section for the article is included here.","author":[{"dropping-particle":"","family":"Romsdahl","given":"Rebecca","non-dropping-particle":"","parse-names":false,"suffix":""}],"container-title":"Climatic Change","id":"ITEM-1","issue":"2","issued":{"date-parts":[["2020"]]},"page":"1109-1118","publisher":"Climatic Change","title":"Correction to: Deliberative framing: opening up discussions for local-level public engagement on climate change (Climatic Change, (2020), 162, (145–163), 10.1007/s10584-020-02754-x.)","type":"article-journal","volume":"163"},"uris":["http://www.mendeley.com/documents/?uuid=a6dd71f7-e0c7-4460-a26a-67e68b1c6d5e"]}],"mendeley":{"formattedCitation":"(Romsdahl, 2020)","plainTextFormattedCitation":"(Romsdahl, 2020)","previouslyFormattedCitation":"(Romsdahl, 2020)"},"properties":{"noteIndex":0},"schema":"https://github.com/citation-style-language/schema/raw/master/csl-citation.json"}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(Romsdahl, 2020)</w:t>
      </w:r>
      <w:r w:rsidRPr="009352C0">
        <w:rPr>
          <w:rFonts w:eastAsia="Book Antiqua"/>
          <w:sz w:val="22"/>
          <w:szCs w:val="22"/>
        </w:rPr>
        <w:fldChar w:fldCharType="end"/>
      </w:r>
      <w:r w:rsidRPr="009352C0">
        <w:rPr>
          <w:rFonts w:eastAsia="Book Antiqua"/>
          <w:sz w:val="22"/>
          <w:szCs w:val="22"/>
        </w:rPr>
        <w:t xml:space="preserve">. The expected orientation of deliberative policy is to overcome the complexity of interests, uncertainty, differences in values and understanding that characterize contemporary policy areas </w:t>
      </w:r>
      <w:r w:rsidRPr="009352C0">
        <w:rPr>
          <w:rFonts w:eastAsia="Book Antiqua"/>
          <w:sz w:val="22"/>
          <w:szCs w:val="22"/>
        </w:rPr>
        <w:fldChar w:fldCharType="begin" w:fldLock="1"/>
      </w:r>
      <w:r w:rsidRPr="009352C0">
        <w:rPr>
          <w:rFonts w:eastAsia="Book Antiqua"/>
          <w:sz w:val="22"/>
          <w:szCs w:val="22"/>
        </w:rPr>
        <w:instrText>ADDIN CSL_CITATION {"citationItems":[{"id":"ITEM-1","itemData":{"author":[{"dropping-particle":"","family":"Wagenaar","given":"Hendrik","non-dropping-particle":"","parse-names":false,"suffix":""}],"chapter-number":"Part IV","container-title":"Research Methods in Deliberative Democracy","id":"ITEM-1","issued":{"date-parts":[["2022"]]},"page":"423-437","publisher":"Oxford University Press","title":"Deliberation Policy Analysis","type":"chapter"},"uris":["http://www.mendeley.com/documents/?uuid=1e5b51e5-5a51-440e-879a-6003ea38f464"]}],"mendeley":{"formattedCitation":"(Wagenaar, 2022)","plainTextFormattedCitation":"(Wagenaar, 2022)","previouslyFormattedCitation":"(Wagenaar, 2022)"},"properties":{"noteIndex":0},"schema":"https://github.com/citation-style-language/schema/raw/master/csl-citation.json"}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(Wagenaar, 2022)</w:t>
      </w:r>
      <w:r w:rsidRPr="009352C0">
        <w:rPr>
          <w:rFonts w:eastAsia="Book Antiqua"/>
          <w:sz w:val="22"/>
          <w:szCs w:val="22"/>
        </w:rPr>
        <w:fldChar w:fldCharType="end"/>
      </w:r>
      <w:r w:rsidRPr="009352C0">
        <w:rPr>
          <w:rFonts w:eastAsia="Book Antiqua"/>
          <w:sz w:val="22"/>
          <w:szCs w:val="22"/>
        </w:rPr>
        <w:t>.</w:t>
      </w:r>
    </w:p>
    <w:p w14:paraId="51DC8284" w14:textId="77777777" w:rsidR="009352C0" w:rsidRPr="009352C0" w:rsidRDefault="009352C0" w:rsidP="009352C0">
      <w:pPr>
        <w:widowControl w:val="0"/>
        <w:autoSpaceDE w:val="0"/>
        <w:autoSpaceDN w:val="0"/>
        <w:spacing w:line="480" w:lineRule="auto"/>
        <w:ind w:firstLine="708"/>
        <w:jc w:val="both"/>
        <w:rPr>
          <w:rFonts w:eastAsia="Trebuchet MS"/>
          <w:sz w:val="22"/>
          <w:szCs w:val="22"/>
          <w:lang w:val="en-US"/>
        </w:rPr>
      </w:pPr>
      <w:r w:rsidRPr="009352C0">
        <w:rPr>
          <w:rFonts w:eastAsia="Book Antiqua"/>
          <w:sz w:val="22"/>
          <w:szCs w:val="22"/>
        </w:rPr>
        <w:t xml:space="preserve">Deliberative policy as a public policy concept that produces policies that are more innovative, responsive </w:t>
      </w:r>
      <w:r w:rsidRPr="009352C0">
        <w:rPr>
          <w:rFonts w:eastAsia="Book Antiqua"/>
          <w:sz w:val="22"/>
          <w:szCs w:val="22"/>
        </w:rPr>
        <w:fldChar w:fldCharType="begin" w:fldLock="1"/>
      </w:r>
      <w:r w:rsidRPr="009352C0">
        <w:rPr>
          <w:rFonts w:eastAsia="Book Antiqua"/>
          <w:sz w:val="22"/>
          <w:szCs w:val="22"/>
        </w:rPr>
        <w:instrText>ADDIN CSL_CITATION {"citationItems":[{"id":"ITEM-1","itemData":{"abstract":"Kajian karakter kebijakan adalah sebuah sisi kajian formulasi kebijakan yang partisipatif. Karakter kebijakan adalah penggambaran visi dan kepentingan yang diperjuangkan oleh aktor kebijakan dalam proses perumusan kebijakan. Apabila suatu kebijakan publik dimaksudkan untuk meningkatkan partisipasi, maka tentu bangun ideal dari kebijakan dimaksud adalah dicapainya perubahan kualitas partisipasi masyarakat menuju arah yang lebih baik. Sebaliknya, bila kebijakan publik tidak menempatkan posisi dan kepentingan masyarakat sebagai orientasi utama, bahkan kebijakan lebih mencerminkan visi elit politik dan pembuat kebijakan, maka kebijakan seperti itu disebut sebagai kebijakan yang bersifat “ortodoks”. Diantara kebijakan publik yang responsif dan ortodoks inilah daerah abu-abu yang menjadi tarik ulur antar aktor pemerintah dan masyarakat. Kebijakan ini secara konsepsional sering disebut sebagai kebijakan yang “paternalis”.","author":[{"dropping-particle":"","family":"Prasetyo","given":"Budi","non-dropping-particle":"","parse-names":false,"suffix":""}],"container-title":"Jurnal Politik Indonesia","id":"ITEM-1","issue":"1","issued":{"date-parts":[["2012"]]},"page":"1-10","title":"Kajian Teoretik Karakter Kebijakan Publik","type":"article-journal","volume":"1"},"uris":["http://www.mendeley.com/documents/?uuid=3e8ddc77-d99d-44d8-b765-bf832abe67b1"]},{"id":"ITEM-2","itemData":{"DOI":"10.1017/S0143814X21000088","ISSN":"14697815","abstract":"Normative theories of democracy agree that public demand should be the main guide in policymaking. But positive theories and related empirical research disagree about the extent to which this holds true in reality. We address this debate with an empirical focus on climate change policy. Specifically, we are interested in whether observable variation in public demand for climate change mitigation can help explain variation in adopted national climate policies. Using our own data to approximate public demand, we estimate the responsiveness of policymakers to changes in public demand in six OECD countries from 1995 to 2010. We find that policymakers are responsive and react in predicted ways to variation in our opinion component of measured public demand, rather than to the mere salience of the climate issue. The effect of issue salience is strongest in combination with our opinion measure as this creates a scope for action. The results underscore the importance and usefulness of our concept and empirical measures for public demand, as well as of our disaggregated analysis of climate policy outputs in this area.","author":[{"dropping-particle":"","family":"Schaffer","given":"Lena Maria","non-dropping-particle":"","parse-names":false,"suffix":""},{"dropping-particle":"","family":"Oehl","given":"Bianca","non-dropping-particle":"","parse-names":false,"suffix":""},{"dropping-particle":"","family":"Bernauer","given":"Thomas","non-dropping-particle":"","parse-names":false,"suffix":""}],"container-title":"Journal of Public Policy","id":"ITEM-2","issue":"1","issued":{"date-parts":[["2022"]]},"page":"136-164","title":"Are policymakers responsive to public demand in climate politics?","type":"article-journal","volume":"42"},"uris":["http://www.mendeley.com/documents/?uuid=5e725699-45fc-40d0-bf27-7bff26ace3bb"]}],"mendeley":{"formattedCitation":"(Prasetyo, 2012; Schaffer et al., 2022)","plainTextFormattedCitation":"(Prasetyo, 2012; Schaffer et al., 2022)","previouslyFormattedCitation":"(Prasetyo, 2012; Schaffer et al., 2022)"},"properties":{"noteIndex":0},"schema":"https://github.com/citation-style-language/schema/raw/master/csl-citation.json"}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(Prasetyo, 2012; Schaffer et al., 2022)</w:t>
      </w:r>
      <w:r w:rsidRPr="009352C0">
        <w:rPr>
          <w:rFonts w:eastAsia="Book Antiqua"/>
          <w:sz w:val="22"/>
          <w:szCs w:val="22"/>
        </w:rPr>
        <w:fldChar w:fldCharType="end"/>
      </w:r>
      <w:r w:rsidRPr="009352C0">
        <w:rPr>
          <w:rFonts w:eastAsia="Book Antiqua"/>
          <w:sz w:val="22"/>
          <w:szCs w:val="22"/>
        </w:rPr>
        <w:t xml:space="preserve">, participatory </w:t>
      </w:r>
      <w:r w:rsidRPr="009352C0">
        <w:rPr>
          <w:rFonts w:eastAsia="Book Antiqua"/>
          <w:sz w:val="22"/>
          <w:szCs w:val="22"/>
        </w:rPr>
        <w:fldChar w:fldCharType="begin" w:fldLock="1"/>
      </w:r>
      <w:r w:rsidRPr="009352C0">
        <w:rPr>
          <w:rFonts w:eastAsia="Book Antiqua"/>
          <w:sz w:val="22"/>
          <w:szCs w:val="22"/>
        </w:rPr>
        <w:instrText>ADDIN CSL_CITATION {"citationItems":[{"id":"ITEM-1","itemData":{"DOI":"10.1007/s10584-020-02913-0","ISSN":"15731480","abstract":"Part of the reference section on the article was included as Supplementary Material with the article online. The full reference section for the article is included here.","author":[{"dropping-particle":"","family":"Romsdahl","given":"Rebecca","non-dropping-particle":"","parse-names":false,"suffix":""}],"container-title":"Climatic Change","id":"ITEM-1","issue":"2","issued":{"date-parts":[["2020"]]},"page":"1109-1118","publisher":"Climatic Change","title":"Correction to: Deliberative framing: opening up discussions for local-level public engagement on climate change (Climatic Change, (2020), 162, (145–163), 10.1007/s10584-020-02754-x.)","type":"article-journal","volume":"163"},"uris":["http://www.mendeley.com/documents/?uuid=a6dd71f7-e0c7-4460-a26a-67e68b1c6d5e"]}],"mendeley":{"formattedCitation":"(Romsdahl, 2020)","plainTextFormattedCitation":"(Romsdahl, 2020)","previouslyFormattedCitation":"(Romsdahl, 2020)"},"properties":{"noteIndex":0},"schema":"https://github.com/citation-style-language/schema/raw/master/csl-citation.json"}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(Romsdahl, 2020)</w:t>
      </w:r>
      <w:r w:rsidRPr="009352C0">
        <w:rPr>
          <w:rFonts w:eastAsia="Book Antiqua"/>
          <w:sz w:val="22"/>
          <w:szCs w:val="22"/>
        </w:rPr>
        <w:fldChar w:fldCharType="end"/>
      </w:r>
      <w:r w:rsidRPr="009352C0">
        <w:rPr>
          <w:rFonts w:eastAsia="Book Antiqua"/>
          <w:sz w:val="22"/>
          <w:szCs w:val="22"/>
        </w:rPr>
        <w:t xml:space="preserve"> and oriented towards the public interest </w:t>
      </w:r>
      <w:r w:rsidRPr="009352C0">
        <w:rPr>
          <w:rFonts w:eastAsia="Book Antiqua"/>
          <w:sz w:val="22"/>
          <w:szCs w:val="22"/>
        </w:rPr>
        <w:fldChar w:fldCharType="begin" w:fldLock="1"/>
      </w:r>
      <w:r w:rsidRPr="009352C0">
        <w:rPr>
          <w:rFonts w:eastAsia="Book Antiqua"/>
          <w:sz w:val="22"/>
          <w:szCs w:val="22"/>
        </w:rPr>
        <w:instrText>ADDIN CSL_CITATION {"citationItems":[{"id":"ITEM-1","itemData":{"DOI":"10.1093/cjres/rsaa002","ISSN":"17521386","abstract":"This article attempts to get to the heart of some of the general misunderstanding of artificial intelligence (AI), its existent dangers and its problematic autocratic governance centred on US and Chinese tech dominance of the area. Having considered the extent of each in turn it proposes a regulatory model to place public rather than private interest at the heart of both technical and governance centred AI regulation.","author":[{"dropping-particle":"","family":"Dignam","given":"Alan","non-dropping-particle":"","parse-names":false,"suffix":""}],"container-title":"Cambridge Journal of Regions, Economy and Society","id":"ITEM-1","issue":"1","issued":{"date-parts":[["2020"]]},"page":"37-54","title":"Artificial intelligence, tech corporate governance and the public interest regulatory response","type":"article-journal","volume":"13"},"uris":["http://www.mendeley.com/documents/?uuid=d7aa3e07-b4a7-4ead-9b40-22c3b3b84643"]}],"mendeley":{"formattedCitation":"(Dignam, 2020)","plainTextFormattedCitation":"(Dignam, 2020)","previouslyFormattedCitation":"(Dignam, 2020)"},"properties":{"noteIndex":0},"schema":"https://github.com/citation-style-language/schema/raw/master/csl-citation.json"}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(Dignam, 2020)</w:t>
      </w:r>
      <w:r w:rsidRPr="009352C0">
        <w:rPr>
          <w:rFonts w:eastAsia="Book Antiqua"/>
          <w:sz w:val="22"/>
          <w:szCs w:val="22"/>
        </w:rPr>
        <w:fldChar w:fldCharType="end"/>
      </w:r>
      <w:r w:rsidRPr="009352C0">
        <w:rPr>
          <w:rFonts w:eastAsia="Book Antiqua"/>
          <w:sz w:val="22"/>
          <w:szCs w:val="22"/>
        </w:rPr>
        <w:t xml:space="preserve">. Public interests must be prioritized over private interests to build social stability </w:t>
      </w:r>
      <w:r w:rsidRPr="009352C0">
        <w:rPr>
          <w:rFonts w:eastAsia="Book Antiqua"/>
          <w:sz w:val="22"/>
          <w:szCs w:val="22"/>
        </w:rPr>
        <w:fldChar w:fldCharType="begin" w:fldLock="1"/>
      </w:r>
      <w:r w:rsidRPr="009352C0">
        <w:rPr>
          <w:rFonts w:eastAsia="Book Antiqua"/>
          <w:sz w:val="22"/>
          <w:szCs w:val="22"/>
        </w:rPr>
        <w:instrText>ADDIN CSL_CITATION {"citationItems":[{"id":"ITEM-1","itemData":{"DOI":"10.1093/cjres/rsaa002","ISSN":"17521386","abstract":"This article attempts to get to the heart of some of the general misunderstanding of artificial intelligence (AI), its existent dangers and its problematic autocratic governance centred on US and Chinese tech dominance of the area. Having considered the extent of each in turn it proposes a regulatory model to place public rather than private interest at the heart of both technical and governance centred AI regulation.","author":[{"dropping-particle":"","family":"Dignam","given":"Alan","non-dropping-particle":"","parse-names":false,"suffix":""}],"container-title":"Cambridge Journal of Regions, Economy and Society","id":"ITEM-1","issue":"1","issued":{"date-parts":[["2020"]]},"page":"37-54","title":"Artificial intelligence, tech corporate governance and the public interest regulatory response","type":"article-journal","volume":"13"},"uris":["http://www.mendeley.com/documents/?uuid=d7aa3e07-b4a7-4ead-9b40-22c3b3b84643"]}],"mendeley":{"formattedCitation":"(Dignam, 2020)","plainTextFormattedCitation":"(Dignam, 2020)","previouslyFormattedCitation":"(Dignam, 2020)"},"properties":{"noteIndex":0},"schema":"https://github.com/citation-style-language/schema/raw/master/csl-citation.json"}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(Dignam, 2020)</w:t>
      </w:r>
      <w:r w:rsidRPr="009352C0">
        <w:rPr>
          <w:rFonts w:eastAsia="Book Antiqua"/>
          <w:sz w:val="22"/>
          <w:szCs w:val="22"/>
        </w:rPr>
        <w:fldChar w:fldCharType="end"/>
      </w:r>
      <w:r w:rsidRPr="009352C0">
        <w:rPr>
          <w:rFonts w:eastAsia="Book Antiqua"/>
          <w:sz w:val="22"/>
          <w:szCs w:val="22"/>
        </w:rPr>
        <w:t xml:space="preserve">, as part of ensuring the implementation of democracy and providing a sense of security for the public </w:t>
      </w:r>
      <w:r w:rsidRPr="009352C0">
        <w:rPr>
          <w:rFonts w:eastAsia="Book Antiqua"/>
          <w:sz w:val="22"/>
          <w:szCs w:val="22"/>
        </w:rPr>
        <w:fldChar w:fldCharType="begin" w:fldLock="1"/>
      </w:r>
      <w:r w:rsidRPr="009352C0">
        <w:rPr>
          <w:rFonts w:eastAsia="Book Antiqua"/>
          <w:sz w:val="22"/>
          <w:szCs w:val="22"/>
        </w:rPr>
        <w:instrText>ADDIN CSL_CITATION {"citationItems":[{"id":"ITEM-1","itemData":{"DOI":"10.14456/ITJEMAST.2021.141","ISSN":"1906-9642","abstract":"This paper compared themes in cartoon news published in three major East Asian newspapers, intending to determine the major political themes in the region. The cartoon texts were excerpted from the newspapers of Mainland China, Hong Kong, and Taiwan. Seven hundred and eight cartoons were nominated for analysis by using a purposive sampling technique. A functional grammar-based content analysis method involving semiotic analysis procedures was adopted to classify the themes contained in the cartoon representations. The main public-interest themes were found to be: democratic governance, economy, corruption, foreign policy, living standard, and security. Results indicated that the majority of Mainland China cartoons (21.9%) focused on foreign policy issues. For Hong Kong (25.5%) and Taiwan (31%), the focus issues are primarily related to democratic governance. This paper contributes to studies, specifically to provide some guidance in formulating public policy and with a testing method to investigate public-interest agenda-setting through newspaper cartoons.","author":[{"dropping-particle":"","family":"Abbas","given":"H","non-dropping-particle":"","parse-names":false,"suffix":""},{"dropping-particle":"","family":"Hussain","given":"T","non-dropping-particle":"","parse-names":false,"suffix":""},{"dropping-particle":"","family":"Shahnawaz","given":"M","non-dropping-particle":"","parse-names":false,"suffix":""},{"dropping-particle":"","family":"Ali","given":"S","non-dropping-particle":"","parse-names":false,"suffix":""}],"container-title":"International Transaction Journal of Engineering","id":"ITEM-1","issue":"7","issued":{"date-parts":[["2021"]]},"page":"1-12","title":"Developing Public Policy and Public Interest Agenda via Newspaper Cartoons: A Case of China","type":"article-journal","volume":"12"},"uris":["http://www.mendeley.com/documents/?uuid=ebeeb263-ae02-4a14-b73d-806caebe4e58"]}],"mendeley":{"formattedCitation":"(Abbas et al., 2021)","plainTextFormattedCitation":"(Abbas et al., 2021)","previouslyFormattedCitation":"(Abbas et al., 2021)"},"properties":{"noteIndex":0},"schema":"https://github.com/citation-style-language/schema/raw/master/csl-citation.json"}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(Abbas et al., 2021)</w:t>
      </w:r>
      <w:r w:rsidRPr="009352C0">
        <w:rPr>
          <w:rFonts w:eastAsia="Book Antiqua"/>
          <w:sz w:val="22"/>
          <w:szCs w:val="22"/>
        </w:rPr>
        <w:fldChar w:fldCharType="end"/>
      </w:r>
      <w:r w:rsidRPr="009352C0">
        <w:rPr>
          <w:rFonts w:eastAsia="Book Antiqua"/>
          <w:sz w:val="22"/>
          <w:szCs w:val="22"/>
        </w:rPr>
        <w:t xml:space="preserve">. In this policy there is inclusive development </w:t>
      </w:r>
      <w:r w:rsidRPr="009352C0">
        <w:rPr>
          <w:rFonts w:eastAsia="Book Antiqua"/>
          <w:sz w:val="22"/>
          <w:szCs w:val="22"/>
        </w:rPr>
        <w:fldChar w:fldCharType="begin" w:fldLock="1"/>
      </w:r>
      <w:r w:rsidRPr="009352C0">
        <w:rPr>
          <w:rFonts w:eastAsia="Book Antiqua"/>
          <w:sz w:val="22"/>
          <w:szCs w:val="22"/>
        </w:rPr>
        <w:instrText>ADDIN CSL_CITATION {"citationItems":[{"id":"ITEM-1","itemData":{"DOI":"10.21787/jbp.11.2019.137-147","ISSN":"20854323","abstract":"This article discusses how inclusive development is translated into policy and regional development planning. Inclusive development has been a buzz word since the implementation of sustainable development paradigm. Perspectives used are that of the regional government apparatus in-charge of development planning. As a strategic actor in decision making, those in charge of development planning hold an important role in determining what counts as inclusive development, who the targets are, and how such inclusivity could be realized through development programs. The research was conducted in Bandung Regency, one of the regions that have been experiencing rapid economic growth, as well as one that is facing the challenges of poverty and the decline of environmental support capacity. These indicates that there is still a gap between inclusive commitment and practice of resource’s allocation through planning and budgeting policy. To reveal the reason behind this gap, this research applies mixed method analysis from survey questionnaire and textual analysis of regional development planning documents. This initial research concludes that policy and practice of development in Bandung Regency has not go beyond a narrow understanding of development as a primarily economic process to an integral focus on the achievement of equity and the rights of citizenship. The issues of poverty and the poor are mentioned in development planning strategic documents. However, the programs create to overcome these issues are still uncomprehensive and sectoral based, aimed only to pursue macro indicators of development. Therefore, there is a need to create a comprehensive effort towards achieving an inclusive development agenda as the primary goal in Bandung Regency development. Keywords:","author":[{"dropping-particle":"","family":"Widianingsih","given":"Ida","non-dropping-particle":"","parse-names":false,"suffix":""},{"dropping-particle":"","family":"Paskarina","given":"Caroline","non-dropping-particle":"","parse-names":false,"suffix":""}],"container-title":"Jurnal Bina Praja","id":"ITEM-1","issue":"21","issued":{"date-parts":[["2019"]]},"page":"137-147","title":"Defining Inclusiveness in Development: Perspective from Local Government’s Apparatus","type":"article-journal"},"uris":["http://www.mendeley.com/documents/?uuid=50356c35-4bca-4572-9d45-b09940e2662c"]}],"mendeley":{"formattedCitation":"(Widianingsih &amp; Paskarina, 2019)","plainTextFormattedCitation":"(Widianingsih &amp; Paskarina, 2019)","previouslyFormattedCitation":"(Widianingsih &amp; Paskarina, 2019)"},"properties":{"noteIndex":0},"schema":"https://github.com/citation-style-language/schema/raw/master/csl-citation.json"}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(Widianingsih &amp; Paskarina, 2019)</w:t>
      </w:r>
      <w:r w:rsidRPr="009352C0">
        <w:rPr>
          <w:rFonts w:eastAsia="Book Antiqua"/>
          <w:sz w:val="22"/>
          <w:szCs w:val="22"/>
        </w:rPr>
        <w:fldChar w:fldCharType="end"/>
      </w:r>
      <w:r w:rsidRPr="009352C0">
        <w:rPr>
          <w:rFonts w:eastAsia="Book Antiqua"/>
          <w:sz w:val="22"/>
          <w:szCs w:val="22"/>
        </w:rPr>
        <w:t xml:space="preserve"> and a delibaritive system </w:t>
      </w:r>
      <w:r w:rsidRPr="009352C0">
        <w:rPr>
          <w:rFonts w:eastAsia="Book Antiqua"/>
          <w:sz w:val="22"/>
          <w:szCs w:val="22"/>
        </w:rPr>
        <w:fldChar w:fldCharType="begin" w:fldLock="1"/>
      </w:r>
      <w:r w:rsidRPr="009352C0">
        <w:rPr>
          <w:rFonts w:eastAsia="Book Antiqua"/>
          <w:sz w:val="22"/>
          <w:szCs w:val="22"/>
        </w:rPr>
        <w:instrText>ADDIN CSL_CITATION {"citationItems":[{"id":"ITEM-1","itemData":{"DOI":"10.1080/01442872.2020.1774147","ISSN":"14701006","abstract":"This mini-symposium revisits the three pillars of Deliberative Policy Analysis (DPA): deliberation, interpretation and practice. DPA was originally intended as a moral-analytical programme that integrated these pillars, but policy analysts working in this tradition seem to have mainly been guided by one specific pillar, interpretation We believe this has not only confounded the nature and potential of DPA but has also limited the knowledge and impact of policy studies. The goal of this mini-symposium is to facilitate a dialogue between representatives of the three pillars and the authors of DPA on how interpretation, practice, and deliberation could be integrated. It originates from a roundtable discussion organized at the ECPR General Conference 2018 in Hamburg. Each representative discusses the nature and development of their pillar and reflects on its value for DPA, followed by an author reflection on the past and future course of DPA. First, Selen Ercan explores the deliberative pillar. Second, Anna Durnová delves into the interpretive pillar. Third, Anne Loeber examines the practice pillar. Finally, Hendrik Wagenaar offers his author reflections. Taken together, this mini-symposium frames the focus and aims of this special issue and sets a course for the future development of DPA.","author":[{"dropping-particle":"","family":"Ercan","given":"Selen A.","non-dropping-particle":"","parse-names":false,"suffix":""},{"dropping-particle":"","family":"Durnová","given":"Anna","non-dropping-particle":"","parse-names":false,"suffix":""},{"dropping-particle":"","family":"Loeber","given":"Anne","non-dropping-particle":"","parse-names":false,"suffix":""},{"dropping-particle":"","family":"Wagenaar","given":"Hendrik","non-dropping-particle":"","parse-names":false,"suffix":""}],"container-title":"Policy Studies","id":"ITEM-1","issue":"4","issued":{"date-parts":[["2020"]]},"page":"307-330","publisher":"Taylor &amp; Francis","title":"Symposium: revisiting the three pillars of Deliberative Policy Analysis","type":"article-journal","volume":"41"},"uris":["http://www.mendeley.com/documents/?uuid=508e813e-28e7-4aa3-9874-860897cec9c6"]}],"mendeley":{"formattedCitation":"(Ercan et al., 2020)","plainTextFormattedCitation":"(Ercan et al., 2020)","previouslyFormattedCitation":"(Ercan et al., 2020)"},"properties":{"noteIndex":0},"schema":"https://github.com/citation-style-language/schema/raw/master/csl-citation.json"}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(Ercan et al., 2020)</w:t>
      </w:r>
      <w:r w:rsidRPr="009352C0">
        <w:rPr>
          <w:rFonts w:eastAsia="Book Antiqua"/>
          <w:sz w:val="22"/>
          <w:szCs w:val="22"/>
        </w:rPr>
        <w:fldChar w:fldCharType="end"/>
      </w:r>
      <w:r w:rsidRPr="009352C0">
        <w:rPr>
          <w:rFonts w:eastAsia="Book Antiqua"/>
          <w:sz w:val="22"/>
          <w:szCs w:val="22"/>
        </w:rPr>
        <w:t>.</w:t>
      </w:r>
    </w:p>
    <w:p w14:paraId="1387EDB4" w14:textId="77777777" w:rsidR="009352C0" w:rsidRPr="009352C0" w:rsidRDefault="009352C0" w:rsidP="009352C0">
      <w:pPr>
        <w:widowControl w:val="0"/>
        <w:autoSpaceDE w:val="0"/>
        <w:autoSpaceDN w:val="0"/>
        <w:spacing w:line="480" w:lineRule="auto"/>
        <w:ind w:firstLine="708"/>
        <w:jc w:val="both"/>
        <w:rPr>
          <w:rFonts w:eastAsia="Trebuchet MS"/>
          <w:sz w:val="22"/>
          <w:szCs w:val="22"/>
          <w:lang w:val="en-US"/>
        </w:rPr>
      </w:pPr>
      <w:r w:rsidRPr="009352C0">
        <w:rPr>
          <w:rFonts w:eastAsia="Book Antiqua"/>
          <w:sz w:val="22"/>
          <w:szCs w:val="22"/>
        </w:rPr>
        <w:t xml:space="preserve">The principle of deliberative policy is the involvement of all interest groups in accommodating strategic issues </w:t>
      </w:r>
      <w:r w:rsidRPr="009352C0">
        <w:rPr>
          <w:rFonts w:eastAsia="Book Antiqua"/>
          <w:sz w:val="22"/>
          <w:szCs w:val="22"/>
        </w:rPr>
        <w:fldChar w:fldCharType="begin" w:fldLock="1"/>
      </w:r>
      <w:r w:rsidRPr="009352C0">
        <w:rPr>
          <w:rFonts w:eastAsia="Book Antiqua"/>
          <w:sz w:val="22"/>
          <w:szCs w:val="22"/>
        </w:rPr>
        <w:instrText>ADDIN CSL_CITATION {"citationItems":[{"id":"ITEM-1","itemData":{"DOI":"10.21787/jbp.11.2019.137-147","ISSN":"20854323","abstract":"This article discusses how inclusive development is translated into policy and regional development planning. Inclusive development has been a buzz word since the implementation of sustainable development paradigm. Perspectives used are that of the regional government apparatus in-charge of development planning. As a strategic actor in decision making, those in charge of development planning hold an important role in determining what counts as inclusive development, who the targets are, and how such inclusivity could be realized through development programs. The research was conducted in Bandung Regency, one of the regions that have been experiencing rapid economic growth, as well as one that is facing the challenges of poverty and the decline of environmental support capacity. These indicates that there is still a gap between inclusive commitment and practice of resource’s allocation through planning and budgeting policy. To reveal the reason behind this gap, this research applies mixed method analysis from survey questionnaire and textual analysis of regional development planning documents. This initial research concludes that policy and practice of development in Bandung Regency has not go beyond a narrow understanding of development as a primarily economic process to an integral focus on the achievement of equity and the rights of citizenship. The issues of poverty and the poor are mentioned in development planning strategic documents. However, the programs create to overcome these issues are still uncomprehensive and sectoral based, aimed only to pursue macro indicators of development. Therefore, there is a need to create a comprehensive effort towards achieving an inclusive development agenda as the primary goal in Bandung Regency development. Keywords:","author":[{"dropping-particle":"","family":"Widianingsih","given":"Ida","non-dropping-particle":"","parse-names":false,"suffix":""},{"dropping-particle":"","family":"Paskarina","given":"Caroline","non-dropping-particle":"","parse-names":false,"suffix":""}],"container-title":"Jurnal Bina Praja","id":"ITEM-1","issue":"21","issued":{"date-parts":[["2019"]]},"page":"137-147","title":"Defining Inclusiveness in Development: Perspective from Local Government’s Apparatus","type":"article-journal"},"uris":["http://www.mendeley.com/documents/?uuid=50356c35-4bca-4572-9d45-b09940e2662c"]}],"mendeley":{"formattedCitation":"(Widianingsih &amp; Paskarina, 2019)","plainTextFormattedCitation":"(Widianingsih &amp; Paskarina, 2019)","previouslyFormattedCitation":"(Widianingsih &amp; Paskarina, 2019)"},"properties":{"noteIndex":0},"schema":"https://github.com/citation-style-language/schema/raw/master/csl-citation.json"}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(Widianingsih &amp; Paskarina, 2019)</w:t>
      </w:r>
      <w:r w:rsidRPr="009352C0">
        <w:rPr>
          <w:rFonts w:eastAsia="Book Antiqua"/>
          <w:sz w:val="22"/>
          <w:szCs w:val="22"/>
        </w:rPr>
        <w:fldChar w:fldCharType="end"/>
      </w:r>
      <w:r w:rsidRPr="009352C0">
        <w:rPr>
          <w:rFonts w:eastAsia="Book Antiqua"/>
          <w:sz w:val="22"/>
          <w:szCs w:val="22"/>
        </w:rPr>
        <w:t xml:space="preserve">. Policies are carried out bottom-up with democratic principles </w:t>
      </w:r>
      <w:r w:rsidRPr="009352C0">
        <w:rPr>
          <w:rFonts w:eastAsia="Book Antiqua"/>
          <w:sz w:val="22"/>
          <w:szCs w:val="22"/>
        </w:rPr>
        <w:fldChar w:fldCharType="begin" w:fldLock="1"/>
      </w:r>
      <w:r w:rsidRPr="009352C0">
        <w:rPr>
          <w:rFonts w:eastAsia="Book Antiqua"/>
          <w:sz w:val="22"/>
          <w:szCs w:val="22"/>
        </w:rPr>
        <w:instrText>ADDIN CSL_CITATION {"citationItems":[{"id":"ITEM-1","itemData":{"DOI":"10.1016/j.forpol.2022.102824","ISSN":"13899341","abstract":"Mangrove forests are remarkably diverse and productive ecosystems, with distinctive biophysical environments in intertidal coastal regions of the tropics and subtropics. In these regions, shrimp cultivation is identified as a profitable business and one of the main reasons for clearing of mangroves to construct shrimp farms. Against this backdrop and based on the first author's previous PhD research and other relevant scholarly works, in this commentary we discuss the aspects and contexts of the mangrove-based integrated shrimp farming system. Then, we recommend a model of co-management and a set of policy option towards sustainable silvo-aquaculture to protect/restore the mangrove forests and sustain shrimp production in coastal areas of Bangladesh. Mangroves and shrimp culture are not necessarily incompatible. Many mangrove species have been identified as beneficial for shrimp culture for a number of possible reasons. Most importantly, the nutrients in the leaf litter of several mangrove species have been found to enhance natural food production for shrimp. Besides the nutrient input, the leaf litter also provides surface area for biofilm development, on which different life stages of shrimp can graze. In addition, the combination of mangrove leaf litter and feed has been shown to enhance shrimp production synergistically. Additional economic benefits from mangrove-shrimp co-management include the production of timber (e.g. buildings, boats and fuel woods) and non-timber products (e.g. fruits, honey, fibers, firewood, resins and bark). Thus, mangrove-based aquaculture or silvo-aquaculture system can be considered as a nature-based solution to sustainably revitalize the economy in coastal areas where shrimp has been the economic mainstay. Though there are positive effects, we point out some potential negative impacts of mangrove-based shrimp culture, like the anti-nutrients content in the leaf litter, which might impact shrimp production. In addition, the long term use of mangrove leaf litter might degrade the water quality. Therefore, the co-management policy recommends a controlled practice of mangroves in shrimp culture to balance conservation of mangrove-based ecology and profitable shrimp production. The approach promotes nature-based solutions and fosters sustainable pathways for food production, considering socio-economic and environmental dynamics.","author":[{"dropping-particle":"","family":"Alam","given":"Md Iftakharul","non-dropping-particle":"","parse-names":false,"suffix":""},{"dropping-particle":"","family":"Rahman","given":"Md Saifur","non-dropping-particle":"","parse-names":false,"suffix":""},{"dropping-particle":"","family":"Ahmed","given":"Moin Uddin","non-dropping-particle":"","parse-names":false,"suffix":""},{"dropping-particle":"","family":"Debrot","given":"Adolphe O.","non-dropping-particle":"","parse-names":false,"suffix":""},{"dropping-particle":"","family":"Ahsan","given":"Md Nazmul","non-dropping-particle":"","parse-names":false,"suffix":""},{"dropping-particle":"","family":"Verdegem","given":"M. C.J.","non-dropping-particle":"","parse-names":false,"suffix":""}],"container-title":"Forest Policy and Economics","id":"ITEM-1","issue":"November","issued":{"date-parts":[["2022"]]},"title":"Mangrove forest conservation vs shrimp production: Uncovering a sustainable co-management model and policy solution for mangrove greenbelt development in coastal Bangladesh.","type":"article-journal","volume":"144"},"uris":["http://www.mendeley.com/documents/?uuid=c4691149-f446-4d7b-a047-f187ebc8fb7f"]}],"mendeley":{"formattedCitation":"(Alam et al., 2022)","plainTextFormattedCitation":"(Alam et al., 2022)","previouslyFormattedCitation":"(Alam et al., 2022)"},"properties":{"noteIndex":0},"schema":"https://github.com/citation-style-language/schema/raw/master/csl-citation.json"}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(Alam et al., 2022)</w:t>
      </w:r>
      <w:r w:rsidRPr="009352C0">
        <w:rPr>
          <w:rFonts w:eastAsia="Book Antiqua"/>
          <w:sz w:val="22"/>
          <w:szCs w:val="22"/>
        </w:rPr>
        <w:fldChar w:fldCharType="end"/>
      </w:r>
      <w:r w:rsidRPr="009352C0">
        <w:rPr>
          <w:rFonts w:eastAsia="Book Antiqua"/>
          <w:sz w:val="22"/>
          <w:szCs w:val="22"/>
        </w:rPr>
        <w:t xml:space="preserve">. Deliberative policy offers an integrative and progressive approach in the complexity of problems, relationality and practical nature of the policy process </w:t>
      </w:r>
      <w:r w:rsidRPr="009352C0">
        <w:rPr>
          <w:rFonts w:eastAsia="Book Antiqua"/>
          <w:sz w:val="22"/>
          <w:szCs w:val="22"/>
        </w:rPr>
        <w:fldChar w:fldCharType="begin" w:fldLock="1"/>
      </w:r>
      <w:r w:rsidRPr="009352C0">
        <w:rPr>
          <w:rFonts w:eastAsia="Book Antiqua"/>
          <w:sz w:val="22"/>
          <w:szCs w:val="22"/>
        </w:rPr>
        <w:instrText>ADDIN CSL_CITATION {"citationItems":[{"id":"ITEM-1","itemData":{"DOI":"10.1080/01442872.2020.1772219","ISSN":"14701006","abstract":"The purpose of this second special issue is to build on and extend the development of Deliberative Policy Analysis (DPA) 2.0 that was set in motion by the first special issue on DPA in this journal. It is set up around a symposium focused on integrating DPA’s pillars of interpretation, practice, and deliberation. We identify three key threads for interweaving these three pillars and advancing DPA 2.0 and introduce the five other contributions to this special issue along these lines. We conclude that DPA 2.0 offers a range of solid and progressive approaches for methodically engaging with the complexity, relationality and practical nature of policy processes.","author":[{"dropping-particle":"","family":"Bartels","given":"Koen P.R.","non-dropping-particle":"","parse-names":false,"suffix":""},{"dropping-particle":"","family":"Wagenaar","given":"Hendrik","non-dropping-particle":"","parse-names":false,"suffix":""},{"dropping-particle":"","family":"Li","given":"Ya","non-dropping-particle":"","parse-names":false,"suffix":""}],"container-title":"Policy Studies","id":"ITEM-1","issue":"4","issued":{"date-parts":[["2020"]]},"page":"295-306","title":"Introduction: towards deliberative policy analysis 2.0","type":"article-journal","volume":"41"},"uris":["http://www.mendeley.com/documents/?uuid=f3208bcb-d74e-4691-89b2-55c77bac736d"]}],"mendeley":{"formattedCitation":"(Bartels et al., 2020)","plainTextFormattedCitation":"(Bartels et al., 2020)","previouslyFormattedCitation":"(Bartels et al., 2020)"},"properties":{"noteIndex":0},"schema":"https://github.com/citation-style-language/schema/raw/master/csl-citation.json"}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(Bartels et al., 2020)</w:t>
      </w:r>
      <w:r w:rsidRPr="009352C0">
        <w:rPr>
          <w:rFonts w:eastAsia="Book Antiqua"/>
          <w:sz w:val="22"/>
          <w:szCs w:val="22"/>
        </w:rPr>
        <w:fldChar w:fldCharType="end"/>
      </w:r>
      <w:r w:rsidRPr="009352C0">
        <w:rPr>
          <w:rFonts w:eastAsia="Book Antiqua"/>
          <w:sz w:val="22"/>
          <w:szCs w:val="22"/>
        </w:rPr>
        <w:t xml:space="preserve">, through deliberation between citizens and officials as a strategy for investigating policy orientation </w:t>
      </w:r>
      <w:r w:rsidRPr="009352C0">
        <w:rPr>
          <w:rFonts w:eastAsia="Book Antiqua"/>
          <w:sz w:val="22"/>
          <w:szCs w:val="22"/>
        </w:rPr>
        <w:fldChar w:fldCharType="begin" w:fldLock="1"/>
      </w:r>
      <w:r w:rsidRPr="009352C0">
        <w:rPr>
          <w:rFonts w:eastAsia="Book Antiqua"/>
          <w:sz w:val="22"/>
          <w:szCs w:val="22"/>
        </w:rPr>
        <w:instrText>ADDIN CSL_CITATION {"citationItems":[{"id":"ITEM-1","itemData":{"DOI":"10.1080/01442872.2020.1717456","ISSN":"14701006","abstract":"Complexity poses challenges to policy makers who intervene in the world. Interconnectedness, a key aspect of complexity, requires that policy makers acknowledge the compounded nature of policy problems in their design of a robust, differentiated policy. Deliberative Policy Analysis recommends small group deliberation to address interconnectedness. However, higher-order phenomena that emerge through interactions in a complex system have properties that cannot be reconstructed from lower-order phenomena by simple extrapolation. They go beyond interpersonal relations in that they involve aggregate phenomena, such as laws, organizations, and institutions. To harness this kind of administrative interconnectedness requires an ability to intervene intelligently in these aggregate entities through institutional design. Our aim in this article is threefold. First, we describe a remarkably successful historical case of integrated governance: housing policy during the 15-year period after WW1 known as “Red Vienna”. Our purpose is to demonstrate that policymaking that is commensurate with interconnectedness is possible in real-world circumstances, even unpromising ones. Our second objective is counterfactual. We will show that the officials of Red Vienna de facto engaged in a particular form of institutional design that we call “design-in-practice”. Third, we will claim that design-in-practice is a foundational tool in the methodological armory of DPA.","author":[{"dropping-particle":"","family":"Wagenaar","given":"Hendrik","non-dropping-particle":"","parse-names":false,"suffix":""},{"dropping-particle":"","family":"Wenninger","given":"Florian","non-dropping-particle":"","parse-names":false,"suffix":""}],"container-title":"Policy Studies","id":"ITEM-1","issue":"4","issued":{"date-parts":[["2020"]]},"page":"411-437","publisher":"Taylor &amp; Francis","title":"Deliberative policy analysis, interconnectedness and institutional design: lessons from “Red Vienna”","type":"article-journal","volume":"41"},"uris":["http://www.mendeley.com/documents/?uuid=0c6ea188-e337-40c0-ad52-e522ef622718"]}],"mendeley":{"formattedCitation":"(Wagenaar &amp; Wenninger, 2020)","plainTextFormattedCitation":"(Wagenaar &amp; Wenninger, 2020)","previouslyFormattedCitation":"(Wagenaar &amp; Wenninger, 2020)"},"properties":{"noteIndex":0},"schema":"https://github.com/citation-style-language/schema/raw/master/csl-citation.json"}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(Wagenaar &amp; Wenninger, 2020)</w:t>
      </w:r>
      <w:r w:rsidRPr="009352C0">
        <w:rPr>
          <w:rFonts w:eastAsia="Book Antiqua"/>
          <w:sz w:val="22"/>
          <w:szCs w:val="22"/>
        </w:rPr>
        <w:fldChar w:fldCharType="end"/>
      </w:r>
      <w:r w:rsidRPr="009352C0">
        <w:rPr>
          <w:rFonts w:eastAsia="Book Antiqua"/>
          <w:sz w:val="22"/>
          <w:szCs w:val="22"/>
        </w:rPr>
        <w:t>.</w:t>
      </w:r>
    </w:p>
    <w:p w14:paraId="60B6CD82" w14:textId="77777777" w:rsidR="009352C0" w:rsidRPr="009352C0" w:rsidRDefault="009352C0" w:rsidP="009352C0">
      <w:pPr>
        <w:widowControl w:val="0"/>
        <w:autoSpaceDE w:val="0"/>
        <w:autoSpaceDN w:val="0"/>
        <w:spacing w:line="480" w:lineRule="auto"/>
        <w:ind w:firstLine="708"/>
        <w:jc w:val="both"/>
        <w:rPr>
          <w:rFonts w:eastAsia="Trebuchet MS"/>
          <w:sz w:val="22"/>
          <w:szCs w:val="22"/>
          <w:lang w:val="en-US"/>
        </w:rPr>
      </w:pPr>
      <w:r w:rsidRPr="009352C0">
        <w:rPr>
          <w:rFonts w:eastAsia="Book Antiqua"/>
          <w:sz w:val="22"/>
          <w:szCs w:val="22"/>
        </w:rPr>
        <w:t xml:space="preserve">Related to the topic of shrimp farm management. Some approaches include; sustainable co-management </w:t>
      </w:r>
      <w:r w:rsidRPr="009352C0">
        <w:rPr>
          <w:rFonts w:eastAsia="Book Antiqua"/>
          <w:sz w:val="22"/>
          <w:szCs w:val="22"/>
        </w:rPr>
        <w:fldChar w:fldCharType="begin" w:fldLock="1"/>
      </w:r>
      <w:r w:rsidRPr="009352C0">
        <w:rPr>
          <w:rFonts w:eastAsia="Book Antiqua"/>
          <w:sz w:val="22"/>
          <w:szCs w:val="22"/>
        </w:rPr>
        <w:instrText>ADDIN CSL_CITATION {"citationItems":[{"id":"ITEM-1","itemData":{"DOI":"10.1016/j.forpol.2022.102824","ISSN":"13899341","abstract":"Mangrove forests are remarkably diverse and productive ecosystems, with distinctive biophysical environments in intertidal coastal regions of the tropics and subtropics. In these regions, shrimp cultivation is identified as a profitable business and one of the main reasons for clearing of mangroves to construct shrimp farms. Against this backdrop and based on the first author's previous PhD research and other relevant scholarly works, in this commentary we discuss the aspects and contexts of the mangrove-based integrated shrimp farming system. Then, we recommend a model of co-management and a set of policy option towards sustainable silvo-aquaculture to protect/restore the mangrove forests and sustain shrimp production in coastal areas of Bangladesh. Mangroves and shrimp culture are not necessarily incompatible. Many mangrove species have been identified as beneficial for shrimp culture for a number of possible reasons. Most importantly, the nutrients in the leaf litter of several mangrove species have been found to enhance natural food production for shrimp. Besides the nutrient input, the leaf litter also provides surface area for biofilm development, on which different life stages of shrimp can graze. In addition, the combination of mangrove leaf litter and feed has been shown to enhance shrimp production synergistically. Additional economic benefits from mangrove-shrimp co-management include the production of timber (e.g. buildings, boats and fuel woods) and non-timber products (e.g. fruits, honey, fibers, firewood, resins and bark). Thus, mangrove-based aquaculture or silvo-aquaculture system can be considered as a nature-based solution to sustainably revitalize the economy in coastal areas where shrimp has been the economic mainstay. Though there are positive effects, we point out some potential negative impacts of mangrove-based shrimp culture, like the anti-nutrients content in the leaf litter, which might impact shrimp production. In addition, the long term use of mangrove leaf litter might degrade the water quality. Therefore, the co-management policy recommends a controlled practice of mangroves in shrimp culture to balance conservation of mangrove-based ecology and profitable shrimp production. The approach promotes nature-based solutions and fosters sustainable pathways for food production, considering socio-economic and environmental dynamics.","author":[{"dropping-particle":"","family":"Alam","given":"Md Iftakharul","non-dropping-particle":"","parse-names":false,"suffix":""},{"dropping-particle":"","family":"Rahman","given":"Md Saifur","non-dropping-particle":"","parse-names":false,"suffix":""},{"dropping-particle":"","family":"Ahmed","given":"Moin Uddin","non-dropping-particle":"","parse-names":false,"suffix":""},{"dropping-particle":"","family":"Debrot","given":"Adolphe O.","non-dropping-particle":"","parse-names":false,"suffix":""},{"dropping-particle":"","family":"Ahsan","given":"Md Nazmul","non-dropping-particle":"","parse-names":false,"suffix":""},{"dropping-particle":"","family":"Verdegem","given":"M. C.J.","non-dropping-particle":"","parse-names":false,"suffix":""}],"container-title":"Forest Policy and Economics","id":"ITEM-1","issue":"November","issued":{"date-parts":[["2022"]]},"title":"Mangrove forest conservation vs shrimp production: Uncovering a sustainable co-management model and policy solution for mangrove greenbelt development in coastal Bangladesh.","type":"article-journal","volume":"144"},"uris":["http://www.mendeley.com/documents/?uuid=c4691149-f446-4d7b-a047-f187ebc8fb7f"]},{"id":"ITEM-2","itemData":{"DOI":"10.1080/13657305.2021.1897190","ISSN":"13657305","abstract":"Shrimp polyculture is an important activity in South East Asia, providing a livelihood and food for small-scale farmers. However, farmers are facing challenges due to increasing environmental problems in rivers used as the primary source of water in aquaculture pond production. To deal with these challenges, farmers have organized co-management communities, which gives them a stronger voice among river users. This study investigates the effects of co-management on technical efficiency and environmental stressors using a second-stage Data Envelopment Analysis model. Environmental stressors are identified through interviews with 306 farmers in eight sub-districts, of which two are practicing co-management. The results show that farmers in areas with co-management have relatively high technical efficiency after taking other drivers into account. Furthermore, the farmer’s technical efficiency seems to be less affected by the identified environmental stressors. In conclusion, co-management could be used as a tool to improve technical efficiency and limit stress factors for farmers. It could be initiated by the farmers themselves or by policymakers and natural resource managers and could improve the livelihoods of small-scale shrimp polyculture farmers.","author":[{"dropping-particle":"","family":"Hukom","given":"Venticia","non-dropping-particle":"","parse-names":false,"suffix":""},{"dropping-particle":"","family":"Nielsen","given":"Rasmus","non-dropping-particle":"","parse-names":false,"suffix":""},{"dropping-particle":"","family":"Nielsen","given":"Max","non-dropping-particle":"","parse-names":false,"suffix":""}],"container-title":"Aquaculture Economics and Management","id":"ITEM-2","issue":"1","issued":{"date-parts":[["2022"]]},"page":"98-117","publisher":"Taylor and Francis Ltd.","title":"Effects of co-management on technical efficiency and environmental stressors: An application to small-scale shrimp polyculture in Indonesia","type":"article-journal","volume":"26"},"uris":["http://www.mendeley.com/documents/?uuid=8b4e0ab6-64f7-3f18-ace6-c4d4c0ab5078"]}],"mendeley":{"formattedCitation":"(Alam et al., 2022; Hukom et al., 2022)","plainTextFormattedCitation":"(Alam et al., 2022; Hukom et al., 2022)","previouslyFormattedCitation":"(Alam et al., 2022; Hukom et al., 2022)"},"properties":{"noteIndex":0},"schema":"https://github.com/citation-style-language/schema/raw/master/csl-citation.json"}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(Alam et al., 2022; Hukom et al., 2022)</w:t>
      </w:r>
      <w:r w:rsidRPr="009352C0">
        <w:rPr>
          <w:rFonts w:eastAsia="Book Antiqua"/>
          <w:sz w:val="22"/>
          <w:szCs w:val="22"/>
        </w:rPr>
        <w:fldChar w:fldCharType="end"/>
      </w:r>
      <w:r w:rsidRPr="009352C0">
        <w:rPr>
          <w:rFonts w:eastAsia="Book Antiqua"/>
          <w:sz w:val="22"/>
          <w:szCs w:val="22"/>
        </w:rPr>
        <w:t xml:space="preserve">, management institutions </w:t>
      </w:r>
      <w:r w:rsidRPr="009352C0">
        <w:rPr>
          <w:rFonts w:eastAsia="Book Antiqua"/>
          <w:sz w:val="22"/>
          <w:szCs w:val="22"/>
        </w:rPr>
        <w:fldChar w:fldCharType="begin" w:fldLock="1"/>
      </w:r>
      <w:r w:rsidRPr="009352C0">
        <w:rPr>
          <w:rFonts w:eastAsia="Book Antiqua"/>
          <w:sz w:val="22"/>
          <w:szCs w:val="22"/>
        </w:rPr>
        <w:instrText>ADDIN CSL_CITATION {"citationItems":[{"id":"ITEM-1","itemData":{"DOI":"10.22146/jfs.73005","ISSN":"0853-6384","abstract":"Shrimp pond management institutions are the primary key in increasing shrimp productivity and as a means and infrastructure for developing ponds and coordinating all activities. This study aimed to analyze the institutional management of shrimp pond areas to support shrimp productivity in the National Priority Program on the coast of Peureulak, East Aceh, Aceh. This study uses the Interpretative Structural Modeling (ISM) method. Surveys and interviews carry out data collection methods, focus group discussions (FGD) and questionnaires. Five (5) elements are analyzed, namely program objectives, influencing community sectors, program needs, main constraints, and institutions involved in program implementation. The analysis results show that support for the cultivation environment and the community, adequate facilities and infrastructure, and business capital availability are key sub-elements of the program objectives. Meanwhile, the Central Government (Ministry of Marine Affairs and Fisheries), Provincial Marine and Fisheries Service, and Fish Farm Cultivator Group are the institutions that play the most role in increasing shrimp productivity. At the same time, the delivery of technology that cannot be implemented, the construction and layout of traditional ponds and knowledge of skills and the low attitude of pond managers is the main obstacle in the achievement of program objectives. In contrast, the community sector which is influential in supporting program objectives is transportation, fisheries and settlements.","author":[{"dropping-particle":"","family":"Suprihadi","given":"Suprihadi","non-dropping-particle":"","parse-names":false,"suffix":""},{"dropping-particle":"","family":"Farkhan","given":"Moch","non-dropping-particle":"","parse-names":false,"suffix":""},{"dropping-particle":"","family":"Sektiana","given":"Sinar Pagi","non-dropping-particle":"","parse-names":false,"suffix":""},{"dropping-particle":"","family":"Baihaqi","given":"Baihaqi","non-dropping-particle":"","parse-names":false,"suffix":""},{"dropping-particle":"","family":"Nelli","given":"Suris","non-dropping-particle":"","parse-names":false,"suffix":""},{"dropping-particle":"","family":"Haris","given":"Muhammad","non-dropping-particle":"","parse-names":false,"suffix":""}],"container-title":"Jurnal Perikanan Universitas Gadjah Mada","id":"ITEM-1","issue":"1","issued":{"date-parts":[["2022"]]},"page":"79","title":"Role of Shrimp Pond Management Institutions Supporting Shrimp Productivity in the Peureulak Coast, East Aceh","type":"article-journal","volume":"24"},"uris":["http://www.mendeley.com/documents/?uuid=a410d3f5-dded-476e-8cd2-49051560a9bb"]}],"mendeley":{"formattedCitation":"(Suprihadi et al., 2022)","plainTextFormattedCitation":"(Suprihadi et al., 2022)","previouslyFormattedCitation":"(Suprihadi et al., 2022)"},"properties":{"noteIndex":0},"schema":"https://github.com/citation-style-language/schema/raw/master/csl-citation.json"}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(Suprihadi et al., 2022)</w:t>
      </w:r>
      <w:r w:rsidRPr="009352C0">
        <w:rPr>
          <w:rFonts w:eastAsia="Book Antiqua"/>
          <w:sz w:val="22"/>
          <w:szCs w:val="22"/>
        </w:rPr>
        <w:fldChar w:fldCharType="end"/>
      </w:r>
      <w:r w:rsidRPr="009352C0">
        <w:rPr>
          <w:rFonts w:eastAsia="Book Antiqua"/>
          <w:sz w:val="22"/>
          <w:szCs w:val="22"/>
        </w:rPr>
        <w:t xml:space="preserve">, collaborative government </w:t>
      </w:r>
      <w:r w:rsidRPr="009352C0">
        <w:rPr>
          <w:rFonts w:eastAsia="Book Antiqua"/>
          <w:sz w:val="22"/>
          <w:szCs w:val="22"/>
        </w:rPr>
        <w:fldChar w:fldCharType="begin" w:fldLock="1"/>
      </w:r>
      <w:r w:rsidRPr="009352C0">
        <w:rPr>
          <w:rFonts w:eastAsia="Book Antiqua"/>
          <w:sz w:val="22"/>
          <w:szCs w:val="22"/>
        </w:rPr>
        <w:instrText>ADDIN CSL_CITATION {"citationItems":[{"id":"ITEM-1","itemData":{"DOI":"10.53341/jgpi.v2i1.27","ISSN":"2807-3746","abstract":"This study aims to determine the two decades of special autonomy in Aceh with the existence of special autonomy funds, but it does not have an impact on economic and social welfare in Aceh. Poverty and economic inequality are still rife, even though special autonomy is to provide space for the implementation of regional innovation and creativity in government administration. Several factors cause Aceh's special autonomy funds not to work correctly or still cause poverty in the Aceh region, namely development policies, the corruption that is still rampant, and poor management of the special autonomy funds. The development policy factor is related to the government, which favors industry players. Then, corruption is rampant because the Aceh government uses the special autonomy funds for its interests. The poor management of special autonomy funds is related to delays and errors in program planning from the provincial to regional levels. Then, the method in this study with a qualitative approach. Furthermore, the theoretical approach in this research is welfare theory to combine special autonomy as a way out of the slump in Aceh to date. This study shows that the Aceh Government is still misusing the Aceh Special Autonomy Fund because it is proven not to be prosperous, and the Acehnese people still experience the highest poverty rate in Sumatra. This research is essential because it needs to know and provide information to readers about how Aceh’s special autonomy funds are not being used appropriately, and the Aceh government still commits much corruption.","author":[{"dropping-particle":"","family":"Setiawan","given":"Hendy","non-dropping-particle":"","parse-names":false,"suffix":""}],"container-title":"Journal of Government and Political Issues","id":"ITEM-1","issue":"1","issued":{"date-parts":[["2022"]]},"page":"8-21","title":"Rethinking Patterns Development of Aceh's Socio-Economic Welfare After Two Decades of Implementing Asymmetric Autonomy \"Special Autonomy\"","type":"article-journal","volume":"2"},"uris":["http://www.mendeley.com/documents/?uuid=b940ea8e-0497-42f8-9c52-8c1e6a38f751"]}],"mendeley":{"formattedCitation":"(Setiawan, 2022)","plainTextFormattedCitation":"(Setiawan, 2022)","previouslyFormattedCitation":"(Setiawan, 2022)"},"properties":{"noteIndex":0},"schema":"https://github.com/citation-style-language/schema/raw/master/csl-citation.json"}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(Setiawan, 2022)</w:t>
      </w:r>
      <w:r w:rsidRPr="009352C0">
        <w:rPr>
          <w:rFonts w:eastAsia="Book Antiqua"/>
          <w:sz w:val="22"/>
          <w:szCs w:val="22"/>
        </w:rPr>
        <w:fldChar w:fldCharType="end"/>
      </w:r>
      <w:r w:rsidRPr="009352C0">
        <w:rPr>
          <w:rFonts w:eastAsia="Book Antiqua"/>
          <w:sz w:val="22"/>
          <w:szCs w:val="22"/>
        </w:rPr>
        <w:t xml:space="preserve">, sustainable livelihood framework </w:t>
      </w:r>
      <w:r w:rsidRPr="009352C0">
        <w:rPr>
          <w:rFonts w:eastAsia="Book Antiqua"/>
          <w:sz w:val="22"/>
          <w:szCs w:val="22"/>
        </w:rPr>
        <w:fldChar w:fldCharType="begin" w:fldLock="1"/>
      </w:r>
      <w:r w:rsidRPr="009352C0">
        <w:rPr>
          <w:rFonts w:eastAsia="Book Antiqua"/>
          <w:sz w:val="22"/>
          <w:szCs w:val="22"/>
        </w:rPr>
        <w:instrText>ADDIN CSL_CITATION {"citationItems":[{"id":"ITEM-1","itemData":{"DOI":"10.18326/imej.v5i1.73-86","author":[{"dropping-particle":"","family":"Wibisono","given":"Gunawan","non-dropping-particle":"","parse-names":false,"suffix":""},{"dropping-particle":"","family":"Nukha","given":"Rosyid","non-dropping-particle":"","parse-names":false,"suffix":""},{"dropping-particle":"","family":"Margiana","given":"Dani Bina","non-dropping-particle":"","parse-names":false,"suffix":""}],"container-title":"IMEJ: Islamic Management and Empowerment Journal","id":"ITEM-1","issue":"1","issued":{"date-parts":[["2023"]]},"page":"73-86","title":"Sustainable Livelihood Framework Sebagai Strategi Pemberdayaan Abstract Abstrak Pendahuluan Perserikatan Bangsa-Bangsa ( 1960 ) mendefinisikan pemberdayaan masyarakat sebagai proses dari masyarakat dengan segala potensi yang dimiliki diintegrasikan dengan","type":"article-journal","volume":"5"},"uris":["http://www.mendeley.com/documents/?uuid=b907f508-054a-4342-8213-fd84674e950a"]}],"mendeley":{"formattedCitation":"(Wibisono et al., 2023)","plainTextFormattedCitation":"(Wibisono et al., 2023)","previouslyFormattedCitation":"(Wibisono et al., 2023)"},"properties":{"noteIndex":0},"schema":"https://github.com/citation-style-language/schema/raw/master/csl-citation.json"}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(Wibisono et al., 2023)</w:t>
      </w:r>
      <w:r w:rsidRPr="009352C0">
        <w:rPr>
          <w:rFonts w:eastAsia="Book Antiqua"/>
          <w:sz w:val="22"/>
          <w:szCs w:val="22"/>
        </w:rPr>
        <w:fldChar w:fldCharType="end"/>
      </w:r>
      <w:r w:rsidRPr="009352C0">
        <w:rPr>
          <w:rFonts w:eastAsia="Book Antiqua"/>
          <w:sz w:val="22"/>
          <w:szCs w:val="22"/>
        </w:rPr>
        <w:t xml:space="preserve">, sustainable policy and policy implementation </w:t>
      </w:r>
      <w:r w:rsidRPr="009352C0">
        <w:rPr>
          <w:rFonts w:eastAsia="Book Antiqua"/>
          <w:sz w:val="22"/>
          <w:szCs w:val="22"/>
        </w:rPr>
        <w:fldChar w:fldCharType="begin" w:fldLock="1"/>
      </w:r>
      <w:r w:rsidRPr="009352C0">
        <w:rPr>
          <w:rFonts w:eastAsia="Book Antiqua"/>
          <w:sz w:val="22"/>
          <w:szCs w:val="22"/>
        </w:rPr>
        <w:instrText>ADDIN CSL_CITATION {"citationItems":[{"id":"ITEM-1","itemData":{"author":[{"dropping-particle":"","family":"Yulinar","given":"Nanda","non-dropping-particle":"","parse-names":false,"suffix":""},{"dropping-particle":"","family":"Akmal","given":"M","non-dropping-particle":"","parse-names":false,"suffix":""},{"dropping-particle":"","family":"Zulkarnaen","given":"Iskandar","non-dropping-particle":"","parse-names":false,"suffix":""},{"dropping-particle":"Bin","family":"Abubakar","given":"Muhammad","non-dropping-particle":"","parse-names":false,"suffix":""}],"id":"ITEM-1","issue":"2","issued":{"date-parts":[["2023"]]},"page":"74-79","title":"Implementasi Kebijakan Minapolitan di Kabupaten Aceh Timur","type":"article-journal","volume":"3"},"uris":["http://www.mendeley.com/documents/?uuid=baeea8f0-436d-4dd9-a89a-e1111994a904"]}],"mendeley":{"formattedCitation":"(Yulinar et al., 2023)","plainTextFormattedCitation":"(Yulinar et al., 2023)","previouslyFormattedCitation":"(Yulinar et al., 2023)"},"properties":{"noteIndex":0},"schema":"https://github.com/citation-style-language/schema/raw/master/csl-citation.json"}</w:instrText>
      </w:r>
      <w:r w:rsidRPr="009352C0">
        <w:rPr>
          <w:rFonts w:eastAsia="Book Antiqua"/>
          <w:sz w:val="22"/>
          <w:szCs w:val="22"/>
        </w:rPr>
        <w:fldChar w:fldCharType="separate"/>
      </w:r>
      <w:r w:rsidRPr="009352C0">
        <w:rPr>
          <w:rFonts w:eastAsia="Book Antiqua"/>
          <w:noProof/>
          <w:sz w:val="22"/>
          <w:szCs w:val="22"/>
        </w:rPr>
        <w:t>(Yulinar et al., 2023)</w:t>
      </w:r>
      <w:r w:rsidRPr="009352C0">
        <w:rPr>
          <w:rFonts w:eastAsia="Book Antiqua"/>
          <w:sz w:val="22"/>
          <w:szCs w:val="22"/>
        </w:rPr>
        <w:fldChar w:fldCharType="end"/>
      </w:r>
      <w:r w:rsidRPr="009352C0">
        <w:rPr>
          <w:rFonts w:eastAsia="Book Antiqua"/>
          <w:sz w:val="22"/>
          <w:szCs w:val="22"/>
        </w:rPr>
        <w:t>. However, the deliberative policy approach has not been conducted in relation to shrimp pond management, which is full of many interests and social conflicts.</w:t>
      </w:r>
    </w:p>
    <w:p w14:paraId="5FF6DA21" w14:textId="344C8EFF" w:rsidR="009352C0" w:rsidRPr="009352C0" w:rsidRDefault="009352C0" w:rsidP="009352C0">
      <w:pPr>
        <w:spacing w:line="480" w:lineRule="auto"/>
        <w:jc w:val="both"/>
        <w:rPr>
          <w:b/>
          <w:sz w:val="22"/>
          <w:szCs w:val="22"/>
          <w:lang w:val="en-US"/>
        </w:rPr>
      </w:pPr>
      <w:r w:rsidRPr="009352C0">
        <w:rPr>
          <w:b/>
          <w:sz w:val="22"/>
          <w:szCs w:val="22"/>
          <w:lang w:val="en-US"/>
        </w:rPr>
        <w:t>METHODOLOGY</w:t>
      </w:r>
    </w:p>
    <w:p w14:paraId="3DFDFA94" w14:textId="16653A5C" w:rsidR="009352C0" w:rsidRDefault="009352C0" w:rsidP="009352C0">
      <w:pPr>
        <w:spacing w:line="480" w:lineRule="auto"/>
        <w:ind w:firstLine="708"/>
        <w:jc w:val="both"/>
        <w:rPr>
          <w:sz w:val="22"/>
          <w:szCs w:val="22"/>
          <w:lang w:val="en-US"/>
        </w:rPr>
      </w:pPr>
      <w:r w:rsidRPr="009352C0">
        <w:rPr>
          <w:rFonts w:eastAsia="Times New Roman"/>
          <w:sz w:val="22"/>
          <w:szCs w:val="22"/>
          <w:lang w:val="fi-FI" w:eastAsia="tr-TR"/>
        </w:rPr>
        <w:t xml:space="preserve">This research adopts qualitative research with a case study approach </w:t>
      </w:r>
      <w:r w:rsidRPr="009352C0">
        <w:rPr>
          <w:rFonts w:eastAsia="Times New Roman"/>
          <w:sz w:val="22"/>
          <w:szCs w:val="22"/>
          <w:lang w:val="fi-FI" w:eastAsia="tr-TR"/>
        </w:rPr>
        <w:fldChar w:fldCharType="begin" w:fldLock="1"/>
      </w:r>
      <w:r w:rsidRPr="009352C0">
        <w:rPr>
          <w:rFonts w:eastAsia="Times New Roman"/>
          <w:sz w:val="22"/>
          <w:szCs w:val="22"/>
          <w:lang w:val="fi-FI" w:eastAsia="tr-TR"/>
        </w:rPr>
        <w:instrText>ADDIN CSL_CITATION {"citationItems":[{"id":"ITEM-1","itemData":{"ISBN":"979-8433-64-0","ISSN":"00371106","PMID":"25246403","abstract":"Damage to fault-zone rocks during fault slip results in the formation of a channel of low seismic-wave velocities. Within such channels guided seismic waves, denoted by F \\n g, can propagate. Here we show with core samples, well logs and F \\n g-waves that such a channel is crossed by the SAFOD (San Andreas Fault Observatory at Depth) borehole at a depth of 2.7 km near Parkfield, California, USA. This laterally extensive channel extends downwards to at least half way through the seismogenic crust, more than about 7 km. The channel supports not only the previously recognized Love-type- (F \\n L) and Rayleigh-type- (F \\n R) guided waves, but also a new fault-guided wave, which we name F \\n Φ. As recorded 2.7 km underground, F \\n Φ is normally dispersed, ends in an Airy phase, and arrives between the P- and S-waves. Modelling shows that F \\n Φ travels as a leaky mode within the core of the fault zone. Combined with the drill core samples, well logs and the two other types of guided waves, F \\n Φ at SAFOD reveals a zone of profound, deep, rock damage. Originating from damage accumulated over the recent history of fault movement, we suggest it is maintained either by fracturing near the slip surface of earthquakes, such as the 1857 Fort Tejon M 7.9, or is an unexplained part of the fault-creep process known to be active at this site. © The Geological Society of London 2011.","author":[{"dropping-particle":"","family":"Sugiono","given":"","non-dropping-particle":"","parse-names":false,"suffix":""}],"container-title":"Alfabeta","id":"ITEM-1","issued":{"date-parts":[["2016"]]},"number-of-pages":"241","publisher-place":"Bandung","title":"Metode Penelitian Kuantitatif, Kualitatif, dan R&amp;D","type":"book"},"uris":["http://www.mendeley.com/documents/?uuid=9f210214-9652-4b09-8f71-1c02b743a174"]}],"mendeley":{"formattedCitation":"(Sugiono, 2016)","plainTextFormattedCitation":"(Sugiono, 2016)","previouslyFormattedCitation":"(Sugiono, 2016)"},"properties":{"noteIndex":0},"schema":"https://github.com/citation-style-language/schema/raw/master/csl-citation.json"}</w:instrText>
      </w:r>
      <w:r w:rsidRPr="009352C0">
        <w:rPr>
          <w:rFonts w:eastAsia="Times New Roman"/>
          <w:sz w:val="22"/>
          <w:szCs w:val="22"/>
          <w:lang w:val="fi-FI" w:eastAsia="tr-TR"/>
        </w:rPr>
        <w:fldChar w:fldCharType="separate"/>
      </w:r>
      <w:r w:rsidRPr="009352C0">
        <w:rPr>
          <w:rFonts w:eastAsia="Times New Roman"/>
          <w:noProof/>
          <w:sz w:val="22"/>
          <w:szCs w:val="22"/>
          <w:lang w:val="fi-FI" w:eastAsia="tr-TR"/>
        </w:rPr>
        <w:t>(Sugiono, 2016)</w:t>
      </w:r>
      <w:r w:rsidRPr="009352C0">
        <w:rPr>
          <w:rFonts w:eastAsia="Times New Roman"/>
          <w:sz w:val="22"/>
          <w:szCs w:val="22"/>
          <w:lang w:val="fi-FI" w:eastAsia="tr-TR"/>
        </w:rPr>
        <w:fldChar w:fldCharType="end"/>
      </w:r>
      <w:r w:rsidRPr="009352C0">
        <w:rPr>
          <w:rFonts w:eastAsia="Times New Roman"/>
          <w:sz w:val="22"/>
          <w:szCs w:val="22"/>
          <w:lang w:val="fi-FI" w:eastAsia="tr-TR"/>
        </w:rPr>
        <w:t xml:space="preserve">. Qualitative research enables an in-depth understanding of how strategies for resolving conflicts of interest and social instability in shrimp farm management within a deliberative policy approach </w:t>
      </w:r>
      <w:r w:rsidRPr="009352C0">
        <w:rPr>
          <w:rFonts w:eastAsia="Times New Roman"/>
          <w:sz w:val="22"/>
          <w:szCs w:val="22"/>
          <w:lang w:val="fi-FI" w:eastAsia="tr-TR"/>
        </w:rPr>
        <w:fldChar w:fldCharType="begin" w:fldLock="1"/>
      </w:r>
      <w:r w:rsidRPr="009352C0">
        <w:rPr>
          <w:rFonts w:eastAsia="Times New Roman"/>
          <w:sz w:val="22"/>
          <w:szCs w:val="22"/>
          <w:lang w:val="fi-FI" w:eastAsia="tr-TR"/>
        </w:rPr>
        <w:instrText>ADDIN CSL_CITATION {"citationItems":[{"id":"ITEM-1","itemData":{"DOI":"10.1016/j.envsci.2021.06.012","ISSN":"18736416","abstract":"The 2030 Sustainable Development Agenda rests on both economic growth and Inclusive Development (ID). However, since growth is entangled with socio-ecological exploitation and appropriation, it conflicts with ID where ‘inclusive’ encompasses social, ecological and relational dimensions, and fundamentally redefines ‘development’. Using Toulmin's argumentative model, we show that: (a) inclusive green growth does not promote socio-ecological inclusion and ignores relational inclusion, as economic growth cannot be optimized towards those broader aims; (b) policies for inclusion through pro-poor ‘access’ without ‘re-allocation’ of resources are self-defeating, as inequitable allocation of wealth and of a limited environmental utilization space impoverishes the poor and transfers ecological risks to them; (c) ‘re-allocation’ requires a post-growth agenda involving a downscaling of overconsumption and overaccumulation by the global Centers, and a redefinition of development by the Peripheries; and (d) such an agenda is obstructed by the unequal distribution of wealth and political power. The only way forward is when science and social movements converge to demand system change on the streets and in the courts.","author":[{"dropping-particle":"","family":"Rammelt","given":"Crelis F.","non-dropping-particle":"","parse-names":false,"suffix":""},{"dropping-particle":"","family":"Gupta","given":"Joyeeta","non-dropping-particle":"","parse-names":false,"suffix":""}],"container-title":"Environmental Science and Policy","id":"ITEM-1","issue":"June","issued":{"date-parts":[["2021"]]},"page":"144-155","publisher":"Elsevier Ltd","title":"Inclusive is not an adjective, it transforms development: A post-growth interpretation of Inclusive Development","type":"article-journal","volume":"124"},"uris":["http://www.mendeley.com/documents/?uuid=d78d8755-4990-45ae-896e-92c1c69a4b12"]}],"mendeley":{"formattedCitation":"(Rammelt &amp; Gupta, 2021)","plainTextFormattedCitation":"(Rammelt &amp; Gupta, 2021)","previouslyFormattedCitation":"(Rammelt &amp; Gupta, 2021)"},"properties":{"noteIndex":0},"schema":"https://github.com/citation-style-language/schema/raw/master/csl-citation.json"}</w:instrText>
      </w:r>
      <w:r w:rsidRPr="009352C0">
        <w:rPr>
          <w:rFonts w:eastAsia="Times New Roman"/>
          <w:sz w:val="22"/>
          <w:szCs w:val="22"/>
          <w:lang w:val="fi-FI" w:eastAsia="tr-TR"/>
        </w:rPr>
        <w:fldChar w:fldCharType="separate"/>
      </w:r>
      <w:r w:rsidRPr="009352C0">
        <w:rPr>
          <w:rFonts w:eastAsia="Times New Roman"/>
          <w:noProof/>
          <w:sz w:val="22"/>
          <w:szCs w:val="22"/>
          <w:lang w:val="fi-FI" w:eastAsia="tr-TR"/>
        </w:rPr>
        <w:t>(Rammelt &amp; Gupta, 2021)</w:t>
      </w:r>
      <w:r w:rsidRPr="009352C0">
        <w:rPr>
          <w:rFonts w:eastAsia="Times New Roman"/>
          <w:sz w:val="22"/>
          <w:szCs w:val="22"/>
          <w:lang w:val="fi-FI" w:eastAsia="tr-TR"/>
        </w:rPr>
        <w:fldChar w:fldCharType="end"/>
      </w:r>
      <w:r w:rsidRPr="009352C0">
        <w:rPr>
          <w:rFonts w:eastAsia="Times New Roman"/>
          <w:sz w:val="22"/>
          <w:szCs w:val="22"/>
          <w:lang w:val="fi-FI" w:eastAsia="tr-TR"/>
        </w:rPr>
        <w:t xml:space="preserve">. Case studies allow for comprehensive exploration of specific contexts related to shrimp farm governance policies. In this study, there were 11 informants consisting of the Head of the Regional Development Planning Agency (Bappeda) of Sumenep District, the </w:t>
      </w:r>
      <w:r w:rsidRPr="009352C0">
        <w:rPr>
          <w:rFonts w:eastAsia="Times New Roman"/>
          <w:sz w:val="22"/>
          <w:szCs w:val="22"/>
          <w:lang w:val="fi-FI" w:eastAsia="tr-TR"/>
        </w:rPr>
        <w:lastRenderedPageBreak/>
        <w:t xml:space="preserve">Environmental Agency, DPRD represented by Commission I on law and governance, and Commission III on development. Informants also included pond entrepreneurs, coastal communities, environmentalists from Walhi East Java, BATAN and FMPL, and academics from PUSAKA Wiraraja University. Data were obtained through observation, interviews and documentation. Data were analyzed through interview transcription, theme categorization, document analysis </w:t>
      </w:r>
      <w:r w:rsidRPr="009352C0">
        <w:rPr>
          <w:rFonts w:eastAsia="Times New Roman"/>
          <w:sz w:val="22"/>
          <w:szCs w:val="22"/>
          <w:lang w:val="fi-FI" w:eastAsia="tr-TR"/>
        </w:rPr>
        <w:fldChar w:fldCharType="begin" w:fldLock="1"/>
      </w:r>
      <w:r w:rsidRPr="009352C0">
        <w:rPr>
          <w:rFonts w:eastAsia="Times New Roman"/>
          <w:sz w:val="22"/>
          <w:szCs w:val="22"/>
          <w:lang w:val="fi-FI" w:eastAsia="tr-TR"/>
        </w:rPr>
        <w:instrText>ADDIN CSL_CITATION {"citationItems":[{"id":"ITEM-1","itemData":{"author":[{"dropping-particle":"","family":"Miles","given":"Matthew B.","non-dropping-particle":"","parse-names":false,"suffix":""},{"dropping-particle":"","family":"Huberman","given":"A. Michael","non-dropping-particle":"","parse-names":false,"suffix":""}],"edition":"Second Edi","id":"ITEM-1","issued":{"date-parts":[["1994"]]},"publisher":"SAGE Publication","publisher-place":"California","title":"Qualitative data Analysis: Second Edition","type":"book"},"uris":["http://www.mendeley.com/documents/?uuid=a72b479a-0f4b-4868-a0c7-d6c6743866f7"]}],"mendeley":{"formattedCitation":"(Miles &amp; Huberman, 1994)","plainTextFormattedCitation":"(Miles &amp; Huberman, 1994)","previouslyFormattedCitation":"(Miles &amp; Huberman, 1994)"},"properties":{"noteIndex":0},"schema":"https://github.com/citation-style-language/schema/raw/master/csl-citation.json"}</w:instrText>
      </w:r>
      <w:r w:rsidRPr="009352C0">
        <w:rPr>
          <w:rFonts w:eastAsia="Times New Roman"/>
          <w:sz w:val="22"/>
          <w:szCs w:val="22"/>
          <w:lang w:val="fi-FI" w:eastAsia="tr-TR"/>
        </w:rPr>
        <w:fldChar w:fldCharType="separate"/>
      </w:r>
      <w:r w:rsidRPr="009352C0">
        <w:rPr>
          <w:rFonts w:eastAsia="Times New Roman"/>
          <w:noProof/>
          <w:sz w:val="22"/>
          <w:szCs w:val="22"/>
          <w:lang w:val="fi-FI" w:eastAsia="tr-TR"/>
        </w:rPr>
        <w:t>(Miles &amp; Huberman, 1994)</w:t>
      </w:r>
      <w:r w:rsidRPr="009352C0">
        <w:rPr>
          <w:rFonts w:eastAsia="Times New Roman"/>
          <w:sz w:val="22"/>
          <w:szCs w:val="22"/>
          <w:lang w:val="fi-FI" w:eastAsia="tr-TR"/>
        </w:rPr>
        <w:fldChar w:fldCharType="end"/>
      </w:r>
      <w:r w:rsidRPr="009352C0">
        <w:rPr>
          <w:rFonts w:eastAsia="Times New Roman"/>
          <w:sz w:val="22"/>
          <w:szCs w:val="22"/>
          <w:lang w:val="fi-FI" w:eastAsia="tr-TR"/>
        </w:rPr>
        <w:t>, creation of analysis matrix, coding, and data categorization through NVivo Pro 12, data triangulation, and or conclusion. Data collection tools were voice recording and camera at each data collection point. To deepen the research, questionnaires were also completed on 100 saturated samples (from an infinite number of respondents) with simple regression analysis to test the environmental, economic and social impacts of shrimp farm effluent. The results of the analysis are displayed in the form of simple diagrams to make it easier to read the significance of the effect.</w:t>
      </w:r>
    </w:p>
    <w:p w14:paraId="447C9830" w14:textId="77777777" w:rsidR="009352C0" w:rsidRPr="009352C0" w:rsidRDefault="009352C0" w:rsidP="009352C0">
      <w:pPr>
        <w:spacing w:line="480" w:lineRule="auto"/>
        <w:ind w:firstLine="708"/>
        <w:jc w:val="both"/>
        <w:rPr>
          <w:sz w:val="22"/>
          <w:szCs w:val="22"/>
          <w:lang w:val="en-US"/>
        </w:rPr>
      </w:pPr>
    </w:p>
    <w:p w14:paraId="5382D3FC" w14:textId="16D5D7E8" w:rsidR="009352C0" w:rsidRPr="009352C0" w:rsidRDefault="009352C0" w:rsidP="009352C0">
      <w:pPr>
        <w:spacing w:line="480" w:lineRule="auto"/>
        <w:jc w:val="both"/>
        <w:rPr>
          <w:b/>
          <w:sz w:val="22"/>
          <w:szCs w:val="22"/>
          <w:lang w:val="en-US"/>
        </w:rPr>
      </w:pPr>
      <w:r w:rsidRPr="009352C0">
        <w:rPr>
          <w:b/>
          <w:sz w:val="22"/>
          <w:szCs w:val="22"/>
          <w:lang w:val="en-US"/>
        </w:rPr>
        <w:t xml:space="preserve">RESULTS AND </w:t>
      </w:r>
      <w:bookmarkStart w:id="2" w:name="_Hlk162950224"/>
      <w:r w:rsidRPr="009352C0">
        <w:rPr>
          <w:b/>
          <w:sz w:val="22"/>
          <w:szCs w:val="22"/>
          <w:lang w:val="en-US"/>
        </w:rPr>
        <w:t>DISCUSSIONS</w:t>
      </w:r>
      <w:bookmarkEnd w:id="2"/>
    </w:p>
    <w:p w14:paraId="5D0B4AAE" w14:textId="43BFFA39" w:rsidR="009352C0" w:rsidRPr="009352C0" w:rsidRDefault="009352C0" w:rsidP="009352C0">
      <w:pPr>
        <w:pStyle w:val="JBPHeading1"/>
        <w:numPr>
          <w:ilvl w:val="0"/>
          <w:numId w:val="0"/>
        </w:numPr>
        <w:spacing w:before="0" w:line="480" w:lineRule="auto"/>
        <w:ind w:left="426" w:hanging="426"/>
        <w:rPr>
          <w:rFonts w:ascii="Times New Roman" w:hAnsi="Times New Roman" w:cs="Times New Roman"/>
          <w:b/>
          <w:bCs w:val="0"/>
          <w:sz w:val="22"/>
          <w:szCs w:val="22"/>
        </w:rPr>
      </w:pPr>
      <w:r w:rsidRPr="009352C0">
        <w:rPr>
          <w:rFonts w:ascii="Times New Roman" w:hAnsi="Times New Roman" w:cs="Times New Roman"/>
          <w:b/>
          <w:bCs w:val="0"/>
          <w:sz w:val="22"/>
          <w:szCs w:val="22"/>
        </w:rPr>
        <w:t>1</w:t>
      </w:r>
      <w:r>
        <w:rPr>
          <w:rFonts w:ascii="Times New Roman" w:hAnsi="Times New Roman" w:cs="Times New Roman"/>
          <w:b/>
          <w:bCs w:val="0"/>
          <w:sz w:val="22"/>
          <w:szCs w:val="22"/>
        </w:rPr>
        <w:t>.</w:t>
      </w:r>
      <w:r w:rsidRPr="009352C0">
        <w:rPr>
          <w:rFonts w:ascii="Times New Roman" w:hAnsi="Times New Roman" w:cs="Times New Roman"/>
          <w:b/>
          <w:bCs w:val="0"/>
          <w:sz w:val="22"/>
          <w:szCs w:val="22"/>
        </w:rPr>
        <w:t xml:space="preserve"> Interest and Involvement of Actors in Shrimp Farm Management</w:t>
      </w:r>
    </w:p>
    <w:p w14:paraId="5922146B" w14:textId="77777777" w:rsidR="009352C0" w:rsidRPr="009352C0" w:rsidRDefault="009352C0" w:rsidP="009352C0">
      <w:pPr>
        <w:spacing w:line="480" w:lineRule="auto"/>
        <w:ind w:firstLine="709"/>
        <w:jc w:val="both"/>
        <w:rPr>
          <w:sz w:val="22"/>
          <w:szCs w:val="22"/>
          <w:lang w:val="en-US"/>
        </w:rPr>
      </w:pPr>
      <w:r w:rsidRPr="009352C0">
        <w:rPr>
          <w:sz w:val="22"/>
          <w:szCs w:val="22"/>
          <w:lang w:val="sv-SE"/>
        </w:rPr>
        <w:t xml:space="preserve">Many actors are involved and have an interest in the management of shrimp ponds, so that if good management is not done, it will cause conflicts and many disadvantages, especially for farmers and surrounding communities </w:t>
      </w:r>
      <w:r w:rsidRPr="009352C0">
        <w:rPr>
          <w:sz w:val="22"/>
          <w:szCs w:val="22"/>
          <w:lang w:val="sv-SE"/>
        </w:rPr>
        <w:fldChar w:fldCharType="begin" w:fldLock="1"/>
      </w:r>
      <w:r w:rsidRPr="009352C0">
        <w:rPr>
          <w:sz w:val="22"/>
          <w:szCs w:val="22"/>
          <w:lang w:val="sv-SE"/>
        </w:rPr>
        <w:instrText>ADDIN CSL_CITATION {"citationItems":[{"id":"ITEM-1","itemData":{"DOI":"10.1080/13657305.2021.1897190","ISSN":"13657305","abstract":"Shrimp polyculture is an important activity in South East Asia, providing a livelihood and food for small-scale farmers. However, farmers are facing challenges due to increasing environmental problems in rivers used as the primary source of water in aquaculture pond production. To deal with these challenges, farmers have organized co-management communities, which gives them a stronger voice among river users. This study investigates the effects of co-management on technical efficiency and environmental stressors using a second-stage Data Envelopment Analysis model. Environmental stressors are identified through interviews with 306 farmers in eight sub-districts, of which two are practicing co-management. The results show that farmers in areas with co-management have relatively high technical efficiency after taking other drivers into account. Furthermore, the farmer’s technical efficiency seems to be less affected by the identified environmental stressors. In conclusion, co-management could be used as a tool to improve technical efficiency and limit stress factors for farmers. It could be initiated by the farmers themselves or by policymakers and natural resource managers and could improve the livelihoods of small-scale shrimp polyculture farmers.","author":[{"dropping-particle":"","family":"Hukom","given":"Venticia","non-dropping-particle":"","parse-names":false,"suffix":""},{"dropping-particle":"","family":"Nielsen","given":"Rasmus","non-dropping-particle":"","parse-names":false,"suffix":""},{"dropping-particle":"","family":"Nielsen","given":"Max","non-dropping-particle":"","parse-names":false,"suffix":""}],"container-title":"Aquaculture Economics and Management","id":"ITEM-1","issue":"1","issued":{"date-parts":[["2022"]]},"page":"98-117","publisher":"Taylor and Francis Ltd.","title":"Effects of co-management on technical efficiency and environmental stressors: An application to small-scale shrimp polyculture in Indonesia","type":"article-journal","volume":"26"},"uris":["http://www.mendeley.com/documents/?uuid=ee0e1a9f-0126-38a8-a689-fc6d972b3461"]},{"id":"ITEM-2","itemData":{"DOI":"10.1088/1755-1315/1109/1/012096","ISSN":"17551315","abstract":"Shrimp farming is an aquaculture activity with complex environmental and social issues that must be solved in cooperation with relevant stakeholders. This study aims to review the concept of multi-stakeholder partnership in the context of shrimp farming. In this study, a qualitative literature review was conducted using the Preferred Reporting Items for Systematic Reviews and Meta-Analyse (PRISMA) framework within the scientific literature. Based on the defined inclusion and exclusion criteria, 4 of 17 studies published between 2010 and 2020 were selected to review further, referring to the concept of multi-stakeholder partnership in aquaculture, taking into account social-ecological system framework management. Our review revealed that multi-stakeholder partnerships allegedly become the problem solver since the complex problem can be neither understood nor addressed by only a single organization or actor involved in shrimp farming. Multi-stakeholder partnership, in which government - business - public (including farmers) are involved, will have an essential meaning in solving complex problems in shrimp farming through sharing in planning, decision making, and activities goals among them.","author":[{"dropping-particle":"","family":"Umbas","given":"Anytha P.","non-dropping-particle":"","parse-names":false,"suffix":""},{"dropping-particle":"","family":"Fauzi","given":"A.","non-dropping-particle":"","parse-names":false,"suffix":""},{"dropping-particle":"","family":"Purnomo","given":"H.","non-dropping-particle":"","parse-names":false,"suffix":""},{"dropping-particle":"","family":"Kolopaking","given":"L. M.","non-dropping-particle":"","parse-names":false,"suffix":""},{"dropping-particle":"","family":"Syaiful","given":"Reza A.","non-dropping-particle":"","parse-names":false,"suffix":""}],"container-title":"IOP Conference Series: Earth and Environmental Science","id":"ITEM-2","issue":"1","issued":{"date-parts":[["2022"]]},"publisher":"Institute of Physics","title":"Multi-stakeholder partnership in the context of responsible shrimp farming in Indonesia: A systematic review","type":"paper-conference","volume":"1109"},"uris":["http://www.mendeley.com/documents/?uuid=49775082-da7b-37e0-ad71-590135866930"]}],"mendeley":{"formattedCitation":"(Hukom et al., 2022; Umbas et al., 2022)","plainTextFormattedCitation":"(Hukom et al., 2022; Umbas et al., 2022)","previouslyFormattedCitation":"(Hukom et al., 2022; Umbas et al., 2022)"},"properties":{"noteIndex":0},"schema":"https://github.com/citation-style-language/schema/raw/master/csl-citation.json"}</w:instrText>
      </w:r>
      <w:r w:rsidRPr="009352C0">
        <w:rPr>
          <w:sz w:val="22"/>
          <w:szCs w:val="22"/>
          <w:lang w:val="sv-SE"/>
        </w:rPr>
        <w:fldChar w:fldCharType="separate"/>
      </w:r>
      <w:r w:rsidRPr="009352C0">
        <w:rPr>
          <w:noProof/>
          <w:sz w:val="22"/>
          <w:szCs w:val="22"/>
          <w:lang w:val="sv-SE"/>
        </w:rPr>
        <w:t>(Hukom et al., 2022; Umbas et al., 2022)</w:t>
      </w:r>
      <w:r w:rsidRPr="009352C0">
        <w:rPr>
          <w:sz w:val="22"/>
          <w:szCs w:val="22"/>
          <w:lang w:val="sv-SE"/>
        </w:rPr>
        <w:fldChar w:fldCharType="end"/>
      </w:r>
      <w:r w:rsidRPr="009352C0">
        <w:rPr>
          <w:sz w:val="22"/>
          <w:szCs w:val="22"/>
          <w:lang w:val="sv-SE"/>
        </w:rPr>
        <w:t xml:space="preserve">.  In general, the interests of various actors are related to environmental sustainability, economic growth, economic justice and equity, social stability, and public health in the pond area </w:t>
      </w:r>
      <w:r w:rsidRPr="009352C0">
        <w:rPr>
          <w:sz w:val="22"/>
          <w:szCs w:val="22"/>
          <w:lang w:val="sv-SE"/>
        </w:rPr>
        <w:fldChar w:fldCharType="begin" w:fldLock="1"/>
      </w:r>
      <w:r w:rsidRPr="009352C0">
        <w:rPr>
          <w:sz w:val="22"/>
          <w:szCs w:val="22"/>
          <w:lang w:val="sv-SE"/>
        </w:rPr>
        <w:instrText>ADDIN CSL_CITATION {"citationItems":[{"id":"ITEM-1","itemData":{"DOI":"10.1016/j.heliyon.2021.e08283","ISSN":"24058440","abstract":"Aquaculture has been celebrated globally and believed to usher in a viable alternative to capture fisheries. It is most welcomed especially now that the world population explosion has pushed the demand on fisheries products to worrisome limits. Shrimp farming is an area of aquaculture that has witnessed significant growth in recent years, contributing substantially to the global aquaculture production. However, intensification of shrimp aquaculture has come with unintended consequences such as wastewater management and other problems emanating from environmental impact of the wastewater. This study identified excess feed and fertilizer application, metabolite wastes, shrimp mortalities, oil spillage from farm machines, drug and chemical abuse as some of the activities contributing to wastewater generation in shrimp aquaculture farming. The impact of shrimp effluent water discharged has been observed to be socio-economic with both positive and negative dimensions. In attempt to overcome the overwhelming problems associated with shrimp effluent water and bring reassurances to its sustainability, a good number of new technological approaches have been identified including caviation, high-rate algal pond system, use of nanomaterials, biofloc technology, nanoadsorbent and polymeric nanoadsorbents. Although all have been proven to be useful, none could boast of a complete and integrated approach that considers all the technological, legal, social, environmental, public health and institutional concerns.","author":[{"dropping-particle":"","family":"Iber","given":"Benedict Terkula","non-dropping-particle":"","parse-names":false,"suffix":""},{"dropping-particle":"","family":"Kasan","given":"Nor Azman","non-dropping-particle":"","parse-names":false,"suffix":""}],"container-title":"Heliyon","id":"ITEM-1","issue":"11","issued":{"date-parts":[["2021"]]},"page":"e08283","publisher":"The Author(s)","title":"Recent advances in Shrimp aquaculture wastewater management","type":"article-journal","volume":"7"},"uris":["http://www.mendeley.com/documents/?uuid=8531d188-427a-4538-81f1-e4301e64846e"]},{"id":"ITEM-2","itemData":{"DOI":"10.3390/su14052977","ISSN":"20711050","abstract":"Shrimp aquaculture is under pressure to increase its production to meet the growing demand for food from a growing population. In the Philippines, aquaculture has experienced the shift from milkfish to prawn, with its attractive marketable price. This intensification has led to negative and positive impacts, which have raised a range of environmental and socioeconomic problems. This paper reviews the environmental and socioeconomic challenges that the shrimp aquaculture industry faces using the Preferred Reporting Items for Systematic Reviews and Meta-Analyses (PRISMA) method. We examine the gaps and the changes that are required to revitalize the industry. We examine and assess the impacts of shrimp culture on the environment, e.g., shrimp farm management, marine pollution, disease outbreaks, and the social, economic, and climate change impacts. The presence of viral diseases, such as White Spot Syndrome Virus (WSSV), Monodon Baculovirus (MBV), Infectious Hypodermal and Hematopoietic Necrosis Virus (IHHNV), Hepatopancreatic Parvovirus (HPV), and Yellow Head Virus (YHV), have caused approximate losses in the industry of 40,080 mt in 1997, and 51,000 mt in 2014. Recommended strategies and policy changes are considered for the improvement of shrimp aquaculture, including disease management, the adoption of good aquaculture practices, proper environmental monitoring, sustainable practices at the farm level, and priorities for cooperation among the concerned government agencies and local governments, as well as the involvement of state universities and colleges, for better management practices.","author":[{"dropping-particle":"","family":"Macusi","given":"Edison D.","non-dropping-particle":"","parse-names":false,"suffix":""},{"dropping-particle":"","family":"Estor","given":"Darshel Ester P.","non-dropping-particle":"","parse-names":false,"suffix":""},{"dropping-particle":"","family":"Borazon","given":"Elaine Q.","non-dropping-particle":"","parse-names":false,"suffix":""},{"dropping-particle":"","family":"Clapano","given":"Misael B.","non-dropping-particle":"","parse-names":false,"suffix":""},{"dropping-particle":"","family":"Santos","given":"Mudjekeewis D.","non-dropping-particle":"","parse-names":false,"suffix":""}],"container-title":"Sustainability (Switzerland)","id":"ITEM-2","issue":"5","issued":{"date-parts":[["2022","3","1"]]},"publisher":"MDPI","title":"Environmental and Socioeconomic Impacts of Shrimp Farming in the Philippines: A Critical Analysis Using PRISMA","type":"article","volume":"14"},"uris":["http://www.mendeley.com/documents/?uuid=1aa7429c-6c56-34ae-8c4a-fc2eeae1d7d5"]},{"id":"ITEM-3","itemData":{"DOI":"10.1016/j.ecoenv.2021.112858","ISSN":"10902414","PMID":"34653940","abstract":"Hundreds of tons of antibiotics are widely used in aquaculture to prevent microbial infections and promote fish growth. However, the overuse of antibiotics and chemical products can lead to the selection and spreading of antibiotic-resistant bacteria (ARB) and antimicrobial resistance genes (ARGs), which are of great concern considering the threat to public health worldwide. Here, in-depth metagenome sequencing was performed to explore the environmental resistome and ARB distribution across farming stages in shrimp farms and examine anthropogenic effects in nearby coastal waters. A genome-centric analysis using a metagenome binning approach allowed us to accurately investigate the distribution of pathogens and ARG hosts in shrimp farms. The diversity of resistomes was higher in shrimp farms than in coastal waters, and the distribution of resistomes was dependent on the farming stage. In particular, the tetracycline resistance gene was found mainly at the early post-larval stage regardless of the farm. The metagenome-assembled genomes of Vibrio spp. were dominant at this stage and harbored tet34, which is known to confer resistance to oxytetracycline. In addition, opportunistic pathogens such as Francisella, Mycoplasma, Photobacterium, and Vibrio were found in abundance in shrimp farms, which had multiple virulence factors. This study highlights the increased resistance diversity and environmental selection of pathogens in shrimp farms. The use of environmental pollutants on farms may cause an increase in resistome diversity/abundance and the transmission of pathogens to the surrounding environment, which may pose future risks to public health and aquatic organisms.","author":[{"dropping-particle":"","family":"Seong","given":"Hoon Je","non-dropping-particle":"","parse-names":false,"suffix":""},{"dropping-particle":"","family":"Kim","given":"Jin Ju","non-dropping-particle":"","parse-names":false,"suffix":""},{"dropping-particle":"","family":"Kim","given":"Taeyune","non-dropping-particle":"","parse-names":false,"suffix":""},{"dropping-particle":"","family":"Ahn","given":"Sung Jae","non-dropping-particle":"","parse-names":false,"suffix":""},{"dropping-particle":"","family":"Rho","given":"Mina","non-dropping-particle":"","parse-names":false,"suffix":""},{"dropping-particle":"","family":"Sul","given":"Woo Jun","non-dropping-particle":"","parse-names":false,"suffix":""}],"container-title":"Ecotoxicology and Environmental Safety","id":"ITEM-3","issued":{"date-parts":[["2021"]]},"page":"112858","publisher":"Elsevier Inc.","title":"A case study on the distribution of the environmental resistome in Korean shrimp farms","type":"article-journal","volume":"227"},"uris":["http://www.mendeley.com/documents/?uuid=5ed76d9d-aca4-4388-bcce-80c55d0cccb4"]},{"id":"ITEM-4","itemData":{"DOI":"10.1016/j.jenvman.2021.112585","ISSN":"10958630","PMID":"33901831","abstract":"Aquaculture is the fastest growing food production industry globally and is considered to have the greatest potential to meet the growing demand for seafood and being a solution to overfishing. Despite the benefits of aquaculture, the rapid growth and intensification of production (so-called conventional aquaculture) has raised concerns about food safety, fish welfare, and environmental and social issues stemming from a tragedy of the commons. These concerns need to be addressed to enable sustainable aquaculture development. While the negative environmental impacts of aquaculture have been evaluated using physical and chemical indicators, the social acceptance has not been fully considered when evaluating aquaculture sustainability. With this backdrop, our study investigates knowledge and beliefs towards shrimp aquaculture development among two key stakeholder groups in Vietnam: the public and producers (shrimp farmers). Our results show that stakeholders were concerned about the social and environmental impacts of conventional shrimp aquaculture, although the different stakeholder groups emphasized different aspects. The public believed biodiversity loss and the overuse of antibiotics and pesticides to be more problematic compared to producers, who believed water quality and disease outbreaks were the main problems facing the industry. Following on from this, most respondents perceived sustainable aquaculture production positively, implying social acceptability for its development. Awareness of and knowledge about sustainable aquaculture positively and significantly affected stakeholders’ support for expansion, suggesting that communication and education may be effective tools for improving social acceptance of aquaculture.","author":[{"dropping-particle":"","family":"Xuan","given":"Bui Bich","non-dropping-particle":"","parse-names":false,"suffix":""},{"dropping-particle":"","family":"Sandorf","given":"Erlend Dancke","non-dropping-particle":"","parse-names":false,"suffix":""},{"dropping-particle":"","family":"Ngoc","given":"Quach Thi Khanh","non-dropping-particle":"","parse-names":false,"suffix":""}],"container-title":"Journal of Environmental Management","id":"ITEM-4","issued":{"date-parts":[["2021","7","15"]]},"publisher":"Academic Press","title":"Stakeholder perceptions towards sustainable shrimp aquaculture in Vietnam","type":"article-journal","volume":"290"},"uris":["http://www.mendeley.com/documents/?uuid=84e4791f-ecca-3f50-b55e-1cbb83041dfa"]}],"mendeley":{"formattedCitation":"(Iber &amp; Kasan, 2021; Macusi et al., 2022; Seong et al., 2021; Xuan et al., 2021)","plainTextFormattedCitation":"(Iber &amp; Kasan, 2021; Macusi et al., 2022; Seong et al., 2021; Xuan et al., 2021)","previouslyFormattedCitation":"(Iber &amp; Kasan, 2021; Macusi et al., 2022; Seong et al., 2021; Xuan et al., 2021)"},"properties":{"noteIndex":0},"schema":"https://github.com/citation-style-language/schema/raw/master/csl-citation.json"}</w:instrText>
      </w:r>
      <w:r w:rsidRPr="009352C0">
        <w:rPr>
          <w:sz w:val="22"/>
          <w:szCs w:val="22"/>
          <w:lang w:val="sv-SE"/>
        </w:rPr>
        <w:fldChar w:fldCharType="separate"/>
      </w:r>
      <w:r w:rsidRPr="009352C0">
        <w:rPr>
          <w:noProof/>
          <w:sz w:val="22"/>
          <w:szCs w:val="22"/>
          <w:lang w:val="sv-SE"/>
        </w:rPr>
        <w:t>(Iber &amp; Kasan, 2021; Macusi et al., 2022; Seong et al., 2021; Xuan et al., 2021)</w:t>
      </w:r>
      <w:r w:rsidRPr="009352C0">
        <w:rPr>
          <w:sz w:val="22"/>
          <w:szCs w:val="22"/>
          <w:lang w:val="sv-SE"/>
        </w:rPr>
        <w:fldChar w:fldCharType="end"/>
      </w:r>
      <w:r w:rsidRPr="009352C0">
        <w:rPr>
          <w:sz w:val="22"/>
          <w:szCs w:val="22"/>
          <w:lang w:val="sv-SE"/>
        </w:rPr>
        <w:t>. Among the actors involved are pond entrepreneurs, agricultural actors, fisheries actors, affected communities, local governments, and environmentalists.</w:t>
      </w:r>
    </w:p>
    <w:p w14:paraId="0B763A92" w14:textId="77777777" w:rsidR="009352C0" w:rsidRPr="009352C0" w:rsidRDefault="009352C0" w:rsidP="009352C0">
      <w:pPr>
        <w:pStyle w:val="ListParagraph"/>
        <w:numPr>
          <w:ilvl w:val="0"/>
          <w:numId w:val="2"/>
        </w:numPr>
        <w:spacing w:line="480" w:lineRule="auto"/>
        <w:jc w:val="both"/>
        <w:rPr>
          <w:sz w:val="22"/>
          <w:szCs w:val="22"/>
          <w:lang w:val="en-US"/>
        </w:rPr>
      </w:pPr>
      <w:r w:rsidRPr="009352C0">
        <w:rPr>
          <w:b/>
          <w:bCs/>
          <w:sz w:val="22"/>
          <w:szCs w:val="22"/>
        </w:rPr>
        <w:t>Pond Entrepreneurs</w:t>
      </w:r>
    </w:p>
    <w:p w14:paraId="51B1A384" w14:textId="77777777" w:rsidR="009352C0" w:rsidRPr="009352C0" w:rsidRDefault="009352C0" w:rsidP="009352C0">
      <w:pPr>
        <w:spacing w:line="480" w:lineRule="auto"/>
        <w:ind w:firstLine="709"/>
        <w:jc w:val="both"/>
        <w:rPr>
          <w:sz w:val="22"/>
          <w:szCs w:val="22"/>
        </w:rPr>
      </w:pPr>
      <w:r w:rsidRPr="009352C0">
        <w:rPr>
          <w:sz w:val="22"/>
          <w:szCs w:val="22"/>
        </w:rPr>
        <w:t xml:space="preserve">Pond entrepreneurs are the main actors in the rise of the pond industry in coastal areas. There are outside entrepreneurs who have 0.5-3 hectares of cultivated land and local entrepreneurs who generally only 01-0.5 hectares. Local entrepreneurs can be from the local village or from other villages in the same district. Entrepreneurs are involved in preparing capital to buy land owned by local people to be used as shrimp farms. For external entrepreneurs, there is no land lease. The ponds that are cultivated are all property rights whose land has been purchased from the community. The process of </w:t>
      </w:r>
      <w:r w:rsidRPr="009352C0">
        <w:rPr>
          <w:sz w:val="22"/>
          <w:szCs w:val="22"/>
        </w:rPr>
        <w:lastRenderedPageBreak/>
        <w:t>land ownership also involves village officials so that people are willing to sell their land to other parties (entrepreneurs) for the benefit of the pond (personal communication, July 17, 2023).</w:t>
      </w:r>
    </w:p>
    <w:p w14:paraId="37BB32E4" w14:textId="77777777" w:rsidR="009352C0" w:rsidRPr="009352C0" w:rsidRDefault="009352C0" w:rsidP="009352C0">
      <w:pPr>
        <w:pStyle w:val="ListParagraph"/>
        <w:numPr>
          <w:ilvl w:val="0"/>
          <w:numId w:val="2"/>
        </w:numPr>
        <w:tabs>
          <w:tab w:val="left" w:pos="426"/>
        </w:tabs>
        <w:spacing w:line="480" w:lineRule="auto"/>
        <w:rPr>
          <w:b/>
          <w:bCs/>
          <w:sz w:val="22"/>
          <w:szCs w:val="22"/>
        </w:rPr>
      </w:pPr>
      <w:r w:rsidRPr="009352C0">
        <w:rPr>
          <w:b/>
          <w:bCs/>
          <w:sz w:val="22"/>
          <w:szCs w:val="22"/>
        </w:rPr>
        <w:t>Agricultural Actors</w:t>
      </w:r>
    </w:p>
    <w:p w14:paraId="239C1412" w14:textId="77777777" w:rsidR="009352C0" w:rsidRPr="009352C0" w:rsidRDefault="009352C0" w:rsidP="009352C0">
      <w:pPr>
        <w:spacing w:line="480" w:lineRule="auto"/>
        <w:ind w:firstLine="709"/>
        <w:jc w:val="both"/>
        <w:rPr>
          <w:sz w:val="22"/>
          <w:szCs w:val="22"/>
          <w:lang w:val="en-US"/>
        </w:rPr>
      </w:pPr>
      <w:r w:rsidRPr="009352C0">
        <w:rPr>
          <w:sz w:val="22"/>
          <w:szCs w:val="22"/>
        </w:rPr>
        <w:t>Agricultural actors are affected by the management of shrimp ponds. Therefore, farmers have an interest that shrimp ponds are managed as well as possible so as not to eliminate farmers' livelihoods. Farmers' interests are in the productivity of seaweed farmers and land farmers in the form of corn and grains (personal communication, July 17, 2023).</w:t>
      </w:r>
    </w:p>
    <w:p w14:paraId="35BAB5B4" w14:textId="77777777" w:rsidR="009352C0" w:rsidRPr="009352C0" w:rsidRDefault="009352C0" w:rsidP="009352C0">
      <w:pPr>
        <w:spacing w:line="480" w:lineRule="auto"/>
        <w:ind w:firstLine="709"/>
        <w:jc w:val="both"/>
        <w:rPr>
          <w:sz w:val="22"/>
          <w:szCs w:val="22"/>
          <w:lang w:val="en-US"/>
        </w:rPr>
      </w:pPr>
      <w:r w:rsidRPr="009352C0">
        <w:rPr>
          <w:sz w:val="22"/>
          <w:szCs w:val="22"/>
        </w:rPr>
        <w:t>Beach lips that are polluted by shrimp pond waste cannot produce high quality seaweed farming. In fact, if the pollution is severe enough, seaweed cannot be planted because the results are not only of poor quality but also detrimental due to low productivity. As for land farmers, the loss of livelihoods due to land conversion that could previously be managed for agriculture. Therefore, farmers have an interest that shrimp farms are not allowed on agriculturally productive lands. Farms that are 1-2 km from the shoreline have a polluting impact on seawater and are detrimental to seaweed farmers.</w:t>
      </w:r>
    </w:p>
    <w:p w14:paraId="74CD84F4" w14:textId="77777777" w:rsidR="009352C0" w:rsidRPr="009352C0" w:rsidRDefault="009352C0" w:rsidP="009352C0">
      <w:pPr>
        <w:pStyle w:val="ListParagraph"/>
        <w:numPr>
          <w:ilvl w:val="0"/>
          <w:numId w:val="2"/>
        </w:numPr>
        <w:tabs>
          <w:tab w:val="left" w:pos="426"/>
        </w:tabs>
        <w:spacing w:line="480" w:lineRule="auto"/>
        <w:rPr>
          <w:b/>
          <w:bCs/>
          <w:sz w:val="22"/>
          <w:szCs w:val="22"/>
        </w:rPr>
      </w:pPr>
      <w:r w:rsidRPr="009352C0">
        <w:rPr>
          <w:b/>
          <w:bCs/>
          <w:sz w:val="22"/>
          <w:szCs w:val="22"/>
        </w:rPr>
        <w:t>Fishery actors</w:t>
      </w:r>
    </w:p>
    <w:p w14:paraId="0B728D50" w14:textId="77777777" w:rsidR="009352C0" w:rsidRPr="009352C0" w:rsidRDefault="009352C0" w:rsidP="009352C0">
      <w:pPr>
        <w:spacing w:line="480" w:lineRule="auto"/>
        <w:ind w:firstLine="709"/>
        <w:jc w:val="both"/>
        <w:rPr>
          <w:sz w:val="22"/>
          <w:szCs w:val="22"/>
          <w:lang w:val="en-US"/>
        </w:rPr>
      </w:pPr>
      <w:r w:rsidRPr="009352C0">
        <w:rPr>
          <w:sz w:val="22"/>
          <w:szCs w:val="22"/>
        </w:rPr>
        <w:t>The majority of marine communities work as fishermen or fishermen. Fishermen who have large capital will catch fish in the middle of the sea but those who only have small canoes, the catch area is on the shoreline. When the pond industry became more widespread in the range of 2020, the shoreline area was no longer a productive zone for fishermen. Birbir Beach is polluted by shrimp pond waste which results in fish degradation.</w:t>
      </w:r>
    </w:p>
    <w:p w14:paraId="44A3F587" w14:textId="77777777" w:rsidR="009352C0" w:rsidRPr="009352C0" w:rsidRDefault="009352C0" w:rsidP="009352C0">
      <w:pPr>
        <w:spacing w:line="480" w:lineRule="auto"/>
        <w:ind w:firstLine="709"/>
        <w:jc w:val="both"/>
        <w:rPr>
          <w:sz w:val="22"/>
          <w:szCs w:val="22"/>
          <w:lang w:val="en-US"/>
        </w:rPr>
      </w:pPr>
      <w:r w:rsidRPr="009352C0">
        <w:rPr>
          <w:sz w:val="22"/>
          <w:szCs w:val="22"/>
        </w:rPr>
        <w:t>Fishermen have an interest in ensuring that the sea is not polluted and remains a land of income. Another interest is in controlling the management of shrimp ponds so that their waste does not pollute the sea which has an impact on low fish productivity.</w:t>
      </w:r>
    </w:p>
    <w:p w14:paraId="610F101C" w14:textId="77777777" w:rsidR="009352C0" w:rsidRPr="009352C0" w:rsidRDefault="009352C0" w:rsidP="009352C0">
      <w:pPr>
        <w:pStyle w:val="ListParagraph"/>
        <w:numPr>
          <w:ilvl w:val="0"/>
          <w:numId w:val="2"/>
        </w:numPr>
        <w:spacing w:line="480" w:lineRule="auto"/>
        <w:jc w:val="both"/>
        <w:rPr>
          <w:sz w:val="22"/>
          <w:szCs w:val="22"/>
          <w:lang w:val="en-US"/>
        </w:rPr>
      </w:pPr>
      <w:r w:rsidRPr="009352C0">
        <w:rPr>
          <w:b/>
          <w:bCs/>
          <w:sz w:val="22"/>
          <w:szCs w:val="22"/>
        </w:rPr>
        <w:t>Neighboring communities affected by pollution.</w:t>
      </w:r>
    </w:p>
    <w:p w14:paraId="19E9FABC" w14:textId="77777777" w:rsidR="009352C0" w:rsidRPr="009352C0" w:rsidRDefault="009352C0" w:rsidP="009352C0">
      <w:pPr>
        <w:spacing w:line="480" w:lineRule="auto"/>
        <w:ind w:firstLine="709"/>
        <w:jc w:val="both"/>
        <w:rPr>
          <w:sz w:val="22"/>
          <w:szCs w:val="22"/>
          <w:lang w:val="en-US"/>
        </w:rPr>
      </w:pPr>
      <w:r w:rsidRPr="009352C0">
        <w:rPr>
          <w:sz w:val="22"/>
          <w:szCs w:val="22"/>
        </w:rPr>
        <w:t xml:space="preserve">Surrounding communities are not involved in the management of shrimp ponds, but have an interest in the management of the ponds due to direct and indirect impacts. Environmental stability and land security are of concern to the communities surrounding the ponds. The impacts felt by surrounding communities are noise and odor pollution. Shrimp ponds generate noise that disrupts the social stability of the community. There are two tools that are used continuously, namely waterwheels and diesel </w:t>
      </w:r>
      <w:r w:rsidRPr="009352C0">
        <w:rPr>
          <w:sz w:val="22"/>
          <w:szCs w:val="22"/>
        </w:rPr>
        <w:lastRenderedPageBreak/>
        <w:t>engines that emit reflected sound reaching 150-200 m around the pond area. The noise gets louder in the middle of the night, disturbing the rest of the community.</w:t>
      </w:r>
    </w:p>
    <w:p w14:paraId="4044BBBD" w14:textId="77777777" w:rsidR="009352C0" w:rsidRPr="009352C0" w:rsidRDefault="009352C0" w:rsidP="009352C0">
      <w:pPr>
        <w:spacing w:line="480" w:lineRule="auto"/>
        <w:ind w:firstLine="709"/>
        <w:jc w:val="both"/>
        <w:rPr>
          <w:sz w:val="22"/>
          <w:szCs w:val="22"/>
          <w:lang w:val="en-US"/>
        </w:rPr>
      </w:pPr>
      <w:r w:rsidRPr="009352C0">
        <w:rPr>
          <w:sz w:val="22"/>
          <w:szCs w:val="22"/>
        </w:rPr>
        <w:t>Shrimp ponds also produce odors that are quite pungent for residents of the pond area. The pungent odor appears at harvest time due to poorly managed waste disposal. Waste disposal within 3-5 days smells very disturbing to the community.</w:t>
      </w:r>
    </w:p>
    <w:p w14:paraId="27E31967" w14:textId="77777777" w:rsidR="009352C0" w:rsidRPr="009352C0" w:rsidRDefault="009352C0" w:rsidP="009352C0">
      <w:pPr>
        <w:pStyle w:val="ListParagraph"/>
        <w:numPr>
          <w:ilvl w:val="0"/>
          <w:numId w:val="2"/>
        </w:numPr>
        <w:spacing w:line="480" w:lineRule="auto"/>
        <w:jc w:val="both"/>
        <w:rPr>
          <w:sz w:val="22"/>
          <w:szCs w:val="22"/>
          <w:lang w:val="en-US"/>
        </w:rPr>
      </w:pPr>
      <w:r w:rsidRPr="009352C0">
        <w:rPr>
          <w:b/>
          <w:bCs/>
          <w:sz w:val="22"/>
          <w:szCs w:val="22"/>
        </w:rPr>
        <w:t>Government</w:t>
      </w:r>
    </w:p>
    <w:p w14:paraId="4E5252CB" w14:textId="77777777" w:rsidR="009352C0" w:rsidRPr="009352C0" w:rsidRDefault="009352C0" w:rsidP="009352C0">
      <w:pPr>
        <w:spacing w:line="480" w:lineRule="auto"/>
        <w:ind w:firstLine="708"/>
        <w:jc w:val="both"/>
        <w:rPr>
          <w:sz w:val="22"/>
          <w:szCs w:val="22"/>
          <w:lang w:val="en-US"/>
        </w:rPr>
      </w:pPr>
      <w:r w:rsidRPr="009352C0">
        <w:rPr>
          <w:sz w:val="22"/>
          <w:szCs w:val="22"/>
        </w:rPr>
        <w:t xml:space="preserve">Local governments have an interest in economic, social and environmental stability. The government's role as the leading sector of management is indirect through policy. Shrimp farms are generally managed by the private sector, which has high capital. Often the managers are categorized as investors and not local people. Therefore, local governments are also interested in increasing local revenues, environmental sustainability, production sustainability, and the application of rules and regulations </w:t>
      </w:r>
      <w:r w:rsidRPr="009352C0">
        <w:rPr>
          <w:sz w:val="22"/>
          <w:szCs w:val="22"/>
        </w:rPr>
        <w:fldChar w:fldCharType="begin" w:fldLock="1"/>
      </w:r>
      <w:r w:rsidRPr="009352C0">
        <w:rPr>
          <w:sz w:val="22"/>
          <w:szCs w:val="22"/>
        </w:rPr>
        <w:instrText>ADDIN CSL_CITATION {"citationItems":[{"id":"ITEM-1","itemData":{"DOI":"10.22146/jfs.73005","ISSN":"0853-6384","abstract":"Shrimp pond management institutions are the primary key in increasing shrimp productivity and as a means and infrastructure for developing ponds and coordinating all activities. This study aimed to analyze the institutional management of shrimp pond areas to support shrimp productivity in the National Priority Program on the coast of Peureulak, East Aceh, Aceh. This study uses the Interpretative Structural Modeling (ISM) method. Surveys and interviews carry out data collection methods, focus group discussions (FGD) and questionnaires. Five (5) elements are analyzed, namely program objectives, influencing community sectors, program needs, main constraints, and institutions involved in program implementation. The analysis results show that support for the cultivation environment and the community, adequate facilities and infrastructure, and business capital availability are key sub-elements of the program objectives. Meanwhile, the Central Government (Ministry of Marine Affairs and Fisheries), Provincial Marine and Fisheries Service, and Fish Farm Cultivator Group are the institutions that play the most role in increasing shrimp productivity. At the same time, the delivery of technology that cannot be implemented, the construction and layout of traditional ponds and knowledge of skills and the low attitude of pond managers is the main obstacle in the achievement of program objectives. In contrast, the community sector which is influential in supporting program objectives is transportation, fisheries and settlements.","author":[{"dropping-particle":"","family":"Suprihadi","given":"Suprihadi","non-dropping-particle":"","parse-names":false,"suffix":""},{"dropping-particle":"","family":"Farkhan","given":"Moch","non-dropping-particle":"","parse-names":false,"suffix":""},{"dropping-particle":"","family":"Sektiana","given":"Sinar Pagi","non-dropping-particle":"","parse-names":false,"suffix":""},{"dropping-particle":"","family":"Baihaqi","given":"Baihaqi","non-dropping-particle":"","parse-names":false,"suffix":""},{"dropping-particle":"","family":"Nelli","given":"Suris","non-dropping-particle":"","parse-names":false,"suffix":""},{"dropping-particle":"","family":"Haris","given":"Muhammad","non-dropping-particle":"","parse-names":false,"suffix":""}],"container-title":"Jurnal Perikanan Universitas Gadjah Mada","id":"ITEM-1","issue":"1","issued":{"date-parts":[["2022"]]},"page":"79","title":"Role of Shrimp Pond Management Institutions Supporting Shrimp Productivity in the Peureulak Coast, East Aceh","type":"article-journal","volume":"24"},"uris":["http://www.mendeley.com/documents/?uuid=a410d3f5-dded-476e-8cd2-49051560a9bb"]}],"mendeley":{"formattedCitation":"(Suprihadi et al., 2022)","plainTextFormattedCitation":"(Suprihadi et al., 2022)","previouslyFormattedCitation":"(Suprihadi et al., 2022)"},"properties":{"noteIndex":0},"schema":"https://github.com/citation-style-language/schema/raw/master/csl-citation.json"}</w:instrText>
      </w:r>
      <w:r w:rsidRPr="009352C0">
        <w:rPr>
          <w:sz w:val="22"/>
          <w:szCs w:val="22"/>
        </w:rPr>
        <w:fldChar w:fldCharType="separate"/>
      </w:r>
      <w:r w:rsidRPr="009352C0">
        <w:rPr>
          <w:noProof/>
          <w:sz w:val="22"/>
          <w:szCs w:val="22"/>
        </w:rPr>
        <w:t>(Suprihadi et al., 2022)</w:t>
      </w:r>
      <w:r w:rsidRPr="009352C0">
        <w:rPr>
          <w:sz w:val="22"/>
          <w:szCs w:val="22"/>
        </w:rPr>
        <w:fldChar w:fldCharType="end"/>
      </w:r>
      <w:r w:rsidRPr="009352C0">
        <w:rPr>
          <w:sz w:val="22"/>
          <w:szCs w:val="22"/>
        </w:rPr>
        <w:t>.</w:t>
      </w:r>
    </w:p>
    <w:p w14:paraId="473F0F6F" w14:textId="77777777" w:rsidR="009352C0" w:rsidRPr="009352C0" w:rsidRDefault="009352C0" w:rsidP="009352C0">
      <w:pPr>
        <w:spacing w:line="480" w:lineRule="auto"/>
        <w:ind w:firstLine="708"/>
        <w:jc w:val="both"/>
        <w:rPr>
          <w:sz w:val="22"/>
          <w:szCs w:val="22"/>
          <w:lang w:val="en-US"/>
        </w:rPr>
      </w:pPr>
      <w:r w:rsidRPr="009352C0">
        <w:rPr>
          <w:sz w:val="22"/>
          <w:szCs w:val="22"/>
        </w:rPr>
        <w:t>However, what is important for the government to consider is social and environmental stability. Therefore, the synergy of economic, social and environmental interests is a concern for local governments.</w:t>
      </w:r>
    </w:p>
    <w:p w14:paraId="593FFF6C" w14:textId="77777777" w:rsidR="009352C0" w:rsidRPr="009352C0" w:rsidRDefault="009352C0" w:rsidP="009352C0">
      <w:pPr>
        <w:pStyle w:val="ListParagraph"/>
        <w:numPr>
          <w:ilvl w:val="0"/>
          <w:numId w:val="2"/>
        </w:numPr>
        <w:spacing w:line="480" w:lineRule="auto"/>
        <w:jc w:val="both"/>
        <w:rPr>
          <w:sz w:val="22"/>
          <w:szCs w:val="22"/>
          <w:lang w:val="en-US"/>
        </w:rPr>
      </w:pPr>
      <w:r w:rsidRPr="009352C0">
        <w:rPr>
          <w:b/>
          <w:bCs/>
          <w:sz w:val="22"/>
          <w:szCs w:val="22"/>
        </w:rPr>
        <w:t>Environmentalists</w:t>
      </w:r>
    </w:p>
    <w:p w14:paraId="0736B3DF" w14:textId="77777777" w:rsidR="009352C0" w:rsidRPr="009352C0" w:rsidRDefault="009352C0" w:rsidP="009352C0">
      <w:pPr>
        <w:spacing w:line="480" w:lineRule="auto"/>
        <w:ind w:firstLine="708"/>
        <w:jc w:val="both"/>
        <w:rPr>
          <w:sz w:val="22"/>
          <w:szCs w:val="22"/>
          <w:lang w:val="en-US"/>
        </w:rPr>
      </w:pPr>
      <w:r w:rsidRPr="009352C0">
        <w:rPr>
          <w:sz w:val="22"/>
          <w:szCs w:val="22"/>
        </w:rPr>
        <w:t xml:space="preserve">The role of environmentalists can be defined as non-governmental organizations that have an interest in the environment and the economic sustainability of the surrounding community. Some areas of pond management practices are facilitated by multi-actor initiatives led by NGOs, which translate global norms, knowledge and global policy objectives into local knowledge and practices </w:t>
      </w:r>
      <w:r w:rsidRPr="009352C0">
        <w:rPr>
          <w:sz w:val="22"/>
          <w:szCs w:val="22"/>
        </w:rPr>
        <w:fldChar w:fldCharType="begin" w:fldLock="1"/>
      </w:r>
      <w:r w:rsidRPr="009352C0">
        <w:rPr>
          <w:sz w:val="22"/>
          <w:szCs w:val="22"/>
        </w:rPr>
        <w:instrText>ADDIN CSL_CITATION {"citationItems":[{"id":"ITEM-1","itemData":{"DOI":"10.1186/s40152-015-0039-4","ISSN":"22129790","abstract":"Better Management Practices (BMPs) are designed to standardize on-farm practices and improve the (environmental) performance of shrimp aquaculture. The design and implementation of aquaculture BMPs in Indonesia has been facilitated through NGO-led multi-stakeholder initiatives, which translate global norms, knowledge and policy goals into local knowledge and practices. This paper analyses this process of translation in East Kalimantan, and questions the extent to which technically focused BMPs are co-produced; representing the combined knowledge and interests of the actors involved. The paper concludes that when led by non-state actors such as NGOs, BMPs are not only a tool for negotiating technical changes in production, but also contribute to the ongoing politicization of social and environmental issues around shrimp aquaculture.","author":[{"dropping-particle":"","family":"Kusumawati","given":"Rini","non-dropping-particle":"","parse-names":false,"suffix":""},{"dropping-particle":"","family":"Bush","given":"Simon R.","non-dropping-particle":"","parse-names":false,"suffix":""}],"container-title":"Maritime Studies","id":"ITEM-1","issue":"1","issued":{"date-parts":[["2015"]]},"page":"1-18","publisher":"Maritime Studies","title":"Co-producing Better Management Practice standards for shrimp aquaculture in Indonesia","type":"article-journal","volume":"14"},"uris":["http://www.mendeley.com/documents/?uuid=93ae2eb9-c73d-468e-9720-5c8d2b44e15f"]}],"mendeley":{"formattedCitation":"(Kusumawati &amp; Bush, 2015)","plainTextFormattedCitation":"(Kusumawati &amp; Bush, 2015)","previouslyFormattedCitation":"(Kusumawati &amp; Bush, 2015)"},"properties":{"noteIndex":0},"schema":"https://github.com/citation-style-language/schema/raw/master/csl-citation.json"}</w:instrText>
      </w:r>
      <w:r w:rsidRPr="009352C0">
        <w:rPr>
          <w:sz w:val="22"/>
          <w:szCs w:val="22"/>
        </w:rPr>
        <w:fldChar w:fldCharType="separate"/>
      </w:r>
      <w:r w:rsidRPr="009352C0">
        <w:rPr>
          <w:noProof/>
          <w:sz w:val="22"/>
          <w:szCs w:val="22"/>
        </w:rPr>
        <w:t>(Kusumawati &amp; Bush, 2015)</w:t>
      </w:r>
      <w:r w:rsidRPr="009352C0">
        <w:rPr>
          <w:sz w:val="22"/>
          <w:szCs w:val="22"/>
        </w:rPr>
        <w:fldChar w:fldCharType="end"/>
      </w:r>
      <w:r w:rsidRPr="009352C0">
        <w:rPr>
          <w:sz w:val="22"/>
          <w:szCs w:val="22"/>
        </w:rPr>
        <w:t>. Environmentalists have an interest in keeping the environment safe so that it remains productive, unpolluted, and unexploited by economic interests.</w:t>
      </w:r>
    </w:p>
    <w:p w14:paraId="589F1920" w14:textId="77777777" w:rsidR="009352C0" w:rsidRPr="009352C0" w:rsidRDefault="009352C0" w:rsidP="009352C0">
      <w:pPr>
        <w:spacing w:line="480" w:lineRule="auto"/>
        <w:jc w:val="center"/>
        <w:rPr>
          <w:rFonts w:eastAsia="Book Antiqua"/>
          <w:b/>
          <w:bCs/>
          <w:sz w:val="22"/>
          <w:szCs w:val="22"/>
        </w:rPr>
      </w:pPr>
      <w:r w:rsidRPr="009352C0">
        <w:rPr>
          <w:rFonts w:eastAsia="Book Antiqua"/>
          <w:sz w:val="22"/>
          <w:szCs w:val="22"/>
        </w:rPr>
        <w:t xml:space="preserve">Table 1. </w:t>
      </w:r>
      <w:r w:rsidRPr="009352C0">
        <w:rPr>
          <w:rFonts w:eastAsia="Book Antiqua"/>
          <w:b/>
          <w:bCs/>
          <w:sz w:val="22"/>
          <w:szCs w:val="22"/>
        </w:rPr>
        <w:t>Interests of Actors in Shrimp Pond Management</w:t>
      </w:r>
    </w:p>
    <w:tbl>
      <w:tblPr>
        <w:tblStyle w:val="TableGrid"/>
        <w:tblW w:w="8936" w:type="dxa"/>
        <w:tblInd w:w="108" w:type="dxa"/>
        <w:tblLayout w:type="fixed"/>
        <w:tblLook w:val="04A0" w:firstRow="1" w:lastRow="0" w:firstColumn="1" w:lastColumn="0" w:noHBand="0" w:noVBand="1"/>
      </w:tblPr>
      <w:tblGrid>
        <w:gridCol w:w="2699"/>
        <w:gridCol w:w="2868"/>
        <w:gridCol w:w="3369"/>
      </w:tblGrid>
      <w:tr w:rsidR="009352C0" w:rsidRPr="009352C0" w14:paraId="62CC64DD" w14:textId="77777777" w:rsidTr="008B59D7">
        <w:trPr>
          <w:trHeight w:val="352"/>
        </w:trPr>
        <w:tc>
          <w:tcPr>
            <w:tcW w:w="2699" w:type="dxa"/>
          </w:tcPr>
          <w:p w14:paraId="6A93B36B" w14:textId="77777777" w:rsidR="009352C0" w:rsidRPr="009352C0" w:rsidRDefault="009352C0" w:rsidP="009352C0">
            <w:pPr>
              <w:jc w:val="center"/>
              <w:rPr>
                <w:rFonts w:eastAsia="Book Antiqua"/>
                <w:b/>
                <w:bCs/>
                <w:sz w:val="22"/>
                <w:szCs w:val="22"/>
              </w:rPr>
            </w:pPr>
            <w:r w:rsidRPr="009352C0">
              <w:rPr>
                <w:rFonts w:eastAsia="Book Antiqua"/>
                <w:b/>
                <w:bCs/>
                <w:sz w:val="22"/>
                <w:szCs w:val="22"/>
              </w:rPr>
              <w:t>Actors</w:t>
            </w:r>
          </w:p>
        </w:tc>
        <w:tc>
          <w:tcPr>
            <w:tcW w:w="2868" w:type="dxa"/>
          </w:tcPr>
          <w:p w14:paraId="3F57050F" w14:textId="77777777" w:rsidR="009352C0" w:rsidRPr="009352C0" w:rsidRDefault="009352C0" w:rsidP="009352C0">
            <w:pPr>
              <w:jc w:val="center"/>
              <w:rPr>
                <w:rFonts w:eastAsia="Book Antiqua"/>
                <w:b/>
                <w:bCs/>
                <w:sz w:val="22"/>
                <w:szCs w:val="22"/>
              </w:rPr>
            </w:pPr>
            <w:r w:rsidRPr="009352C0">
              <w:rPr>
                <w:rFonts w:eastAsia="Book Antiqua"/>
                <w:b/>
                <w:bCs/>
                <w:sz w:val="22"/>
                <w:szCs w:val="22"/>
              </w:rPr>
              <w:t>Inters</w:t>
            </w:r>
          </w:p>
        </w:tc>
        <w:tc>
          <w:tcPr>
            <w:tcW w:w="3369" w:type="dxa"/>
          </w:tcPr>
          <w:p w14:paraId="0869ED97" w14:textId="77777777" w:rsidR="009352C0" w:rsidRPr="009352C0" w:rsidRDefault="009352C0" w:rsidP="009352C0">
            <w:pPr>
              <w:jc w:val="center"/>
              <w:rPr>
                <w:rFonts w:eastAsia="Book Antiqua"/>
                <w:b/>
                <w:bCs/>
                <w:sz w:val="22"/>
                <w:szCs w:val="22"/>
              </w:rPr>
            </w:pPr>
            <w:r w:rsidRPr="009352C0">
              <w:rPr>
                <w:rFonts w:eastAsia="Book Antiqua"/>
                <w:b/>
                <w:bCs/>
                <w:sz w:val="22"/>
                <w:szCs w:val="22"/>
              </w:rPr>
              <w:t>Involvement of other Actors</w:t>
            </w:r>
          </w:p>
        </w:tc>
      </w:tr>
      <w:tr w:rsidR="009352C0" w:rsidRPr="009352C0" w14:paraId="6957B365" w14:textId="77777777" w:rsidTr="008B59D7">
        <w:trPr>
          <w:trHeight w:val="352"/>
        </w:trPr>
        <w:tc>
          <w:tcPr>
            <w:tcW w:w="2699" w:type="dxa"/>
          </w:tcPr>
          <w:p w14:paraId="5646562A" w14:textId="77777777" w:rsidR="009352C0" w:rsidRPr="009352C0" w:rsidRDefault="009352C0" w:rsidP="009352C0">
            <w:pPr>
              <w:rPr>
                <w:rFonts w:eastAsia="Book Antiqua"/>
                <w:sz w:val="22"/>
                <w:szCs w:val="22"/>
              </w:rPr>
            </w:pPr>
            <w:r w:rsidRPr="009352C0">
              <w:rPr>
                <w:rFonts w:eastAsia="Book Antiqua"/>
                <w:sz w:val="22"/>
                <w:szCs w:val="22"/>
              </w:rPr>
              <w:t>Shrimp Farmers</w:t>
            </w:r>
          </w:p>
        </w:tc>
        <w:tc>
          <w:tcPr>
            <w:tcW w:w="2868" w:type="dxa"/>
          </w:tcPr>
          <w:p w14:paraId="636467F7" w14:textId="77777777" w:rsidR="009352C0" w:rsidRPr="009352C0" w:rsidRDefault="009352C0" w:rsidP="009352C0">
            <w:pPr>
              <w:rPr>
                <w:rFonts w:eastAsia="Book Antiqua"/>
                <w:sz w:val="22"/>
                <w:szCs w:val="22"/>
              </w:rPr>
            </w:pPr>
            <w:r w:rsidRPr="009352C0">
              <w:rPr>
                <w:rFonts w:eastAsia="Book Antiqua"/>
                <w:sz w:val="22"/>
                <w:szCs w:val="22"/>
              </w:rPr>
              <w:t>Business and economic sustainability</w:t>
            </w:r>
          </w:p>
        </w:tc>
        <w:tc>
          <w:tcPr>
            <w:tcW w:w="3369" w:type="dxa"/>
          </w:tcPr>
          <w:p w14:paraId="1DF55F5A" w14:textId="77777777" w:rsidR="009352C0" w:rsidRPr="009352C0" w:rsidRDefault="009352C0" w:rsidP="009352C0">
            <w:pPr>
              <w:rPr>
                <w:rFonts w:eastAsia="Book Antiqua"/>
                <w:sz w:val="22"/>
                <w:szCs w:val="22"/>
              </w:rPr>
            </w:pPr>
            <w:r w:rsidRPr="009352C0">
              <w:rPr>
                <w:rFonts w:eastAsia="Book Antiqua"/>
                <w:sz w:val="22"/>
                <w:szCs w:val="22"/>
              </w:rPr>
              <w:t>Village government</w:t>
            </w:r>
          </w:p>
        </w:tc>
      </w:tr>
      <w:tr w:rsidR="009352C0" w:rsidRPr="009352C0" w14:paraId="1966CFBB" w14:textId="77777777" w:rsidTr="008B59D7">
        <w:trPr>
          <w:trHeight w:val="352"/>
        </w:trPr>
        <w:tc>
          <w:tcPr>
            <w:tcW w:w="2699" w:type="dxa"/>
          </w:tcPr>
          <w:p w14:paraId="648A1044" w14:textId="77777777" w:rsidR="009352C0" w:rsidRPr="009352C0" w:rsidRDefault="009352C0" w:rsidP="009352C0">
            <w:pPr>
              <w:rPr>
                <w:rFonts w:eastAsia="Book Antiqua"/>
                <w:sz w:val="22"/>
                <w:szCs w:val="22"/>
              </w:rPr>
            </w:pPr>
            <w:r w:rsidRPr="009352C0">
              <w:rPr>
                <w:color w:val="292929"/>
                <w:sz w:val="22"/>
                <w:szCs w:val="22"/>
                <w:shd w:val="clear" w:color="auto" w:fill="FFFFFF"/>
              </w:rPr>
              <w:t>Agricultural actors</w:t>
            </w:r>
          </w:p>
        </w:tc>
        <w:tc>
          <w:tcPr>
            <w:tcW w:w="2868" w:type="dxa"/>
          </w:tcPr>
          <w:p w14:paraId="1F9EF418" w14:textId="77777777" w:rsidR="009352C0" w:rsidRPr="009352C0" w:rsidRDefault="009352C0" w:rsidP="009352C0">
            <w:pPr>
              <w:rPr>
                <w:rFonts w:eastAsia="Book Antiqua"/>
                <w:sz w:val="22"/>
                <w:szCs w:val="22"/>
              </w:rPr>
            </w:pPr>
            <w:r w:rsidRPr="009352C0">
              <w:rPr>
                <w:rFonts w:eastAsia="Book Antiqua"/>
                <w:sz w:val="22"/>
                <w:szCs w:val="22"/>
              </w:rPr>
              <w:t>Productivity and harvest conduciveness</w:t>
            </w:r>
          </w:p>
        </w:tc>
        <w:tc>
          <w:tcPr>
            <w:tcW w:w="3369" w:type="dxa"/>
          </w:tcPr>
          <w:p w14:paraId="30070C12" w14:textId="77777777" w:rsidR="009352C0" w:rsidRPr="009352C0" w:rsidRDefault="009352C0" w:rsidP="009352C0">
            <w:pPr>
              <w:rPr>
                <w:rFonts w:eastAsia="Book Antiqua"/>
                <w:sz w:val="22"/>
                <w:szCs w:val="22"/>
              </w:rPr>
            </w:pPr>
            <w:r w:rsidRPr="009352C0">
              <w:rPr>
                <w:rFonts w:eastAsia="Book Antiqua"/>
                <w:sz w:val="22"/>
                <w:szCs w:val="22"/>
              </w:rPr>
              <w:t>Local government</w:t>
            </w:r>
          </w:p>
        </w:tc>
      </w:tr>
      <w:tr w:rsidR="009352C0" w:rsidRPr="009352C0" w14:paraId="14C2447E" w14:textId="77777777" w:rsidTr="008B59D7">
        <w:trPr>
          <w:trHeight w:val="352"/>
        </w:trPr>
        <w:tc>
          <w:tcPr>
            <w:tcW w:w="2699" w:type="dxa"/>
          </w:tcPr>
          <w:p w14:paraId="183BED76" w14:textId="77777777" w:rsidR="009352C0" w:rsidRPr="009352C0" w:rsidRDefault="009352C0" w:rsidP="009352C0">
            <w:pPr>
              <w:rPr>
                <w:color w:val="292929"/>
                <w:sz w:val="22"/>
                <w:szCs w:val="22"/>
                <w:shd w:val="clear" w:color="auto" w:fill="FFFFFF"/>
              </w:rPr>
            </w:pPr>
            <w:r w:rsidRPr="009352C0">
              <w:rPr>
                <w:color w:val="292929"/>
                <w:sz w:val="22"/>
                <w:szCs w:val="22"/>
                <w:shd w:val="clear" w:color="auto" w:fill="FFFFFF"/>
              </w:rPr>
              <w:t>Fisheries actors</w:t>
            </w:r>
          </w:p>
        </w:tc>
        <w:tc>
          <w:tcPr>
            <w:tcW w:w="2868" w:type="dxa"/>
          </w:tcPr>
          <w:p w14:paraId="4E118801" w14:textId="77777777" w:rsidR="009352C0" w:rsidRPr="009352C0" w:rsidRDefault="009352C0" w:rsidP="009352C0">
            <w:pPr>
              <w:rPr>
                <w:rFonts w:eastAsia="Book Antiqua"/>
                <w:sz w:val="22"/>
                <w:szCs w:val="22"/>
              </w:rPr>
            </w:pPr>
            <w:r w:rsidRPr="009352C0">
              <w:rPr>
                <w:rFonts w:eastAsia="Book Antiqua"/>
                <w:sz w:val="22"/>
                <w:szCs w:val="22"/>
              </w:rPr>
              <w:t>Productivity of fish catch Sea cleanliness</w:t>
            </w:r>
          </w:p>
        </w:tc>
        <w:tc>
          <w:tcPr>
            <w:tcW w:w="3369" w:type="dxa"/>
          </w:tcPr>
          <w:p w14:paraId="119B7ACA" w14:textId="77777777" w:rsidR="009352C0" w:rsidRPr="009352C0" w:rsidRDefault="009352C0" w:rsidP="009352C0">
            <w:pPr>
              <w:rPr>
                <w:rFonts w:eastAsia="Book Antiqua"/>
                <w:sz w:val="22"/>
                <w:szCs w:val="22"/>
              </w:rPr>
            </w:pPr>
            <w:r w:rsidRPr="009352C0">
              <w:rPr>
                <w:rFonts w:eastAsia="Book Antiqua"/>
                <w:sz w:val="22"/>
                <w:szCs w:val="22"/>
              </w:rPr>
              <w:t>Environmental observer</w:t>
            </w:r>
          </w:p>
        </w:tc>
      </w:tr>
      <w:tr w:rsidR="009352C0" w:rsidRPr="009352C0" w14:paraId="752A6DF1" w14:textId="77777777" w:rsidTr="008B59D7">
        <w:trPr>
          <w:trHeight w:val="352"/>
        </w:trPr>
        <w:tc>
          <w:tcPr>
            <w:tcW w:w="2699" w:type="dxa"/>
          </w:tcPr>
          <w:p w14:paraId="7BCA5695" w14:textId="77777777" w:rsidR="009352C0" w:rsidRPr="009352C0" w:rsidRDefault="009352C0" w:rsidP="009352C0">
            <w:pPr>
              <w:rPr>
                <w:color w:val="292929"/>
                <w:sz w:val="22"/>
                <w:szCs w:val="22"/>
                <w:shd w:val="clear" w:color="auto" w:fill="FFFFFF"/>
              </w:rPr>
            </w:pPr>
            <w:r w:rsidRPr="009352C0">
              <w:rPr>
                <w:color w:val="292929"/>
                <w:sz w:val="22"/>
                <w:szCs w:val="22"/>
                <w:shd w:val="clear" w:color="auto" w:fill="FFFFFF"/>
              </w:rPr>
              <w:lastRenderedPageBreak/>
              <w:t>Public</w:t>
            </w:r>
          </w:p>
        </w:tc>
        <w:tc>
          <w:tcPr>
            <w:tcW w:w="2868" w:type="dxa"/>
          </w:tcPr>
          <w:p w14:paraId="1C6896E8" w14:textId="77777777" w:rsidR="009352C0" w:rsidRPr="009352C0" w:rsidRDefault="009352C0" w:rsidP="009352C0">
            <w:pPr>
              <w:rPr>
                <w:rFonts w:eastAsia="Book Antiqua"/>
                <w:sz w:val="22"/>
                <w:szCs w:val="22"/>
              </w:rPr>
            </w:pPr>
            <w:r w:rsidRPr="009352C0">
              <w:rPr>
                <w:rFonts w:eastAsia="Book Antiqua"/>
                <w:sz w:val="22"/>
                <w:szCs w:val="22"/>
              </w:rPr>
              <w:t>Environmental stability Social</w:t>
            </w:r>
          </w:p>
        </w:tc>
        <w:tc>
          <w:tcPr>
            <w:tcW w:w="3369" w:type="dxa"/>
          </w:tcPr>
          <w:p w14:paraId="7371F0A9" w14:textId="77777777" w:rsidR="009352C0" w:rsidRPr="009352C0" w:rsidRDefault="009352C0" w:rsidP="009352C0">
            <w:pPr>
              <w:rPr>
                <w:rFonts w:eastAsia="Book Antiqua"/>
                <w:sz w:val="22"/>
                <w:szCs w:val="22"/>
              </w:rPr>
            </w:pPr>
            <w:r w:rsidRPr="009352C0">
              <w:rPr>
                <w:rFonts w:eastAsia="Book Antiqua"/>
                <w:sz w:val="22"/>
                <w:szCs w:val="22"/>
              </w:rPr>
              <w:t>Environmental government Walhi, Batan, FMLS</w:t>
            </w:r>
          </w:p>
        </w:tc>
      </w:tr>
      <w:tr w:rsidR="009352C0" w:rsidRPr="009352C0" w14:paraId="73EB1622" w14:textId="77777777" w:rsidTr="008B59D7">
        <w:trPr>
          <w:trHeight w:val="352"/>
        </w:trPr>
        <w:tc>
          <w:tcPr>
            <w:tcW w:w="2699" w:type="dxa"/>
          </w:tcPr>
          <w:p w14:paraId="77C89BC7" w14:textId="77777777" w:rsidR="009352C0" w:rsidRPr="009352C0" w:rsidRDefault="009352C0" w:rsidP="009352C0">
            <w:pPr>
              <w:rPr>
                <w:color w:val="292929"/>
                <w:sz w:val="22"/>
                <w:szCs w:val="22"/>
                <w:shd w:val="clear" w:color="auto" w:fill="FFFFFF"/>
              </w:rPr>
            </w:pPr>
            <w:r w:rsidRPr="009352C0">
              <w:rPr>
                <w:color w:val="292929"/>
                <w:sz w:val="22"/>
                <w:szCs w:val="22"/>
                <w:shd w:val="clear" w:color="auto" w:fill="FFFFFF"/>
              </w:rPr>
              <w:t>Village/ regional government</w:t>
            </w:r>
          </w:p>
        </w:tc>
        <w:tc>
          <w:tcPr>
            <w:tcW w:w="2868" w:type="dxa"/>
          </w:tcPr>
          <w:p w14:paraId="660D0A6A" w14:textId="77777777" w:rsidR="009352C0" w:rsidRPr="009352C0" w:rsidRDefault="009352C0" w:rsidP="009352C0">
            <w:pPr>
              <w:rPr>
                <w:rFonts w:eastAsia="Book Antiqua"/>
                <w:sz w:val="22"/>
                <w:szCs w:val="22"/>
              </w:rPr>
            </w:pPr>
            <w:r w:rsidRPr="009352C0">
              <w:rPr>
                <w:rFonts w:eastAsia="Book Antiqua"/>
                <w:sz w:val="22"/>
                <w:szCs w:val="22"/>
              </w:rPr>
              <w:t>Economic interests</w:t>
            </w:r>
          </w:p>
        </w:tc>
        <w:tc>
          <w:tcPr>
            <w:tcW w:w="3369" w:type="dxa"/>
          </w:tcPr>
          <w:p w14:paraId="1D557EB8" w14:textId="77777777" w:rsidR="009352C0" w:rsidRPr="009352C0" w:rsidRDefault="009352C0" w:rsidP="009352C0">
            <w:pPr>
              <w:rPr>
                <w:rFonts w:eastAsia="Book Antiqua"/>
                <w:sz w:val="22"/>
                <w:szCs w:val="22"/>
              </w:rPr>
            </w:pPr>
            <w:r w:rsidRPr="009352C0">
              <w:rPr>
                <w:rFonts w:eastAsia="Book Antiqua"/>
                <w:sz w:val="22"/>
                <w:szCs w:val="22"/>
              </w:rPr>
              <w:t>Village leadership, village apparatus, fish pond entrepreneurs</w:t>
            </w:r>
          </w:p>
        </w:tc>
      </w:tr>
      <w:tr w:rsidR="009352C0" w:rsidRPr="009352C0" w14:paraId="0B02FAE0" w14:textId="77777777" w:rsidTr="008B59D7">
        <w:trPr>
          <w:trHeight w:val="336"/>
        </w:trPr>
        <w:tc>
          <w:tcPr>
            <w:tcW w:w="2699" w:type="dxa"/>
          </w:tcPr>
          <w:p w14:paraId="1CBD0686" w14:textId="77777777" w:rsidR="009352C0" w:rsidRPr="009352C0" w:rsidRDefault="009352C0" w:rsidP="009352C0">
            <w:pPr>
              <w:rPr>
                <w:rFonts w:eastAsia="Book Antiqua"/>
                <w:sz w:val="22"/>
                <w:szCs w:val="22"/>
              </w:rPr>
            </w:pPr>
            <w:r w:rsidRPr="009352C0">
              <w:rPr>
                <w:rFonts w:eastAsia="Book Antiqua"/>
                <w:sz w:val="22"/>
                <w:szCs w:val="22"/>
              </w:rPr>
              <w:t>Environmental observer</w:t>
            </w:r>
          </w:p>
        </w:tc>
        <w:tc>
          <w:tcPr>
            <w:tcW w:w="2868" w:type="dxa"/>
          </w:tcPr>
          <w:p w14:paraId="1AAFF303" w14:textId="77777777" w:rsidR="009352C0" w:rsidRPr="009352C0" w:rsidRDefault="009352C0" w:rsidP="009352C0">
            <w:pPr>
              <w:rPr>
                <w:rFonts w:eastAsia="Book Antiqua"/>
                <w:sz w:val="22"/>
                <w:szCs w:val="22"/>
              </w:rPr>
            </w:pPr>
            <w:r w:rsidRPr="009352C0">
              <w:rPr>
                <w:rFonts w:eastAsia="Book Antiqua"/>
                <w:sz w:val="22"/>
                <w:szCs w:val="22"/>
              </w:rPr>
              <w:t>Environmental safety</w:t>
            </w:r>
          </w:p>
        </w:tc>
        <w:tc>
          <w:tcPr>
            <w:tcW w:w="3369" w:type="dxa"/>
          </w:tcPr>
          <w:p w14:paraId="6B0A73A2" w14:textId="77777777" w:rsidR="009352C0" w:rsidRPr="009352C0" w:rsidRDefault="009352C0" w:rsidP="009352C0">
            <w:pPr>
              <w:rPr>
                <w:rFonts w:eastAsia="Book Antiqua"/>
                <w:sz w:val="22"/>
                <w:szCs w:val="22"/>
              </w:rPr>
            </w:pPr>
            <w:r w:rsidRPr="009352C0">
              <w:rPr>
                <w:rFonts w:eastAsia="Book Antiqua"/>
                <w:sz w:val="22"/>
                <w:szCs w:val="22"/>
              </w:rPr>
              <w:t>Public</w:t>
            </w:r>
          </w:p>
        </w:tc>
      </w:tr>
    </w:tbl>
    <w:p w14:paraId="0C5F21F2" w14:textId="77777777" w:rsidR="009352C0" w:rsidRPr="009352C0" w:rsidRDefault="009352C0" w:rsidP="009352C0">
      <w:pPr>
        <w:spacing w:line="480" w:lineRule="auto"/>
        <w:jc w:val="both"/>
        <w:rPr>
          <w:rFonts w:eastAsia="Book Antiqua"/>
          <w:b/>
          <w:bCs/>
          <w:sz w:val="22"/>
          <w:szCs w:val="22"/>
        </w:rPr>
      </w:pPr>
    </w:p>
    <w:p w14:paraId="38A5E7BA" w14:textId="73B67615" w:rsidR="009352C0" w:rsidRPr="009352C0" w:rsidRDefault="009352C0" w:rsidP="009352C0">
      <w:pPr>
        <w:spacing w:line="480" w:lineRule="auto"/>
        <w:jc w:val="both"/>
        <w:rPr>
          <w:sz w:val="22"/>
          <w:szCs w:val="22"/>
          <w:lang w:val="en-US"/>
        </w:rPr>
      </w:pPr>
      <w:r w:rsidRPr="009352C0">
        <w:rPr>
          <w:b/>
          <w:bCs/>
          <w:sz w:val="22"/>
          <w:szCs w:val="22"/>
        </w:rPr>
        <w:t>2. Socio-economic and Environmental Impacts of Shrimp Farm Management</w:t>
      </w:r>
    </w:p>
    <w:p w14:paraId="4FB7A7DB" w14:textId="77777777" w:rsidR="009352C0" w:rsidRPr="009352C0" w:rsidRDefault="009352C0" w:rsidP="009352C0">
      <w:pPr>
        <w:spacing w:line="480" w:lineRule="auto"/>
        <w:ind w:firstLine="708"/>
        <w:jc w:val="both"/>
        <w:rPr>
          <w:sz w:val="22"/>
          <w:szCs w:val="22"/>
          <w:lang w:val="en-US"/>
        </w:rPr>
      </w:pPr>
      <w:r w:rsidRPr="009352C0">
        <w:rPr>
          <w:sz w:val="22"/>
          <w:szCs w:val="22"/>
        </w:rPr>
        <w:t xml:space="preserve">Over the last decade the shrimp farming industry has grown rapidly and undergone important transformations in coastal areas </w:t>
      </w:r>
      <w:r w:rsidRPr="009352C0">
        <w:rPr>
          <w:sz w:val="22"/>
          <w:szCs w:val="22"/>
        </w:rPr>
        <w:fldChar w:fldCharType="begin" w:fldLock="1"/>
      </w:r>
      <w:r w:rsidRPr="009352C0">
        <w:rPr>
          <w:sz w:val="22"/>
          <w:szCs w:val="22"/>
        </w:rPr>
        <w:instrText>ADDIN CSL_CITATION {"citationItems":[{"id":"ITEM-1","itemData":{"DOI":"10.3390/su13010307","ISSN":"20711050","abstract":"Over the last few decades, the global shrimp aquaculture industry has grown considerably and experienced important transformations in coastal regions in the Global South. However, despite being a major contributor to GDP and export earnings of the country, the shrimp industry in Bangladesh is not yet fully developed. This important sector is often plagued by numerous environmental challenges including frequent climate disasters. To address local climate perturbations, the shrimping industry undertakes a wide range of individual, communal, and institutional level resilience activities. Drawing on primary data collected through ethnography and qualitative interviews in three shrimping communities, this paper examines the nature, effects, and efficacy of resilience strategies adopted by various stakeholders in the shrimp industry in coastal Bangladesh. This research demonstrates that there is a clearly visible resilience gradient in the shrimp aquaculture industry in Bangladesh: individual shrimp farmers and households play a pivotal role in resilience enhancement, while other stakeholders including community, state, and civil society organizations have moderate-to-little involvement in aiding resilience in the sector. The study offers a series of recommendations for resilience to climate change.","author":[{"dropping-particle":"","family":"Kais","given":"Shaikh Mohammad","non-dropping-particle":"","parse-names":false,"suffix":""},{"dropping-particle":"","family":"Islam","given":"Md Saidul","non-dropping-particle":"","parse-names":false,"suffix":""}],"container-title":"Sustainability (Switzerland)","id":"ITEM-1","issue":"1","issued":{"date-parts":[["2021"]]},"page":"1-21","title":"Resilience to climate change in industrial shrimping in Bangladesh: Assessing the comparative role of the stakeholders","type":"article-journal","volume":"13"},"uris":["http://www.mendeley.com/documents/?uuid=1fcfc630-5abd-49a0-85bb-173575be5c02"]}],"mendeley":{"formattedCitation":"(Kais &amp; Islam, 2021)","plainTextFormattedCitation":"(Kais &amp; Islam, 2021)","previouslyFormattedCitation":"(Kais &amp; Islam, 2021)"},"properties":{"noteIndex":0},"schema":"https://github.com/citation-style-language/schema/raw/master/csl-citation.json"}</w:instrText>
      </w:r>
      <w:r w:rsidRPr="009352C0">
        <w:rPr>
          <w:sz w:val="22"/>
          <w:szCs w:val="22"/>
        </w:rPr>
        <w:fldChar w:fldCharType="separate"/>
      </w:r>
      <w:r w:rsidRPr="009352C0">
        <w:rPr>
          <w:noProof/>
          <w:sz w:val="22"/>
          <w:szCs w:val="22"/>
        </w:rPr>
        <w:t>(Kais &amp; Islam, 2021)</w:t>
      </w:r>
      <w:r w:rsidRPr="009352C0">
        <w:rPr>
          <w:sz w:val="22"/>
          <w:szCs w:val="22"/>
        </w:rPr>
        <w:fldChar w:fldCharType="end"/>
      </w:r>
      <w:r w:rsidRPr="009352C0">
        <w:rPr>
          <w:sz w:val="22"/>
          <w:szCs w:val="22"/>
        </w:rPr>
        <w:t xml:space="preserve">. This development has an impact on three aspects: environmental, economic and social </w:t>
      </w:r>
      <w:r w:rsidRPr="009352C0">
        <w:rPr>
          <w:sz w:val="22"/>
          <w:szCs w:val="22"/>
        </w:rPr>
        <w:fldChar w:fldCharType="begin" w:fldLock="1"/>
      </w:r>
      <w:r w:rsidRPr="009352C0">
        <w:rPr>
          <w:sz w:val="22"/>
          <w:szCs w:val="22"/>
        </w:rPr>
        <w:instrText>ADDIN CSL_CITATION {"citationItems":[{"id":"ITEM-1","itemData":{"DOI":"10.1016/j.aqrep.2021.100708","ISSN":"23525134","abstract":"Shrimp culture economics has a significant influence on the socio-economic status of coastal communities in Bangladesh. Here, we investigated the shrimp farmers' financial and perceptual reactions to analyze shrimp farming's direct impact on their socio-economic status, sustainability, resilience, and the cultural environment. Our outcomes alluded that the farming community's satisfaction level was higher than their concern for environmental impacts. Local shrimp farming communities expressed satisfaction about their present income from shrimp farming compared to pre-farming socio-economic status. Recently, shrimp farming has improved the financial gains of farming communities than in the past, which encouraged them to excel in shrimp culture than agriculture. The household construction style and materials used improved after shrimp farming. The shrimp farmers (56 %) expressed salinity and abridged rice production as the leading reason for the shift to shrimp farming. The income level showed a 72 % satisfaction level among the farmers. Profitability and daily fish demand were the positive impacts, while the lack of fodder and destroying vegetation were listed as negative impacts of shrimp farming. There was a decline in livestock and homegrown poultry farming and trees, which could also be linked with increasing shrimp farming activities. Shrimp farming helped increase the income level from 26 % to 36 % for the income range groups of USD 101–150 and &gt; USD 150. The 78 % of participants strongly agreed that shrimp farming was more profitable than rice culture, while 60 % expressed a preference for shrimp farming on freshwater fish culture, especially for better production. In conclusion, shrimp farming has brought socio-economic improvements in the household and lifestyles of the shrimp farming communities in Bangladesh's southern coastal communities. This example is of great learning for the marginalized and financially threatened coastal communities in developing and underdeveloped nations.","author":[{"dropping-particle":"","family":"Ray","given":"Sunuram","non-dropping-particle":"","parse-names":false,"suffix":""},{"dropping-particle":"","family":"Mondal","given":"Pronab","non-dropping-particle":"","parse-names":false,"suffix":""},{"dropping-particle":"","family":"Paul","given":"Alok Kumar","non-dropping-particle":"","parse-names":false,"suffix":""},{"dropping-particle":"","family":"Iqbal","given":"Sonia","non-dropping-particle":"","parse-names":false,"suffix":""},{"dropping-particle":"","family":"Atique","given":"Usman","non-dropping-particle":"","parse-names":false,"suffix":""},{"dropping-particle":"","family":"Islam","given":"M. Shahanul","non-dropping-particle":"","parse-names":false,"suffix":""},{"dropping-particle":"","family":"Mahboob","given":"Shahid","non-dropping-particle":"","parse-names":false,"suffix":""},{"dropping-particle":"","family":"Al-Ghanim","given":"Khalid A.","non-dropping-particle":"","parse-names":false,"suffix":""},{"dropping-particle":"","family":"Al-Misned","given":"Fahad","non-dropping-particle":"","parse-names":false,"suffix":""},{"dropping-particle":"","family":"Begum","given":"Salma","non-dropping-particle":"","parse-names":false,"suffix":""}],"container-title":"Aquaculture Reports","id":"ITEM-1","issued":{"date-parts":[["2021","7","1"]]},"publisher":"Elsevier B.V.","title":"Role of shrimp farming in socio-economic elevation and professional satisfaction in coastal communities of Southern Bangladesh","type":"article-journal","volume":"20"},"uris":["http://www.mendeley.com/documents/?uuid=f32ede13-6146-3d50-bfc8-69ef619a0afc"]}],"mendeley":{"formattedCitation":"(Ray et al., 2021)","plainTextFormattedCitation":"(Ray et al., 2021)","previouslyFormattedCitation":"(Ray et al., 2021)"},"properties":{"noteIndex":0},"schema":"https://github.com/citation-style-language/schema/raw/master/csl-citation.json"}</w:instrText>
      </w:r>
      <w:r w:rsidRPr="009352C0">
        <w:rPr>
          <w:sz w:val="22"/>
          <w:szCs w:val="22"/>
        </w:rPr>
        <w:fldChar w:fldCharType="separate"/>
      </w:r>
      <w:r w:rsidRPr="009352C0">
        <w:rPr>
          <w:noProof/>
          <w:sz w:val="22"/>
          <w:szCs w:val="22"/>
        </w:rPr>
        <w:t>(Ray et al., 2021)</w:t>
      </w:r>
      <w:r w:rsidRPr="009352C0">
        <w:rPr>
          <w:sz w:val="22"/>
          <w:szCs w:val="22"/>
        </w:rPr>
        <w:fldChar w:fldCharType="end"/>
      </w:r>
      <w:r w:rsidRPr="009352C0">
        <w:rPr>
          <w:sz w:val="22"/>
          <w:szCs w:val="22"/>
        </w:rPr>
        <w:t xml:space="preserve">. Local climate disasters, environmental pollution as the most disturbing impact on the environment. Marginalization, mangrove degradation and rural displacement are also part of the economic impacts of shrimp farm management </w:t>
      </w:r>
      <w:r w:rsidRPr="009352C0">
        <w:rPr>
          <w:sz w:val="22"/>
          <w:szCs w:val="22"/>
        </w:rPr>
        <w:fldChar w:fldCharType="begin" w:fldLock="1"/>
      </w:r>
      <w:r w:rsidRPr="009352C0">
        <w:rPr>
          <w:sz w:val="22"/>
          <w:szCs w:val="22"/>
        </w:rPr>
        <w:instrText>ADDIN CSL_CITATION {"citationItems":[{"id":"ITEM-1","itemData":{"DOI":"10.1016/j.envsci.2023.07.002","ISSN":"18736416","abstract":"Mangrove forests are highly productive, biodiverse, and carbon-dense ecosystems that support the wellbeing of millions of people. Policies that seek to protect mangroves must, therefore, aim to ensure the socio-economic wellbeing of local communities. A clear example of this challenge is found in the Bangladesh Sundarbans—the world's largest protected mangrove. The Sundarbans faces several anthropogenic challenges, including overharvesting of non-timber forest products (NTFPs) and expansion of shrimp aquaculture. Several initiatives have aimed to protect the diversity and extent of the Sundarbans, but little is known about the impacts of the shrimp industry on its forest-dependent communities. This study used a mixed-methods research approach to assess the: a) trends in economic, social, and environmental policy and legislative measures in Bangladesh from 1980 to 2020; b) areal expansion of shrimp aquaculture in a case study site, the Village Kalinchi, since 1980; and c) socio-economic profile of local community members. Despite recent governance trends aimed at simultaneously promoting economic, social, and environmental outcomes, approximately 91% of the agricultural lands in Village Kalinchi have been flooded to expand shrimp aquaculture. Income data shows that a small number of shrimp farm owners earn – on average – 22, 14 and 4 times more annual income than that of shrimp farm labourers, agricultural workers, and NTFP collectors, respectively. The combined loss of agricultural land and income disparity has created conditions that promote NTFPs overharvesting from the Sundarbans. Policy and legislative measures must address the shrimp industry's impacts on local communities to reduce resource overharvesting and promote mangrove conservation.","author":[{"dropping-particle":"","family":"Taher","given":"Toiaba B.","non-dropping-particle":"","parse-names":false,"suffix":""},{"dropping-particle":"","family":"Althaus","given":"Catherine E.","non-dropping-particle":"","parse-names":false,"suffix":""},{"dropping-particle":"","family":"Tranter","given":"Paul J.","non-dropping-particle":"","parse-names":false,"suffix":""},{"dropping-particle":"","family":"Evans","given":"Megan C.","non-dropping-particle":"","parse-names":false,"suffix":""}],"container-title":"Environmental Science and Policy","id":"ITEM-1","issued":{"date-parts":[["2023","9","1"]]},"page":"351-360","publisher":"Elsevier Ltd","title":"Impacts of shrimp aquaculture on the local communities and conservation of the world's largest protected mangrove forest","type":"article-journal","volume":"147"},"uris":["http://www.mendeley.com/documents/?uuid=d5f3234f-7d06-339f-94e6-211e0bac8af6"]}],"mendeley":{"formattedCitation":"(Taher et al., 2023)","plainTextFormattedCitation":"(Taher et al., 2023)","previouslyFormattedCitation":"(Taher et al., 2023)"},"properties":{"noteIndex":0},"schema":"https://github.com/citation-style-language/schema/raw/master/csl-citation.json"}</w:instrText>
      </w:r>
      <w:r w:rsidRPr="009352C0">
        <w:rPr>
          <w:sz w:val="22"/>
          <w:szCs w:val="22"/>
        </w:rPr>
        <w:fldChar w:fldCharType="separate"/>
      </w:r>
      <w:r w:rsidRPr="009352C0">
        <w:rPr>
          <w:noProof/>
          <w:sz w:val="22"/>
          <w:szCs w:val="22"/>
        </w:rPr>
        <w:t>(Taher et al., 2023)</w:t>
      </w:r>
      <w:r w:rsidRPr="009352C0">
        <w:rPr>
          <w:sz w:val="22"/>
          <w:szCs w:val="22"/>
        </w:rPr>
        <w:fldChar w:fldCharType="end"/>
      </w:r>
      <w:r w:rsidRPr="009352C0">
        <w:rPr>
          <w:sz w:val="22"/>
          <w:szCs w:val="22"/>
        </w:rPr>
        <w:t>.</w:t>
      </w:r>
    </w:p>
    <w:p w14:paraId="53AF5BDE" w14:textId="77777777" w:rsidR="009352C0" w:rsidRPr="009352C0" w:rsidRDefault="009352C0" w:rsidP="009352C0">
      <w:pPr>
        <w:pStyle w:val="ListParagraph"/>
        <w:numPr>
          <w:ilvl w:val="0"/>
          <w:numId w:val="3"/>
        </w:numPr>
        <w:spacing w:line="480" w:lineRule="auto"/>
        <w:jc w:val="both"/>
        <w:rPr>
          <w:sz w:val="22"/>
          <w:szCs w:val="22"/>
          <w:lang w:val="en-US"/>
        </w:rPr>
      </w:pPr>
      <w:r w:rsidRPr="009352C0">
        <w:rPr>
          <w:b/>
          <w:bCs/>
          <w:sz w:val="22"/>
          <w:szCs w:val="22"/>
        </w:rPr>
        <w:t>Land and environmental safety</w:t>
      </w:r>
    </w:p>
    <w:p w14:paraId="09642F4A" w14:textId="77777777" w:rsidR="009352C0" w:rsidRPr="009352C0" w:rsidRDefault="009352C0" w:rsidP="009352C0">
      <w:pPr>
        <w:spacing w:line="480" w:lineRule="auto"/>
        <w:ind w:firstLine="708"/>
        <w:jc w:val="both"/>
        <w:rPr>
          <w:sz w:val="22"/>
          <w:szCs w:val="22"/>
          <w:lang w:val="en-US"/>
        </w:rPr>
      </w:pPr>
      <w:r w:rsidRPr="009352C0">
        <w:rPr>
          <w:sz w:val="22"/>
          <w:szCs w:val="22"/>
        </w:rPr>
        <w:t xml:space="preserve">The management of shrimp ponds has polluted the environment so much that it makes productive land damaged and disturbed. The pollution is in the form of solid and liquid waste discharged in the pond area water flow and discharged to the sea shore (Kompas.id). Waste looking for production results directly flowed into the receiving body of wastewater, namely the River with the content of BOD5, TSS, and NH respectively </w:t>
      </w:r>
      <w:r w:rsidRPr="009352C0">
        <w:rPr>
          <w:sz w:val="22"/>
          <w:szCs w:val="22"/>
        </w:rPr>
        <w:fldChar w:fldCharType="begin" w:fldLock="1"/>
      </w:r>
      <w:r w:rsidRPr="009352C0">
        <w:rPr>
          <w:sz w:val="22"/>
          <w:szCs w:val="22"/>
        </w:rPr>
        <w:instrText>ADDIN CSL_CITATION {"citationItems":[{"id":"ITEM-1","itemData":{"DOI":"10.58466/rigid.v3i1.1372","abstract":"Tambak udang yang berada di Desa Kertsada Kecamata Kalianget memiliki jumlah 8 petak. Dengan luas keseluruhan sebesar 4.532 m2. Dalam permasalahan yang ada pada tambak udang ini adalah tidak adanya perlakuan terhadap air limbah tambak udang sebelum dikembalikan ke perairan. Penelitian ini bertujuan untuk mengetahui rancangan unit dan instalasi pengelolaan air limbah tambak udang di Desa Kertasada Kecamatan Kalianget. Jenis penelitian yang digunakan yaitu penelitian deskriptif kuantitatif dengan objek penelitian unit dan instalasi pengolahan air limbah dengan sistemn biofilter anaerob – aerob. Hasil penelitian ini diperoleh debit limbah tambak udang sebanyak 498,52 m3 / hari nya dari luas tambak 4.532 m2 limbah cair hasil proses produksi langsung dialirkan ke badan penerima air limbah yaitu sungai dengan kandungan BOD5 , TSS, dan NH berturut – turut sebesar 9,727 Mg /l ,  2,33 Mg / l , 0.007 Mg / l .","author":[{"dropping-particle":"","family":"Desmantri R","given":"Ach.","non-dropping-particle":"","parse-names":false,"suffix":""},{"dropping-particle":"","family":"Sulfa","given":"Diana","non-dropping-particle":"","parse-names":false,"suffix":""}],"container-title":"Journal of Research and Inovation in Civil Engineering as Applied Science (RIGID)","id":"ITEM-1","issue":"1","issued":{"date-parts":[["2024"]]},"page":"1-9","title":"Studi Rancangan Unit dan Instalasi Pengolahan Air Limbah Tambak Udang Di Desa Kertasada Kecamatan Kalianget Kabupaten Sumenep","type":"article-journal","volume":"3"},"uris":["http://www.mendeley.com/documents/?uuid=5d95a0d6-0d53-4285-811f-51f8e6604ba0"]}],"mendeley":{"formattedCitation":"(Desmantri R &amp; Sulfa, 2024)","plainTextFormattedCitation":"(Desmantri R &amp; Sulfa, 2024)","previouslyFormattedCitation":"(Desmantri R &amp; Sulfa, 2024)"},"properties":{"noteIndex":0},"schema":"https://github.com/citation-style-language/schema/raw/master/csl-citation.json"}</w:instrText>
      </w:r>
      <w:r w:rsidRPr="009352C0">
        <w:rPr>
          <w:sz w:val="22"/>
          <w:szCs w:val="22"/>
        </w:rPr>
        <w:fldChar w:fldCharType="separate"/>
      </w:r>
      <w:r w:rsidRPr="009352C0">
        <w:rPr>
          <w:noProof/>
          <w:sz w:val="22"/>
          <w:szCs w:val="22"/>
        </w:rPr>
        <w:t>(Desmantri R &amp; Sulfa, 2024)</w:t>
      </w:r>
      <w:r w:rsidRPr="009352C0">
        <w:rPr>
          <w:sz w:val="22"/>
          <w:szCs w:val="22"/>
        </w:rPr>
        <w:fldChar w:fldCharType="end"/>
      </w:r>
      <w:r w:rsidRPr="009352C0">
        <w:rPr>
          <w:sz w:val="22"/>
          <w:szCs w:val="22"/>
        </w:rPr>
        <w:t>. This condition is also influenced by the unoptimized Waste Treatment Plant (WWTP) as a solution so that waste does not have an extreme impact on environmental damage (detikglobalnews.com).</w:t>
      </w:r>
    </w:p>
    <w:p w14:paraId="6376E2FA" w14:textId="77777777" w:rsidR="009352C0" w:rsidRPr="009352C0" w:rsidRDefault="009352C0" w:rsidP="009352C0">
      <w:pPr>
        <w:spacing w:line="480" w:lineRule="auto"/>
        <w:ind w:firstLine="708"/>
        <w:jc w:val="both"/>
        <w:rPr>
          <w:sz w:val="22"/>
          <w:szCs w:val="22"/>
          <w:lang w:val="en-US"/>
        </w:rPr>
      </w:pPr>
      <w:r w:rsidRPr="009352C0">
        <w:rPr>
          <w:sz w:val="22"/>
          <w:szCs w:val="22"/>
        </w:rPr>
        <w:t xml:space="preserve">Shrimp pond effluents contain high levels of pollutants that are a threat to the surrounding ecosystem </w:t>
      </w:r>
      <w:r w:rsidRPr="009352C0">
        <w:rPr>
          <w:sz w:val="22"/>
          <w:szCs w:val="22"/>
        </w:rPr>
        <w:fldChar w:fldCharType="begin" w:fldLock="1"/>
      </w:r>
      <w:r w:rsidRPr="009352C0">
        <w:rPr>
          <w:sz w:val="22"/>
          <w:szCs w:val="22"/>
        </w:rPr>
        <w:instrText>ADDIN CSL_CITATION {"citationItems":[{"id":"ITEM-1","itemData":{"DOI":"10.1177/0047287520954538","ISSN":"15526763","abstract":"This article examines the influence of tourism on income inequality on a global sample. Our analysis uses various econometric techniques for panel data including 97 countries over the period 2002–2014 categorized into three subsamples: 30 low- and lower-middle-income economies (LMEs), 25 upper-middle-income economies (UMEs), and 42 high-income economies (HIEs). Our empirical findings are interesting. First, both domestic and international tourism reduce income inequality whereas a better institutional quality increases the income inequality. Our findings also clearly indicate that international tourism contributes to the reduction of income inequalities while the national tourism requires an institutional adjustment in the LMEs and the UMEs to do so. This observation highlights the important roles of tax and transfer policies in fighting against income inequality.","author":[{"dropping-particle":"","family":"Nguyen","given":"Canh Phuc","non-dropping-particle":"","parse-names":false,"suffix":""},{"dropping-particle":"","family":"Schinckus","given":"Christophe","non-dropping-particle":"","parse-names":false,"suffix":""},{"dropping-particle":"","family":"Su","given":"Thanh Dinh","non-dropping-particle":"","parse-names":false,"suffix":""},{"dropping-particle":"","family":"Chong","given":"Felicia Hui Ling","non-dropping-particle":"","parse-names":false,"suffix":""}],"container-title":"Journal of Travel Research","id":"ITEM-1","issue":"7","issued":{"date-parts":[["2020"]]},"page":"1426-1444","title":"The Influence of Tourism on Income Inequality","type":"article-journal","volume":"60"},"uris":["http://www.mendeley.com/documents/?uuid=7bd71b89-4b1d-4ad8-8a99-b28ed27299d7"]}],"mendeley":{"formattedCitation":"(Nguyen et al., 2020)","plainTextFormattedCitation":"(Nguyen et al., 2020)","previouslyFormattedCitation":"(Nguyen et al., 2020)"},"properties":{"noteIndex":0},"schema":"https://github.com/citation-style-language/schema/raw/master/csl-citation.json"}</w:instrText>
      </w:r>
      <w:r w:rsidRPr="009352C0">
        <w:rPr>
          <w:sz w:val="22"/>
          <w:szCs w:val="22"/>
        </w:rPr>
        <w:fldChar w:fldCharType="separate"/>
      </w:r>
      <w:r w:rsidRPr="009352C0">
        <w:rPr>
          <w:noProof/>
          <w:sz w:val="22"/>
          <w:szCs w:val="22"/>
        </w:rPr>
        <w:t>(Nguyen et al., 2020)</w:t>
      </w:r>
      <w:r w:rsidRPr="009352C0">
        <w:rPr>
          <w:sz w:val="22"/>
          <w:szCs w:val="22"/>
        </w:rPr>
        <w:fldChar w:fldCharType="end"/>
      </w:r>
      <w:r w:rsidRPr="009352C0">
        <w:rPr>
          <w:sz w:val="22"/>
          <w:szCs w:val="22"/>
        </w:rPr>
        <w:t xml:space="preserve">, the impact is also on human health because pollutants can contaminate the pond area water </w:t>
      </w:r>
      <w:r w:rsidRPr="009352C0">
        <w:rPr>
          <w:sz w:val="22"/>
          <w:szCs w:val="22"/>
        </w:rPr>
        <w:fldChar w:fldCharType="begin" w:fldLock="1"/>
      </w:r>
      <w:r w:rsidRPr="009352C0">
        <w:rPr>
          <w:sz w:val="22"/>
          <w:szCs w:val="22"/>
        </w:rPr>
        <w:instrText>ADDIN CSL_CITATION {"citationItems":[{"id":"ITEM-1","itemData":{"DOI":"10.1016/j.heliyon.2023.e19496","ISSN":"24058440","abstract":"Numerous environmental contaminants significantly contribute to human disease, affecting climate change and public and individual health, resulting in increased mortality and morbidity. Because of the scarcity of information regarding pollution exposure from less developed nations with inadequate waste management, higher levels of poverty, and limited adoption of new technology, the relationship between pollutants and health effects needs to be investigated more. A similar situation is present in many developed countries, where solutions are only discovered after the harm has already been done and the necessity for safeguards has subsided. The connection between environmental toxins and health needs to be better understood due to difficulties in quantifying exposure levels and a lack of systematic monitoring. Different pollutants are to blame for both chronic and acute disorders. Additionally, research becomes challenging when disease problems are seen after prolonged exposure. This review aims to discuss the present understanding of the association between environmental toxins and human health in bridging this knowledge gap. The genesis of cancer and the impact of various environmental pollutants on the human body's cardiovascular, respiratory, reproductive, prenatal, and neural health are discussed in this overview.","author":[{"dropping-particle":"","family":"Shetty","given":"Shilpa S.","non-dropping-particle":"","parse-names":false,"suffix":""},{"dropping-particle":"","family":"D","given":"Deepthi","non-dropping-particle":"","parse-names":false,"suffix":""},{"dropping-particle":"","family":"S","given":"Harshitha","non-dropping-particle":"","parse-names":false,"suffix":""},{"dropping-particle":"","family":"Sonkusare","given":"Shipra","non-dropping-particle":"","parse-names":false,"suffix":""},{"dropping-particle":"","family":"Naik","given":"Prashanth B.","non-dropping-particle":"","parse-names":false,"suffix":""},{"dropping-particle":"","family":"Kumari N","given":"Suchetha","non-dropping-particle":"","parse-names":false,"suffix":""},{"dropping-particle":"","family":"Madhyastha","given":"Harishkumar","non-dropping-particle":"","parse-names":false,"suffix":""}],"container-title":"Heliyon","id":"ITEM-1","issue":"9","issued":{"date-parts":[["2023"]]},"page":"e19496","publisher":"Elsevier Ltd","title":"Environmental pollutants and their effects on human health","type":"article-journal","volume":"9"},"uris":["http://www.mendeley.com/documents/?uuid=f6679a32-ad51-4f76-98f3-b054265efe8f"]}],"mendeley":{"formattedCitation":"(Shetty et al., 2023)","plainTextFormattedCitation":"(Shetty et al., 2023)","previouslyFormattedCitation":"(Shetty et al., 2023)"},"properties":{"noteIndex":0},"schema":"https://github.com/citation-style-language/schema/raw/master/csl-citation.json"}</w:instrText>
      </w:r>
      <w:r w:rsidRPr="009352C0">
        <w:rPr>
          <w:sz w:val="22"/>
          <w:szCs w:val="22"/>
        </w:rPr>
        <w:fldChar w:fldCharType="separate"/>
      </w:r>
      <w:r w:rsidRPr="009352C0">
        <w:rPr>
          <w:noProof/>
          <w:sz w:val="22"/>
          <w:szCs w:val="22"/>
        </w:rPr>
        <w:t>(Shetty et al., 2023)</w:t>
      </w:r>
      <w:r w:rsidRPr="009352C0">
        <w:rPr>
          <w:sz w:val="22"/>
          <w:szCs w:val="22"/>
        </w:rPr>
        <w:fldChar w:fldCharType="end"/>
      </w:r>
      <w:r w:rsidRPr="009352C0">
        <w:rPr>
          <w:sz w:val="22"/>
          <w:szCs w:val="22"/>
        </w:rPr>
        <w:t>. Land becomes degraded because the uptake of free waste enters productive lands and water sources consumed by the community. In the end, the pond area becomes unsafe for the public health environment.</w:t>
      </w:r>
    </w:p>
    <w:p w14:paraId="62EE7A64" w14:textId="77777777" w:rsidR="009352C0" w:rsidRPr="009352C0" w:rsidRDefault="009352C0" w:rsidP="009352C0">
      <w:pPr>
        <w:pStyle w:val="ListParagraph"/>
        <w:numPr>
          <w:ilvl w:val="0"/>
          <w:numId w:val="3"/>
        </w:numPr>
        <w:spacing w:line="480" w:lineRule="auto"/>
        <w:jc w:val="both"/>
        <w:rPr>
          <w:sz w:val="22"/>
          <w:szCs w:val="22"/>
          <w:lang w:val="en-US"/>
        </w:rPr>
      </w:pPr>
      <w:r w:rsidRPr="009352C0">
        <w:rPr>
          <w:b/>
          <w:bCs/>
          <w:sz w:val="22"/>
          <w:szCs w:val="22"/>
        </w:rPr>
        <w:t>Destruction of traditional agricultural land</w:t>
      </w:r>
    </w:p>
    <w:p w14:paraId="71DA4BE8" w14:textId="77777777" w:rsidR="009352C0" w:rsidRPr="009352C0" w:rsidRDefault="009352C0" w:rsidP="009352C0">
      <w:pPr>
        <w:spacing w:line="480" w:lineRule="auto"/>
        <w:ind w:firstLine="708"/>
        <w:jc w:val="both"/>
        <w:rPr>
          <w:sz w:val="22"/>
          <w:szCs w:val="22"/>
          <w:lang w:val="en-US"/>
        </w:rPr>
      </w:pPr>
      <w:r w:rsidRPr="009352C0">
        <w:rPr>
          <w:sz w:val="22"/>
          <w:szCs w:val="22"/>
        </w:rPr>
        <w:t xml:space="preserve">In this aspect, there is land conversion from productive agriculture to shrimp ponds. Shrimp ponds are located in two places, namely coastal areas near the beach and distant areas but reached by seawater sources for shrimp farming. In the eastern part of Sumenep District Dungkek and Gapura </w:t>
      </w:r>
      <w:r w:rsidRPr="009352C0">
        <w:rPr>
          <w:sz w:val="22"/>
          <w:szCs w:val="22"/>
        </w:rPr>
        <w:lastRenderedPageBreak/>
        <w:t>District many production of shrimp ponds ranging distance to the shoreline approximately 1-2 km, but the water source with a certain depth can still be production for shrimp.</w:t>
      </w:r>
    </w:p>
    <w:p w14:paraId="5E9EED9A" w14:textId="77777777" w:rsidR="009352C0" w:rsidRPr="009352C0" w:rsidRDefault="009352C0" w:rsidP="009352C0">
      <w:pPr>
        <w:spacing w:line="480" w:lineRule="auto"/>
        <w:ind w:firstLine="708"/>
        <w:jc w:val="both"/>
        <w:rPr>
          <w:sz w:val="22"/>
          <w:szCs w:val="22"/>
          <w:lang w:val="en-US"/>
        </w:rPr>
      </w:pPr>
      <w:r w:rsidRPr="009352C0">
        <w:rPr>
          <w:sz w:val="22"/>
          <w:szCs w:val="22"/>
        </w:rPr>
        <w:t>In this inland area there are productive agricultural lands such as corn, and beans, there are also productive plants in the form of siwalan trees as the main producer of the village community. agricultural land damage to the conversion of productive land into shrimp ponds. Damage conditions are then exacerbated by defunct ponds that are difficult to restore to traditional agricultural land.</w:t>
      </w:r>
    </w:p>
    <w:p w14:paraId="120E238F" w14:textId="77777777" w:rsidR="009352C0" w:rsidRPr="009352C0" w:rsidRDefault="009352C0" w:rsidP="009352C0">
      <w:pPr>
        <w:pStyle w:val="ListParagraph"/>
        <w:numPr>
          <w:ilvl w:val="0"/>
          <w:numId w:val="3"/>
        </w:numPr>
        <w:spacing w:line="480" w:lineRule="auto"/>
        <w:jc w:val="both"/>
        <w:rPr>
          <w:sz w:val="22"/>
          <w:szCs w:val="22"/>
          <w:lang w:val="en-US"/>
        </w:rPr>
      </w:pPr>
      <w:r w:rsidRPr="009352C0">
        <w:rPr>
          <w:b/>
          <w:bCs/>
          <w:sz w:val="22"/>
          <w:szCs w:val="22"/>
        </w:rPr>
        <w:t>Mangrove degradation</w:t>
      </w:r>
    </w:p>
    <w:p w14:paraId="4376ED08" w14:textId="77777777" w:rsidR="009352C0" w:rsidRPr="009352C0" w:rsidRDefault="009352C0" w:rsidP="009352C0">
      <w:pPr>
        <w:spacing w:line="480" w:lineRule="auto"/>
        <w:ind w:firstLine="708"/>
        <w:jc w:val="both"/>
        <w:rPr>
          <w:sz w:val="22"/>
          <w:szCs w:val="22"/>
          <w:lang w:val="en-US"/>
        </w:rPr>
      </w:pPr>
      <w:r w:rsidRPr="009352C0">
        <w:rPr>
          <w:sz w:val="22"/>
          <w:szCs w:val="22"/>
        </w:rPr>
        <w:t xml:space="preserve">Mangroves have ecological and economic functions for the environment </w:t>
      </w:r>
      <w:r w:rsidRPr="009352C0">
        <w:rPr>
          <w:sz w:val="22"/>
          <w:szCs w:val="22"/>
        </w:rPr>
        <w:fldChar w:fldCharType="begin" w:fldLock="1"/>
      </w:r>
      <w:r w:rsidRPr="009352C0">
        <w:rPr>
          <w:sz w:val="22"/>
          <w:szCs w:val="22"/>
        </w:rPr>
        <w:instrText>ADDIN CSL_CITATION {"citationItems":[{"id":"ITEM-1","itemData":{"abstract":"Mangrove ecosystems are a type of natural resource in coastal areas that have ecological and economic functions for the environment. The loss of ecological functions in mangrove ecosystems due to land degradation and clearing can reduce the biodiversity of aquatic biota including fishery resources for the surrounding community. This study aims to determine the relationship between the degradation of mangrove ecosystems and the economic value of people in coastal areas based on a comparison of capture fisheries products. This study was carried out in a qualitative descriptive manner based on the data from the literature review. The parameters analyzed in this study are: (1) mangrove degradation conditions; (2) comparison of the community's economic value from capture fisheries activities; and (3) alternative mitigation of mangrove degradation on the sustainability of coastal capture fisheries. The results of the analysis concluded that mangrove degradation had an impact on decreasing production in the capture fisheries sector. The number of fishermen's fish catches is greater in mangrove ecosystems that have a high level of density in coastal areas compared to mangrove ecosystems with a low level of density. Rehabilitation of the additional area of mangrove ecosystems can increase fishery products in coastal areas. In order to increase community fishery output, it is necessary to restore and preserve mangrove ecosystems in coastal areas, one of which is based on silvofishery, namely integrating the concept of aquaculture systems with efforts to rehabilitate and preserve mangrove ecosystem vegetation along coastal areas.","author":[{"dropping-particle":"","family":"Haryanto","given":"Rudy","non-dropping-particle":"","parse-names":false,"suffix":""},{"dropping-particle":"","family":"Husein Siregar","given":"Sofyan","non-dropping-particle":"","parse-names":false,"suffix":""},{"dropping-particle":"","family":"Suwondo","given":"dan","non-dropping-particle":"","parse-names":false,"suffix":""}],"container-title":"1st Nasional Seminar on Sustainable Agricultural Technology Innovation","id":"ITEM-1","issued":{"date-parts":[["2023"]]},"page":"27-28","title":"Dampak Degradasi Mangrove Terhadap Hasil Perikanan Masyarakat","type":"article-journal"},"uris":["http://www.mendeley.com/documents/?uuid=4a3d42b5-d0e1-4653-9c2a-48e4c6babded"]}],"mendeley":{"formattedCitation":"(Haryanto et al., 2023)","plainTextFormattedCitation":"(Haryanto et al., 2023)","previouslyFormattedCitation":"(Haryanto et al., 2023)"},"properties":{"noteIndex":0},"schema":"https://github.com/citation-style-language/schema/raw/master/csl-citation.json"}</w:instrText>
      </w:r>
      <w:r w:rsidRPr="009352C0">
        <w:rPr>
          <w:sz w:val="22"/>
          <w:szCs w:val="22"/>
        </w:rPr>
        <w:fldChar w:fldCharType="separate"/>
      </w:r>
      <w:r w:rsidRPr="009352C0">
        <w:rPr>
          <w:noProof/>
          <w:sz w:val="22"/>
          <w:szCs w:val="22"/>
        </w:rPr>
        <w:t>(Haryanto et al., 2023)</w:t>
      </w:r>
      <w:r w:rsidRPr="009352C0">
        <w:rPr>
          <w:sz w:val="22"/>
          <w:szCs w:val="22"/>
        </w:rPr>
        <w:fldChar w:fldCharType="end"/>
      </w:r>
      <w:r w:rsidRPr="009352C0">
        <w:rPr>
          <w:sz w:val="22"/>
          <w:szCs w:val="22"/>
        </w:rPr>
        <w:t>. Mangrove ecosystems affected by shrimp pond waste can degrade land clearing and reduce the biodiversity of aquatic biota including fishery resources for the surrounding community. Shrimp pond waste also has an impact on polluted mangroves with a slightly yellow and red sea water color. The impact on mangrove fertility is not significant but many mangroves no longer grow thickly in coastal areas where seawater is polluted by pond waste.</w:t>
      </w:r>
    </w:p>
    <w:p w14:paraId="44701BB4" w14:textId="77777777" w:rsidR="009352C0" w:rsidRPr="009352C0" w:rsidRDefault="009352C0" w:rsidP="009352C0">
      <w:pPr>
        <w:pStyle w:val="ListParagraph"/>
        <w:numPr>
          <w:ilvl w:val="0"/>
          <w:numId w:val="3"/>
        </w:numPr>
        <w:spacing w:line="480" w:lineRule="auto"/>
        <w:jc w:val="both"/>
        <w:rPr>
          <w:sz w:val="22"/>
          <w:szCs w:val="22"/>
          <w:lang w:val="en-US"/>
        </w:rPr>
      </w:pPr>
      <w:r w:rsidRPr="009352C0">
        <w:rPr>
          <w:b/>
          <w:bCs/>
          <w:sz w:val="22"/>
          <w:szCs w:val="22"/>
        </w:rPr>
        <w:t>Noise and odor pollution</w:t>
      </w:r>
    </w:p>
    <w:p w14:paraId="1BE3B364" w14:textId="77777777" w:rsidR="009352C0" w:rsidRPr="009352C0" w:rsidRDefault="009352C0" w:rsidP="009352C0">
      <w:pPr>
        <w:spacing w:line="480" w:lineRule="auto"/>
        <w:ind w:firstLine="708"/>
        <w:jc w:val="both"/>
        <w:rPr>
          <w:sz w:val="22"/>
          <w:szCs w:val="22"/>
          <w:lang w:val="en-US"/>
        </w:rPr>
      </w:pPr>
      <w:r w:rsidRPr="009352C0">
        <w:rPr>
          <w:sz w:val="22"/>
          <w:szCs w:val="22"/>
        </w:rPr>
        <w:t xml:space="preserve">Every shrimp farm has an aerator or waterwheel. Aerator as a tool to dissolve free oxygen into pond water. Aerators are intended to make ponds a comfortable ecosystem for shrimp growth </w:t>
      </w:r>
      <w:r w:rsidRPr="009352C0">
        <w:rPr>
          <w:sz w:val="22"/>
          <w:szCs w:val="22"/>
        </w:rPr>
        <w:fldChar w:fldCharType="begin" w:fldLock="1"/>
      </w:r>
      <w:r w:rsidRPr="009352C0">
        <w:rPr>
          <w:sz w:val="22"/>
          <w:szCs w:val="22"/>
        </w:rPr>
        <w:instrText>ADDIN CSL_CITATION {"citationItems":[{"id":"ITEM-1","itemData":{"DOI":"10.1016/j.biortech.2020.123595","ISSN":"18732976","PMID":"32506043","abstract":"In aerobic wastewater treatment, aeration is the most critical element of the treatment system. It supplies microorganisms with the required dissolved oxygen, maintains solids in suspension and, in membrane bioreactors, it controls fouling. However, conventional activated sludge is limited to the treatment of low strength wastewaters, as higher loadings require both higher biomass and higher dissolved oxygen concentrations. By replacing air with pure oxygen, oxygen transfer rates increase at lower flowrates. In this work, the potential and limitations of pure oxygen aeration are reviewed. The effect of the system's operational parameters and the mixed liquor characteristics on oxygen transfer, and vice versa, are determined. Pure oxygen treats higher loadings without compromising effluent quality. Fine bubbles are more efficient in oxygen transfer due to their increased contact area. However, pure oxygen is not always essential, so it is recommended to be restricted to applications where air is not adequate.","author":[{"dropping-particle":"","family":"Skouteris","given":"G.","non-dropping-particle":"","parse-names":false,"suffix":""},{"dropping-particle":"","family":"Rodriguez-Garcia","given":"G.","non-dropping-particle":"","parse-names":false,"suffix":""},{"dropping-particle":"","family":"Reinecke","given":"S. F.","non-dropping-particle":"","parse-names":false,"suffix":""},{"dropping-particle":"","family":"Hampel","given":"U.","non-dropping-particle":"","parse-names":false,"suffix":""}],"container-title":"Bioresource Technology","id":"ITEM-1","issue":"May","issued":{"date-parts":[["2020"]]},"page":"123595","publisher":"Elsevier","title":"The use of pure oxygen for aeration in aerobic wastewater treatment: A review of its potential and limitations","type":"article-journal","volume":"312"},"uris":["http://www.mendeley.com/documents/?uuid=847ef613-41fa-4d27-b6d7-3e6695261e0b"]}],"mendeley":{"formattedCitation":"(Skouteris et al., 2020)","plainTextFormattedCitation":"(Skouteris et al., 2020)","previouslyFormattedCitation":"(Skouteris et al., 2020)"},"properties":{"noteIndex":0},"schema":"https://github.com/citation-style-language/schema/raw/master/csl-citation.json"}</w:instrText>
      </w:r>
      <w:r w:rsidRPr="009352C0">
        <w:rPr>
          <w:sz w:val="22"/>
          <w:szCs w:val="22"/>
        </w:rPr>
        <w:fldChar w:fldCharType="separate"/>
      </w:r>
      <w:r w:rsidRPr="009352C0">
        <w:rPr>
          <w:noProof/>
          <w:sz w:val="22"/>
          <w:szCs w:val="22"/>
        </w:rPr>
        <w:t>(Skouteris et al., 2020)</w:t>
      </w:r>
      <w:r w:rsidRPr="009352C0">
        <w:rPr>
          <w:sz w:val="22"/>
          <w:szCs w:val="22"/>
        </w:rPr>
        <w:fldChar w:fldCharType="end"/>
      </w:r>
      <w:r w:rsidRPr="009352C0">
        <w:rPr>
          <w:sz w:val="22"/>
          <w:szCs w:val="22"/>
        </w:rPr>
        <w:t>. The aerator is on all the time until the shrimp are harvested. So the aerator is never turned off from the time the seedlings are planted until they are ready for harvest. The problem is that aerators have noise pollution that is very disturbing to the surrounding community. On average, each shrimp pond has 4-6 aerators installed, so the noise pollution can reach up to 200 m in length. Noise pollution also arises from the desel engine as an alternative power when PLN goes out. Each pond has an alternative desel engine backup so that if it is turned on plus Aerator noise pollution, the range of noise can reach 300m. This pollution is very disturbing because it is a day and a night. When people should be resting and sleeping soundly, it is interrupted due to noise pollution from shrimp ponds (personal communication, Syarifuddin, March 20, 2024).</w:t>
      </w:r>
    </w:p>
    <w:p w14:paraId="0965C57E" w14:textId="77777777" w:rsidR="009352C0" w:rsidRPr="009352C0" w:rsidRDefault="009352C0" w:rsidP="009352C0">
      <w:pPr>
        <w:spacing w:line="480" w:lineRule="auto"/>
        <w:ind w:firstLine="708"/>
        <w:jc w:val="both"/>
        <w:rPr>
          <w:sz w:val="22"/>
          <w:szCs w:val="22"/>
          <w:lang w:val="en-US"/>
        </w:rPr>
      </w:pPr>
      <w:r w:rsidRPr="009352C0">
        <w:rPr>
          <w:sz w:val="22"/>
          <w:szCs w:val="22"/>
        </w:rPr>
        <w:t xml:space="preserve">Another form of pollution is the pungent odor of sewage. Waste discharged into the river from disposal to the rest of the waste in the water gives off an aroma that is very disturbing to the pond area. The added area is mostly done in the middle of the population density. The smell of sewage is not only </w:t>
      </w:r>
      <w:r w:rsidRPr="009352C0">
        <w:rPr>
          <w:sz w:val="22"/>
          <w:szCs w:val="22"/>
        </w:rPr>
        <w:lastRenderedPageBreak/>
        <w:t>prevalent around the pond and its disposal but also in the homes of local residents. This happens about 3-4 days after waste disposal.</w:t>
      </w:r>
    </w:p>
    <w:p w14:paraId="2056352A" w14:textId="77777777" w:rsidR="009352C0" w:rsidRPr="009352C0" w:rsidRDefault="009352C0" w:rsidP="009352C0">
      <w:pPr>
        <w:pStyle w:val="ListParagraph"/>
        <w:numPr>
          <w:ilvl w:val="0"/>
          <w:numId w:val="3"/>
        </w:numPr>
        <w:spacing w:line="480" w:lineRule="auto"/>
        <w:jc w:val="both"/>
        <w:rPr>
          <w:sz w:val="22"/>
          <w:szCs w:val="22"/>
          <w:lang w:val="en-US"/>
        </w:rPr>
      </w:pPr>
      <w:r w:rsidRPr="009352C0">
        <w:rPr>
          <w:b/>
          <w:bCs/>
          <w:sz w:val="22"/>
          <w:szCs w:val="22"/>
        </w:rPr>
        <w:t>Rural unemployment</w:t>
      </w:r>
    </w:p>
    <w:p w14:paraId="26423D30" w14:textId="77777777" w:rsidR="009352C0" w:rsidRPr="009352C0" w:rsidRDefault="009352C0" w:rsidP="009352C0">
      <w:pPr>
        <w:spacing w:line="480" w:lineRule="auto"/>
        <w:ind w:firstLine="708"/>
        <w:jc w:val="both"/>
        <w:rPr>
          <w:sz w:val="22"/>
          <w:szCs w:val="22"/>
          <w:lang w:val="en-US"/>
        </w:rPr>
      </w:pPr>
      <w:r w:rsidRPr="009352C0">
        <w:rPr>
          <w:sz w:val="22"/>
          <w:szCs w:val="22"/>
        </w:rPr>
        <w:t>The main livelihoods of rural communities in shrimp pond production areas are fishermen and farmers. Agriculture in the form of seaweed and field agriculture in the form of corn, and grains. The impact of shrimp ponds on fishermen due to the shoreline fish crisis. Forms of fishing in the form of fishing and nerakat (using fishing nets on the shoreline area) which is usually done by the surrounding community as a basic income. because of the polluted shoreline as a result of degraded fish and community livelihoods are lost.</w:t>
      </w:r>
    </w:p>
    <w:p w14:paraId="5632255D" w14:textId="77777777" w:rsidR="009352C0" w:rsidRPr="009352C0" w:rsidRDefault="009352C0" w:rsidP="009352C0">
      <w:pPr>
        <w:spacing w:line="480" w:lineRule="auto"/>
        <w:ind w:firstLine="708"/>
        <w:jc w:val="both"/>
        <w:rPr>
          <w:sz w:val="22"/>
          <w:szCs w:val="22"/>
          <w:lang w:val="en-US"/>
        </w:rPr>
      </w:pPr>
      <w:r w:rsidRPr="009352C0">
        <w:rPr>
          <w:sz w:val="22"/>
          <w:szCs w:val="22"/>
        </w:rPr>
        <w:t xml:space="preserve">Other livelihoods include farming and seaweed farming. Seaweed farmers suffer the same impact as fishermen. The harvest of other grasses becomes unproductive and the quality level is reduced. This decrease in quality lowers the price and makes the spirit of agriculture diminish. Meanwhile, in land farming, there is a conversion of land that is usually employed by the community for grains and the starch of siwalan trees for sugar production so that the results cannot be picked. Such conditions have an impact on the loss of livelihoods of rural communities and coastal areas </w:t>
      </w:r>
      <w:r w:rsidRPr="009352C0">
        <w:rPr>
          <w:sz w:val="22"/>
          <w:szCs w:val="22"/>
        </w:rPr>
        <w:fldChar w:fldCharType="begin" w:fldLock="1"/>
      </w:r>
      <w:r w:rsidRPr="009352C0">
        <w:rPr>
          <w:sz w:val="22"/>
          <w:szCs w:val="22"/>
        </w:rPr>
        <w:instrText>ADDIN CSL_CITATION {"citationItems":[{"id":"ITEM-1","itemData":{"DOI":"10.1088/2515-7620/ad43c2","ISSN":"25157620","abstract":"Since the early 2000s, Ca Mau has experienced a rapid boom in shrimp farming, leading to the conversion of mangroves into shrimp ponds and impeding mangrove forest conservation. Despite its negative environmental impacts, shrimp aquaculture remains vital to Ca Mau’s economy by providing employment opportunities and contributing to the province’s gross domestic product. This study constructed a system dynamic model to analyze the complex system of shrimp aquaculture and mangrove forests under two development scenarios: the Business-as-Usual (BAU) scenario and the Policy scenario. In the BAU scenario, shrimp aquaculture will continue to expand, resulting in the conversion of more mangroves into ponds and a decrease in Ca Mau’s mangrove forest to 70,349 (± 888.801) hectares in 2050. However, this expansion will bolster rural employment and the province’s economy, generating 14,250 (± 0.336) billion VND (US$ 570 million) in 2050. Conversely, in the Policy scenario, stabilizing shrimp areas at 280,000 hectares as a policy target will regulate mangrove conversion, allowing mangroves to regenerate (77,016 (± 687.155) hectares in 2050) and enhancing carbon storage (65 × 106 (± 0.58 × 106) MgC in 2050). However, challenges arise in the Policy scenario concerning potential economic stagnation, conflicts with other development priorities, and rural job losses. Officials must consider more than just the area of shrimp ponds to achieve sustainable development. Effective land use strategies should be implemented to ensure equilibrium between shrimp aquaculture and mangroves. Diversifying economic activities and promoting alternative livelihoods can mitigate the dependence on shrimp farming and offset the effects of policy interventions.","author":[{"dropping-particle":"","family":"Anh","given":"Hoang Ha","non-dropping-particle":"","parse-names":false,"suffix":""}],"container-title":"Environmental Research Communications","id":"ITEM-1","issue":"5","issued":{"date-parts":[["2024"]]},"publisher":"IOP Publishing","title":"Assessing the interconnected effects of policy interventions on shrimp farming expansion and mangrove ecosystems through system dynamics","type":"article-journal","volume":"6"},"uris":["http://www.mendeley.com/documents/?uuid=45383fe1-a0a8-4fde-84d8-656f0b6ed403"]}],"mendeley":{"formattedCitation":"(Anh, 2024)","plainTextFormattedCitation":"(Anh, 2024)","previouslyFormattedCitation":"(Anh, 2024)"},"properties":{"noteIndex":0},"schema":"https://github.com/citation-style-language/schema/raw/master/csl-citation.json"}</w:instrText>
      </w:r>
      <w:r w:rsidRPr="009352C0">
        <w:rPr>
          <w:sz w:val="22"/>
          <w:szCs w:val="22"/>
        </w:rPr>
        <w:fldChar w:fldCharType="separate"/>
      </w:r>
      <w:r w:rsidRPr="009352C0">
        <w:rPr>
          <w:noProof/>
          <w:sz w:val="22"/>
          <w:szCs w:val="22"/>
        </w:rPr>
        <w:t>(Anh, 2024)</w:t>
      </w:r>
      <w:r w:rsidRPr="009352C0">
        <w:rPr>
          <w:sz w:val="22"/>
          <w:szCs w:val="22"/>
        </w:rPr>
        <w:fldChar w:fldCharType="end"/>
      </w:r>
      <w:r w:rsidRPr="009352C0">
        <w:rPr>
          <w:sz w:val="22"/>
          <w:szCs w:val="22"/>
        </w:rPr>
        <w:t>.</w:t>
      </w:r>
    </w:p>
    <w:p w14:paraId="5CD05333" w14:textId="77777777" w:rsidR="009352C0" w:rsidRPr="009352C0" w:rsidRDefault="009352C0" w:rsidP="009352C0">
      <w:pPr>
        <w:pStyle w:val="ListParagraph"/>
        <w:numPr>
          <w:ilvl w:val="0"/>
          <w:numId w:val="3"/>
        </w:numPr>
        <w:spacing w:line="480" w:lineRule="auto"/>
        <w:jc w:val="both"/>
        <w:rPr>
          <w:sz w:val="22"/>
          <w:szCs w:val="22"/>
          <w:lang w:val="en-US"/>
        </w:rPr>
      </w:pPr>
      <w:r w:rsidRPr="009352C0">
        <w:rPr>
          <w:b/>
          <w:bCs/>
          <w:sz w:val="22"/>
          <w:szCs w:val="22"/>
        </w:rPr>
        <w:t>Marginalization</w:t>
      </w:r>
    </w:p>
    <w:p w14:paraId="3F14B361" w14:textId="77777777" w:rsidR="009352C0" w:rsidRPr="009352C0" w:rsidRDefault="009352C0" w:rsidP="009352C0">
      <w:pPr>
        <w:spacing w:line="480" w:lineRule="auto"/>
        <w:ind w:firstLine="708"/>
        <w:jc w:val="both"/>
        <w:rPr>
          <w:sz w:val="22"/>
          <w:szCs w:val="22"/>
          <w:lang w:val="en-US"/>
        </w:rPr>
      </w:pPr>
      <w:r w:rsidRPr="009352C0">
        <w:rPr>
          <w:sz w:val="22"/>
          <w:szCs w:val="22"/>
        </w:rPr>
        <w:t>The management of shrimp ponds has resulted in economic disparity in the surrounding community. Shrimp pond production is only done for the middle class because the production capital is quite high. People who have the potential to manage shrimp ponds but do not have the capital cannot produce shrimp. Shrimp farming can only be done for the middle class. Then the local people who do not have capital alternatively sell land at low prices to entrepreneurs. This transfer of ownership has continued since 2018 to 2020, resulting in the local community not being able to benefit from the rise of shrimp ponds.</w:t>
      </w:r>
    </w:p>
    <w:p w14:paraId="183260A4" w14:textId="77777777" w:rsidR="009352C0" w:rsidRPr="009352C0" w:rsidRDefault="009352C0" w:rsidP="009352C0">
      <w:pPr>
        <w:spacing w:line="480" w:lineRule="auto"/>
        <w:ind w:firstLine="708"/>
        <w:jc w:val="both"/>
        <w:rPr>
          <w:sz w:val="22"/>
          <w:szCs w:val="22"/>
          <w:lang w:val="en-US"/>
        </w:rPr>
      </w:pPr>
      <w:r w:rsidRPr="009352C0">
        <w:rPr>
          <w:sz w:val="22"/>
          <w:szCs w:val="22"/>
        </w:rPr>
        <w:t xml:space="preserve">In other aspects, shrimp ponds absorb labor, in 1 pond measuring 500-2000m2 can absorb 4 (four) workers, and for large-scale ponds owned by PT labor absorption can be up to 15 people. However, not all labor can be accessed by the surrounding community. Competence and skill of the labor force are often the main factors. However, the surrounding community feels that labor is generally from outside the area around the pond. As a result, shrimp ponds do not have a significant impact on </w:t>
      </w:r>
      <w:r w:rsidRPr="009352C0">
        <w:rPr>
          <w:sz w:val="22"/>
          <w:szCs w:val="22"/>
        </w:rPr>
        <w:lastRenderedPageBreak/>
        <w:t>the economy and work of the surrounding community, so that the marginalization of citizens becomes a problem of the rise of the pond. The impact of shrimp pond management is clearly captured in table 2 and the diagram below.</w:t>
      </w:r>
    </w:p>
    <w:p w14:paraId="5FB2233B" w14:textId="77777777" w:rsidR="009352C0" w:rsidRPr="009352C0" w:rsidRDefault="009352C0" w:rsidP="009352C0">
      <w:pPr>
        <w:spacing w:line="480" w:lineRule="auto"/>
        <w:ind w:firstLine="708"/>
        <w:jc w:val="both"/>
        <w:rPr>
          <w:sz w:val="22"/>
          <w:szCs w:val="22"/>
          <w:lang w:val="en-US"/>
        </w:rPr>
      </w:pPr>
    </w:p>
    <w:p w14:paraId="4FFE7C5A" w14:textId="77777777" w:rsidR="009352C0" w:rsidRPr="009352C0" w:rsidRDefault="009352C0" w:rsidP="009352C0">
      <w:pPr>
        <w:spacing w:line="480" w:lineRule="auto"/>
        <w:ind w:firstLine="708"/>
        <w:jc w:val="center"/>
        <w:rPr>
          <w:sz w:val="22"/>
          <w:szCs w:val="22"/>
          <w:lang w:val="en-US"/>
        </w:rPr>
      </w:pPr>
      <w:r w:rsidRPr="009352C0">
        <w:rPr>
          <w:sz w:val="22"/>
          <w:szCs w:val="22"/>
        </w:rPr>
        <w:t xml:space="preserve">Table 2. </w:t>
      </w:r>
      <w:r w:rsidRPr="009352C0">
        <w:rPr>
          <w:b/>
          <w:bCs/>
          <w:sz w:val="22"/>
          <w:szCs w:val="22"/>
        </w:rPr>
        <w:t>Impact of shrimp farm management</w:t>
      </w:r>
    </w:p>
    <w:tbl>
      <w:tblPr>
        <w:tblStyle w:val="TableGrid"/>
        <w:tblW w:w="9038" w:type="dxa"/>
        <w:tblLook w:val="04A0" w:firstRow="1" w:lastRow="0" w:firstColumn="1" w:lastColumn="0" w:noHBand="0" w:noVBand="1"/>
      </w:tblPr>
      <w:tblGrid>
        <w:gridCol w:w="3353"/>
        <w:gridCol w:w="3730"/>
        <w:gridCol w:w="1955"/>
      </w:tblGrid>
      <w:tr w:rsidR="009352C0" w:rsidRPr="009352C0" w14:paraId="01C790C2" w14:textId="77777777" w:rsidTr="008B59D7">
        <w:trPr>
          <w:trHeight w:val="309"/>
        </w:trPr>
        <w:tc>
          <w:tcPr>
            <w:tcW w:w="3353" w:type="dxa"/>
          </w:tcPr>
          <w:p w14:paraId="1380F489" w14:textId="77777777" w:rsidR="009352C0" w:rsidRPr="009352C0" w:rsidRDefault="009352C0" w:rsidP="008B59D7">
            <w:pPr>
              <w:spacing w:line="192" w:lineRule="auto"/>
              <w:jc w:val="center"/>
              <w:rPr>
                <w:rFonts w:eastAsia="Book Antiqua"/>
                <w:b/>
                <w:bCs/>
                <w:sz w:val="22"/>
                <w:szCs w:val="22"/>
              </w:rPr>
            </w:pPr>
            <w:r w:rsidRPr="009352C0">
              <w:rPr>
                <w:rFonts w:eastAsia="Book Antiqua"/>
                <w:b/>
                <w:bCs/>
                <w:sz w:val="22"/>
                <w:szCs w:val="22"/>
              </w:rPr>
              <w:t>Impact</w:t>
            </w:r>
          </w:p>
          <w:p w14:paraId="5531EB62" w14:textId="77777777" w:rsidR="009352C0" w:rsidRPr="009352C0" w:rsidRDefault="009352C0" w:rsidP="008B59D7">
            <w:pPr>
              <w:spacing w:line="192" w:lineRule="auto"/>
              <w:jc w:val="center"/>
              <w:rPr>
                <w:rFonts w:eastAsia="Book Antiqua"/>
                <w:b/>
                <w:bCs/>
                <w:sz w:val="22"/>
                <w:szCs w:val="22"/>
              </w:rPr>
            </w:pPr>
          </w:p>
        </w:tc>
        <w:tc>
          <w:tcPr>
            <w:tcW w:w="3730" w:type="dxa"/>
          </w:tcPr>
          <w:p w14:paraId="771FF09B" w14:textId="77777777" w:rsidR="009352C0" w:rsidRPr="009352C0" w:rsidRDefault="009352C0" w:rsidP="008B59D7">
            <w:pPr>
              <w:spacing w:line="192" w:lineRule="auto"/>
              <w:jc w:val="center"/>
              <w:rPr>
                <w:rFonts w:eastAsia="Book Antiqua"/>
                <w:b/>
                <w:bCs/>
                <w:sz w:val="22"/>
                <w:szCs w:val="22"/>
              </w:rPr>
            </w:pPr>
            <w:r w:rsidRPr="009352C0">
              <w:rPr>
                <w:rFonts w:eastAsia="Book Antiqua"/>
                <w:b/>
                <w:bCs/>
                <w:sz w:val="22"/>
                <w:szCs w:val="22"/>
              </w:rPr>
              <w:t>Shape</w:t>
            </w:r>
          </w:p>
        </w:tc>
        <w:tc>
          <w:tcPr>
            <w:tcW w:w="1955" w:type="dxa"/>
          </w:tcPr>
          <w:p w14:paraId="1F5E5AA1" w14:textId="77777777" w:rsidR="009352C0" w:rsidRPr="009352C0" w:rsidRDefault="009352C0" w:rsidP="008B59D7">
            <w:pPr>
              <w:spacing w:line="192" w:lineRule="auto"/>
              <w:jc w:val="center"/>
              <w:rPr>
                <w:rFonts w:eastAsia="Book Antiqua"/>
                <w:b/>
                <w:bCs/>
                <w:sz w:val="22"/>
                <w:szCs w:val="22"/>
              </w:rPr>
            </w:pPr>
            <w:r w:rsidRPr="009352C0">
              <w:rPr>
                <w:rFonts w:eastAsia="Book Antiqua"/>
                <w:b/>
                <w:bCs/>
                <w:sz w:val="22"/>
                <w:szCs w:val="22"/>
              </w:rPr>
              <w:t>Duration (years)</w:t>
            </w:r>
          </w:p>
        </w:tc>
      </w:tr>
      <w:tr w:rsidR="009352C0" w:rsidRPr="009352C0" w14:paraId="7B6AABC7" w14:textId="77777777" w:rsidTr="008B59D7">
        <w:trPr>
          <w:trHeight w:val="294"/>
        </w:trPr>
        <w:tc>
          <w:tcPr>
            <w:tcW w:w="3353" w:type="dxa"/>
          </w:tcPr>
          <w:p w14:paraId="600913C7" w14:textId="77777777" w:rsidR="009352C0" w:rsidRPr="009352C0" w:rsidRDefault="009352C0" w:rsidP="008B59D7">
            <w:pPr>
              <w:pStyle w:val="NormalWeb"/>
              <w:spacing w:before="0" w:beforeAutospacing="0" w:line="192" w:lineRule="auto"/>
              <w:rPr>
                <w:rFonts w:ascii="Times New Roman" w:hAnsi="Times New Roman"/>
                <w:sz w:val="22"/>
                <w:szCs w:val="22"/>
              </w:rPr>
            </w:pPr>
            <w:r w:rsidRPr="009352C0">
              <w:rPr>
                <w:rFonts w:ascii="Times New Roman" w:hAnsi="Times New Roman"/>
                <w:sz w:val="22"/>
                <w:szCs w:val="22"/>
              </w:rPr>
              <w:t>Land and Environmental Security</w:t>
            </w:r>
          </w:p>
        </w:tc>
        <w:tc>
          <w:tcPr>
            <w:tcW w:w="3730" w:type="dxa"/>
          </w:tcPr>
          <w:p w14:paraId="5748A710" w14:textId="77777777" w:rsidR="009352C0" w:rsidRPr="009352C0" w:rsidRDefault="009352C0" w:rsidP="008B59D7">
            <w:pPr>
              <w:pStyle w:val="NormalWeb"/>
              <w:spacing w:before="0" w:beforeAutospacing="0" w:line="192" w:lineRule="auto"/>
              <w:rPr>
                <w:rFonts w:ascii="Times New Roman" w:hAnsi="Times New Roman"/>
                <w:sz w:val="22"/>
                <w:szCs w:val="22"/>
              </w:rPr>
            </w:pPr>
            <w:r w:rsidRPr="009352C0">
              <w:rPr>
                <w:rFonts w:ascii="Times New Roman" w:hAnsi="Times New Roman"/>
                <w:sz w:val="22"/>
                <w:szCs w:val="22"/>
              </w:rPr>
              <w:t>Pollutants</w:t>
            </w:r>
          </w:p>
        </w:tc>
        <w:tc>
          <w:tcPr>
            <w:tcW w:w="1955" w:type="dxa"/>
          </w:tcPr>
          <w:p w14:paraId="193E05A1" w14:textId="77777777" w:rsidR="009352C0" w:rsidRPr="009352C0" w:rsidRDefault="009352C0" w:rsidP="008B59D7">
            <w:pPr>
              <w:spacing w:line="192" w:lineRule="auto"/>
              <w:jc w:val="center"/>
              <w:rPr>
                <w:rFonts w:eastAsia="Book Antiqua"/>
                <w:sz w:val="22"/>
                <w:szCs w:val="22"/>
              </w:rPr>
            </w:pPr>
            <w:r w:rsidRPr="009352C0">
              <w:rPr>
                <w:rFonts w:eastAsia="Book Antiqua"/>
                <w:sz w:val="22"/>
                <w:szCs w:val="22"/>
              </w:rPr>
              <w:t>1 to 4</w:t>
            </w:r>
          </w:p>
        </w:tc>
      </w:tr>
      <w:tr w:rsidR="009352C0" w:rsidRPr="009352C0" w14:paraId="569755D2" w14:textId="77777777" w:rsidTr="008B59D7">
        <w:trPr>
          <w:trHeight w:val="309"/>
        </w:trPr>
        <w:tc>
          <w:tcPr>
            <w:tcW w:w="3353" w:type="dxa"/>
          </w:tcPr>
          <w:p w14:paraId="464CFDA2" w14:textId="77777777" w:rsidR="009352C0" w:rsidRPr="009352C0" w:rsidRDefault="009352C0" w:rsidP="008B59D7">
            <w:pPr>
              <w:pStyle w:val="NormalWeb"/>
              <w:spacing w:before="0" w:beforeAutospacing="0" w:line="192" w:lineRule="auto"/>
              <w:rPr>
                <w:rFonts w:ascii="Times New Roman" w:hAnsi="Times New Roman"/>
                <w:sz w:val="22"/>
                <w:szCs w:val="22"/>
              </w:rPr>
            </w:pPr>
            <w:r w:rsidRPr="009352C0">
              <w:rPr>
                <w:rFonts w:ascii="Times New Roman" w:hAnsi="Times New Roman"/>
                <w:sz w:val="22"/>
                <w:szCs w:val="22"/>
              </w:rPr>
              <w:t>Destruction of agricultural land</w:t>
            </w:r>
          </w:p>
        </w:tc>
        <w:tc>
          <w:tcPr>
            <w:tcW w:w="3730" w:type="dxa"/>
          </w:tcPr>
          <w:p w14:paraId="12AB11F0" w14:textId="77777777" w:rsidR="009352C0" w:rsidRPr="009352C0" w:rsidRDefault="009352C0" w:rsidP="008B59D7">
            <w:pPr>
              <w:pStyle w:val="NormalWeb"/>
              <w:spacing w:before="0" w:beforeAutospacing="0" w:line="192" w:lineRule="auto"/>
              <w:rPr>
                <w:rFonts w:ascii="Times New Roman" w:hAnsi="Times New Roman"/>
                <w:sz w:val="22"/>
                <w:szCs w:val="22"/>
              </w:rPr>
            </w:pPr>
            <w:r w:rsidRPr="009352C0">
              <w:rPr>
                <w:rFonts w:ascii="Times New Roman" w:hAnsi="Times New Roman"/>
                <w:sz w:val="22"/>
                <w:szCs w:val="22"/>
              </w:rPr>
              <w:t>Productive land conversion</w:t>
            </w:r>
          </w:p>
        </w:tc>
        <w:tc>
          <w:tcPr>
            <w:tcW w:w="1955" w:type="dxa"/>
          </w:tcPr>
          <w:p w14:paraId="47DBCEBF" w14:textId="77777777" w:rsidR="009352C0" w:rsidRPr="009352C0" w:rsidRDefault="009352C0" w:rsidP="008B59D7">
            <w:pPr>
              <w:spacing w:line="192" w:lineRule="auto"/>
              <w:jc w:val="center"/>
              <w:rPr>
                <w:rFonts w:eastAsia="Book Antiqua"/>
                <w:sz w:val="22"/>
                <w:szCs w:val="22"/>
              </w:rPr>
            </w:pPr>
            <w:r w:rsidRPr="009352C0">
              <w:rPr>
                <w:rFonts w:eastAsia="Book Antiqua"/>
                <w:sz w:val="22"/>
                <w:szCs w:val="22"/>
              </w:rPr>
              <w:t>2 to 6</w:t>
            </w:r>
          </w:p>
        </w:tc>
      </w:tr>
      <w:tr w:rsidR="009352C0" w:rsidRPr="009352C0" w14:paraId="5A35C423" w14:textId="77777777" w:rsidTr="008B59D7">
        <w:trPr>
          <w:trHeight w:val="586"/>
        </w:trPr>
        <w:tc>
          <w:tcPr>
            <w:tcW w:w="3353" w:type="dxa"/>
          </w:tcPr>
          <w:p w14:paraId="06C42A5E" w14:textId="77777777" w:rsidR="009352C0" w:rsidRPr="009352C0" w:rsidRDefault="009352C0" w:rsidP="008B59D7">
            <w:pPr>
              <w:pStyle w:val="NormalWeb"/>
              <w:spacing w:before="0" w:beforeAutospacing="0" w:line="192" w:lineRule="auto"/>
              <w:rPr>
                <w:rFonts w:ascii="Times New Roman" w:hAnsi="Times New Roman"/>
                <w:sz w:val="22"/>
                <w:szCs w:val="22"/>
              </w:rPr>
            </w:pPr>
            <w:r w:rsidRPr="009352C0">
              <w:rPr>
                <w:rFonts w:ascii="Times New Roman" w:hAnsi="Times New Roman"/>
                <w:sz w:val="22"/>
                <w:szCs w:val="22"/>
              </w:rPr>
              <w:t>Ocean pollution</w:t>
            </w:r>
          </w:p>
        </w:tc>
        <w:tc>
          <w:tcPr>
            <w:tcW w:w="3730" w:type="dxa"/>
          </w:tcPr>
          <w:p w14:paraId="2E99F9CB" w14:textId="77777777" w:rsidR="009352C0" w:rsidRPr="009352C0" w:rsidRDefault="009352C0" w:rsidP="008B59D7">
            <w:pPr>
              <w:pStyle w:val="NormalWeb"/>
              <w:spacing w:before="0" w:beforeAutospacing="0" w:after="0" w:afterAutospacing="0" w:line="192" w:lineRule="auto"/>
              <w:rPr>
                <w:rFonts w:ascii="Times New Roman" w:hAnsi="Times New Roman"/>
                <w:sz w:val="22"/>
                <w:szCs w:val="22"/>
              </w:rPr>
            </w:pPr>
            <w:r w:rsidRPr="009352C0">
              <w:rPr>
                <w:rFonts w:ascii="Times New Roman" w:hAnsi="Times New Roman"/>
                <w:sz w:val="22"/>
                <w:szCs w:val="22"/>
              </w:rPr>
              <w:t>Smelly water</w:t>
            </w:r>
          </w:p>
          <w:p w14:paraId="6410A993" w14:textId="77777777" w:rsidR="009352C0" w:rsidRPr="009352C0" w:rsidRDefault="009352C0" w:rsidP="008B59D7">
            <w:pPr>
              <w:pStyle w:val="NormalWeb"/>
              <w:spacing w:before="0" w:beforeAutospacing="0" w:after="0" w:afterAutospacing="0" w:line="192" w:lineRule="auto"/>
              <w:rPr>
                <w:rFonts w:ascii="Times New Roman" w:hAnsi="Times New Roman"/>
                <w:sz w:val="22"/>
                <w:szCs w:val="22"/>
              </w:rPr>
            </w:pPr>
            <w:r w:rsidRPr="009352C0">
              <w:rPr>
                <w:rFonts w:ascii="Times New Roman" w:hAnsi="Times New Roman"/>
                <w:sz w:val="22"/>
                <w:szCs w:val="22"/>
              </w:rPr>
              <w:t>Itchy shoreline water</w:t>
            </w:r>
          </w:p>
          <w:p w14:paraId="6E465B85" w14:textId="77777777" w:rsidR="009352C0" w:rsidRPr="009352C0" w:rsidRDefault="009352C0" w:rsidP="008B59D7">
            <w:pPr>
              <w:pStyle w:val="NormalWeb"/>
              <w:spacing w:before="0" w:beforeAutospacing="0" w:after="0" w:afterAutospacing="0" w:line="192" w:lineRule="auto"/>
              <w:rPr>
                <w:rFonts w:ascii="Times New Roman" w:hAnsi="Times New Roman"/>
                <w:sz w:val="22"/>
                <w:szCs w:val="22"/>
              </w:rPr>
            </w:pPr>
            <w:r w:rsidRPr="009352C0">
              <w:rPr>
                <w:rFonts w:ascii="Times New Roman" w:hAnsi="Times New Roman"/>
                <w:sz w:val="22"/>
                <w:szCs w:val="22"/>
              </w:rPr>
              <w:t>Sea water discoloration</w:t>
            </w:r>
          </w:p>
          <w:p w14:paraId="1C31E578" w14:textId="77777777" w:rsidR="009352C0" w:rsidRPr="009352C0" w:rsidRDefault="009352C0" w:rsidP="008B59D7">
            <w:pPr>
              <w:pStyle w:val="NormalWeb"/>
              <w:spacing w:before="0" w:beforeAutospacing="0" w:after="0" w:afterAutospacing="0" w:line="192" w:lineRule="auto"/>
              <w:rPr>
                <w:rFonts w:ascii="Times New Roman" w:hAnsi="Times New Roman"/>
                <w:sz w:val="22"/>
                <w:szCs w:val="22"/>
              </w:rPr>
            </w:pPr>
            <w:r w:rsidRPr="009352C0">
              <w:rPr>
                <w:rFonts w:ascii="Times New Roman" w:hAnsi="Times New Roman"/>
                <w:sz w:val="22"/>
                <w:szCs w:val="22"/>
              </w:rPr>
              <w:t>Fish erosion</w:t>
            </w:r>
          </w:p>
        </w:tc>
        <w:tc>
          <w:tcPr>
            <w:tcW w:w="1955" w:type="dxa"/>
          </w:tcPr>
          <w:p w14:paraId="413CF2A7" w14:textId="77777777" w:rsidR="009352C0" w:rsidRPr="009352C0" w:rsidRDefault="009352C0" w:rsidP="008B59D7">
            <w:pPr>
              <w:spacing w:line="192" w:lineRule="auto"/>
              <w:jc w:val="center"/>
              <w:rPr>
                <w:rFonts w:eastAsia="Book Antiqua"/>
                <w:sz w:val="22"/>
                <w:szCs w:val="22"/>
              </w:rPr>
            </w:pPr>
            <w:r w:rsidRPr="009352C0">
              <w:rPr>
                <w:rFonts w:eastAsia="Book Antiqua"/>
                <w:sz w:val="22"/>
                <w:szCs w:val="22"/>
              </w:rPr>
              <w:t>2 to 9</w:t>
            </w:r>
          </w:p>
        </w:tc>
      </w:tr>
      <w:tr w:rsidR="009352C0" w:rsidRPr="009352C0" w14:paraId="1F43A1E4" w14:textId="77777777" w:rsidTr="008B59D7">
        <w:trPr>
          <w:trHeight w:val="309"/>
        </w:trPr>
        <w:tc>
          <w:tcPr>
            <w:tcW w:w="3353" w:type="dxa"/>
          </w:tcPr>
          <w:p w14:paraId="5BB259E4" w14:textId="77777777" w:rsidR="009352C0" w:rsidRPr="009352C0" w:rsidRDefault="009352C0" w:rsidP="008B59D7">
            <w:pPr>
              <w:pStyle w:val="NormalWeb"/>
              <w:spacing w:before="0" w:beforeAutospacing="0" w:line="192" w:lineRule="auto"/>
              <w:rPr>
                <w:rFonts w:ascii="Times New Roman" w:hAnsi="Times New Roman"/>
                <w:sz w:val="22"/>
                <w:szCs w:val="22"/>
              </w:rPr>
            </w:pPr>
            <w:r w:rsidRPr="009352C0">
              <w:rPr>
                <w:rFonts w:ascii="Times New Roman" w:hAnsi="Times New Roman"/>
                <w:sz w:val="22"/>
                <w:szCs w:val="22"/>
              </w:rPr>
              <w:t>Mangrove degradation</w:t>
            </w:r>
          </w:p>
        </w:tc>
        <w:tc>
          <w:tcPr>
            <w:tcW w:w="3730" w:type="dxa"/>
          </w:tcPr>
          <w:p w14:paraId="642F5E3C" w14:textId="77777777" w:rsidR="009352C0" w:rsidRPr="009352C0" w:rsidRDefault="009352C0" w:rsidP="008B59D7">
            <w:pPr>
              <w:pStyle w:val="NormalWeb"/>
              <w:spacing w:before="0" w:beforeAutospacing="0" w:after="0" w:afterAutospacing="0" w:line="192" w:lineRule="auto"/>
              <w:rPr>
                <w:rFonts w:ascii="Times New Roman" w:hAnsi="Times New Roman"/>
                <w:sz w:val="22"/>
                <w:szCs w:val="22"/>
              </w:rPr>
            </w:pPr>
            <w:r w:rsidRPr="009352C0">
              <w:rPr>
                <w:rFonts w:ascii="Times New Roman" w:hAnsi="Times New Roman"/>
                <w:sz w:val="22"/>
                <w:szCs w:val="22"/>
              </w:rPr>
              <w:t>Mangrove degradation</w:t>
            </w:r>
          </w:p>
          <w:p w14:paraId="083F1EE8" w14:textId="77777777" w:rsidR="009352C0" w:rsidRPr="009352C0" w:rsidRDefault="009352C0" w:rsidP="008B59D7">
            <w:pPr>
              <w:pStyle w:val="NormalWeb"/>
              <w:spacing w:before="0" w:beforeAutospacing="0" w:after="0" w:afterAutospacing="0" w:line="192" w:lineRule="auto"/>
              <w:rPr>
                <w:rFonts w:ascii="Times New Roman" w:hAnsi="Times New Roman"/>
                <w:sz w:val="22"/>
                <w:szCs w:val="22"/>
              </w:rPr>
            </w:pPr>
            <w:r w:rsidRPr="009352C0">
              <w:rPr>
                <w:rFonts w:ascii="Times New Roman" w:hAnsi="Times New Roman"/>
                <w:sz w:val="22"/>
                <w:szCs w:val="22"/>
              </w:rPr>
              <w:t>Vegetation land cover</w:t>
            </w:r>
          </w:p>
          <w:p w14:paraId="78916E76" w14:textId="77777777" w:rsidR="009352C0" w:rsidRPr="009352C0" w:rsidRDefault="009352C0" w:rsidP="008B59D7">
            <w:pPr>
              <w:pStyle w:val="NormalWeb"/>
              <w:spacing w:before="0" w:beforeAutospacing="0" w:line="192" w:lineRule="auto"/>
              <w:rPr>
                <w:rFonts w:ascii="Times New Roman" w:hAnsi="Times New Roman"/>
                <w:sz w:val="22"/>
                <w:szCs w:val="22"/>
              </w:rPr>
            </w:pPr>
            <w:r w:rsidRPr="009352C0">
              <w:rPr>
                <w:rFonts w:ascii="Times New Roman" w:hAnsi="Times New Roman"/>
                <w:sz w:val="22"/>
                <w:szCs w:val="22"/>
              </w:rPr>
              <w:t>Fisheries crisis</w:t>
            </w:r>
          </w:p>
        </w:tc>
        <w:tc>
          <w:tcPr>
            <w:tcW w:w="1955" w:type="dxa"/>
          </w:tcPr>
          <w:p w14:paraId="7E47B04E" w14:textId="77777777" w:rsidR="009352C0" w:rsidRPr="009352C0" w:rsidRDefault="009352C0" w:rsidP="008B59D7">
            <w:pPr>
              <w:spacing w:line="192" w:lineRule="auto"/>
              <w:jc w:val="center"/>
              <w:rPr>
                <w:rFonts w:eastAsia="Book Antiqua"/>
                <w:sz w:val="22"/>
                <w:szCs w:val="22"/>
              </w:rPr>
            </w:pPr>
            <w:r w:rsidRPr="009352C0">
              <w:rPr>
                <w:rFonts w:eastAsia="Book Antiqua"/>
                <w:sz w:val="22"/>
                <w:szCs w:val="22"/>
              </w:rPr>
              <w:t>2 to 6</w:t>
            </w:r>
          </w:p>
        </w:tc>
      </w:tr>
      <w:tr w:rsidR="009352C0" w:rsidRPr="009352C0" w14:paraId="4033B48F" w14:textId="77777777" w:rsidTr="008B59D7">
        <w:trPr>
          <w:trHeight w:val="309"/>
        </w:trPr>
        <w:tc>
          <w:tcPr>
            <w:tcW w:w="3353" w:type="dxa"/>
          </w:tcPr>
          <w:p w14:paraId="00A65D8E" w14:textId="77777777" w:rsidR="009352C0" w:rsidRPr="009352C0" w:rsidRDefault="009352C0" w:rsidP="008B59D7">
            <w:pPr>
              <w:pStyle w:val="NormalWeb"/>
              <w:spacing w:before="0" w:beforeAutospacing="0" w:line="192" w:lineRule="auto"/>
              <w:rPr>
                <w:rFonts w:ascii="Times New Roman" w:eastAsia="Book Antiqua" w:hAnsi="Times New Roman"/>
                <w:sz w:val="22"/>
                <w:szCs w:val="22"/>
              </w:rPr>
            </w:pPr>
            <w:r w:rsidRPr="009352C0">
              <w:rPr>
                <w:rFonts w:ascii="Times New Roman" w:hAnsi="Times New Roman"/>
                <w:sz w:val="22"/>
                <w:szCs w:val="22"/>
              </w:rPr>
              <w:t xml:space="preserve">Noise and </w:t>
            </w:r>
            <w:proofErr w:type="spellStart"/>
            <w:r w:rsidRPr="009352C0">
              <w:rPr>
                <w:rFonts w:ascii="Times New Roman" w:hAnsi="Times New Roman"/>
                <w:sz w:val="22"/>
                <w:szCs w:val="22"/>
              </w:rPr>
              <w:t>odor</w:t>
            </w:r>
            <w:proofErr w:type="spellEnd"/>
            <w:r w:rsidRPr="009352C0">
              <w:rPr>
                <w:rFonts w:ascii="Times New Roman" w:hAnsi="Times New Roman"/>
                <w:sz w:val="22"/>
                <w:szCs w:val="22"/>
              </w:rPr>
              <w:t xml:space="preserve"> pollution</w:t>
            </w:r>
          </w:p>
        </w:tc>
        <w:tc>
          <w:tcPr>
            <w:tcW w:w="3730" w:type="dxa"/>
          </w:tcPr>
          <w:p w14:paraId="095FCD22" w14:textId="77777777" w:rsidR="009352C0" w:rsidRPr="009352C0" w:rsidRDefault="009352C0" w:rsidP="008B59D7">
            <w:pPr>
              <w:pStyle w:val="NormalWeb"/>
              <w:spacing w:before="0" w:beforeAutospacing="0" w:after="0" w:afterAutospacing="0" w:line="192" w:lineRule="auto"/>
              <w:rPr>
                <w:rFonts w:ascii="Times New Roman" w:hAnsi="Times New Roman"/>
                <w:sz w:val="22"/>
                <w:szCs w:val="22"/>
              </w:rPr>
            </w:pPr>
            <w:r w:rsidRPr="009352C0">
              <w:rPr>
                <w:rFonts w:ascii="Times New Roman" w:hAnsi="Times New Roman"/>
                <w:sz w:val="22"/>
                <w:szCs w:val="22"/>
              </w:rPr>
              <w:t>- Noisy</w:t>
            </w:r>
          </w:p>
          <w:p w14:paraId="3B4D3BD6" w14:textId="77777777" w:rsidR="009352C0" w:rsidRPr="009352C0" w:rsidRDefault="009352C0" w:rsidP="008B59D7">
            <w:pPr>
              <w:pStyle w:val="NormalWeb"/>
              <w:spacing w:before="0" w:beforeAutospacing="0" w:after="0" w:afterAutospacing="0" w:line="192" w:lineRule="auto"/>
              <w:rPr>
                <w:rFonts w:ascii="Times New Roman" w:hAnsi="Times New Roman"/>
                <w:sz w:val="22"/>
                <w:szCs w:val="22"/>
              </w:rPr>
            </w:pPr>
            <w:r w:rsidRPr="009352C0">
              <w:rPr>
                <w:rFonts w:ascii="Times New Roman" w:hAnsi="Times New Roman"/>
                <w:sz w:val="22"/>
                <w:szCs w:val="22"/>
              </w:rPr>
              <w:t xml:space="preserve">- Strong </w:t>
            </w:r>
            <w:proofErr w:type="spellStart"/>
            <w:r w:rsidRPr="009352C0">
              <w:rPr>
                <w:rFonts w:ascii="Times New Roman" w:hAnsi="Times New Roman"/>
                <w:sz w:val="22"/>
                <w:szCs w:val="22"/>
              </w:rPr>
              <w:t>odor</w:t>
            </w:r>
            <w:proofErr w:type="spellEnd"/>
          </w:p>
        </w:tc>
        <w:tc>
          <w:tcPr>
            <w:tcW w:w="1955" w:type="dxa"/>
          </w:tcPr>
          <w:p w14:paraId="1CFD65B6" w14:textId="77777777" w:rsidR="009352C0" w:rsidRPr="009352C0" w:rsidRDefault="009352C0" w:rsidP="008B59D7">
            <w:pPr>
              <w:spacing w:line="192" w:lineRule="auto"/>
              <w:jc w:val="center"/>
              <w:rPr>
                <w:rFonts w:eastAsia="Book Antiqua"/>
                <w:sz w:val="22"/>
                <w:szCs w:val="22"/>
              </w:rPr>
            </w:pPr>
            <w:r w:rsidRPr="009352C0">
              <w:rPr>
                <w:rFonts w:eastAsia="Book Antiqua"/>
                <w:sz w:val="22"/>
                <w:szCs w:val="22"/>
              </w:rPr>
              <w:t>0,4 to 1</w:t>
            </w:r>
          </w:p>
        </w:tc>
      </w:tr>
      <w:tr w:rsidR="009352C0" w:rsidRPr="009352C0" w14:paraId="66EC2626" w14:textId="77777777" w:rsidTr="008B59D7">
        <w:trPr>
          <w:trHeight w:val="309"/>
        </w:trPr>
        <w:tc>
          <w:tcPr>
            <w:tcW w:w="3353" w:type="dxa"/>
          </w:tcPr>
          <w:p w14:paraId="1AA2A9B1" w14:textId="77777777" w:rsidR="009352C0" w:rsidRPr="009352C0" w:rsidRDefault="009352C0" w:rsidP="008B59D7">
            <w:pPr>
              <w:pStyle w:val="NormalWeb"/>
              <w:spacing w:before="0" w:beforeAutospacing="0" w:line="192" w:lineRule="auto"/>
              <w:rPr>
                <w:rFonts w:ascii="Times New Roman" w:hAnsi="Times New Roman"/>
                <w:sz w:val="22"/>
                <w:szCs w:val="22"/>
              </w:rPr>
            </w:pPr>
            <w:r w:rsidRPr="009352C0">
              <w:rPr>
                <w:rFonts w:ascii="Times New Roman" w:hAnsi="Times New Roman"/>
                <w:sz w:val="22"/>
                <w:szCs w:val="22"/>
              </w:rPr>
              <w:t>Rural unemployment</w:t>
            </w:r>
          </w:p>
        </w:tc>
        <w:tc>
          <w:tcPr>
            <w:tcW w:w="3730" w:type="dxa"/>
          </w:tcPr>
          <w:p w14:paraId="6D54B9AC" w14:textId="77777777" w:rsidR="009352C0" w:rsidRPr="009352C0" w:rsidRDefault="009352C0" w:rsidP="008B59D7">
            <w:pPr>
              <w:pStyle w:val="NormalWeb"/>
              <w:spacing w:before="0" w:beforeAutospacing="0" w:after="0" w:afterAutospacing="0" w:line="192" w:lineRule="auto"/>
              <w:rPr>
                <w:rFonts w:ascii="Times New Roman" w:hAnsi="Times New Roman"/>
                <w:sz w:val="22"/>
                <w:szCs w:val="22"/>
              </w:rPr>
            </w:pPr>
            <w:r w:rsidRPr="009352C0">
              <w:rPr>
                <w:rFonts w:ascii="Times New Roman" w:hAnsi="Times New Roman"/>
                <w:sz w:val="22"/>
                <w:szCs w:val="22"/>
              </w:rPr>
              <w:t>- Loss of agricultural livelihoods</w:t>
            </w:r>
          </w:p>
          <w:p w14:paraId="6663FB89" w14:textId="77777777" w:rsidR="009352C0" w:rsidRPr="009352C0" w:rsidRDefault="009352C0" w:rsidP="008B59D7">
            <w:pPr>
              <w:pStyle w:val="NormalWeb"/>
              <w:spacing w:before="0" w:beforeAutospacing="0" w:after="0" w:afterAutospacing="0" w:line="192" w:lineRule="auto"/>
              <w:rPr>
                <w:rFonts w:ascii="Times New Roman" w:hAnsi="Times New Roman"/>
                <w:sz w:val="22"/>
                <w:szCs w:val="22"/>
              </w:rPr>
            </w:pPr>
            <w:r w:rsidRPr="009352C0">
              <w:rPr>
                <w:rFonts w:ascii="Times New Roman" w:hAnsi="Times New Roman"/>
                <w:sz w:val="22"/>
                <w:szCs w:val="22"/>
              </w:rPr>
              <w:t>- Fish catch crisis</w:t>
            </w:r>
          </w:p>
        </w:tc>
        <w:tc>
          <w:tcPr>
            <w:tcW w:w="1955" w:type="dxa"/>
          </w:tcPr>
          <w:p w14:paraId="24B5A0F2" w14:textId="77777777" w:rsidR="009352C0" w:rsidRPr="009352C0" w:rsidRDefault="009352C0" w:rsidP="008B59D7">
            <w:pPr>
              <w:spacing w:line="192" w:lineRule="auto"/>
              <w:jc w:val="center"/>
              <w:rPr>
                <w:rFonts w:eastAsia="Book Antiqua"/>
                <w:sz w:val="22"/>
                <w:szCs w:val="22"/>
              </w:rPr>
            </w:pPr>
            <w:r w:rsidRPr="009352C0">
              <w:rPr>
                <w:rFonts w:eastAsia="Book Antiqua"/>
                <w:sz w:val="22"/>
                <w:szCs w:val="22"/>
              </w:rPr>
              <w:t>2 to 5</w:t>
            </w:r>
          </w:p>
        </w:tc>
      </w:tr>
      <w:tr w:rsidR="009352C0" w:rsidRPr="009352C0" w14:paraId="3CC25F08" w14:textId="77777777" w:rsidTr="008B59D7">
        <w:trPr>
          <w:trHeight w:val="309"/>
        </w:trPr>
        <w:tc>
          <w:tcPr>
            <w:tcW w:w="3353" w:type="dxa"/>
          </w:tcPr>
          <w:p w14:paraId="0C806F87" w14:textId="77777777" w:rsidR="009352C0" w:rsidRPr="009352C0" w:rsidRDefault="009352C0" w:rsidP="008B59D7">
            <w:pPr>
              <w:pStyle w:val="NormalWeb"/>
              <w:spacing w:before="0" w:beforeAutospacing="0" w:line="192" w:lineRule="auto"/>
              <w:rPr>
                <w:rFonts w:ascii="Times New Roman" w:hAnsi="Times New Roman"/>
                <w:sz w:val="22"/>
                <w:szCs w:val="22"/>
              </w:rPr>
            </w:pPr>
            <w:r w:rsidRPr="009352C0">
              <w:rPr>
                <w:rFonts w:ascii="Times New Roman" w:hAnsi="Times New Roman"/>
                <w:sz w:val="22"/>
                <w:szCs w:val="22"/>
              </w:rPr>
              <w:t>Marginalization</w:t>
            </w:r>
          </w:p>
        </w:tc>
        <w:tc>
          <w:tcPr>
            <w:tcW w:w="3730" w:type="dxa"/>
          </w:tcPr>
          <w:p w14:paraId="36433ADA" w14:textId="77777777" w:rsidR="009352C0" w:rsidRPr="009352C0" w:rsidRDefault="009352C0" w:rsidP="008B59D7">
            <w:pPr>
              <w:pStyle w:val="NormalWeb"/>
              <w:spacing w:before="0" w:beforeAutospacing="0" w:line="192" w:lineRule="auto"/>
              <w:rPr>
                <w:rFonts w:ascii="Times New Roman" w:hAnsi="Times New Roman"/>
                <w:sz w:val="22"/>
                <w:szCs w:val="22"/>
              </w:rPr>
            </w:pPr>
            <w:r w:rsidRPr="009352C0">
              <w:rPr>
                <w:rFonts w:ascii="Times New Roman" w:hAnsi="Times New Roman"/>
                <w:sz w:val="22"/>
                <w:szCs w:val="22"/>
              </w:rPr>
              <w:t>Unequal job opportunities</w:t>
            </w:r>
          </w:p>
        </w:tc>
        <w:tc>
          <w:tcPr>
            <w:tcW w:w="1955" w:type="dxa"/>
          </w:tcPr>
          <w:p w14:paraId="4C35887F" w14:textId="77777777" w:rsidR="009352C0" w:rsidRPr="009352C0" w:rsidRDefault="009352C0" w:rsidP="008B59D7">
            <w:pPr>
              <w:spacing w:line="192" w:lineRule="auto"/>
              <w:jc w:val="center"/>
              <w:rPr>
                <w:rFonts w:eastAsia="Book Antiqua"/>
                <w:sz w:val="22"/>
                <w:szCs w:val="22"/>
              </w:rPr>
            </w:pPr>
            <w:r w:rsidRPr="009352C0">
              <w:rPr>
                <w:rFonts w:eastAsia="Book Antiqua"/>
                <w:sz w:val="22"/>
                <w:szCs w:val="22"/>
              </w:rPr>
              <w:t>2 to 12</w:t>
            </w:r>
          </w:p>
        </w:tc>
      </w:tr>
      <w:tr w:rsidR="009352C0" w:rsidRPr="009352C0" w14:paraId="646A5556" w14:textId="77777777" w:rsidTr="008B59D7">
        <w:trPr>
          <w:trHeight w:val="309"/>
        </w:trPr>
        <w:tc>
          <w:tcPr>
            <w:tcW w:w="3353" w:type="dxa"/>
          </w:tcPr>
          <w:p w14:paraId="07C48928" w14:textId="77777777" w:rsidR="009352C0" w:rsidRPr="009352C0" w:rsidRDefault="009352C0" w:rsidP="008B59D7">
            <w:pPr>
              <w:pStyle w:val="NormalWeb"/>
              <w:spacing w:before="0" w:beforeAutospacing="0" w:line="192" w:lineRule="auto"/>
              <w:rPr>
                <w:rFonts w:ascii="Times New Roman" w:hAnsi="Times New Roman"/>
                <w:sz w:val="22"/>
                <w:szCs w:val="22"/>
              </w:rPr>
            </w:pPr>
            <w:r w:rsidRPr="009352C0">
              <w:rPr>
                <w:rFonts w:ascii="Times New Roman" w:hAnsi="Times New Roman"/>
                <w:sz w:val="22"/>
                <w:szCs w:val="22"/>
              </w:rPr>
              <w:t>Ecotourism degradation</w:t>
            </w:r>
          </w:p>
          <w:p w14:paraId="19CE6F71" w14:textId="77777777" w:rsidR="009352C0" w:rsidRPr="009352C0" w:rsidRDefault="009352C0" w:rsidP="008B59D7">
            <w:pPr>
              <w:pStyle w:val="NormalWeb"/>
              <w:spacing w:before="0" w:beforeAutospacing="0" w:line="192" w:lineRule="auto"/>
              <w:rPr>
                <w:rFonts w:ascii="Times New Roman" w:hAnsi="Times New Roman"/>
                <w:sz w:val="22"/>
                <w:szCs w:val="22"/>
              </w:rPr>
            </w:pPr>
          </w:p>
        </w:tc>
        <w:tc>
          <w:tcPr>
            <w:tcW w:w="3730" w:type="dxa"/>
          </w:tcPr>
          <w:p w14:paraId="1F960676" w14:textId="77777777" w:rsidR="009352C0" w:rsidRPr="009352C0" w:rsidRDefault="009352C0" w:rsidP="008B59D7">
            <w:pPr>
              <w:pStyle w:val="NormalWeb"/>
              <w:spacing w:before="0" w:beforeAutospacing="0" w:after="0" w:afterAutospacing="0" w:line="192" w:lineRule="auto"/>
              <w:rPr>
                <w:rFonts w:ascii="Times New Roman" w:hAnsi="Times New Roman"/>
                <w:sz w:val="22"/>
                <w:szCs w:val="22"/>
              </w:rPr>
            </w:pPr>
            <w:r w:rsidRPr="009352C0">
              <w:rPr>
                <w:rFonts w:ascii="Times New Roman" w:hAnsi="Times New Roman"/>
                <w:sz w:val="22"/>
                <w:szCs w:val="22"/>
              </w:rPr>
              <w:t>Ecotourism degradation</w:t>
            </w:r>
          </w:p>
          <w:p w14:paraId="5982B07C" w14:textId="77777777" w:rsidR="009352C0" w:rsidRPr="009352C0" w:rsidRDefault="009352C0" w:rsidP="008B59D7">
            <w:pPr>
              <w:pStyle w:val="NormalWeb"/>
              <w:spacing w:before="0" w:beforeAutospacing="0" w:after="0" w:afterAutospacing="0" w:line="192" w:lineRule="auto"/>
              <w:rPr>
                <w:rFonts w:ascii="Times New Roman" w:hAnsi="Times New Roman"/>
                <w:sz w:val="22"/>
                <w:szCs w:val="22"/>
              </w:rPr>
            </w:pPr>
            <w:r w:rsidRPr="009352C0">
              <w:rPr>
                <w:rFonts w:ascii="Times New Roman" w:hAnsi="Times New Roman"/>
                <w:sz w:val="22"/>
                <w:szCs w:val="22"/>
              </w:rPr>
              <w:t>Dirty destinations</w:t>
            </w:r>
          </w:p>
          <w:p w14:paraId="05B97A2A" w14:textId="77777777" w:rsidR="009352C0" w:rsidRPr="009352C0" w:rsidRDefault="009352C0" w:rsidP="008B59D7">
            <w:pPr>
              <w:pStyle w:val="NormalWeb"/>
              <w:spacing w:before="0" w:beforeAutospacing="0" w:after="0" w:afterAutospacing="0" w:line="192" w:lineRule="auto"/>
              <w:rPr>
                <w:rFonts w:ascii="Times New Roman" w:hAnsi="Times New Roman"/>
                <w:sz w:val="22"/>
                <w:szCs w:val="22"/>
              </w:rPr>
            </w:pPr>
            <w:r w:rsidRPr="009352C0">
              <w:rPr>
                <w:rFonts w:ascii="Times New Roman" w:hAnsi="Times New Roman"/>
                <w:sz w:val="22"/>
                <w:szCs w:val="22"/>
              </w:rPr>
              <w:t>Smelly destinations</w:t>
            </w:r>
          </w:p>
          <w:p w14:paraId="37904D10" w14:textId="77777777" w:rsidR="009352C0" w:rsidRPr="009352C0" w:rsidRDefault="009352C0" w:rsidP="008B59D7">
            <w:pPr>
              <w:pStyle w:val="NormalWeb"/>
              <w:spacing w:before="0" w:beforeAutospacing="0" w:after="0" w:afterAutospacing="0" w:line="192" w:lineRule="auto"/>
              <w:rPr>
                <w:rFonts w:ascii="Times New Roman" w:hAnsi="Times New Roman"/>
                <w:sz w:val="22"/>
                <w:szCs w:val="22"/>
              </w:rPr>
            </w:pPr>
            <w:r w:rsidRPr="009352C0">
              <w:rPr>
                <w:rFonts w:ascii="Times New Roman" w:hAnsi="Times New Roman"/>
                <w:sz w:val="22"/>
                <w:szCs w:val="22"/>
              </w:rPr>
              <w:t>Polluted shorelines</w:t>
            </w:r>
          </w:p>
          <w:p w14:paraId="35E9344E" w14:textId="77777777" w:rsidR="009352C0" w:rsidRPr="009352C0" w:rsidRDefault="009352C0" w:rsidP="008B59D7">
            <w:pPr>
              <w:pStyle w:val="NormalWeb"/>
              <w:spacing w:before="0" w:beforeAutospacing="0" w:after="0" w:afterAutospacing="0" w:line="192" w:lineRule="auto"/>
              <w:rPr>
                <w:rFonts w:ascii="Times New Roman" w:hAnsi="Times New Roman"/>
                <w:sz w:val="22"/>
                <w:szCs w:val="22"/>
              </w:rPr>
            </w:pPr>
            <w:r w:rsidRPr="009352C0">
              <w:rPr>
                <w:rFonts w:ascii="Times New Roman" w:hAnsi="Times New Roman"/>
                <w:sz w:val="22"/>
                <w:szCs w:val="22"/>
              </w:rPr>
              <w:t>Tourist degradation</w:t>
            </w:r>
          </w:p>
        </w:tc>
        <w:tc>
          <w:tcPr>
            <w:tcW w:w="1955" w:type="dxa"/>
          </w:tcPr>
          <w:p w14:paraId="4E8877D7" w14:textId="77777777" w:rsidR="009352C0" w:rsidRPr="009352C0" w:rsidRDefault="009352C0" w:rsidP="008B59D7">
            <w:pPr>
              <w:spacing w:line="192" w:lineRule="auto"/>
              <w:jc w:val="center"/>
              <w:rPr>
                <w:rFonts w:eastAsia="Book Antiqua"/>
                <w:sz w:val="22"/>
                <w:szCs w:val="22"/>
              </w:rPr>
            </w:pPr>
            <w:r w:rsidRPr="009352C0">
              <w:rPr>
                <w:rFonts w:eastAsia="Book Antiqua"/>
                <w:sz w:val="22"/>
                <w:szCs w:val="22"/>
              </w:rPr>
              <w:t>2 to 7</w:t>
            </w:r>
          </w:p>
        </w:tc>
      </w:tr>
    </w:tbl>
    <w:p w14:paraId="5E58A31A" w14:textId="77777777" w:rsidR="009352C0" w:rsidRDefault="009352C0" w:rsidP="009352C0">
      <w:pPr>
        <w:spacing w:line="360" w:lineRule="auto"/>
        <w:ind w:firstLine="708"/>
        <w:jc w:val="both"/>
        <w:rPr>
          <w:lang w:val="en-US"/>
        </w:rPr>
      </w:pPr>
    </w:p>
    <w:p w14:paraId="0975F4A4" w14:textId="77777777" w:rsidR="009352C0" w:rsidRDefault="009352C0" w:rsidP="009352C0">
      <w:pPr>
        <w:spacing w:line="360" w:lineRule="auto"/>
        <w:ind w:firstLine="708"/>
        <w:jc w:val="both"/>
        <w:rPr>
          <w:lang w:val="en-US"/>
        </w:rPr>
      </w:pPr>
      <w:r w:rsidRPr="00F83504">
        <w:rPr>
          <w:rFonts w:eastAsia="Book Antiqua"/>
          <w:noProof/>
        </w:rPr>
        <w:drawing>
          <wp:inline distT="0" distB="0" distL="0" distR="0" wp14:anchorId="30F20EBC" wp14:editId="512C0309">
            <wp:extent cx="4989888" cy="2011541"/>
            <wp:effectExtent l="0" t="0" r="127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8037" cy="2047076"/>
                    </a:xfrm>
                    <a:prstGeom prst="rect">
                      <a:avLst/>
                    </a:prstGeom>
                    <a:noFill/>
                  </pic:spPr>
                </pic:pic>
              </a:graphicData>
            </a:graphic>
          </wp:inline>
        </w:drawing>
      </w:r>
    </w:p>
    <w:p w14:paraId="0D36E30A" w14:textId="77777777" w:rsidR="009352C0" w:rsidRPr="00F83504" w:rsidRDefault="009352C0" w:rsidP="009352C0">
      <w:pPr>
        <w:jc w:val="center"/>
      </w:pPr>
      <w:r w:rsidRPr="00F83504">
        <w:rPr>
          <w:rFonts w:eastAsia="Book Antiqua"/>
        </w:rPr>
        <w:t xml:space="preserve">Gambar 1. </w:t>
      </w:r>
      <w:r w:rsidRPr="00F83504">
        <w:t>Diagram of shrimp waste impact based on questionnaire data processing</w:t>
      </w:r>
    </w:p>
    <w:p w14:paraId="0DB0B799" w14:textId="77777777" w:rsidR="009352C0" w:rsidRPr="009352C0" w:rsidRDefault="009352C0" w:rsidP="009352C0">
      <w:pPr>
        <w:spacing w:line="480" w:lineRule="auto"/>
        <w:ind w:firstLine="708"/>
        <w:jc w:val="both"/>
        <w:rPr>
          <w:sz w:val="22"/>
          <w:szCs w:val="22"/>
          <w:lang w:val="en-US"/>
        </w:rPr>
      </w:pPr>
    </w:p>
    <w:p w14:paraId="4F802E90" w14:textId="78B8780D" w:rsidR="009352C0" w:rsidRPr="009352C0" w:rsidRDefault="009352C0" w:rsidP="009352C0">
      <w:pPr>
        <w:pStyle w:val="JBPHeading2"/>
        <w:numPr>
          <w:ilvl w:val="0"/>
          <w:numId w:val="6"/>
        </w:numPr>
        <w:spacing w:line="480" w:lineRule="auto"/>
        <w:ind w:left="284" w:hanging="284"/>
        <w:rPr>
          <w:rFonts w:ascii="Times New Roman" w:hAnsi="Times New Roman"/>
          <w:b/>
          <w:bCs/>
          <w:sz w:val="22"/>
          <w:szCs w:val="22"/>
        </w:rPr>
      </w:pPr>
      <w:r w:rsidRPr="009352C0">
        <w:rPr>
          <w:rFonts w:ascii="Times New Roman" w:hAnsi="Times New Roman"/>
          <w:b/>
          <w:bCs/>
          <w:sz w:val="22"/>
          <w:szCs w:val="22"/>
        </w:rPr>
        <w:t xml:space="preserve">Patterns of Conflict of Interest and </w:t>
      </w:r>
      <w:proofErr w:type="spellStart"/>
      <w:r w:rsidRPr="009352C0">
        <w:rPr>
          <w:rFonts w:ascii="Times New Roman" w:hAnsi="Times New Roman"/>
          <w:b/>
          <w:bCs/>
          <w:sz w:val="22"/>
          <w:szCs w:val="22"/>
        </w:rPr>
        <w:t>Soial</w:t>
      </w:r>
      <w:proofErr w:type="spellEnd"/>
      <w:r w:rsidRPr="009352C0">
        <w:rPr>
          <w:rFonts w:ascii="Times New Roman" w:hAnsi="Times New Roman"/>
          <w:b/>
          <w:bCs/>
          <w:sz w:val="22"/>
          <w:szCs w:val="22"/>
        </w:rPr>
        <w:t xml:space="preserve"> Instability as a Result of the Proliferation of Shrimp Ponds</w:t>
      </w:r>
    </w:p>
    <w:p w14:paraId="03873D2E" w14:textId="77777777" w:rsidR="009352C0" w:rsidRPr="009352C0" w:rsidRDefault="009352C0" w:rsidP="009352C0">
      <w:pPr>
        <w:pStyle w:val="JBPHeading2"/>
        <w:numPr>
          <w:ilvl w:val="0"/>
          <w:numId w:val="0"/>
        </w:numPr>
        <w:spacing w:line="480" w:lineRule="auto"/>
        <w:rPr>
          <w:sz w:val="22"/>
          <w:szCs w:val="22"/>
        </w:rPr>
      </w:pPr>
    </w:p>
    <w:p w14:paraId="7642D2A4" w14:textId="77777777" w:rsidR="009352C0" w:rsidRPr="009352C0" w:rsidRDefault="009352C0" w:rsidP="009352C0">
      <w:pPr>
        <w:pStyle w:val="JBPHeading2"/>
        <w:numPr>
          <w:ilvl w:val="0"/>
          <w:numId w:val="0"/>
        </w:numPr>
        <w:spacing w:line="480" w:lineRule="auto"/>
        <w:ind w:firstLine="567"/>
        <w:jc w:val="both"/>
        <w:rPr>
          <w:rFonts w:ascii="Times New Roman" w:hAnsi="Times New Roman"/>
          <w:sz w:val="22"/>
          <w:szCs w:val="22"/>
        </w:rPr>
      </w:pPr>
      <w:r w:rsidRPr="009352C0">
        <w:rPr>
          <w:rFonts w:ascii="Times New Roman" w:hAnsi="Times New Roman"/>
          <w:sz w:val="22"/>
          <w:szCs w:val="22"/>
        </w:rPr>
        <w:lastRenderedPageBreak/>
        <w:t>The emergence of conflicts of interest and social instability is triggered by the unprofessional and procedural management of shrimp ponds. Professionalism refers to the management of ponds that pay attention to environmental aspects, social order, waste management so as not to pollute and maintain conduciveness between social and economic so that there is no social instability. Procedures relate to licensing compliance by pond entrepreneurs through the One-Stop Investment and Integrated Services Office (DPMPTSP), IPAL management through the Fisheries Service, and determination of zoning locations through the Environmental Service (DLH). The management of shrimp ponds that do not pay attention to professionalism and procedures ultimately results in conflicts between interested actors and unstable social conditions.</w:t>
      </w:r>
    </w:p>
    <w:p w14:paraId="7C97E1F9" w14:textId="77777777" w:rsidR="009352C0" w:rsidRPr="009352C0" w:rsidRDefault="009352C0" w:rsidP="009352C0">
      <w:pPr>
        <w:pStyle w:val="JBPHeading2"/>
        <w:numPr>
          <w:ilvl w:val="0"/>
          <w:numId w:val="0"/>
        </w:numPr>
        <w:spacing w:line="480" w:lineRule="auto"/>
        <w:ind w:firstLine="567"/>
        <w:jc w:val="both"/>
        <w:rPr>
          <w:rFonts w:ascii="Times New Roman" w:hAnsi="Times New Roman"/>
          <w:sz w:val="22"/>
          <w:szCs w:val="22"/>
        </w:rPr>
      </w:pPr>
      <w:r w:rsidRPr="009352C0">
        <w:rPr>
          <w:rFonts w:ascii="Times New Roman" w:hAnsi="Times New Roman"/>
          <w:sz w:val="22"/>
          <w:szCs w:val="22"/>
        </w:rPr>
        <w:t xml:space="preserve">The pattern of conflict of interest that occurs is in the action of social solidarity in the form of actions, demonstrations and hearings to the government to discipline shrimp ponds that harm the public and reorganize Regional Regulation No. 12 of 2013 concerning the 2013-2033 Regional Spatial Plan of </w:t>
      </w:r>
      <w:proofErr w:type="spellStart"/>
      <w:r w:rsidRPr="009352C0">
        <w:rPr>
          <w:rFonts w:ascii="Times New Roman" w:hAnsi="Times New Roman"/>
          <w:sz w:val="22"/>
          <w:szCs w:val="22"/>
        </w:rPr>
        <w:t>Sumenep</w:t>
      </w:r>
      <w:proofErr w:type="spellEnd"/>
      <w:r w:rsidRPr="009352C0">
        <w:rPr>
          <w:rFonts w:ascii="Times New Roman" w:hAnsi="Times New Roman"/>
          <w:sz w:val="22"/>
          <w:szCs w:val="22"/>
        </w:rPr>
        <w:t xml:space="preserve"> District which provides leeway for the management of shrimp ponds. Conflict always impacts on food insecurity, public welfare and one's ability to live better </w:t>
      </w:r>
      <w:r w:rsidRPr="009352C0">
        <w:rPr>
          <w:rFonts w:ascii="Times New Roman" w:hAnsi="Times New Roman"/>
          <w:sz w:val="22"/>
          <w:szCs w:val="22"/>
        </w:rPr>
        <w:fldChar w:fldCharType="begin" w:fldLock="1"/>
      </w:r>
      <w:r w:rsidRPr="009352C0">
        <w:rPr>
          <w:rFonts w:ascii="Times New Roman" w:hAnsi="Times New Roman"/>
          <w:sz w:val="22"/>
          <w:szCs w:val="22"/>
        </w:rPr>
        <w:instrText>ADDIN CSL_CITATION {"citationItems":[{"id":"ITEM-1","itemData":{"author":[{"dropping-particle":"","family":"Shemyakina","given":"Olga","non-dropping-particle":"","parse-names":false,"suffix":""}],"id":"ITEM-1","issued":{"date-parts":[["2022"]]},"page":"313-332","title":"War , Conflict , and Food Insecurity","type":"article-journal"},"uris":["http://www.mendeley.com/documents/?uuid=3ef2c02e-a28f-48b3-a8be-92af7baecb0d"]}],"mendeley":{"formattedCitation":"(Shemyakina, 2022)","plainTextFormattedCitation":"(Shemyakina, 2022)","previouslyFormattedCitation":"(Shemyakina, 2022)"},"properties":{"noteIndex":0},"schema":"https://github.com/citation-style-language/schema/raw/master/csl-citation.json"}</w:instrText>
      </w:r>
      <w:r w:rsidRPr="009352C0">
        <w:rPr>
          <w:rFonts w:ascii="Times New Roman" w:hAnsi="Times New Roman"/>
          <w:sz w:val="22"/>
          <w:szCs w:val="22"/>
        </w:rPr>
        <w:fldChar w:fldCharType="separate"/>
      </w:r>
      <w:r w:rsidRPr="009352C0">
        <w:rPr>
          <w:rFonts w:ascii="Times New Roman" w:hAnsi="Times New Roman"/>
          <w:noProof/>
          <w:sz w:val="22"/>
          <w:szCs w:val="22"/>
        </w:rPr>
        <w:t>(Shemyakina, 2022)</w:t>
      </w:r>
      <w:r w:rsidRPr="009352C0">
        <w:rPr>
          <w:rFonts w:ascii="Times New Roman" w:hAnsi="Times New Roman"/>
          <w:sz w:val="22"/>
          <w:szCs w:val="22"/>
        </w:rPr>
        <w:fldChar w:fldCharType="end"/>
      </w:r>
      <w:r w:rsidRPr="009352C0">
        <w:rPr>
          <w:rFonts w:ascii="Times New Roman" w:hAnsi="Times New Roman"/>
          <w:sz w:val="22"/>
          <w:szCs w:val="22"/>
        </w:rPr>
        <w:t xml:space="preserve">. This conflict is a concern of the UN in the SDGs 16 agenda on building peace, justice and strong institutions (source: sdgs.com). Another pattern is the attitude of public opposition through social media and extreme media carried out by public figures who have attention to the environment and people's lives (personal communication, </w:t>
      </w:r>
      <w:proofErr w:type="spellStart"/>
      <w:r w:rsidRPr="009352C0">
        <w:rPr>
          <w:rFonts w:ascii="Times New Roman" w:hAnsi="Times New Roman"/>
          <w:sz w:val="22"/>
          <w:szCs w:val="22"/>
        </w:rPr>
        <w:t>Suratman</w:t>
      </w:r>
      <w:proofErr w:type="spellEnd"/>
      <w:r w:rsidRPr="009352C0">
        <w:rPr>
          <w:rFonts w:ascii="Times New Roman" w:hAnsi="Times New Roman"/>
          <w:sz w:val="22"/>
          <w:szCs w:val="22"/>
        </w:rPr>
        <w:t xml:space="preserve"> July 20, 2024), while traditional communities make slurs and ridicule about disorderly governance and ponds that harm the community through social media (personal communication, </w:t>
      </w:r>
      <w:proofErr w:type="spellStart"/>
      <w:r w:rsidRPr="009352C0">
        <w:rPr>
          <w:rFonts w:ascii="Times New Roman" w:hAnsi="Times New Roman"/>
          <w:sz w:val="22"/>
          <w:szCs w:val="22"/>
        </w:rPr>
        <w:t>Suratman</w:t>
      </w:r>
      <w:proofErr w:type="spellEnd"/>
      <w:r w:rsidRPr="009352C0">
        <w:rPr>
          <w:rFonts w:ascii="Times New Roman" w:hAnsi="Times New Roman"/>
          <w:sz w:val="22"/>
          <w:szCs w:val="22"/>
        </w:rPr>
        <w:t xml:space="preserve"> July 20, 2024).</w:t>
      </w:r>
    </w:p>
    <w:p w14:paraId="69C50C29" w14:textId="77777777" w:rsidR="009352C0" w:rsidRPr="009352C0" w:rsidRDefault="009352C0" w:rsidP="009352C0">
      <w:pPr>
        <w:pStyle w:val="JBPHeading2"/>
        <w:numPr>
          <w:ilvl w:val="0"/>
          <w:numId w:val="0"/>
        </w:numPr>
        <w:spacing w:line="480" w:lineRule="auto"/>
        <w:ind w:firstLine="567"/>
        <w:jc w:val="both"/>
        <w:rPr>
          <w:rFonts w:ascii="Times New Roman" w:hAnsi="Times New Roman"/>
          <w:sz w:val="22"/>
          <w:szCs w:val="22"/>
        </w:rPr>
      </w:pPr>
      <w:r w:rsidRPr="009352C0">
        <w:rPr>
          <w:rFonts w:ascii="Times New Roman" w:hAnsi="Times New Roman"/>
          <w:sz w:val="22"/>
          <w:szCs w:val="22"/>
        </w:rPr>
        <w:t>Conflicts also occur in the transfer of ownership of community land to shrimp pond entrepreneurs. Formally and legally, the land ownership process is carried out from the community to the farmer. However, the transfer was caused by the low knowledge of the community and the intervention of the village government so that people sell their land. As a result, residents regretted after learning that their land was converted to ponds that polluted the surrounding area. This regret eventually accumulated into a social movement of public awareness to oppose and reject the sale of land, and discredit the village government as a broker of ownership transfer.</w:t>
      </w:r>
    </w:p>
    <w:p w14:paraId="477060BA" w14:textId="77777777" w:rsidR="009352C0" w:rsidRPr="009352C0" w:rsidRDefault="009352C0" w:rsidP="009352C0">
      <w:pPr>
        <w:pStyle w:val="JBPHeading2"/>
        <w:numPr>
          <w:ilvl w:val="0"/>
          <w:numId w:val="0"/>
        </w:numPr>
        <w:spacing w:line="480" w:lineRule="auto"/>
        <w:ind w:firstLine="567"/>
        <w:jc w:val="both"/>
        <w:rPr>
          <w:rFonts w:ascii="Times New Roman" w:hAnsi="Times New Roman"/>
          <w:sz w:val="22"/>
          <w:szCs w:val="22"/>
        </w:rPr>
      </w:pPr>
    </w:p>
    <w:p w14:paraId="3D3BA5A0" w14:textId="77777777" w:rsidR="009352C0" w:rsidRPr="009352C0" w:rsidRDefault="009352C0" w:rsidP="009352C0">
      <w:pPr>
        <w:pStyle w:val="JBPHeading2"/>
        <w:numPr>
          <w:ilvl w:val="0"/>
          <w:numId w:val="0"/>
        </w:numPr>
        <w:spacing w:line="480" w:lineRule="auto"/>
        <w:ind w:firstLine="567"/>
        <w:jc w:val="both"/>
        <w:rPr>
          <w:rFonts w:ascii="Times New Roman" w:hAnsi="Times New Roman"/>
          <w:sz w:val="22"/>
          <w:szCs w:val="22"/>
        </w:rPr>
      </w:pPr>
    </w:p>
    <w:p w14:paraId="344DADBD" w14:textId="77777777" w:rsidR="009352C0" w:rsidRPr="009352C0" w:rsidRDefault="009352C0" w:rsidP="009352C0">
      <w:pPr>
        <w:pStyle w:val="JBPHeading2"/>
        <w:numPr>
          <w:ilvl w:val="0"/>
          <w:numId w:val="0"/>
        </w:numPr>
        <w:spacing w:line="480" w:lineRule="auto"/>
        <w:ind w:firstLine="567"/>
        <w:jc w:val="both"/>
        <w:rPr>
          <w:rFonts w:ascii="Times New Roman" w:hAnsi="Times New Roman"/>
          <w:sz w:val="22"/>
          <w:szCs w:val="22"/>
        </w:rPr>
      </w:pPr>
      <w:r w:rsidRPr="009352C0">
        <w:rPr>
          <w:rFonts w:ascii="Times New Roman" w:hAnsi="Times New Roman"/>
          <w:noProof/>
          <w:sz w:val="22"/>
          <w:szCs w:val="22"/>
        </w:rPr>
        <w:drawing>
          <wp:anchor distT="0" distB="0" distL="114300" distR="114300" simplePos="0" relativeHeight="251659264" behindDoc="1" locked="0" layoutInCell="1" allowOverlap="1" wp14:anchorId="207D47B7" wp14:editId="0134E9FC">
            <wp:simplePos x="0" y="0"/>
            <wp:positionH relativeFrom="margin">
              <wp:posOffset>-635</wp:posOffset>
            </wp:positionH>
            <wp:positionV relativeFrom="paragraph">
              <wp:posOffset>0</wp:posOffset>
            </wp:positionV>
            <wp:extent cx="5721350" cy="2450465"/>
            <wp:effectExtent l="0" t="0" r="0" b="6985"/>
            <wp:wrapTight wrapText="bothSides">
              <wp:wrapPolygon edited="0">
                <wp:start x="0" y="0"/>
                <wp:lineTo x="0" y="21494"/>
                <wp:lineTo x="21504" y="21494"/>
                <wp:lineTo x="21504"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9">
                      <a:extLst>
                        <a:ext uri="{28A0092B-C50C-407E-A947-70E740481C1C}">
                          <a14:useLocalDpi xmlns:a14="http://schemas.microsoft.com/office/drawing/2010/main" val="0"/>
                        </a:ext>
                      </a:extLst>
                    </a:blip>
                    <a:stretch>
                      <a:fillRect/>
                    </a:stretch>
                  </pic:blipFill>
                  <pic:spPr>
                    <a:xfrm>
                      <a:off x="0" y="0"/>
                      <a:ext cx="5721350" cy="2450465"/>
                    </a:xfrm>
                    <a:prstGeom prst="rect">
                      <a:avLst/>
                    </a:prstGeom>
                  </pic:spPr>
                </pic:pic>
              </a:graphicData>
            </a:graphic>
            <wp14:sizeRelH relativeFrom="margin">
              <wp14:pctWidth>0</wp14:pctWidth>
            </wp14:sizeRelH>
            <wp14:sizeRelV relativeFrom="margin">
              <wp14:pctHeight>0</wp14:pctHeight>
            </wp14:sizeRelV>
          </wp:anchor>
        </w:drawing>
      </w:r>
      <w:r w:rsidRPr="009352C0">
        <w:rPr>
          <w:rFonts w:ascii="Times New Roman" w:hAnsi="Times New Roman"/>
          <w:sz w:val="22"/>
          <w:szCs w:val="22"/>
        </w:rPr>
        <w:t>Picture 2. Patterns of conflict of interest and social instability in shrimp farm management</w:t>
      </w:r>
    </w:p>
    <w:p w14:paraId="230EF17F" w14:textId="3B570C0B" w:rsidR="009352C0" w:rsidRPr="009352C0" w:rsidRDefault="009352C0" w:rsidP="009352C0">
      <w:pPr>
        <w:pStyle w:val="JBPHeading2"/>
        <w:numPr>
          <w:ilvl w:val="0"/>
          <w:numId w:val="0"/>
        </w:numPr>
        <w:spacing w:line="480" w:lineRule="auto"/>
        <w:ind w:left="510" w:hanging="510"/>
        <w:jc w:val="both"/>
        <w:rPr>
          <w:rFonts w:ascii="Times New Roman" w:hAnsi="Times New Roman"/>
          <w:b/>
          <w:bCs/>
          <w:sz w:val="22"/>
          <w:szCs w:val="22"/>
        </w:rPr>
      </w:pPr>
      <w:r w:rsidRPr="009352C0">
        <w:rPr>
          <w:rFonts w:ascii="Times New Roman" w:hAnsi="Times New Roman"/>
          <w:b/>
          <w:bCs/>
          <w:sz w:val="22"/>
          <w:szCs w:val="22"/>
        </w:rPr>
        <w:t>4.</w:t>
      </w:r>
      <w:r w:rsidRPr="009352C0">
        <w:rPr>
          <w:rFonts w:ascii="Times New Roman" w:hAnsi="Times New Roman"/>
          <w:sz w:val="22"/>
          <w:szCs w:val="22"/>
        </w:rPr>
        <w:t xml:space="preserve"> </w:t>
      </w:r>
      <w:r w:rsidRPr="009352C0">
        <w:rPr>
          <w:rFonts w:ascii="Times New Roman" w:hAnsi="Times New Roman"/>
          <w:b/>
          <w:bCs/>
          <w:sz w:val="22"/>
          <w:szCs w:val="22"/>
        </w:rPr>
        <w:t>Deliberative Policy and Conflict of Interest Resolution</w:t>
      </w:r>
    </w:p>
    <w:p w14:paraId="0F5353B5" w14:textId="77777777" w:rsidR="009352C0" w:rsidRPr="009352C0" w:rsidRDefault="009352C0" w:rsidP="009352C0">
      <w:pPr>
        <w:pStyle w:val="JBPHeading2"/>
        <w:numPr>
          <w:ilvl w:val="0"/>
          <w:numId w:val="0"/>
        </w:numPr>
        <w:spacing w:line="480" w:lineRule="auto"/>
        <w:ind w:firstLine="510"/>
        <w:jc w:val="both"/>
        <w:rPr>
          <w:rFonts w:ascii="Times New Roman" w:eastAsia="Book Antiqua" w:hAnsi="Times New Roman"/>
          <w:sz w:val="22"/>
          <w:szCs w:val="22"/>
        </w:rPr>
      </w:pPr>
      <w:r w:rsidRPr="009352C0">
        <w:rPr>
          <w:rFonts w:ascii="Times New Roman" w:eastAsia="Book Antiqua" w:hAnsi="Times New Roman"/>
          <w:sz w:val="22"/>
          <w:szCs w:val="22"/>
        </w:rPr>
        <w:t xml:space="preserve">Deliberative policy as an effective policy approach in resolving conflicts of interest because it provides space for open and inclusive dialogue. Through deliberation, various stakeholders can reach fair and balanced decisions. Despite facing several challenges, a well-managed deliberation process can produce more sustainable solutions and reduce the potential for long-term conflict. Deliberative policy offers an integrative and progressive approach in the complexity of the problem, relationality and practical nature of the policy process </w:t>
      </w:r>
      <w:r w:rsidRPr="009352C0">
        <w:rPr>
          <w:rFonts w:ascii="Times New Roman" w:eastAsia="Book Antiqua" w:hAnsi="Times New Roman"/>
          <w:sz w:val="22"/>
          <w:szCs w:val="22"/>
        </w:rPr>
        <w:fldChar w:fldCharType="begin" w:fldLock="1"/>
      </w:r>
      <w:r w:rsidRPr="009352C0">
        <w:rPr>
          <w:rFonts w:ascii="Times New Roman" w:eastAsia="Book Antiqua" w:hAnsi="Times New Roman"/>
          <w:sz w:val="22"/>
          <w:szCs w:val="22"/>
        </w:rPr>
        <w:instrText>ADDIN CSL_CITATION {"citationItems":[{"id":"ITEM-1","itemData":{"DOI":"10.1080/01442872.2020.1772219","ISSN":"14701006","abstract":"The purpose of this second special issue is to build on and extend the development of Deliberative Policy Analysis (DPA) 2.0 that was set in motion by the first special issue on DPA in this journal. It is set up around a symposium focused on integrating DPA’s pillars of interpretation, practice, and deliberation. We identify three key threads for interweaving these three pillars and advancing DPA 2.0 and introduce the five other contributions to this special issue along these lines. We conclude that DPA 2.0 offers a range of solid and progressive approaches for methodically engaging with the complexity, relationality and practical nature of policy processes.","author":[{"dropping-particle":"","family":"Bartels","given":"Koen P.R.","non-dropping-particle":"","parse-names":false,"suffix":""},{"dropping-particle":"","family":"Wagenaar","given":"Hendrik","non-dropping-particle":"","parse-names":false,"suffix":""},{"dropping-particle":"","family":"Li","given":"Ya","non-dropping-particle":"","parse-names":false,"suffix":""}],"container-title":"Policy Studies","id":"ITEM-1","issue":"4","issued":{"date-parts":[["2020"]]},"page":"295-306","title":"Introduction: towards deliberative policy analysis 2.0","type":"article-journal","volume":"41"},"uris":["http://www.mendeley.com/documents/?uuid=1ae87025-57bc-4748-9320-7321d5c6475a"]}],"mendeley":{"formattedCitation":"(Bartels et al., 2020)","plainTextFormattedCitation":"(Bartels et al., 2020)","previouslyFormattedCitation":"(Bartels et al., 2020)"},"properties":{"noteIndex":0},"schema":"https://github.com/citation-style-language/schema/raw/master/csl-citation.json"}</w:instrText>
      </w:r>
      <w:r w:rsidRPr="009352C0">
        <w:rPr>
          <w:rFonts w:ascii="Times New Roman" w:eastAsia="Book Antiqua" w:hAnsi="Times New Roman"/>
          <w:sz w:val="22"/>
          <w:szCs w:val="22"/>
        </w:rPr>
        <w:fldChar w:fldCharType="separate"/>
      </w:r>
      <w:r w:rsidRPr="009352C0">
        <w:rPr>
          <w:rFonts w:ascii="Times New Roman" w:eastAsia="Book Antiqua" w:hAnsi="Times New Roman"/>
          <w:noProof/>
          <w:sz w:val="22"/>
          <w:szCs w:val="22"/>
        </w:rPr>
        <w:t>(Bartels et al., 2020)</w:t>
      </w:r>
      <w:r w:rsidRPr="009352C0">
        <w:rPr>
          <w:rFonts w:ascii="Times New Roman" w:eastAsia="Book Antiqua" w:hAnsi="Times New Roman"/>
          <w:sz w:val="22"/>
          <w:szCs w:val="22"/>
        </w:rPr>
        <w:fldChar w:fldCharType="end"/>
      </w:r>
      <w:r w:rsidRPr="009352C0">
        <w:rPr>
          <w:rFonts w:ascii="Times New Roman" w:eastAsia="Book Antiqua" w:hAnsi="Times New Roman"/>
          <w:sz w:val="22"/>
          <w:szCs w:val="22"/>
        </w:rPr>
        <w:t xml:space="preserve">, through deliberation between citizens and officials as a strategy for investigating policy orientation </w:t>
      </w:r>
      <w:r w:rsidRPr="009352C0">
        <w:rPr>
          <w:rFonts w:ascii="Times New Roman" w:eastAsia="Book Antiqua" w:hAnsi="Times New Roman"/>
          <w:sz w:val="22"/>
          <w:szCs w:val="22"/>
        </w:rPr>
        <w:fldChar w:fldCharType="begin" w:fldLock="1"/>
      </w:r>
      <w:r w:rsidRPr="009352C0">
        <w:rPr>
          <w:rFonts w:ascii="Times New Roman" w:eastAsia="Book Antiqua" w:hAnsi="Times New Roman"/>
          <w:sz w:val="22"/>
          <w:szCs w:val="22"/>
        </w:rPr>
        <w:instrText>ADDIN CSL_CITATION {"citationItems":[{"id":"ITEM-1","itemData":{"author":[{"dropping-particle":"","family":"Wagenaar","given":"Hendrik","non-dropping-particle":"","parse-names":false,"suffix":""}],"chapter-number":"Part IV","container-title":"Research Methods in Deliberative Democracy","id":"ITEM-1","issued":{"date-parts":[["2022"]]},"page":"423-437","publisher":"Oxford University Press","title":"Deliberation Policy Analysis","type":"chapter"},"uris":["http://www.mendeley.com/documents/?uuid=1e5b51e5-5a51-440e-879a-6003ea38f464"]}],"mendeley":{"formattedCitation":"(Wagenaar, 2022)","plainTextFormattedCitation":"(Wagenaar, 2022)","previouslyFormattedCitation":"(Wagenaar, 2022)"},"properties":{"noteIndex":0},"schema":"https://github.com/citation-style-language/schema/raw/master/csl-citation.json"}</w:instrText>
      </w:r>
      <w:r w:rsidRPr="009352C0">
        <w:rPr>
          <w:rFonts w:ascii="Times New Roman" w:eastAsia="Book Antiqua" w:hAnsi="Times New Roman"/>
          <w:sz w:val="22"/>
          <w:szCs w:val="22"/>
        </w:rPr>
        <w:fldChar w:fldCharType="separate"/>
      </w:r>
      <w:r w:rsidRPr="009352C0">
        <w:rPr>
          <w:rFonts w:ascii="Times New Roman" w:eastAsia="Book Antiqua" w:hAnsi="Times New Roman"/>
          <w:noProof/>
          <w:sz w:val="22"/>
          <w:szCs w:val="22"/>
        </w:rPr>
        <w:t>(Wagenaar, 2022)</w:t>
      </w:r>
      <w:r w:rsidRPr="009352C0">
        <w:rPr>
          <w:rFonts w:ascii="Times New Roman" w:eastAsia="Book Antiqua" w:hAnsi="Times New Roman"/>
          <w:sz w:val="22"/>
          <w:szCs w:val="22"/>
        </w:rPr>
        <w:fldChar w:fldCharType="end"/>
      </w:r>
      <w:r w:rsidRPr="009352C0">
        <w:rPr>
          <w:rFonts w:ascii="Times New Roman" w:eastAsia="Book Antiqua" w:hAnsi="Times New Roman"/>
          <w:sz w:val="22"/>
          <w:szCs w:val="22"/>
        </w:rPr>
        <w:t>.</w:t>
      </w:r>
    </w:p>
    <w:p w14:paraId="0ABEED92" w14:textId="77777777" w:rsidR="009352C0" w:rsidRPr="009352C0" w:rsidRDefault="009352C0" w:rsidP="009352C0">
      <w:pPr>
        <w:pStyle w:val="JBPHeading2"/>
        <w:numPr>
          <w:ilvl w:val="0"/>
          <w:numId w:val="0"/>
        </w:numPr>
        <w:spacing w:line="480" w:lineRule="auto"/>
        <w:ind w:firstLine="510"/>
        <w:jc w:val="both"/>
        <w:rPr>
          <w:rFonts w:ascii="Times New Roman" w:eastAsia="Book Antiqua" w:hAnsi="Times New Roman"/>
          <w:sz w:val="22"/>
          <w:szCs w:val="22"/>
        </w:rPr>
      </w:pPr>
      <w:r w:rsidRPr="009352C0">
        <w:rPr>
          <w:rFonts w:ascii="Times New Roman" w:eastAsia="Book Antiqua" w:hAnsi="Times New Roman"/>
          <w:sz w:val="22"/>
          <w:szCs w:val="22"/>
        </w:rPr>
        <w:t>The deliberative policy strategy is carried out by involving actors with an interest in the issue of shrimp pond management, namely shrimp pond entrepreneurs, the community, environmentalists, DLH which is driven by the Regional Government together with the DPRD in formulating policies. Policies are carried out in a bottom-up manner with democratic and participatory principles.</w:t>
      </w:r>
    </w:p>
    <w:p w14:paraId="59ACB0F6" w14:textId="77777777" w:rsidR="009352C0" w:rsidRPr="009352C0" w:rsidRDefault="009352C0" w:rsidP="009352C0">
      <w:pPr>
        <w:pStyle w:val="JBPHeading2"/>
        <w:numPr>
          <w:ilvl w:val="0"/>
          <w:numId w:val="5"/>
        </w:numPr>
        <w:spacing w:line="480" w:lineRule="auto"/>
        <w:jc w:val="both"/>
        <w:rPr>
          <w:rFonts w:ascii="Times New Roman" w:hAnsi="Times New Roman"/>
          <w:sz w:val="22"/>
          <w:szCs w:val="22"/>
        </w:rPr>
      </w:pPr>
      <w:r w:rsidRPr="009352C0">
        <w:rPr>
          <w:rFonts w:ascii="Times New Roman" w:eastAsia="Book Antiqua" w:hAnsi="Times New Roman"/>
          <w:b/>
          <w:bCs/>
          <w:sz w:val="22"/>
          <w:szCs w:val="22"/>
        </w:rPr>
        <w:t>Interpretation of the Problem of Pond Management from the Perspective of the Regional Government.</w:t>
      </w:r>
    </w:p>
    <w:p w14:paraId="510DACAD" w14:textId="77777777" w:rsidR="009352C0" w:rsidRPr="009352C0" w:rsidRDefault="009352C0" w:rsidP="009352C0">
      <w:pPr>
        <w:pStyle w:val="JBPHeading2"/>
        <w:numPr>
          <w:ilvl w:val="0"/>
          <w:numId w:val="0"/>
        </w:numPr>
        <w:spacing w:line="480" w:lineRule="auto"/>
        <w:ind w:firstLine="510"/>
        <w:jc w:val="both"/>
        <w:rPr>
          <w:rFonts w:ascii="Times New Roman" w:eastAsia="Book Antiqua" w:hAnsi="Times New Roman"/>
          <w:sz w:val="22"/>
          <w:szCs w:val="22"/>
        </w:rPr>
      </w:pPr>
      <w:r w:rsidRPr="009352C0">
        <w:rPr>
          <w:rFonts w:ascii="Times New Roman" w:eastAsia="Book Antiqua" w:hAnsi="Times New Roman"/>
          <w:sz w:val="22"/>
          <w:szCs w:val="22"/>
        </w:rPr>
        <w:t>It appears that shrimp are in the public spotlight because of two aspects, namely unproductive management and its impact on the environment, economy and society. Meanwhile, the government as the leading sector has the authority to organize to be more effective and responsive to environmental and social problems.</w:t>
      </w:r>
    </w:p>
    <w:p w14:paraId="14A6447D" w14:textId="77777777" w:rsidR="009352C0" w:rsidRPr="009352C0" w:rsidRDefault="009352C0" w:rsidP="009352C0">
      <w:pPr>
        <w:pStyle w:val="JBPHeading2"/>
        <w:numPr>
          <w:ilvl w:val="0"/>
          <w:numId w:val="0"/>
        </w:numPr>
        <w:spacing w:line="480" w:lineRule="auto"/>
        <w:ind w:firstLine="510"/>
        <w:jc w:val="both"/>
        <w:rPr>
          <w:rFonts w:ascii="Times New Roman" w:eastAsia="Book Antiqua" w:hAnsi="Times New Roman"/>
          <w:sz w:val="22"/>
          <w:szCs w:val="22"/>
        </w:rPr>
      </w:pPr>
      <w:r w:rsidRPr="009352C0">
        <w:rPr>
          <w:rFonts w:ascii="Times New Roman" w:eastAsia="Book Antiqua" w:hAnsi="Times New Roman"/>
          <w:sz w:val="22"/>
          <w:szCs w:val="22"/>
        </w:rPr>
        <w:lastRenderedPageBreak/>
        <w:t xml:space="preserve">From the government's perspective, the proliferation of shrimp ponds in </w:t>
      </w:r>
      <w:proofErr w:type="spellStart"/>
      <w:r w:rsidRPr="009352C0">
        <w:rPr>
          <w:rFonts w:ascii="Times New Roman" w:eastAsia="Book Antiqua" w:hAnsi="Times New Roman"/>
          <w:sz w:val="22"/>
          <w:szCs w:val="22"/>
        </w:rPr>
        <w:t>Sumenep</w:t>
      </w:r>
      <w:proofErr w:type="spellEnd"/>
      <w:r w:rsidRPr="009352C0">
        <w:rPr>
          <w:rFonts w:ascii="Times New Roman" w:eastAsia="Book Antiqua" w:hAnsi="Times New Roman"/>
          <w:sz w:val="22"/>
          <w:szCs w:val="22"/>
        </w:rPr>
        <w:t xml:space="preserve"> Regency has problems with licensing. Ponds that do not have permits will have an impact on production and realization that violates procedures and does not pay attention to environmental aspects. In the pond licensing procedure, attention must be paid to zoning of landslide-prone areas, zoning of at least 100m from the edge of the pond, and the availability of IPAL (Regional Regulation No. 12 of 2012). The government can intervene indirectly so that shrimp ponds can have an even impact on the eco-social community around them.</w:t>
      </w:r>
    </w:p>
    <w:p w14:paraId="499E2881" w14:textId="77777777" w:rsidR="009352C0" w:rsidRPr="009352C0" w:rsidRDefault="009352C0" w:rsidP="009352C0">
      <w:pPr>
        <w:pStyle w:val="JBPHeading2"/>
        <w:numPr>
          <w:ilvl w:val="0"/>
          <w:numId w:val="0"/>
        </w:numPr>
        <w:spacing w:line="480" w:lineRule="auto"/>
        <w:ind w:firstLine="510"/>
        <w:jc w:val="both"/>
        <w:rPr>
          <w:rFonts w:ascii="Times New Roman" w:eastAsia="Book Antiqua" w:hAnsi="Times New Roman"/>
          <w:sz w:val="22"/>
          <w:szCs w:val="22"/>
        </w:rPr>
      </w:pPr>
      <w:r w:rsidRPr="009352C0">
        <w:rPr>
          <w:rFonts w:ascii="Times New Roman" w:eastAsia="Book Antiqua" w:hAnsi="Times New Roman"/>
          <w:sz w:val="22"/>
          <w:szCs w:val="22"/>
        </w:rPr>
        <w:t xml:space="preserve">Another problem is the consistency of controlling illegal ponds. According to regulations, ponds that do not have permits can be prosecuted by the government through the </w:t>
      </w:r>
      <w:proofErr w:type="spellStart"/>
      <w:r w:rsidRPr="009352C0">
        <w:rPr>
          <w:rFonts w:ascii="Times New Roman" w:eastAsia="Book Antiqua" w:hAnsi="Times New Roman"/>
          <w:sz w:val="22"/>
          <w:szCs w:val="22"/>
        </w:rPr>
        <w:t>Satpol</w:t>
      </w:r>
      <w:proofErr w:type="spellEnd"/>
      <w:r w:rsidRPr="009352C0">
        <w:rPr>
          <w:rFonts w:ascii="Times New Roman" w:eastAsia="Book Antiqua" w:hAnsi="Times New Roman"/>
          <w:sz w:val="22"/>
          <w:szCs w:val="22"/>
        </w:rPr>
        <w:t xml:space="preserve"> PP and according to regulations, this includes environmental crimes. However, in its implementation until 2023 there are still 400 to 550 ponds that are still illegal. The existence of these illegal ponds is due to the difficulty of the government in empowering and assisting which has an impact on the awareness of pond entrepreneurs to be orderly and responsive.</w:t>
      </w:r>
    </w:p>
    <w:p w14:paraId="5384C670" w14:textId="77777777" w:rsidR="009352C0" w:rsidRPr="009352C0" w:rsidRDefault="009352C0" w:rsidP="009352C0">
      <w:pPr>
        <w:pStyle w:val="JBPHeading2"/>
        <w:numPr>
          <w:ilvl w:val="0"/>
          <w:numId w:val="5"/>
        </w:numPr>
        <w:spacing w:line="480" w:lineRule="auto"/>
        <w:jc w:val="both"/>
        <w:rPr>
          <w:rFonts w:ascii="Times New Roman" w:hAnsi="Times New Roman"/>
          <w:sz w:val="22"/>
          <w:szCs w:val="22"/>
        </w:rPr>
      </w:pPr>
      <w:r w:rsidRPr="009352C0">
        <w:rPr>
          <w:rFonts w:ascii="Times New Roman" w:eastAsia="Book Antiqua" w:hAnsi="Times New Roman"/>
          <w:b/>
          <w:bCs/>
          <w:sz w:val="22"/>
          <w:szCs w:val="22"/>
        </w:rPr>
        <w:t>Public Participation and Social Contribution to Conflict Resolution</w:t>
      </w:r>
    </w:p>
    <w:p w14:paraId="27BD8DE8" w14:textId="77777777" w:rsidR="009352C0" w:rsidRPr="009352C0" w:rsidRDefault="009352C0" w:rsidP="009352C0">
      <w:pPr>
        <w:pStyle w:val="JBPHeading2"/>
        <w:numPr>
          <w:ilvl w:val="0"/>
          <w:numId w:val="0"/>
        </w:numPr>
        <w:spacing w:line="480" w:lineRule="auto"/>
        <w:ind w:firstLine="510"/>
        <w:jc w:val="both"/>
        <w:rPr>
          <w:rFonts w:ascii="Times New Roman" w:eastAsia="Book Antiqua" w:hAnsi="Times New Roman"/>
          <w:sz w:val="22"/>
          <w:szCs w:val="22"/>
        </w:rPr>
      </w:pPr>
      <w:r w:rsidRPr="009352C0">
        <w:rPr>
          <w:rFonts w:ascii="Times New Roman" w:eastAsia="Book Antiqua" w:hAnsi="Times New Roman"/>
          <w:sz w:val="22"/>
          <w:szCs w:val="22"/>
        </w:rPr>
        <w:t xml:space="preserve">Public participation and social contribution are two important elements in conflict resolution, especially those related to conflicts of interest in public policy, resource management, or other social issues </w:t>
      </w:r>
      <w:r w:rsidRPr="009352C0">
        <w:rPr>
          <w:rFonts w:ascii="Times New Roman" w:eastAsia="Book Antiqua" w:hAnsi="Times New Roman"/>
          <w:sz w:val="22"/>
          <w:szCs w:val="22"/>
        </w:rPr>
        <w:fldChar w:fldCharType="begin" w:fldLock="1"/>
      </w:r>
      <w:r w:rsidRPr="009352C0">
        <w:rPr>
          <w:rFonts w:ascii="Times New Roman" w:eastAsia="Book Antiqua" w:hAnsi="Times New Roman"/>
          <w:sz w:val="22"/>
          <w:szCs w:val="22"/>
        </w:rPr>
        <w:instrText>ADDIN CSL_CITATION {"citationItems":[{"id":"ITEM-1","itemData":{"DOI":"10.1016/j.cities.2023.104235","ISSN":"02642751","abstract":"Public participation has been growing in both theory and practice of urban planning, including heritage planning. The reasoning is to facilitate the involvement of a broader group of stakeholders, beyond experts. More specifically, for heritage planning, participation could enable consensus-building on defining the significance of heritage, namely attributes (the resources that should be listed as heritage), and values (the reasons that attributes are important). However, there is not yet a holistic understanding of the influencing factors behind consensus-building in the participatory planning processes for cultural heritage. To evaluate existing research from this angle, a systematic literature review was conducted on peer-reviewed articles using the Scopus database. As most of the studies focuse on urban planning, this research examines the factors influencing consensus-building in the participatory planning process applied to urban and heritage planning and reflects on the applicability of these factors in heritage planning. The main factors were identified inductively and grouped into two categories: 1) public participation: actors, methods, and levels of public participation, and 2) consensus: approaches, and conflicts. The relations between these factors and their frequencies are investigated using statistical analysis methods, namely frequency analysis, independent-samples t-test, and Spearman correlation. The literature confirms that urban planning has applied more diverse methods and tools for public participation compared to studies in the field of heritage planning, and could inspire heritage planning. Conflict is recognized as an intertwined concept with consensus which is considered either as a challenge or as a necessity for an inclusive decision-making. By proposing a framework integrating these factors and sub-factors and illustrating their relationships, this research could also be useful for decision-makers and practitioners to better tailor the public participation process and means to implement it, considering the relevant factors involved.","author":[{"dropping-particle":"","family":"Foroughi","given":"Mahda","non-dropping-particle":"","parse-names":false,"suffix":""},{"dropping-particle":"","family":"Andrade","given":"Bruno","non-dropping-particle":"de","parse-names":false,"suffix":""},{"dropping-particle":"","family":"Roders","given":"Ana Pereira","non-dropping-particle":"","parse-names":false,"suffix":""},{"dropping-particle":"","family":"Wang","given":"Tong","non-dropping-particle":"","parse-names":false,"suffix":""}],"container-title":"Cities","id":"ITEM-1","issued":{"date-parts":[["2023","4","1"]]},"publisher":"Elsevier Ltd","title":"Public participation and consensus-building in urban planning from the lens of heritage planning: A systematic literature review","type":"article-journal","volume":"135"},"uris":["http://www.mendeley.com/documents/?uuid=42d2018a-51d8-329b-a572-c48b7c37b7b4"]},{"id":"ITEM-2","itemData":{"DOI":"10.1002/wcc.749","ISSN":"17577799","abstract":"Stimulating public participation in decision making is heralded as a way to get climate policies accepted by the public. Yet, little is known about whether and when public participation can increase policy acceptability. This is true in particular of practices organized by responsible parties to engage the public in decision making. Based on a vast body of interdisciplinary literature, four types of normative standards for effective public participation can be distilled, which I call the four Ds: dialogue, decision-making power, diversity, and deliberation. However, normative standards may not be enough for reaching socially acceptable climate policies, if people do not want to participate, or want to participate too late in decision making, and are not open to different perspectives. The result can be fake participation, exclusion, and polarization—all which may reduce, rather than increase, public acceptability of climate policies. Understanding public preferences for participation is therefore critical for the implementation of the four Ds and for reaching socially acceptable climate policies. This Perspective article is relevant for scientists, policy makers, NGO's, businesses, interest groups, and other parties wanting to understand how to engage the public in climate decision making. This article is categorized under: Perceptions, Behavior, and Communication of Climate Change &gt; Perceptions of Climate Change Policy and Governance &gt; Governing Climate Change in Communities, Cities, and Regions.","author":[{"dropping-particle":"","family":"Perlaviciute","given":"Goda","non-dropping-particle":"","parse-names":false,"suffix":""}],"container-title":"Wiley Interdisciplinary Reviews: Climate Change","id":"ITEM-2","issue":"1","issued":{"date-parts":[["2022"]]},"page":"1-11","title":"Contested climate policies and the four Ds of public participation: From normative standards to what people want","type":"article-journal","volume":"13"},"uris":["http://www.mendeley.com/documents/?uuid=02a2a5b8-7692-41b9-a3e2-4769836120bb"]}],"mendeley":{"formattedCitation":"(Foroughi et al., 2023; Perlaviciute, 2022)","plainTextFormattedCitation":"(Foroughi et al., 2023; Perlaviciute, 2022)","previouslyFormattedCitation":"(Foroughi et al., 2023; Perlaviciute, 2022)"},"properties":{"noteIndex":0},"schema":"https://github.com/citation-style-language/schema/raw/master/csl-citation.json"}</w:instrText>
      </w:r>
      <w:r w:rsidRPr="009352C0">
        <w:rPr>
          <w:rFonts w:ascii="Times New Roman" w:eastAsia="Book Antiqua" w:hAnsi="Times New Roman"/>
          <w:sz w:val="22"/>
          <w:szCs w:val="22"/>
        </w:rPr>
        <w:fldChar w:fldCharType="separate"/>
      </w:r>
      <w:r w:rsidRPr="009352C0">
        <w:rPr>
          <w:rFonts w:ascii="Times New Roman" w:eastAsia="Book Antiqua" w:hAnsi="Times New Roman"/>
          <w:noProof/>
          <w:sz w:val="22"/>
          <w:szCs w:val="22"/>
        </w:rPr>
        <w:t>(Foroughi et al., 2023; Perlaviciute, 2022)</w:t>
      </w:r>
      <w:r w:rsidRPr="009352C0">
        <w:rPr>
          <w:rFonts w:ascii="Times New Roman" w:eastAsia="Book Antiqua" w:hAnsi="Times New Roman"/>
          <w:sz w:val="22"/>
          <w:szCs w:val="22"/>
        </w:rPr>
        <w:fldChar w:fldCharType="end"/>
      </w:r>
      <w:r w:rsidRPr="009352C0">
        <w:rPr>
          <w:rFonts w:ascii="Times New Roman" w:eastAsia="Book Antiqua" w:hAnsi="Times New Roman"/>
          <w:sz w:val="22"/>
          <w:szCs w:val="22"/>
        </w:rPr>
        <w:t xml:space="preserve">. Both have a strategic role in creating sustainable and inclusive solutions by actively involving the community in the decision-making process. Public participation refers to the direct involvement of the community in the decision-making process that impacts their lives </w:t>
      </w:r>
      <w:r w:rsidRPr="009352C0">
        <w:rPr>
          <w:rFonts w:ascii="Times New Roman" w:eastAsia="Book Antiqua" w:hAnsi="Times New Roman"/>
          <w:sz w:val="22"/>
          <w:szCs w:val="22"/>
        </w:rPr>
        <w:fldChar w:fldCharType="begin" w:fldLock="1"/>
      </w:r>
      <w:r w:rsidRPr="009352C0">
        <w:rPr>
          <w:rFonts w:ascii="Times New Roman" w:eastAsia="Book Antiqua" w:hAnsi="Times New Roman"/>
          <w:sz w:val="22"/>
          <w:szCs w:val="22"/>
        </w:rPr>
        <w:instrText>ADDIN CSL_CITATION {"citationItems":[{"id":"ITEM-1","itemData":{"author":[{"dropping-particle":"","family":"Chompucot","given":"Major Chaval","non-dropping-particle":"","parse-names":false,"suffix":""},{"dropping-particle":"","family":"A","given":"","non-dropping-particle":"","parse-names":false,"suffix":""}],"id":"ITEM-1","issued":{"date-parts":[["2011"]]},"page":"1 - 217","title":"Major Factors Affecting Educational Policy","type":"article-journal"},"uris":["http://www.mendeley.com/documents/?uuid=8313ccd5-2076-4a1c-8357-ae9e6aa85c76"]}],"mendeley":{"formattedCitation":"(Chompucot &amp; A, 2011)","plainTextFormattedCitation":"(Chompucot &amp; A, 2011)","previouslyFormattedCitation":"(Chompucot &amp; A, 2011)"},"properties":{"noteIndex":0},"schema":"https://github.com/citation-style-language/schema/raw/master/csl-citation.json"}</w:instrText>
      </w:r>
      <w:r w:rsidRPr="009352C0">
        <w:rPr>
          <w:rFonts w:ascii="Times New Roman" w:eastAsia="Book Antiqua" w:hAnsi="Times New Roman"/>
          <w:sz w:val="22"/>
          <w:szCs w:val="22"/>
        </w:rPr>
        <w:fldChar w:fldCharType="separate"/>
      </w:r>
      <w:r w:rsidRPr="009352C0">
        <w:rPr>
          <w:rFonts w:ascii="Times New Roman" w:eastAsia="Book Antiqua" w:hAnsi="Times New Roman"/>
          <w:noProof/>
          <w:sz w:val="22"/>
          <w:szCs w:val="22"/>
        </w:rPr>
        <w:t>(Chompucot &amp; A, 2011)</w:t>
      </w:r>
      <w:r w:rsidRPr="009352C0">
        <w:rPr>
          <w:rFonts w:ascii="Times New Roman" w:eastAsia="Book Antiqua" w:hAnsi="Times New Roman"/>
          <w:sz w:val="22"/>
          <w:szCs w:val="22"/>
        </w:rPr>
        <w:fldChar w:fldCharType="end"/>
      </w:r>
      <w:r w:rsidRPr="009352C0">
        <w:rPr>
          <w:rFonts w:ascii="Times New Roman" w:eastAsia="Book Antiqua" w:hAnsi="Times New Roman"/>
          <w:sz w:val="22"/>
          <w:szCs w:val="22"/>
        </w:rPr>
        <w:t>. This can include various levels of involvement, from expressing opinions to involvement in policy formulation. Then social contribution relates to the active role of the community or group in helping to create conflict solutions through collective efforts that are voluntary, non-profit, and oriented towards common interests. This contribution can be in the form of involvement in the community, social movements, or cross-sector cooperation.</w:t>
      </w:r>
    </w:p>
    <w:p w14:paraId="2DF9C13E" w14:textId="77777777" w:rsidR="009352C0" w:rsidRPr="009352C0" w:rsidRDefault="009352C0" w:rsidP="009352C0">
      <w:pPr>
        <w:pStyle w:val="JBPHeading2"/>
        <w:numPr>
          <w:ilvl w:val="0"/>
          <w:numId w:val="0"/>
        </w:numPr>
        <w:spacing w:line="480" w:lineRule="auto"/>
        <w:ind w:firstLine="510"/>
        <w:jc w:val="both"/>
        <w:rPr>
          <w:rFonts w:ascii="Times New Roman" w:eastAsia="Book Antiqua" w:hAnsi="Times New Roman"/>
          <w:sz w:val="22"/>
          <w:szCs w:val="22"/>
        </w:rPr>
      </w:pPr>
      <w:r w:rsidRPr="009352C0">
        <w:rPr>
          <w:rFonts w:ascii="Times New Roman" w:eastAsia="Book Antiqua" w:hAnsi="Times New Roman"/>
          <w:sz w:val="22"/>
          <w:szCs w:val="22"/>
        </w:rPr>
        <w:t xml:space="preserve">Public participation in the resolution of shrimp ponds in the form of public information to the government regarding several shrimp ponds that pollute the environment. Then the public collaborates with the DPRD, DLH, DPMPTS, </w:t>
      </w:r>
      <w:proofErr w:type="spellStart"/>
      <w:r w:rsidRPr="009352C0">
        <w:rPr>
          <w:rFonts w:ascii="Times New Roman" w:eastAsia="Book Antiqua" w:hAnsi="Times New Roman"/>
          <w:sz w:val="22"/>
          <w:szCs w:val="22"/>
        </w:rPr>
        <w:t>Bappeda</w:t>
      </w:r>
      <w:proofErr w:type="spellEnd"/>
      <w:r w:rsidRPr="009352C0">
        <w:rPr>
          <w:rFonts w:ascii="Times New Roman" w:eastAsia="Book Antiqua" w:hAnsi="Times New Roman"/>
          <w:sz w:val="22"/>
          <w:szCs w:val="22"/>
        </w:rPr>
        <w:t xml:space="preserve"> and </w:t>
      </w:r>
      <w:proofErr w:type="spellStart"/>
      <w:r w:rsidRPr="009352C0">
        <w:rPr>
          <w:rFonts w:ascii="Times New Roman" w:eastAsia="Book Antiqua" w:hAnsi="Times New Roman"/>
          <w:sz w:val="22"/>
          <w:szCs w:val="22"/>
        </w:rPr>
        <w:t>Satpol</w:t>
      </w:r>
      <w:proofErr w:type="spellEnd"/>
      <w:r w:rsidRPr="009352C0">
        <w:rPr>
          <w:rFonts w:ascii="Times New Roman" w:eastAsia="Book Antiqua" w:hAnsi="Times New Roman"/>
          <w:sz w:val="22"/>
          <w:szCs w:val="22"/>
        </w:rPr>
        <w:t xml:space="preserve"> PP so that participation can be responded to quickly. The public also conducts critical contributions, namely hearings to local governments as a form </w:t>
      </w:r>
      <w:r w:rsidRPr="009352C0">
        <w:rPr>
          <w:rFonts w:ascii="Times New Roman" w:eastAsia="Book Antiqua" w:hAnsi="Times New Roman"/>
          <w:sz w:val="22"/>
          <w:szCs w:val="22"/>
        </w:rPr>
        <w:lastRenderedPageBreak/>
        <w:t xml:space="preserve">of Action acceleration. The resolution is also in the form of social contributions from community groups, community leaders and environmental observers </w:t>
      </w:r>
      <w:proofErr w:type="spellStart"/>
      <w:r w:rsidRPr="009352C0">
        <w:rPr>
          <w:rFonts w:ascii="Times New Roman" w:eastAsia="Book Antiqua" w:hAnsi="Times New Roman"/>
          <w:sz w:val="22"/>
          <w:szCs w:val="22"/>
        </w:rPr>
        <w:t>Walhi</w:t>
      </w:r>
      <w:proofErr w:type="spellEnd"/>
      <w:r w:rsidRPr="009352C0">
        <w:rPr>
          <w:rFonts w:ascii="Times New Roman" w:eastAsia="Book Antiqua" w:hAnsi="Times New Roman"/>
          <w:sz w:val="22"/>
          <w:szCs w:val="22"/>
        </w:rPr>
        <w:t xml:space="preserve"> </w:t>
      </w:r>
      <w:proofErr w:type="spellStart"/>
      <w:r w:rsidRPr="009352C0">
        <w:rPr>
          <w:rFonts w:ascii="Times New Roman" w:eastAsia="Book Antiqua" w:hAnsi="Times New Roman"/>
          <w:sz w:val="22"/>
          <w:szCs w:val="22"/>
        </w:rPr>
        <w:t>Jatim</w:t>
      </w:r>
      <w:proofErr w:type="spellEnd"/>
      <w:r w:rsidRPr="009352C0">
        <w:rPr>
          <w:rFonts w:ascii="Times New Roman" w:eastAsia="Book Antiqua" w:hAnsi="Times New Roman"/>
          <w:sz w:val="22"/>
          <w:szCs w:val="22"/>
        </w:rPr>
        <w:t xml:space="preserve">, BATAN and FMPL. The form of contribution to the matter carried out is in the form of social justice advocacy, building public awareness, and participatory resolution. The image below can clarify public participation and social contributions in the resolution of shrimp pond </w:t>
      </w:r>
      <w:r w:rsidRPr="009352C0">
        <w:rPr>
          <w:rFonts w:ascii="Times New Roman" w:hAnsi="Times New Roman"/>
          <w:noProof/>
          <w:sz w:val="22"/>
          <w:szCs w:val="22"/>
        </w:rPr>
        <w:drawing>
          <wp:anchor distT="0" distB="0" distL="114300" distR="114300" simplePos="0" relativeHeight="251660288" behindDoc="1" locked="0" layoutInCell="1" allowOverlap="1" wp14:anchorId="66012C5B" wp14:editId="560F87A9">
            <wp:simplePos x="0" y="0"/>
            <wp:positionH relativeFrom="margin">
              <wp:posOffset>-635</wp:posOffset>
            </wp:positionH>
            <wp:positionV relativeFrom="paragraph">
              <wp:posOffset>534670</wp:posOffset>
            </wp:positionV>
            <wp:extent cx="5727700" cy="2529205"/>
            <wp:effectExtent l="0" t="0" r="6350" b="4445"/>
            <wp:wrapTight wrapText="bothSides">
              <wp:wrapPolygon edited="0">
                <wp:start x="0" y="0"/>
                <wp:lineTo x="0" y="21475"/>
                <wp:lineTo x="21552" y="21475"/>
                <wp:lineTo x="21552" y="0"/>
                <wp:lineTo x="0" y="0"/>
              </wp:wrapPolygon>
            </wp:wrapTight>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7700" cy="2529205"/>
                    </a:xfrm>
                    <a:prstGeom prst="rect">
                      <a:avLst/>
                    </a:prstGeom>
                  </pic:spPr>
                </pic:pic>
              </a:graphicData>
            </a:graphic>
            <wp14:sizeRelH relativeFrom="margin">
              <wp14:pctWidth>0</wp14:pctWidth>
            </wp14:sizeRelH>
            <wp14:sizeRelV relativeFrom="margin">
              <wp14:pctHeight>0</wp14:pctHeight>
            </wp14:sizeRelV>
          </wp:anchor>
        </w:drawing>
      </w:r>
      <w:r w:rsidRPr="009352C0">
        <w:rPr>
          <w:rFonts w:ascii="Times New Roman" w:eastAsia="Book Antiqua" w:hAnsi="Times New Roman"/>
          <w:sz w:val="22"/>
          <w:szCs w:val="22"/>
        </w:rPr>
        <w:t>management conflicts.</w:t>
      </w:r>
    </w:p>
    <w:p w14:paraId="617737B2" w14:textId="77777777" w:rsidR="009352C0" w:rsidRPr="009352C0" w:rsidRDefault="009352C0" w:rsidP="009352C0">
      <w:pPr>
        <w:pStyle w:val="JBPHeading2"/>
        <w:numPr>
          <w:ilvl w:val="0"/>
          <w:numId w:val="0"/>
        </w:numPr>
        <w:spacing w:line="480" w:lineRule="auto"/>
        <w:ind w:firstLine="510"/>
        <w:jc w:val="center"/>
        <w:rPr>
          <w:rFonts w:ascii="Times New Roman" w:hAnsi="Times New Roman"/>
          <w:sz w:val="22"/>
          <w:szCs w:val="22"/>
        </w:rPr>
      </w:pPr>
      <w:r w:rsidRPr="009352C0">
        <w:rPr>
          <w:rFonts w:ascii="Times New Roman" w:eastAsia="Book Antiqua" w:hAnsi="Times New Roman"/>
          <w:b/>
          <w:bCs/>
          <w:sz w:val="22"/>
          <w:szCs w:val="22"/>
        </w:rPr>
        <w:t xml:space="preserve">Picture 3. </w:t>
      </w:r>
      <w:r w:rsidRPr="009352C0">
        <w:rPr>
          <w:rFonts w:ascii="Times New Roman" w:hAnsi="Times New Roman"/>
          <w:sz w:val="22"/>
          <w:szCs w:val="22"/>
        </w:rPr>
        <w:t>Public participation and social contribution of shrimp farm management settlement</w:t>
      </w:r>
    </w:p>
    <w:p w14:paraId="35A08F24" w14:textId="77777777" w:rsidR="009352C0" w:rsidRPr="009352C0" w:rsidRDefault="009352C0" w:rsidP="009352C0">
      <w:pPr>
        <w:pStyle w:val="JBPHeading2"/>
        <w:numPr>
          <w:ilvl w:val="0"/>
          <w:numId w:val="5"/>
        </w:numPr>
        <w:spacing w:line="480" w:lineRule="auto"/>
        <w:rPr>
          <w:rFonts w:ascii="Times New Roman" w:eastAsia="Book Antiqua" w:hAnsi="Times New Roman"/>
          <w:sz w:val="22"/>
          <w:szCs w:val="22"/>
        </w:rPr>
      </w:pPr>
      <w:r w:rsidRPr="009352C0">
        <w:rPr>
          <w:rFonts w:ascii="Times New Roman" w:hAnsi="Times New Roman"/>
          <w:b/>
          <w:bCs/>
          <w:sz w:val="22"/>
          <w:szCs w:val="22"/>
        </w:rPr>
        <w:t>Deliberation and public forum as an initiative to accommodate interests</w:t>
      </w:r>
    </w:p>
    <w:p w14:paraId="6BA02BFF" w14:textId="77777777" w:rsidR="009352C0" w:rsidRPr="009352C0" w:rsidRDefault="009352C0" w:rsidP="009352C0">
      <w:pPr>
        <w:pStyle w:val="JBPHeading2"/>
        <w:numPr>
          <w:ilvl w:val="0"/>
          <w:numId w:val="0"/>
        </w:numPr>
        <w:spacing w:line="480" w:lineRule="auto"/>
        <w:ind w:firstLine="510"/>
        <w:jc w:val="both"/>
        <w:rPr>
          <w:rFonts w:ascii="Times New Roman" w:hAnsi="Times New Roman"/>
          <w:sz w:val="22"/>
          <w:szCs w:val="22"/>
        </w:rPr>
      </w:pPr>
      <w:r w:rsidRPr="009352C0">
        <w:rPr>
          <w:rFonts w:ascii="Times New Roman" w:hAnsi="Times New Roman"/>
          <w:sz w:val="22"/>
          <w:szCs w:val="22"/>
        </w:rPr>
        <w:t xml:space="preserve">Deliberation and public forum as a strategy to unify views and minimize conflict in a deliberative approach </w:t>
      </w:r>
      <w:r w:rsidRPr="009352C0">
        <w:rPr>
          <w:rFonts w:ascii="Times New Roman" w:hAnsi="Times New Roman"/>
          <w:sz w:val="22"/>
          <w:szCs w:val="22"/>
        </w:rPr>
        <w:fldChar w:fldCharType="begin" w:fldLock="1"/>
      </w:r>
      <w:r w:rsidRPr="009352C0">
        <w:rPr>
          <w:rFonts w:ascii="Times New Roman" w:hAnsi="Times New Roman"/>
          <w:sz w:val="22"/>
          <w:szCs w:val="22"/>
        </w:rPr>
        <w:instrText>ADDIN CSL_CITATION {"citationItems":[{"id":"ITEM-1","itemData":{"DOI":"10.3167/dt.2022.090106","ISSN":"23328908","abstract":"Normative democratic theory with a focus on civic engagement is increasingly interested in how participatory instances connect into democratic systems (Dean, Rinne, et al. 2019; Elstub et al. 2018). The deliberative perspective has pioneered this debate and proposes a systemic view that observes how everyday talk and media discourses connect deliberative forums including parliaments, mini-publics, and protest formations (Mansbridge 1999; Mansbridge et al. 2012). While various approaches within the deliberative systems debate can be differentiated (Owen and Smith 2015), they commonly understand deliberative qualities as distributed within a broader system and focus on scaling up democratic deliberation through the transmission from the public to state institutions (Chambers 2012; Dryzek 2009)","author":[{"dropping-particle":"","family":"Asenbaum","given":"Hans","non-dropping-particle":"","parse-names":false,"suffix":""}],"container-title":"Democratic Theory","id":"ITEM-1","issue":"1","issued":{"date-parts":[["2022","6","1"]]},"page":"87-98","publisher":"Berghahn Journals","title":"Beyond Deliberative Systems Pluralizing the Debate","type":"article-journal","volume":"9"},"uris":["http://www.mendeley.com/documents/?uuid=c8d002c8-e11b-3123-b6d1-1a222c1e85f2"]},{"id":"ITEM-2","itemData":{"DOI":"10.1093/icon/moac013","ISSN":"14742659","abstract":"Constitutionalism is in the midst of both a participatory and a deliberative turn. In this article, we explore one aspect of this turn - the use of deliberative innovations to enhance constitutional amendment processes. Ireland has been cited as almost a paradigm case for such experimentation. We assess deliberative mini-publics' potential as a tool for consensus democracy based on the experience and impact of the Irish Citizens' Assembly that made recommendations for wholesale reform of Ireland's abortion laws in 2018. We identify a \"legislative-majority-plus\"model for constitutional amendment deployed in most jurisdictions with master-text constitutions and on that basis, characterize constitutional amendment as an aspect of consensual, rather than competitive, democracy. Based on this understanding of the function of constitutional amendment processes, we argue that the Citizens' Assembly played a significant role in the process of public will formation. In particular, it helped to generate political and public support for a particular form of liberalization - abortion on request within the first twelve weeks - and made it easier for legislators to avoid the incentives of electoral politics and formulate an amendment proposal that attracted wide support despite intense opposition. However, we raise concerns about the normative legitimacy of that impact, based on deficiencies in the representativeness of the Assembly, arguing that in order to be a tool for will formation, rather than manipulation, in respect of constitutional amendment, deliberative mini-publics should be designed so as to enhance their representativeness.","author":[{"dropping-particle":"","family":"Doyle","given":"Oran","non-dropping-particle":"","parse-names":false,"suffix":""},{"dropping-particle":"","family":"Walsh","given":"Rachael","non-dropping-particle":"","parse-names":false,"suffix":""}],"container-title":"International Journal of Constitutional Law","id":"ITEM-2","issue":"1","issued":{"date-parts":[["2022","1","1"]]},"page":"398-427","publisher":"Oxford University Press","title":"Constitutional amendment and public will formation: Deliberative mini-publics as a tool for consensus democracy","type":"article-journal","volume":"20"},"uris":["http://www.mendeley.com/documents/?uuid=6c4b3974-261e-371a-ae64-c28063bac4be"]}],"mendeley":{"formattedCitation":"(Asenbaum, 2022; Doyle &amp; Walsh, 2022)","plainTextFormattedCitation":"(Asenbaum, 2022; Doyle &amp; Walsh, 2022)","previouslyFormattedCitation":"(Asenbaum, 2022; Doyle &amp; Walsh, 2022)"},"properties":{"noteIndex":0},"schema":"https://github.com/citation-style-language/schema/raw/master/csl-citation.json"}</w:instrText>
      </w:r>
      <w:r w:rsidRPr="009352C0">
        <w:rPr>
          <w:rFonts w:ascii="Times New Roman" w:hAnsi="Times New Roman"/>
          <w:sz w:val="22"/>
          <w:szCs w:val="22"/>
        </w:rPr>
        <w:fldChar w:fldCharType="separate"/>
      </w:r>
      <w:r w:rsidRPr="009352C0">
        <w:rPr>
          <w:rFonts w:ascii="Times New Roman" w:hAnsi="Times New Roman"/>
          <w:noProof/>
          <w:sz w:val="22"/>
          <w:szCs w:val="22"/>
        </w:rPr>
        <w:t>(Asenbaum, 2022; Doyle &amp; Walsh, 2022)</w:t>
      </w:r>
      <w:r w:rsidRPr="009352C0">
        <w:rPr>
          <w:rFonts w:ascii="Times New Roman" w:hAnsi="Times New Roman"/>
          <w:sz w:val="22"/>
          <w:szCs w:val="22"/>
        </w:rPr>
        <w:fldChar w:fldCharType="end"/>
      </w:r>
      <w:r w:rsidRPr="009352C0">
        <w:rPr>
          <w:rFonts w:ascii="Times New Roman" w:hAnsi="Times New Roman"/>
          <w:sz w:val="22"/>
          <w:szCs w:val="22"/>
        </w:rPr>
        <w:t>. In public forums, there are mechanisms to accommodate various interests in the decision-making process. Deliberative space enables active participation in formulating policies, and ensures that decisions are inclusive and fair.</w:t>
      </w:r>
    </w:p>
    <w:p w14:paraId="7AC4C042" w14:textId="77777777" w:rsidR="009352C0" w:rsidRPr="009352C0" w:rsidRDefault="009352C0" w:rsidP="009352C0">
      <w:pPr>
        <w:pStyle w:val="JBPHeading2"/>
        <w:numPr>
          <w:ilvl w:val="0"/>
          <w:numId w:val="0"/>
        </w:numPr>
        <w:spacing w:line="480" w:lineRule="auto"/>
        <w:ind w:firstLine="510"/>
        <w:jc w:val="both"/>
        <w:rPr>
          <w:rFonts w:ascii="Times New Roman" w:hAnsi="Times New Roman"/>
          <w:sz w:val="22"/>
          <w:szCs w:val="22"/>
        </w:rPr>
      </w:pPr>
      <w:r w:rsidRPr="009352C0">
        <w:rPr>
          <w:rFonts w:ascii="Times New Roman" w:hAnsi="Times New Roman"/>
          <w:sz w:val="22"/>
          <w:szCs w:val="22"/>
        </w:rPr>
        <w:t xml:space="preserve">This public forum is not optimally implemented by local governments in accommodating interests. Public forums that discuss shrimp pond management strategies do not involve many relevant actors who have concerns about the environment. Two institutions that concentrate on participating in informative, contributive criticism such as BATAN and FMPL have never been involved in public forums to review shrimp pond governance as a strategic basis for decision making (personal communication. </w:t>
      </w:r>
      <w:proofErr w:type="spellStart"/>
      <w:r w:rsidRPr="009352C0">
        <w:rPr>
          <w:rFonts w:ascii="Times New Roman" w:hAnsi="Times New Roman"/>
          <w:sz w:val="22"/>
          <w:szCs w:val="22"/>
        </w:rPr>
        <w:t>Moh</w:t>
      </w:r>
      <w:proofErr w:type="spellEnd"/>
      <w:r w:rsidRPr="009352C0">
        <w:rPr>
          <w:rFonts w:ascii="Times New Roman" w:hAnsi="Times New Roman"/>
          <w:sz w:val="22"/>
          <w:szCs w:val="22"/>
        </w:rPr>
        <w:t>. Amir July 19, 2024).</w:t>
      </w:r>
    </w:p>
    <w:p w14:paraId="69109019" w14:textId="77777777" w:rsidR="009352C0" w:rsidRPr="009352C0" w:rsidRDefault="009352C0" w:rsidP="009352C0">
      <w:pPr>
        <w:pStyle w:val="JBPHeading2"/>
        <w:numPr>
          <w:ilvl w:val="0"/>
          <w:numId w:val="0"/>
        </w:numPr>
        <w:spacing w:line="480" w:lineRule="auto"/>
        <w:ind w:firstLine="510"/>
        <w:jc w:val="both"/>
        <w:rPr>
          <w:rFonts w:ascii="Times New Roman" w:hAnsi="Times New Roman"/>
          <w:sz w:val="22"/>
          <w:szCs w:val="22"/>
        </w:rPr>
      </w:pPr>
      <w:r w:rsidRPr="009352C0">
        <w:rPr>
          <w:rFonts w:ascii="Times New Roman" w:hAnsi="Times New Roman"/>
          <w:sz w:val="22"/>
          <w:szCs w:val="22"/>
        </w:rPr>
        <w:t xml:space="preserve">Public forums have also been initiated since 2018 due to public opposition. The public forum was to conduct an in-depth study and revision of Local Regulation No. 12 of 2013 on RTRW. However, </w:t>
      </w:r>
      <w:r w:rsidRPr="009352C0">
        <w:rPr>
          <w:rFonts w:ascii="Times New Roman" w:hAnsi="Times New Roman"/>
          <w:sz w:val="22"/>
          <w:szCs w:val="22"/>
        </w:rPr>
        <w:lastRenderedPageBreak/>
        <w:t>until 2023 deliberations involving the DPRD and local government could not produce an accountable and equitable revision of the local regulation.</w:t>
      </w:r>
    </w:p>
    <w:p w14:paraId="3B74ED1E" w14:textId="77777777" w:rsidR="009352C0" w:rsidRPr="009352C0" w:rsidRDefault="009352C0" w:rsidP="009352C0">
      <w:pPr>
        <w:pStyle w:val="JBPHeading2"/>
        <w:numPr>
          <w:ilvl w:val="0"/>
          <w:numId w:val="0"/>
        </w:numPr>
        <w:spacing w:line="480" w:lineRule="auto"/>
        <w:ind w:firstLine="510"/>
        <w:jc w:val="both"/>
        <w:rPr>
          <w:rFonts w:ascii="Times New Roman" w:hAnsi="Times New Roman"/>
          <w:sz w:val="22"/>
          <w:szCs w:val="22"/>
        </w:rPr>
      </w:pPr>
      <w:r w:rsidRPr="009352C0">
        <w:rPr>
          <w:rFonts w:ascii="Times New Roman" w:hAnsi="Times New Roman"/>
          <w:sz w:val="22"/>
          <w:szCs w:val="22"/>
        </w:rPr>
        <w:t>The revision of the 2012 local regulation in 2013 is increasingly getting public attention, because there are two important points, namely the existence of greater exploitation space and the elimination of pond locations so that disaster-prone zoning is still possible to be used as shrimp pond locations.</w:t>
      </w:r>
    </w:p>
    <w:p w14:paraId="0FB9702B" w14:textId="77777777" w:rsidR="009352C0" w:rsidRPr="009352C0" w:rsidRDefault="009352C0" w:rsidP="009352C0">
      <w:pPr>
        <w:pStyle w:val="JBPHeading2"/>
        <w:numPr>
          <w:ilvl w:val="0"/>
          <w:numId w:val="5"/>
        </w:numPr>
        <w:spacing w:line="480" w:lineRule="auto"/>
        <w:jc w:val="both"/>
        <w:rPr>
          <w:rFonts w:ascii="Times New Roman" w:eastAsia="Book Antiqua" w:hAnsi="Times New Roman"/>
          <w:sz w:val="22"/>
          <w:szCs w:val="22"/>
        </w:rPr>
      </w:pPr>
      <w:r w:rsidRPr="009352C0">
        <w:rPr>
          <w:rFonts w:ascii="Times New Roman" w:hAnsi="Times New Roman"/>
          <w:b/>
          <w:bCs/>
          <w:sz w:val="22"/>
          <w:szCs w:val="22"/>
        </w:rPr>
        <w:t>Strategy of Integration of Interests in realizing social harmonization</w:t>
      </w:r>
    </w:p>
    <w:p w14:paraId="5810D40C" w14:textId="77777777" w:rsidR="009352C0" w:rsidRPr="009352C0" w:rsidRDefault="009352C0" w:rsidP="009352C0">
      <w:pPr>
        <w:pStyle w:val="JBPHeading2"/>
        <w:numPr>
          <w:ilvl w:val="0"/>
          <w:numId w:val="0"/>
        </w:numPr>
        <w:spacing w:line="480" w:lineRule="auto"/>
        <w:ind w:firstLine="510"/>
        <w:jc w:val="both"/>
        <w:rPr>
          <w:rFonts w:ascii="Times New Roman" w:hAnsi="Times New Roman"/>
          <w:sz w:val="22"/>
          <w:szCs w:val="22"/>
        </w:rPr>
      </w:pPr>
      <w:r w:rsidRPr="009352C0">
        <w:rPr>
          <w:rFonts w:ascii="Times New Roman" w:hAnsi="Times New Roman"/>
          <w:sz w:val="22"/>
          <w:szCs w:val="22"/>
        </w:rPr>
        <w:t xml:space="preserve">The interests of the actors in shrimp farm governance have never been aligned and aligned. As a result, conflicts of interest and social stability often appear to the public as a form of dissatisfaction with the handling of local government. However, various strategies are often carried out in </w:t>
      </w:r>
      <w:proofErr w:type="spellStart"/>
      <w:r w:rsidRPr="009352C0">
        <w:rPr>
          <w:rFonts w:ascii="Times New Roman" w:hAnsi="Times New Roman"/>
          <w:sz w:val="22"/>
          <w:szCs w:val="22"/>
        </w:rPr>
        <w:t>steamay</w:t>
      </w:r>
      <w:proofErr w:type="spellEnd"/>
      <w:r w:rsidRPr="009352C0">
        <w:rPr>
          <w:rFonts w:ascii="Times New Roman" w:hAnsi="Times New Roman"/>
          <w:sz w:val="22"/>
          <w:szCs w:val="22"/>
        </w:rPr>
        <w:t xml:space="preserve"> harmonization of interests and social stability.</w:t>
      </w:r>
    </w:p>
    <w:p w14:paraId="18A3B391" w14:textId="77777777" w:rsidR="009352C0" w:rsidRPr="009352C0" w:rsidRDefault="009352C0" w:rsidP="009352C0">
      <w:pPr>
        <w:pStyle w:val="JBPHeading2"/>
        <w:numPr>
          <w:ilvl w:val="0"/>
          <w:numId w:val="0"/>
        </w:numPr>
        <w:spacing w:line="480" w:lineRule="auto"/>
        <w:ind w:firstLine="510"/>
        <w:jc w:val="both"/>
        <w:rPr>
          <w:rFonts w:ascii="Times New Roman" w:hAnsi="Times New Roman"/>
          <w:sz w:val="22"/>
          <w:szCs w:val="22"/>
        </w:rPr>
      </w:pPr>
      <w:r w:rsidRPr="009352C0">
        <w:rPr>
          <w:rFonts w:ascii="Times New Roman" w:hAnsi="Times New Roman"/>
          <w:sz w:val="22"/>
          <w:szCs w:val="22"/>
        </w:rPr>
        <w:t>The main factor of conflict is the proliferation of illegal shrimp ponds that automatically have a significant impact on the environment, economy and social. If the shrimp farming industry is disciplined, the potential for environmental pollution can be minimized because of the mandate in the mining law that shrimp farms must have WWTPs and compensation for the restoration of ponds if they are not discontinued. Therefore, from 700 illegal ponds, a deliberative approach needs to be taken so that they do not apply for licenses.</w:t>
      </w:r>
    </w:p>
    <w:p w14:paraId="5B2C8808" w14:textId="77777777" w:rsidR="009352C0" w:rsidRPr="009352C0" w:rsidRDefault="009352C0" w:rsidP="009352C0">
      <w:pPr>
        <w:pStyle w:val="JBPHeading2"/>
        <w:numPr>
          <w:ilvl w:val="0"/>
          <w:numId w:val="0"/>
        </w:numPr>
        <w:spacing w:line="480" w:lineRule="auto"/>
        <w:ind w:firstLine="510"/>
        <w:jc w:val="both"/>
        <w:rPr>
          <w:rFonts w:ascii="Times New Roman" w:hAnsi="Times New Roman"/>
          <w:sz w:val="22"/>
          <w:szCs w:val="22"/>
        </w:rPr>
      </w:pPr>
      <w:r w:rsidRPr="009352C0">
        <w:rPr>
          <w:rFonts w:ascii="Times New Roman" w:hAnsi="Times New Roman"/>
          <w:sz w:val="22"/>
          <w:szCs w:val="22"/>
        </w:rPr>
        <w:t>Licensing should be done more professionally by paying attention to environmental aspects such as the distance of the pond at least 100 m from the shoreline, so that ponds that do not pay attention to environmental aspects are not allowed to operate. The strategy undertaken by the local government is through the approach of illegal shrimp ponds and assistance to the perpetrators of the ponds to consciously conduct operational licenses.</w:t>
      </w:r>
    </w:p>
    <w:p w14:paraId="566B8A40" w14:textId="77777777" w:rsidR="009352C0" w:rsidRPr="009352C0" w:rsidRDefault="009352C0" w:rsidP="009352C0">
      <w:pPr>
        <w:pStyle w:val="JBPHeading2"/>
        <w:numPr>
          <w:ilvl w:val="0"/>
          <w:numId w:val="0"/>
        </w:numPr>
        <w:spacing w:line="480" w:lineRule="auto"/>
        <w:ind w:firstLine="510"/>
        <w:jc w:val="both"/>
        <w:rPr>
          <w:rFonts w:ascii="Times New Roman" w:hAnsi="Times New Roman"/>
          <w:sz w:val="22"/>
          <w:szCs w:val="22"/>
        </w:rPr>
      </w:pPr>
      <w:r w:rsidRPr="009352C0">
        <w:rPr>
          <w:rFonts w:ascii="Times New Roman" w:hAnsi="Times New Roman"/>
          <w:sz w:val="22"/>
          <w:szCs w:val="22"/>
        </w:rPr>
        <w:t>Furthermore, limitations of the study and possible directions for future research are discussed. It is essential that both the results and the discussion are based on solid evidence and that they contribute significantly to the advancement of knowledge on the topic addressed.</w:t>
      </w:r>
    </w:p>
    <w:p w14:paraId="5976A586" w14:textId="772DD91C" w:rsidR="009352C0" w:rsidRPr="009352C0" w:rsidRDefault="009352C0" w:rsidP="009352C0">
      <w:pPr>
        <w:spacing w:line="480" w:lineRule="auto"/>
        <w:jc w:val="both"/>
        <w:rPr>
          <w:b/>
          <w:sz w:val="22"/>
          <w:szCs w:val="22"/>
          <w:lang w:val="en-US"/>
        </w:rPr>
      </w:pPr>
      <w:r w:rsidRPr="009352C0">
        <w:rPr>
          <w:b/>
          <w:sz w:val="22"/>
          <w:szCs w:val="22"/>
          <w:lang w:val="en-US"/>
        </w:rPr>
        <w:t>CONCLUSION</w:t>
      </w:r>
    </w:p>
    <w:p w14:paraId="37B8EA9C" w14:textId="77777777" w:rsidR="009352C0" w:rsidRPr="009352C0" w:rsidRDefault="009352C0" w:rsidP="009352C0">
      <w:pPr>
        <w:spacing w:line="480" w:lineRule="auto"/>
        <w:ind w:firstLine="709"/>
        <w:jc w:val="both"/>
        <w:rPr>
          <w:sz w:val="22"/>
          <w:szCs w:val="22"/>
          <w:lang w:val="en-US"/>
        </w:rPr>
      </w:pPr>
      <w:r w:rsidRPr="009352C0">
        <w:rPr>
          <w:sz w:val="22"/>
          <w:szCs w:val="22"/>
        </w:rPr>
        <w:t xml:space="preserve">The management of shrimp ponds in coastal areas has triggered many conflicts of interest and social instability. Social instability is described in the form of a lawsuit against the perpetrators of illegal ponds, pressure to control the local government and DPRD, the approach of shrimp pond establishment </w:t>
      </w:r>
      <w:r w:rsidRPr="009352C0">
        <w:rPr>
          <w:sz w:val="22"/>
          <w:szCs w:val="22"/>
        </w:rPr>
        <w:lastRenderedPageBreak/>
        <w:t>permit through in-depth environmental and social studies. Then the impact of shrimp pond management includes economic, social and environmental aspects. Some of the actors involved in the management of shrimp ponds and conflicts of interest include local government, village government, shrimp pond entrepreneurs and coastal communities. Environmentally conscious communities are also involved in the conflict as social responsibility and environmental ethics. Some of the community groups include BATAN, a community of environmentalists from the priyayi, FMPL, a student movement concerned about the environment, and Walhi East Java. The conflict tension and situation began to stabilize when the local government attempted to carry out a deliberative policy strategy through the revision of the regional spatial plan and participatory approaches to the public. The DPRD as a public representative responded to public demands to be forwarded to local policy makers, and the local government carried out curbing efforts based on public aspirations and participation. However, the strategy carried out by the government has not run optimally because the actors involved in the conflict of interest are not all involved in the policy strategy for solving public problems. Deliberative policy strategies open up space for active participation from the public and a democratic government attitude towards the formulation of public interests. Involving various interested actors in policy formulation and revision of the RT RW regulation is a solution strategy in preventing conflicts and realizing social stability.</w:t>
      </w:r>
    </w:p>
    <w:p w14:paraId="4C0D2FD9" w14:textId="77777777" w:rsidR="009352C0" w:rsidRPr="009352C0" w:rsidRDefault="009352C0" w:rsidP="009352C0">
      <w:pPr>
        <w:spacing w:line="480" w:lineRule="auto"/>
        <w:ind w:firstLine="709"/>
        <w:jc w:val="both"/>
        <w:rPr>
          <w:b/>
          <w:caps/>
          <w:sz w:val="22"/>
          <w:szCs w:val="22"/>
          <w:lang w:val="en-US"/>
        </w:rPr>
      </w:pPr>
    </w:p>
    <w:p w14:paraId="30F1751E" w14:textId="77777777" w:rsidR="009352C0" w:rsidRPr="009352C0" w:rsidRDefault="009352C0" w:rsidP="009352C0">
      <w:pPr>
        <w:spacing w:line="480" w:lineRule="auto"/>
        <w:jc w:val="center"/>
        <w:rPr>
          <w:b/>
          <w:sz w:val="22"/>
          <w:szCs w:val="22"/>
          <w:lang w:val="en-US"/>
        </w:rPr>
      </w:pPr>
      <w:r w:rsidRPr="009352C0">
        <w:rPr>
          <w:b/>
          <w:sz w:val="22"/>
          <w:szCs w:val="22"/>
          <w:lang w:val="en-US"/>
        </w:rPr>
        <w:t>ACKNOWLEDGEMENTS</w:t>
      </w:r>
    </w:p>
    <w:p w14:paraId="3A26DF35" w14:textId="77777777" w:rsidR="009352C0" w:rsidRPr="009352C0" w:rsidRDefault="009352C0" w:rsidP="009352C0">
      <w:pPr>
        <w:spacing w:line="480" w:lineRule="auto"/>
        <w:jc w:val="center"/>
        <w:rPr>
          <w:b/>
          <w:sz w:val="22"/>
          <w:szCs w:val="22"/>
          <w:lang w:val="en-US"/>
        </w:rPr>
      </w:pPr>
    </w:p>
    <w:p w14:paraId="16950319" w14:textId="51485C34" w:rsidR="009352C0" w:rsidRPr="00B20D80" w:rsidRDefault="009352C0" w:rsidP="009352C0">
      <w:pPr>
        <w:spacing w:line="480" w:lineRule="auto"/>
        <w:jc w:val="both"/>
        <w:rPr>
          <w:rFonts w:eastAsia="Trebuchet MS"/>
          <w:b/>
          <w:color w:val="000000" w:themeColor="text1"/>
          <w:lang w:val="en-US"/>
        </w:rPr>
      </w:pPr>
      <w:r w:rsidRPr="009352C0">
        <w:rPr>
          <w:sz w:val="22"/>
          <w:szCs w:val="22"/>
        </w:rPr>
        <w:t>Through hard work and assistance from various parties, this research can finally be completed properly and published in a credible journal. Therefore, we would like to thank the Kemenristek Dikti for grant assistance through the PDP grant program based on contract letter number 038/SP2H/PT/LL7/2024, thanks also to LPPM Wiraraja University for helping to evaluate reports and operators of this research reporting as contract number 016/LPPm/PP-04/E.01/UNIJA/VI/2024. Thanks also to the various parties of the Madura Sumenep local government, namely DPRD, Bappeda, DLH and the community of BATAN, FMPL, and Walhi who supported a lot of data for the quality of this paper to be well presented and in-depth.</w:t>
      </w:r>
    </w:p>
    <w:p w14:paraId="6DA49552" w14:textId="77777777" w:rsidR="009352C0" w:rsidRPr="00B20D80" w:rsidRDefault="009352C0" w:rsidP="009352C0">
      <w:pPr>
        <w:rPr>
          <w:rFonts w:eastAsia="Trebuchet MS"/>
          <w:b/>
          <w:color w:val="000000" w:themeColor="text1"/>
          <w:lang w:val="en-US"/>
        </w:rPr>
      </w:pPr>
      <w:r w:rsidRPr="00B20D80">
        <w:rPr>
          <w:rFonts w:eastAsia="Trebuchet MS"/>
          <w:b/>
          <w:color w:val="000000" w:themeColor="text1"/>
          <w:lang w:val="en-US"/>
        </w:rPr>
        <w:br w:type="page"/>
      </w:r>
    </w:p>
    <w:p w14:paraId="5E015051" w14:textId="77777777" w:rsidR="009352C0" w:rsidRPr="00B20D80" w:rsidRDefault="009352C0" w:rsidP="009352C0">
      <w:pPr>
        <w:rPr>
          <w:rFonts w:eastAsia="Trebuchet MS"/>
          <w:b/>
          <w:color w:val="000000" w:themeColor="text1"/>
          <w:lang w:val="en-US" w:eastAsia="en-US"/>
        </w:rPr>
      </w:pPr>
      <w:r w:rsidRPr="00B20D80">
        <w:rPr>
          <w:rFonts w:eastAsia="Trebuchet MS"/>
          <w:b/>
          <w:color w:val="000000" w:themeColor="text1"/>
          <w:lang w:val="en-US"/>
        </w:rPr>
        <w:lastRenderedPageBreak/>
        <w:t>REFERENCES</w:t>
      </w:r>
    </w:p>
    <w:p w14:paraId="7373120F" w14:textId="77777777" w:rsidR="009352C0" w:rsidRPr="00B20D80" w:rsidRDefault="009352C0" w:rsidP="009352C0">
      <w:pPr>
        <w:widowControl w:val="0"/>
        <w:autoSpaceDE w:val="0"/>
        <w:autoSpaceDN w:val="0"/>
        <w:jc w:val="both"/>
        <w:rPr>
          <w:rFonts w:eastAsia="Trebuchet MS"/>
          <w:b/>
          <w:color w:val="000000" w:themeColor="text1"/>
          <w:lang w:val="en-US" w:eastAsia="en-US"/>
        </w:rPr>
      </w:pPr>
    </w:p>
    <w:p w14:paraId="2088B31A" w14:textId="77777777" w:rsidR="009352C0" w:rsidRPr="00F83504" w:rsidRDefault="009352C0" w:rsidP="009352C0">
      <w:pPr>
        <w:autoSpaceDE w:val="0"/>
        <w:autoSpaceDN w:val="0"/>
        <w:adjustRightInd w:val="0"/>
        <w:ind w:left="709" w:hanging="709"/>
        <w:jc w:val="both"/>
        <w:rPr>
          <w:noProof/>
        </w:rPr>
      </w:pPr>
      <w:r w:rsidRPr="00F83504">
        <w:rPr>
          <w:noProof/>
        </w:rPr>
        <w:t xml:space="preserve">Abbas, H., Hussain, T., Shahnawaz, M., &amp; Ali, S. (2021). Developing Public Policy and Public Interest Agenda via Newspaper Cartoons: A Case of China. </w:t>
      </w:r>
      <w:r w:rsidRPr="00F83504">
        <w:rPr>
          <w:i/>
          <w:iCs/>
          <w:noProof/>
        </w:rPr>
        <w:t>International Transaction Journal of Engineering</w:t>
      </w:r>
      <w:r w:rsidRPr="00F83504">
        <w:rPr>
          <w:noProof/>
        </w:rPr>
        <w:t xml:space="preserve">, </w:t>
      </w:r>
      <w:r w:rsidRPr="00F83504">
        <w:rPr>
          <w:i/>
          <w:iCs/>
          <w:noProof/>
        </w:rPr>
        <w:t>12</w:t>
      </w:r>
      <w:r w:rsidRPr="00F83504">
        <w:rPr>
          <w:noProof/>
        </w:rPr>
        <w:t>(7), 1–12. https://doi.org/10.14456/ITJEMAST.2021.141</w:t>
      </w:r>
    </w:p>
    <w:p w14:paraId="374BA46B" w14:textId="77777777" w:rsidR="009352C0" w:rsidRPr="00F83504" w:rsidRDefault="009352C0" w:rsidP="009352C0">
      <w:pPr>
        <w:autoSpaceDE w:val="0"/>
        <w:autoSpaceDN w:val="0"/>
        <w:adjustRightInd w:val="0"/>
        <w:ind w:left="709" w:hanging="709"/>
        <w:jc w:val="both"/>
        <w:rPr>
          <w:noProof/>
        </w:rPr>
      </w:pPr>
      <w:r w:rsidRPr="00F83504">
        <w:rPr>
          <w:noProof/>
        </w:rPr>
        <w:t xml:space="preserve">Alam, M. I., Rahman, M. S., Ahmed, M. U., Debrot, A. O., Ahsan, M. N., &amp; Verdegem, M. C. J. (2022). Mangrove forest conservation vs shrimp production: Uncovering a sustainable co-management model and policy solution for mangrove greenbelt development in coastal Bangladesh. </w:t>
      </w:r>
      <w:r w:rsidRPr="00F83504">
        <w:rPr>
          <w:i/>
          <w:iCs/>
          <w:noProof/>
        </w:rPr>
        <w:t>Forest Policy and Economics</w:t>
      </w:r>
      <w:r w:rsidRPr="00F83504">
        <w:rPr>
          <w:noProof/>
        </w:rPr>
        <w:t xml:space="preserve">, </w:t>
      </w:r>
      <w:r w:rsidRPr="00F83504">
        <w:rPr>
          <w:i/>
          <w:iCs/>
          <w:noProof/>
        </w:rPr>
        <w:t>144</w:t>
      </w:r>
      <w:r w:rsidRPr="00F83504">
        <w:rPr>
          <w:noProof/>
        </w:rPr>
        <w:t>(November). https://doi.org/10.1016/j.forpol.2022.102824</w:t>
      </w:r>
    </w:p>
    <w:p w14:paraId="6BEF6AA5" w14:textId="77777777" w:rsidR="009352C0" w:rsidRPr="00F83504" w:rsidRDefault="009352C0" w:rsidP="009352C0">
      <w:pPr>
        <w:autoSpaceDE w:val="0"/>
        <w:autoSpaceDN w:val="0"/>
        <w:adjustRightInd w:val="0"/>
        <w:ind w:left="709" w:hanging="709"/>
        <w:jc w:val="both"/>
        <w:rPr>
          <w:noProof/>
        </w:rPr>
      </w:pPr>
      <w:r w:rsidRPr="00F83504">
        <w:rPr>
          <w:noProof/>
        </w:rPr>
        <w:t xml:space="preserve">Anh, H. H. (2024). Assessing the interconnected effects of policy interventions on shrimp farming expansion and mangrove ecosystems through system dynamics. </w:t>
      </w:r>
      <w:r w:rsidRPr="00F83504">
        <w:rPr>
          <w:i/>
          <w:iCs/>
          <w:noProof/>
        </w:rPr>
        <w:t>Environmental Research Communications</w:t>
      </w:r>
      <w:r w:rsidRPr="00F83504">
        <w:rPr>
          <w:noProof/>
        </w:rPr>
        <w:t xml:space="preserve">, </w:t>
      </w:r>
      <w:r w:rsidRPr="00F83504">
        <w:rPr>
          <w:i/>
          <w:iCs/>
          <w:noProof/>
        </w:rPr>
        <w:t>6</w:t>
      </w:r>
      <w:r w:rsidRPr="00F83504">
        <w:rPr>
          <w:noProof/>
        </w:rPr>
        <w:t>(5). https://doi.org/10.1088/2515-7620/ad43c2</w:t>
      </w:r>
    </w:p>
    <w:p w14:paraId="5ADB2A9C" w14:textId="77777777" w:rsidR="009352C0" w:rsidRPr="00F83504" w:rsidRDefault="009352C0" w:rsidP="009352C0">
      <w:pPr>
        <w:autoSpaceDE w:val="0"/>
        <w:autoSpaceDN w:val="0"/>
        <w:adjustRightInd w:val="0"/>
        <w:ind w:left="709" w:hanging="709"/>
        <w:jc w:val="both"/>
        <w:rPr>
          <w:noProof/>
        </w:rPr>
      </w:pPr>
      <w:r w:rsidRPr="00F83504">
        <w:rPr>
          <w:noProof/>
        </w:rPr>
        <w:t xml:space="preserve">Asenbaum, H. (2022). Beyond Deliberative Systems Pluralizing the Debate. </w:t>
      </w:r>
      <w:r w:rsidRPr="00F83504">
        <w:rPr>
          <w:i/>
          <w:iCs/>
          <w:noProof/>
        </w:rPr>
        <w:t>Democratic Theory</w:t>
      </w:r>
      <w:r w:rsidRPr="00F83504">
        <w:rPr>
          <w:noProof/>
        </w:rPr>
        <w:t xml:space="preserve">, </w:t>
      </w:r>
      <w:r w:rsidRPr="00F83504">
        <w:rPr>
          <w:i/>
          <w:iCs/>
          <w:noProof/>
        </w:rPr>
        <w:t>9</w:t>
      </w:r>
      <w:r w:rsidRPr="00F83504">
        <w:rPr>
          <w:noProof/>
        </w:rPr>
        <w:t>(1), 87–98. https://doi.org/10.3167/dt.2022.090106</w:t>
      </w:r>
    </w:p>
    <w:p w14:paraId="24FE8774" w14:textId="77777777" w:rsidR="009352C0" w:rsidRPr="00F83504" w:rsidRDefault="009352C0" w:rsidP="009352C0">
      <w:pPr>
        <w:autoSpaceDE w:val="0"/>
        <w:autoSpaceDN w:val="0"/>
        <w:adjustRightInd w:val="0"/>
        <w:ind w:left="709" w:hanging="709"/>
        <w:jc w:val="both"/>
        <w:rPr>
          <w:noProof/>
        </w:rPr>
      </w:pPr>
      <w:r w:rsidRPr="00F83504">
        <w:rPr>
          <w:noProof/>
        </w:rPr>
        <w:t xml:space="preserve">Bartels, K. P. R., Wagenaar, H., &amp; Li, Y. (2020). Introduction: towards deliberative policy analysis 2.0. </w:t>
      </w:r>
      <w:r w:rsidRPr="00F83504">
        <w:rPr>
          <w:i/>
          <w:iCs/>
          <w:noProof/>
        </w:rPr>
        <w:t>Policy Studies</w:t>
      </w:r>
      <w:r w:rsidRPr="00F83504">
        <w:rPr>
          <w:noProof/>
        </w:rPr>
        <w:t xml:space="preserve">, </w:t>
      </w:r>
      <w:r w:rsidRPr="00F83504">
        <w:rPr>
          <w:i/>
          <w:iCs/>
          <w:noProof/>
        </w:rPr>
        <w:t>41</w:t>
      </w:r>
      <w:r w:rsidRPr="00F83504">
        <w:rPr>
          <w:noProof/>
        </w:rPr>
        <w:t>(4), 295–306. https://doi.org/10.1080/01442872.2020.1772219</w:t>
      </w:r>
    </w:p>
    <w:p w14:paraId="539F2C61" w14:textId="77777777" w:rsidR="009352C0" w:rsidRPr="00F83504" w:rsidRDefault="009352C0" w:rsidP="009352C0">
      <w:pPr>
        <w:autoSpaceDE w:val="0"/>
        <w:autoSpaceDN w:val="0"/>
        <w:adjustRightInd w:val="0"/>
        <w:ind w:left="709" w:hanging="709"/>
        <w:jc w:val="both"/>
        <w:rPr>
          <w:noProof/>
        </w:rPr>
      </w:pPr>
      <w:r w:rsidRPr="00F83504">
        <w:rPr>
          <w:noProof/>
        </w:rPr>
        <w:t xml:space="preserve">Bergh, Ø., Beck, A. C., Tassetti, A. N., Olsen, E., Thangstad, T. H., Gonzalez-Mirelis, G., Grati, F., Bolognini, L., &amp; Søvik, G. (2023). Analysis of spatial conflicts of large scale salmonid aquaculture with coastal fisheries and other interests in a Norwegian fjord environment, using the novel GIS-tool SEAGRID and stakeholder surveys. </w:t>
      </w:r>
      <w:r w:rsidRPr="00F83504">
        <w:rPr>
          <w:i/>
          <w:iCs/>
          <w:noProof/>
        </w:rPr>
        <w:t>Aquaculture</w:t>
      </w:r>
      <w:r w:rsidRPr="00F83504">
        <w:rPr>
          <w:noProof/>
        </w:rPr>
        <w:t xml:space="preserve">, </w:t>
      </w:r>
      <w:r w:rsidRPr="00F83504">
        <w:rPr>
          <w:i/>
          <w:iCs/>
          <w:noProof/>
        </w:rPr>
        <w:t>574</w:t>
      </w:r>
      <w:r w:rsidRPr="00F83504">
        <w:rPr>
          <w:noProof/>
        </w:rPr>
        <w:t>(August 2022). https://doi.org/10.1016/j.aquaculture.2023.739643</w:t>
      </w:r>
    </w:p>
    <w:p w14:paraId="1C766AC5" w14:textId="77777777" w:rsidR="009352C0" w:rsidRPr="00F83504" w:rsidRDefault="009352C0" w:rsidP="009352C0">
      <w:pPr>
        <w:autoSpaceDE w:val="0"/>
        <w:autoSpaceDN w:val="0"/>
        <w:adjustRightInd w:val="0"/>
        <w:ind w:left="709" w:hanging="709"/>
        <w:jc w:val="both"/>
        <w:rPr>
          <w:noProof/>
        </w:rPr>
      </w:pPr>
      <w:r w:rsidRPr="00F83504">
        <w:rPr>
          <w:noProof/>
        </w:rPr>
        <w:t xml:space="preserve">Chompucot, M. C., &amp; A. (2011). </w:t>
      </w:r>
      <w:r w:rsidRPr="00F83504">
        <w:rPr>
          <w:i/>
          <w:iCs/>
          <w:noProof/>
        </w:rPr>
        <w:t>Major Factors Affecting Educational Policy</w:t>
      </w:r>
      <w:r w:rsidRPr="00F83504">
        <w:rPr>
          <w:noProof/>
        </w:rPr>
        <w:t>. 1–217.</w:t>
      </w:r>
    </w:p>
    <w:p w14:paraId="05EABFC4" w14:textId="77777777" w:rsidR="009352C0" w:rsidRPr="00F83504" w:rsidRDefault="009352C0" w:rsidP="009352C0">
      <w:pPr>
        <w:autoSpaceDE w:val="0"/>
        <w:autoSpaceDN w:val="0"/>
        <w:adjustRightInd w:val="0"/>
        <w:ind w:left="709" w:hanging="709"/>
        <w:jc w:val="both"/>
        <w:rPr>
          <w:noProof/>
        </w:rPr>
      </w:pPr>
      <w:r w:rsidRPr="00F83504">
        <w:rPr>
          <w:noProof/>
        </w:rPr>
        <w:t xml:space="preserve">Desmantri R, A., &amp; Sulfa, D. (2024). Studi Rancangan Unit dan Instalasi Pengolahan Air Limbah Tambak Udang Di Desa Kertasada Kecamatan Kalianget Kabupaten Sumenep. </w:t>
      </w:r>
      <w:r w:rsidRPr="00F83504">
        <w:rPr>
          <w:i/>
          <w:iCs/>
          <w:noProof/>
        </w:rPr>
        <w:t>Journal of Research and Inovation in Civil Engineering as Applied Science (RIGID)</w:t>
      </w:r>
      <w:r w:rsidRPr="00F83504">
        <w:rPr>
          <w:noProof/>
        </w:rPr>
        <w:t xml:space="preserve">, </w:t>
      </w:r>
      <w:r w:rsidRPr="00F83504">
        <w:rPr>
          <w:i/>
          <w:iCs/>
          <w:noProof/>
        </w:rPr>
        <w:t>3</w:t>
      </w:r>
      <w:r w:rsidRPr="00F83504">
        <w:rPr>
          <w:noProof/>
        </w:rPr>
        <w:t>(1), 1–9. https://doi.org/10.58466/rigid.v3i1.1372</w:t>
      </w:r>
    </w:p>
    <w:p w14:paraId="19CB7E86" w14:textId="77777777" w:rsidR="009352C0" w:rsidRPr="00F83504" w:rsidRDefault="009352C0" w:rsidP="009352C0">
      <w:pPr>
        <w:autoSpaceDE w:val="0"/>
        <w:autoSpaceDN w:val="0"/>
        <w:adjustRightInd w:val="0"/>
        <w:ind w:left="709" w:hanging="709"/>
        <w:jc w:val="both"/>
        <w:rPr>
          <w:noProof/>
        </w:rPr>
      </w:pPr>
      <w:r w:rsidRPr="00F83504">
        <w:rPr>
          <w:noProof/>
        </w:rPr>
        <w:t xml:space="preserve">Dignam, A. (2020). Artificial intelligence, tech corporate governance and the public interest regulatory response. </w:t>
      </w:r>
      <w:r w:rsidRPr="00F83504">
        <w:rPr>
          <w:i/>
          <w:iCs/>
          <w:noProof/>
        </w:rPr>
        <w:t>Cambridge Journal of Regions, Economy and Society</w:t>
      </w:r>
      <w:r w:rsidRPr="00F83504">
        <w:rPr>
          <w:noProof/>
        </w:rPr>
        <w:t xml:space="preserve">, </w:t>
      </w:r>
      <w:r w:rsidRPr="00F83504">
        <w:rPr>
          <w:i/>
          <w:iCs/>
          <w:noProof/>
        </w:rPr>
        <w:t>13</w:t>
      </w:r>
      <w:r w:rsidRPr="00F83504">
        <w:rPr>
          <w:noProof/>
        </w:rPr>
        <w:t>(1), 37–54. https://doi.org/10.1093/cjres/rsaa002</w:t>
      </w:r>
    </w:p>
    <w:p w14:paraId="2EC196A0" w14:textId="77777777" w:rsidR="009352C0" w:rsidRPr="00F83504" w:rsidRDefault="009352C0" w:rsidP="009352C0">
      <w:pPr>
        <w:autoSpaceDE w:val="0"/>
        <w:autoSpaceDN w:val="0"/>
        <w:adjustRightInd w:val="0"/>
        <w:ind w:left="709" w:hanging="709"/>
        <w:jc w:val="both"/>
        <w:rPr>
          <w:noProof/>
        </w:rPr>
      </w:pPr>
      <w:r w:rsidRPr="00F83504">
        <w:rPr>
          <w:noProof/>
        </w:rPr>
        <w:t xml:space="preserve">Doyle, O., &amp; Walsh, R. (2022). Constitutional amendment and public will formation: Deliberative mini-publics as a tool for consensus democracy. </w:t>
      </w:r>
      <w:r w:rsidRPr="00F83504">
        <w:rPr>
          <w:i/>
          <w:iCs/>
          <w:noProof/>
        </w:rPr>
        <w:t>International Journal of Constitutional Law</w:t>
      </w:r>
      <w:r w:rsidRPr="00F83504">
        <w:rPr>
          <w:noProof/>
        </w:rPr>
        <w:t xml:space="preserve">, </w:t>
      </w:r>
      <w:r w:rsidRPr="00F83504">
        <w:rPr>
          <w:i/>
          <w:iCs/>
          <w:noProof/>
        </w:rPr>
        <w:t>20</w:t>
      </w:r>
      <w:r w:rsidRPr="00F83504">
        <w:rPr>
          <w:noProof/>
        </w:rPr>
        <w:t>(1), 398–427. https://doi.org/10.1093/icon/moac013</w:t>
      </w:r>
    </w:p>
    <w:p w14:paraId="53BC3797" w14:textId="77777777" w:rsidR="009352C0" w:rsidRPr="00F83504" w:rsidRDefault="009352C0" w:rsidP="009352C0">
      <w:pPr>
        <w:autoSpaceDE w:val="0"/>
        <w:autoSpaceDN w:val="0"/>
        <w:adjustRightInd w:val="0"/>
        <w:ind w:left="709" w:hanging="709"/>
        <w:jc w:val="both"/>
        <w:rPr>
          <w:noProof/>
        </w:rPr>
      </w:pPr>
      <w:r w:rsidRPr="00F83504">
        <w:rPr>
          <w:noProof/>
        </w:rPr>
        <w:t xml:space="preserve">Ercan, S. A., Durnová, A., Loeber, A., &amp; Wagenaar, H. (2020). Symposium: revisiting the three pillars of Deliberative Policy Analysis. </w:t>
      </w:r>
      <w:r w:rsidRPr="00F83504">
        <w:rPr>
          <w:i/>
          <w:iCs/>
          <w:noProof/>
        </w:rPr>
        <w:t>Policy Studies</w:t>
      </w:r>
      <w:r w:rsidRPr="00F83504">
        <w:rPr>
          <w:noProof/>
        </w:rPr>
        <w:t xml:space="preserve">, </w:t>
      </w:r>
      <w:r w:rsidRPr="00F83504">
        <w:rPr>
          <w:i/>
          <w:iCs/>
          <w:noProof/>
        </w:rPr>
        <w:t>41</w:t>
      </w:r>
      <w:r w:rsidRPr="00F83504">
        <w:rPr>
          <w:noProof/>
        </w:rPr>
        <w:t>(4), 307–330. https://doi.org/10.1080/01442872.2020.1774147</w:t>
      </w:r>
    </w:p>
    <w:p w14:paraId="76AD6FEC" w14:textId="77777777" w:rsidR="009352C0" w:rsidRPr="00F83504" w:rsidRDefault="009352C0" w:rsidP="009352C0">
      <w:pPr>
        <w:autoSpaceDE w:val="0"/>
        <w:autoSpaceDN w:val="0"/>
        <w:adjustRightInd w:val="0"/>
        <w:ind w:left="709" w:hanging="709"/>
        <w:jc w:val="both"/>
        <w:rPr>
          <w:noProof/>
        </w:rPr>
      </w:pPr>
      <w:r w:rsidRPr="00F83504">
        <w:rPr>
          <w:noProof/>
        </w:rPr>
        <w:t xml:space="preserve">Fischer, F., &amp; Boossabong, P. (2018). Deliberative Policy Analysis. </w:t>
      </w:r>
      <w:r w:rsidRPr="00F83504">
        <w:rPr>
          <w:i/>
          <w:iCs/>
          <w:noProof/>
        </w:rPr>
        <w:t>The Oxford Handbook of Deliberative Democracy</w:t>
      </w:r>
      <w:r w:rsidRPr="00F83504">
        <w:rPr>
          <w:noProof/>
        </w:rPr>
        <w:t xml:space="preserve">, </w:t>
      </w:r>
      <w:r w:rsidRPr="00F83504">
        <w:rPr>
          <w:i/>
          <w:iCs/>
          <w:noProof/>
        </w:rPr>
        <w:t>October</w:t>
      </w:r>
      <w:r w:rsidRPr="00F83504">
        <w:rPr>
          <w:noProof/>
        </w:rPr>
        <w:t>, 583–594. https://doi.org/10.1093/oxfordhb/9780198747369.013.39</w:t>
      </w:r>
    </w:p>
    <w:p w14:paraId="76ABA94A" w14:textId="77777777" w:rsidR="009352C0" w:rsidRPr="00F83504" w:rsidRDefault="009352C0" w:rsidP="009352C0">
      <w:pPr>
        <w:autoSpaceDE w:val="0"/>
        <w:autoSpaceDN w:val="0"/>
        <w:adjustRightInd w:val="0"/>
        <w:ind w:left="709" w:hanging="709"/>
        <w:jc w:val="both"/>
        <w:rPr>
          <w:noProof/>
        </w:rPr>
      </w:pPr>
      <w:r w:rsidRPr="00F83504">
        <w:rPr>
          <w:noProof/>
        </w:rPr>
        <w:t xml:space="preserve">Foroughi, M., de Andrade, B., Roders, A. P., &amp; Wang, T. (2023). Public participation and consensus-building in urban planning from the lens of heritage planning: A systematic literature review. </w:t>
      </w:r>
      <w:r w:rsidRPr="00F83504">
        <w:rPr>
          <w:i/>
          <w:iCs/>
          <w:noProof/>
        </w:rPr>
        <w:t>Cities</w:t>
      </w:r>
      <w:r w:rsidRPr="00F83504">
        <w:rPr>
          <w:noProof/>
        </w:rPr>
        <w:t xml:space="preserve">, </w:t>
      </w:r>
      <w:r w:rsidRPr="00F83504">
        <w:rPr>
          <w:i/>
          <w:iCs/>
          <w:noProof/>
        </w:rPr>
        <w:t>135</w:t>
      </w:r>
      <w:r w:rsidRPr="00F83504">
        <w:rPr>
          <w:noProof/>
        </w:rPr>
        <w:t>. https://doi.org/10.1016/j.cities.2023.104235</w:t>
      </w:r>
    </w:p>
    <w:p w14:paraId="328A8620" w14:textId="77777777" w:rsidR="009352C0" w:rsidRPr="00F83504" w:rsidRDefault="009352C0" w:rsidP="009352C0">
      <w:pPr>
        <w:autoSpaceDE w:val="0"/>
        <w:autoSpaceDN w:val="0"/>
        <w:adjustRightInd w:val="0"/>
        <w:ind w:left="709" w:hanging="709"/>
        <w:jc w:val="both"/>
        <w:rPr>
          <w:noProof/>
        </w:rPr>
      </w:pPr>
      <w:r w:rsidRPr="00F83504">
        <w:rPr>
          <w:noProof/>
        </w:rPr>
        <w:t xml:space="preserve">Haryanto, R., Husein Siregar, S., &amp; Suwondo,  dan. (2023). Dampak Degradasi Mangrove Terhadap Hasil Perikanan Masyarakat. </w:t>
      </w:r>
      <w:r w:rsidRPr="00F83504">
        <w:rPr>
          <w:i/>
          <w:iCs/>
          <w:noProof/>
        </w:rPr>
        <w:t>1st Nasional Seminar on Sustainable Agricultural Technology Innovation</w:t>
      </w:r>
      <w:r w:rsidRPr="00F83504">
        <w:rPr>
          <w:noProof/>
        </w:rPr>
        <w:t>, 27–28.</w:t>
      </w:r>
    </w:p>
    <w:p w14:paraId="0748586A" w14:textId="77777777" w:rsidR="009352C0" w:rsidRPr="00F83504" w:rsidRDefault="009352C0" w:rsidP="009352C0">
      <w:pPr>
        <w:autoSpaceDE w:val="0"/>
        <w:autoSpaceDN w:val="0"/>
        <w:adjustRightInd w:val="0"/>
        <w:ind w:left="709" w:hanging="709"/>
        <w:jc w:val="both"/>
        <w:rPr>
          <w:noProof/>
        </w:rPr>
      </w:pPr>
      <w:r w:rsidRPr="00F83504">
        <w:rPr>
          <w:noProof/>
        </w:rPr>
        <w:t xml:space="preserve">Hassall, G. (2020). </w:t>
      </w:r>
      <w:r w:rsidRPr="00F83504">
        <w:rPr>
          <w:i/>
          <w:iCs/>
          <w:noProof/>
        </w:rPr>
        <w:t>Governance and Public Policy: The Interaction of Systems and Lifeworlds</w:t>
      </w:r>
      <w:r w:rsidRPr="00F83504">
        <w:rPr>
          <w:noProof/>
        </w:rPr>
        <w:t>. 99–168. https://doi.org/10.1108/s2053-769720200000033003</w:t>
      </w:r>
    </w:p>
    <w:p w14:paraId="7D74855D" w14:textId="77777777" w:rsidR="009352C0" w:rsidRPr="00F83504" w:rsidRDefault="009352C0" w:rsidP="009352C0">
      <w:pPr>
        <w:autoSpaceDE w:val="0"/>
        <w:autoSpaceDN w:val="0"/>
        <w:adjustRightInd w:val="0"/>
        <w:ind w:left="709" w:hanging="709"/>
        <w:jc w:val="both"/>
        <w:rPr>
          <w:noProof/>
        </w:rPr>
      </w:pPr>
      <w:r w:rsidRPr="00F83504">
        <w:rPr>
          <w:noProof/>
        </w:rPr>
        <w:t xml:space="preserve">Hossain, M. S., Uddin, M. J., &amp; Fakhruddin, A. N. M. (2013). Impacts of shrimp farming on the coastal environment of Bangladesh and approach for management. </w:t>
      </w:r>
      <w:r w:rsidRPr="00F83504">
        <w:rPr>
          <w:i/>
          <w:iCs/>
          <w:noProof/>
        </w:rPr>
        <w:t xml:space="preserve">Reviews in </w:t>
      </w:r>
      <w:r w:rsidRPr="00F83504">
        <w:rPr>
          <w:i/>
          <w:iCs/>
          <w:noProof/>
        </w:rPr>
        <w:lastRenderedPageBreak/>
        <w:t>Environmental Science and Biotechnology</w:t>
      </w:r>
      <w:r w:rsidRPr="00F83504">
        <w:rPr>
          <w:noProof/>
        </w:rPr>
        <w:t xml:space="preserve">, </w:t>
      </w:r>
      <w:r w:rsidRPr="00F83504">
        <w:rPr>
          <w:i/>
          <w:iCs/>
          <w:noProof/>
        </w:rPr>
        <w:t>12</w:t>
      </w:r>
      <w:r w:rsidRPr="00F83504">
        <w:rPr>
          <w:noProof/>
        </w:rPr>
        <w:t>(3), 313–332. https://doi.org/10.1007/s11157-013-9311-5</w:t>
      </w:r>
    </w:p>
    <w:p w14:paraId="7A2D3D17" w14:textId="77777777" w:rsidR="009352C0" w:rsidRPr="00F83504" w:rsidRDefault="009352C0" w:rsidP="009352C0">
      <w:pPr>
        <w:autoSpaceDE w:val="0"/>
        <w:autoSpaceDN w:val="0"/>
        <w:adjustRightInd w:val="0"/>
        <w:ind w:left="709" w:hanging="709"/>
        <w:jc w:val="both"/>
        <w:rPr>
          <w:noProof/>
        </w:rPr>
      </w:pPr>
      <w:r w:rsidRPr="00F83504">
        <w:rPr>
          <w:noProof/>
        </w:rPr>
        <w:t xml:space="preserve">Hukom, V., Nielsen, R., &amp; Nielsen, M. (2022). Effects of co-management on technical efficiency and environmental stressors: An application to small-scale shrimp polyculture in Indonesia. </w:t>
      </w:r>
      <w:r w:rsidRPr="00F83504">
        <w:rPr>
          <w:i/>
          <w:iCs/>
          <w:noProof/>
        </w:rPr>
        <w:t>Aquaculture Economics and Management</w:t>
      </w:r>
      <w:r w:rsidRPr="00F83504">
        <w:rPr>
          <w:noProof/>
        </w:rPr>
        <w:t xml:space="preserve">, </w:t>
      </w:r>
      <w:r w:rsidRPr="00F83504">
        <w:rPr>
          <w:i/>
          <w:iCs/>
          <w:noProof/>
        </w:rPr>
        <w:t>26</w:t>
      </w:r>
      <w:r w:rsidRPr="00F83504">
        <w:rPr>
          <w:noProof/>
        </w:rPr>
        <w:t>(1), 98–117. https://doi.org/10.1080/13657305.2021.1897190</w:t>
      </w:r>
    </w:p>
    <w:p w14:paraId="348D8262" w14:textId="77777777" w:rsidR="009352C0" w:rsidRPr="00F83504" w:rsidRDefault="009352C0" w:rsidP="009352C0">
      <w:pPr>
        <w:autoSpaceDE w:val="0"/>
        <w:autoSpaceDN w:val="0"/>
        <w:adjustRightInd w:val="0"/>
        <w:ind w:left="709" w:hanging="709"/>
        <w:jc w:val="both"/>
        <w:rPr>
          <w:noProof/>
        </w:rPr>
      </w:pPr>
      <w:r w:rsidRPr="00F83504">
        <w:rPr>
          <w:noProof/>
        </w:rPr>
        <w:t xml:space="preserve">Iber, B. T., &amp; Kasan, N. A. (2021). Recent advances in Shrimp aquaculture wastewater management. </w:t>
      </w:r>
      <w:r w:rsidRPr="00F83504">
        <w:rPr>
          <w:i/>
          <w:iCs/>
          <w:noProof/>
        </w:rPr>
        <w:t>Heliyon</w:t>
      </w:r>
      <w:r w:rsidRPr="00F83504">
        <w:rPr>
          <w:noProof/>
        </w:rPr>
        <w:t xml:space="preserve">, </w:t>
      </w:r>
      <w:r w:rsidRPr="00F83504">
        <w:rPr>
          <w:i/>
          <w:iCs/>
          <w:noProof/>
        </w:rPr>
        <w:t>7</w:t>
      </w:r>
      <w:r w:rsidRPr="00F83504">
        <w:rPr>
          <w:noProof/>
        </w:rPr>
        <w:t>(11), e08283. https://doi.org/10.1016/j.heliyon.2021.e08283</w:t>
      </w:r>
    </w:p>
    <w:p w14:paraId="33CFBA27" w14:textId="77777777" w:rsidR="009352C0" w:rsidRPr="00F83504" w:rsidRDefault="009352C0" w:rsidP="009352C0">
      <w:pPr>
        <w:autoSpaceDE w:val="0"/>
        <w:autoSpaceDN w:val="0"/>
        <w:adjustRightInd w:val="0"/>
        <w:ind w:left="709" w:hanging="709"/>
        <w:jc w:val="both"/>
        <w:rPr>
          <w:noProof/>
        </w:rPr>
      </w:pPr>
      <w:r w:rsidRPr="00F83504">
        <w:rPr>
          <w:noProof/>
        </w:rPr>
        <w:t xml:space="preserve">Kais, S. M., &amp; Islam, M. S. (2021). Resilience to climate change in industrial shrimping in Bangladesh: Assessing the comparative role of the stakeholders. </w:t>
      </w:r>
      <w:r w:rsidRPr="00F83504">
        <w:rPr>
          <w:i/>
          <w:iCs/>
          <w:noProof/>
        </w:rPr>
        <w:t>Sustainability (Switzerland)</w:t>
      </w:r>
      <w:r w:rsidRPr="00F83504">
        <w:rPr>
          <w:noProof/>
        </w:rPr>
        <w:t xml:space="preserve">, </w:t>
      </w:r>
      <w:r w:rsidRPr="00F83504">
        <w:rPr>
          <w:i/>
          <w:iCs/>
          <w:noProof/>
        </w:rPr>
        <w:t>13</w:t>
      </w:r>
      <w:r w:rsidRPr="00F83504">
        <w:rPr>
          <w:noProof/>
        </w:rPr>
        <w:t>(1), 1–21. https://doi.org/10.3390/su13010307</w:t>
      </w:r>
    </w:p>
    <w:p w14:paraId="432527C2" w14:textId="77777777" w:rsidR="009352C0" w:rsidRPr="00F83504" w:rsidRDefault="009352C0" w:rsidP="009352C0">
      <w:pPr>
        <w:autoSpaceDE w:val="0"/>
        <w:autoSpaceDN w:val="0"/>
        <w:adjustRightInd w:val="0"/>
        <w:ind w:left="709" w:hanging="709"/>
        <w:jc w:val="both"/>
        <w:rPr>
          <w:noProof/>
        </w:rPr>
      </w:pPr>
      <w:r w:rsidRPr="00F83504">
        <w:rPr>
          <w:noProof/>
        </w:rPr>
        <w:t xml:space="preserve">Kusumawati, R., &amp; Bush, S. R. (2015). Co-producing Better Management Practice standards for shrimp aquaculture in Indonesia. </w:t>
      </w:r>
      <w:r w:rsidRPr="00F83504">
        <w:rPr>
          <w:i/>
          <w:iCs/>
          <w:noProof/>
        </w:rPr>
        <w:t>Maritime Studies</w:t>
      </w:r>
      <w:r w:rsidRPr="00F83504">
        <w:rPr>
          <w:noProof/>
        </w:rPr>
        <w:t xml:space="preserve">, </w:t>
      </w:r>
      <w:r w:rsidRPr="00F83504">
        <w:rPr>
          <w:i/>
          <w:iCs/>
          <w:noProof/>
        </w:rPr>
        <w:t>14</w:t>
      </w:r>
      <w:r w:rsidRPr="00F83504">
        <w:rPr>
          <w:noProof/>
        </w:rPr>
        <w:t>(1), 1–18. https://doi.org/10.1186/s40152-015-0039-4</w:t>
      </w:r>
    </w:p>
    <w:p w14:paraId="03732329" w14:textId="77777777" w:rsidR="009352C0" w:rsidRPr="00F83504" w:rsidRDefault="009352C0" w:rsidP="009352C0">
      <w:pPr>
        <w:autoSpaceDE w:val="0"/>
        <w:autoSpaceDN w:val="0"/>
        <w:adjustRightInd w:val="0"/>
        <w:ind w:left="709" w:hanging="709"/>
        <w:jc w:val="both"/>
        <w:rPr>
          <w:noProof/>
        </w:rPr>
      </w:pPr>
      <w:r w:rsidRPr="00F83504">
        <w:rPr>
          <w:noProof/>
        </w:rPr>
        <w:t xml:space="preserve">Macusi, E. D., Estor, D. E. P., Borazon, E. Q., Clapano, M. B., &amp; Santos, M. D. (2022). Environmental and Socioeconomic Impacts of Shrimp Farming in the Philippines: A Critical Analysis Using PRISMA. In </w:t>
      </w:r>
      <w:r w:rsidRPr="00F83504">
        <w:rPr>
          <w:i/>
          <w:iCs/>
          <w:noProof/>
        </w:rPr>
        <w:t>Sustainability (Switzerland)</w:t>
      </w:r>
      <w:r w:rsidRPr="00F83504">
        <w:rPr>
          <w:noProof/>
        </w:rPr>
        <w:t xml:space="preserve"> (Vol. 14, Issue 5). MDPI. https://doi.org/10.3390/su14052977</w:t>
      </w:r>
    </w:p>
    <w:p w14:paraId="73187BA9" w14:textId="77777777" w:rsidR="009352C0" w:rsidRPr="00F83504" w:rsidRDefault="009352C0" w:rsidP="009352C0">
      <w:pPr>
        <w:autoSpaceDE w:val="0"/>
        <w:autoSpaceDN w:val="0"/>
        <w:adjustRightInd w:val="0"/>
        <w:ind w:left="709" w:hanging="709"/>
        <w:jc w:val="both"/>
        <w:rPr>
          <w:noProof/>
        </w:rPr>
      </w:pPr>
      <w:r w:rsidRPr="00F83504">
        <w:rPr>
          <w:noProof/>
        </w:rPr>
        <w:t xml:space="preserve">Martinez-Alier, J. (2001). Ecological conflicts and valuation: Mangroves versus shrimps in the late 1990s. </w:t>
      </w:r>
      <w:r w:rsidRPr="00F83504">
        <w:rPr>
          <w:i/>
          <w:iCs/>
          <w:noProof/>
        </w:rPr>
        <w:t>Environment and Planning C: Government and Policy</w:t>
      </w:r>
      <w:r w:rsidRPr="00F83504">
        <w:rPr>
          <w:noProof/>
        </w:rPr>
        <w:t xml:space="preserve">, </w:t>
      </w:r>
      <w:r w:rsidRPr="00F83504">
        <w:rPr>
          <w:i/>
          <w:iCs/>
          <w:noProof/>
        </w:rPr>
        <w:t>19</w:t>
      </w:r>
      <w:r w:rsidRPr="00F83504">
        <w:rPr>
          <w:noProof/>
        </w:rPr>
        <w:t>(5), 713–728. https://doi.org/10.1068/c15s</w:t>
      </w:r>
    </w:p>
    <w:p w14:paraId="0D4D0333" w14:textId="77777777" w:rsidR="009352C0" w:rsidRPr="00F83504" w:rsidRDefault="009352C0" w:rsidP="009352C0">
      <w:pPr>
        <w:autoSpaceDE w:val="0"/>
        <w:autoSpaceDN w:val="0"/>
        <w:adjustRightInd w:val="0"/>
        <w:ind w:left="709" w:hanging="709"/>
        <w:jc w:val="both"/>
        <w:rPr>
          <w:noProof/>
        </w:rPr>
      </w:pPr>
      <w:r w:rsidRPr="00F83504">
        <w:rPr>
          <w:noProof/>
        </w:rPr>
        <w:t xml:space="preserve">Miles, M. B., &amp; Huberman, A. M. (1994). </w:t>
      </w:r>
      <w:r w:rsidRPr="00F83504">
        <w:rPr>
          <w:i/>
          <w:iCs/>
          <w:noProof/>
        </w:rPr>
        <w:t>Qualitative data Analysis: Second Edition</w:t>
      </w:r>
      <w:r w:rsidRPr="00F83504">
        <w:rPr>
          <w:noProof/>
        </w:rPr>
        <w:t xml:space="preserve"> (Second Edi). SAGE Publication.</w:t>
      </w:r>
    </w:p>
    <w:p w14:paraId="5E80784B" w14:textId="77777777" w:rsidR="009352C0" w:rsidRPr="00F83504" w:rsidRDefault="009352C0" w:rsidP="009352C0">
      <w:pPr>
        <w:autoSpaceDE w:val="0"/>
        <w:autoSpaceDN w:val="0"/>
        <w:adjustRightInd w:val="0"/>
        <w:ind w:left="709" w:hanging="709"/>
        <w:jc w:val="both"/>
        <w:rPr>
          <w:noProof/>
        </w:rPr>
      </w:pPr>
      <w:r w:rsidRPr="00F83504">
        <w:rPr>
          <w:noProof/>
        </w:rPr>
        <w:t xml:space="preserve">Nguyen, C. P., Schinckus, C., Su, T. D., &amp; Chong, F. H. L. (2020). The Influence of Tourism on Income Inequality. </w:t>
      </w:r>
      <w:r w:rsidRPr="00F83504">
        <w:rPr>
          <w:i/>
          <w:iCs/>
          <w:noProof/>
        </w:rPr>
        <w:t>Journal of Travel Research</w:t>
      </w:r>
      <w:r w:rsidRPr="00F83504">
        <w:rPr>
          <w:noProof/>
        </w:rPr>
        <w:t xml:space="preserve">, </w:t>
      </w:r>
      <w:r w:rsidRPr="00F83504">
        <w:rPr>
          <w:i/>
          <w:iCs/>
          <w:noProof/>
        </w:rPr>
        <w:t>60</w:t>
      </w:r>
      <w:r w:rsidRPr="00F83504">
        <w:rPr>
          <w:noProof/>
        </w:rPr>
        <w:t>(7), 1426–1444. https://doi.org/10.1177/0047287520954538</w:t>
      </w:r>
    </w:p>
    <w:p w14:paraId="0193BB01" w14:textId="77777777" w:rsidR="009352C0" w:rsidRPr="00F83504" w:rsidRDefault="009352C0" w:rsidP="009352C0">
      <w:pPr>
        <w:autoSpaceDE w:val="0"/>
        <w:autoSpaceDN w:val="0"/>
        <w:adjustRightInd w:val="0"/>
        <w:ind w:left="709" w:hanging="709"/>
        <w:jc w:val="both"/>
        <w:rPr>
          <w:noProof/>
        </w:rPr>
      </w:pPr>
      <w:r w:rsidRPr="00F83504">
        <w:rPr>
          <w:noProof/>
        </w:rPr>
        <w:t xml:space="preserve">Paul, A. K., &amp; Røskaft, E. (2013). Environmental degradation and loss of traditional agriculture as two causes of conflicts in shrimp farming in the southwestern coastal Bangladesh: Present status and probable solutions. </w:t>
      </w:r>
      <w:r w:rsidRPr="00F83504">
        <w:rPr>
          <w:i/>
          <w:iCs/>
          <w:noProof/>
        </w:rPr>
        <w:t>Ocean and Coastal Management</w:t>
      </w:r>
      <w:r w:rsidRPr="00F83504">
        <w:rPr>
          <w:noProof/>
        </w:rPr>
        <w:t xml:space="preserve">, </w:t>
      </w:r>
      <w:r w:rsidRPr="00F83504">
        <w:rPr>
          <w:i/>
          <w:iCs/>
          <w:noProof/>
        </w:rPr>
        <w:t>85</w:t>
      </w:r>
      <w:r w:rsidRPr="00F83504">
        <w:rPr>
          <w:noProof/>
        </w:rPr>
        <w:t>, 19–28. https://doi.org/10.1016/j.ocecoaman.2013.08.015</w:t>
      </w:r>
    </w:p>
    <w:p w14:paraId="1B79BC1B" w14:textId="77777777" w:rsidR="009352C0" w:rsidRPr="00F83504" w:rsidRDefault="009352C0" w:rsidP="009352C0">
      <w:pPr>
        <w:autoSpaceDE w:val="0"/>
        <w:autoSpaceDN w:val="0"/>
        <w:adjustRightInd w:val="0"/>
        <w:ind w:left="709" w:hanging="709"/>
        <w:jc w:val="both"/>
        <w:rPr>
          <w:noProof/>
        </w:rPr>
      </w:pPr>
      <w:r w:rsidRPr="00F83504">
        <w:rPr>
          <w:noProof/>
        </w:rPr>
        <w:t xml:space="preserve">Perlaviciute, G. (2022). Contested climate policies and the four Ds of public participation: From normative standards to what people want. </w:t>
      </w:r>
      <w:r w:rsidRPr="00F83504">
        <w:rPr>
          <w:i/>
          <w:iCs/>
          <w:noProof/>
        </w:rPr>
        <w:t>Wiley Interdisciplinary Reviews: Climate Change</w:t>
      </w:r>
      <w:r w:rsidRPr="00F83504">
        <w:rPr>
          <w:noProof/>
        </w:rPr>
        <w:t xml:space="preserve">, </w:t>
      </w:r>
      <w:r w:rsidRPr="00F83504">
        <w:rPr>
          <w:i/>
          <w:iCs/>
          <w:noProof/>
        </w:rPr>
        <w:t>13</w:t>
      </w:r>
      <w:r w:rsidRPr="00F83504">
        <w:rPr>
          <w:noProof/>
        </w:rPr>
        <w:t>(1), 1–11. https://doi.org/10.1002/wcc.749</w:t>
      </w:r>
    </w:p>
    <w:p w14:paraId="283207C4" w14:textId="77777777" w:rsidR="009352C0" w:rsidRPr="00F83504" w:rsidRDefault="009352C0" w:rsidP="009352C0">
      <w:pPr>
        <w:autoSpaceDE w:val="0"/>
        <w:autoSpaceDN w:val="0"/>
        <w:adjustRightInd w:val="0"/>
        <w:ind w:left="709" w:hanging="709"/>
        <w:jc w:val="both"/>
        <w:rPr>
          <w:noProof/>
        </w:rPr>
      </w:pPr>
      <w:r w:rsidRPr="00F83504">
        <w:rPr>
          <w:noProof/>
        </w:rPr>
        <w:t xml:space="preserve">Prasetyo, B. (2012). Kajian Teoretik Karakter Kebijakan Publik. </w:t>
      </w:r>
      <w:r w:rsidRPr="00F83504">
        <w:rPr>
          <w:i/>
          <w:iCs/>
          <w:noProof/>
        </w:rPr>
        <w:t>Jurnal Politik Indonesia</w:t>
      </w:r>
      <w:r w:rsidRPr="00F83504">
        <w:rPr>
          <w:noProof/>
        </w:rPr>
        <w:t xml:space="preserve">, </w:t>
      </w:r>
      <w:r w:rsidRPr="00F83504">
        <w:rPr>
          <w:i/>
          <w:iCs/>
          <w:noProof/>
        </w:rPr>
        <w:t>1</w:t>
      </w:r>
      <w:r w:rsidRPr="00F83504">
        <w:rPr>
          <w:noProof/>
        </w:rPr>
        <w:t>(1), 1–10. file:///C:/Users/ACER/Documents/tugas kebijakan publik semester 5/jurnal/Kajian Teoretik Karakter Kebijakan Publik.pdf</w:t>
      </w:r>
    </w:p>
    <w:p w14:paraId="2260B2C6" w14:textId="77777777" w:rsidR="009352C0" w:rsidRPr="00F83504" w:rsidRDefault="009352C0" w:rsidP="009352C0">
      <w:pPr>
        <w:autoSpaceDE w:val="0"/>
        <w:autoSpaceDN w:val="0"/>
        <w:adjustRightInd w:val="0"/>
        <w:ind w:left="709" w:hanging="709"/>
        <w:jc w:val="both"/>
        <w:rPr>
          <w:noProof/>
        </w:rPr>
      </w:pPr>
      <w:r w:rsidRPr="00F83504">
        <w:rPr>
          <w:noProof/>
        </w:rPr>
        <w:t xml:space="preserve">Rammelt, C. F., &amp; Gupta, J. (2021). Inclusive is not an adjective, it transforms development: A post-growth interpretation of Inclusive Development. </w:t>
      </w:r>
      <w:r w:rsidRPr="00F83504">
        <w:rPr>
          <w:i/>
          <w:iCs/>
          <w:noProof/>
        </w:rPr>
        <w:t>Environmental Science and Policy</w:t>
      </w:r>
      <w:r w:rsidRPr="00F83504">
        <w:rPr>
          <w:noProof/>
        </w:rPr>
        <w:t xml:space="preserve">, </w:t>
      </w:r>
      <w:r w:rsidRPr="00F83504">
        <w:rPr>
          <w:i/>
          <w:iCs/>
          <w:noProof/>
        </w:rPr>
        <w:t>124</w:t>
      </w:r>
      <w:r w:rsidRPr="00F83504">
        <w:rPr>
          <w:noProof/>
        </w:rPr>
        <w:t>(June), 144–155. https://doi.org/10.1016/j.envsci.2021.06.012</w:t>
      </w:r>
    </w:p>
    <w:p w14:paraId="72B7197A" w14:textId="77777777" w:rsidR="009352C0" w:rsidRPr="00F83504" w:rsidRDefault="009352C0" w:rsidP="009352C0">
      <w:pPr>
        <w:autoSpaceDE w:val="0"/>
        <w:autoSpaceDN w:val="0"/>
        <w:adjustRightInd w:val="0"/>
        <w:ind w:left="709" w:hanging="709"/>
        <w:jc w:val="both"/>
        <w:rPr>
          <w:noProof/>
        </w:rPr>
      </w:pPr>
      <w:r w:rsidRPr="00F83504">
        <w:rPr>
          <w:noProof/>
        </w:rPr>
        <w:t xml:space="preserve">Ray, S., Mondal, P., Paul, A. K., Iqbal, S., Atique, U., Islam, M. S., Mahboob, S., Al-Ghanim, K. A., Al-Misned, F., &amp; Begum, S. (2021). Role of shrimp farming in socio-economic elevation and professional satisfaction in coastal communities of Southern Bangladesh. </w:t>
      </w:r>
      <w:r w:rsidRPr="00F83504">
        <w:rPr>
          <w:i/>
          <w:iCs/>
          <w:noProof/>
        </w:rPr>
        <w:t>Aquaculture Reports</w:t>
      </w:r>
      <w:r w:rsidRPr="00F83504">
        <w:rPr>
          <w:noProof/>
        </w:rPr>
        <w:t xml:space="preserve">, </w:t>
      </w:r>
      <w:r w:rsidRPr="00F83504">
        <w:rPr>
          <w:i/>
          <w:iCs/>
          <w:noProof/>
        </w:rPr>
        <w:t>20</w:t>
      </w:r>
      <w:r w:rsidRPr="00F83504">
        <w:rPr>
          <w:noProof/>
        </w:rPr>
        <w:t>. https://doi.org/10.1016/j.aqrep.2021.100708</w:t>
      </w:r>
    </w:p>
    <w:p w14:paraId="755940B6" w14:textId="77777777" w:rsidR="009352C0" w:rsidRPr="00F83504" w:rsidRDefault="009352C0" w:rsidP="009352C0">
      <w:pPr>
        <w:autoSpaceDE w:val="0"/>
        <w:autoSpaceDN w:val="0"/>
        <w:adjustRightInd w:val="0"/>
        <w:ind w:left="709" w:hanging="709"/>
        <w:jc w:val="both"/>
        <w:rPr>
          <w:noProof/>
        </w:rPr>
      </w:pPr>
      <w:r w:rsidRPr="00F83504">
        <w:rPr>
          <w:noProof/>
        </w:rPr>
        <w:t xml:space="preserve">Romsdahl, R. (2020). Correction to: Deliberative framing: opening up discussions for local-level public engagement on climate change (Climatic Change, (2020), 162, (145–163), 10.1007/s10584-020-02754-x.). </w:t>
      </w:r>
      <w:r w:rsidRPr="00F83504">
        <w:rPr>
          <w:i/>
          <w:iCs/>
          <w:noProof/>
        </w:rPr>
        <w:t>Climatic Change</w:t>
      </w:r>
      <w:r w:rsidRPr="00F83504">
        <w:rPr>
          <w:noProof/>
        </w:rPr>
        <w:t xml:space="preserve">, </w:t>
      </w:r>
      <w:r w:rsidRPr="00F83504">
        <w:rPr>
          <w:i/>
          <w:iCs/>
          <w:noProof/>
        </w:rPr>
        <w:t>163</w:t>
      </w:r>
      <w:r w:rsidRPr="00F83504">
        <w:rPr>
          <w:noProof/>
        </w:rPr>
        <w:t>(2), 1109–1118. https://doi.org/10.1007/s10584-020-02913-0</w:t>
      </w:r>
    </w:p>
    <w:p w14:paraId="7C147130" w14:textId="77777777" w:rsidR="009352C0" w:rsidRPr="00F83504" w:rsidRDefault="009352C0" w:rsidP="009352C0">
      <w:pPr>
        <w:autoSpaceDE w:val="0"/>
        <w:autoSpaceDN w:val="0"/>
        <w:adjustRightInd w:val="0"/>
        <w:ind w:left="709" w:hanging="709"/>
        <w:jc w:val="both"/>
        <w:rPr>
          <w:noProof/>
        </w:rPr>
      </w:pPr>
      <w:r w:rsidRPr="00F83504">
        <w:rPr>
          <w:noProof/>
        </w:rPr>
        <w:t xml:space="preserve">Schaffer, L. M., Oehl, B., &amp; Bernauer, T. (2022). Are policymakers responsive to public demand in climate politics? </w:t>
      </w:r>
      <w:r w:rsidRPr="00F83504">
        <w:rPr>
          <w:i/>
          <w:iCs/>
          <w:noProof/>
        </w:rPr>
        <w:t>Journal of Public Policy</w:t>
      </w:r>
      <w:r w:rsidRPr="00F83504">
        <w:rPr>
          <w:noProof/>
        </w:rPr>
        <w:t xml:space="preserve">, </w:t>
      </w:r>
      <w:r w:rsidRPr="00F83504">
        <w:rPr>
          <w:i/>
          <w:iCs/>
          <w:noProof/>
        </w:rPr>
        <w:t>42</w:t>
      </w:r>
      <w:r w:rsidRPr="00F83504">
        <w:rPr>
          <w:noProof/>
        </w:rPr>
        <w:t>(1), 136–164. https://doi.org/10.1017/S0143814X21000088</w:t>
      </w:r>
    </w:p>
    <w:p w14:paraId="37472E02" w14:textId="77777777" w:rsidR="009352C0" w:rsidRPr="00F83504" w:rsidRDefault="009352C0" w:rsidP="009352C0">
      <w:pPr>
        <w:autoSpaceDE w:val="0"/>
        <w:autoSpaceDN w:val="0"/>
        <w:adjustRightInd w:val="0"/>
        <w:ind w:left="709" w:hanging="709"/>
        <w:jc w:val="both"/>
        <w:rPr>
          <w:noProof/>
        </w:rPr>
      </w:pPr>
      <w:r w:rsidRPr="00F83504">
        <w:rPr>
          <w:noProof/>
        </w:rPr>
        <w:lastRenderedPageBreak/>
        <w:t xml:space="preserve">Seong, H. J., Kim, J. J., Kim, T., Ahn, S. J., Rho, M., &amp; Sul, W. J. (2021). A case study on the distribution of the environmental resistome in Korean shrimp farms. </w:t>
      </w:r>
      <w:r w:rsidRPr="00F83504">
        <w:rPr>
          <w:i/>
          <w:iCs/>
          <w:noProof/>
        </w:rPr>
        <w:t>Ecotoxicology and Environmental Safety</w:t>
      </w:r>
      <w:r w:rsidRPr="00F83504">
        <w:rPr>
          <w:noProof/>
        </w:rPr>
        <w:t xml:space="preserve">, </w:t>
      </w:r>
      <w:r w:rsidRPr="00F83504">
        <w:rPr>
          <w:i/>
          <w:iCs/>
          <w:noProof/>
        </w:rPr>
        <w:t>227</w:t>
      </w:r>
      <w:r w:rsidRPr="00F83504">
        <w:rPr>
          <w:noProof/>
        </w:rPr>
        <w:t>, 112858. https://doi.org/10.1016/j.ecoenv.2021.112858</w:t>
      </w:r>
    </w:p>
    <w:p w14:paraId="40BCC809" w14:textId="77777777" w:rsidR="009352C0" w:rsidRPr="00F83504" w:rsidRDefault="009352C0" w:rsidP="009352C0">
      <w:pPr>
        <w:autoSpaceDE w:val="0"/>
        <w:autoSpaceDN w:val="0"/>
        <w:adjustRightInd w:val="0"/>
        <w:ind w:left="709" w:hanging="709"/>
        <w:jc w:val="both"/>
        <w:rPr>
          <w:noProof/>
        </w:rPr>
      </w:pPr>
      <w:r w:rsidRPr="00F83504">
        <w:rPr>
          <w:noProof/>
        </w:rPr>
        <w:t xml:space="preserve">Setiawan, H. (2022). Rethinking Patterns Development of Aceh’s Socio-Economic Welfare After Two Decades of Implementing Asymmetric Autonomy “Special Autonomy.” </w:t>
      </w:r>
      <w:r w:rsidRPr="00F83504">
        <w:rPr>
          <w:i/>
          <w:iCs/>
          <w:noProof/>
        </w:rPr>
        <w:t>Journal of Government and Political Issues</w:t>
      </w:r>
      <w:r w:rsidRPr="00F83504">
        <w:rPr>
          <w:noProof/>
        </w:rPr>
        <w:t xml:space="preserve">, </w:t>
      </w:r>
      <w:r w:rsidRPr="00F83504">
        <w:rPr>
          <w:i/>
          <w:iCs/>
          <w:noProof/>
        </w:rPr>
        <w:t>2</w:t>
      </w:r>
      <w:r w:rsidRPr="00F83504">
        <w:rPr>
          <w:noProof/>
        </w:rPr>
        <w:t>(1), 8–21. https://doi.org/10.53341/jgpi.v2i1.27</w:t>
      </w:r>
    </w:p>
    <w:p w14:paraId="2552DBC9" w14:textId="77777777" w:rsidR="009352C0" w:rsidRPr="00F83504" w:rsidRDefault="009352C0" w:rsidP="009352C0">
      <w:pPr>
        <w:autoSpaceDE w:val="0"/>
        <w:autoSpaceDN w:val="0"/>
        <w:adjustRightInd w:val="0"/>
        <w:ind w:left="709" w:hanging="709"/>
        <w:jc w:val="both"/>
        <w:rPr>
          <w:noProof/>
        </w:rPr>
      </w:pPr>
      <w:r w:rsidRPr="00F83504">
        <w:rPr>
          <w:noProof/>
        </w:rPr>
        <w:t xml:space="preserve">Shemyakina, O. (2022). </w:t>
      </w:r>
      <w:r w:rsidRPr="00F83504">
        <w:rPr>
          <w:i/>
          <w:iCs/>
          <w:noProof/>
        </w:rPr>
        <w:t>War , Conflict , and Food Insecurity</w:t>
      </w:r>
      <w:r w:rsidRPr="00F83504">
        <w:rPr>
          <w:noProof/>
        </w:rPr>
        <w:t>. 313–332.</w:t>
      </w:r>
    </w:p>
    <w:p w14:paraId="76C671AD" w14:textId="77777777" w:rsidR="009352C0" w:rsidRPr="00F83504" w:rsidRDefault="009352C0" w:rsidP="009352C0">
      <w:pPr>
        <w:autoSpaceDE w:val="0"/>
        <w:autoSpaceDN w:val="0"/>
        <w:adjustRightInd w:val="0"/>
        <w:ind w:left="709" w:hanging="709"/>
        <w:jc w:val="both"/>
        <w:rPr>
          <w:noProof/>
        </w:rPr>
      </w:pPr>
      <w:r w:rsidRPr="00F83504">
        <w:rPr>
          <w:noProof/>
        </w:rPr>
        <w:t xml:space="preserve">Shetty, S. S., D, D., S, H., Sonkusare, S., Naik, P. B., Kumari N, S., &amp; Madhyastha, H. (2023). Environmental pollutants and their effects on human health. </w:t>
      </w:r>
      <w:r w:rsidRPr="00F83504">
        <w:rPr>
          <w:i/>
          <w:iCs/>
          <w:noProof/>
        </w:rPr>
        <w:t>Heliyon</w:t>
      </w:r>
      <w:r w:rsidRPr="00F83504">
        <w:rPr>
          <w:noProof/>
        </w:rPr>
        <w:t xml:space="preserve">, </w:t>
      </w:r>
      <w:r w:rsidRPr="00F83504">
        <w:rPr>
          <w:i/>
          <w:iCs/>
          <w:noProof/>
        </w:rPr>
        <w:t>9</w:t>
      </w:r>
      <w:r w:rsidRPr="00F83504">
        <w:rPr>
          <w:noProof/>
        </w:rPr>
        <w:t>(9), e19496. https://doi.org/10.1016/j.heliyon.2023.e19496</w:t>
      </w:r>
    </w:p>
    <w:p w14:paraId="3603FAE0" w14:textId="77777777" w:rsidR="009352C0" w:rsidRPr="00F83504" w:rsidRDefault="009352C0" w:rsidP="009352C0">
      <w:pPr>
        <w:autoSpaceDE w:val="0"/>
        <w:autoSpaceDN w:val="0"/>
        <w:adjustRightInd w:val="0"/>
        <w:ind w:left="709" w:hanging="709"/>
        <w:jc w:val="both"/>
        <w:rPr>
          <w:noProof/>
        </w:rPr>
      </w:pPr>
      <w:r w:rsidRPr="00F83504">
        <w:rPr>
          <w:noProof/>
        </w:rPr>
        <w:t xml:space="preserve">Skouteris, G., Rodriguez-Garcia, G., Reinecke, S. F., &amp; Hampel, U. (2020). The use of pure oxygen for aeration in aerobic wastewater treatment: A review of its potential and limitations. </w:t>
      </w:r>
      <w:r w:rsidRPr="00F83504">
        <w:rPr>
          <w:i/>
          <w:iCs/>
          <w:noProof/>
        </w:rPr>
        <w:t>Bioresource Technology</w:t>
      </w:r>
      <w:r w:rsidRPr="00F83504">
        <w:rPr>
          <w:noProof/>
        </w:rPr>
        <w:t xml:space="preserve">, </w:t>
      </w:r>
      <w:r w:rsidRPr="00F83504">
        <w:rPr>
          <w:i/>
          <w:iCs/>
          <w:noProof/>
        </w:rPr>
        <w:t>312</w:t>
      </w:r>
      <w:r w:rsidRPr="00F83504">
        <w:rPr>
          <w:noProof/>
        </w:rPr>
        <w:t>(May), 123595. https://doi.org/10.1016/j.biortech.2020.123595</w:t>
      </w:r>
    </w:p>
    <w:p w14:paraId="51BC351F" w14:textId="77777777" w:rsidR="009352C0" w:rsidRPr="00F83504" w:rsidRDefault="009352C0" w:rsidP="009352C0">
      <w:pPr>
        <w:autoSpaceDE w:val="0"/>
        <w:autoSpaceDN w:val="0"/>
        <w:adjustRightInd w:val="0"/>
        <w:ind w:left="709" w:hanging="709"/>
        <w:jc w:val="both"/>
        <w:rPr>
          <w:noProof/>
        </w:rPr>
      </w:pPr>
      <w:r w:rsidRPr="00F83504">
        <w:rPr>
          <w:noProof/>
        </w:rPr>
        <w:t xml:space="preserve">Sugiono. (2016). Metode Penelitian Kuantitatif, Kualitatif, dan R&amp;D. In </w:t>
      </w:r>
      <w:r w:rsidRPr="00F83504">
        <w:rPr>
          <w:i/>
          <w:iCs/>
          <w:noProof/>
        </w:rPr>
        <w:t>Alfabeta</w:t>
      </w:r>
      <w:r w:rsidRPr="00F83504">
        <w:rPr>
          <w:noProof/>
        </w:rPr>
        <w:t>. http://www.bssaonline.org/content/95/6/2373%5Cnhttp://www.bssaonline.org/content/95/6/2373.short%0Ahttp://www.bssaonline.org/cgi/doi/10.1785/0120110286%0Ahttp://gji.oxfordjournals.org/cgi/doi/10.1093/gji/ggv142%0Ahttp://link.springer.com/10.1007/s00024-01</w:t>
      </w:r>
    </w:p>
    <w:p w14:paraId="3C4EC69F" w14:textId="77777777" w:rsidR="009352C0" w:rsidRPr="00F83504" w:rsidRDefault="009352C0" w:rsidP="009352C0">
      <w:pPr>
        <w:autoSpaceDE w:val="0"/>
        <w:autoSpaceDN w:val="0"/>
        <w:adjustRightInd w:val="0"/>
        <w:ind w:left="709" w:hanging="709"/>
        <w:jc w:val="both"/>
        <w:rPr>
          <w:noProof/>
        </w:rPr>
      </w:pPr>
      <w:r w:rsidRPr="00F83504">
        <w:rPr>
          <w:noProof/>
        </w:rPr>
        <w:t xml:space="preserve">Suprihadi, S., Farkhan, M., Sektiana, S. P., Baihaqi, B., Nelli, S., &amp; Haris, M. (2022). Role of Shrimp Pond Management Institutions Supporting Shrimp Productivity in the Peureulak Coast, East Aceh. </w:t>
      </w:r>
      <w:r w:rsidRPr="00F83504">
        <w:rPr>
          <w:i/>
          <w:iCs/>
          <w:noProof/>
        </w:rPr>
        <w:t>Jurnal Perikanan Universitas Gadjah Mada</w:t>
      </w:r>
      <w:r w:rsidRPr="00F83504">
        <w:rPr>
          <w:noProof/>
        </w:rPr>
        <w:t xml:space="preserve">, </w:t>
      </w:r>
      <w:r w:rsidRPr="00F83504">
        <w:rPr>
          <w:i/>
          <w:iCs/>
          <w:noProof/>
        </w:rPr>
        <w:t>24</w:t>
      </w:r>
      <w:r w:rsidRPr="00F83504">
        <w:rPr>
          <w:noProof/>
        </w:rPr>
        <w:t>(1), 79. https://doi.org/10.22146/jfs.73005</w:t>
      </w:r>
    </w:p>
    <w:p w14:paraId="35268BDE" w14:textId="77777777" w:rsidR="009352C0" w:rsidRPr="00F83504" w:rsidRDefault="009352C0" w:rsidP="009352C0">
      <w:pPr>
        <w:autoSpaceDE w:val="0"/>
        <w:autoSpaceDN w:val="0"/>
        <w:adjustRightInd w:val="0"/>
        <w:ind w:left="709" w:hanging="709"/>
        <w:jc w:val="both"/>
        <w:rPr>
          <w:noProof/>
        </w:rPr>
      </w:pPr>
      <w:r w:rsidRPr="00F83504">
        <w:rPr>
          <w:noProof/>
        </w:rPr>
        <w:t xml:space="preserve">Taher, T. B., Althaus, C. E., Tranter, P. J., &amp; Evans, M. C. (2023). Impacts of shrimp aquaculture on the local communities and conservation of the world’s largest protected mangrove forest. </w:t>
      </w:r>
      <w:r w:rsidRPr="00F83504">
        <w:rPr>
          <w:i/>
          <w:iCs/>
          <w:noProof/>
        </w:rPr>
        <w:t>Environmental Science and Policy</w:t>
      </w:r>
      <w:r w:rsidRPr="00F83504">
        <w:rPr>
          <w:noProof/>
        </w:rPr>
        <w:t xml:space="preserve">, </w:t>
      </w:r>
      <w:r w:rsidRPr="00F83504">
        <w:rPr>
          <w:i/>
          <w:iCs/>
          <w:noProof/>
        </w:rPr>
        <w:t>147</w:t>
      </w:r>
      <w:r w:rsidRPr="00F83504">
        <w:rPr>
          <w:noProof/>
        </w:rPr>
        <w:t>, 351–360. https://doi.org/10.1016/j.envsci.2023.07.002</w:t>
      </w:r>
    </w:p>
    <w:p w14:paraId="22D08FC7" w14:textId="77777777" w:rsidR="009352C0" w:rsidRPr="00F83504" w:rsidRDefault="009352C0" w:rsidP="009352C0">
      <w:pPr>
        <w:autoSpaceDE w:val="0"/>
        <w:autoSpaceDN w:val="0"/>
        <w:adjustRightInd w:val="0"/>
        <w:ind w:left="709" w:hanging="709"/>
        <w:jc w:val="both"/>
        <w:rPr>
          <w:noProof/>
        </w:rPr>
      </w:pPr>
      <w:r w:rsidRPr="00F83504">
        <w:rPr>
          <w:noProof/>
        </w:rPr>
        <w:t xml:space="preserve">Umbas, A. P., Fauzi, A., Purnomo, H., Kolopaking, L. M., &amp; Syaiful, R. A. (2022). Multi-stakeholder partnership in the context of responsible shrimp farming in Indonesia: A systematic review. </w:t>
      </w:r>
      <w:r w:rsidRPr="00F83504">
        <w:rPr>
          <w:i/>
          <w:iCs/>
          <w:noProof/>
        </w:rPr>
        <w:t>IOP Conference Series: Earth and Environmental Science</w:t>
      </w:r>
      <w:r w:rsidRPr="00F83504">
        <w:rPr>
          <w:noProof/>
        </w:rPr>
        <w:t xml:space="preserve">, </w:t>
      </w:r>
      <w:r w:rsidRPr="00F83504">
        <w:rPr>
          <w:i/>
          <w:iCs/>
          <w:noProof/>
        </w:rPr>
        <w:t>1109</w:t>
      </w:r>
      <w:r w:rsidRPr="00F83504">
        <w:rPr>
          <w:noProof/>
        </w:rPr>
        <w:t>(1). https://doi.org/10.1088/1755-1315/1109/1/012096</w:t>
      </w:r>
    </w:p>
    <w:p w14:paraId="36288DC0" w14:textId="77777777" w:rsidR="009352C0" w:rsidRPr="00F83504" w:rsidRDefault="009352C0" w:rsidP="009352C0">
      <w:pPr>
        <w:autoSpaceDE w:val="0"/>
        <w:autoSpaceDN w:val="0"/>
        <w:adjustRightInd w:val="0"/>
        <w:ind w:left="709" w:hanging="709"/>
        <w:jc w:val="both"/>
        <w:rPr>
          <w:noProof/>
        </w:rPr>
      </w:pPr>
      <w:r w:rsidRPr="00F83504">
        <w:rPr>
          <w:noProof/>
        </w:rPr>
        <w:t xml:space="preserve">Wagenaar, H. (2022). Deliberation Policy Analysis. In </w:t>
      </w:r>
      <w:r w:rsidRPr="00F83504">
        <w:rPr>
          <w:i/>
          <w:iCs/>
          <w:noProof/>
        </w:rPr>
        <w:t>Research Methods in Deliberative Democracy</w:t>
      </w:r>
      <w:r w:rsidRPr="00F83504">
        <w:rPr>
          <w:noProof/>
        </w:rPr>
        <w:t xml:space="preserve"> (pp. 423–437). Oxford University Press.</w:t>
      </w:r>
    </w:p>
    <w:p w14:paraId="4CD2CB07" w14:textId="77777777" w:rsidR="009352C0" w:rsidRPr="00F83504" w:rsidRDefault="009352C0" w:rsidP="009352C0">
      <w:pPr>
        <w:autoSpaceDE w:val="0"/>
        <w:autoSpaceDN w:val="0"/>
        <w:adjustRightInd w:val="0"/>
        <w:ind w:left="709" w:hanging="709"/>
        <w:jc w:val="both"/>
        <w:rPr>
          <w:noProof/>
        </w:rPr>
      </w:pPr>
      <w:r w:rsidRPr="00F83504">
        <w:rPr>
          <w:noProof/>
        </w:rPr>
        <w:t xml:space="preserve">Wagenaar, H., &amp; Wenninger, F. (2020). Deliberative policy analysis, interconnectedness and institutional design: lessons from “Red Vienna.” </w:t>
      </w:r>
      <w:r w:rsidRPr="00F83504">
        <w:rPr>
          <w:i/>
          <w:iCs/>
          <w:noProof/>
        </w:rPr>
        <w:t>Policy Studies</w:t>
      </w:r>
      <w:r w:rsidRPr="00F83504">
        <w:rPr>
          <w:noProof/>
        </w:rPr>
        <w:t xml:space="preserve">, </w:t>
      </w:r>
      <w:r w:rsidRPr="00F83504">
        <w:rPr>
          <w:i/>
          <w:iCs/>
          <w:noProof/>
        </w:rPr>
        <w:t>41</w:t>
      </w:r>
      <w:r w:rsidRPr="00F83504">
        <w:rPr>
          <w:noProof/>
        </w:rPr>
        <w:t>(4), 411–437. https://doi.org/10.1080/01442872.2020.1717456</w:t>
      </w:r>
    </w:p>
    <w:p w14:paraId="4DC3A1EF" w14:textId="77777777" w:rsidR="009352C0" w:rsidRPr="00F83504" w:rsidRDefault="009352C0" w:rsidP="009352C0">
      <w:pPr>
        <w:autoSpaceDE w:val="0"/>
        <w:autoSpaceDN w:val="0"/>
        <w:adjustRightInd w:val="0"/>
        <w:ind w:left="709" w:hanging="709"/>
        <w:jc w:val="both"/>
        <w:rPr>
          <w:noProof/>
        </w:rPr>
      </w:pPr>
      <w:r w:rsidRPr="00F83504">
        <w:rPr>
          <w:noProof/>
        </w:rPr>
        <w:t xml:space="preserve">Wibisono, G., Nukha, R., &amp; Margiana, D. B. (2023). Sustainable Livelihood Framework Sebagai Strategi Pemberdayaan Abstract Abstrak Pendahuluan Perserikatan Bangsa-Bangsa ( 1960 ) mendefinisikan pemberdayaan masyarakat sebagai proses dari masyarakat dengan segala potensi yang dimiliki diintegrasikan dengan. </w:t>
      </w:r>
      <w:r w:rsidRPr="00F83504">
        <w:rPr>
          <w:i/>
          <w:iCs/>
          <w:noProof/>
        </w:rPr>
        <w:t>IMEJ: Islamic Management and Empowerment Journal</w:t>
      </w:r>
      <w:r w:rsidRPr="00F83504">
        <w:rPr>
          <w:noProof/>
        </w:rPr>
        <w:t xml:space="preserve">, </w:t>
      </w:r>
      <w:r w:rsidRPr="00F83504">
        <w:rPr>
          <w:i/>
          <w:iCs/>
          <w:noProof/>
        </w:rPr>
        <w:t>5</w:t>
      </w:r>
      <w:r w:rsidRPr="00F83504">
        <w:rPr>
          <w:noProof/>
        </w:rPr>
        <w:t>(1), 73–86. https://doi.org/10.18326/imej.v5i1.73-86</w:t>
      </w:r>
    </w:p>
    <w:p w14:paraId="65283838" w14:textId="77777777" w:rsidR="009352C0" w:rsidRPr="00F83504" w:rsidRDefault="009352C0" w:rsidP="009352C0">
      <w:pPr>
        <w:autoSpaceDE w:val="0"/>
        <w:autoSpaceDN w:val="0"/>
        <w:adjustRightInd w:val="0"/>
        <w:ind w:left="709" w:hanging="709"/>
        <w:jc w:val="both"/>
        <w:rPr>
          <w:noProof/>
        </w:rPr>
      </w:pPr>
      <w:r w:rsidRPr="00F83504">
        <w:rPr>
          <w:noProof/>
        </w:rPr>
        <w:t xml:space="preserve">Widianingsih, I., &amp; Paskarina, C. (2019). Defining Inclusiveness in Development: Perspective from Local Government’s Apparatus. </w:t>
      </w:r>
      <w:r w:rsidRPr="00F83504">
        <w:rPr>
          <w:i/>
          <w:iCs/>
          <w:noProof/>
        </w:rPr>
        <w:t>Jurnal Bina Praja</w:t>
      </w:r>
      <w:r w:rsidRPr="00F83504">
        <w:rPr>
          <w:noProof/>
        </w:rPr>
        <w:t xml:space="preserve">, </w:t>
      </w:r>
      <w:r w:rsidRPr="00F83504">
        <w:rPr>
          <w:i/>
          <w:iCs/>
          <w:noProof/>
        </w:rPr>
        <w:t>21</w:t>
      </w:r>
      <w:r w:rsidRPr="00F83504">
        <w:rPr>
          <w:noProof/>
        </w:rPr>
        <w:t>, 137–147. https://doi.org/10.21787/jbp.11.2019.137-147</w:t>
      </w:r>
    </w:p>
    <w:p w14:paraId="5301B9D9" w14:textId="77777777" w:rsidR="009352C0" w:rsidRPr="00F83504" w:rsidRDefault="009352C0" w:rsidP="009352C0">
      <w:pPr>
        <w:autoSpaceDE w:val="0"/>
        <w:autoSpaceDN w:val="0"/>
        <w:adjustRightInd w:val="0"/>
        <w:ind w:left="709" w:hanging="709"/>
        <w:jc w:val="both"/>
        <w:rPr>
          <w:noProof/>
        </w:rPr>
      </w:pPr>
      <w:r w:rsidRPr="00F83504">
        <w:rPr>
          <w:noProof/>
        </w:rPr>
        <w:t xml:space="preserve">Xuan, B. B., Sandorf, E. D., &amp; Ngoc, Q. T. K. (2021). Stakeholder perceptions towards sustainable shrimp aquaculture in Vietnam. </w:t>
      </w:r>
      <w:r w:rsidRPr="00F83504">
        <w:rPr>
          <w:i/>
          <w:iCs/>
          <w:noProof/>
        </w:rPr>
        <w:t>Journal of Environmental Management</w:t>
      </w:r>
      <w:r w:rsidRPr="00F83504">
        <w:rPr>
          <w:noProof/>
        </w:rPr>
        <w:t xml:space="preserve">, </w:t>
      </w:r>
      <w:r w:rsidRPr="00F83504">
        <w:rPr>
          <w:i/>
          <w:iCs/>
          <w:noProof/>
        </w:rPr>
        <w:t>290</w:t>
      </w:r>
      <w:r w:rsidRPr="00F83504">
        <w:rPr>
          <w:noProof/>
        </w:rPr>
        <w:t>. https://doi.org/10.1016/j.jenvman.2021.112585</w:t>
      </w:r>
    </w:p>
    <w:p w14:paraId="04439D31" w14:textId="77777777" w:rsidR="009352C0" w:rsidRDefault="009352C0" w:rsidP="009352C0">
      <w:pPr>
        <w:widowControl w:val="0"/>
        <w:autoSpaceDE w:val="0"/>
        <w:autoSpaceDN w:val="0"/>
        <w:jc w:val="both"/>
        <w:rPr>
          <w:rFonts w:eastAsia="Trebuchet MS"/>
          <w:color w:val="000000" w:themeColor="text1"/>
          <w:lang w:val="en-US"/>
        </w:rPr>
      </w:pPr>
      <w:r w:rsidRPr="00F83504">
        <w:rPr>
          <w:noProof/>
        </w:rPr>
        <w:t xml:space="preserve">Yulinar, N., Akmal, M., Zulkarnaen, I., &amp; Abubakar, M. Bin. (2023). </w:t>
      </w:r>
      <w:r w:rsidRPr="00F83504">
        <w:rPr>
          <w:i/>
          <w:iCs/>
          <w:noProof/>
        </w:rPr>
        <w:t xml:space="preserve">Implementasi Kebijakan </w:t>
      </w:r>
      <w:r w:rsidRPr="00F83504">
        <w:rPr>
          <w:i/>
          <w:iCs/>
          <w:noProof/>
        </w:rPr>
        <w:lastRenderedPageBreak/>
        <w:t>Minapolitan di Kabupaten Aceh Timur</w:t>
      </w:r>
      <w:r w:rsidRPr="00F83504">
        <w:rPr>
          <w:noProof/>
        </w:rPr>
        <w:t xml:space="preserve">. </w:t>
      </w:r>
      <w:r w:rsidRPr="00F83504">
        <w:rPr>
          <w:i/>
          <w:iCs/>
          <w:noProof/>
        </w:rPr>
        <w:t>3</w:t>
      </w:r>
      <w:r w:rsidRPr="00F83504">
        <w:rPr>
          <w:noProof/>
        </w:rPr>
        <w:t>(2), 74–79.</w:t>
      </w:r>
    </w:p>
    <w:p w14:paraId="4A6EA686" w14:textId="11F73421" w:rsidR="009352C0" w:rsidRDefault="009352C0" w:rsidP="00586CA9"/>
    <w:p w14:paraId="53979A79" w14:textId="7A0DEE8B" w:rsidR="009352C0" w:rsidRDefault="009352C0" w:rsidP="00586CA9"/>
    <w:p w14:paraId="03853B7E" w14:textId="294800F4" w:rsidR="009352C0" w:rsidRDefault="009352C0" w:rsidP="00586CA9"/>
    <w:p w14:paraId="4A59629D" w14:textId="6228EFEF" w:rsidR="009352C0" w:rsidRDefault="009352C0" w:rsidP="00586CA9"/>
    <w:p w14:paraId="578987ED" w14:textId="523082B6" w:rsidR="009352C0" w:rsidRDefault="009352C0" w:rsidP="00586CA9"/>
    <w:p w14:paraId="2A13645F" w14:textId="44FE6BB3" w:rsidR="009352C0" w:rsidRDefault="009352C0" w:rsidP="00586CA9"/>
    <w:p w14:paraId="6F768E09" w14:textId="3233F192" w:rsidR="009352C0" w:rsidRDefault="009352C0" w:rsidP="00586CA9"/>
    <w:p w14:paraId="0DC74316" w14:textId="30655CB0" w:rsidR="009352C0" w:rsidRDefault="009352C0" w:rsidP="00586CA9"/>
    <w:p w14:paraId="3BA1A088" w14:textId="42985E05" w:rsidR="009352C0" w:rsidRDefault="009352C0" w:rsidP="00586CA9"/>
    <w:p w14:paraId="6A5BACC5" w14:textId="5A00024B" w:rsidR="009352C0" w:rsidRDefault="009352C0" w:rsidP="00586CA9"/>
    <w:p w14:paraId="4D64D355" w14:textId="300C46C9" w:rsidR="009352C0" w:rsidRDefault="009352C0" w:rsidP="00586CA9"/>
    <w:p w14:paraId="62045DDE" w14:textId="5C91E71D" w:rsidR="009352C0" w:rsidRDefault="009352C0" w:rsidP="00586CA9"/>
    <w:p w14:paraId="645C18BA" w14:textId="3C2D8591" w:rsidR="009352C0" w:rsidRDefault="009352C0" w:rsidP="00586CA9"/>
    <w:p w14:paraId="3969D807" w14:textId="2C9161E8" w:rsidR="009352C0" w:rsidRDefault="009352C0" w:rsidP="00586CA9"/>
    <w:p w14:paraId="6065C132" w14:textId="77777777" w:rsidR="009352C0" w:rsidRDefault="009352C0" w:rsidP="00586CA9"/>
    <w:p w14:paraId="48C6A1BC" w14:textId="77777777" w:rsidR="009352C0" w:rsidRPr="00586CA9" w:rsidRDefault="009352C0" w:rsidP="00586CA9"/>
    <w:sectPr w:rsidR="009352C0" w:rsidRPr="00586C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94DF6" w14:textId="77777777" w:rsidR="00DF6969" w:rsidRDefault="00DF6969" w:rsidP="00586CA9">
      <w:r>
        <w:separator/>
      </w:r>
    </w:p>
  </w:endnote>
  <w:endnote w:type="continuationSeparator" w:id="0">
    <w:p w14:paraId="58B891B4" w14:textId="77777777" w:rsidR="00DF6969" w:rsidRDefault="00DF6969" w:rsidP="0058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BM Plex Sans Medium">
    <w:altName w:val="Calibri"/>
    <w:charset w:val="00"/>
    <w:family w:val="swiss"/>
    <w:pitch w:val="variable"/>
    <w:sig w:usb0="A00002EF" w:usb1="5000203B" w:usb2="00000000" w:usb3="00000000" w:csb0="0000019F" w:csb1="00000000"/>
  </w:font>
  <w:font w:name="IBM Plex Sans">
    <w:altName w:val="Calibri"/>
    <w:charset w:val="00"/>
    <w:family w:val="swiss"/>
    <w:pitch w:val="variable"/>
    <w:sig w:usb0="A00002EF" w:usb1="5000203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736EB" w14:textId="77777777" w:rsidR="00DF6969" w:rsidRDefault="00DF6969" w:rsidP="00586CA9">
      <w:r>
        <w:separator/>
      </w:r>
    </w:p>
  </w:footnote>
  <w:footnote w:type="continuationSeparator" w:id="0">
    <w:p w14:paraId="15D4AE11" w14:textId="77777777" w:rsidR="00DF6969" w:rsidRDefault="00DF6969" w:rsidP="00586CA9">
      <w:r>
        <w:continuationSeparator/>
      </w:r>
    </w:p>
  </w:footnote>
  <w:footnote w:id="1">
    <w:p w14:paraId="7371F9A4" w14:textId="4B4EEC6A" w:rsidR="00586CA9" w:rsidRPr="00586CA9" w:rsidRDefault="00586CA9">
      <w:pPr>
        <w:pStyle w:val="FootnoteText"/>
        <w:rPr>
          <w:lang w:val="en-US"/>
        </w:rPr>
      </w:pPr>
      <w:r>
        <w:rPr>
          <w:rStyle w:val="FootnoteReference"/>
        </w:rPr>
        <w:footnoteRef/>
      </w:r>
      <w:r>
        <w:t xml:space="preserve"> </w:t>
      </w:r>
      <w:r w:rsidRPr="00176E91">
        <w:rPr>
          <w:lang w:val="en-US"/>
        </w:rPr>
        <w:t xml:space="preserve">Department of Public Administration, </w:t>
      </w:r>
      <w:proofErr w:type="spellStart"/>
      <w:r w:rsidRPr="00176E91">
        <w:rPr>
          <w:lang w:val="en-US"/>
        </w:rPr>
        <w:t>Wiraraja</w:t>
      </w:r>
      <w:proofErr w:type="spellEnd"/>
      <w:r w:rsidRPr="00176E91">
        <w:rPr>
          <w:lang w:val="en-US"/>
        </w:rPr>
        <w:t xml:space="preserve"> University</w:t>
      </w:r>
      <w:r>
        <w:rPr>
          <w:lang w:val="en-US"/>
        </w:rPr>
        <w:t>,</w:t>
      </w:r>
      <w:r w:rsidRPr="00176E91">
        <w:rPr>
          <w:lang w:val="en-US"/>
        </w:rPr>
        <w:t xml:space="preserve"> Indonesia</w:t>
      </w:r>
      <w:r>
        <w:rPr>
          <w:lang w:val="en-US"/>
        </w:rPr>
        <w:t xml:space="preserve">. E-mail: </w:t>
      </w:r>
      <w:hyperlink r:id="rId1" w:history="1">
        <w:r w:rsidRPr="002E7218">
          <w:rPr>
            <w:rStyle w:val="Hyperlink"/>
            <w:lang w:val="en-US"/>
          </w:rPr>
          <w:t>wilda@wiraraja.ac.id</w:t>
        </w:r>
      </w:hyperlink>
      <w:r>
        <w:rPr>
          <w:rStyle w:val="Hyperlink"/>
          <w:lang w:val="en-US"/>
        </w:rPr>
        <w:t>c</w:t>
      </w:r>
    </w:p>
  </w:footnote>
  <w:footnote w:id="2">
    <w:p w14:paraId="6E623D0D" w14:textId="77777777" w:rsidR="009352C0" w:rsidRPr="00176E91" w:rsidRDefault="009352C0" w:rsidP="009352C0">
      <w:pPr>
        <w:pStyle w:val="FootnoteText"/>
        <w:rPr>
          <w:lang w:val="en-US"/>
        </w:rPr>
      </w:pPr>
      <w:r>
        <w:rPr>
          <w:rStyle w:val="FootnoteReference"/>
        </w:rPr>
        <w:footnoteRef/>
      </w:r>
      <w:r>
        <w:t xml:space="preserve"> </w:t>
      </w:r>
      <w:r w:rsidRPr="00176E91">
        <w:rPr>
          <w:lang w:val="en-US"/>
        </w:rPr>
        <w:t xml:space="preserve">Department of Visual Communication Design, </w:t>
      </w:r>
      <w:proofErr w:type="spellStart"/>
      <w:r w:rsidRPr="00176E91">
        <w:rPr>
          <w:lang w:val="en-US"/>
        </w:rPr>
        <w:t>Wiraraja</w:t>
      </w:r>
      <w:proofErr w:type="spellEnd"/>
      <w:r w:rsidRPr="00176E91">
        <w:rPr>
          <w:lang w:val="en-US"/>
        </w:rPr>
        <w:t xml:space="preserve"> University, Indonesia</w:t>
      </w:r>
      <w:r>
        <w:rPr>
          <w:lang w:val="en-US"/>
        </w:rPr>
        <w:t xml:space="preserve">, E-mail: </w:t>
      </w:r>
      <w:hyperlink r:id="rId2" w:history="1">
        <w:r w:rsidRPr="002E7218">
          <w:rPr>
            <w:rStyle w:val="Hyperlink"/>
            <w:lang w:val="en-US"/>
          </w:rPr>
          <w:t>zarnuji@wiraraja.ac.id</w:t>
        </w:r>
      </w:hyperlink>
      <w:r>
        <w:rPr>
          <w:lang w:val="en-US"/>
        </w:rPr>
        <w:t xml:space="preserve"> </w:t>
      </w:r>
    </w:p>
  </w:footnote>
  <w:footnote w:id="3">
    <w:p w14:paraId="49CD01ED" w14:textId="77777777" w:rsidR="009352C0" w:rsidRPr="00E519E1" w:rsidRDefault="009352C0" w:rsidP="009352C0">
      <w:pPr>
        <w:pStyle w:val="FootnoteText"/>
        <w:rPr>
          <w:lang w:val="en-US"/>
        </w:rPr>
      </w:pPr>
      <w:r>
        <w:rPr>
          <w:rStyle w:val="FootnoteReference"/>
        </w:rPr>
        <w:footnoteRef/>
      </w:r>
      <w:r>
        <w:t xml:space="preserve"> </w:t>
      </w:r>
      <w:r w:rsidRPr="00176E91">
        <w:rPr>
          <w:lang w:val="en-US"/>
        </w:rPr>
        <w:t xml:space="preserve">Department of Public Administration, </w:t>
      </w:r>
      <w:proofErr w:type="spellStart"/>
      <w:r w:rsidRPr="00176E91">
        <w:rPr>
          <w:lang w:val="en-US"/>
        </w:rPr>
        <w:t>Abdurrachman</w:t>
      </w:r>
      <w:proofErr w:type="spellEnd"/>
      <w:r w:rsidRPr="00176E91">
        <w:rPr>
          <w:lang w:val="en-US"/>
        </w:rPr>
        <w:t xml:space="preserve"> Saleh University, Indonesia</w:t>
      </w:r>
      <w:r>
        <w:rPr>
          <w:lang w:val="en-US"/>
        </w:rPr>
        <w:t xml:space="preserve">, E-mail: </w:t>
      </w:r>
      <w:hyperlink r:id="rId3" w:history="1">
        <w:r w:rsidRPr="00984E33">
          <w:rPr>
            <w:rStyle w:val="Hyperlink"/>
            <w:lang w:val="en-US"/>
          </w:rPr>
          <w:t>Hasanmuchtar.fauzi77@yahoo.com</w:t>
        </w:r>
      </w:hyperlink>
      <w:r>
        <w:rPr>
          <w:lang w:val="en-US"/>
        </w:rPr>
        <w:t xml:space="preserve"> </w:t>
      </w:r>
    </w:p>
  </w:footnote>
  <w:footnote w:id="4">
    <w:p w14:paraId="17208926" w14:textId="4EDA866E" w:rsidR="009352C0" w:rsidRPr="009352C0" w:rsidRDefault="009352C0">
      <w:pPr>
        <w:pStyle w:val="FootnoteText"/>
        <w:rPr>
          <w:lang w:val="en-US"/>
        </w:rPr>
      </w:pPr>
      <w:r>
        <w:rPr>
          <w:rStyle w:val="FootnoteReference"/>
        </w:rPr>
        <w:footnoteRef/>
      </w:r>
      <w:r>
        <w:t xml:space="preserve"> </w:t>
      </w:r>
      <w:r w:rsidRPr="00176E91">
        <w:rPr>
          <w:lang w:val="en-US"/>
        </w:rPr>
        <w:t xml:space="preserve">Department of Public Administration, </w:t>
      </w:r>
      <w:proofErr w:type="spellStart"/>
      <w:r w:rsidRPr="00176E91">
        <w:rPr>
          <w:lang w:val="en-US"/>
        </w:rPr>
        <w:t>Abdurrachman</w:t>
      </w:r>
      <w:proofErr w:type="spellEnd"/>
      <w:r w:rsidRPr="00176E91">
        <w:rPr>
          <w:lang w:val="en-US"/>
        </w:rPr>
        <w:t xml:space="preserve"> Saleh University, Indonesia</w:t>
      </w:r>
      <w:r>
        <w:rPr>
          <w:lang w:val="en-US"/>
        </w:rPr>
        <w:t xml:space="preserve">, E-mail: </w:t>
      </w:r>
      <w:hyperlink r:id="rId4" w:history="1">
        <w:r w:rsidRPr="002E7218">
          <w:rPr>
            <w:rStyle w:val="Hyperlink"/>
            <w:lang w:val="en-US"/>
          </w:rPr>
          <w:t>dininooraini225@gmail.com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B04858"/>
    <w:multiLevelType w:val="hybridMultilevel"/>
    <w:tmpl w:val="7CECF506"/>
    <w:lvl w:ilvl="0" w:tplc="6DAE32F6">
      <w:start w:val="1"/>
      <w:numFmt w:val="lowerLetter"/>
      <w:lvlText w:val="%1)"/>
      <w:lvlJc w:val="left"/>
      <w:pPr>
        <w:ind w:left="1069" w:hanging="360"/>
      </w:pPr>
      <w:rPr>
        <w:rFonts w:hint="default"/>
        <w:b/>
        <w:bCs/>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15:restartNumberingAfterBreak="0">
    <w:nsid w:val="450F003E"/>
    <w:multiLevelType w:val="hybridMultilevel"/>
    <w:tmpl w:val="8B2475CA"/>
    <w:lvl w:ilvl="0" w:tplc="4EE61F7E">
      <w:start w:val="1"/>
      <w:numFmt w:val="lowerLetter"/>
      <w:lvlText w:val="%1)"/>
      <w:lvlJc w:val="left"/>
      <w:pPr>
        <w:ind w:left="870" w:hanging="360"/>
      </w:pPr>
      <w:rPr>
        <w:rFonts w:eastAsia="Book Antiqua" w:hint="default"/>
        <w:b/>
        <w:bCs/>
      </w:rPr>
    </w:lvl>
    <w:lvl w:ilvl="1" w:tplc="38090019" w:tentative="1">
      <w:start w:val="1"/>
      <w:numFmt w:val="lowerLetter"/>
      <w:lvlText w:val="%2."/>
      <w:lvlJc w:val="left"/>
      <w:pPr>
        <w:ind w:left="1590" w:hanging="360"/>
      </w:pPr>
    </w:lvl>
    <w:lvl w:ilvl="2" w:tplc="3809001B" w:tentative="1">
      <w:start w:val="1"/>
      <w:numFmt w:val="lowerRoman"/>
      <w:lvlText w:val="%3."/>
      <w:lvlJc w:val="right"/>
      <w:pPr>
        <w:ind w:left="2310" w:hanging="180"/>
      </w:pPr>
    </w:lvl>
    <w:lvl w:ilvl="3" w:tplc="3809000F" w:tentative="1">
      <w:start w:val="1"/>
      <w:numFmt w:val="decimal"/>
      <w:lvlText w:val="%4."/>
      <w:lvlJc w:val="left"/>
      <w:pPr>
        <w:ind w:left="3030" w:hanging="360"/>
      </w:pPr>
    </w:lvl>
    <w:lvl w:ilvl="4" w:tplc="38090019" w:tentative="1">
      <w:start w:val="1"/>
      <w:numFmt w:val="lowerLetter"/>
      <w:lvlText w:val="%5."/>
      <w:lvlJc w:val="left"/>
      <w:pPr>
        <w:ind w:left="3750" w:hanging="360"/>
      </w:pPr>
    </w:lvl>
    <w:lvl w:ilvl="5" w:tplc="3809001B" w:tentative="1">
      <w:start w:val="1"/>
      <w:numFmt w:val="lowerRoman"/>
      <w:lvlText w:val="%6."/>
      <w:lvlJc w:val="right"/>
      <w:pPr>
        <w:ind w:left="4470" w:hanging="180"/>
      </w:pPr>
    </w:lvl>
    <w:lvl w:ilvl="6" w:tplc="3809000F" w:tentative="1">
      <w:start w:val="1"/>
      <w:numFmt w:val="decimal"/>
      <w:lvlText w:val="%7."/>
      <w:lvlJc w:val="left"/>
      <w:pPr>
        <w:ind w:left="5190" w:hanging="360"/>
      </w:pPr>
    </w:lvl>
    <w:lvl w:ilvl="7" w:tplc="38090019" w:tentative="1">
      <w:start w:val="1"/>
      <w:numFmt w:val="lowerLetter"/>
      <w:lvlText w:val="%8."/>
      <w:lvlJc w:val="left"/>
      <w:pPr>
        <w:ind w:left="5910" w:hanging="360"/>
      </w:pPr>
    </w:lvl>
    <w:lvl w:ilvl="8" w:tplc="3809001B" w:tentative="1">
      <w:start w:val="1"/>
      <w:numFmt w:val="lowerRoman"/>
      <w:lvlText w:val="%9."/>
      <w:lvlJc w:val="right"/>
      <w:pPr>
        <w:ind w:left="6630" w:hanging="180"/>
      </w:pPr>
    </w:lvl>
  </w:abstractNum>
  <w:abstractNum w:abstractNumId="2" w15:restartNumberingAfterBreak="0">
    <w:nsid w:val="57E12A2B"/>
    <w:multiLevelType w:val="hybridMultilevel"/>
    <w:tmpl w:val="BC3C046A"/>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40C606D"/>
    <w:multiLevelType w:val="hybridMultilevel"/>
    <w:tmpl w:val="417A3BC8"/>
    <w:lvl w:ilvl="0" w:tplc="B6F2F5E0">
      <w:start w:val="1"/>
      <w:numFmt w:val="lowerLetter"/>
      <w:lvlText w:val="%1)"/>
      <w:lvlJc w:val="left"/>
      <w:pPr>
        <w:ind w:left="1068" w:hanging="360"/>
      </w:pPr>
      <w:rPr>
        <w:rFonts w:hint="default"/>
        <w:b/>
        <w:bCs/>
      </w:rPr>
    </w:lvl>
    <w:lvl w:ilvl="1" w:tplc="38090019" w:tentative="1">
      <w:start w:val="1"/>
      <w:numFmt w:val="lowerLetter"/>
      <w:lvlText w:val="%2."/>
      <w:lvlJc w:val="left"/>
      <w:pPr>
        <w:ind w:left="1788" w:hanging="360"/>
      </w:pPr>
    </w:lvl>
    <w:lvl w:ilvl="2" w:tplc="3809001B" w:tentative="1">
      <w:start w:val="1"/>
      <w:numFmt w:val="lowerRoman"/>
      <w:lvlText w:val="%3."/>
      <w:lvlJc w:val="right"/>
      <w:pPr>
        <w:ind w:left="2508" w:hanging="180"/>
      </w:pPr>
    </w:lvl>
    <w:lvl w:ilvl="3" w:tplc="3809000F" w:tentative="1">
      <w:start w:val="1"/>
      <w:numFmt w:val="decimal"/>
      <w:lvlText w:val="%4."/>
      <w:lvlJc w:val="left"/>
      <w:pPr>
        <w:ind w:left="3228" w:hanging="360"/>
      </w:pPr>
    </w:lvl>
    <w:lvl w:ilvl="4" w:tplc="38090019" w:tentative="1">
      <w:start w:val="1"/>
      <w:numFmt w:val="lowerLetter"/>
      <w:lvlText w:val="%5."/>
      <w:lvlJc w:val="left"/>
      <w:pPr>
        <w:ind w:left="3948" w:hanging="360"/>
      </w:pPr>
    </w:lvl>
    <w:lvl w:ilvl="5" w:tplc="3809001B" w:tentative="1">
      <w:start w:val="1"/>
      <w:numFmt w:val="lowerRoman"/>
      <w:lvlText w:val="%6."/>
      <w:lvlJc w:val="right"/>
      <w:pPr>
        <w:ind w:left="4668" w:hanging="180"/>
      </w:pPr>
    </w:lvl>
    <w:lvl w:ilvl="6" w:tplc="3809000F" w:tentative="1">
      <w:start w:val="1"/>
      <w:numFmt w:val="decimal"/>
      <w:lvlText w:val="%7."/>
      <w:lvlJc w:val="left"/>
      <w:pPr>
        <w:ind w:left="5388" w:hanging="360"/>
      </w:pPr>
    </w:lvl>
    <w:lvl w:ilvl="7" w:tplc="38090019" w:tentative="1">
      <w:start w:val="1"/>
      <w:numFmt w:val="lowerLetter"/>
      <w:lvlText w:val="%8."/>
      <w:lvlJc w:val="left"/>
      <w:pPr>
        <w:ind w:left="6108" w:hanging="360"/>
      </w:pPr>
    </w:lvl>
    <w:lvl w:ilvl="8" w:tplc="3809001B" w:tentative="1">
      <w:start w:val="1"/>
      <w:numFmt w:val="lowerRoman"/>
      <w:lvlText w:val="%9."/>
      <w:lvlJc w:val="right"/>
      <w:pPr>
        <w:ind w:left="6828" w:hanging="180"/>
      </w:pPr>
    </w:lvl>
  </w:abstractNum>
  <w:abstractNum w:abstractNumId="4" w15:restartNumberingAfterBreak="0">
    <w:nsid w:val="646417BE"/>
    <w:multiLevelType w:val="multilevel"/>
    <w:tmpl w:val="082CE8F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163390"/>
    <w:multiLevelType w:val="multilevel"/>
    <w:tmpl w:val="0A1AE0E2"/>
    <w:lvl w:ilvl="0">
      <w:start w:val="1"/>
      <w:numFmt w:val="none"/>
      <w:lvlText w:val=""/>
      <w:lvlJc w:val="left"/>
      <w:pPr>
        <w:ind w:left="284" w:firstLine="567"/>
      </w:pPr>
      <w:rPr>
        <w:rFonts w:hint="default"/>
      </w:rPr>
    </w:lvl>
    <w:lvl w:ilvl="1">
      <w:start w:val="1"/>
      <w:numFmt w:val="decimal"/>
      <w:pStyle w:val="JBPHeading1"/>
      <w:lvlText w:val="%2."/>
      <w:lvlJc w:val="left"/>
      <w:pPr>
        <w:ind w:left="284" w:hanging="284"/>
      </w:pPr>
      <w:rPr>
        <w:rFonts w:ascii="IBM Plex Sans Medium" w:hAnsi="IBM Plex Sans Medium" w:hint="default"/>
        <w:b/>
        <w:bCs/>
        <w:i w:val="0"/>
        <w:sz w:val="24"/>
        <w:szCs w:val="24"/>
      </w:rPr>
    </w:lvl>
    <w:lvl w:ilvl="2">
      <w:start w:val="1"/>
      <w:numFmt w:val="decimal"/>
      <w:pStyle w:val="JBPHeading2"/>
      <w:lvlText w:val="%2.%3."/>
      <w:lvlJc w:val="left"/>
      <w:pPr>
        <w:ind w:left="510" w:hanging="510"/>
      </w:pPr>
      <w:rPr>
        <w:rFonts w:ascii="IBM Plex Sans" w:hAnsi="IBM Plex Sans" w:hint="default"/>
        <w:b/>
        <w:bCs w:val="0"/>
        <w:i w:val="0"/>
        <w:sz w:val="24"/>
      </w:rPr>
    </w:lvl>
    <w:lvl w:ilvl="3">
      <w:start w:val="1"/>
      <w:numFmt w:val="decimal"/>
      <w:pStyle w:val="JBPHeading3"/>
      <w:lvlText w:val="%2.%3.%4."/>
      <w:lvlJc w:val="left"/>
      <w:pPr>
        <w:ind w:left="567" w:hanging="567"/>
      </w:pPr>
      <w:rPr>
        <w:rFonts w:ascii="IBM Plex Sans" w:hAnsi="IBM Plex Sans" w:hint="default"/>
        <w:b w:val="0"/>
        <w:i w:val="0"/>
        <w:sz w:val="20"/>
      </w:rPr>
    </w:lvl>
    <w:lvl w:ilvl="4">
      <w:start w:val="1"/>
      <w:numFmt w:val="lowerLetter"/>
      <w:pStyle w:val="JBPHeading4"/>
      <w:lvlText w:val="%5)"/>
      <w:lvlJc w:val="left"/>
      <w:pPr>
        <w:ind w:left="425" w:firstLine="0"/>
      </w:pPr>
      <w:rPr>
        <w:rFonts w:ascii="Cambria" w:hAnsi="Cambria" w:hint="default"/>
        <w:b w:val="0"/>
        <w:i/>
        <w:sz w:val="20"/>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A9"/>
    <w:rsid w:val="000465A2"/>
    <w:rsid w:val="002D2DED"/>
    <w:rsid w:val="00586CA9"/>
    <w:rsid w:val="009352C0"/>
    <w:rsid w:val="009B7EEA"/>
    <w:rsid w:val="00C84DE3"/>
    <w:rsid w:val="00DF69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0D4E"/>
  <w15:chartTrackingRefBased/>
  <w15:docId w15:val="{3FDE71DB-ADE1-4588-AF5B-81107663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CA9"/>
    <w:pPr>
      <w:spacing w:after="0" w:line="240" w:lineRule="auto"/>
    </w:pPr>
    <w:rPr>
      <w:rFonts w:ascii="Times New Roman" w:eastAsia="SimSun" w:hAnsi="Times New Roman" w:cs="Times New Roman"/>
      <w:sz w:val="24"/>
      <w:szCs w:val="24"/>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6CA9"/>
    <w:rPr>
      <w:sz w:val="20"/>
      <w:szCs w:val="20"/>
    </w:rPr>
  </w:style>
  <w:style w:type="character" w:customStyle="1" w:styleId="FootnoteTextChar">
    <w:name w:val="Footnote Text Char"/>
    <w:basedOn w:val="DefaultParagraphFont"/>
    <w:link w:val="FootnoteText"/>
    <w:uiPriority w:val="99"/>
    <w:rsid w:val="00586CA9"/>
    <w:rPr>
      <w:rFonts w:ascii="Times New Roman" w:eastAsia="SimSun" w:hAnsi="Times New Roman" w:cs="Times New Roman"/>
      <w:sz w:val="20"/>
      <w:szCs w:val="20"/>
      <w:lang w:val="pt-BR" w:eastAsia="pt-BR"/>
    </w:rPr>
  </w:style>
  <w:style w:type="character" w:styleId="FootnoteReference">
    <w:name w:val="footnote reference"/>
    <w:basedOn w:val="DefaultParagraphFont"/>
    <w:uiPriority w:val="99"/>
    <w:unhideWhenUsed/>
    <w:rsid w:val="00586CA9"/>
    <w:rPr>
      <w:vertAlign w:val="superscript"/>
    </w:rPr>
  </w:style>
  <w:style w:type="character" w:styleId="Hyperlink">
    <w:name w:val="Hyperlink"/>
    <w:uiPriority w:val="99"/>
    <w:rsid w:val="00586CA9"/>
    <w:rPr>
      <w:color w:val="0000FF"/>
      <w:u w:val="single"/>
    </w:rPr>
  </w:style>
  <w:style w:type="paragraph" w:styleId="NormalWeb">
    <w:name w:val="Normal (Web)"/>
    <w:basedOn w:val="Normal"/>
    <w:link w:val="NormalWebChar"/>
    <w:uiPriority w:val="99"/>
    <w:qFormat/>
    <w:rsid w:val="009352C0"/>
    <w:pPr>
      <w:spacing w:before="100" w:beforeAutospacing="1" w:after="100" w:afterAutospacing="1"/>
    </w:pPr>
    <w:rPr>
      <w:rFonts w:ascii="Arial Unicode MS" w:eastAsia="Arial Unicode MS" w:hAnsi="Arial Unicode MS"/>
      <w:lang w:val="x-none" w:eastAsia="x-none"/>
    </w:rPr>
  </w:style>
  <w:style w:type="table" w:styleId="TableGrid">
    <w:name w:val="Table Grid"/>
    <w:basedOn w:val="TableNormal"/>
    <w:uiPriority w:val="39"/>
    <w:rsid w:val="009352C0"/>
    <w:pPr>
      <w:spacing w:after="0" w:line="240" w:lineRule="auto"/>
    </w:pPr>
    <w:rPr>
      <w:rFonts w:ascii="Times New Roman" w:eastAsia="SimSu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9352C0"/>
    <w:rPr>
      <w:rFonts w:ascii="Arial Unicode MS" w:eastAsia="Arial Unicode MS" w:hAnsi="Arial Unicode MS" w:cs="Times New Roman"/>
      <w:sz w:val="24"/>
      <w:szCs w:val="24"/>
      <w:lang w:val="x-none" w:eastAsia="x-none"/>
    </w:rPr>
  </w:style>
  <w:style w:type="paragraph" w:styleId="ListParagraph">
    <w:name w:val="List Paragraph"/>
    <w:aliases w:val="Body Text Char1,Body of text,Body of text+1,Body of text+2,Body of text+3,Char Char2,Colorful List - Accent 11,HEADING 1,Heading 10,List Paragraph11,List Paragraph2,Medium Grid 1 - Accent 21,kepala,paragraf,soal jawab"/>
    <w:basedOn w:val="Normal"/>
    <w:link w:val="ListParagraphChar"/>
    <w:uiPriority w:val="34"/>
    <w:qFormat/>
    <w:rsid w:val="009352C0"/>
    <w:pPr>
      <w:ind w:left="720"/>
      <w:contextualSpacing/>
    </w:pPr>
    <w:rPr>
      <w:rFonts w:eastAsia="MS Mincho"/>
      <w:lang w:eastAsia="ja-JP"/>
    </w:rPr>
  </w:style>
  <w:style w:type="character" w:customStyle="1" w:styleId="ListParagraphChar">
    <w:name w:val="List Paragraph Char"/>
    <w:aliases w:val="Body Text Char1 Char,Body of text Char,Body of text+1 Char,Body of text+2 Char,Body of text+3 Char,Char Char2 Char,Colorful List - Accent 11 Char,HEADING 1 Char,Heading 10 Char,List Paragraph11 Char,List Paragraph2 Char,kepala Char"/>
    <w:link w:val="ListParagraph"/>
    <w:uiPriority w:val="34"/>
    <w:qFormat/>
    <w:rsid w:val="009352C0"/>
    <w:rPr>
      <w:rFonts w:ascii="Times New Roman" w:eastAsia="MS Mincho" w:hAnsi="Times New Roman" w:cs="Times New Roman"/>
      <w:sz w:val="24"/>
      <w:szCs w:val="24"/>
      <w:lang w:val="pt-BR" w:eastAsia="ja-JP"/>
    </w:rPr>
  </w:style>
  <w:style w:type="paragraph" w:customStyle="1" w:styleId="JBPHeading1">
    <w:name w:val="[JBP] Heading 1"/>
    <w:link w:val="JBPHeading1Char"/>
    <w:qFormat/>
    <w:rsid w:val="009352C0"/>
    <w:pPr>
      <w:numPr>
        <w:ilvl w:val="1"/>
        <w:numId w:val="1"/>
      </w:numPr>
      <w:spacing w:before="240" w:after="0" w:line="240" w:lineRule="auto"/>
      <w:outlineLvl w:val="1"/>
    </w:pPr>
    <w:rPr>
      <w:rFonts w:ascii="IBM Plex Sans Medium" w:eastAsia="Times New Roman" w:hAnsi="IBM Plex Sans Medium" w:cstheme="majorBidi"/>
      <w:bCs/>
      <w:sz w:val="24"/>
      <w:szCs w:val="28"/>
      <w:lang w:val="en-US" w:eastAsia="ja-JP"/>
    </w:rPr>
  </w:style>
  <w:style w:type="paragraph" w:customStyle="1" w:styleId="JBPHeading2">
    <w:name w:val="[JBP] Heading 2"/>
    <w:link w:val="JBPHeading2Char"/>
    <w:qFormat/>
    <w:rsid w:val="009352C0"/>
    <w:pPr>
      <w:numPr>
        <w:ilvl w:val="2"/>
        <w:numId w:val="1"/>
      </w:numPr>
      <w:spacing w:after="0" w:line="240" w:lineRule="auto"/>
      <w:outlineLvl w:val="2"/>
    </w:pPr>
    <w:rPr>
      <w:rFonts w:ascii="IBM Plex Sans" w:eastAsia="MS Mincho" w:hAnsi="IBM Plex Sans" w:cs="Times New Roman"/>
      <w:sz w:val="24"/>
      <w:szCs w:val="24"/>
      <w:lang w:val="en-US" w:eastAsia="ja-JP"/>
    </w:rPr>
  </w:style>
  <w:style w:type="character" w:customStyle="1" w:styleId="JBPHeading1Char">
    <w:name w:val="[JBP] Heading 1 Char"/>
    <w:basedOn w:val="ListParagraphChar"/>
    <w:link w:val="JBPHeading1"/>
    <w:rsid w:val="009352C0"/>
    <w:rPr>
      <w:rFonts w:ascii="IBM Plex Sans Medium" w:eastAsia="Times New Roman" w:hAnsi="IBM Plex Sans Medium" w:cstheme="majorBidi"/>
      <w:bCs/>
      <w:sz w:val="24"/>
      <w:szCs w:val="28"/>
      <w:lang w:val="en-US" w:eastAsia="ja-JP"/>
    </w:rPr>
  </w:style>
  <w:style w:type="paragraph" w:customStyle="1" w:styleId="JBPHeading3">
    <w:name w:val="[JBP] Heading 3"/>
    <w:basedOn w:val="Normal"/>
    <w:qFormat/>
    <w:rsid w:val="009352C0"/>
    <w:pPr>
      <w:numPr>
        <w:ilvl w:val="3"/>
        <w:numId w:val="1"/>
      </w:numPr>
      <w:jc w:val="both"/>
      <w:outlineLvl w:val="3"/>
    </w:pPr>
    <w:rPr>
      <w:rFonts w:ascii="IBM Plex Sans" w:eastAsia="MS Mincho" w:hAnsi="IBM Plex Sans"/>
      <w:sz w:val="20"/>
      <w:lang w:val="en-US" w:eastAsia="ja-JP"/>
    </w:rPr>
  </w:style>
  <w:style w:type="paragraph" w:customStyle="1" w:styleId="JBPHeading4">
    <w:name w:val="[JBP] Heading 4"/>
    <w:qFormat/>
    <w:rsid w:val="009352C0"/>
    <w:pPr>
      <w:numPr>
        <w:ilvl w:val="4"/>
        <w:numId w:val="1"/>
      </w:numPr>
      <w:spacing w:after="0" w:line="240" w:lineRule="auto"/>
      <w:outlineLvl w:val="4"/>
    </w:pPr>
    <w:rPr>
      <w:rFonts w:ascii="Cambria" w:eastAsia="Times New Roman" w:hAnsi="Cambria" w:cs="Times New Roman"/>
      <w:bCs/>
      <w:i/>
      <w:sz w:val="20"/>
      <w:szCs w:val="28"/>
      <w:lang w:val="en-US"/>
    </w:rPr>
  </w:style>
  <w:style w:type="character" w:customStyle="1" w:styleId="JBPHeading2Char">
    <w:name w:val="[JBP] Heading 2 Char"/>
    <w:basedOn w:val="DefaultParagraphFont"/>
    <w:link w:val="JBPHeading2"/>
    <w:rsid w:val="009352C0"/>
    <w:rPr>
      <w:rFonts w:ascii="IBM Plex Sans" w:eastAsia="MS Mincho" w:hAnsi="IBM Plex Sans"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mailto:Hasanmuchtar.fauzi77@yahoo.com" TargetMode="External"/><Relationship Id="rId2" Type="http://schemas.openxmlformats.org/officeDocument/2006/relationships/hyperlink" Target="mailto:zarnuji@wiraraja.ac.id" TargetMode="External"/><Relationship Id="rId1" Type="http://schemas.openxmlformats.org/officeDocument/2006/relationships/hyperlink" Target="mailto:wilda@wiraraja.ac.id" TargetMode="External"/><Relationship Id="rId4" Type="http://schemas.openxmlformats.org/officeDocument/2006/relationships/hyperlink" Target="mailto:dininooraini22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1D716-A976-4EF2-AF74-E0EC4C84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22</Pages>
  <Words>26320</Words>
  <Characters>150027</Characters>
  <Application>Microsoft Office Word</Application>
  <DocSecurity>0</DocSecurity>
  <Lines>1250</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 R</dc:creator>
  <cp:keywords/>
  <dc:description/>
  <cp:lastModifiedBy>WILDA R</cp:lastModifiedBy>
  <cp:revision>3</cp:revision>
  <dcterms:created xsi:type="dcterms:W3CDTF">2025-07-18T00:17:00Z</dcterms:created>
  <dcterms:modified xsi:type="dcterms:W3CDTF">2025-07-18T02:00:00Z</dcterms:modified>
</cp:coreProperties>
</file>