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6627E" w14:textId="315AA424" w:rsidR="00F672E6" w:rsidRPr="006C0F63" w:rsidRDefault="00F672E6" w:rsidP="00BD10FD">
      <w:pPr>
        <w:tabs>
          <w:tab w:val="left" w:pos="990"/>
        </w:tabs>
        <w:spacing w:line="240" w:lineRule="auto"/>
        <w:ind w:firstLine="720"/>
        <w:jc w:val="center"/>
        <w:rPr>
          <w:rFonts w:ascii="Times New Roman" w:hAnsi="Times New Roman" w:cs="Times New Roman"/>
          <w:b/>
          <w:bCs/>
          <w:szCs w:val="24"/>
        </w:rPr>
      </w:pPr>
      <w:r w:rsidRPr="006C0F63">
        <w:rPr>
          <w:rFonts w:ascii="Times New Roman" w:hAnsi="Times New Roman" w:cs="Times New Roman"/>
          <w:b/>
          <w:bCs/>
          <w:szCs w:val="24"/>
        </w:rPr>
        <w:t>Legal Framework on Medical Equipment Procurement in Selected Countries and Lessons for Vietnam</w:t>
      </w:r>
    </w:p>
    <w:p w14:paraId="4793015F" w14:textId="09F5A6E1" w:rsidR="00F33F6B" w:rsidRPr="006C0F63" w:rsidRDefault="00F672E6" w:rsidP="005E334E">
      <w:pPr>
        <w:tabs>
          <w:tab w:val="left" w:pos="990"/>
        </w:tabs>
        <w:spacing w:line="240" w:lineRule="auto"/>
        <w:ind w:firstLine="720"/>
        <w:jc w:val="center"/>
        <w:rPr>
          <w:rFonts w:ascii="Times New Roman" w:hAnsi="Times New Roman" w:cs="Times New Roman"/>
          <w:i/>
          <w:iCs/>
          <w:szCs w:val="24"/>
        </w:rPr>
      </w:pPr>
      <w:r w:rsidRPr="006C0F63">
        <w:rPr>
          <w:rFonts w:ascii="Times New Roman" w:hAnsi="Times New Roman" w:cs="Times New Roman"/>
          <w:i/>
          <w:iCs/>
          <w:szCs w:val="24"/>
        </w:rPr>
        <w:t xml:space="preserve">Nguyen Van </w:t>
      </w:r>
      <w:r w:rsidR="00BD10FD" w:rsidRPr="006C0F63">
        <w:rPr>
          <w:rFonts w:ascii="Times New Roman" w:hAnsi="Times New Roman" w:cs="Times New Roman"/>
          <w:i/>
          <w:iCs/>
          <w:szCs w:val="24"/>
        </w:rPr>
        <w:t>Luc</w:t>
      </w:r>
    </w:p>
    <w:p w14:paraId="65B74ADC" w14:textId="0CBE1C2C" w:rsidR="00BD10FD" w:rsidRPr="006C0F63" w:rsidRDefault="00BD10FD" w:rsidP="00BD10FD">
      <w:pPr>
        <w:tabs>
          <w:tab w:val="left" w:pos="990"/>
        </w:tabs>
        <w:spacing w:line="240" w:lineRule="auto"/>
        <w:rPr>
          <w:rFonts w:ascii="Times New Roman" w:hAnsi="Times New Roman" w:cs="Times New Roman"/>
          <w:i/>
          <w:iCs/>
          <w:szCs w:val="24"/>
        </w:rPr>
      </w:pPr>
      <w:r w:rsidRPr="006C0F63">
        <w:rPr>
          <w:rFonts w:ascii="Times New Roman" w:hAnsi="Times New Roman" w:cs="Times New Roman"/>
          <w:i/>
          <w:iCs/>
          <w:szCs w:val="24"/>
        </w:rPr>
        <w:t>Ph.Ds. University of Law, Hue University, Hue City, Vietnam</w:t>
      </w:r>
    </w:p>
    <w:p w14:paraId="104F233B" w14:textId="20F164A9" w:rsidR="00BD10FD" w:rsidRPr="006C0F63" w:rsidRDefault="00BD10FD" w:rsidP="00BD10FD">
      <w:pPr>
        <w:tabs>
          <w:tab w:val="left" w:pos="990"/>
        </w:tabs>
        <w:spacing w:line="240" w:lineRule="auto"/>
        <w:rPr>
          <w:rFonts w:ascii="Times New Roman" w:hAnsi="Times New Roman" w:cs="Times New Roman"/>
          <w:b/>
          <w:i/>
          <w:szCs w:val="24"/>
          <w:vertAlign w:val="superscript"/>
        </w:rPr>
      </w:pPr>
      <w:r w:rsidRPr="006C0F63">
        <w:rPr>
          <w:rFonts w:ascii="Times New Roman" w:hAnsi="Times New Roman" w:cs="Times New Roman"/>
          <w:i/>
          <w:iCs/>
          <w:szCs w:val="24"/>
        </w:rPr>
        <w:t>Email corresponding:  nvluc.dhl24@hueuni.edu.vn</w:t>
      </w:r>
    </w:p>
    <w:p w14:paraId="3F49E879" w14:textId="32C0A158" w:rsidR="00F33F6B" w:rsidRPr="006C0F63" w:rsidRDefault="00F33F6B" w:rsidP="00E374AE">
      <w:pPr>
        <w:spacing w:after="0" w:line="240" w:lineRule="auto"/>
        <w:rPr>
          <w:rFonts w:ascii="Times New Roman" w:hAnsi="Times New Roman" w:cs="Times New Roman"/>
          <w:i/>
          <w:iCs/>
          <w:szCs w:val="24"/>
        </w:rPr>
      </w:pPr>
    </w:p>
    <w:p w14:paraId="449DDADD" w14:textId="2BF533D9" w:rsidR="00C74EFE" w:rsidRPr="006C0F63" w:rsidRDefault="00C74EFE" w:rsidP="00E374AE">
      <w:pPr>
        <w:spacing w:after="0" w:line="240" w:lineRule="auto"/>
        <w:jc w:val="both"/>
        <w:rPr>
          <w:rFonts w:ascii="Times New Roman" w:hAnsi="Times New Roman" w:cs="Times New Roman"/>
          <w:i/>
          <w:iCs/>
          <w:szCs w:val="24"/>
        </w:rPr>
      </w:pPr>
      <w:r w:rsidRPr="006C0F63">
        <w:rPr>
          <w:rFonts w:ascii="Times New Roman" w:hAnsi="Times New Roman" w:cs="Times New Roman"/>
          <w:b/>
          <w:bCs/>
          <w:szCs w:val="24"/>
        </w:rPr>
        <w:t xml:space="preserve">Abstract: </w:t>
      </w:r>
      <w:r w:rsidRPr="006C0F63">
        <w:rPr>
          <w:rFonts w:ascii="Times New Roman" w:hAnsi="Times New Roman" w:cs="Times New Roman"/>
          <w:i/>
          <w:iCs/>
          <w:szCs w:val="24"/>
        </w:rPr>
        <w:t>This study analyzes and compares the legal frameworks regulating public procurement of medical equipment in selected countries, including the United States, Germany/European Union (EU), Japan, and Singapore, in order to identify relevant lessons for Vietnam. The research employs a comparative legal method combined with policy analysis, drawing upon secondary sources such as legal documents, reports from the WHO, OECD, and World Bank, as well as related academic literature. Findings indicate that each country demonstrates distinct characteristics in governing medical equipment procurement: the United States emphasizes risk management through the FDA; the EU prioritizes regulatory harmonization and applies life-cycle costing; Japan delegates procurement decision-making authority to hospital-level administrators; while Singapore adopts a centralized and fully digitalized procurement system. Comparison with Vietnam reveals positive progress in regulatory development; however, several limitations remain, particularly regarding pricing databases, transparency, technical capacity of procurement personnel, and post-procurement monitoring. The study proposes a set of short-term, medium-term, and long-term policy recommendations to support the development of a transparent, efficient, and internationally aligned procurement framework for medical equipment in Vietnam.</w:t>
      </w:r>
    </w:p>
    <w:p w14:paraId="76E236B6" w14:textId="77777777" w:rsidR="00C74EFE" w:rsidRPr="006C0F63" w:rsidRDefault="00C74EFE" w:rsidP="00E374AE">
      <w:pPr>
        <w:spacing w:after="0" w:line="240" w:lineRule="auto"/>
        <w:jc w:val="both"/>
        <w:rPr>
          <w:rFonts w:ascii="Times New Roman" w:hAnsi="Times New Roman" w:cs="Times New Roman"/>
          <w:i/>
          <w:iCs/>
          <w:szCs w:val="24"/>
        </w:rPr>
      </w:pPr>
      <w:r w:rsidRPr="006C0F63">
        <w:rPr>
          <w:rFonts w:ascii="Times New Roman" w:hAnsi="Times New Roman" w:cs="Times New Roman"/>
          <w:b/>
          <w:bCs/>
          <w:szCs w:val="24"/>
        </w:rPr>
        <w:t xml:space="preserve">Keywords: </w:t>
      </w:r>
      <w:r w:rsidRPr="006C0F63">
        <w:rPr>
          <w:rFonts w:ascii="Times New Roman" w:hAnsi="Times New Roman" w:cs="Times New Roman"/>
          <w:b/>
          <w:bCs/>
          <w:i/>
          <w:iCs/>
          <w:szCs w:val="24"/>
        </w:rPr>
        <w:t>medical procurement, medical equipment, comparative law, public procurement, health governance, Vietnam</w:t>
      </w:r>
      <w:r w:rsidRPr="006C0F63">
        <w:rPr>
          <w:rFonts w:ascii="Times New Roman" w:hAnsi="Times New Roman" w:cs="Times New Roman"/>
          <w:i/>
          <w:iCs/>
          <w:szCs w:val="24"/>
        </w:rPr>
        <w:t>.</w:t>
      </w:r>
    </w:p>
    <w:p w14:paraId="370623E4" w14:textId="77777777" w:rsidR="00C74EFE" w:rsidRPr="006C0F63" w:rsidRDefault="00C74EFE" w:rsidP="00E374AE">
      <w:pPr>
        <w:spacing w:after="0" w:line="240" w:lineRule="auto"/>
        <w:rPr>
          <w:rFonts w:ascii="Times New Roman" w:hAnsi="Times New Roman" w:cs="Times New Roman"/>
          <w:b/>
          <w:bCs/>
          <w:szCs w:val="24"/>
        </w:rPr>
      </w:pPr>
    </w:p>
    <w:p w14:paraId="65751681" w14:textId="77777777" w:rsidR="00457C6B" w:rsidRPr="006C0F63" w:rsidRDefault="00457C6B" w:rsidP="00457C6B">
      <w:pPr>
        <w:spacing w:after="0" w:line="240" w:lineRule="auto"/>
        <w:ind w:firstLine="720"/>
        <w:jc w:val="both"/>
        <w:rPr>
          <w:rFonts w:ascii="Times New Roman" w:hAnsi="Times New Roman" w:cs="Times New Roman"/>
          <w:b/>
          <w:bCs/>
          <w:szCs w:val="24"/>
        </w:rPr>
      </w:pPr>
      <w:r w:rsidRPr="006C0F63">
        <w:rPr>
          <w:rFonts w:ascii="Times New Roman" w:hAnsi="Times New Roman" w:cs="Times New Roman"/>
          <w:b/>
          <w:bCs/>
          <w:szCs w:val="24"/>
        </w:rPr>
        <w:t>I. Introduction</w:t>
      </w:r>
    </w:p>
    <w:p w14:paraId="57ED48E0" w14:textId="33FD6CF9" w:rsidR="00457C6B"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legal framework governing medical equipment procurement is increasingly regarded as a cornerstone of modern healthcare system governance, as healthcare procurement accounts for a substantial proportion of public spending in OECD countries (approximately one-third of total public procurement expenditure) (OECD, 2025). At the same time, numerous studies indicate that 40</w:t>
      </w:r>
      <w:r w:rsidR="006C0F63" w:rsidRPr="006C0F63">
        <w:rPr>
          <w:rFonts w:ascii="Times New Roman" w:hAnsi="Times New Roman" w:cs="Times New Roman"/>
          <w:szCs w:val="24"/>
        </w:rPr>
        <w:t>-</w:t>
      </w:r>
      <w:r w:rsidRPr="006C0F63">
        <w:rPr>
          <w:rFonts w:ascii="Times New Roman" w:hAnsi="Times New Roman" w:cs="Times New Roman"/>
          <w:szCs w:val="24"/>
        </w:rPr>
        <w:t>70% of medical equipment in low- and middle-income countries is either broken, unused, or unsuitable for its intended purpose, leading to significant resource waste and reduced quality of healthcare services. Inefficient procurement processes are identified as a key contributing factor (Compton et al., 2018; OECD, 2025).</w:t>
      </w:r>
    </w:p>
    <w:p w14:paraId="45119670" w14:textId="77777777" w:rsidR="00457C6B"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In the aftermath of the COVID-19 pandemic, the strategic importance of healthcare procurement has become even more pronounced, as international organizations such as the World Bank, OECD, and WHO have consistently recommended institutional reforms to enhance transparency and efficiency in the procurement of medicines, supplies, and medical equipment (Fazekas, 2023). In this context, studying and comparing legal frameworks on medical equipment procurement across selected countries and drawing lessons for Vietnam is both theoretically and practically significant.</w:t>
      </w:r>
    </w:p>
    <w:p w14:paraId="4EC51117" w14:textId="77777777" w:rsidR="00457C6B"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In Vietnam, medical equipment procurement is governed by a relatively complex system of legal documents, including the Law on Bidding, relevant decrees and circulars in the health sector, and regulations on the classification and management of medical devices. However, recent practice has revealed several issues, such as the fragmentation of bidding packages, the manipulation of technical criteria to favor specific suppliers, lack of price transparency, and particularly serious corruption cases related to the procurement of biological products, test kits, and medical equipment during the COVID-19 period (Thai &amp; Nguyen, 2022). Reports on corruption in Vietnam’s healthcare sector highlight persistent risks, including political interference, bribery in procurement processes, and conflicts of interest between healthcare </w:t>
      </w:r>
      <w:r w:rsidRPr="006C0F63">
        <w:rPr>
          <w:rFonts w:ascii="Times New Roman" w:hAnsi="Times New Roman" w:cs="Times New Roman"/>
          <w:szCs w:val="24"/>
        </w:rPr>
        <w:lastRenderedPageBreak/>
        <w:t>institutions and suppliers, all of which undermine the efficiency of public spending and citizens’ access to healthcare services.</w:t>
      </w:r>
    </w:p>
    <w:p w14:paraId="792D875A" w14:textId="77777777" w:rsidR="00457C6B"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Recently, the Government and regulatory authorities have emphasized the need to “strictly control the quality of procured medical equipment,” enhance transparency, standardize procurement procedures, develop price databases, and strengthen accountability of institutions and individuals involved in procurement activities. These challenges underscore the need to reassess the current legal framework in light of international experience.</w:t>
      </w:r>
    </w:p>
    <w:p w14:paraId="76E5C03D" w14:textId="0D9E7F78" w:rsidR="00AF32A5"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From an academic perspective, although there have been numerous studies on healthcare procurement, medical goods purchasing, and anti-corruption measures in the health sector, most focus on pharmaceuticals, consumables, or general healthcare financial governance, rather than the specific legal characteristics of medical equipment procurement. Moreover, studies in Vietnam largely adopt a descriptive approach, with limited systematic comparative analysis between Vietnam’s legal framework and those of countries with more advanced healthcare and legal systems (such as the United States, EU countries, Japan, and Singapore). Meanwhile, international reports emphasize that institutional design and procurement agency models play a decisive role in ensuring efficiency, competition, and integrity in healthcare procurement (García-Altés et al., 2023). This research gap provides a strong rationale for adopting a comparative legal approach to identify common standards, best practices, and the potential for legal transplantation into the Vietnamese context.</w:t>
      </w:r>
    </w:p>
    <w:p w14:paraId="69B2E3E0" w14:textId="77777777" w:rsidR="00457C6B"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Based on the above context, this study aims to:</w:t>
      </w:r>
      <w:r w:rsidRPr="006C0F63">
        <w:rPr>
          <w:rFonts w:ascii="Times New Roman" w:hAnsi="Times New Roman" w:cs="Times New Roman"/>
          <w:szCs w:val="24"/>
        </w:rPr>
        <w:br/>
        <w:t>(i) systematize the theoretical and practical foundations of legal frameworks governing medical equipment procurement in the public healthcare sector;</w:t>
      </w:r>
      <w:r w:rsidRPr="006C0F63">
        <w:rPr>
          <w:rFonts w:ascii="Times New Roman" w:hAnsi="Times New Roman" w:cs="Times New Roman"/>
          <w:szCs w:val="24"/>
        </w:rPr>
        <w:br/>
        <w:t>(ii) analyze and compare selected representative legal models of medical equipment procurement in several countries; and</w:t>
      </w:r>
      <w:r w:rsidRPr="006C0F63">
        <w:rPr>
          <w:rFonts w:ascii="Times New Roman" w:hAnsi="Times New Roman" w:cs="Times New Roman"/>
          <w:szCs w:val="24"/>
        </w:rPr>
        <w:br/>
        <w:t>(iii) evaluate the strengths and limitations of Vietnam’s current legal framework in this field in order to propose lessons learned and policy recommendations for improvement.</w:t>
      </w:r>
    </w:p>
    <w:p w14:paraId="0EDD0223" w14:textId="77777777" w:rsidR="00457C6B"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Accordingly, the paper seeks to address the following key research questions:</w:t>
      </w:r>
      <w:r w:rsidRPr="006C0F63">
        <w:rPr>
          <w:rFonts w:ascii="Times New Roman" w:hAnsi="Times New Roman" w:cs="Times New Roman"/>
          <w:szCs w:val="24"/>
        </w:rPr>
        <w:br/>
        <w:t>(1) How are legal frameworks for medical equipment procurement in selected countries designed in terms of actors, procedures, selection criteria, and mechanisms ensuring transparency and competition?</w:t>
      </w:r>
      <w:r w:rsidRPr="006C0F63">
        <w:rPr>
          <w:rFonts w:ascii="Times New Roman" w:hAnsi="Times New Roman" w:cs="Times New Roman"/>
          <w:szCs w:val="24"/>
        </w:rPr>
        <w:br/>
        <w:t>(2) What are the strengths and weaknesses of Vietnam’s current legal framework on medical equipment procurement when compared to these models?</w:t>
      </w:r>
      <w:r w:rsidRPr="006C0F63">
        <w:rPr>
          <w:rFonts w:ascii="Times New Roman" w:hAnsi="Times New Roman" w:cs="Times New Roman"/>
          <w:szCs w:val="24"/>
        </w:rPr>
        <w:br/>
        <w:t>(3) What legislative lessons and institutional reform measures can be drawn for Vietnam in the context of strengthening anti-corruption efforts and improving the efficiency of public healthcare spending?</w:t>
      </w:r>
    </w:p>
    <w:p w14:paraId="4FA7B28F" w14:textId="77777777" w:rsidR="00457C6B"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object of this study is the body of legal norms regulating procurement and bidding activities for medical equipment in the public sector, along with related institutional mechanisms (such as centralized procurement agencies, databases, technical standards, monitoring systems, and accountability frameworks).</w:t>
      </w:r>
    </w:p>
    <w:p w14:paraId="6F79FA7A" w14:textId="1E61772F" w:rsidR="00457C6B"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In terms of scope, the study focuses on Vietnam’s current legal framework from the enactment of the 2013 Law on Bidding to the present, including relevant implementing regulations on medical equipment. This framework is compared with the legal systems and practices of selected countries, including the United States, certain EU countries (notably Germany), Japan, and Singapore</w:t>
      </w:r>
      <w:r w:rsidR="00862B82" w:rsidRPr="006C0F63">
        <w:rPr>
          <w:rFonts w:ascii="Times New Roman" w:hAnsi="Times New Roman" w:cs="Times New Roman"/>
          <w:szCs w:val="24"/>
        </w:rPr>
        <w:t>-</w:t>
      </w:r>
      <w:r w:rsidRPr="006C0F63">
        <w:rPr>
          <w:rFonts w:ascii="Times New Roman" w:hAnsi="Times New Roman" w:cs="Times New Roman"/>
          <w:szCs w:val="24"/>
        </w:rPr>
        <w:t>jurisdictions recognized for their advanced experience in public procurement and healthcare bidding.</w:t>
      </w:r>
    </w:p>
    <w:p w14:paraId="7DF99FDF" w14:textId="6BDED351" w:rsidR="00AF32A5" w:rsidRPr="006C0F63" w:rsidRDefault="00457C6B" w:rsidP="00457C6B">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content scope primarily concentrates on procurement bidding for medical equipment in public healthcare institutions, without delving into procurement in the private sector or specialized public</w:t>
      </w:r>
      <w:r w:rsidR="006C0F63" w:rsidRPr="006C0F63">
        <w:rPr>
          <w:rFonts w:ascii="Times New Roman" w:hAnsi="Times New Roman" w:cs="Times New Roman"/>
          <w:szCs w:val="24"/>
        </w:rPr>
        <w:t>-</w:t>
      </w:r>
      <w:r w:rsidRPr="006C0F63">
        <w:rPr>
          <w:rFonts w:ascii="Times New Roman" w:hAnsi="Times New Roman" w:cs="Times New Roman"/>
          <w:szCs w:val="24"/>
        </w:rPr>
        <w:t>private partnership (PPP) models.</w:t>
      </w:r>
    </w:p>
    <w:p w14:paraId="1F2A188D" w14:textId="77777777" w:rsidR="00584912" w:rsidRPr="006C0F63" w:rsidRDefault="00584912" w:rsidP="00584912">
      <w:pPr>
        <w:spacing w:after="0" w:line="240" w:lineRule="auto"/>
        <w:ind w:firstLine="720"/>
        <w:jc w:val="both"/>
        <w:rPr>
          <w:rFonts w:ascii="Times New Roman" w:hAnsi="Times New Roman" w:cs="Times New Roman"/>
          <w:b/>
          <w:bCs/>
          <w:szCs w:val="24"/>
        </w:rPr>
      </w:pPr>
      <w:r w:rsidRPr="006C0F63">
        <w:rPr>
          <w:rFonts w:ascii="Times New Roman" w:hAnsi="Times New Roman" w:cs="Times New Roman"/>
          <w:b/>
          <w:bCs/>
          <w:szCs w:val="24"/>
        </w:rPr>
        <w:t>II. Theoretical Framework and Literature Review</w:t>
      </w:r>
    </w:p>
    <w:p w14:paraId="2CFCA19B" w14:textId="77777777"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The theoretical foundation of this study first requires a clear definition of the concept and characteristics of medical devices within the legal framework of public procurement. According to the World Health Organization (WHO), a </w:t>
      </w:r>
      <w:r w:rsidRPr="006C0F63">
        <w:rPr>
          <w:rFonts w:ascii="Times New Roman" w:hAnsi="Times New Roman" w:cs="Times New Roman"/>
          <w:i/>
          <w:iCs/>
          <w:szCs w:val="24"/>
        </w:rPr>
        <w:t>medical device</w:t>
      </w:r>
      <w:r w:rsidRPr="006C0F63">
        <w:rPr>
          <w:rFonts w:ascii="Times New Roman" w:hAnsi="Times New Roman" w:cs="Times New Roman"/>
          <w:szCs w:val="24"/>
        </w:rPr>
        <w:t xml:space="preserve"> refers to any instrument, </w:t>
      </w:r>
      <w:r w:rsidRPr="006C0F63">
        <w:rPr>
          <w:rFonts w:ascii="Times New Roman" w:hAnsi="Times New Roman" w:cs="Times New Roman"/>
          <w:szCs w:val="24"/>
        </w:rPr>
        <w:lastRenderedPageBreak/>
        <w:t>apparatus, software, material, or similar product intended by the manufacturer for medical purposes such as diagnosis, prevention, monitoring, treatment, or alleviation of disease, injury, or disability in humans. Legal instruments of the European Union, notably Regulation (EU) 2017/745 on medical devices, further emphasize requirements related to safety, performance, risk classification, and post-market surveillance, thereby establishing a “robust, transparent, and sustainable” regulatory framework for medical devices on the market.</w:t>
      </w:r>
    </w:p>
    <w:p w14:paraId="36FA49D0" w14:textId="77777777"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Compared to many other types of public goods, medical devices have several distinctive features:</w:t>
      </w:r>
    </w:p>
    <w:p w14:paraId="18A08764" w14:textId="77777777"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 high technological content, short life cycles, and rapid obsolescence;</w:t>
      </w:r>
    </w:p>
    <w:p w14:paraId="06CD3ECB" w14:textId="77777777"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(ii) direct linkage to patient safety, requiring strict standards and certification;</w:t>
      </w:r>
    </w:p>
    <w:p w14:paraId="0590261A" w14:textId="77777777"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(iii) life-cycle cost considerations, including procurement, maintenance, and operational training; and</w:t>
      </w:r>
    </w:p>
    <w:p w14:paraId="72D07C9D" w14:textId="006D8B93"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(iv) strong dependence on the usage context (human resources, infrastructure, electricity, medical gases, and spare parts supply chains).</w:t>
      </w:r>
    </w:p>
    <w:p w14:paraId="5EF68722" w14:textId="4B39C204"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These characteristics make the selection of medical devices not merely a procurement decision but a long-term investment decision for the healthcare system, particularly in developing countries where 40</w:t>
      </w:r>
      <w:r w:rsidR="006C0F63" w:rsidRPr="006C0F63">
        <w:rPr>
          <w:rFonts w:ascii="Times New Roman" w:hAnsi="Times New Roman" w:cs="Times New Roman"/>
          <w:szCs w:val="24"/>
        </w:rPr>
        <w:t>-</w:t>
      </w:r>
      <w:r w:rsidRPr="006C0F63">
        <w:rPr>
          <w:rFonts w:ascii="Times New Roman" w:hAnsi="Times New Roman" w:cs="Times New Roman"/>
          <w:szCs w:val="24"/>
        </w:rPr>
        <w:t>70% of medical devices are non-functional, unused, or inappropriate due to inadequate selection, planning, and procurement processes (Diaconu et al., 2017).</w:t>
      </w:r>
    </w:p>
    <w:p w14:paraId="20082F1E" w14:textId="5D759BDB" w:rsidR="00EE2F43" w:rsidRPr="006C0F63" w:rsidRDefault="00584912" w:rsidP="006C0F6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From a legal perspective, public procurement including medical equipment procurement is increasingly governed by international standards of transparency, competition, and integrity. The Agreement on Government Procurement (GPA) of the World Trade Organization (WTO) establishes fundamental principles such as </w:t>
      </w:r>
      <w:r w:rsidRPr="006C0F63">
        <w:rPr>
          <w:rFonts w:ascii="Times New Roman" w:hAnsi="Times New Roman" w:cs="Times New Roman"/>
          <w:i/>
          <w:iCs/>
          <w:szCs w:val="24"/>
        </w:rPr>
        <w:t>non-discrimination</w:t>
      </w:r>
      <w:r w:rsidRPr="006C0F63">
        <w:rPr>
          <w:rFonts w:ascii="Times New Roman" w:hAnsi="Times New Roman" w:cs="Times New Roman"/>
          <w:szCs w:val="24"/>
        </w:rPr>
        <w:t xml:space="preserve"> and </w:t>
      </w:r>
      <w:r w:rsidRPr="006C0F63">
        <w:rPr>
          <w:rFonts w:ascii="Times New Roman" w:hAnsi="Times New Roman" w:cs="Times New Roman"/>
          <w:i/>
          <w:iCs/>
          <w:szCs w:val="24"/>
        </w:rPr>
        <w:t>transparency</w:t>
      </w:r>
      <w:r w:rsidRPr="006C0F63">
        <w:rPr>
          <w:rFonts w:ascii="Times New Roman" w:hAnsi="Times New Roman" w:cs="Times New Roman"/>
          <w:szCs w:val="24"/>
        </w:rPr>
        <w:t xml:space="preserve"> in access to public procurement markets. It requires member states to ensure open competition, full disclosure of information, and effective complaint mechanisms for bidders. The OECD Recommendations on Public Procurement further develop these principles into a comprehensive framework of 12 integrated principles, including transparency, integrity, accessibility, efficiency, e-procurement, risk management, and accountability, aiming to ensure the effective use of public resources and prevent corruption in procurement processes (OECD, 2015). In the healthcare sector, the WHO and the World Bank additionally emphasize the principle of “value for money,” which involves evaluating both cost and performance over the life cycle of medical devices, as well as their suitability to the resource context of each country. These principles serve not only as legislative guidelines but also as benchmarks for assessing the level of development and international integration of legal frameworks governing medical equipment procurement in different countries.</w:t>
      </w:r>
    </w:p>
    <w:p w14:paraId="04C6EAE8" w14:textId="61C27ADB"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literature review indicates that a substantial body of domestic and international research has examined the issue of bidding and procurement of medical equipment. At the international level, World Bank</w:t>
      </w:r>
      <w:r w:rsidR="006C0F63" w:rsidRPr="006C0F63">
        <w:rPr>
          <w:rFonts w:ascii="Times New Roman" w:hAnsi="Times New Roman" w:cs="Times New Roman"/>
          <w:szCs w:val="24"/>
        </w:rPr>
        <w:t>-</w:t>
      </w:r>
      <w:r w:rsidRPr="006C0F63">
        <w:rPr>
          <w:rFonts w:ascii="Times New Roman" w:hAnsi="Times New Roman" w:cs="Times New Roman"/>
          <w:szCs w:val="24"/>
        </w:rPr>
        <w:t xml:space="preserve">related studies and systematic reviews by Adina Diaconu and colleagues on </w:t>
      </w:r>
      <w:r w:rsidRPr="006C0F63">
        <w:rPr>
          <w:rFonts w:ascii="Times New Roman" w:hAnsi="Times New Roman" w:cs="Times New Roman"/>
          <w:i/>
          <w:iCs/>
          <w:szCs w:val="24"/>
        </w:rPr>
        <w:t>methods of procurement and prioritization of medical devices in low- and middle-income countries</w:t>
      </w:r>
      <w:r w:rsidRPr="006C0F63">
        <w:rPr>
          <w:rFonts w:ascii="Times New Roman" w:hAnsi="Times New Roman" w:cs="Times New Roman"/>
          <w:szCs w:val="24"/>
        </w:rPr>
        <w:t xml:space="preserve"> reveal that most procurement decisions are driven by experience and short-term needs. Meanwhile, critical factors such as life-cycle costs, maintenance capacity, and compatibility with infrastructure are often overlooked. As a result, a large proportion of equipment becomes non-functional or unused, leading to resource waste and reduced service quality (Diaconu et al., 2017; OECD, 2025). Guidelines and technical documents from the World Bank on procurement of medical goods</w:t>
      </w:r>
      <w:r w:rsidR="00862B82" w:rsidRPr="006C0F63">
        <w:rPr>
          <w:rFonts w:ascii="Times New Roman" w:hAnsi="Times New Roman" w:cs="Times New Roman"/>
          <w:szCs w:val="24"/>
        </w:rPr>
        <w:t>-</w:t>
      </w:r>
      <w:r w:rsidRPr="006C0F63">
        <w:rPr>
          <w:rFonts w:ascii="Times New Roman" w:hAnsi="Times New Roman" w:cs="Times New Roman"/>
          <w:szCs w:val="24"/>
        </w:rPr>
        <w:t>including pharmaceuticals, vaccines, supplies, and equipment</w:t>
      </w:r>
      <w:r w:rsidR="00862B82" w:rsidRPr="006C0F63">
        <w:rPr>
          <w:rFonts w:ascii="Times New Roman" w:hAnsi="Times New Roman" w:cs="Times New Roman"/>
          <w:szCs w:val="24"/>
        </w:rPr>
        <w:t>-</w:t>
      </w:r>
      <w:r w:rsidRPr="006C0F63">
        <w:rPr>
          <w:rFonts w:ascii="Times New Roman" w:hAnsi="Times New Roman" w:cs="Times New Roman"/>
          <w:szCs w:val="24"/>
        </w:rPr>
        <w:t>emphasize the importance of standardizing bidding documents, technical specifications, evaluation criteria, and strengthening the capacity of procurement agencies in supply chain and contract management.</w:t>
      </w:r>
    </w:p>
    <w:p w14:paraId="323B299E" w14:textId="1C56872B" w:rsidR="00095F07" w:rsidRPr="006C0F63" w:rsidRDefault="00584912" w:rsidP="006C0F6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Other studies focus on the relationship between hospital capacity, infrastructure investment, medical equipment, and the ability to respond to shocks such as the COVID-19 pandemic. These studies show that weaknesses in planning, procurement, and allocation of medical equipment can lead to system overload and inefficient public spending (Winkelmann </w:t>
      </w:r>
      <w:r w:rsidRPr="006C0F63">
        <w:rPr>
          <w:rFonts w:ascii="Times New Roman" w:hAnsi="Times New Roman" w:cs="Times New Roman"/>
          <w:szCs w:val="24"/>
        </w:rPr>
        <w:lastRenderedPageBreak/>
        <w:t>et al., 2022). Beyond these perspectives, many scholars in health governance argue that medical equipment procurement is strongly influenced by market factors, supply structures, interest groups, and hospital governance models (Sorenson &amp; Kanavos, 2011). In countries with highly decentralized healthcare systems such as the United States, hospitals typically have greater autonomy in selecting equipment and suppliers. However, this autonomy is accompanied by strict regulatory mechanisms, including competition control, price registration, and post-market surveillance through agencies such as the U.S. Food and Drug Administration and the Centers for Medicare &amp; Medicaid Services. In contrast, more centralized models</w:t>
      </w:r>
      <w:r w:rsidR="00862B82" w:rsidRPr="006C0F63">
        <w:rPr>
          <w:rFonts w:ascii="Times New Roman" w:hAnsi="Times New Roman" w:cs="Times New Roman"/>
          <w:szCs w:val="24"/>
        </w:rPr>
        <w:t>-</w:t>
      </w:r>
      <w:r w:rsidRPr="006C0F63">
        <w:rPr>
          <w:rFonts w:ascii="Times New Roman" w:hAnsi="Times New Roman" w:cs="Times New Roman"/>
          <w:szCs w:val="24"/>
        </w:rPr>
        <w:t>such as those in Singapore or certain European Union member states</w:t>
      </w:r>
      <w:r w:rsidR="00862B82" w:rsidRPr="006C0F63">
        <w:rPr>
          <w:rFonts w:ascii="Times New Roman" w:hAnsi="Times New Roman" w:cs="Times New Roman"/>
          <w:szCs w:val="24"/>
        </w:rPr>
        <w:t>-</w:t>
      </w:r>
      <w:r w:rsidRPr="006C0F63">
        <w:rPr>
          <w:rFonts w:ascii="Times New Roman" w:hAnsi="Times New Roman" w:cs="Times New Roman"/>
          <w:szCs w:val="24"/>
        </w:rPr>
        <w:t>adopt centralized procurement mechanisms to reduce resource fragmentation, increase bargaining power, and enhance transparency in selection criteria.</w:t>
      </w:r>
    </w:p>
    <w:p w14:paraId="73262EBB" w14:textId="53DF3E90"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In the Vietnamese context, reports from the International Trade Administration (ITA) and sectoral studies indicate that a large proportion of medical equipment in public hospitals is outdated, with significant shortages in surgical and intensive care equipment, while more than 90% of devices are imported (Vietnam </w:t>
      </w:r>
      <w:r w:rsidR="006C0F63" w:rsidRPr="006C0F63">
        <w:rPr>
          <w:rFonts w:ascii="Times New Roman" w:hAnsi="Times New Roman" w:cs="Times New Roman"/>
          <w:szCs w:val="24"/>
        </w:rPr>
        <w:t>-</w:t>
      </w:r>
      <w:r w:rsidRPr="006C0F63">
        <w:rPr>
          <w:rFonts w:ascii="Times New Roman" w:hAnsi="Times New Roman" w:cs="Times New Roman"/>
          <w:szCs w:val="24"/>
        </w:rPr>
        <w:t xml:space="preserve"> Healthcare, 2024). Several case studies and technical reports have analyzed procurement systems and the management of medical equipment and medical oxygen in Vietnamese healthcare facilities, highlighting fragmentation in procurement processes and limitations in technical capacity and procurement planning (PATH, 2021). In addition, recent academic articles and legal reports reflect the practical implementation of medical equipment procurement laws in hospitals, pointing out shortcomings in technical specification design, corruption, “kickbacks” in supplier selection, and losses of public assets. However, most of these studies remain descriptive, focusing on individual hospitals or specific cases, with limited comparative legal analysis between Vietnam and other countries, and lacking a systematic approach to principles, structures, and legal instruments governing medical equipment procurement (Nguyen, 2024).</w:t>
      </w:r>
    </w:p>
    <w:p w14:paraId="29840F75" w14:textId="24E4778B"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From the above review, several important research gaps can be identified. First, although there is a considerable body of technical guidelines and studies on procurement methods in low- and middle-income countries, comprehensive comparative legal analyses between regulatory models in developed countries (such as the European Union, Japan, and Singapore) and developing countries, including Vietnam, remain limited</w:t>
      </w:r>
      <w:r w:rsidR="00862B82" w:rsidRPr="006C0F63">
        <w:rPr>
          <w:rFonts w:ascii="Times New Roman" w:hAnsi="Times New Roman" w:cs="Times New Roman"/>
          <w:szCs w:val="24"/>
        </w:rPr>
        <w:t>-</w:t>
      </w:r>
      <w:r w:rsidRPr="006C0F63">
        <w:rPr>
          <w:rFonts w:ascii="Times New Roman" w:hAnsi="Times New Roman" w:cs="Times New Roman"/>
          <w:szCs w:val="24"/>
        </w:rPr>
        <w:t>particularly with a focus on medical equipment rather than pharmaceuticals and consumables. Second, studies in Vietnam have largely been confined to describing implementation practices, reporting negative cases, or analyzing the general legal framework on public procurement. There is a lack of research that systematically compares Vietnam’s regulations on medical equipment procurement with international principles such as those under the World Trade Organization Government Procurement Agreement (GPA) and the Organisation for Economic Co-operation and Development (OECD). Third, there is a shortage of studies linking legal analysis with empirical evidence on effectiveness, transparency, integrity, and post-procurement outcomes (such as rates of equipment malfunction, underutilization, or uneven distribution across healthcare levels), especially in the context of recent anti-corruption reforms and shortages of medicines and medical equipment.</w:t>
      </w:r>
    </w:p>
    <w:p w14:paraId="4A51C742" w14:textId="77777777" w:rsidR="00584912" w:rsidRPr="006C0F63" w:rsidRDefault="00584912" w:rsidP="00584912">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This article aims to contribute to filling these gaps by developing a comparative analytical framework of legal models for medical equipment procurement in selected countries and benchmarking them against Vietnam’s legal system, thereby deriving practical lessons to support legal reform and policy development.</w:t>
      </w:r>
    </w:p>
    <w:p w14:paraId="4BC3FD40" w14:textId="43404180" w:rsidR="00AF32A5" w:rsidRPr="006C0F63" w:rsidRDefault="00AF32A5" w:rsidP="00E374AE">
      <w:pPr>
        <w:spacing w:after="0" w:line="240" w:lineRule="auto"/>
        <w:ind w:firstLine="720"/>
        <w:jc w:val="both"/>
        <w:rPr>
          <w:rFonts w:ascii="Times New Roman" w:hAnsi="Times New Roman" w:cs="Times New Roman"/>
          <w:szCs w:val="24"/>
        </w:rPr>
      </w:pPr>
    </w:p>
    <w:p w14:paraId="0D99C7E6" w14:textId="77777777" w:rsidR="00FA2053" w:rsidRPr="006C0F63" w:rsidRDefault="00FA2053" w:rsidP="00FA2053">
      <w:pPr>
        <w:spacing w:after="0" w:line="240" w:lineRule="auto"/>
        <w:ind w:firstLine="720"/>
        <w:jc w:val="both"/>
        <w:rPr>
          <w:rFonts w:ascii="Times New Roman" w:hAnsi="Times New Roman" w:cs="Times New Roman"/>
          <w:b/>
          <w:bCs/>
          <w:szCs w:val="24"/>
        </w:rPr>
      </w:pPr>
      <w:r w:rsidRPr="006C0F63">
        <w:rPr>
          <w:rFonts w:ascii="Times New Roman" w:hAnsi="Times New Roman" w:cs="Times New Roman"/>
          <w:b/>
          <w:bCs/>
          <w:szCs w:val="24"/>
        </w:rPr>
        <w:t>III. Research Methodology</w:t>
      </w:r>
    </w:p>
    <w:p w14:paraId="5F967069"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research methodology of this article consists of three main components.</w:t>
      </w:r>
    </w:p>
    <w:p w14:paraId="4187AF39"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First, the comparative legal analysis method is applied to explore and examine the differences and similarities in legal frameworks governing medical equipment procurement between Vietnam and selected representative countries. According to Marten Oderkerk, </w:t>
      </w:r>
      <w:r w:rsidRPr="006C0F63">
        <w:rPr>
          <w:rFonts w:ascii="Times New Roman" w:hAnsi="Times New Roman" w:cs="Times New Roman"/>
          <w:i/>
          <w:iCs/>
          <w:szCs w:val="24"/>
        </w:rPr>
        <w:t xml:space="preserve">“comparative legal research … consists in comparative evaluation of human experience </w:t>
      </w:r>
      <w:r w:rsidRPr="006C0F63">
        <w:rPr>
          <w:rFonts w:ascii="Times New Roman" w:hAnsi="Times New Roman" w:cs="Times New Roman"/>
          <w:i/>
          <w:iCs/>
          <w:szCs w:val="24"/>
        </w:rPr>
        <w:lastRenderedPageBreak/>
        <w:t>occurring in legal systems of different jurisdictions”</w:t>
      </w:r>
      <w:r w:rsidRPr="006C0F63">
        <w:rPr>
          <w:rFonts w:ascii="Times New Roman" w:hAnsi="Times New Roman" w:cs="Times New Roman"/>
          <w:szCs w:val="24"/>
        </w:rPr>
        <w:t xml:space="preserve"> and requires the establishment of comparison criteria and the assurance of equivalence between legal systems (Oderkerk, 2025). This method is implemented through three steps:</w:t>
      </w:r>
    </w:p>
    <w:p w14:paraId="2350EFC2"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 identifying sample countries and their respective legal systems;</w:t>
      </w:r>
    </w:p>
    <w:p w14:paraId="7BF3ACF3"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(ii) constructing a comparative matrix of legal elements such as actors, procedures, selection criteria, and post-award supervision; and</w:t>
      </w:r>
    </w:p>
    <w:p w14:paraId="29634C47" w14:textId="734A1424"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(iii) analyzing strengths, weaknesses, and the potential applicability to Vietnam.</w:t>
      </w:r>
    </w:p>
    <w:p w14:paraId="61721B5B"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Second, the policy analysis method is employed to evaluate how legal frameworks and governance mechanisms related to medical equipment procurement are implemented in practice and how they impact efficiency, transparency, and integrity in public procurement. According to the European Training Foundation, policy analysis is </w:t>
      </w:r>
      <w:r w:rsidRPr="006C0F63">
        <w:rPr>
          <w:rFonts w:ascii="Times New Roman" w:hAnsi="Times New Roman" w:cs="Times New Roman"/>
          <w:i/>
          <w:iCs/>
          <w:szCs w:val="24"/>
        </w:rPr>
        <w:t>“the process of systematic investigation of the implementation and impact of existing policy (ex-post analysis), and of options for new policy (ex-ante analysis)”</w:t>
      </w:r>
      <w:r w:rsidRPr="006C0F63">
        <w:rPr>
          <w:rFonts w:ascii="Times New Roman" w:hAnsi="Times New Roman" w:cs="Times New Roman"/>
          <w:szCs w:val="24"/>
        </w:rPr>
        <w:t xml:space="preserve"> (European Training Foundation, 2018). In this study, policy analysis examines the relationship between legal frameworks and practical outcomes through case studies, international reports, and empirical data.</w:t>
      </w:r>
    </w:p>
    <w:p w14:paraId="71904A8C"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Third, regarding data sources, the article utilizes a variety of secondary data, including international and national legal documents (such as procurement laws, decrees, and regulations on medical equipment), reports from organizations such as the World Health Organization, World Bank, and Organisation for Economic Co-operation and Development on public procurement and medical equipment, as well as academic literature and case materials from hospitals and procurement agencies.</w:t>
      </w:r>
    </w:p>
    <w:p w14:paraId="4788CA8E"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This diversity of data sources enables the study to integrate legal structural analysis, implementation practices, and public policy evaluation, thereby providing well-founded conclusions and recommendations for Vietnam.</w:t>
      </w:r>
    </w:p>
    <w:p w14:paraId="0B3403FA" w14:textId="3A41E923" w:rsidR="00AF32A5" w:rsidRPr="006C0F63" w:rsidRDefault="00AF32A5" w:rsidP="00E374AE">
      <w:pPr>
        <w:spacing w:after="0" w:line="240" w:lineRule="auto"/>
        <w:ind w:firstLine="720"/>
        <w:jc w:val="both"/>
        <w:rPr>
          <w:rFonts w:ascii="Times New Roman" w:hAnsi="Times New Roman" w:cs="Times New Roman"/>
          <w:szCs w:val="24"/>
        </w:rPr>
      </w:pPr>
    </w:p>
    <w:p w14:paraId="52D1ED16" w14:textId="77777777" w:rsidR="00FA2053" w:rsidRPr="006C0F63" w:rsidRDefault="00FA2053" w:rsidP="00FA2053">
      <w:pPr>
        <w:spacing w:after="0" w:line="240" w:lineRule="auto"/>
        <w:ind w:firstLine="720"/>
        <w:jc w:val="both"/>
        <w:rPr>
          <w:rFonts w:ascii="Times New Roman" w:hAnsi="Times New Roman" w:cs="Times New Roman"/>
          <w:b/>
          <w:bCs/>
          <w:szCs w:val="24"/>
        </w:rPr>
      </w:pPr>
      <w:r w:rsidRPr="006C0F63">
        <w:rPr>
          <w:rFonts w:ascii="Times New Roman" w:hAnsi="Times New Roman" w:cs="Times New Roman"/>
          <w:b/>
          <w:bCs/>
          <w:szCs w:val="24"/>
        </w:rPr>
        <w:t>IV. Research Findings</w:t>
      </w:r>
    </w:p>
    <w:p w14:paraId="5A813936" w14:textId="77777777" w:rsidR="00FA2053" w:rsidRPr="006C0F63" w:rsidRDefault="00FA2053" w:rsidP="00FA2053">
      <w:pPr>
        <w:spacing w:after="0" w:line="240" w:lineRule="auto"/>
        <w:ind w:firstLine="720"/>
        <w:jc w:val="both"/>
        <w:rPr>
          <w:rFonts w:ascii="Times New Roman" w:hAnsi="Times New Roman" w:cs="Times New Roman"/>
          <w:b/>
          <w:bCs/>
          <w:szCs w:val="24"/>
        </w:rPr>
      </w:pPr>
      <w:r w:rsidRPr="006C0F63">
        <w:rPr>
          <w:rFonts w:ascii="Times New Roman" w:hAnsi="Times New Roman" w:cs="Times New Roman"/>
          <w:b/>
          <w:bCs/>
          <w:szCs w:val="24"/>
        </w:rPr>
        <w:t>4.1. Legal Models of Medical Equipment Procurement in Selected Countries</w:t>
      </w:r>
    </w:p>
    <w:p w14:paraId="2A7CACC0"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analysis shows that countries adopt different approaches to governing medical equipment procurement, reflecting variations in healthcare systems, legal structures, and levels of economic development. However, all models are grounded in the core principles of transparency, fair competition, and quality assurance, in line with international standards recommended by the World Health Organization, World Trade Organization, and Organisation for Economic Co-operation and Development.</w:t>
      </w:r>
    </w:p>
    <w:p w14:paraId="0BFC1D51" w14:textId="019FBAB4"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In the United States, the medical device governance system operates on two main pillars: the U.S. Food and Drug Administration (FDA) and the federal procurement system governed by the </w:t>
      </w:r>
      <w:r w:rsidRPr="006C0F63">
        <w:rPr>
          <w:rFonts w:ascii="Times New Roman" w:hAnsi="Times New Roman" w:cs="Times New Roman"/>
          <w:i/>
          <w:iCs/>
          <w:szCs w:val="24"/>
        </w:rPr>
        <w:t>Federal Acquisition Regulation (FAR)</w:t>
      </w:r>
      <w:r w:rsidRPr="006C0F63">
        <w:rPr>
          <w:rFonts w:ascii="Times New Roman" w:hAnsi="Times New Roman" w:cs="Times New Roman"/>
          <w:szCs w:val="24"/>
        </w:rPr>
        <w:t>. The FDA classifies devices according to risk levels (Class I</w:t>
      </w:r>
      <w:r w:rsidR="006C0F63" w:rsidRPr="006C0F63">
        <w:rPr>
          <w:rFonts w:ascii="Times New Roman" w:hAnsi="Times New Roman" w:cs="Times New Roman"/>
          <w:szCs w:val="24"/>
        </w:rPr>
        <w:t>-</w:t>
      </w:r>
      <w:r w:rsidRPr="006C0F63">
        <w:rPr>
          <w:rFonts w:ascii="Times New Roman" w:hAnsi="Times New Roman" w:cs="Times New Roman"/>
          <w:szCs w:val="24"/>
        </w:rPr>
        <w:t xml:space="preserve">III), requiring clinical trial documentation, safety and efficacy data, and post-market surveillance systems. Suppliers must register on SAM.gov and comply with federal procurement procedures, where transparency is institutionalized through the disclosure of bidding documents, awarded prices, and compliance history (GAO, 2022). In addition, the U.S. strongly enforces accountability through auditing systems of the Government Accountability Office and legal mechanisms such as the </w:t>
      </w:r>
      <w:r w:rsidRPr="006C0F63">
        <w:rPr>
          <w:rFonts w:ascii="Times New Roman" w:hAnsi="Times New Roman" w:cs="Times New Roman"/>
          <w:i/>
          <w:iCs/>
          <w:szCs w:val="24"/>
        </w:rPr>
        <w:t>False Claims Act</w:t>
      </w:r>
      <w:r w:rsidRPr="006C0F63">
        <w:rPr>
          <w:rFonts w:ascii="Times New Roman" w:hAnsi="Times New Roman" w:cs="Times New Roman"/>
          <w:szCs w:val="24"/>
        </w:rPr>
        <w:t xml:space="preserve"> to address fraud. This model fosters a transparent and competitive environment, though it is complex and requires high legal and technological capacity from suppliers.</w:t>
      </w:r>
    </w:p>
    <w:p w14:paraId="61FD5E8D" w14:textId="30A61B7A"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In contrast, the model in Germany and the European Union is standardized through the </w:t>
      </w:r>
      <w:r w:rsidRPr="006C0F63">
        <w:rPr>
          <w:rFonts w:ascii="Times New Roman" w:hAnsi="Times New Roman" w:cs="Times New Roman"/>
          <w:i/>
          <w:iCs/>
          <w:szCs w:val="24"/>
        </w:rPr>
        <w:t>EU Procurement Directive 2014/24/EU</w:t>
      </w:r>
      <w:r w:rsidRPr="006C0F63">
        <w:rPr>
          <w:rFonts w:ascii="Times New Roman" w:hAnsi="Times New Roman" w:cs="Times New Roman"/>
          <w:szCs w:val="24"/>
        </w:rPr>
        <w:t xml:space="preserve"> and Regulation (EU) 2017/745 (</w:t>
      </w:r>
      <w:r w:rsidRPr="006C0F63">
        <w:rPr>
          <w:rFonts w:ascii="Times New Roman" w:hAnsi="Times New Roman" w:cs="Times New Roman"/>
          <w:i/>
          <w:iCs/>
          <w:szCs w:val="24"/>
        </w:rPr>
        <w:t xml:space="preserve">Medical Device Regulation </w:t>
      </w:r>
      <w:r w:rsidR="006C0F63" w:rsidRPr="006C0F63">
        <w:rPr>
          <w:rFonts w:ascii="Times New Roman" w:hAnsi="Times New Roman" w:cs="Times New Roman"/>
          <w:i/>
          <w:iCs/>
          <w:szCs w:val="24"/>
        </w:rPr>
        <w:t>-</w:t>
      </w:r>
      <w:r w:rsidRPr="006C0F63">
        <w:rPr>
          <w:rFonts w:ascii="Times New Roman" w:hAnsi="Times New Roman" w:cs="Times New Roman"/>
          <w:i/>
          <w:iCs/>
          <w:szCs w:val="24"/>
        </w:rPr>
        <w:t xml:space="preserve"> MDR</w:t>
      </w:r>
      <w:r w:rsidRPr="006C0F63">
        <w:rPr>
          <w:rFonts w:ascii="Times New Roman" w:hAnsi="Times New Roman" w:cs="Times New Roman"/>
          <w:szCs w:val="24"/>
        </w:rPr>
        <w:t xml:space="preserve">). These frameworks require device evaluation based on technical criteria, risk levels, clinical evidence, and CE certification standards (European Commission, 2024). The EU applies diversified procurement methods, including open tendering, restricted procedures, and competitive dialogue for high-tech equipment. Notably, the EU is a pioneer in applying Life-Cycle Costing (LCC) to avoid the “low purchase price </w:t>
      </w:r>
      <w:r w:rsidR="006C0F63" w:rsidRPr="006C0F63">
        <w:rPr>
          <w:rFonts w:ascii="Times New Roman" w:hAnsi="Times New Roman" w:cs="Times New Roman"/>
          <w:szCs w:val="24"/>
        </w:rPr>
        <w:t>-</w:t>
      </w:r>
      <w:r w:rsidRPr="006C0F63">
        <w:rPr>
          <w:rFonts w:ascii="Times New Roman" w:hAnsi="Times New Roman" w:cs="Times New Roman"/>
          <w:szCs w:val="24"/>
        </w:rPr>
        <w:t xml:space="preserve"> high operating cost” </w:t>
      </w:r>
      <w:r w:rsidRPr="006C0F63">
        <w:rPr>
          <w:rFonts w:ascii="Times New Roman" w:hAnsi="Times New Roman" w:cs="Times New Roman"/>
          <w:szCs w:val="24"/>
        </w:rPr>
        <w:lastRenderedPageBreak/>
        <w:t>problem (OECD, 2023). This approach enhances both financial efficiency and operational quality in public hospitals.</w:t>
      </w:r>
    </w:p>
    <w:p w14:paraId="502134EB" w14:textId="6021B409"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In Japan, the system is managed by the Pharmaceuticals and Medical Devices Agency (PMDA), with strict pre-market approval procedures before procurement is allowed (MHLW, 2022). A distinctive feature of Japan is the decentralization of procurement decisions at the hospital level, combined with a value-based procurement approach rather than lowest-price selection. Japan also applies long-term contracts, mandatory maintenance, and operational training to reduce the rate of equipment failure or underutilization</w:t>
      </w:r>
      <w:r w:rsidR="00862B82" w:rsidRPr="006C0F63">
        <w:rPr>
          <w:rFonts w:ascii="Times New Roman" w:hAnsi="Times New Roman" w:cs="Times New Roman"/>
          <w:szCs w:val="24"/>
        </w:rPr>
        <w:t>-</w:t>
      </w:r>
      <w:r w:rsidRPr="006C0F63">
        <w:rPr>
          <w:rFonts w:ascii="Times New Roman" w:hAnsi="Times New Roman" w:cs="Times New Roman"/>
          <w:szCs w:val="24"/>
        </w:rPr>
        <w:t>a common issue in developing countries.</w:t>
      </w:r>
    </w:p>
    <w:p w14:paraId="24F7F237" w14:textId="0DA32540"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Finally, Singapore represents a highly efficient centralized model in the ASEAN region. The government operates the electronic procurement system GeBIZ, which ensures transparency by publishing tender documents, quotations, award results, and supplier performance evaluations. The centralized procurement authority, HealthTech Agency (HTX), is responsible for establishing standardized equipment lists, managing reference price databases, and implementing a vendor accreditation framework (Singapore Ministry of Health, 2023). As a result, Singapore has achieved estimated public procurement savings of 20</w:t>
      </w:r>
      <w:r w:rsidR="006C0F63" w:rsidRPr="006C0F63">
        <w:rPr>
          <w:rFonts w:ascii="Times New Roman" w:hAnsi="Times New Roman" w:cs="Times New Roman"/>
          <w:szCs w:val="24"/>
        </w:rPr>
        <w:t>-</w:t>
      </w:r>
      <w:r w:rsidRPr="006C0F63">
        <w:rPr>
          <w:rFonts w:ascii="Times New Roman" w:hAnsi="Times New Roman" w:cs="Times New Roman"/>
          <w:szCs w:val="24"/>
        </w:rPr>
        <w:t>35% and significantly reduced procurement time compared to decentralized models.</w:t>
      </w:r>
    </w:p>
    <w:p w14:paraId="5713EF76"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Overall, these four models demonstrate common trends: a shift from price-based procurement to value-based procurement, increased adoption of digital platforms, strengthened post-procurement monitoring, and the use of shared data systems. These findings provide important evidence for considering the development of an appropriate procurement model for Vietnam in the context of healthcare reform and the prevention of public asset losses.</w:t>
      </w:r>
    </w:p>
    <w:p w14:paraId="057B673C" w14:textId="0429CE09" w:rsidR="00485B87" w:rsidRPr="006C0F63" w:rsidRDefault="00485B87" w:rsidP="00E374AE">
      <w:pPr>
        <w:spacing w:after="0" w:line="240" w:lineRule="auto"/>
        <w:ind w:firstLine="720"/>
        <w:jc w:val="both"/>
        <w:rPr>
          <w:rFonts w:ascii="Times New Roman" w:hAnsi="Times New Roman" w:cs="Times New Roman"/>
          <w:szCs w:val="24"/>
        </w:rPr>
      </w:pPr>
    </w:p>
    <w:p w14:paraId="4DC60521" w14:textId="77777777" w:rsidR="00FA2053" w:rsidRPr="006C0F63" w:rsidRDefault="00FA2053" w:rsidP="00FA2053">
      <w:pPr>
        <w:spacing w:after="0" w:line="240" w:lineRule="auto"/>
        <w:ind w:firstLine="720"/>
        <w:rPr>
          <w:rFonts w:ascii="Times New Roman" w:hAnsi="Times New Roman" w:cs="Times New Roman"/>
          <w:b/>
          <w:bCs/>
          <w:szCs w:val="24"/>
        </w:rPr>
      </w:pPr>
      <w:r w:rsidRPr="006C0F63">
        <w:rPr>
          <w:rFonts w:ascii="Times New Roman" w:hAnsi="Times New Roman" w:cs="Times New Roman"/>
          <w:b/>
          <w:bCs/>
          <w:szCs w:val="24"/>
        </w:rPr>
        <w:t>4.2. Comparison of Core Elements</w:t>
      </w:r>
    </w:p>
    <w:p w14:paraId="40BFB0E9" w14:textId="77777777" w:rsidR="00FA2053" w:rsidRPr="006C0F63" w:rsidRDefault="00FA2053" w:rsidP="00FA2053">
      <w:pPr>
        <w:spacing w:after="0" w:line="240" w:lineRule="auto"/>
        <w:ind w:firstLine="720"/>
        <w:rPr>
          <w:rFonts w:ascii="Times New Roman" w:hAnsi="Times New Roman" w:cs="Times New Roman"/>
          <w:szCs w:val="24"/>
        </w:rPr>
      </w:pPr>
      <w:r w:rsidRPr="006C0F63">
        <w:rPr>
          <w:rFonts w:ascii="Times New Roman" w:hAnsi="Times New Roman" w:cs="Times New Roman"/>
          <w:b/>
          <w:bCs/>
          <w:szCs w:val="24"/>
        </w:rPr>
        <w:t xml:space="preserve">To better understand the differences in legal models of medical </w:t>
      </w:r>
      <w:r w:rsidRPr="006C0F63">
        <w:rPr>
          <w:rFonts w:ascii="Times New Roman" w:hAnsi="Times New Roman" w:cs="Times New Roman"/>
          <w:szCs w:val="24"/>
        </w:rPr>
        <w:t>equipment procurement across countries, this study conducts a comparison based on five structural criteria:</w:t>
      </w:r>
      <w:r w:rsidRPr="006C0F63">
        <w:rPr>
          <w:rFonts w:ascii="Times New Roman" w:hAnsi="Times New Roman" w:cs="Times New Roman"/>
          <w:szCs w:val="24"/>
        </w:rPr>
        <w:br/>
        <w:t>(i) device classification mechanisms;</w:t>
      </w:r>
      <w:r w:rsidRPr="006C0F63">
        <w:rPr>
          <w:rFonts w:ascii="Times New Roman" w:hAnsi="Times New Roman" w:cs="Times New Roman"/>
          <w:szCs w:val="24"/>
        </w:rPr>
        <w:br/>
        <w:t>(ii) technical standards;</w:t>
      </w:r>
      <w:r w:rsidRPr="006C0F63">
        <w:rPr>
          <w:rFonts w:ascii="Times New Roman" w:hAnsi="Times New Roman" w:cs="Times New Roman"/>
          <w:szCs w:val="24"/>
        </w:rPr>
        <w:br/>
        <w:t>(iii) level of centralized procurement;</w:t>
      </w:r>
      <w:r w:rsidRPr="006C0F63">
        <w:rPr>
          <w:rFonts w:ascii="Times New Roman" w:hAnsi="Times New Roman" w:cs="Times New Roman"/>
          <w:szCs w:val="24"/>
        </w:rPr>
        <w:br/>
        <w:t>(iv) price control mechanisms; and</w:t>
      </w:r>
      <w:r w:rsidRPr="006C0F63">
        <w:rPr>
          <w:rFonts w:ascii="Times New Roman" w:hAnsi="Times New Roman" w:cs="Times New Roman"/>
          <w:szCs w:val="24"/>
        </w:rPr>
        <w:br/>
        <w:t>(v) transparency and anti-corruption measures.</w:t>
      </w:r>
    </w:p>
    <w:p w14:paraId="14F2A008" w14:textId="77777777" w:rsidR="00FA2053" w:rsidRPr="006C0F63" w:rsidRDefault="00FA2053" w:rsidP="00FA2053">
      <w:pPr>
        <w:spacing w:after="0" w:line="240" w:lineRule="auto"/>
        <w:ind w:firstLine="720"/>
        <w:rPr>
          <w:rFonts w:ascii="Times New Roman" w:hAnsi="Times New Roman" w:cs="Times New Roman"/>
          <w:szCs w:val="24"/>
        </w:rPr>
      </w:pPr>
      <w:r w:rsidRPr="006C0F63">
        <w:rPr>
          <w:rFonts w:ascii="Times New Roman" w:hAnsi="Times New Roman" w:cs="Times New Roman"/>
          <w:szCs w:val="24"/>
        </w:rPr>
        <w:t>The comparative results are presented in the table below:</w:t>
      </w:r>
    </w:p>
    <w:p w14:paraId="3AF20E06" w14:textId="77777777" w:rsidR="00FA2053" w:rsidRPr="006C0F63" w:rsidRDefault="00FA2053" w:rsidP="00FA2053">
      <w:pPr>
        <w:spacing w:after="0" w:line="240" w:lineRule="auto"/>
        <w:jc w:val="center"/>
        <w:rPr>
          <w:rFonts w:ascii="Times New Roman" w:hAnsi="Times New Roman" w:cs="Times New Roman"/>
          <w:i/>
          <w:iCs/>
          <w:szCs w:val="24"/>
        </w:rPr>
      </w:pPr>
      <w:r w:rsidRPr="006C0F63">
        <w:rPr>
          <w:rFonts w:ascii="Times New Roman" w:hAnsi="Times New Roman" w:cs="Times New Roman"/>
          <w:i/>
          <w:iCs/>
          <w:szCs w:val="24"/>
        </w:rPr>
        <w:t>Table 4.2. Comparative overview of legal models for medical equipment procurement across countries.</w:t>
      </w:r>
    </w:p>
    <w:p w14:paraId="48E55D58" w14:textId="720F3DE2" w:rsidR="0086327B" w:rsidRPr="006C0F63" w:rsidRDefault="0086327B" w:rsidP="00E374AE">
      <w:pPr>
        <w:spacing w:after="0" w:line="240" w:lineRule="auto"/>
        <w:ind w:firstLine="720"/>
        <w:rPr>
          <w:rFonts w:ascii="Times New Roman" w:hAnsi="Times New Roman" w:cs="Times New Roman"/>
          <w:i/>
          <w:iCs/>
          <w:szCs w:val="24"/>
        </w:rPr>
      </w:pPr>
    </w:p>
    <w:tbl>
      <w:tblPr>
        <w:tblStyle w:val="TableGrid"/>
        <w:tblW w:w="5000" w:type="pct"/>
        <w:jc w:val="center"/>
        <w:tblLook w:val="04A0" w:firstRow="1" w:lastRow="0" w:firstColumn="1" w:lastColumn="0" w:noHBand="0" w:noVBand="1"/>
      </w:tblPr>
      <w:tblGrid>
        <w:gridCol w:w="1561"/>
        <w:gridCol w:w="1418"/>
        <w:gridCol w:w="1494"/>
        <w:gridCol w:w="1519"/>
        <w:gridCol w:w="1582"/>
        <w:gridCol w:w="1487"/>
      </w:tblGrid>
      <w:tr w:rsidR="005519B2" w:rsidRPr="006C0F63" w14:paraId="32741C29" w14:textId="77777777" w:rsidTr="00E374AE">
        <w:trPr>
          <w:tblHeader/>
          <w:jc w:val="center"/>
        </w:trPr>
        <w:tc>
          <w:tcPr>
            <w:tcW w:w="695" w:type="pct"/>
            <w:shd w:val="clear" w:color="auto" w:fill="BFBFBF" w:themeFill="background1" w:themeFillShade="BF"/>
            <w:vAlign w:val="center"/>
          </w:tcPr>
          <w:p w14:paraId="53234D69" w14:textId="7FCDE8B8"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t>Criteria</w:t>
            </w:r>
          </w:p>
        </w:tc>
        <w:tc>
          <w:tcPr>
            <w:tcW w:w="845" w:type="pct"/>
            <w:shd w:val="clear" w:color="auto" w:fill="BFBFBF" w:themeFill="background1" w:themeFillShade="BF"/>
            <w:vAlign w:val="center"/>
          </w:tcPr>
          <w:p w14:paraId="0C5D9BBA" w14:textId="4E278715"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t>USA</w:t>
            </w:r>
          </w:p>
        </w:tc>
        <w:tc>
          <w:tcPr>
            <w:tcW w:w="931" w:type="pct"/>
            <w:shd w:val="clear" w:color="auto" w:fill="BFBFBF" w:themeFill="background1" w:themeFillShade="BF"/>
            <w:vAlign w:val="center"/>
          </w:tcPr>
          <w:p w14:paraId="7E2BD53B" w14:textId="592BF5D9"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t>Germary</w:t>
            </w:r>
            <w:r w:rsidR="005519B2" w:rsidRPr="006C0F63">
              <w:rPr>
                <w:rFonts w:ascii="Times New Roman" w:hAnsi="Times New Roman" w:cs="Times New Roman"/>
                <w:b/>
                <w:bCs/>
                <w:szCs w:val="24"/>
              </w:rPr>
              <w:t>/EU</w:t>
            </w:r>
          </w:p>
        </w:tc>
        <w:tc>
          <w:tcPr>
            <w:tcW w:w="732" w:type="pct"/>
            <w:shd w:val="clear" w:color="auto" w:fill="BFBFBF" w:themeFill="background1" w:themeFillShade="BF"/>
            <w:vAlign w:val="center"/>
          </w:tcPr>
          <w:p w14:paraId="72A02E25" w14:textId="155F55D9"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t>Japan</w:t>
            </w:r>
          </w:p>
        </w:tc>
        <w:tc>
          <w:tcPr>
            <w:tcW w:w="1051" w:type="pct"/>
            <w:shd w:val="clear" w:color="auto" w:fill="BFBFBF" w:themeFill="background1" w:themeFillShade="BF"/>
            <w:vAlign w:val="center"/>
          </w:tcPr>
          <w:p w14:paraId="06172912" w14:textId="28551C2D" w:rsidR="005519B2" w:rsidRPr="006C0F63" w:rsidRDefault="005519B2" w:rsidP="00E374AE">
            <w:pPr>
              <w:jc w:val="center"/>
              <w:rPr>
                <w:rFonts w:ascii="Times New Roman" w:hAnsi="Times New Roman" w:cs="Times New Roman"/>
                <w:b/>
                <w:bCs/>
                <w:szCs w:val="24"/>
              </w:rPr>
            </w:pPr>
            <w:r w:rsidRPr="006C0F63">
              <w:rPr>
                <w:rFonts w:ascii="Times New Roman" w:hAnsi="Times New Roman" w:cs="Times New Roman"/>
                <w:b/>
                <w:bCs/>
                <w:szCs w:val="24"/>
              </w:rPr>
              <w:t>Singapore</w:t>
            </w:r>
          </w:p>
        </w:tc>
        <w:tc>
          <w:tcPr>
            <w:tcW w:w="746" w:type="pct"/>
            <w:shd w:val="clear" w:color="auto" w:fill="BFBFBF" w:themeFill="background1" w:themeFillShade="BF"/>
            <w:vAlign w:val="center"/>
          </w:tcPr>
          <w:p w14:paraId="418F531B" w14:textId="573DA488"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t>Vietnam</w:t>
            </w:r>
          </w:p>
        </w:tc>
      </w:tr>
      <w:tr w:rsidR="005519B2" w:rsidRPr="006C0F63" w14:paraId="6B55944E" w14:textId="77777777" w:rsidTr="00E374AE">
        <w:trPr>
          <w:jc w:val="center"/>
        </w:trPr>
        <w:tc>
          <w:tcPr>
            <w:tcW w:w="695" w:type="pct"/>
            <w:vAlign w:val="center"/>
          </w:tcPr>
          <w:p w14:paraId="2B691335" w14:textId="32EB4A68" w:rsidR="005519B2" w:rsidRPr="006C0F63" w:rsidRDefault="00862B82" w:rsidP="00862B82">
            <w:pPr>
              <w:rPr>
                <w:rFonts w:ascii="Times New Roman" w:hAnsi="Times New Roman" w:cs="Times New Roman"/>
                <w:b/>
                <w:bCs/>
                <w:szCs w:val="24"/>
              </w:rPr>
            </w:pPr>
            <w:r w:rsidRPr="006C0F63">
              <w:rPr>
                <w:rFonts w:ascii="Times New Roman" w:hAnsi="Times New Roman" w:cs="Times New Roman"/>
                <w:b/>
                <w:bCs/>
                <w:szCs w:val="24"/>
              </w:rPr>
              <w:t>Device classification mechanism</w:t>
            </w:r>
          </w:p>
        </w:tc>
        <w:tc>
          <w:tcPr>
            <w:tcW w:w="845" w:type="pct"/>
            <w:vAlign w:val="center"/>
          </w:tcPr>
          <w:p w14:paraId="7912A893" w14:textId="05DFC6A4"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Class I</w:t>
            </w:r>
            <w:r w:rsidR="006C0F63" w:rsidRPr="006C0F63">
              <w:rPr>
                <w:rFonts w:ascii="Times New Roman" w:hAnsi="Times New Roman" w:cs="Times New Roman"/>
                <w:szCs w:val="24"/>
              </w:rPr>
              <w:t>-</w:t>
            </w:r>
            <w:r w:rsidRPr="006C0F63">
              <w:rPr>
                <w:rFonts w:ascii="Times New Roman" w:hAnsi="Times New Roman" w:cs="Times New Roman"/>
                <w:szCs w:val="24"/>
              </w:rPr>
              <w:t>III classification according to the FDA, based on risk level and clinical data</w:t>
            </w:r>
          </w:p>
        </w:tc>
        <w:tc>
          <w:tcPr>
            <w:tcW w:w="931" w:type="pct"/>
            <w:vAlign w:val="center"/>
          </w:tcPr>
          <w:p w14:paraId="5BDA04D0" w14:textId="5FF894F4"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Classified under the Medical Device Regulation (EU MDR 2017/745), requires CE Marking and rigorous risk assessment</w:t>
            </w:r>
          </w:p>
        </w:tc>
        <w:tc>
          <w:tcPr>
            <w:tcW w:w="732" w:type="pct"/>
            <w:vAlign w:val="center"/>
          </w:tcPr>
          <w:p w14:paraId="55F791AD" w14:textId="6FAE1AE9"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PMDA classification by risk and requires mandatory clinical trials with high-risk equipment</w:t>
            </w:r>
          </w:p>
        </w:tc>
        <w:tc>
          <w:tcPr>
            <w:tcW w:w="1051" w:type="pct"/>
            <w:vAlign w:val="center"/>
          </w:tcPr>
          <w:p w14:paraId="159C8C31" w14:textId="44EC6EC3"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The Health Sciences Authority (HSA) classifies according to the ASEAN Harmonization model under the condition of import quality control.</w:t>
            </w:r>
          </w:p>
        </w:tc>
        <w:tc>
          <w:tcPr>
            <w:tcW w:w="746" w:type="pct"/>
            <w:vAlign w:val="center"/>
          </w:tcPr>
          <w:p w14:paraId="31BAEE52" w14:textId="01DCFB7B"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Circular 05/2022 classifies them based on risk but is not synchronized with international standards; technical data has not been fully digitized.</w:t>
            </w:r>
          </w:p>
        </w:tc>
      </w:tr>
      <w:tr w:rsidR="005519B2" w:rsidRPr="006C0F63" w14:paraId="29846463" w14:textId="77777777" w:rsidTr="00E374AE">
        <w:trPr>
          <w:jc w:val="center"/>
        </w:trPr>
        <w:tc>
          <w:tcPr>
            <w:tcW w:w="695" w:type="pct"/>
            <w:vAlign w:val="center"/>
          </w:tcPr>
          <w:p w14:paraId="4D277057" w14:textId="628095F1"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lastRenderedPageBreak/>
              <w:t>Technical Standards</w:t>
            </w:r>
          </w:p>
        </w:tc>
        <w:tc>
          <w:tcPr>
            <w:tcW w:w="845" w:type="pct"/>
            <w:vAlign w:val="center"/>
          </w:tcPr>
          <w:p w14:paraId="7D0DAB1E" w14:textId="1B6553C9"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Complies with FDA, ASTM and ISO technical standards; strong post-inspection.</w:t>
            </w:r>
          </w:p>
        </w:tc>
        <w:tc>
          <w:tcPr>
            <w:tcW w:w="931" w:type="pct"/>
            <w:vAlign w:val="center"/>
          </w:tcPr>
          <w:p w14:paraId="106AA539" w14:textId="0EFF5DE6"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CE Mark, ISO, life-cycle quality requirements and notified body certification.</w:t>
            </w:r>
          </w:p>
        </w:tc>
        <w:tc>
          <w:tcPr>
            <w:tcW w:w="732" w:type="pct"/>
            <w:vAlign w:val="center"/>
          </w:tcPr>
          <w:p w14:paraId="665130FB" w14:textId="7CFA052A"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Focus on demonstrating clinical efficacy and maintenance procedures; Operator training required.</w:t>
            </w:r>
          </w:p>
        </w:tc>
        <w:tc>
          <w:tcPr>
            <w:tcW w:w="1051" w:type="pct"/>
            <w:vAlign w:val="center"/>
          </w:tcPr>
          <w:p w14:paraId="53D0ECA4" w14:textId="54C5561D"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Standardize the national technical catalogue, maintenance and after-sales proof requirements.</w:t>
            </w:r>
          </w:p>
        </w:tc>
        <w:tc>
          <w:tcPr>
            <w:tcW w:w="746" w:type="pct"/>
            <w:vAlign w:val="center"/>
          </w:tcPr>
          <w:p w14:paraId="11133928" w14:textId="77054D61"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Not consistent; depend on the enterprise to provide technical documents and contracting experience.</w:t>
            </w:r>
          </w:p>
        </w:tc>
      </w:tr>
      <w:tr w:rsidR="005519B2" w:rsidRPr="006C0F63" w14:paraId="30BDEA77" w14:textId="77777777" w:rsidTr="00E374AE">
        <w:trPr>
          <w:jc w:val="center"/>
        </w:trPr>
        <w:tc>
          <w:tcPr>
            <w:tcW w:w="695" w:type="pct"/>
            <w:vAlign w:val="center"/>
          </w:tcPr>
          <w:p w14:paraId="570BEDEC" w14:textId="00A6A5A1"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t>Centralized Shopping</w:t>
            </w:r>
          </w:p>
        </w:tc>
        <w:tc>
          <w:tcPr>
            <w:tcW w:w="845" w:type="pct"/>
            <w:vAlign w:val="center"/>
          </w:tcPr>
          <w:p w14:paraId="7FB36D44" w14:textId="3023BC24"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Dispersed, depending on the federal agency or insurance system.</w:t>
            </w:r>
          </w:p>
        </w:tc>
        <w:tc>
          <w:tcPr>
            <w:tcW w:w="931" w:type="pct"/>
            <w:vAlign w:val="center"/>
          </w:tcPr>
          <w:p w14:paraId="2173D78B" w14:textId="7D4173D9"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Applicable depending on the member state, but there is an EU data system to support price sharing.</w:t>
            </w:r>
          </w:p>
        </w:tc>
        <w:tc>
          <w:tcPr>
            <w:tcW w:w="732" w:type="pct"/>
            <w:vAlign w:val="center"/>
          </w:tcPr>
          <w:p w14:paraId="7420C37D" w14:textId="6EECAE90"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Decision-making rights in hospitals but with national guidelines</w:t>
            </w:r>
            <w:r w:rsidR="005519B2" w:rsidRPr="006C0F63">
              <w:rPr>
                <w:rFonts w:ascii="Times New Roman" w:hAnsi="Times New Roman" w:cs="Times New Roman"/>
                <w:szCs w:val="24"/>
              </w:rPr>
              <w:t>.</w:t>
            </w:r>
          </w:p>
        </w:tc>
        <w:tc>
          <w:tcPr>
            <w:tcW w:w="1051" w:type="pct"/>
            <w:vAlign w:val="center"/>
          </w:tcPr>
          <w:p w14:paraId="27F88401" w14:textId="7EFBF5F2"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Centralized shopping through GeBIZ and HealthTech Agency (Cooperative).</w:t>
            </w:r>
          </w:p>
        </w:tc>
        <w:tc>
          <w:tcPr>
            <w:tcW w:w="746" w:type="pct"/>
            <w:vAlign w:val="center"/>
          </w:tcPr>
          <w:p w14:paraId="03ECDBEE" w14:textId="4978F628" w:rsidR="005519B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The centralized bidding model of the Ministry of Health is being expanded, but the data is not synchronized.</w:t>
            </w:r>
          </w:p>
        </w:tc>
      </w:tr>
      <w:tr w:rsidR="00842982" w:rsidRPr="006C0F63" w14:paraId="33BC44D0" w14:textId="77777777" w:rsidTr="00E374AE">
        <w:trPr>
          <w:jc w:val="center"/>
        </w:trPr>
        <w:tc>
          <w:tcPr>
            <w:tcW w:w="695" w:type="pct"/>
            <w:vAlign w:val="center"/>
          </w:tcPr>
          <w:p w14:paraId="00D8A922" w14:textId="1CFAF7B1"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t>Price control mechanism</w:t>
            </w:r>
          </w:p>
        </w:tc>
        <w:tc>
          <w:tcPr>
            <w:tcW w:w="845" w:type="pct"/>
            <w:vAlign w:val="center"/>
          </w:tcPr>
          <w:p w14:paraId="12DD1EEC" w14:textId="08EA0B59"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Medicare &amp; Medicaid conducts price negotiations, GAO conducts periodic audits</w:t>
            </w:r>
          </w:p>
        </w:tc>
        <w:tc>
          <w:tcPr>
            <w:tcW w:w="931" w:type="pct"/>
            <w:vAlign w:val="center"/>
          </w:tcPr>
          <w:p w14:paraId="47F80599" w14:textId="3467B360"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The EU applies Life-Cycle Costing to help optimize total costs.</w:t>
            </w:r>
          </w:p>
        </w:tc>
        <w:tc>
          <w:tcPr>
            <w:tcW w:w="732" w:type="pct"/>
            <w:vAlign w:val="center"/>
          </w:tcPr>
          <w:p w14:paraId="10FB96F7" w14:textId="6DB13B25"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Dependent on long-term service contracts between hospitals and businesses.</w:t>
            </w:r>
          </w:p>
        </w:tc>
        <w:tc>
          <w:tcPr>
            <w:tcW w:w="1051" w:type="pct"/>
            <w:vAlign w:val="center"/>
          </w:tcPr>
          <w:p w14:paraId="1EDB2B65" w14:textId="4ED7E048"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National reference price and centralized negotiation.</w:t>
            </w:r>
          </w:p>
        </w:tc>
        <w:tc>
          <w:tcPr>
            <w:tcW w:w="746" w:type="pct"/>
            <w:vAlign w:val="center"/>
          </w:tcPr>
          <w:p w14:paraId="591C74DE" w14:textId="1D99A245"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There is no benchmark price database; the estimated price depends on the enterprise quotation.</w:t>
            </w:r>
          </w:p>
        </w:tc>
      </w:tr>
      <w:tr w:rsidR="00842982" w:rsidRPr="006C0F63" w14:paraId="5687D4C5" w14:textId="77777777" w:rsidTr="00E374AE">
        <w:trPr>
          <w:jc w:val="center"/>
        </w:trPr>
        <w:tc>
          <w:tcPr>
            <w:tcW w:w="695" w:type="pct"/>
            <w:vAlign w:val="center"/>
          </w:tcPr>
          <w:p w14:paraId="6F22398E" w14:textId="0A663E62"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b/>
                <w:bCs/>
                <w:szCs w:val="24"/>
              </w:rPr>
              <w:t xml:space="preserve">Transparency </w:t>
            </w:r>
            <w:r w:rsidR="006C0F63" w:rsidRPr="006C0F63">
              <w:rPr>
                <w:rFonts w:ascii="Times New Roman" w:hAnsi="Times New Roman" w:cs="Times New Roman"/>
                <w:b/>
                <w:bCs/>
                <w:szCs w:val="24"/>
              </w:rPr>
              <w:t>-</w:t>
            </w:r>
            <w:r w:rsidRPr="006C0F63">
              <w:rPr>
                <w:rFonts w:ascii="Times New Roman" w:hAnsi="Times New Roman" w:cs="Times New Roman"/>
                <w:b/>
                <w:bCs/>
                <w:szCs w:val="24"/>
              </w:rPr>
              <w:t xml:space="preserve"> anti-corruption</w:t>
            </w:r>
          </w:p>
        </w:tc>
        <w:tc>
          <w:tcPr>
            <w:tcW w:w="845" w:type="pct"/>
            <w:vAlign w:val="center"/>
          </w:tcPr>
          <w:p w14:paraId="0F06EA0F" w14:textId="0E03357C"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Contract disclosure under the Federal Acquisition Regulation (FAR).</w:t>
            </w:r>
          </w:p>
        </w:tc>
        <w:tc>
          <w:tcPr>
            <w:tcW w:w="931" w:type="pct"/>
            <w:vAlign w:val="center"/>
          </w:tcPr>
          <w:p w14:paraId="174E0377" w14:textId="4FC1B163"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Independent bidding complaints and data disclosure systems.</w:t>
            </w:r>
          </w:p>
        </w:tc>
        <w:tc>
          <w:tcPr>
            <w:tcW w:w="732" w:type="pct"/>
            <w:vAlign w:val="center"/>
          </w:tcPr>
          <w:p w14:paraId="26E7A0AF" w14:textId="2956A332"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Internal audit and accountability according to hospital processes.</w:t>
            </w:r>
          </w:p>
        </w:tc>
        <w:tc>
          <w:tcPr>
            <w:tcW w:w="1051" w:type="pct"/>
            <w:vAlign w:val="center"/>
          </w:tcPr>
          <w:p w14:paraId="1F0C12BF" w14:textId="302BEAB1"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Applying open contracting standards; all public data on GeBIZ.</w:t>
            </w:r>
          </w:p>
        </w:tc>
        <w:tc>
          <w:tcPr>
            <w:tcW w:w="746" w:type="pct"/>
            <w:vAlign w:val="center"/>
          </w:tcPr>
          <w:p w14:paraId="2D37F391" w14:textId="29EB0AD6" w:rsidR="00842982" w:rsidRPr="006C0F63" w:rsidRDefault="00862B82" w:rsidP="00E374AE">
            <w:pPr>
              <w:jc w:val="center"/>
              <w:rPr>
                <w:rFonts w:ascii="Times New Roman" w:hAnsi="Times New Roman" w:cs="Times New Roman"/>
                <w:b/>
                <w:bCs/>
                <w:szCs w:val="24"/>
              </w:rPr>
            </w:pPr>
            <w:r w:rsidRPr="006C0F63">
              <w:rPr>
                <w:rFonts w:ascii="Times New Roman" w:hAnsi="Times New Roman" w:cs="Times New Roman"/>
                <w:szCs w:val="24"/>
              </w:rPr>
              <w:t>Transparency has improved thanks to online bidding, but the risk of technical manipulation is still high.</w:t>
            </w:r>
          </w:p>
        </w:tc>
      </w:tr>
    </w:tbl>
    <w:p w14:paraId="57D52756"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comparative analysis of international models shows that each country adopts a distinct governance structure for medical equipment procurement, depending on the maturity of its healthcare system, supervisory capacity, and public management philosophy.</w:t>
      </w:r>
    </w:p>
    <w:p w14:paraId="2753041B" w14:textId="6F67D76A"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United States represents a typical model of risk-based governance. The U.S. Food and Drug Administration (FDA) plays a central authority, not only classifying devices into three risk categories (Class I</w:t>
      </w:r>
      <w:r w:rsidR="006C0F63" w:rsidRPr="006C0F63">
        <w:rPr>
          <w:rFonts w:ascii="Times New Roman" w:hAnsi="Times New Roman" w:cs="Times New Roman"/>
          <w:szCs w:val="24"/>
        </w:rPr>
        <w:t>-</w:t>
      </w:r>
      <w:r w:rsidRPr="006C0F63">
        <w:rPr>
          <w:rFonts w:ascii="Times New Roman" w:hAnsi="Times New Roman" w:cs="Times New Roman"/>
          <w:szCs w:val="24"/>
        </w:rPr>
        <w:t xml:space="preserve">III) but also conducting post-market surveillance, product recalls, and requiring continuous updates of safety evidence (FDA, 2023). Suppliers can only participate in </w:t>
      </w:r>
      <w:r w:rsidRPr="006C0F63">
        <w:rPr>
          <w:rFonts w:ascii="Times New Roman" w:hAnsi="Times New Roman" w:cs="Times New Roman"/>
          <w:szCs w:val="24"/>
        </w:rPr>
        <w:lastRenderedPageBreak/>
        <w:t xml:space="preserve">federal procurement after passing two major thresholds: technical approval by the FDA and compliance with legal and financial requirements under the </w:t>
      </w:r>
      <w:r w:rsidRPr="006C0F63">
        <w:rPr>
          <w:rFonts w:ascii="Times New Roman" w:hAnsi="Times New Roman" w:cs="Times New Roman"/>
          <w:i/>
          <w:iCs/>
          <w:szCs w:val="24"/>
        </w:rPr>
        <w:t>Federal Acquisition Regulation (FAR)</w:t>
      </w:r>
      <w:r w:rsidRPr="006C0F63">
        <w:rPr>
          <w:rFonts w:ascii="Times New Roman" w:hAnsi="Times New Roman" w:cs="Times New Roman"/>
          <w:szCs w:val="24"/>
        </w:rPr>
        <w:t>. This model ensures a strictly controlled input system before devices enter the public market, thereby minimizing the risk of low-quality equipment in procurement.</w:t>
      </w:r>
    </w:p>
    <w:p w14:paraId="36D14EEF" w14:textId="76FC6433"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In contrast, the European Union adopts a balanced approach between standardization and flexibility. The CE marking system and Regulation (EU) 2017/745 (</w:t>
      </w:r>
      <w:r w:rsidRPr="006C0F63">
        <w:rPr>
          <w:rFonts w:ascii="Times New Roman" w:hAnsi="Times New Roman" w:cs="Times New Roman"/>
          <w:i/>
          <w:iCs/>
          <w:szCs w:val="24"/>
        </w:rPr>
        <w:t xml:space="preserve">Medical Device Regulation </w:t>
      </w:r>
      <w:r w:rsidR="006C0F63" w:rsidRPr="006C0F63">
        <w:rPr>
          <w:rFonts w:ascii="Times New Roman" w:hAnsi="Times New Roman" w:cs="Times New Roman"/>
          <w:i/>
          <w:iCs/>
          <w:szCs w:val="24"/>
        </w:rPr>
        <w:t>-</w:t>
      </w:r>
      <w:r w:rsidRPr="006C0F63">
        <w:rPr>
          <w:rFonts w:ascii="Times New Roman" w:hAnsi="Times New Roman" w:cs="Times New Roman"/>
          <w:i/>
          <w:iCs/>
          <w:szCs w:val="24"/>
        </w:rPr>
        <w:t xml:space="preserve"> MDR</w:t>
      </w:r>
      <w:r w:rsidRPr="006C0F63">
        <w:rPr>
          <w:rFonts w:ascii="Times New Roman" w:hAnsi="Times New Roman" w:cs="Times New Roman"/>
          <w:szCs w:val="24"/>
        </w:rPr>
        <w:t xml:space="preserve">) establish common technical standards to ensure minimum safety and traceability. However, the EU does not impose a uniform procurement model across all member states, allowing adaptations based on national contexts. A key strength of the EU model is the application of Life-Cycle Costing (LCC), which emphasizes total cost over the equipment’s life cycle rather than initial purchase price, helping to avoid the “low-cost purchase </w:t>
      </w:r>
      <w:r w:rsidR="006C0F63" w:rsidRPr="006C0F63">
        <w:rPr>
          <w:rFonts w:ascii="Times New Roman" w:hAnsi="Times New Roman" w:cs="Times New Roman"/>
          <w:szCs w:val="24"/>
        </w:rPr>
        <w:t>-</w:t>
      </w:r>
      <w:r w:rsidRPr="006C0F63">
        <w:rPr>
          <w:rFonts w:ascii="Times New Roman" w:hAnsi="Times New Roman" w:cs="Times New Roman"/>
          <w:szCs w:val="24"/>
        </w:rPr>
        <w:t xml:space="preserve"> high operating cost” problem common in many middle-income countries (OECD, 2023).</w:t>
      </w:r>
    </w:p>
    <w:p w14:paraId="16CDF979"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For Japan, the governance model emphasizes technical expertise and decentralized decision-making at the hospital level. While the Pharmaceuticals and Medical Devices Agency (PMDA) strictly controls market entry, the selection of appropriate equipment is largely determined by individual healthcare institutions, based on clinical outcomes, expected medical effectiveness, and operational conditions. This model is particularly suitable for systems with high professional capacity and strong internal accountability mechanisms (MHLW, 2022).</w:t>
      </w:r>
    </w:p>
    <w:p w14:paraId="76E857D8" w14:textId="641B32E0"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Meanwhile, Singapore represents a modern governance model driven by digital technology. Through the GeBIZ platform and the centralized procurement system managed by the HealthTech Agency (HTX), the entire procurement process</w:t>
      </w:r>
      <w:r w:rsidR="00862B82" w:rsidRPr="006C0F63">
        <w:rPr>
          <w:rFonts w:ascii="Times New Roman" w:hAnsi="Times New Roman" w:cs="Times New Roman"/>
          <w:szCs w:val="24"/>
        </w:rPr>
        <w:t>-</w:t>
      </w:r>
      <w:r w:rsidRPr="006C0F63">
        <w:rPr>
          <w:rFonts w:ascii="Times New Roman" w:hAnsi="Times New Roman" w:cs="Times New Roman"/>
          <w:szCs w:val="24"/>
        </w:rPr>
        <w:t>from publishing technical specifications and inviting bids to evaluating suppliers and announcing contract awards</w:t>
      </w:r>
      <w:r w:rsidR="00862B82" w:rsidRPr="006C0F63">
        <w:rPr>
          <w:rFonts w:ascii="Times New Roman" w:hAnsi="Times New Roman" w:cs="Times New Roman"/>
          <w:szCs w:val="24"/>
        </w:rPr>
        <w:t>-</w:t>
      </w:r>
      <w:r w:rsidRPr="006C0F63">
        <w:rPr>
          <w:rFonts w:ascii="Times New Roman" w:hAnsi="Times New Roman" w:cs="Times New Roman"/>
          <w:szCs w:val="24"/>
        </w:rPr>
        <w:t>is digitized and transparent. This model reduces transaction costs, limits corruption risks, and fosters a competitive and transparent market (Singapore Ministry of Health, 2023).</w:t>
      </w:r>
    </w:p>
    <w:p w14:paraId="4A7EDED9" w14:textId="5DC0098B"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Compared to these models, Vietnam has made progress by adopting risk classification and e-procurement systems, but still faces three major limitations. First, there is no standardized database for technical specifications and reference prices, making cost estimation heavily dependent on supplier quotations and increasing the risk of price inflation. Second, the Life-Cycle Costing approach has not yet been integrated, resulting in procurement decisions that still prioritize the lowest price rather than long-term efficiency. Third, mechanisms for controlling conflicts of interest and post-contract monitoring remain insufficient, leading to issues such as “tailored bidding specifications,” inappropriate equipment selection, or devices that cannot be effectively operated in hospital settings (Vietnam </w:t>
      </w:r>
      <w:r w:rsidR="006C0F63" w:rsidRPr="006C0F63">
        <w:rPr>
          <w:rFonts w:ascii="Times New Roman" w:hAnsi="Times New Roman" w:cs="Times New Roman"/>
          <w:szCs w:val="24"/>
        </w:rPr>
        <w:t>-</w:t>
      </w:r>
      <w:r w:rsidRPr="006C0F63">
        <w:rPr>
          <w:rFonts w:ascii="Times New Roman" w:hAnsi="Times New Roman" w:cs="Times New Roman"/>
          <w:szCs w:val="24"/>
        </w:rPr>
        <w:t xml:space="preserve"> Healthcare, 2024).</w:t>
      </w:r>
    </w:p>
    <w:p w14:paraId="6DA2B021" w14:textId="4547DB36" w:rsidR="001F638B"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Overall, the key difference between Vietnam and more advanced systems lies in the maturity of public procurement institutions and the capacity to implement transparent, data-driven monitoring systems. This provides an important foundation for proposing future legal and institutional reforms.</w:t>
      </w:r>
    </w:p>
    <w:p w14:paraId="0A08A9F5" w14:textId="77777777" w:rsidR="00FA2053" w:rsidRPr="006C0F63" w:rsidRDefault="00FA2053" w:rsidP="00FA2053">
      <w:pPr>
        <w:spacing w:after="0" w:line="240" w:lineRule="auto"/>
        <w:ind w:firstLine="720"/>
        <w:jc w:val="both"/>
        <w:rPr>
          <w:rFonts w:ascii="Times New Roman" w:hAnsi="Times New Roman" w:cs="Times New Roman"/>
          <w:b/>
          <w:bCs/>
          <w:szCs w:val="24"/>
        </w:rPr>
      </w:pPr>
      <w:r w:rsidRPr="006C0F63">
        <w:rPr>
          <w:rFonts w:ascii="Times New Roman" w:hAnsi="Times New Roman" w:cs="Times New Roman"/>
          <w:b/>
          <w:bCs/>
          <w:szCs w:val="24"/>
        </w:rPr>
        <w:t>4.3. Key Enablers of Effective Procurement (Training, Oversight, Digital Infrastructure, and Data Systems)</w:t>
      </w:r>
    </w:p>
    <w:p w14:paraId="096CCF69"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synthesis of international experience shows that the effectiveness of medical equipment procurement depends not only on the legal framework but also on four core enabling factors: human capacity, multi-layered oversight and accountability, digital infrastructure, and shared data systems. These elements form the foundational conditions for ensuring transparency, competition, and efficiency in both cost and clinical value.</w:t>
      </w:r>
    </w:p>
    <w:p w14:paraId="2E5D937C"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First, human capacity through training and skill standardization is a decisive factor in the quality of tender preparation, technical evaluation, and supplier selection. A lack of professional capacity often leads to </w:t>
      </w:r>
      <w:r w:rsidRPr="006C0F63">
        <w:rPr>
          <w:rFonts w:ascii="Times New Roman" w:hAnsi="Times New Roman" w:cs="Times New Roman"/>
          <w:i/>
          <w:iCs/>
          <w:szCs w:val="24"/>
        </w:rPr>
        <w:t>over-specification</w:t>
      </w:r>
      <w:r w:rsidRPr="006C0F63">
        <w:rPr>
          <w:rFonts w:ascii="Times New Roman" w:hAnsi="Times New Roman" w:cs="Times New Roman"/>
          <w:szCs w:val="24"/>
        </w:rPr>
        <w:t xml:space="preserve"> (technical requirements tailored to specific suppliers) or </w:t>
      </w:r>
      <w:r w:rsidRPr="006C0F63">
        <w:rPr>
          <w:rFonts w:ascii="Times New Roman" w:hAnsi="Times New Roman" w:cs="Times New Roman"/>
          <w:i/>
          <w:iCs/>
          <w:szCs w:val="24"/>
        </w:rPr>
        <w:t>under-specification</w:t>
      </w:r>
      <w:r w:rsidRPr="006C0F63">
        <w:rPr>
          <w:rFonts w:ascii="Times New Roman" w:hAnsi="Times New Roman" w:cs="Times New Roman"/>
          <w:szCs w:val="24"/>
        </w:rPr>
        <w:t xml:space="preserve"> (vague criteria that hinder objective evaluation), both of which are common causes of distortions in medical equipment procurement. Countries such as Singapore and Japan have established mandatory training systems for procurement officers, competency certification, and professional ethics regulations to reduce the risk of conflicts of interest (Singapore Ministry of Health, 2023).</w:t>
      </w:r>
    </w:p>
    <w:p w14:paraId="56EFD98E" w14:textId="77777777"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lastRenderedPageBreak/>
        <w:t xml:space="preserve">Second, multi-layered oversight and accountability mechanisms play a critical role in ensuring integrity. The United States applies a combined model of independent auditing, public disclosure of contracts under the </w:t>
      </w:r>
      <w:r w:rsidRPr="006C0F63">
        <w:rPr>
          <w:rFonts w:ascii="Times New Roman" w:hAnsi="Times New Roman" w:cs="Times New Roman"/>
          <w:i/>
          <w:iCs/>
          <w:szCs w:val="24"/>
        </w:rPr>
        <w:t>Federal Acquisition Regulation (FAR)</w:t>
      </w:r>
      <w:r w:rsidRPr="006C0F63">
        <w:rPr>
          <w:rFonts w:ascii="Times New Roman" w:hAnsi="Times New Roman" w:cs="Times New Roman"/>
          <w:szCs w:val="24"/>
        </w:rPr>
        <w:t xml:space="preserve">, and strict enforcement through the </w:t>
      </w:r>
      <w:r w:rsidRPr="006C0F63">
        <w:rPr>
          <w:rFonts w:ascii="Times New Roman" w:hAnsi="Times New Roman" w:cs="Times New Roman"/>
          <w:i/>
          <w:iCs/>
          <w:szCs w:val="24"/>
        </w:rPr>
        <w:t>False Claims Act</w:t>
      </w:r>
      <w:r w:rsidRPr="006C0F63">
        <w:rPr>
          <w:rFonts w:ascii="Times New Roman" w:hAnsi="Times New Roman" w:cs="Times New Roman"/>
          <w:szCs w:val="24"/>
        </w:rPr>
        <w:t>, significantly reducing fraud in federal procurement (GAO, 2022). Meanwhile, the European Union requires independent complaint mechanisms and public disclosure of bid evaluation decisions, enabling both institutional and societal oversight.</w:t>
      </w:r>
    </w:p>
    <w:p w14:paraId="4A7A10CD" w14:textId="1358F098"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Third, e-procurement infrastructure is a key driver of transparency and competition. Platforms such as GeBIZ (Singapore), TED (EU), and SAM.gov (United States) allow full disclosure of the procurement process</w:t>
      </w:r>
      <w:r w:rsidR="00862B82" w:rsidRPr="006C0F63">
        <w:rPr>
          <w:rFonts w:ascii="Times New Roman" w:hAnsi="Times New Roman" w:cs="Times New Roman"/>
          <w:szCs w:val="24"/>
        </w:rPr>
        <w:t>-</w:t>
      </w:r>
      <w:r w:rsidRPr="006C0F63">
        <w:rPr>
          <w:rFonts w:ascii="Times New Roman" w:hAnsi="Times New Roman" w:cs="Times New Roman"/>
          <w:szCs w:val="24"/>
        </w:rPr>
        <w:t>from tender announcements and bid submission to evaluation and contract execution. According to the World Bank, the adoption of e-procurement can reduce transaction costs by 15</w:t>
      </w:r>
      <w:r w:rsidR="006C0F63" w:rsidRPr="006C0F63">
        <w:rPr>
          <w:rFonts w:ascii="Times New Roman" w:hAnsi="Times New Roman" w:cs="Times New Roman"/>
          <w:szCs w:val="24"/>
        </w:rPr>
        <w:t>-</w:t>
      </w:r>
      <w:r w:rsidRPr="006C0F63">
        <w:rPr>
          <w:rFonts w:ascii="Times New Roman" w:hAnsi="Times New Roman" w:cs="Times New Roman"/>
          <w:szCs w:val="24"/>
        </w:rPr>
        <w:t>28% and limit manual intervention, thereby mitigating corruption risks in medical equipment procurement.</w:t>
      </w:r>
    </w:p>
    <w:p w14:paraId="47E357BF" w14:textId="252E2035" w:rsidR="00FA2053"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Finally, integrated and comparable data systems (price and technical registries) enable hospitals and procurement authorities to benchmark prices, technical standards, equipment life cycles, and supplier compliance histories. Both Singapore and the EU utilize open data systems that allow regulators and the public to monitor budget efficiency and reduce the risk of price inflation or inappropriate equipment supply. World Bank reports indicate that countries lacking such reference data often experience significant price variation</w:t>
      </w:r>
      <w:r w:rsidR="00862B82" w:rsidRPr="006C0F63">
        <w:rPr>
          <w:rFonts w:ascii="Times New Roman" w:hAnsi="Times New Roman" w:cs="Times New Roman"/>
          <w:szCs w:val="24"/>
        </w:rPr>
        <w:t>-</w:t>
      </w:r>
      <w:r w:rsidRPr="006C0F63">
        <w:rPr>
          <w:rFonts w:ascii="Times New Roman" w:hAnsi="Times New Roman" w:cs="Times New Roman"/>
          <w:szCs w:val="24"/>
        </w:rPr>
        <w:t>sometimes 200</w:t>
      </w:r>
      <w:r w:rsidR="006C0F63" w:rsidRPr="006C0F63">
        <w:rPr>
          <w:rFonts w:ascii="Times New Roman" w:hAnsi="Times New Roman" w:cs="Times New Roman"/>
          <w:szCs w:val="24"/>
        </w:rPr>
        <w:t>-</w:t>
      </w:r>
      <w:r w:rsidRPr="006C0F63">
        <w:rPr>
          <w:rFonts w:ascii="Times New Roman" w:hAnsi="Times New Roman" w:cs="Times New Roman"/>
          <w:szCs w:val="24"/>
        </w:rPr>
        <w:t>300% differences for the same type of equipment across hospitals.</w:t>
      </w:r>
    </w:p>
    <w:p w14:paraId="0A1D3658" w14:textId="59D90E20" w:rsidR="009F28C4" w:rsidRPr="006C0F63" w:rsidRDefault="00FA2053" w:rsidP="00FA2053">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In summary, these four factors are interdependent and mutually reinforcing. Training builds operational capacity, oversight ensures discipline and compliance, digital infrastructure standardizes processes, and data systems provide a foundation for transparency and objective comparison. The coordinated development of these elements is essential for establishing an effective, sustainable, and value-oriented medical equipment procurement system aligned with public healthcare objectives.</w:t>
      </w:r>
    </w:p>
    <w:p w14:paraId="5ABB3F7C" w14:textId="77777777" w:rsidR="00793E58" w:rsidRPr="006C0F63" w:rsidRDefault="00793E58" w:rsidP="00793E58">
      <w:pPr>
        <w:spacing w:after="0" w:line="240" w:lineRule="auto"/>
        <w:ind w:firstLine="720"/>
        <w:jc w:val="both"/>
        <w:rPr>
          <w:rFonts w:ascii="Times New Roman" w:hAnsi="Times New Roman" w:cs="Times New Roman"/>
          <w:b/>
          <w:bCs/>
          <w:szCs w:val="24"/>
        </w:rPr>
      </w:pPr>
      <w:r w:rsidRPr="006C0F63">
        <w:rPr>
          <w:rFonts w:ascii="Times New Roman" w:hAnsi="Times New Roman" w:cs="Times New Roman"/>
          <w:b/>
          <w:bCs/>
          <w:szCs w:val="24"/>
        </w:rPr>
        <w:t>V. Discussion</w:t>
      </w:r>
    </w:p>
    <w:p w14:paraId="5C7F660A" w14:textId="25E7F148"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differences in legal models of medical equipment procurement among the United States, European Union, Japan, Singapore, and Vietnam can be explained by two main groups of factors: the structure of healthcare systems and legal</w:t>
      </w:r>
      <w:r w:rsidR="006C0F63" w:rsidRPr="006C0F63">
        <w:rPr>
          <w:rFonts w:ascii="Times New Roman" w:hAnsi="Times New Roman" w:cs="Times New Roman"/>
          <w:szCs w:val="24"/>
        </w:rPr>
        <w:t>-</w:t>
      </w:r>
      <w:r w:rsidRPr="006C0F63">
        <w:rPr>
          <w:rFonts w:ascii="Times New Roman" w:hAnsi="Times New Roman" w:cs="Times New Roman"/>
          <w:szCs w:val="24"/>
        </w:rPr>
        <w:t>administrative traditions. Countries with centralized healthcare governance and strong digital capacity, such as Singapore, can effectively implement centralized procurement models and unified data systems due to strong coordination authority and integrated national information systems. In contrast, federal systems such as the United States distribute authority between federal and state levels, resulting in less centralized procurement but stronger emphasis on quality control and transparency through the U.S. Food and Drug Administration (FDA) and the Federal Acquisition Regulation (FAR).</w:t>
      </w:r>
    </w:p>
    <w:p w14:paraId="1E7A805A" w14:textId="77777777"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In the case of the European Union, internal diversity requires a balance between harmonized safety standards (e.g., CE marking) and the autonomy of member states in organizing procurement. Meanwhile, Japan reflects a governance philosophy grounded in clinical expertise, where healthcare institutions possess both the responsibility and capacity to select equipment suitable for real-world use. These differences indicate that procurement models are strongly influenced by institutional history, market structures, and the maturity of quality assurance systems.</w:t>
      </w:r>
    </w:p>
    <w:p w14:paraId="5C9AB3B1" w14:textId="3D3B69C0"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From international experience, three key elements can be adapted by Vietnam in reforming its procurement system. First, adopting Life-Cycle Costing (LCC), as practiced in the EU, would help shift away from the “lowest-price” approach and ensure that procurement decisions consider long-term operational, maintenance, and lifecycle costs. Second, Vietnam can learn from Singapore in developing open databases for pricing and technical standards, thereby improving benchmarking, reducing price disparities, and enhancing public oversight. Third, introducing mandatory certification and training for procurement officials could significantly improve technical capacity, reduce dependence on suppliers, and enhance the independence of bid evaluation</w:t>
      </w:r>
      <w:r w:rsidR="00862B82" w:rsidRPr="006C0F63">
        <w:rPr>
          <w:rFonts w:ascii="Times New Roman" w:hAnsi="Times New Roman" w:cs="Times New Roman"/>
          <w:szCs w:val="24"/>
        </w:rPr>
        <w:t>-</w:t>
      </w:r>
      <w:r w:rsidRPr="006C0F63">
        <w:rPr>
          <w:rFonts w:ascii="Times New Roman" w:hAnsi="Times New Roman" w:cs="Times New Roman"/>
          <w:szCs w:val="24"/>
        </w:rPr>
        <w:t>an approach proven effective in Japan and the United States.</w:t>
      </w:r>
    </w:p>
    <w:p w14:paraId="35EC7394" w14:textId="77777777"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lastRenderedPageBreak/>
        <w:t>However, the direct application of international procurement models in Vietnam also entails certain risks. First, limitations in digital infrastructure and implementation capacity may hinder the adoption of highly centralized and digitalized models such as Singapore’s, especially in a multi-tiered and decentralized healthcare system. Second, applying LCC without standardized price data could lead to subjective evaluations or over-reliance on supplier quotations, potentially reproducing issues such as “tailored technical specifications” highlighted in state audit reports. Third, Vietnam’s administrative culture and the current level of conflict-of-interest control may not yet be fully compatible with market-based regulatory models like that of the United States.</w:t>
      </w:r>
    </w:p>
    <w:p w14:paraId="4B1ACC48" w14:textId="77777777"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These considerations suggest that procurement reform must follow a gradual and context-sensitive approach, accompanied by strengthened institutional capacity, independent oversight, and a more robust legal framework to prevent conflicts of interest.</w:t>
      </w:r>
    </w:p>
    <w:p w14:paraId="305BE815" w14:textId="19BF1C9D" w:rsidR="00E56854"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Overall, the discussion indicates that while Vietnam can align with international standards, it must carefully select and adapt solutions that fit its legal, administrative, technological, and institutional context, rather than mechanically adopting foreign models.</w:t>
      </w:r>
    </w:p>
    <w:p w14:paraId="11ED291F" w14:textId="77777777" w:rsidR="00793E58" w:rsidRPr="006C0F63" w:rsidRDefault="00793E58" w:rsidP="00793E58">
      <w:pPr>
        <w:spacing w:after="0" w:line="240" w:lineRule="auto"/>
        <w:ind w:firstLine="720"/>
        <w:jc w:val="both"/>
        <w:rPr>
          <w:rFonts w:ascii="Times New Roman" w:hAnsi="Times New Roman" w:cs="Times New Roman"/>
          <w:b/>
          <w:bCs/>
          <w:szCs w:val="24"/>
        </w:rPr>
      </w:pPr>
      <w:r w:rsidRPr="006C0F63">
        <w:rPr>
          <w:rFonts w:ascii="Times New Roman" w:hAnsi="Times New Roman" w:cs="Times New Roman"/>
          <w:b/>
          <w:bCs/>
          <w:szCs w:val="24"/>
        </w:rPr>
        <w:t>VI. Conclusion and Policy Recommendations</w:t>
      </w:r>
    </w:p>
    <w:p w14:paraId="524F374B" w14:textId="77777777"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The comparative analysis of legal models for medical equipment procurement in the United States, Germany/European Union, Japan, and Singapore reveals significant differences in governance structures, technical mechanisms, and policy philosophies. Each country adopts a distinct model: the United States emphasizes risk-based management with the U.S. Food and Drug Administration (FDA) as the central authority for approval and post-market surveillance; the EU focuses on legal harmonization and life-cycle costing approaches; Japan prioritizes flexibility and professional decision-making at the hospital level; while Singapore represents a highly integrated and fully digitalized centralized model, where data transparency and centralized negotiation are key.</w:t>
      </w:r>
    </w:p>
    <w:p w14:paraId="44091874" w14:textId="77777777"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Compared to these systems, Vietnam has made progress in adopting e-procurement, risk-based device classification, and expanding centralized procurement. However, several limitations remain, including the lack of standardized price databases, insufficient technical capacity among procurement officials, weak post-procurement monitoring, and inconsistent technical standards. These shortcomings contribute to risks such as supplier-driven technical specifications, inconsistent approval processes, and significant price disparities across healthcare facilities.</w:t>
      </w:r>
    </w:p>
    <w:p w14:paraId="2BFBFCAC" w14:textId="77777777"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Based on these findings, the study proposes policy directions across short-, medium-, and long-term horizons.</w:t>
      </w:r>
    </w:p>
    <w:p w14:paraId="7D1926DA" w14:textId="7281D1E2"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In the short term, Vietnam should review, standardize, and harmonize its existing regulatory framework while developing a national database on medical equipment, including awarded prices, technical standards, and supplier information. Mandatory training and certification for procurement officials</w:t>
      </w:r>
      <w:r w:rsidR="00862B82" w:rsidRPr="006C0F63">
        <w:rPr>
          <w:rFonts w:ascii="Times New Roman" w:hAnsi="Times New Roman" w:cs="Times New Roman"/>
          <w:szCs w:val="24"/>
        </w:rPr>
        <w:t>-</w:t>
      </w:r>
      <w:r w:rsidRPr="006C0F63">
        <w:rPr>
          <w:rFonts w:ascii="Times New Roman" w:hAnsi="Times New Roman" w:cs="Times New Roman"/>
          <w:szCs w:val="24"/>
        </w:rPr>
        <w:t>similar to models in Japan and Singapore</w:t>
      </w:r>
      <w:r w:rsidR="00862B82" w:rsidRPr="006C0F63">
        <w:rPr>
          <w:rFonts w:ascii="Times New Roman" w:hAnsi="Times New Roman" w:cs="Times New Roman"/>
          <w:szCs w:val="24"/>
        </w:rPr>
        <w:t>-</w:t>
      </w:r>
      <w:r w:rsidRPr="006C0F63">
        <w:rPr>
          <w:rFonts w:ascii="Times New Roman" w:hAnsi="Times New Roman" w:cs="Times New Roman"/>
          <w:szCs w:val="24"/>
        </w:rPr>
        <w:t>should be implemented to reduce dependence on suppliers and ensure objective, technically sound evaluation processes.</w:t>
      </w:r>
    </w:p>
    <w:p w14:paraId="48F46744" w14:textId="77777777"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In the medium term, Vietnam may introduce international reference pricing mechanisms and gradually incorporate Life-Cycle Costing (LCC) into bid evaluation. This would shift procurement from a “lowest-price” approach toward selecting equipment with sustainable value, considering operational, maintenance, and clinical effectiveness. At the same time, e-procurement infrastructure should be upgraded, with enhanced data integration among the Ministry of Health, Ministry of Finance, and Health Insurance agencies to strengthen oversight and reduce manual intervention.</w:t>
      </w:r>
    </w:p>
    <w:p w14:paraId="632A6F19" w14:textId="77777777" w:rsidR="00793E58"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 xml:space="preserve">In the long term, Vietnam should aim to develop a procurement governance system aligned with international standards, supported by open data transparency, independent oversight mechanisms, and standardized technical and origin requirements compatible with systems such as CE marking, FDA regulations, and ASEAN standards. In parallel, policy </w:t>
      </w:r>
      <w:r w:rsidRPr="006C0F63">
        <w:rPr>
          <w:rFonts w:ascii="Times New Roman" w:hAnsi="Times New Roman" w:cs="Times New Roman"/>
          <w:szCs w:val="24"/>
        </w:rPr>
        <w:lastRenderedPageBreak/>
        <w:t>evaluation based on empirical evidence should be strengthened to ensure that regulatory adjustments are evidence-based rather than solely driven by administrative needs.</w:t>
      </w:r>
    </w:p>
    <w:p w14:paraId="54AF8247" w14:textId="7ACF3612" w:rsidR="00F33F6B" w:rsidRPr="006C0F63" w:rsidRDefault="00793E58" w:rsidP="00793E58">
      <w:pPr>
        <w:spacing w:after="0" w:line="240" w:lineRule="auto"/>
        <w:ind w:firstLine="720"/>
        <w:jc w:val="both"/>
        <w:rPr>
          <w:rFonts w:ascii="Times New Roman" w:hAnsi="Times New Roman" w:cs="Times New Roman"/>
          <w:szCs w:val="24"/>
        </w:rPr>
      </w:pPr>
      <w:r w:rsidRPr="006C0F63">
        <w:rPr>
          <w:rFonts w:ascii="Times New Roman" w:hAnsi="Times New Roman" w:cs="Times New Roman"/>
          <w:szCs w:val="24"/>
        </w:rPr>
        <w:t>Finally, this study suggests directions for future research, particularly in conducting in-depth evaluations of procurement implementation effectiveness in Vietnam using empirical data from provincial and central hospitals, as well as pilot models. Further analysis of policy impacts across specific categories of medical equipment (e.g., imaging systems, ICU equipment, laboratory devices, medical robotics) would enable the development of more specialized and targeted policy recommendations, contributing to the improvement of public healthcare procurement governance in Vietnam.</w:t>
      </w:r>
    </w:p>
    <w:p w14:paraId="7C43C3EA" w14:textId="215A96C0" w:rsidR="00AF32A5" w:rsidRPr="006C0F63" w:rsidRDefault="00795830" w:rsidP="007F03F4">
      <w:pPr>
        <w:pStyle w:val="Heading3"/>
        <w:spacing w:after="0" w:line="240" w:lineRule="auto"/>
        <w:ind w:firstLine="720"/>
        <w:rPr>
          <w:rFonts w:ascii="Times New Roman" w:hAnsi="Times New Roman" w:cs="Times New Roman"/>
          <w:b/>
          <w:bCs/>
          <w:color w:val="auto"/>
          <w:sz w:val="24"/>
          <w:szCs w:val="24"/>
        </w:rPr>
      </w:pPr>
      <w:r w:rsidRPr="006C0F63">
        <w:rPr>
          <w:rFonts w:ascii="Times New Roman" w:hAnsi="Times New Roman" w:cs="Times New Roman"/>
          <w:b/>
          <w:bCs/>
          <w:color w:val="auto"/>
          <w:sz w:val="24"/>
          <w:szCs w:val="24"/>
          <w:lang w:val="en-US"/>
        </w:rPr>
        <w:t>VII</w:t>
      </w:r>
      <w:r w:rsidR="006A7510" w:rsidRPr="006C0F63">
        <w:rPr>
          <w:rFonts w:ascii="Times New Roman" w:hAnsi="Times New Roman" w:cs="Times New Roman"/>
          <w:b/>
          <w:bCs/>
          <w:color w:val="auto"/>
          <w:sz w:val="24"/>
          <w:szCs w:val="24"/>
        </w:rPr>
        <w:t xml:space="preserve">. </w:t>
      </w:r>
      <w:r w:rsidR="00862B82" w:rsidRPr="006C0F63">
        <w:rPr>
          <w:rFonts w:ascii="Times New Roman" w:hAnsi="Times New Roman" w:cs="Times New Roman"/>
          <w:b/>
          <w:bCs/>
          <w:sz w:val="24"/>
          <w:szCs w:val="24"/>
        </w:rPr>
        <w:t>References</w:t>
      </w:r>
    </w:p>
    <w:p w14:paraId="6FB7FFED"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 OECD. (2025). Public procurement (topic page). Organisation for Economic Co-operation and Development. </w:t>
      </w:r>
      <w:hyperlink r:id="rId8" w:tgtFrame="_new" w:history="1">
        <w:r w:rsidRPr="006C0F63">
          <w:rPr>
            <w:rStyle w:val="Hyperlink"/>
            <w:rFonts w:ascii="Times New Roman" w:hAnsi="Times New Roman" w:cs="Times New Roman"/>
            <w:color w:val="auto"/>
            <w:szCs w:val="24"/>
          </w:rPr>
          <w:t>https://www.oecd.org/en/topics/policy-issues/public-procurement.html</w:t>
        </w:r>
      </w:hyperlink>
    </w:p>
    <w:p w14:paraId="00E2214F"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[2] Compton, B., et al. (2018). </w:t>
      </w:r>
      <w:r w:rsidRPr="006C0F63">
        <w:rPr>
          <w:rFonts w:ascii="Times New Roman" w:hAnsi="Times New Roman" w:cs="Times New Roman"/>
          <w:i/>
          <w:iCs/>
          <w:szCs w:val="24"/>
        </w:rPr>
        <w:t>Access to medical devices in low-income countries: Addressing sustainability challenges in medical device donations</w:t>
      </w:r>
      <w:r w:rsidRPr="006C0F63">
        <w:rPr>
          <w:rFonts w:ascii="Times New Roman" w:hAnsi="Times New Roman" w:cs="Times New Roman"/>
          <w:szCs w:val="24"/>
        </w:rPr>
        <w:t xml:space="preserve">. NAM Perspectives. </w:t>
      </w:r>
      <w:hyperlink r:id="rId9" w:tgtFrame="_new" w:history="1">
        <w:r w:rsidRPr="006C0F63">
          <w:rPr>
            <w:rStyle w:val="Hyperlink"/>
            <w:rFonts w:ascii="Times New Roman" w:hAnsi="Times New Roman" w:cs="Times New Roman"/>
            <w:color w:val="auto"/>
            <w:szCs w:val="24"/>
          </w:rPr>
          <w:t>https://nam.edu/perspectives/access-to-medical-devices-in-low-income-countries-addressing-sustainability-challenges-in-medical-device-donations/</w:t>
        </w:r>
      </w:hyperlink>
    </w:p>
    <w:p w14:paraId="7E249110"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[3] Diaconu, K., Chen, Y. F., Cummins, C., Jimenez Moyao, G., Manaseki-Holland, S., &amp; Lilford, R. (2017). Methods for medical device and equipment procurement and prioritization within low- and middle-income countries: Findings of a systematic literature review. </w:t>
      </w:r>
      <w:r w:rsidRPr="006C0F63">
        <w:rPr>
          <w:rFonts w:ascii="Times New Roman" w:hAnsi="Times New Roman" w:cs="Times New Roman"/>
          <w:i/>
          <w:iCs/>
          <w:szCs w:val="24"/>
        </w:rPr>
        <w:t>Globalization and Health, 13</w:t>
      </w:r>
      <w:r w:rsidRPr="006C0F63">
        <w:rPr>
          <w:rFonts w:ascii="Times New Roman" w:hAnsi="Times New Roman" w:cs="Times New Roman"/>
          <w:szCs w:val="24"/>
        </w:rPr>
        <w:t xml:space="preserve">(59). </w:t>
      </w:r>
      <w:hyperlink r:id="rId10" w:history="1">
        <w:r w:rsidRPr="006C0F63">
          <w:rPr>
            <w:rStyle w:val="Hyperlink"/>
            <w:rFonts w:ascii="Times New Roman" w:hAnsi="Times New Roman" w:cs="Times New Roman"/>
            <w:color w:val="auto"/>
            <w:szCs w:val="24"/>
          </w:rPr>
          <w:t>https://doi.org/10.1186/s12992-017-0280-2</w:t>
        </w:r>
      </w:hyperlink>
    </w:p>
    <w:p w14:paraId="5BDE09F3"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[4] Fazekas, Mihály; Oliveira, Alexandre Borges de; Regös, Nóra.</w:t>
      </w:r>
      <w:r w:rsidRPr="006C0F63">
        <w:rPr>
          <w:rFonts w:ascii="Times New Roman" w:hAnsi="Times New Roman" w:cs="Times New Roman"/>
          <w:i/>
          <w:iCs/>
          <w:szCs w:val="24"/>
        </w:rPr>
        <w:t>Lowering Prices of Pharmaceuticals, Medical Supplies, and Equipment : Insights from Big Data for Better Procurement Strategies in Latin America (English). </w:t>
      </w:r>
      <w:r w:rsidRPr="006C0F63">
        <w:rPr>
          <w:rFonts w:ascii="Times New Roman" w:hAnsi="Times New Roman" w:cs="Times New Roman"/>
          <w:szCs w:val="24"/>
        </w:rPr>
        <w:t>COVID-19 (Coronavirus)|Policy Research working paper|no. WPS 9689 Washington, D.C. : World Bank Group. http://documents.worldbank.org/curated/en/110791622827821491</w:t>
      </w:r>
    </w:p>
    <w:p w14:paraId="70308D4F" w14:textId="17932EDA"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[5] </w:t>
      </w:r>
      <w:r w:rsidR="00F672E6" w:rsidRPr="006C0F63">
        <w:rPr>
          <w:rFonts w:ascii="Times New Roman" w:hAnsi="Times New Roman" w:cs="Times New Roman"/>
          <w:szCs w:val="24"/>
        </w:rPr>
        <w:t>Thai, H. &amp; Nguyen, T.</w:t>
      </w:r>
      <w:r w:rsidRPr="006C0F63">
        <w:rPr>
          <w:rFonts w:ascii="Times New Roman" w:hAnsi="Times New Roman" w:cs="Times New Roman"/>
          <w:szCs w:val="24"/>
        </w:rPr>
        <w:t xml:space="preserve"> (2022). Violations uncovered at health ministry over COVID equipment purchases.</w:t>
      </w:r>
      <w:r w:rsidR="00F672E6" w:rsidRPr="006C0F63">
        <w:rPr>
          <w:rFonts w:ascii="Times New Roman" w:hAnsi="Times New Roman" w:cs="Times New Roman"/>
          <w:szCs w:val="24"/>
        </w:rPr>
        <w:t xml:space="preserve"> </w:t>
      </w:r>
      <w:r w:rsidR="00F672E6" w:rsidRPr="006C0F63">
        <w:rPr>
          <w:rFonts w:ascii="Times New Roman" w:hAnsi="Times New Roman" w:cs="Times New Roman"/>
          <w:i/>
          <w:iCs/>
          <w:szCs w:val="24"/>
        </w:rPr>
        <w:t>The Invertor Vafine Magazine.</w:t>
      </w:r>
      <w:r w:rsidRPr="006C0F63">
        <w:rPr>
          <w:rFonts w:ascii="Times New Roman" w:hAnsi="Times New Roman" w:cs="Times New Roman"/>
          <w:szCs w:val="24"/>
        </w:rPr>
        <w:t xml:space="preserve"> </w:t>
      </w:r>
      <w:hyperlink r:id="rId11" w:tgtFrame="_new" w:history="1">
        <w:r w:rsidRPr="006C0F63">
          <w:rPr>
            <w:rStyle w:val="Hyperlink"/>
            <w:rFonts w:ascii="Times New Roman" w:hAnsi="Times New Roman" w:cs="Times New Roman"/>
            <w:color w:val="auto"/>
            <w:szCs w:val="24"/>
          </w:rPr>
          <w:t>https://theinvestor.vn/violations-uncovered-at-health-ministry-over-covid-equipment-purchases-d3114.html</w:t>
        </w:r>
      </w:hyperlink>
    </w:p>
    <w:p w14:paraId="11AA0E55" w14:textId="4163D692"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[6] García-Altés, A., McKee, M., Siciliani, L., Barros, P. P., Lehtonen, L., Rogers, H., … De Maeseneer, J. (2023). Understanding public procurement within the health sector: a priority in a post-COVID-19 world. </w:t>
      </w:r>
      <w:r w:rsidRPr="006C0F63">
        <w:rPr>
          <w:rFonts w:ascii="Times New Roman" w:hAnsi="Times New Roman" w:cs="Times New Roman"/>
          <w:i/>
          <w:iCs/>
          <w:szCs w:val="24"/>
        </w:rPr>
        <w:t>Health Economics, Policy and Law</w:t>
      </w:r>
      <w:r w:rsidRPr="006C0F63">
        <w:rPr>
          <w:rFonts w:ascii="Times New Roman" w:hAnsi="Times New Roman" w:cs="Times New Roman"/>
          <w:szCs w:val="24"/>
        </w:rPr>
        <w:t>, </w:t>
      </w:r>
      <w:r w:rsidRPr="006C0F63">
        <w:rPr>
          <w:rFonts w:ascii="Times New Roman" w:hAnsi="Times New Roman" w:cs="Times New Roman"/>
          <w:i/>
          <w:iCs/>
          <w:szCs w:val="24"/>
        </w:rPr>
        <w:t>18</w:t>
      </w:r>
      <w:r w:rsidRPr="006C0F63">
        <w:rPr>
          <w:rFonts w:ascii="Times New Roman" w:hAnsi="Times New Roman" w:cs="Times New Roman"/>
          <w:szCs w:val="24"/>
        </w:rPr>
        <w:t>(2), 172</w:t>
      </w:r>
      <w:r w:rsidR="006C0F63" w:rsidRPr="006C0F63">
        <w:rPr>
          <w:rFonts w:ascii="Times New Roman" w:hAnsi="Times New Roman" w:cs="Times New Roman"/>
          <w:szCs w:val="24"/>
        </w:rPr>
        <w:t>-</w:t>
      </w:r>
      <w:r w:rsidRPr="006C0F63">
        <w:rPr>
          <w:rFonts w:ascii="Times New Roman" w:hAnsi="Times New Roman" w:cs="Times New Roman"/>
          <w:szCs w:val="24"/>
        </w:rPr>
        <w:t>185. doi:10.1017/S1744133122000184</w:t>
      </w:r>
    </w:p>
    <w:p w14:paraId="43F48575"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[7] OECD. (2015). </w:t>
      </w:r>
      <w:r w:rsidRPr="006C0F63">
        <w:rPr>
          <w:rFonts w:ascii="Times New Roman" w:hAnsi="Times New Roman" w:cs="Times New Roman"/>
          <w:i/>
          <w:iCs/>
          <w:szCs w:val="24"/>
        </w:rPr>
        <w:t>OECD recommendation of the council on public procurement</w:t>
      </w:r>
      <w:r w:rsidRPr="006C0F63">
        <w:rPr>
          <w:rFonts w:ascii="Times New Roman" w:hAnsi="Times New Roman" w:cs="Times New Roman"/>
          <w:szCs w:val="24"/>
        </w:rPr>
        <w:t>. OECD Publishing.</w:t>
      </w:r>
    </w:p>
    <w:p w14:paraId="16B0A449"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[8] Winkelmann J., Webb E., Williams G. A., Hernández-Quevedo C., Maier C. B., Panteli D (2022). European countries' responses in ensuring sufficient physical infrastructure and workforce capacity during the first COVID-19 wave. </w:t>
      </w:r>
      <w:r w:rsidRPr="006C0F63">
        <w:rPr>
          <w:rFonts w:ascii="Times New Roman" w:hAnsi="Times New Roman" w:cs="Times New Roman"/>
          <w:i/>
          <w:iCs/>
          <w:szCs w:val="24"/>
        </w:rPr>
        <w:t>Health Policy.</w:t>
      </w:r>
      <w:r w:rsidRPr="006C0F63">
        <w:rPr>
          <w:rFonts w:ascii="Times New Roman" w:hAnsi="Times New Roman" w:cs="Times New Roman"/>
          <w:szCs w:val="24"/>
        </w:rPr>
        <w:t xml:space="preserve"> 126(5):362-372. doi: 10.1016/j.healthpol.2021.06.015. Epub 2021 Jul 9. PMID: 34311982; PMCID: PMC9187509.</w:t>
      </w:r>
    </w:p>
    <w:p w14:paraId="119B42A3"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[9] Sorenson C., Kanavos P. (2011). Medical technology procurement in Europe: a cross-country comparison of current practice and policy. </w:t>
      </w:r>
      <w:r w:rsidRPr="006C0F63">
        <w:rPr>
          <w:rFonts w:ascii="Times New Roman" w:hAnsi="Times New Roman" w:cs="Times New Roman"/>
          <w:i/>
          <w:iCs/>
          <w:szCs w:val="24"/>
        </w:rPr>
        <w:t>Health Policy.</w:t>
      </w:r>
      <w:r w:rsidRPr="006C0F63">
        <w:rPr>
          <w:rFonts w:ascii="Times New Roman" w:hAnsi="Times New Roman" w:cs="Times New Roman"/>
          <w:szCs w:val="24"/>
        </w:rPr>
        <w:t xml:space="preserve"> 2011 Apr;100(1):43-50. doi: 10.1016/j.healthpol.2010.08.001. Epub 2010 Sep 16. PMID: 20846739.</w:t>
      </w:r>
    </w:p>
    <w:p w14:paraId="0C5830F3" w14:textId="55811922" w:rsidR="006A7510" w:rsidRPr="006C0F63" w:rsidRDefault="006A7510" w:rsidP="00795830">
      <w:pPr>
        <w:spacing w:after="0" w:line="240" w:lineRule="auto"/>
        <w:jc w:val="both"/>
        <w:rPr>
          <w:rFonts w:ascii="Times New Roman" w:hAnsi="Times New Roman" w:cs="Times New Roman"/>
          <w:i/>
          <w:iCs/>
          <w:szCs w:val="24"/>
        </w:rPr>
      </w:pPr>
      <w:r w:rsidRPr="006C0F63">
        <w:rPr>
          <w:rFonts w:ascii="Times New Roman" w:hAnsi="Times New Roman" w:cs="Times New Roman"/>
          <w:szCs w:val="24"/>
        </w:rPr>
        <w:t xml:space="preserve">[10] Vietnam </w:t>
      </w:r>
      <w:r w:rsidR="006C0F63" w:rsidRPr="006C0F63">
        <w:rPr>
          <w:rFonts w:ascii="Times New Roman" w:hAnsi="Times New Roman" w:cs="Times New Roman"/>
          <w:szCs w:val="24"/>
        </w:rPr>
        <w:t>-</w:t>
      </w:r>
      <w:r w:rsidRPr="006C0F63">
        <w:rPr>
          <w:rFonts w:ascii="Times New Roman" w:hAnsi="Times New Roman" w:cs="Times New Roman"/>
          <w:szCs w:val="24"/>
        </w:rPr>
        <w:t xml:space="preserve"> Healthcare. (2024).</w:t>
      </w:r>
      <w:r w:rsidRPr="006C0F63">
        <w:rPr>
          <w:rFonts w:ascii="Times New Roman" w:hAnsi="Times New Roman" w:cs="Times New Roman"/>
          <w:i/>
          <w:iCs/>
          <w:szCs w:val="24"/>
        </w:rPr>
        <w:t xml:space="preserve">Vietnam Country Commercial Guide. </w:t>
      </w:r>
      <w:hyperlink r:id="rId12" w:history="1">
        <w:r w:rsidRPr="006C0F63">
          <w:rPr>
            <w:rStyle w:val="Hyperlink"/>
            <w:rFonts w:ascii="Times New Roman" w:hAnsi="Times New Roman" w:cs="Times New Roman"/>
            <w:i/>
            <w:iCs/>
            <w:color w:val="auto"/>
            <w:szCs w:val="24"/>
          </w:rPr>
          <w:t>Vietnam - Healthcare</w:t>
        </w:r>
      </w:hyperlink>
    </w:p>
    <w:p w14:paraId="2E5A8390"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[11] PATH. (2021). </w:t>
      </w:r>
      <w:r w:rsidRPr="006C0F63">
        <w:rPr>
          <w:rFonts w:ascii="Times New Roman" w:hAnsi="Times New Roman" w:cs="Times New Roman"/>
          <w:i/>
          <w:iCs/>
          <w:szCs w:val="24"/>
        </w:rPr>
        <w:t>Description of the procurement and management systems for medical equipment, supplies, and medical oxygen in health facilities in Vietnam</w:t>
      </w:r>
      <w:r w:rsidRPr="006C0F63">
        <w:rPr>
          <w:rFonts w:ascii="Times New Roman" w:hAnsi="Times New Roman" w:cs="Times New Roman"/>
          <w:szCs w:val="24"/>
        </w:rPr>
        <w:t>. PATH.</w:t>
      </w:r>
    </w:p>
    <w:p w14:paraId="6176085F"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[12] Nguyen, V. L. (2024). Law for bidding in medical equipment procurement and practical implementation: A case study at Cu Chi Hospital, Ho Chi Minh City. </w:t>
      </w:r>
      <w:r w:rsidRPr="006C0F63">
        <w:rPr>
          <w:rFonts w:ascii="Times New Roman" w:hAnsi="Times New Roman" w:cs="Times New Roman"/>
          <w:i/>
          <w:iCs/>
          <w:szCs w:val="24"/>
        </w:rPr>
        <w:t>International Journal of Advance Research and Innovative Ideas in Education</w:t>
      </w:r>
      <w:r w:rsidRPr="006C0F63">
        <w:rPr>
          <w:rFonts w:ascii="Times New Roman" w:hAnsi="Times New Roman" w:cs="Times New Roman"/>
          <w:szCs w:val="24"/>
        </w:rPr>
        <w:t>.</w:t>
      </w:r>
    </w:p>
    <w:p w14:paraId="082C1548"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[13] Oderkerk, M. (2025). </w:t>
      </w:r>
      <w:r w:rsidRPr="006C0F63">
        <w:rPr>
          <w:rFonts w:ascii="Times New Roman" w:hAnsi="Times New Roman" w:cs="Times New Roman"/>
          <w:i/>
          <w:iCs/>
          <w:szCs w:val="24"/>
        </w:rPr>
        <w:t>Methods of comparative legal research</w:t>
      </w:r>
      <w:r w:rsidRPr="006C0F63">
        <w:rPr>
          <w:rFonts w:ascii="Times New Roman" w:hAnsi="Times New Roman" w:cs="Times New Roman"/>
          <w:szCs w:val="24"/>
        </w:rPr>
        <w:t>. Open Book Publishers.</w:t>
      </w:r>
    </w:p>
    <w:p w14:paraId="1E392CCC"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[14] European Training Foundation. (2018). </w:t>
      </w:r>
      <w:r w:rsidRPr="006C0F63">
        <w:rPr>
          <w:rFonts w:ascii="Times New Roman" w:hAnsi="Times New Roman" w:cs="Times New Roman"/>
          <w:i/>
          <w:iCs/>
          <w:szCs w:val="24"/>
        </w:rPr>
        <w:t>Guide to policy analysis</w:t>
      </w:r>
      <w:r w:rsidRPr="006C0F63">
        <w:rPr>
          <w:rFonts w:ascii="Times New Roman" w:hAnsi="Times New Roman" w:cs="Times New Roman"/>
          <w:szCs w:val="24"/>
        </w:rPr>
        <w:t xml:space="preserve">. </w:t>
      </w:r>
      <w:hyperlink r:id="rId13" w:tgtFrame="_new" w:history="1">
        <w:r w:rsidRPr="006C0F63">
          <w:rPr>
            <w:rStyle w:val="Hyperlink"/>
            <w:rFonts w:ascii="Times New Roman" w:hAnsi="Times New Roman" w:cs="Times New Roman"/>
            <w:color w:val="auto"/>
            <w:szCs w:val="24"/>
          </w:rPr>
          <w:t>https://www.etf.europa.eu/sites/default/files/m/72B7424E26ADE1AFC12582520051E25E_Guide%20to%20policy%20analysis.pdf</w:t>
        </w:r>
      </w:hyperlink>
    </w:p>
    <w:p w14:paraId="12784615"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lastRenderedPageBreak/>
        <w:t xml:space="preserve">[15] Government Accountability Office (GAO). (2022). </w:t>
      </w:r>
      <w:r w:rsidRPr="006C0F63">
        <w:rPr>
          <w:rFonts w:ascii="Times New Roman" w:hAnsi="Times New Roman" w:cs="Times New Roman"/>
          <w:i/>
          <w:iCs/>
          <w:szCs w:val="24"/>
        </w:rPr>
        <w:t>Federal contracting: Opportunities to improve transparency and oversight</w:t>
      </w:r>
      <w:r w:rsidRPr="006C0F63">
        <w:rPr>
          <w:rFonts w:ascii="Times New Roman" w:hAnsi="Times New Roman" w:cs="Times New Roman"/>
          <w:szCs w:val="24"/>
        </w:rPr>
        <w:t xml:space="preserve">. </w:t>
      </w:r>
      <w:hyperlink r:id="rId14" w:tgtFrame="_new" w:history="1">
        <w:r w:rsidRPr="006C0F63">
          <w:rPr>
            <w:rStyle w:val="Hyperlink"/>
            <w:rFonts w:ascii="Times New Roman" w:hAnsi="Times New Roman" w:cs="Times New Roman"/>
            <w:color w:val="auto"/>
            <w:szCs w:val="24"/>
          </w:rPr>
          <w:t>https://www.gao.gov</w:t>
        </w:r>
      </w:hyperlink>
    </w:p>
    <w:p w14:paraId="2B256168"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[16] OECD. (2023). </w:t>
      </w:r>
      <w:r w:rsidRPr="006C0F63">
        <w:rPr>
          <w:rFonts w:ascii="Times New Roman" w:hAnsi="Times New Roman" w:cs="Times New Roman"/>
          <w:i/>
          <w:iCs/>
          <w:szCs w:val="24"/>
        </w:rPr>
        <w:t>Public procurement in healthcare: Best practices and reforms</w:t>
      </w:r>
      <w:r w:rsidRPr="006C0F63">
        <w:rPr>
          <w:rFonts w:ascii="Times New Roman" w:hAnsi="Times New Roman" w:cs="Times New Roman"/>
          <w:szCs w:val="24"/>
        </w:rPr>
        <w:t xml:space="preserve">. </w:t>
      </w:r>
      <w:hyperlink r:id="rId15" w:history="1">
        <w:r w:rsidRPr="006C0F63">
          <w:rPr>
            <w:rStyle w:val="Hyperlink"/>
            <w:rFonts w:ascii="Times New Roman" w:hAnsi="Times New Roman" w:cs="Times New Roman"/>
            <w:color w:val="auto"/>
            <w:szCs w:val="24"/>
          </w:rPr>
          <w:t>https://www.oecd.org/health</w:t>
        </w:r>
      </w:hyperlink>
    </w:p>
    <w:p w14:paraId="54169B16"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[17] Ministry of Health, Labour and Welfare Japan (MHLW). (2022). </w:t>
      </w:r>
      <w:r w:rsidRPr="006C0F63">
        <w:rPr>
          <w:rFonts w:ascii="Times New Roman" w:hAnsi="Times New Roman" w:cs="Times New Roman"/>
          <w:i/>
          <w:iCs/>
          <w:szCs w:val="24"/>
        </w:rPr>
        <w:t>Medical device regulatory framework in Japan</w:t>
      </w:r>
      <w:r w:rsidRPr="006C0F63">
        <w:rPr>
          <w:rFonts w:ascii="Times New Roman" w:hAnsi="Times New Roman" w:cs="Times New Roman"/>
          <w:szCs w:val="24"/>
        </w:rPr>
        <w:t xml:space="preserve">. </w:t>
      </w:r>
      <w:hyperlink r:id="rId16" w:tgtFrame="_new" w:history="1">
        <w:r w:rsidRPr="006C0F63">
          <w:rPr>
            <w:rStyle w:val="Hyperlink"/>
            <w:rFonts w:ascii="Times New Roman" w:hAnsi="Times New Roman" w:cs="Times New Roman"/>
            <w:color w:val="auto"/>
            <w:szCs w:val="24"/>
          </w:rPr>
          <w:t>https://www.mhlw.go.jp</w:t>
        </w:r>
      </w:hyperlink>
    </w:p>
    <w:p w14:paraId="02487FB3"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[18] Singapore Ministry of Health. (2023). </w:t>
      </w:r>
      <w:r w:rsidRPr="006C0F63">
        <w:rPr>
          <w:rFonts w:ascii="Times New Roman" w:hAnsi="Times New Roman" w:cs="Times New Roman"/>
          <w:i/>
          <w:iCs/>
          <w:szCs w:val="24"/>
        </w:rPr>
        <w:t>Procurement framework and vendor accreditation for medical devices</w:t>
      </w:r>
      <w:r w:rsidRPr="006C0F63">
        <w:rPr>
          <w:rFonts w:ascii="Times New Roman" w:hAnsi="Times New Roman" w:cs="Times New Roman"/>
          <w:szCs w:val="24"/>
        </w:rPr>
        <w:t xml:space="preserve">. </w:t>
      </w:r>
      <w:hyperlink r:id="rId17" w:tgtFrame="_new" w:history="1">
        <w:r w:rsidRPr="006C0F63">
          <w:rPr>
            <w:rStyle w:val="Hyperlink"/>
            <w:rFonts w:ascii="Times New Roman" w:hAnsi="Times New Roman" w:cs="Times New Roman"/>
            <w:color w:val="auto"/>
            <w:szCs w:val="24"/>
          </w:rPr>
          <w:t>https://www.moh.gov.sg</w:t>
        </w:r>
      </w:hyperlink>
    </w:p>
    <w:p w14:paraId="3257AE4D"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[19] U.S. Food and Drug Administration. (2023). </w:t>
      </w:r>
      <w:r w:rsidRPr="006C0F63">
        <w:rPr>
          <w:rFonts w:ascii="Times New Roman" w:hAnsi="Times New Roman" w:cs="Times New Roman"/>
          <w:i/>
          <w:iCs/>
          <w:szCs w:val="24"/>
        </w:rPr>
        <w:t>Medical Device Classification and Approval Pathways</w:t>
      </w:r>
      <w:r w:rsidRPr="006C0F63">
        <w:rPr>
          <w:rFonts w:ascii="Times New Roman" w:hAnsi="Times New Roman" w:cs="Times New Roman"/>
          <w:szCs w:val="24"/>
        </w:rPr>
        <w:t xml:space="preserve">. </w:t>
      </w:r>
      <w:hyperlink r:id="rId18" w:tgtFrame="_new" w:history="1">
        <w:r w:rsidRPr="006C0F63">
          <w:rPr>
            <w:rStyle w:val="Hyperlink"/>
            <w:rFonts w:ascii="Times New Roman" w:hAnsi="Times New Roman" w:cs="Times New Roman"/>
            <w:color w:val="auto"/>
            <w:szCs w:val="24"/>
          </w:rPr>
          <w:t>https://www.fda.gov</w:t>
        </w:r>
      </w:hyperlink>
    </w:p>
    <w:p w14:paraId="68C68342" w14:textId="77777777" w:rsidR="006A7510" w:rsidRPr="006C0F63" w:rsidRDefault="006A7510" w:rsidP="00795830">
      <w:pPr>
        <w:spacing w:after="0" w:line="240" w:lineRule="auto"/>
        <w:jc w:val="both"/>
        <w:rPr>
          <w:rFonts w:ascii="Times New Roman" w:hAnsi="Times New Roman" w:cs="Times New Roman"/>
          <w:szCs w:val="24"/>
        </w:rPr>
      </w:pPr>
      <w:r w:rsidRPr="006C0F63">
        <w:rPr>
          <w:rFonts w:ascii="Times New Roman" w:hAnsi="Times New Roman" w:cs="Times New Roman"/>
          <w:szCs w:val="24"/>
        </w:rPr>
        <w:t xml:space="preserve">[20] OECD. (2023). </w:t>
      </w:r>
      <w:r w:rsidRPr="006C0F63">
        <w:rPr>
          <w:rFonts w:ascii="Times New Roman" w:hAnsi="Times New Roman" w:cs="Times New Roman"/>
          <w:i/>
          <w:iCs/>
          <w:szCs w:val="24"/>
        </w:rPr>
        <w:t>Strategic Procurement of Medical Technologies in Public Health Systems</w:t>
      </w:r>
      <w:r w:rsidRPr="006C0F63">
        <w:rPr>
          <w:rFonts w:ascii="Times New Roman" w:hAnsi="Times New Roman" w:cs="Times New Roman"/>
          <w:szCs w:val="24"/>
        </w:rPr>
        <w:t xml:space="preserve">. </w:t>
      </w:r>
      <w:hyperlink r:id="rId19" w:tgtFrame="_new" w:history="1">
        <w:r w:rsidRPr="006C0F63">
          <w:rPr>
            <w:rStyle w:val="Hyperlink"/>
            <w:rFonts w:ascii="Times New Roman" w:hAnsi="Times New Roman" w:cs="Times New Roman"/>
            <w:color w:val="auto"/>
            <w:szCs w:val="24"/>
          </w:rPr>
          <w:t>https://www.oecd.org</w:t>
        </w:r>
      </w:hyperlink>
    </w:p>
    <w:p w14:paraId="61CD74B9" w14:textId="77777777" w:rsidR="00C30043" w:rsidRPr="006C0F63" w:rsidRDefault="00C30043" w:rsidP="00E374AE">
      <w:pPr>
        <w:spacing w:after="0" w:line="240" w:lineRule="auto"/>
        <w:rPr>
          <w:rFonts w:ascii="Times New Roman" w:hAnsi="Times New Roman" w:cs="Times New Roman"/>
          <w:szCs w:val="24"/>
        </w:rPr>
      </w:pPr>
    </w:p>
    <w:sectPr w:rsidR="00C30043" w:rsidRPr="006C0F63" w:rsidSect="0079583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99D7B" w14:textId="77777777" w:rsidR="00401159" w:rsidRDefault="00401159" w:rsidP="00C74EFE">
      <w:pPr>
        <w:spacing w:after="0" w:line="240" w:lineRule="auto"/>
      </w:pPr>
      <w:r>
        <w:separator/>
      </w:r>
    </w:p>
  </w:endnote>
  <w:endnote w:type="continuationSeparator" w:id="0">
    <w:p w14:paraId="48EE8637" w14:textId="77777777" w:rsidR="00401159" w:rsidRDefault="00401159" w:rsidP="00C74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7D1F6" w14:textId="77777777" w:rsidR="00401159" w:rsidRDefault="00401159" w:rsidP="00C74EFE">
      <w:pPr>
        <w:spacing w:after="0" w:line="240" w:lineRule="auto"/>
      </w:pPr>
      <w:r>
        <w:separator/>
      </w:r>
    </w:p>
  </w:footnote>
  <w:footnote w:type="continuationSeparator" w:id="0">
    <w:p w14:paraId="38803E0A" w14:textId="77777777" w:rsidR="00401159" w:rsidRDefault="00401159" w:rsidP="00C74E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444DF"/>
    <w:multiLevelType w:val="multilevel"/>
    <w:tmpl w:val="C6C4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11C85"/>
    <w:multiLevelType w:val="multilevel"/>
    <w:tmpl w:val="A67A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F721C7"/>
    <w:multiLevelType w:val="multilevel"/>
    <w:tmpl w:val="3400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4955821">
    <w:abstractNumId w:val="1"/>
  </w:num>
  <w:num w:numId="2" w16cid:durableId="2048027166">
    <w:abstractNumId w:val="0"/>
  </w:num>
  <w:num w:numId="3" w16cid:durableId="2035418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A5"/>
    <w:rsid w:val="00013B26"/>
    <w:rsid w:val="00075E06"/>
    <w:rsid w:val="00085188"/>
    <w:rsid w:val="0009053D"/>
    <w:rsid w:val="00095F07"/>
    <w:rsid w:val="00097420"/>
    <w:rsid w:val="001014E3"/>
    <w:rsid w:val="00176312"/>
    <w:rsid w:val="0018470D"/>
    <w:rsid w:val="001C5D7B"/>
    <w:rsid w:val="001F4A7C"/>
    <w:rsid w:val="001F638B"/>
    <w:rsid w:val="00205F40"/>
    <w:rsid w:val="0022560C"/>
    <w:rsid w:val="0028614A"/>
    <w:rsid w:val="002942ED"/>
    <w:rsid w:val="0029588C"/>
    <w:rsid w:val="002C11CA"/>
    <w:rsid w:val="003101FC"/>
    <w:rsid w:val="00363ACB"/>
    <w:rsid w:val="00376E5E"/>
    <w:rsid w:val="003A2DFC"/>
    <w:rsid w:val="003A3F0A"/>
    <w:rsid w:val="003D78A1"/>
    <w:rsid w:val="003F3E3D"/>
    <w:rsid w:val="00401159"/>
    <w:rsid w:val="00415C45"/>
    <w:rsid w:val="00453D3C"/>
    <w:rsid w:val="00457C6B"/>
    <w:rsid w:val="00464FBE"/>
    <w:rsid w:val="00485B87"/>
    <w:rsid w:val="004D3C8A"/>
    <w:rsid w:val="005439B4"/>
    <w:rsid w:val="0055078E"/>
    <w:rsid w:val="005519B2"/>
    <w:rsid w:val="0058109A"/>
    <w:rsid w:val="00584912"/>
    <w:rsid w:val="005C1AED"/>
    <w:rsid w:val="005C64BC"/>
    <w:rsid w:val="005E334E"/>
    <w:rsid w:val="00625618"/>
    <w:rsid w:val="00631635"/>
    <w:rsid w:val="0064016B"/>
    <w:rsid w:val="0064320E"/>
    <w:rsid w:val="006A7510"/>
    <w:rsid w:val="006C0F63"/>
    <w:rsid w:val="006F00BE"/>
    <w:rsid w:val="006F149B"/>
    <w:rsid w:val="007125B0"/>
    <w:rsid w:val="00752993"/>
    <w:rsid w:val="0079340F"/>
    <w:rsid w:val="00793E58"/>
    <w:rsid w:val="00795830"/>
    <w:rsid w:val="007C7626"/>
    <w:rsid w:val="007F03F4"/>
    <w:rsid w:val="00814E59"/>
    <w:rsid w:val="008310B8"/>
    <w:rsid w:val="00842982"/>
    <w:rsid w:val="00862B82"/>
    <w:rsid w:val="0086327B"/>
    <w:rsid w:val="008A2963"/>
    <w:rsid w:val="008C7D4B"/>
    <w:rsid w:val="00970D7A"/>
    <w:rsid w:val="009F28C4"/>
    <w:rsid w:val="009F6BD3"/>
    <w:rsid w:val="00A00464"/>
    <w:rsid w:val="00A00EAD"/>
    <w:rsid w:val="00A0247C"/>
    <w:rsid w:val="00A66B27"/>
    <w:rsid w:val="00A83117"/>
    <w:rsid w:val="00A95BB2"/>
    <w:rsid w:val="00AA4982"/>
    <w:rsid w:val="00AF32A5"/>
    <w:rsid w:val="00B23AF7"/>
    <w:rsid w:val="00B3464C"/>
    <w:rsid w:val="00B41565"/>
    <w:rsid w:val="00B903A9"/>
    <w:rsid w:val="00BD0CCE"/>
    <w:rsid w:val="00BD10FD"/>
    <w:rsid w:val="00C2752C"/>
    <w:rsid w:val="00C30043"/>
    <w:rsid w:val="00C54093"/>
    <w:rsid w:val="00C61BFC"/>
    <w:rsid w:val="00C62F3E"/>
    <w:rsid w:val="00C648C1"/>
    <w:rsid w:val="00C74EFE"/>
    <w:rsid w:val="00CA7ED5"/>
    <w:rsid w:val="00CD5C0F"/>
    <w:rsid w:val="00CE051E"/>
    <w:rsid w:val="00D77329"/>
    <w:rsid w:val="00DA1C97"/>
    <w:rsid w:val="00E374AE"/>
    <w:rsid w:val="00E56854"/>
    <w:rsid w:val="00E60D07"/>
    <w:rsid w:val="00E7195B"/>
    <w:rsid w:val="00EA6858"/>
    <w:rsid w:val="00EE2F43"/>
    <w:rsid w:val="00F0221A"/>
    <w:rsid w:val="00F33F6B"/>
    <w:rsid w:val="00F424E9"/>
    <w:rsid w:val="00F672E6"/>
    <w:rsid w:val="00FA2053"/>
    <w:rsid w:val="00FB3FD5"/>
    <w:rsid w:val="00FD64CE"/>
    <w:rsid w:val="00FE6BC8"/>
    <w:rsid w:val="00FF6FEC"/>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16467"/>
  <w15:chartTrackingRefBased/>
  <w15:docId w15:val="{08C68DD7-81EC-4EAE-BEA1-1D3C8482B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vi-VN"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2A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AF32A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AF32A5"/>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AF32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2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2A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AF32A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AF32A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AF32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2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2A5"/>
    <w:rPr>
      <w:rFonts w:eastAsiaTheme="majorEastAsia" w:cstheme="majorBidi"/>
      <w:color w:val="272727" w:themeColor="text1" w:themeTint="D8"/>
    </w:rPr>
  </w:style>
  <w:style w:type="paragraph" w:styleId="Title">
    <w:name w:val="Title"/>
    <w:basedOn w:val="Normal"/>
    <w:next w:val="Normal"/>
    <w:link w:val="TitleChar"/>
    <w:uiPriority w:val="10"/>
    <w:qFormat/>
    <w:rsid w:val="00AF32A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F32A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AF32A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AF32A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AF32A5"/>
    <w:pPr>
      <w:spacing w:before="160"/>
      <w:jc w:val="center"/>
    </w:pPr>
    <w:rPr>
      <w:i/>
      <w:iCs/>
      <w:color w:val="404040" w:themeColor="text1" w:themeTint="BF"/>
    </w:rPr>
  </w:style>
  <w:style w:type="character" w:customStyle="1" w:styleId="QuoteChar">
    <w:name w:val="Quote Char"/>
    <w:basedOn w:val="DefaultParagraphFont"/>
    <w:link w:val="Quote"/>
    <w:uiPriority w:val="29"/>
    <w:rsid w:val="00AF32A5"/>
    <w:rPr>
      <w:i/>
      <w:iCs/>
      <w:color w:val="404040" w:themeColor="text1" w:themeTint="BF"/>
    </w:rPr>
  </w:style>
  <w:style w:type="paragraph" w:styleId="ListParagraph">
    <w:name w:val="List Paragraph"/>
    <w:basedOn w:val="Normal"/>
    <w:uiPriority w:val="34"/>
    <w:qFormat/>
    <w:rsid w:val="00AF32A5"/>
    <w:pPr>
      <w:ind w:left="720"/>
      <w:contextualSpacing/>
    </w:pPr>
  </w:style>
  <w:style w:type="character" w:styleId="IntenseEmphasis">
    <w:name w:val="Intense Emphasis"/>
    <w:basedOn w:val="DefaultParagraphFont"/>
    <w:uiPriority w:val="21"/>
    <w:qFormat/>
    <w:rsid w:val="00AF32A5"/>
    <w:rPr>
      <w:i/>
      <w:iCs/>
      <w:color w:val="0F4761" w:themeColor="accent1" w:themeShade="BF"/>
    </w:rPr>
  </w:style>
  <w:style w:type="paragraph" w:styleId="IntenseQuote">
    <w:name w:val="Intense Quote"/>
    <w:basedOn w:val="Normal"/>
    <w:next w:val="Normal"/>
    <w:link w:val="IntenseQuoteChar"/>
    <w:uiPriority w:val="30"/>
    <w:qFormat/>
    <w:rsid w:val="00AF3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2A5"/>
    <w:rPr>
      <w:i/>
      <w:iCs/>
      <w:color w:val="0F4761" w:themeColor="accent1" w:themeShade="BF"/>
    </w:rPr>
  </w:style>
  <w:style w:type="character" w:styleId="IntenseReference">
    <w:name w:val="Intense Reference"/>
    <w:basedOn w:val="DefaultParagraphFont"/>
    <w:uiPriority w:val="32"/>
    <w:qFormat/>
    <w:rsid w:val="00AF32A5"/>
    <w:rPr>
      <w:b/>
      <w:bCs/>
      <w:smallCaps/>
      <w:color w:val="0F4761" w:themeColor="accent1" w:themeShade="BF"/>
      <w:spacing w:val="5"/>
    </w:rPr>
  </w:style>
  <w:style w:type="character" w:styleId="Hyperlink">
    <w:name w:val="Hyperlink"/>
    <w:basedOn w:val="DefaultParagraphFont"/>
    <w:uiPriority w:val="99"/>
    <w:unhideWhenUsed/>
    <w:rsid w:val="00AF32A5"/>
    <w:rPr>
      <w:color w:val="467886" w:themeColor="hyperlink"/>
      <w:u w:val="single"/>
    </w:rPr>
  </w:style>
  <w:style w:type="character" w:styleId="UnresolvedMention">
    <w:name w:val="Unresolved Mention"/>
    <w:basedOn w:val="DefaultParagraphFont"/>
    <w:uiPriority w:val="99"/>
    <w:semiHidden/>
    <w:unhideWhenUsed/>
    <w:rsid w:val="00AF32A5"/>
    <w:rPr>
      <w:color w:val="605E5C"/>
      <w:shd w:val="clear" w:color="auto" w:fill="E1DFDD"/>
    </w:rPr>
  </w:style>
  <w:style w:type="paragraph" w:styleId="NormalWeb">
    <w:name w:val="Normal (Web)"/>
    <w:basedOn w:val="Normal"/>
    <w:uiPriority w:val="99"/>
    <w:semiHidden/>
    <w:unhideWhenUsed/>
    <w:rsid w:val="00AF32A5"/>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Emphasis">
    <w:name w:val="Emphasis"/>
    <w:basedOn w:val="DefaultParagraphFont"/>
    <w:uiPriority w:val="20"/>
    <w:qFormat/>
    <w:rsid w:val="00AF32A5"/>
    <w:rPr>
      <w:i/>
      <w:iCs/>
    </w:rPr>
  </w:style>
  <w:style w:type="character" w:customStyle="1" w:styleId="ms-1">
    <w:name w:val="ms-1"/>
    <w:basedOn w:val="DefaultParagraphFont"/>
    <w:rsid w:val="00AF32A5"/>
  </w:style>
  <w:style w:type="character" w:customStyle="1" w:styleId="max-w-15ch">
    <w:name w:val="max-w-[15ch]"/>
    <w:basedOn w:val="DefaultParagraphFont"/>
    <w:rsid w:val="00AF32A5"/>
  </w:style>
  <w:style w:type="character" w:customStyle="1" w:styleId="-me-1">
    <w:name w:val="-me-1"/>
    <w:basedOn w:val="DefaultParagraphFont"/>
    <w:rsid w:val="00AF32A5"/>
  </w:style>
  <w:style w:type="table" w:styleId="TableGrid">
    <w:name w:val="Table Grid"/>
    <w:basedOn w:val="TableNormal"/>
    <w:uiPriority w:val="39"/>
    <w:rsid w:val="00551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A7510"/>
    <w:rPr>
      <w:color w:val="96607D" w:themeColor="followedHyperlink"/>
      <w:u w:val="single"/>
    </w:rPr>
  </w:style>
  <w:style w:type="paragraph" w:styleId="Header">
    <w:name w:val="header"/>
    <w:basedOn w:val="Normal"/>
    <w:link w:val="HeaderChar"/>
    <w:uiPriority w:val="99"/>
    <w:unhideWhenUsed/>
    <w:rsid w:val="00C74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EFE"/>
  </w:style>
  <w:style w:type="paragraph" w:styleId="Footer">
    <w:name w:val="footer"/>
    <w:basedOn w:val="Normal"/>
    <w:link w:val="FooterChar"/>
    <w:uiPriority w:val="99"/>
    <w:unhideWhenUsed/>
    <w:rsid w:val="00C74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EFE"/>
  </w:style>
  <w:style w:type="paragraph" w:styleId="FootnoteText">
    <w:name w:val="footnote text"/>
    <w:aliases w:val="Char Char,Footnote Text Char Char Char,Footnote Text Char Char Char Char Char,Footnote Text Char Char Char Char Char Char Ch,Footnote Text Char1 Char1,Footnote Text Char Char Char1,Footnote Text Char1 Char Char,fn,footnote text,Footnotes"/>
    <w:basedOn w:val="Normal"/>
    <w:link w:val="FootnoteTextChar"/>
    <w:uiPriority w:val="99"/>
    <w:unhideWhenUsed/>
    <w:qFormat/>
    <w:rsid w:val="00363ACB"/>
    <w:pPr>
      <w:spacing w:after="0" w:line="240" w:lineRule="auto"/>
    </w:pPr>
    <w:rPr>
      <w:sz w:val="20"/>
      <w:szCs w:val="25"/>
    </w:rPr>
  </w:style>
  <w:style w:type="character" w:customStyle="1" w:styleId="FootnoteTextChar">
    <w:name w:val="Footnote Text Char"/>
    <w:aliases w:val="Char Char Char,Footnote Text Char Char Char Char,Footnote Text Char Char Char Char Char Char,Footnote Text Char Char Char Char Char Char Ch Char,Footnote Text Char1 Char1 Char,Footnote Text Char Char Char1 Char,fn Char,Footnotes Char"/>
    <w:basedOn w:val="DefaultParagraphFont"/>
    <w:link w:val="FootnoteText"/>
    <w:uiPriority w:val="99"/>
    <w:qFormat/>
    <w:rsid w:val="00363ACB"/>
    <w:rPr>
      <w:sz w:val="20"/>
      <w:szCs w:val="25"/>
    </w:rPr>
  </w:style>
  <w:style w:type="character" w:styleId="FootnoteReference">
    <w:name w:val="footnote reference"/>
    <w:aliases w:val="Footnote,Footnote text,Ref,de nota al pie,ftref,16 Point,Superscript 6 Point,BVI fnr,BearingPoint,fr,Footnote Text1,Footnote Text Char Char Char Char Char Char Ch Char Char Char Char Char Char C,f,Error-Fußnotenzeichen5, BVI fnr,R,Re"/>
    <w:basedOn w:val="DefaultParagraphFont"/>
    <w:link w:val="4GCharCharChar"/>
    <w:uiPriority w:val="99"/>
    <w:unhideWhenUsed/>
    <w:qFormat/>
    <w:rsid w:val="00363ACB"/>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363ACB"/>
    <w:pPr>
      <w:widowControl w:val="0"/>
      <w:spacing w:before="120" w:beforeAutospacing="1" w:afterAutospacing="1" w:line="240" w:lineRule="exact"/>
      <w:ind w:firstLine="567"/>
      <w:jc w:val="both"/>
    </w:pPr>
    <w:rPr>
      <w:vertAlign w:val="superscript"/>
    </w:rPr>
  </w:style>
  <w:style w:type="character" w:styleId="CommentReference">
    <w:name w:val="annotation reference"/>
    <w:basedOn w:val="DefaultParagraphFont"/>
    <w:uiPriority w:val="99"/>
    <w:semiHidden/>
    <w:unhideWhenUsed/>
    <w:rsid w:val="005C1AED"/>
    <w:rPr>
      <w:sz w:val="16"/>
      <w:szCs w:val="16"/>
    </w:rPr>
  </w:style>
  <w:style w:type="paragraph" w:styleId="CommentText">
    <w:name w:val="annotation text"/>
    <w:basedOn w:val="Normal"/>
    <w:link w:val="CommentTextChar"/>
    <w:uiPriority w:val="99"/>
    <w:semiHidden/>
    <w:unhideWhenUsed/>
    <w:rsid w:val="005C1AED"/>
    <w:pPr>
      <w:spacing w:line="240" w:lineRule="auto"/>
    </w:pPr>
    <w:rPr>
      <w:sz w:val="20"/>
      <w:szCs w:val="25"/>
    </w:rPr>
  </w:style>
  <w:style w:type="character" w:customStyle="1" w:styleId="CommentTextChar">
    <w:name w:val="Comment Text Char"/>
    <w:basedOn w:val="DefaultParagraphFont"/>
    <w:link w:val="CommentText"/>
    <w:uiPriority w:val="99"/>
    <w:semiHidden/>
    <w:rsid w:val="005C1AED"/>
    <w:rPr>
      <w:sz w:val="20"/>
      <w:szCs w:val="25"/>
    </w:rPr>
  </w:style>
  <w:style w:type="paragraph" w:styleId="CommentSubject">
    <w:name w:val="annotation subject"/>
    <w:basedOn w:val="CommentText"/>
    <w:next w:val="CommentText"/>
    <w:link w:val="CommentSubjectChar"/>
    <w:uiPriority w:val="99"/>
    <w:semiHidden/>
    <w:unhideWhenUsed/>
    <w:rsid w:val="005C1AED"/>
    <w:rPr>
      <w:b/>
      <w:bCs/>
    </w:rPr>
  </w:style>
  <w:style w:type="character" w:customStyle="1" w:styleId="CommentSubjectChar">
    <w:name w:val="Comment Subject Char"/>
    <w:basedOn w:val="CommentTextChar"/>
    <w:link w:val="CommentSubject"/>
    <w:uiPriority w:val="99"/>
    <w:semiHidden/>
    <w:rsid w:val="005C1AED"/>
    <w:rPr>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cd.org/en/topics/policy-issues/public-procurement.html?utm_source=chatgpt.com" TargetMode="External"/><Relationship Id="rId13" Type="http://schemas.openxmlformats.org/officeDocument/2006/relationships/hyperlink" Target="https://www.etf.europa.eu/sites/default/files/m/72B7424E26ADE1AFC12582520051E25E_Guide%20to%20policy%20analysis.pdf?utm_source=chatgpt.com" TargetMode="External"/><Relationship Id="rId18" Type="http://schemas.openxmlformats.org/officeDocument/2006/relationships/hyperlink" Target="https://www.fda.go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rade.gov/country-commercial-guides/vietnam-healthcare?utm_source=chatgpt.com" TargetMode="External"/><Relationship Id="rId17" Type="http://schemas.openxmlformats.org/officeDocument/2006/relationships/hyperlink" Target="https://www.moh.gov.sg" TargetMode="External"/><Relationship Id="rId2" Type="http://schemas.openxmlformats.org/officeDocument/2006/relationships/numbering" Target="numbering.xml"/><Relationship Id="rId16" Type="http://schemas.openxmlformats.org/officeDocument/2006/relationships/hyperlink" Target="https://www.mhlw.go.j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investor.vn/violations-uncovered-at-health-ministry-over-covid-equipment-purchases-d3114.html?utm_source=chatgpt.com" TargetMode="External"/><Relationship Id="rId5" Type="http://schemas.openxmlformats.org/officeDocument/2006/relationships/webSettings" Target="webSettings.xml"/><Relationship Id="rId15" Type="http://schemas.openxmlformats.org/officeDocument/2006/relationships/hyperlink" Target="https://www.oecd.org/health" TargetMode="External"/><Relationship Id="rId10" Type="http://schemas.openxmlformats.org/officeDocument/2006/relationships/hyperlink" Target="https://doi.org/10.1186/s12992-017-0280-2" TargetMode="External"/><Relationship Id="rId19" Type="http://schemas.openxmlformats.org/officeDocument/2006/relationships/hyperlink" Target="https://www.oecd.org" TargetMode="External"/><Relationship Id="rId4" Type="http://schemas.openxmlformats.org/officeDocument/2006/relationships/settings" Target="settings.xml"/><Relationship Id="rId9" Type="http://schemas.openxmlformats.org/officeDocument/2006/relationships/hyperlink" Target="https://nam.edu/perspectives/access-to-medical-devices-in-low-income-countries-addressing-sustainability-challenges-in-medical-device-donations/?utm_source=chatgpt.com" TargetMode="External"/><Relationship Id="rId14" Type="http://schemas.openxmlformats.org/officeDocument/2006/relationships/hyperlink" Target="https://www.gao.gov"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A4656-B0EB-4049-9FD6-21C3078F1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12</Pages>
  <Words>6659</Words>
  <Characters>37959</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Thiện Nguyễn Minh</dc:creator>
  <cp:keywords/>
  <dc:description/>
  <cp:lastModifiedBy>Thiện Nguyễn Minh</cp:lastModifiedBy>
  <cp:revision>9</cp:revision>
  <dcterms:created xsi:type="dcterms:W3CDTF">2026-04-15T09:18:00Z</dcterms:created>
  <dcterms:modified xsi:type="dcterms:W3CDTF">2026-06-27T06:02:00Z</dcterms:modified>
</cp:coreProperties>
</file>