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ECCE6">
      <w:pPr>
        <w:pStyle w:val="31"/>
        <w:spacing w:line="240" w:lineRule="auto"/>
        <w:ind w:left="-102" w:firstLine="0"/>
        <w:jc w:val="center"/>
        <w:rPr>
          <w:rFonts w:ascii="Times New Roman" w:hAnsi="Times New Roman" w:cs="Times New Roman"/>
          <w:b/>
          <w:bCs/>
          <w:sz w:val="24"/>
          <w:szCs w:val="24"/>
        </w:rPr>
      </w:pPr>
      <w:r>
        <w:rPr>
          <w:rFonts w:ascii="Times New Roman" w:hAnsi="Times New Roman" w:eastAsia="SimSun" w:cs="Times New Roman"/>
          <w:b/>
          <w:bCs/>
          <w:sz w:val="24"/>
          <w:szCs w:val="24"/>
        </w:rPr>
        <w:t>Factors influencing language choice among bilingual Cham Muslims in Southern Vietnam</w:t>
      </w:r>
    </w:p>
    <w:p w14:paraId="399CC20C">
      <w:pPr>
        <w:tabs>
          <w:tab w:val="left" w:pos="450"/>
        </w:tabs>
        <w:spacing w:after="0"/>
        <w:jc w:val="center"/>
        <w:rPr>
          <w:rFonts w:ascii="Times New Roman" w:hAnsi="Times New Roman" w:cs="Times New Roman"/>
          <w:sz w:val="24"/>
          <w:szCs w:val="24"/>
        </w:rPr>
      </w:pPr>
    </w:p>
    <w:p w14:paraId="7B2B2296">
      <w:pPr>
        <w:tabs>
          <w:tab w:val="left" w:pos="450"/>
        </w:tabs>
        <w:spacing w:after="0"/>
        <w:jc w:val="center"/>
        <w:rPr>
          <w:rFonts w:ascii="Times New Roman" w:hAnsi="Times New Roman" w:cs="Times New Roman"/>
          <w:sz w:val="24"/>
          <w:szCs w:val="24"/>
        </w:rPr>
      </w:pPr>
    </w:p>
    <w:p w14:paraId="15063AFD">
      <w:pPr>
        <w:tabs>
          <w:tab w:val="left" w:pos="450"/>
        </w:tabs>
        <w:spacing w:after="0"/>
        <w:jc w:val="center"/>
        <w:rPr>
          <w:rFonts w:ascii="Times New Roman" w:hAnsi="Times New Roman" w:cs="Times New Roman"/>
          <w:sz w:val="24"/>
          <w:szCs w:val="24"/>
        </w:rPr>
      </w:pPr>
      <w:r>
        <w:rPr>
          <w:rFonts w:ascii="Times New Roman" w:hAnsi="Times New Roman" w:cs="Times New Roman"/>
          <w:sz w:val="24"/>
          <w:szCs w:val="24"/>
        </w:rPr>
        <w:t>Quoc Hoang</w:t>
      </w:r>
    </w:p>
    <w:p w14:paraId="7A2F6AA0">
      <w:pPr>
        <w:tabs>
          <w:tab w:val="left" w:pos="450"/>
        </w:tabs>
        <w:spacing w:after="0"/>
        <w:jc w:val="center"/>
        <w:rPr>
          <w:rFonts w:ascii="Times New Roman" w:hAnsi="Times New Roman" w:cs="Times New Roman"/>
          <w:sz w:val="24"/>
          <w:szCs w:val="24"/>
        </w:rPr>
      </w:pPr>
    </w:p>
    <w:p w14:paraId="4EDF9B51">
      <w:pPr>
        <w:tabs>
          <w:tab w:val="left" w:pos="450"/>
        </w:tabs>
        <w:spacing w:after="0"/>
        <w:jc w:val="both"/>
        <w:rPr>
          <w:rFonts w:ascii="Times New Roman" w:hAnsi="Times New Roman" w:cs="Times New Roman"/>
          <w:sz w:val="24"/>
          <w:szCs w:val="24"/>
        </w:rPr>
      </w:pPr>
      <w:r>
        <w:rPr>
          <w:rFonts w:ascii="Times New Roman" w:hAnsi="Times New Roman" w:cs="Times New Roman"/>
          <w:sz w:val="24"/>
          <w:szCs w:val="24"/>
        </w:rPr>
        <w:t xml:space="preserve">Saigon </w:t>
      </w:r>
      <w:r>
        <w:rPr>
          <w:rFonts w:asciiTheme="majorBidi" w:hAnsiTheme="majorBidi" w:cstheme="majorBidi"/>
          <w:color w:val="000000" w:themeColor="text1"/>
          <w:sz w:val="24"/>
          <w:szCs w:val="24"/>
          <w14:textFill>
            <w14:solidFill>
              <w14:schemeClr w14:val="tx1"/>
            </w14:solidFill>
          </w14:textFill>
        </w:rPr>
        <w:t>University</w:t>
      </w:r>
      <w:r>
        <w:rPr>
          <w:rFonts w:ascii="Times New Roman" w:hAnsi="Times New Roman" w:cs="Times New Roman"/>
          <w:sz w:val="24"/>
          <w:szCs w:val="24"/>
        </w:rPr>
        <w:t>, Ho Chi Minh city, Vietnam</w:t>
      </w:r>
    </w:p>
    <w:p w14:paraId="73564C69">
      <w:pPr>
        <w:tabs>
          <w:tab w:val="left" w:pos="450"/>
        </w:tabs>
        <w:spacing w:after="0"/>
        <w:jc w:val="both"/>
        <w:rPr>
          <w:rFonts w:ascii="Times New Roman" w:hAnsi="Times New Roman" w:cs="Times New Roman"/>
          <w:sz w:val="24"/>
          <w:szCs w:val="24"/>
        </w:rPr>
      </w:pPr>
      <w:r>
        <w:rPr>
          <w:rFonts w:asciiTheme="majorBidi" w:hAnsiTheme="majorBidi" w:cstheme="majorBidi"/>
          <w:color w:val="000000" w:themeColor="text1"/>
          <w:sz w:val="24"/>
          <w:szCs w:val="24"/>
          <w14:textFill>
            <w14:solidFill>
              <w14:schemeClr w14:val="tx1"/>
            </w14:solidFill>
          </w14:textFill>
        </w:rPr>
        <w:t>Address</w:t>
      </w:r>
      <w:r>
        <w:rPr>
          <w:rFonts w:ascii="Times New Roman" w:hAnsi="Times New Roman" w:cs="Times New Roman"/>
          <w:sz w:val="24"/>
          <w:szCs w:val="24"/>
        </w:rPr>
        <w:t>: 273 An Duong Vuong Street, Cho Quan Ward, Ho Chi Minh City, Vietnam</w:t>
      </w:r>
    </w:p>
    <w:p w14:paraId="50BE5E1E">
      <w:pPr>
        <w:tabs>
          <w:tab w:val="left" w:pos="450"/>
        </w:tabs>
        <w:spacing w:after="0"/>
        <w:jc w:val="both"/>
        <w:rPr>
          <w:rFonts w:ascii="Times New Roman" w:hAnsi="Times New Roman" w:cs="Times New Roman"/>
          <w:sz w:val="24"/>
          <w:szCs w:val="24"/>
        </w:rPr>
      </w:pPr>
      <w:r>
        <w:rPr>
          <w:rFonts w:ascii="Times New Roman" w:hAnsi="Times New Roman" w:cs="Times New Roman"/>
          <w:sz w:val="24"/>
          <w:szCs w:val="24"/>
        </w:rPr>
        <w:t xml:space="preserve">Orcid No:  </w:t>
      </w:r>
      <w:r>
        <w:fldChar w:fldCharType="begin"/>
      </w:r>
      <w:r>
        <w:instrText xml:space="preserve"> HYPERLINK "https://orcid.org/0009-0002-0432-1488" </w:instrText>
      </w:r>
      <w:r>
        <w:fldChar w:fldCharType="separate"/>
      </w:r>
      <w:r>
        <w:rPr>
          <w:rStyle w:val="17"/>
          <w:rFonts w:ascii="Times New Roman" w:hAnsi="Times New Roman" w:cs="Times New Roman"/>
          <w:sz w:val="24"/>
          <w:szCs w:val="24"/>
        </w:rPr>
        <w:t>https://orcid.org/0009-0002-0432-1488</w:t>
      </w:r>
      <w:r>
        <w:rPr>
          <w:rStyle w:val="17"/>
          <w:rFonts w:ascii="Times New Roman" w:hAnsi="Times New Roman" w:cs="Times New Roman"/>
          <w:sz w:val="24"/>
          <w:szCs w:val="24"/>
        </w:rPr>
        <w:fldChar w:fldCharType="end"/>
      </w:r>
      <w:r>
        <w:rPr>
          <w:rFonts w:ascii="Times New Roman" w:hAnsi="Times New Roman" w:cs="Times New Roman"/>
          <w:sz w:val="24"/>
          <w:szCs w:val="24"/>
        </w:rPr>
        <w:t xml:space="preserve"> </w:t>
      </w:r>
    </w:p>
    <w:p w14:paraId="322D760C">
      <w:pPr>
        <w:tabs>
          <w:tab w:val="left" w:pos="450"/>
        </w:tabs>
        <w:spacing w:after="0"/>
        <w:jc w:val="both"/>
        <w:rPr>
          <w:rFonts w:ascii="Times New Roman" w:hAnsi="Times New Roman" w:cs="Times New Roman"/>
          <w:sz w:val="24"/>
          <w:szCs w:val="24"/>
        </w:rPr>
      </w:pPr>
      <w:r>
        <w:rPr>
          <w:rFonts w:ascii="Times New Roman" w:hAnsi="Times New Roman" w:cs="Times New Roman"/>
          <w:sz w:val="24"/>
          <w:szCs w:val="24"/>
        </w:rPr>
        <w:t xml:space="preserve">Email: </w:t>
      </w:r>
      <w:r>
        <w:fldChar w:fldCharType="begin"/>
      </w:r>
      <w:r>
        <w:instrText xml:space="preserve"> HYPERLINK "mailto:hquoc@sgu.edu.vn" </w:instrText>
      </w:r>
      <w:r>
        <w:fldChar w:fldCharType="separate"/>
      </w:r>
      <w:r>
        <w:rPr>
          <w:rStyle w:val="17"/>
          <w:rFonts w:ascii="Times New Roman" w:hAnsi="Times New Roman" w:cs="Times New Roman"/>
          <w:sz w:val="24"/>
          <w:szCs w:val="24"/>
        </w:rPr>
        <w:t>hquoc@sgu.edu.vn</w:t>
      </w:r>
      <w:r>
        <w:rPr>
          <w:rStyle w:val="17"/>
          <w:rFonts w:ascii="Times New Roman" w:hAnsi="Times New Roman" w:cs="Times New Roman"/>
          <w:sz w:val="24"/>
          <w:szCs w:val="24"/>
        </w:rPr>
        <w:fldChar w:fldCharType="end"/>
      </w:r>
      <w:r>
        <w:rPr>
          <w:rFonts w:ascii="Times New Roman" w:hAnsi="Times New Roman" w:cs="Times New Roman"/>
          <w:sz w:val="24"/>
          <w:szCs w:val="24"/>
        </w:rPr>
        <w:t xml:space="preserve"> </w:t>
      </w:r>
    </w:p>
    <w:p w14:paraId="44CD8DF4">
      <w:pPr>
        <w:pStyle w:val="18"/>
        <w:spacing w:before="0" w:beforeAutospacing="0" w:after="0" w:afterAutospacing="0" w:line="276" w:lineRule="auto"/>
        <w:jc w:val="both"/>
        <w:rPr>
          <w:b/>
          <w:bCs/>
        </w:rPr>
      </w:pPr>
    </w:p>
    <w:p w14:paraId="3E3E99F6">
      <w:pPr>
        <w:pStyle w:val="18"/>
        <w:spacing w:before="0" w:beforeAutospacing="0" w:after="0" w:afterAutospacing="0" w:line="276" w:lineRule="auto"/>
        <w:jc w:val="both"/>
        <w:rPr>
          <w:b/>
          <w:bCs/>
        </w:rPr>
      </w:pPr>
    </w:p>
    <w:p w14:paraId="6CD946D4">
      <w:pPr>
        <w:pStyle w:val="18"/>
        <w:spacing w:before="0" w:beforeAutospacing="0" w:after="0" w:afterAutospacing="0" w:line="276" w:lineRule="auto"/>
        <w:jc w:val="both"/>
        <w:rPr>
          <w:b/>
          <w:bCs/>
        </w:rPr>
      </w:pPr>
      <w:r>
        <w:rPr>
          <w:b/>
          <w:bCs/>
        </w:rPr>
        <w:t>Abstract</w:t>
      </w:r>
    </w:p>
    <w:p w14:paraId="667F2B46">
      <w:pPr>
        <w:pStyle w:val="18"/>
        <w:spacing w:before="0" w:beforeAutospacing="0" w:after="0" w:afterAutospacing="0" w:line="276" w:lineRule="auto"/>
        <w:ind w:firstLine="720"/>
        <w:jc w:val="both"/>
        <w:rPr>
          <w:rFonts w:eastAsia="SimSun"/>
        </w:rPr>
      </w:pPr>
      <w:r>
        <w:rPr>
          <w:rFonts w:eastAsia="SimSun"/>
        </w:rPr>
        <w:t xml:space="preserve">This paper argues that the language choice of ethnic minority bilinguals is a structured behavior that challenges the conventional opposition between affective motivations and instrumental needs. This study posits that internal identity-driven motivations and, counter-intuitively, an awareness of external pragmatic pressures can both positively reinforce ethnic language loyalty. This model is decisively confirmed through a mixed-methods analysis of 464 Cham Muslim bilinguals in Southern Vietnam (survey + 8 interviews), </w:t>
      </w:r>
      <w:r>
        <w:t xml:space="preserve">explaining 86.2% </w:t>
      </w:r>
      <w:r>
        <w:rPr>
          <w:rFonts w:eastAsia="sans-serif"/>
        </w:rPr>
        <w:t>(Adjusted R</w:t>
      </w:r>
      <w:r>
        <w:rPr>
          <w:rFonts w:eastAsia="sans-serif"/>
          <w:vertAlign w:val="superscript"/>
        </w:rPr>
        <w:t>2</w:t>
      </w:r>
      <w:r>
        <w:rPr>
          <w:rFonts w:eastAsia="sans-serif"/>
        </w:rPr>
        <w:t xml:space="preserve">) of the variance in language choice. </w:t>
      </w:r>
      <w:r>
        <w:rPr>
          <w:rFonts w:eastAsia="SimSun"/>
        </w:rPr>
        <w:t>The findings show that while internal and community factors—namely c</w:t>
      </w:r>
      <w:r>
        <w:rPr>
          <w:rFonts w:eastAsia="sans-serif"/>
        </w:rPr>
        <w:t>ultural identity (</w:t>
      </w:r>
      <w:r>
        <w:rPr>
          <w:rFonts w:eastAsia="SimSun"/>
          <w:color w:val="000000" w:themeColor="text1"/>
          <w14:textFill>
            <w14:solidFill>
              <w14:schemeClr w14:val="tx1"/>
            </w14:solidFill>
          </w14:textFill>
        </w:rPr>
        <w:t>β</w:t>
      </w:r>
      <w:r>
        <w:rPr>
          <w:rFonts w:eastAsia="sans-serif"/>
        </w:rPr>
        <w:t>=0.278), language proficiency (</w:t>
      </w:r>
      <w:r>
        <w:rPr>
          <w:rFonts w:eastAsia="SimSun"/>
          <w:color w:val="000000" w:themeColor="text1"/>
          <w14:textFill>
            <w14:solidFill>
              <w14:schemeClr w14:val="tx1"/>
            </w14:solidFill>
          </w14:textFill>
        </w:rPr>
        <w:t>β</w:t>
      </w:r>
      <w:r>
        <w:rPr>
          <w:rFonts w:eastAsia="sans-serif"/>
        </w:rPr>
        <w:t>=0.221), language attitude (</w:t>
      </w:r>
      <w:r>
        <w:rPr>
          <w:rFonts w:eastAsia="SimSun"/>
          <w:color w:val="000000" w:themeColor="text1"/>
          <w14:textFill>
            <w14:solidFill>
              <w14:schemeClr w14:val="tx1"/>
            </w14:solidFill>
          </w14:textFill>
        </w:rPr>
        <w:t>β</w:t>
      </w:r>
      <w:r>
        <w:rPr>
          <w:rFonts w:eastAsia="sans-serif"/>
        </w:rPr>
        <w:t xml:space="preserve">=0.208), </w:t>
      </w:r>
      <w:r>
        <w:rPr>
          <w:rFonts w:eastAsia="SimSun"/>
        </w:rPr>
        <w:t>and the family &amp; community environment</w:t>
      </w:r>
      <w:r>
        <w:rPr>
          <w:rFonts w:eastAsia="sans-serif"/>
        </w:rPr>
        <w:t xml:space="preserve"> </w:t>
      </w:r>
      <w:r>
        <w:rPr>
          <w:rFonts w:eastAsia="SimSun"/>
        </w:rPr>
        <w:t>—are the dominant drivers, external factors such as</w:t>
      </w:r>
      <w:r>
        <w:rPr>
          <w:rFonts w:eastAsia="sans-serif"/>
        </w:rPr>
        <w:t xml:space="preserve"> economic pressure (</w:t>
      </w:r>
      <w:r>
        <w:rPr>
          <w:rFonts w:eastAsia="SimSun"/>
          <w:color w:val="000000" w:themeColor="text1"/>
          <w14:textFill>
            <w14:solidFill>
              <w14:schemeClr w14:val="tx1"/>
            </w14:solidFill>
          </w14:textFill>
        </w:rPr>
        <w:t>β</w:t>
      </w:r>
      <w:r>
        <w:rPr>
          <w:rFonts w:eastAsia="sans-serif"/>
        </w:rPr>
        <w:t>=0.157) and education &amp; media (</w:t>
      </w:r>
      <w:r>
        <w:rPr>
          <w:rFonts w:eastAsia="SimSun"/>
          <w:color w:val="000000" w:themeColor="text1"/>
          <w14:textFill>
            <w14:solidFill>
              <w14:schemeClr w14:val="tx1"/>
            </w14:solidFill>
          </w14:textFill>
        </w:rPr>
        <w:t>β</w:t>
      </w:r>
      <w:r>
        <w:rPr>
          <w:rFonts w:eastAsia="sans-serif"/>
        </w:rPr>
        <w:t xml:space="preserve">=0.126) </w:t>
      </w:r>
      <w:r>
        <w:rPr>
          <w:rFonts w:eastAsia="SimSun"/>
        </w:rPr>
        <w:t>also emerged as significant positive predictors. This study thus fills a quantitative gap in Vietnam sociolinguistics by providing an empirically-validated model that helps explain the complex dynamics of language loyalty.</w:t>
      </w:r>
    </w:p>
    <w:p w14:paraId="37AC0ACD">
      <w:pPr>
        <w:pStyle w:val="18"/>
        <w:spacing w:before="0" w:beforeAutospacing="0" w:after="0" w:afterAutospacing="0" w:line="276" w:lineRule="auto"/>
        <w:jc w:val="both"/>
        <w:rPr>
          <w:rFonts w:eastAsia="SimSun"/>
        </w:rPr>
      </w:pPr>
      <w:r>
        <w:rPr>
          <w:b/>
          <w:bCs/>
        </w:rPr>
        <w:t>Keywords</w:t>
      </w:r>
      <w:r>
        <w:t xml:space="preserve">: </w:t>
      </w:r>
      <w:r>
        <w:rPr>
          <w:rFonts w:eastAsia="SimSun"/>
        </w:rPr>
        <w:t>language choice, multilingualism, Cham Muslim, cultural identity, language shift.</w:t>
      </w:r>
    </w:p>
    <w:p w14:paraId="5E27234D">
      <w:pPr>
        <w:pStyle w:val="18"/>
        <w:spacing w:before="0" w:beforeAutospacing="0" w:after="0" w:afterAutospacing="0" w:line="276" w:lineRule="auto"/>
        <w:jc w:val="both"/>
      </w:pPr>
    </w:p>
    <w:p w14:paraId="1E823018">
      <w:pPr>
        <w:pStyle w:val="18"/>
        <w:numPr>
          <w:ilvl w:val="0"/>
          <w:numId w:val="3"/>
        </w:numPr>
        <w:spacing w:before="0" w:beforeAutospacing="0" w:after="0" w:afterAutospacing="0" w:line="276" w:lineRule="auto"/>
        <w:jc w:val="both"/>
        <w:rPr>
          <w:b/>
          <w:bCs/>
        </w:rPr>
      </w:pPr>
      <w:r>
        <w:rPr>
          <w:b/>
          <w:bCs/>
        </w:rPr>
        <w:t>Introduction</w:t>
      </w:r>
    </w:p>
    <w:p w14:paraId="037BCA83">
      <w:pPr>
        <w:pStyle w:val="18"/>
        <w:spacing w:before="0" w:beforeAutospacing="0" w:after="0" w:afterAutospacing="0" w:line="276" w:lineRule="auto"/>
        <w:ind w:firstLine="720"/>
        <w:jc w:val="both"/>
        <w:rPr>
          <w:rFonts w:eastAsia="SimSun"/>
        </w:rPr>
      </w:pPr>
      <w:r>
        <w:rPr>
          <w:rFonts w:eastAsia="SimSun"/>
        </w:rPr>
        <w:t>The era of globalization presents a paradox for linguistic diversity. As interconnectivity advantages dominant languages, a vast number of indigenous and minority languages are increasingly endangered (Moseley, 2010; Krauss, 1992). The extinction of a language, known as language shift, is a profound loss, representing the disappearance of not only a means of communication but also of unique cultural identities and indigenous knowledge systems (Romaine, 1995).</w:t>
      </w:r>
    </w:p>
    <w:p w14:paraId="3F14A323">
      <w:pPr>
        <w:pStyle w:val="18"/>
        <w:spacing w:before="0" w:beforeAutospacing="0" w:after="0" w:afterAutospacing="0" w:line="276" w:lineRule="auto"/>
        <w:ind w:firstLine="720"/>
        <w:jc w:val="both"/>
        <w:rPr>
          <w:rFonts w:eastAsia="SimSun"/>
        </w:rPr>
      </w:pPr>
      <w:r>
        <w:rPr>
          <w:rFonts w:eastAsia="SimSun"/>
        </w:rPr>
        <w:t xml:space="preserve">This global tension is evident in Vietnam, a nation recognized for its ethnic and linguistic diversity (Nguyen &amp; Nguyen, 2019; Le et al., 2014). A policy of national solidarity, outlined in the 2013 Constitution, formally protects the languages of 53 ethnic minority groups. In practice, however, Vietnamese functions as the dominant national language across all major public spheres, including administration, education, and media (Nguyen, 2023). This has led to an asymmetrical bilingualism where minority languages are primarily relegated to informal domains, such as the home and community rituals. While this situation is not the result of a deliberate assimilationist policy, it exerts significant pressure that carries the potential to hasten language shift among younger generations (Baker, 1992). </w:t>
      </w:r>
    </w:p>
    <w:p w14:paraId="15C33B40">
      <w:pPr>
        <w:pStyle w:val="18"/>
        <w:spacing w:before="0" w:beforeAutospacing="0" w:after="0" w:afterAutospacing="0" w:line="276" w:lineRule="auto"/>
        <w:ind w:firstLine="720"/>
        <w:jc w:val="both"/>
      </w:pPr>
      <w:r>
        <w:t xml:space="preserve">According to the 2019 General Statistics Office, the Cham ethnic group in Vietnam has a total </w:t>
      </w:r>
      <w:r>
        <w:rPr>
          <w:rFonts w:eastAsia="SimSun"/>
        </w:rPr>
        <w:t>population</w:t>
      </w:r>
      <w:r>
        <w:t xml:space="preserve"> of 178,948. This population is primarily divided into two distinct communities based on geography and religion: a Balamon (Hindu) majority (136,812) residing in the South Central Coast, and a second group of approximately 39,600 people concentrated in Southern Vietnam (the Southeast and Mekong River Delta) who adhere to Islam. </w:t>
      </w:r>
    </w:p>
    <w:p w14:paraId="7DC4CF4D">
      <w:pPr>
        <w:pStyle w:val="18"/>
        <w:spacing w:before="0" w:beforeAutospacing="0" w:after="0" w:afterAutospacing="0" w:line="276" w:lineRule="auto"/>
        <w:ind w:firstLine="720"/>
        <w:jc w:val="both"/>
        <w:rPr>
          <w:rFonts w:eastAsia="SimSun"/>
        </w:rPr>
      </w:pPr>
      <w:r>
        <w:rPr>
          <w:rFonts w:eastAsia="SimSun"/>
        </w:rPr>
        <w:t>The Cham community is selected as a representative case study as they precisely illustrate the sociolinguistic complexity described above. This study focuses specifically on the latter Cham Muslim community because their distinct ethno-religious identity and unique socio-cultural values (Phu, 2019) create an ideal context to investigate the interplay between strong internal cohesion (identity) and external sociolinguistic pressures. Language choice among the Cham Muslims is thus the outcome of a complex interaction between internal factors (such as cultural identity and language attitudes) and external factors (like economic pressure, education, and media), creating a dynamic tension between language maintenance and language shift.</w:t>
      </w:r>
    </w:p>
    <w:p w14:paraId="0251C100">
      <w:pPr>
        <w:pStyle w:val="18"/>
        <w:spacing w:before="0" w:beforeAutospacing="0" w:after="0" w:afterAutospacing="0" w:line="276" w:lineRule="auto"/>
        <w:ind w:firstLine="720"/>
        <w:jc w:val="both"/>
      </w:pPr>
      <w:r>
        <w:t xml:space="preserve">Although there has been considerable research on the language situation of the Cham people, a </w:t>
      </w:r>
      <w:r>
        <w:rPr>
          <w:rFonts w:eastAsia="SimSun"/>
        </w:rPr>
        <w:t>significant</w:t>
      </w:r>
      <w:r>
        <w:t xml:space="preserve"> gap remains in developing quantitative theoretical models that systematically predict the factors affecting their language choice behavior. To do so, this study develops and tests a multiple regression model to identify and measure the extent to which six key factors—cultural identity (CI), language proficiency (LP), language attitude (LA), family and community environment (FCE), economic pressure (EP), and education and media (EM)—</w:t>
      </w:r>
      <w:r>
        <w:rPr>
          <w:rFonts w:eastAsia="SimSun"/>
        </w:rPr>
        <w:t>influence</w:t>
      </w:r>
      <w:r>
        <w:t xml:space="preserve"> the language choice of the Cham Muslims.</w:t>
      </w:r>
    </w:p>
    <w:p w14:paraId="1565D294">
      <w:pPr>
        <w:pStyle w:val="18"/>
        <w:spacing w:before="0" w:beforeAutospacing="0" w:after="0" w:afterAutospacing="0" w:line="276" w:lineRule="auto"/>
        <w:ind w:firstLine="720"/>
        <w:jc w:val="both"/>
        <w:rPr>
          <w:rFonts w:eastAsia="SimSun"/>
        </w:rPr>
      </w:pPr>
      <w:r>
        <w:rPr>
          <w:rFonts w:eastAsia="SimSun"/>
        </w:rPr>
        <w:t>This study seeks to answer the following research questions:</w:t>
      </w:r>
    </w:p>
    <w:p w14:paraId="7E4C265F">
      <w:pPr>
        <w:pStyle w:val="18"/>
        <w:spacing w:before="0" w:beforeAutospacing="0" w:after="0" w:afterAutospacing="0" w:line="276" w:lineRule="auto"/>
        <w:ind w:firstLine="720"/>
        <w:jc w:val="both"/>
        <w:rPr>
          <w:lang w:val="da-DK"/>
        </w:rPr>
      </w:pPr>
      <w:r>
        <w:rPr>
          <w:color w:val="000000" w:themeColor="text1"/>
          <w:lang w:val="da-DK"/>
          <w14:textFill>
            <w14:solidFill>
              <w14:schemeClr w14:val="tx1"/>
            </w14:solidFill>
          </w14:textFill>
        </w:rPr>
        <w:t xml:space="preserve">1) </w:t>
      </w:r>
      <w:r>
        <w:rPr>
          <w:rFonts w:eastAsia="SimSun"/>
        </w:rPr>
        <w:t>Do factors such as cultural identity, language proficiency, language attitude, family and community environment, economic pressure, and education and media exert a statistically significant influence on language choice?</w:t>
      </w:r>
    </w:p>
    <w:p w14:paraId="4A68FA9B">
      <w:pPr>
        <w:pStyle w:val="18"/>
        <w:spacing w:before="0" w:beforeAutospacing="0" w:after="0" w:afterAutospacing="0" w:line="276" w:lineRule="auto"/>
        <w:ind w:firstLine="720"/>
        <w:jc w:val="both"/>
        <w:rPr>
          <w:lang w:val="da-DK"/>
        </w:rPr>
      </w:pPr>
      <w:r>
        <w:rPr>
          <w:lang w:val="da-DK"/>
        </w:rPr>
        <w:t xml:space="preserve">2) </w:t>
      </w:r>
      <w:r>
        <w:rPr>
          <w:rFonts w:eastAsia="SimSun"/>
        </w:rPr>
        <w:t>What is the relative extent of influence of each factor on language choice?</w:t>
      </w:r>
    </w:p>
    <w:p w14:paraId="3862DBF5">
      <w:pPr>
        <w:pStyle w:val="18"/>
        <w:spacing w:before="0" w:beforeAutospacing="0" w:after="0" w:afterAutospacing="0" w:line="276" w:lineRule="auto"/>
        <w:ind w:firstLine="720"/>
        <w:jc w:val="both"/>
        <w:rPr>
          <w:lang w:val="da-DK"/>
        </w:rPr>
      </w:pPr>
      <w:r>
        <w:rPr>
          <w:lang w:val="da-DK"/>
        </w:rPr>
        <w:t xml:space="preserve">3) </w:t>
      </w:r>
      <w:r>
        <w:rPr>
          <w:rFonts w:eastAsia="SimSun"/>
        </w:rPr>
        <w:t>To what extent does the proposed theoretical model explain the variance (R²) in the language choice behavior of the Cham Muslims?</w:t>
      </w:r>
    </w:p>
    <w:p w14:paraId="439D2311">
      <w:pPr>
        <w:pStyle w:val="18"/>
        <w:spacing w:before="0" w:beforeAutospacing="0" w:after="0" w:afterAutospacing="0" w:line="276" w:lineRule="auto"/>
        <w:ind w:firstLine="720"/>
        <w:jc w:val="both"/>
      </w:pPr>
      <w:r>
        <w:t>By answering the above research questions, this study addresses that gap by situating language choice within established theoretical frameworks. According to ethnolinguistic identity theory (Giles &amp; Johnson, 1987), language choice is a practice through which identity is expressed and maintained. Concurrently, the socio-economic dominance of a national language creates a "linguistic market" where the majority language possesses greater symbolic power (Bourdieu, 1991), often creating pressure to choose it for pragmatic advantages (Taqavi &amp; Rezaei, 2019; Uwen &amp; Okafor, 2025).</w:t>
      </w:r>
    </w:p>
    <w:p w14:paraId="7E570D93">
      <w:pPr>
        <w:pStyle w:val="18"/>
        <w:spacing w:before="0" w:beforeAutospacing="0" w:after="0" w:afterAutospacing="0" w:line="276" w:lineRule="auto"/>
        <w:ind w:firstLine="720"/>
        <w:jc w:val="both"/>
      </w:pPr>
      <w:r>
        <w:rPr>
          <w:rFonts w:eastAsia="SimSun"/>
        </w:rPr>
        <w:t>Building upon this foundation, this paper challenges the conventional opposition between affective motivations (such as identity) and instrumental needs (such as economic pragmatism). This study posits that internal identity-driven motivations and, counter-intuitively, an awareness of external pragmatic pressures can both positively reinforce ethnic language loyalty.</w:t>
      </w:r>
      <w:r>
        <w:t xml:space="preserve"> </w:t>
      </w:r>
    </w:p>
    <w:p w14:paraId="6CB0CEC4">
      <w:pPr>
        <w:pStyle w:val="4"/>
        <w:spacing w:before="0" w:beforeAutospacing="0" w:after="0" w:afterAutospacing="0" w:line="276" w:lineRule="auto"/>
        <w:jc w:val="both"/>
        <w:rPr>
          <w:b w:val="0"/>
          <w:bCs w:val="0"/>
          <w:sz w:val="24"/>
          <w:szCs w:val="24"/>
          <w:lang w:val="da-DK"/>
        </w:rPr>
      </w:pPr>
    </w:p>
    <w:p w14:paraId="55F91389">
      <w:pPr>
        <w:pStyle w:val="4"/>
        <w:spacing w:before="0" w:beforeAutospacing="0" w:after="0" w:afterAutospacing="0" w:line="276" w:lineRule="auto"/>
        <w:jc w:val="both"/>
        <w:rPr>
          <w:sz w:val="24"/>
          <w:szCs w:val="24"/>
          <w:lang w:val="da-DK"/>
        </w:rPr>
      </w:pPr>
      <w:r>
        <w:rPr>
          <w:sz w:val="24"/>
          <w:szCs w:val="24"/>
          <w:lang w:val="da-DK"/>
        </w:rPr>
        <w:t>2. Theoretical framework and research model</w:t>
      </w:r>
    </w:p>
    <w:p w14:paraId="4F6F62FC">
      <w:pPr>
        <w:pStyle w:val="4"/>
        <w:spacing w:before="0" w:beforeAutospacing="0" w:after="0" w:afterAutospacing="0" w:line="276" w:lineRule="auto"/>
        <w:jc w:val="both"/>
        <w:rPr>
          <w:rFonts w:eastAsia="SimSun"/>
          <w:sz w:val="24"/>
          <w:szCs w:val="24"/>
          <w:lang w:val="da-DK"/>
        </w:rPr>
      </w:pPr>
      <w:r>
        <w:rPr>
          <w:rFonts w:eastAsia="SimSun"/>
          <w:sz w:val="24"/>
          <w:szCs w:val="24"/>
          <w:lang w:val="da-DK"/>
        </w:rPr>
        <w:t>2.1. Theoretical framework</w:t>
      </w:r>
    </w:p>
    <w:p w14:paraId="7F352CD1">
      <w:pPr>
        <w:pStyle w:val="4"/>
        <w:spacing w:before="0" w:beforeAutospacing="0" w:after="0" w:afterAutospacing="0" w:line="276" w:lineRule="auto"/>
        <w:ind w:firstLine="720"/>
        <w:jc w:val="both"/>
        <w:rPr>
          <w:rFonts w:eastAsia="SimSun"/>
          <w:b w:val="0"/>
          <w:bCs w:val="0"/>
          <w:sz w:val="24"/>
          <w:szCs w:val="24"/>
        </w:rPr>
      </w:pPr>
      <w:r>
        <w:rPr>
          <w:rFonts w:eastAsia="SimSun"/>
          <w:b w:val="0"/>
          <w:bCs w:val="0"/>
          <w:sz w:val="24"/>
          <w:szCs w:val="24"/>
        </w:rPr>
        <w:t>Research on language choice in multilingual communities is a central field of sociolinguistics. For the Cham Muslim ethnic minority in Vietnam, who live in a multilingual environment, the choice of language across different communication domains is often influenced by a variety of linguistic and extralinguistic factors.</w:t>
      </w:r>
    </w:p>
    <w:p w14:paraId="360554DF">
      <w:pPr>
        <w:pStyle w:val="4"/>
        <w:spacing w:before="0" w:beforeAutospacing="0" w:after="0" w:afterAutospacing="0" w:line="276" w:lineRule="auto"/>
        <w:jc w:val="both"/>
        <w:rPr>
          <w:rFonts w:eastAsia="SimSun"/>
          <w:b w:val="0"/>
          <w:bCs w:val="0"/>
          <w:i/>
          <w:iCs/>
          <w:sz w:val="24"/>
          <w:szCs w:val="24"/>
          <w:lang w:val="da-DK"/>
        </w:rPr>
      </w:pPr>
      <w:r>
        <w:rPr>
          <w:rFonts w:eastAsia="SimSun"/>
          <w:b w:val="0"/>
          <w:bCs w:val="0"/>
          <w:i/>
          <w:iCs/>
          <w:sz w:val="24"/>
          <w:szCs w:val="24"/>
          <w:lang w:val="da-DK"/>
        </w:rPr>
        <w:t xml:space="preserve">2.1.1. Multilingualism and language choice strategies </w:t>
      </w:r>
    </w:p>
    <w:p w14:paraId="0595CE1A">
      <w:pPr>
        <w:pStyle w:val="4"/>
        <w:spacing w:before="0" w:beforeAutospacing="0" w:after="0" w:afterAutospacing="0" w:line="276" w:lineRule="auto"/>
        <w:ind w:firstLine="720"/>
        <w:jc w:val="both"/>
        <w:rPr>
          <w:b w:val="0"/>
          <w:bCs w:val="0"/>
          <w:sz w:val="24"/>
          <w:szCs w:val="24"/>
        </w:rPr>
      </w:pPr>
      <w:r>
        <w:rPr>
          <w:b w:val="0"/>
          <w:bCs w:val="0"/>
          <w:sz w:val="24"/>
          <w:szCs w:val="24"/>
        </w:rPr>
        <w:t>The study of language choice seeks to understand how individuals navigate their complex linguistic environments. The foundational framework for this inquiry was established by Fishman (1972) with his seminal question: "Who speaks what language to whom and when?" This concept of "domains" posits that language use is not arbitrary. Instead, it is a rule-governed social behavior, where the choice of language is highly dependent on the specific context (e.g., home vs. school), the interlocutors (e.g., family vs. officials), and the communicative purpose. This framework allows researchers to map the functional distribution of languages within a community.</w:t>
      </w:r>
    </w:p>
    <w:p w14:paraId="5F105BD0">
      <w:pPr>
        <w:pStyle w:val="4"/>
        <w:spacing w:before="0" w:beforeAutospacing="0" w:after="0" w:afterAutospacing="0" w:line="276" w:lineRule="auto"/>
        <w:ind w:firstLine="720"/>
        <w:jc w:val="both"/>
        <w:rPr>
          <w:b w:val="0"/>
          <w:bCs w:val="0"/>
          <w:sz w:val="24"/>
          <w:szCs w:val="24"/>
        </w:rPr>
      </w:pPr>
      <w:r>
        <w:rPr>
          <w:b w:val="0"/>
          <w:bCs w:val="0"/>
          <w:sz w:val="24"/>
          <w:szCs w:val="24"/>
        </w:rPr>
        <w:t>Within these domains, bilingual speakers employ various strategies. The most widely studied of these is code-switching, which involves the alternation between two or more languages, often within the same sentence or conversation (Gumperz, 1982). This is not a sign of linguistic deficiency; rather, it is a sophisticated communicative skill. As Myers-Scotton (1993) argues in her Markedness Model, code-switching is a rational, goal-oriented choice. Speakers select a language to signal their social intentions, to manage their rights and obligations in an interaction, or simply to optimize communicative effectiveness when one language offers a more precise term.</w:t>
      </w:r>
    </w:p>
    <w:p w14:paraId="119F2663">
      <w:pPr>
        <w:pStyle w:val="4"/>
        <w:spacing w:before="0" w:beforeAutospacing="0" w:after="0" w:afterAutospacing="0" w:line="276" w:lineRule="auto"/>
        <w:ind w:firstLine="720"/>
        <w:jc w:val="both"/>
        <w:rPr>
          <w:b w:val="0"/>
          <w:bCs w:val="0"/>
          <w:sz w:val="24"/>
          <w:szCs w:val="24"/>
        </w:rPr>
      </w:pPr>
      <w:r>
        <w:rPr>
          <w:b w:val="0"/>
          <w:bCs w:val="0"/>
          <w:sz w:val="24"/>
          <w:szCs w:val="24"/>
        </w:rPr>
        <w:t>More recently, this perspective has been expanded by the concept of translanguaging (García &amp; Wei, 2014). This theory challenges the traditional view of bilingualism as two separate, isolated linguistic systems (e.g., "Cham" in one mental box, "Vietnamese" in another). Instead, translanguaging posits that a bilingual individual possesses a single, integrated linguistic repertoire. From this complete repertoire, they draw upon any and all linguistic resources (words, grammar, sounds) at their disposal to construct meaning, navigate social situations, and express their fluid hybrid identities. They are not "switching" between codes, but using their entire code.</w:t>
      </w:r>
    </w:p>
    <w:p w14:paraId="2190660E">
      <w:pPr>
        <w:pStyle w:val="4"/>
        <w:spacing w:before="0" w:beforeAutospacing="0" w:after="0" w:afterAutospacing="0" w:line="276" w:lineRule="auto"/>
        <w:ind w:firstLine="720"/>
        <w:jc w:val="both"/>
        <w:rPr>
          <w:b w:val="0"/>
          <w:bCs w:val="0"/>
          <w:sz w:val="24"/>
          <w:szCs w:val="24"/>
        </w:rPr>
      </w:pPr>
      <w:r>
        <w:rPr>
          <w:b w:val="0"/>
          <w:bCs w:val="0"/>
          <w:sz w:val="24"/>
          <w:szCs w:val="24"/>
        </w:rPr>
        <w:t>While translanguaging highlights the creativity and holistic competence of bilinguals, it also presents a potential risk for minority languages. Wei (2018) cautions that in an unequal bilingual setting (like the Cham-Vietnamese context), fluid practices can inadvertently lead to language shift. If speakers consistently draw from the dominant language (Vietnamese) to fill lexical or structural gaps in the minority language (Cham), this can gradually erode the minority language's unique structures, accelerating its decline. This study, therefore, examines language choice not just as a strategy, but as a critical indicator of broader language maintenance or shift.</w:t>
      </w:r>
    </w:p>
    <w:p w14:paraId="3BA7E281">
      <w:pPr>
        <w:pStyle w:val="5"/>
        <w:spacing w:beforeAutospacing="0" w:afterAutospacing="0"/>
        <w:jc w:val="both"/>
        <w:rPr>
          <w:rFonts w:hint="default" w:ascii="Times New Roman" w:hAnsi="Times New Roman"/>
          <w:b w:val="0"/>
          <w:bCs w:val="0"/>
          <w:i/>
          <w:iCs/>
          <w:lang w:val="da-DK"/>
        </w:rPr>
      </w:pPr>
      <w:r>
        <w:rPr>
          <w:rFonts w:hint="default" w:ascii="Times New Roman" w:hAnsi="Times New Roman"/>
          <w:b w:val="0"/>
          <w:bCs w:val="0"/>
          <w:i/>
          <w:iCs/>
          <w:lang w:val="da-DK"/>
        </w:rPr>
        <w:t>2.1.2. Communication domains and language choice</w:t>
      </w:r>
    </w:p>
    <w:p w14:paraId="32A94A47">
      <w:pPr>
        <w:pStyle w:val="5"/>
        <w:spacing w:beforeAutospacing="0" w:afterAutospacing="0"/>
        <w:ind w:firstLine="720"/>
        <w:jc w:val="both"/>
        <w:rPr>
          <w:rFonts w:hint="default" w:ascii="Times New Roman" w:hAnsi="Times New Roman"/>
          <w:b w:val="0"/>
          <w:bCs w:val="0"/>
        </w:rPr>
      </w:pPr>
      <w:r>
        <w:rPr>
          <w:rFonts w:hint="default" w:ascii="Times New Roman" w:hAnsi="Times New Roman"/>
          <w:b w:val="0"/>
          <w:bCs w:val="0"/>
        </w:rPr>
        <w:t xml:space="preserve">The concept of "domain" is a central theoretical tool for mapping language use in multilingual societies. Early researchers attempted to categorize these domains. Schmidt-Rohr (1933), for example, proposed a detailed list (e.g., family, school, church, courts, government), while Barker (1947) grouped domains based on formality and relationships (e.g., familiar, informal, formal). Mackey (1962) also offered a core set of five domains, including family, community, school, and church. </w:t>
      </w:r>
    </w:p>
    <w:p w14:paraId="23935059">
      <w:pPr>
        <w:pStyle w:val="5"/>
        <w:spacing w:beforeAutospacing="0" w:afterAutospacing="0"/>
        <w:ind w:firstLine="720"/>
        <w:jc w:val="both"/>
        <w:rPr>
          <w:rFonts w:hint="default" w:ascii="Times New Roman" w:hAnsi="Times New Roman"/>
          <w:b w:val="0"/>
          <w:bCs w:val="0"/>
        </w:rPr>
      </w:pPr>
      <w:r>
        <w:rPr>
          <w:rFonts w:hint="default" w:ascii="Times New Roman" w:hAnsi="Times New Roman"/>
          <w:b w:val="0"/>
          <w:bCs w:val="0"/>
        </w:rPr>
        <w:t xml:space="preserve">Rather than being just a physical location, a domain is a social construct shaped by the convergence of three primary factors: context (time, place, cultural traditions), topic (the subject of communication), and participants (speaker and hearer) (Nguyen, 2023). Within this matrix, Holmes (2001) and Holmes &amp; Wilson (2022) emphasize that the social relationship between participants (e.g., husband-wife vs. buyer-seller) often serves as the most decisive factor affecting language choice. </w:t>
      </w:r>
    </w:p>
    <w:p w14:paraId="657E35E7">
      <w:pPr>
        <w:pStyle w:val="5"/>
        <w:spacing w:beforeAutospacing="0" w:afterAutospacing="0"/>
        <w:ind w:firstLine="720"/>
        <w:jc w:val="both"/>
        <w:rPr>
          <w:rFonts w:hint="default" w:ascii="Times New Roman" w:hAnsi="Times New Roman"/>
          <w:b w:val="0"/>
          <w:bCs w:val="0"/>
        </w:rPr>
      </w:pPr>
      <w:r>
        <w:rPr>
          <w:rFonts w:hint="default" w:ascii="Times New Roman" w:hAnsi="Times New Roman"/>
          <w:b w:val="0"/>
          <w:bCs w:val="0"/>
        </w:rPr>
        <w:t xml:space="preserve">More recently, this concept has been expanded to include the linguistic landscape. This theory posits that the visibility and legitimacy of languages in public spaces (e.g., on signs and advertisements) also exert a subtle influence on the community's linguistic perceptions and practices (Tufi &amp; Blackwood, 2016). </w:t>
      </w:r>
    </w:p>
    <w:p w14:paraId="35E6DB60">
      <w:pPr>
        <w:pStyle w:val="5"/>
        <w:spacing w:beforeAutospacing="0" w:afterAutospacing="0"/>
        <w:ind w:firstLine="720"/>
        <w:jc w:val="both"/>
        <w:rPr>
          <w:rFonts w:hint="default" w:ascii="Times New Roman" w:hAnsi="Times New Roman"/>
          <w:b w:val="0"/>
          <w:bCs w:val="0"/>
        </w:rPr>
      </w:pPr>
      <w:r>
        <w:rPr>
          <w:rFonts w:hint="default" w:ascii="Times New Roman" w:hAnsi="Times New Roman"/>
          <w:b w:val="0"/>
          <w:bCs w:val="0"/>
        </w:rPr>
        <w:t xml:space="preserve">This study applies the domain framework to the Cham Muslim context. It is hypothesized that the Cham language is prioritized in in-group or intimate domains (such as the family and in religious rituals at the </w:t>
      </w:r>
      <w:r>
        <w:rPr>
          <w:rFonts w:hint="default" w:ascii="Times New Roman" w:hAnsi="Times New Roman"/>
          <w:b w:val="0"/>
          <w:bCs w:val="0"/>
          <w:i/>
          <w:iCs/>
        </w:rPr>
        <w:t>masjid</w:t>
      </w:r>
      <w:r>
        <w:rPr>
          <w:rFonts w:hint="default" w:ascii="Times New Roman" w:hAnsi="Times New Roman"/>
          <w:b w:val="0"/>
          <w:bCs w:val="0"/>
        </w:rPr>
        <w:t>) as a symbol of cultural and religious identity. Conversely, Vietnamese is predicted to be the required language in out-group or formal domains (such as public administrative agencies, schools, and economic transactions) to meet the demands of social integration (Hoang &amp; Nguyen, 2025).</w:t>
      </w:r>
    </w:p>
    <w:p w14:paraId="747AC066">
      <w:pPr>
        <w:pStyle w:val="5"/>
        <w:spacing w:beforeAutospacing="0" w:afterAutospacing="0"/>
        <w:jc w:val="both"/>
        <w:rPr>
          <w:rFonts w:hint="default" w:ascii="Times New Roman" w:hAnsi="Times New Roman"/>
          <w:b w:val="0"/>
          <w:bCs w:val="0"/>
          <w:i/>
          <w:iCs/>
          <w:lang w:val="da-DK"/>
        </w:rPr>
      </w:pPr>
      <w:r>
        <w:rPr>
          <w:rFonts w:hint="default" w:ascii="Times New Roman" w:hAnsi="Times New Roman"/>
          <w:b w:val="0"/>
          <w:bCs w:val="0"/>
          <w:i/>
          <w:iCs/>
          <w:lang w:val="da-DK"/>
        </w:rPr>
        <w:t>2.1.3. Factors affecting language choice</w:t>
      </w:r>
    </w:p>
    <w:p w14:paraId="2433F0AF">
      <w:pPr>
        <w:pStyle w:val="5"/>
        <w:spacing w:beforeAutospacing="0" w:afterAutospacing="0"/>
        <w:ind w:firstLine="720"/>
        <w:jc w:val="both"/>
        <w:rPr>
          <w:rFonts w:hint="default" w:ascii="Times New Roman" w:hAnsi="Times New Roman"/>
          <w:b w:val="0"/>
          <w:bCs w:val="0"/>
        </w:rPr>
      </w:pPr>
      <w:r>
        <w:rPr>
          <w:rFonts w:hint="default" w:ascii="Times New Roman" w:hAnsi="Times New Roman"/>
          <w:b w:val="0"/>
          <w:bCs w:val="0"/>
        </w:rPr>
        <w:t>Language choice in a multilingual context is a complex social phenomenon. For the Cham Muslim community, this choice is not an arbitrary individual act but rather the outcome of interactions among multi-level factors.</w:t>
      </w:r>
    </w:p>
    <w:p w14:paraId="77A52524">
      <w:pPr>
        <w:pStyle w:val="5"/>
        <w:spacing w:beforeAutospacing="0" w:afterAutospacing="0"/>
        <w:ind w:firstLine="720"/>
        <w:jc w:val="both"/>
        <w:rPr>
          <w:rFonts w:hint="default" w:ascii="Times New Roman" w:hAnsi="Times New Roman"/>
          <w:b w:val="0"/>
          <w:bCs w:val="0"/>
        </w:rPr>
      </w:pPr>
      <w:r>
        <w:rPr>
          <w:rFonts w:hint="default" w:ascii="Times New Roman" w:hAnsi="Times New Roman"/>
          <w:b w:val="0"/>
          <w:bCs w:val="0"/>
        </w:rPr>
        <w:t xml:space="preserve">At the macro level, socio-economic pressures and governmental language policies create an unequal linguistic environment. The majority language, Vietnamese, is often associated with employment opportunities and economic benefits, compelling bilingual speakers to prioritize the language with greater "linguistic capital" or instrumental value (Bourdieu, 1991; Blommaert, 2010). Educational policies, even when bilingual programs exist (Hornberger, 2009), still tend to privilege the national language in formal domains (Spolsky, 2012). </w:t>
      </w:r>
    </w:p>
    <w:p w14:paraId="158EBF6E">
      <w:pPr>
        <w:pStyle w:val="5"/>
        <w:spacing w:beforeAutospacing="0" w:afterAutospacing="0"/>
        <w:ind w:firstLine="720"/>
        <w:jc w:val="both"/>
        <w:rPr>
          <w:rFonts w:hint="default" w:ascii="Times New Roman" w:hAnsi="Times New Roman"/>
          <w:b w:val="0"/>
          <w:bCs w:val="0"/>
        </w:rPr>
      </w:pPr>
      <w:r>
        <w:rPr>
          <w:rFonts w:hint="default" w:ascii="Times New Roman" w:hAnsi="Times New Roman"/>
          <w:b w:val="0"/>
          <w:bCs w:val="0"/>
        </w:rPr>
        <w:t xml:space="preserve">However, such macro pressures are not deterministic; they are mediated by psycho-social factors at the community level. Identity is a central driver, as language is a core instrument for expressing and reinforcing the existence of a cultural community (Edwards, 2010). This identity, coupled with positive attitudes, forms the foundation of ethnolinguistic vitality. According to the theory of Giles et al. (1977), a community's ability to maintain its language depends on the perceived status of the language, demographic strength, and, critically, institutional support. This helps explain why the Cham language continues to be prioritized in highly symbolic domains such as family life and Islamic religious practice at the </w:t>
      </w:r>
      <w:r>
        <w:rPr>
          <w:rFonts w:hint="default" w:ascii="Times New Roman" w:hAnsi="Times New Roman"/>
          <w:b w:val="0"/>
          <w:bCs w:val="0"/>
          <w:i/>
          <w:iCs/>
        </w:rPr>
        <w:t>masjid</w:t>
      </w:r>
      <w:r>
        <w:rPr>
          <w:rFonts w:hint="default" w:ascii="Times New Roman" w:hAnsi="Times New Roman"/>
          <w:b w:val="0"/>
          <w:bCs w:val="0"/>
        </w:rPr>
        <w:t xml:space="preserve"> (Hoang &amp; Nguyen, 2025). </w:t>
      </w:r>
    </w:p>
    <w:p w14:paraId="2052A16D">
      <w:pPr>
        <w:pStyle w:val="5"/>
        <w:spacing w:beforeAutospacing="0" w:afterAutospacing="0"/>
        <w:ind w:firstLine="720"/>
        <w:jc w:val="both"/>
        <w:rPr>
          <w:rFonts w:hint="default" w:ascii="Times New Roman" w:hAnsi="Times New Roman"/>
          <w:b w:val="0"/>
          <w:bCs w:val="0"/>
        </w:rPr>
      </w:pPr>
      <w:r>
        <w:rPr>
          <w:rFonts w:hint="default" w:ascii="Times New Roman" w:hAnsi="Times New Roman"/>
          <w:b w:val="0"/>
          <w:bCs w:val="0"/>
        </w:rPr>
        <w:t>At the micro level of daily interaction, language choice is governed by immediate factors. Speakers flexibly select a language based on the communication context, including the interlocutor, topic, and setting (Fasold, 1984). In such contexts, speakers may engage in code-switching, not as a deficit, but as a sophisticated strategy for social positioning and expressing identity (Gumperz, 1982; Myers-Scotton, 1993). Finally, the speaker's own language proficiency is a crucial factor that directly influences their confidence and ability to use the languages effectively (Weinreich, 1953).</w:t>
      </w:r>
    </w:p>
    <w:p w14:paraId="1D078A7F">
      <w:pPr>
        <w:pStyle w:val="5"/>
        <w:spacing w:beforeAutospacing="0" w:afterAutospacing="0"/>
        <w:ind w:firstLine="720"/>
        <w:jc w:val="both"/>
        <w:rPr>
          <w:rFonts w:hint="default" w:ascii="Times New Roman" w:hAnsi="Times New Roman"/>
          <w:b w:val="0"/>
          <w:bCs w:val="0"/>
        </w:rPr>
      </w:pPr>
      <w:r>
        <w:rPr>
          <w:rFonts w:hint="default" w:ascii="Times New Roman" w:hAnsi="Times New Roman"/>
          <w:b w:val="0"/>
          <w:bCs w:val="0"/>
        </w:rPr>
        <w:t>Thus, for the Cham Muslim people, the choice between Vietnamese and Cham is a flexible process that varies across domains, and is hypothesized to be affected by cultural identity, language proficiency, language attitude, the family and community environment, perceived economic pressure, and education &amp; media.</w:t>
      </w:r>
    </w:p>
    <w:p w14:paraId="4558F0F2">
      <w:pPr>
        <w:pStyle w:val="18"/>
        <w:spacing w:before="0" w:beforeAutospacing="0" w:after="0" w:afterAutospacing="0" w:line="276" w:lineRule="auto"/>
        <w:jc w:val="both"/>
        <w:rPr>
          <w:rFonts w:eastAsia="SimSun"/>
          <w:b/>
          <w:bCs/>
          <w:lang w:val="da-DK"/>
        </w:rPr>
      </w:pPr>
      <w:r>
        <w:rPr>
          <w:rFonts w:eastAsia="SimSun"/>
          <w:b/>
          <w:bCs/>
          <w:lang w:val="da-DK"/>
        </w:rPr>
        <w:t>2.2. Research model</w:t>
      </w:r>
    </w:p>
    <w:p w14:paraId="00204058">
      <w:pPr>
        <w:pStyle w:val="18"/>
        <w:spacing w:before="0" w:beforeAutospacing="0" w:after="0" w:afterAutospacing="0" w:line="276" w:lineRule="auto"/>
        <w:ind w:firstLine="720"/>
        <w:jc w:val="both"/>
        <w:rPr>
          <w:rFonts w:eastAsia="SimSun"/>
        </w:rPr>
      </w:pPr>
      <w:r>
        <w:rPr>
          <w:rFonts w:eastAsia="SimSun"/>
        </w:rPr>
        <w:t>The research model in this study is grounded in theoretical frameworks on language choice in multilingual contexts, with a focus on three key pillars. The first is the theory of domains of language use, initiated by Fishman (1967, 1972). This theory posits that multilingual individuals do not select languages randomly but systematically, depending on specific social contexts (e.g., family, workplace, religious center), which contributes to maintaining a stable bilingual state. The second is the theory of ethnolinguistic vitality (Giles et al., 1977), which argues that language choice and maintenance are influenced by macro-level factors such as socio-economic status, demographic strength, and institutional support (including the family and religious institutions). The third is the theory of translanguaging (García &amp; Wei, 2014), which views multilinguals as social actors who mobilize their entire linguistic repertoire flexibly to optimize communicative effectiveness. Therefore, this study's analytical framework synthesizes these theories, viewing language choice as both a behavior regulated by social structures and as an active communicative strategy of individuals.</w:t>
      </w:r>
    </w:p>
    <w:p w14:paraId="70512DEF">
      <w:pPr>
        <w:pStyle w:val="18"/>
        <w:spacing w:before="0" w:beforeAutospacing="0" w:after="0" w:afterAutospacing="0" w:line="276" w:lineRule="auto"/>
        <w:ind w:firstLine="720"/>
        <w:jc w:val="both"/>
      </w:pPr>
      <w:r>
        <w:t>Drawing on previous studies and these theories, this research identifies six (6) key factors that may influence the language choice of the Cham Muslim people.</w:t>
      </w:r>
    </w:p>
    <w:p w14:paraId="755C0BFB">
      <w:pPr>
        <w:pStyle w:val="18"/>
        <w:spacing w:before="0" w:beforeAutospacing="0" w:after="0" w:afterAutospacing="0" w:line="276" w:lineRule="auto"/>
        <w:ind w:firstLine="720"/>
        <w:jc w:val="both"/>
        <w:rPr>
          <w:rFonts w:eastAsia="SimSun"/>
        </w:rPr>
      </w:pPr>
      <w:r>
        <w:rPr>
          <w:rFonts w:eastAsia="SimSun"/>
        </w:rPr>
        <w:t xml:space="preserve">First, Cultural identity is hypothesized to play a central role (H1). For the Cham Muslims in Southern Vietnam, identity is inextricably linked with Islam. The Qur'an is seen as the guide for all social, ethical, and legal actions, and identity is actively preserved through distinct traditions such as </w:t>
      </w:r>
      <w:r>
        <w:rPr>
          <w:rFonts w:eastAsia="SimSun"/>
          <w:i/>
          <w:iCs/>
        </w:rPr>
        <w:t>halal</w:t>
      </w:r>
      <w:r>
        <w:rPr>
          <w:rFonts w:eastAsia="SimSun"/>
        </w:rPr>
        <w:t xml:space="preserve"> cuisine, traditional clothing, and a deep connection to their heritage (Phu, 2019). Language, therefore, serves as the core symbol of this specific ethno-religious identity (Edwards, 2010).</w:t>
      </w:r>
    </w:p>
    <w:p w14:paraId="67448275">
      <w:pPr>
        <w:pStyle w:val="18"/>
        <w:spacing w:before="0" w:beforeAutospacing="0" w:after="0" w:afterAutospacing="0" w:line="276" w:lineRule="auto"/>
        <w:ind w:firstLine="720"/>
        <w:jc w:val="both"/>
        <w:rPr>
          <w:rFonts w:eastAsia="SimSun"/>
        </w:rPr>
      </w:pPr>
      <w:r>
        <w:rPr>
          <w:rFonts w:eastAsia="SimSun"/>
        </w:rPr>
        <w:t>Second, Language proficiency (LP) is equally important (H2), since proficiency in the Cham language directly shapes confidence and the frequency of its use in communication (Weinreich, 1953). Third, Language attitudes matter (H3), as positive attitudes (e.g., pride, desire for preservation) strongly correlate with the likelihood of language use (Baker, 1992).</w:t>
      </w:r>
    </w:p>
    <w:p w14:paraId="4A4DC075">
      <w:pPr>
        <w:pStyle w:val="18"/>
        <w:spacing w:before="0" w:beforeAutospacing="0" w:after="0" w:afterAutospacing="0" w:line="276" w:lineRule="auto"/>
        <w:ind w:firstLine="720"/>
        <w:jc w:val="both"/>
        <w:rPr>
          <w:rFonts w:eastAsia="SimSun"/>
        </w:rPr>
      </w:pPr>
      <w:r>
        <w:rPr>
          <w:rFonts w:eastAsia="SimSun"/>
        </w:rPr>
        <w:t>Fourth, the Family &amp; community environment provides the institutional strongholds (H4) that reinforce social norms (Fishman, 1972). For the Southern Cham, the entire community structure is organized around the jammaah (community) which is centered on the sang magik (mosque). This jammaah system, led by a Hakem (management board leader), functions as the primary unit of social, cultural, and religious life (Phu, 2019), creating a powerful environment for language maintenance (Giles et al., 1977).</w:t>
      </w:r>
    </w:p>
    <w:p w14:paraId="23DD2F4F">
      <w:pPr>
        <w:pStyle w:val="18"/>
        <w:spacing w:before="0" w:beforeAutospacing="0" w:after="0" w:afterAutospacing="0" w:line="276" w:lineRule="auto"/>
        <w:ind w:firstLine="720"/>
        <w:jc w:val="both"/>
        <w:rPr>
          <w:rFonts w:eastAsia="SimSun"/>
        </w:rPr>
      </w:pPr>
      <w:r>
        <w:rPr>
          <w:rFonts w:eastAsia="SimSun"/>
        </w:rPr>
        <w:t>Finally, this model proposes a counter-intuitive hypothesis for the last two factors: Economic Pressure (EP) and Education &amp; Media (EM). While EP is often seen as a driver of assimilation (Blommaert, 2010), and while Vietnamese dominates formal education, local efforts to preserve Cham literacy are active. For instance, provinces like Tay Ninh and An Giang have been compiling textbooks to teach the Cham script using Jawi (Arabic-based) and Rumi (Latin-based) characters, alongside the traditional Akhar Thrah (Phu, 2019). This study posits that an awareness of these external forces may create a conscious resistance or heightened awareness of identity, thereby positively influencing the choice of the Cham language (H5 and H6).</w:t>
      </w:r>
    </w:p>
    <w:p w14:paraId="776CA544">
      <w:pPr>
        <w:pStyle w:val="18"/>
        <w:spacing w:before="0" w:beforeAutospacing="0" w:after="0" w:afterAutospacing="0" w:line="276" w:lineRule="auto"/>
        <w:ind w:firstLine="720"/>
        <w:jc w:val="both"/>
        <w:rPr>
          <w:rFonts w:eastAsia="SimSun"/>
        </w:rPr>
      </w:pPr>
      <w:r>
        <w:rPr>
          <w:rFonts w:eastAsia="SimSun"/>
        </w:rPr>
        <w:t>Based on the theoretical foundations and the identified factors, the proposed research model is designed to test the relationships between the independent variables and the dependent variable. The dependent variable is language choice (LC), while the six independent variables are: language proficiency (LP), cultural identity (CI), language attitude (LA), family and community environment (FCE), economic pressure (EP), and education and media (EM). Each of these is hypothesized to exert a direct impact on language choice within the Cham Islam bilingual community in Southern Vietnam.</w:t>
      </w:r>
    </w:p>
    <w:p w14:paraId="1E0D0B0E">
      <w:pPr>
        <w:pStyle w:val="18"/>
        <w:spacing w:before="0" w:beforeAutospacing="0" w:after="0" w:afterAutospacing="0" w:line="276" w:lineRule="auto"/>
        <w:ind w:firstLine="720"/>
        <w:jc w:val="both"/>
        <w:rPr>
          <w:rFonts w:eastAsia="SimSun"/>
          <w:lang w:val="da-DK"/>
        </w:rPr>
      </w:pPr>
      <w:r>
        <w:rPr>
          <w:rFonts w:eastAsia="SimSun"/>
          <w:lang w:val="da-DK"/>
        </w:rPr>
        <w:t>The theoretical model is illustrated as follows:</w:t>
      </w:r>
    </w:p>
    <w:p w14:paraId="756DDA8B">
      <w:pPr>
        <w:pStyle w:val="18"/>
        <w:spacing w:before="0" w:beforeAutospacing="0" w:after="0" w:afterAutospacing="0" w:line="276" w:lineRule="auto"/>
        <w:ind w:firstLine="720"/>
        <w:jc w:val="both"/>
      </w:pPr>
      <w:r>
        <mc:AlternateContent>
          <mc:Choice Requires="wpg">
            <w:drawing>
              <wp:anchor distT="0" distB="0" distL="114300" distR="114300" simplePos="0" relativeHeight="251659264" behindDoc="0" locked="0" layoutInCell="1" allowOverlap="1">
                <wp:simplePos x="0" y="0"/>
                <wp:positionH relativeFrom="column">
                  <wp:posOffset>970915</wp:posOffset>
                </wp:positionH>
                <wp:positionV relativeFrom="paragraph">
                  <wp:posOffset>38735</wp:posOffset>
                </wp:positionV>
                <wp:extent cx="3917950" cy="2234565"/>
                <wp:effectExtent l="6350" t="6350" r="12700" b="6985"/>
                <wp:wrapNone/>
                <wp:docPr id="25" name="Group 25"/>
                <wp:cNvGraphicFramePr/>
                <a:graphic xmlns:a="http://schemas.openxmlformats.org/drawingml/2006/main">
                  <a:graphicData uri="http://schemas.microsoft.com/office/word/2010/wordprocessingGroup">
                    <wpg:wgp>
                      <wpg:cNvGrpSpPr/>
                      <wpg:grpSpPr>
                        <a:xfrm>
                          <a:off x="0" y="0"/>
                          <a:ext cx="3917999" cy="2234513"/>
                          <a:chOff x="1550" y="1932"/>
                          <a:chExt cx="5877" cy="3036"/>
                        </a:xfrm>
                      </wpg:grpSpPr>
                      <wps:wsp>
                        <wps:cNvPr id="26" name="Flowchart: Alternate Process 22"/>
                        <wps:cNvSpPr/>
                        <wps:spPr>
                          <a:xfrm>
                            <a:off x="3726" y="4293"/>
                            <a:ext cx="1547" cy="675"/>
                          </a:xfrm>
                          <a:prstGeom prst="flowChartAlternateProcess">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1A9DB56B">
                              <w:pPr>
                                <w:jc w:val="center"/>
                                <w:rPr>
                                  <w:color w:val="000000" w:themeColor="text1"/>
                                  <w14:textFill>
                                    <w14:solidFill>
                                      <w14:schemeClr w14:val="tx1"/>
                                    </w14:solidFill>
                                  </w14:textFill>
                                </w:rPr>
                              </w:pPr>
                              <w:r>
                                <w:rPr>
                                  <w:rFonts w:ascii="Times New Roman" w:hAnsi="Times New Roman" w:eastAsia="SimSun" w:cs="Times New Roman"/>
                                  <w:color w:val="000000" w:themeColor="text1"/>
                                  <w14:textFill>
                                    <w14:solidFill>
                                      <w14:schemeClr w14:val="tx1"/>
                                    </w14:solidFill>
                                  </w14:textFill>
                                </w:rPr>
                                <w:t>Education &amp; Media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7" name="Straight Arrow Connector 30"/>
                        <wps:cNvCnPr>
                          <a:stCxn id="38" idx="3"/>
                        </wps:cNvCnPr>
                        <wps:spPr>
                          <a:xfrm flipV="1">
                            <a:off x="3133" y="3630"/>
                            <a:ext cx="603" cy="300"/>
                          </a:xfrm>
                          <a:prstGeom prst="straightConnector1">
                            <a:avLst/>
                          </a:prstGeom>
                          <a:ln>
                            <a:headEnd type="none" w="med" len="med"/>
                            <a:tailEnd type="triangle" w="med" len="med"/>
                          </a:ln>
                        </wps:spPr>
                        <wps:style>
                          <a:lnRef idx="2">
                            <a:schemeClr val="accent1"/>
                          </a:lnRef>
                          <a:fillRef idx="0">
                            <a:srgbClr val="FFFFFF"/>
                          </a:fillRef>
                          <a:effectRef idx="0">
                            <a:srgbClr val="FFFFFF"/>
                          </a:effectRef>
                          <a:fontRef idx="minor">
                            <a:schemeClr val="tx1"/>
                          </a:fontRef>
                        </wps:style>
                        <wps:bodyPr/>
                      </wps:wsp>
                      <wps:wsp>
                        <wps:cNvPr id="36" name="Flowchart: Alternate Process 18"/>
                        <wps:cNvSpPr/>
                        <wps:spPr>
                          <a:xfrm>
                            <a:off x="1550" y="2485"/>
                            <a:ext cx="1677" cy="668"/>
                          </a:xfrm>
                          <a:prstGeom prst="flowChartAlternateProcess">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1A75F385">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Language attitudes</w:t>
                              </w:r>
                            </w:p>
                            <w:p w14:paraId="3A0BFBD3"/>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7" name="Flowchart: Alternate Process 19"/>
                        <wps:cNvSpPr/>
                        <wps:spPr>
                          <a:xfrm>
                            <a:off x="3714" y="1932"/>
                            <a:ext cx="1628" cy="675"/>
                          </a:xfrm>
                          <a:prstGeom prst="flowChartAlternateProcess">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445E437D">
                              <w:pPr>
                                <w:spacing w:after="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Cultural identity</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8" name="Flowchart: Alternate Process 20"/>
                        <wps:cNvSpPr/>
                        <wps:spPr>
                          <a:xfrm>
                            <a:off x="1550" y="3591"/>
                            <a:ext cx="1583" cy="678"/>
                          </a:xfrm>
                          <a:prstGeom prst="flowChartAlternateProcess">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692F9906">
                              <w:pPr>
                                <w:ind w:left="-142" w:right="-111"/>
                                <w:jc w:val="right"/>
                                <w:rPr>
                                  <w:color w:val="000000" w:themeColor="text1"/>
                                  <w14:textFill>
                                    <w14:solidFill>
                                      <w14:schemeClr w14:val="tx1"/>
                                    </w14:solidFill>
                                  </w14:textFill>
                                </w:rPr>
                              </w:pPr>
                              <w:r>
                                <w:rPr>
                                  <w:rFonts w:ascii="Times New Roman" w:hAnsi="Times New Roman" w:eastAsia="SimSun" w:cs="Times New Roman"/>
                                  <w:color w:val="000000" w:themeColor="text1"/>
                                  <w14:textFill>
                                    <w14:solidFill>
                                      <w14:schemeClr w14:val="tx1"/>
                                    </w14:solidFill>
                                  </w14:textFill>
                                </w:rPr>
                                <w:t xml:space="preserve">Family &amp; Community </w:t>
                              </w:r>
                              <w:r>
                                <w:rPr>
                                  <w:rFonts w:ascii="Times New Roman" w:hAnsi="Times New Roman" w:eastAsia="SimSun" w:cs="Times New Roman"/>
                                  <w:color w:val="FF0000"/>
                                  <w:sz w:val="24"/>
                                  <w:szCs w:val="24"/>
                                </w:rPr>
                                <w:t>Environment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 name="Flowchart: Alternate Process 24"/>
                        <wps:cNvSpPr/>
                        <wps:spPr>
                          <a:xfrm>
                            <a:off x="5934" y="2478"/>
                            <a:ext cx="1493" cy="675"/>
                          </a:xfrm>
                          <a:prstGeom prst="flowChartAlternateProcess">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5B816B3F">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Language proficiency</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2" name="Flowchart: Alternate Process 23"/>
                        <wps:cNvSpPr/>
                        <wps:spPr>
                          <a:xfrm>
                            <a:off x="5937" y="3569"/>
                            <a:ext cx="1490" cy="678"/>
                          </a:xfrm>
                          <a:prstGeom prst="flowChartAlternateProcess">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7AB1580D">
                              <w:pPr>
                                <w:jc w:val="center"/>
                                <w:rPr>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Economic </w:t>
                              </w:r>
                              <w:r>
                                <w:rPr>
                                  <w:rFonts w:ascii="Times New Roman" w:hAnsi="Times New Roman" w:eastAsia="SimSun" w:cs="Times New Roman"/>
                                  <w:color w:val="000000" w:themeColor="text1"/>
                                  <w:sz w:val="24"/>
                                  <w:szCs w:val="24"/>
                                  <w14:textFill>
                                    <w14:solidFill>
                                      <w14:schemeClr w14:val="tx1"/>
                                    </w14:solidFill>
                                  </w14:textFill>
                                </w:rPr>
                                <w:t>pressure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 name="Flowchart: Alternate Process 28"/>
                        <wps:cNvSpPr/>
                        <wps:spPr>
                          <a:xfrm>
                            <a:off x="3757" y="3055"/>
                            <a:ext cx="1585" cy="808"/>
                          </a:xfrm>
                          <a:prstGeom prst="flowChartAlternateProcess">
                            <a:avLst/>
                          </a:prstGeom>
                          <a:solidFill>
                            <a:schemeClr val="bg1"/>
                          </a:solidFill>
                        </wps:spPr>
                        <wps:style>
                          <a:lnRef idx="2">
                            <a:schemeClr val="accent1">
                              <a:lumMod val="75000"/>
                            </a:schemeClr>
                          </a:lnRef>
                          <a:fillRef idx="1">
                            <a:schemeClr val="accent1"/>
                          </a:fillRef>
                          <a:effectRef idx="0">
                            <a:srgbClr val="FFFFFF"/>
                          </a:effectRef>
                          <a:fontRef idx="minor">
                            <a:schemeClr val="lt1"/>
                          </a:fontRef>
                        </wps:style>
                        <wps:txbx>
                          <w:txbxContent>
                            <w:p w14:paraId="0FD4F979">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Language choice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4" name="Straight Arrow Connector 29"/>
                        <wps:cNvCnPr/>
                        <wps:spPr>
                          <a:xfrm>
                            <a:off x="3251" y="2826"/>
                            <a:ext cx="538" cy="340"/>
                          </a:xfrm>
                          <a:prstGeom prst="straightConnector1">
                            <a:avLst/>
                          </a:prstGeom>
                          <a:ln>
                            <a:headEnd type="none" w="med" len="med"/>
                            <a:tailEnd type="triangle" w="med" len="med"/>
                          </a:ln>
                        </wps:spPr>
                        <wps:style>
                          <a:lnRef idx="2">
                            <a:schemeClr val="accent1"/>
                          </a:lnRef>
                          <a:fillRef idx="0">
                            <a:srgbClr val="FFFFFF"/>
                          </a:fillRef>
                          <a:effectRef idx="0">
                            <a:srgbClr val="FFFFFF"/>
                          </a:effectRef>
                          <a:fontRef idx="minor">
                            <a:schemeClr val="tx1"/>
                          </a:fontRef>
                        </wps:style>
                        <wps:bodyPr/>
                      </wps:wsp>
                      <wps:wsp>
                        <wps:cNvPr id="46" name="Straight Arrow Connector 32"/>
                        <wps:cNvCnPr>
                          <a:stCxn id="26" idx="0"/>
                        </wps:cNvCnPr>
                        <wps:spPr>
                          <a:xfrm flipH="1" flipV="1">
                            <a:off x="4475" y="3932"/>
                            <a:ext cx="24" cy="361"/>
                          </a:xfrm>
                          <a:prstGeom prst="straightConnector1">
                            <a:avLst/>
                          </a:prstGeom>
                          <a:ln>
                            <a:headEnd type="none" w="med" len="med"/>
                            <a:tailEnd type="triangle" w="med" len="med"/>
                          </a:ln>
                        </wps:spPr>
                        <wps:style>
                          <a:lnRef idx="2">
                            <a:schemeClr val="accent1"/>
                          </a:lnRef>
                          <a:fillRef idx="0">
                            <a:srgbClr val="FFFFFF"/>
                          </a:fillRef>
                          <a:effectRef idx="0">
                            <a:srgbClr val="FFFFFF"/>
                          </a:effectRef>
                          <a:fontRef idx="minor">
                            <a:schemeClr val="tx1"/>
                          </a:fontRef>
                        </wps:style>
                        <wps:bodyPr/>
                      </wps:wsp>
                      <wps:wsp>
                        <wps:cNvPr id="47" name="Straight Arrow Connector 33"/>
                        <wps:cNvCnPr>
                          <a:stCxn id="42" idx="1"/>
                        </wps:cNvCnPr>
                        <wps:spPr>
                          <a:xfrm flipH="1" flipV="1">
                            <a:off x="5342" y="3735"/>
                            <a:ext cx="595" cy="173"/>
                          </a:xfrm>
                          <a:prstGeom prst="straightConnector1">
                            <a:avLst/>
                          </a:prstGeom>
                          <a:ln>
                            <a:headEnd type="none" w="med" len="med"/>
                            <a:tailEnd type="triangle" w="med" len="med"/>
                          </a:ln>
                        </wps:spPr>
                        <wps:style>
                          <a:lnRef idx="2">
                            <a:schemeClr val="accent1"/>
                          </a:lnRef>
                          <a:fillRef idx="0">
                            <a:srgbClr val="FFFFFF"/>
                          </a:fillRef>
                          <a:effectRef idx="0">
                            <a:srgbClr val="FFFFFF"/>
                          </a:effectRef>
                          <a:fontRef idx="minor">
                            <a:schemeClr val="tx1"/>
                          </a:fontRef>
                        </wps:style>
                        <wps:bodyPr/>
                      </wps:wsp>
                      <wps:wsp>
                        <wps:cNvPr id="48" name="Straight Arrow Connector 34"/>
                        <wps:cNvCnPr>
                          <a:stCxn id="41" idx="1"/>
                        </wps:cNvCnPr>
                        <wps:spPr>
                          <a:xfrm flipH="1">
                            <a:off x="5292" y="2815"/>
                            <a:ext cx="642" cy="337"/>
                          </a:xfrm>
                          <a:prstGeom prst="straightConnector1">
                            <a:avLst/>
                          </a:prstGeom>
                          <a:ln>
                            <a:headEnd type="none" w="med" len="med"/>
                            <a:tailEnd type="triangle" w="med" len="med"/>
                          </a:ln>
                        </wps:spPr>
                        <wps:style>
                          <a:lnRef idx="2">
                            <a:schemeClr val="accent1"/>
                          </a:lnRef>
                          <a:fillRef idx="0">
                            <a:srgbClr val="FFFFFF"/>
                          </a:fillRef>
                          <a:effectRef idx="0">
                            <a:srgbClr val="FFFFFF"/>
                          </a:effectRef>
                          <a:fontRef idx="minor">
                            <a:schemeClr val="tx1"/>
                          </a:fontRef>
                        </wps:style>
                        <wps:bodyPr/>
                      </wps:wsp>
                      <wps:wsp>
                        <wps:cNvPr id="49" name="Straight Arrow Connector 35"/>
                        <wps:cNvCnPr>
                          <a:stCxn id="37" idx="2"/>
                          <a:endCxn id="43" idx="0"/>
                        </wps:cNvCnPr>
                        <wps:spPr>
                          <a:xfrm>
                            <a:off x="4528" y="2607"/>
                            <a:ext cx="21" cy="449"/>
                          </a:xfrm>
                          <a:prstGeom prst="straightConnector1">
                            <a:avLst/>
                          </a:prstGeom>
                          <a:ln>
                            <a:headEnd type="none" w="med" len="med"/>
                            <a:tailEnd type="triangle" w="med" len="med"/>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76.45pt;margin-top:3.05pt;height:175.95pt;width:308.5pt;z-index:251659264;mso-width-relative:page;mso-height-relative:page;" coordorigin="1550,1932" coordsize="5877,3036" o:gfxdata="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">
                <o:lock v:ext="edit" aspectratio="f"/>
                <v:shape id="Flowchart: Alternate Process 22" o:spid="_x0000_s1026" o:spt="176" type="#_x0000_t176" style="position:absolute;left:3726;top:4293;height:675;width:1547;v-text-anchor:middle;" fillcolor="#FFFFFF [3212]" filled="t" stroked="t" coordsize="21600,21600" o:gfxdata="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V2z/bsAAADb&#10;AAAADwAAAAAAAAABACAAAAAiAAAAZHJzL2Rvd25yZXYueG1sUEsBAhQAFAAAAAgAh07iQDMvBZ47&#10;AAAAOQAAABAAAAAAAAAAAQAgAAAACgEAAGRycy9zaGFwZXhtbC54bWxQSwUGAAAAAAYABgBbAQAA&#10;tAMAAAAA&#10;">
                  <v:fill on="t" focussize="0,0"/>
                  <v:stroke weight="1pt" color="#2E75B6 [2404]" miterlimit="8" joinstyle="miter"/>
                  <v:imagedata o:title=""/>
                  <o:lock v:ext="edit" aspectratio="f"/>
                  <v:textbox>
                    <w:txbxContent>
                      <w:p w14:paraId="1A9DB56B">
                        <w:pPr>
                          <w:jc w:val="center"/>
                          <w:rPr>
                            <w:color w:val="000000" w:themeColor="text1"/>
                            <w14:textFill>
                              <w14:solidFill>
                                <w14:schemeClr w14:val="tx1"/>
                              </w14:solidFill>
                            </w14:textFill>
                          </w:rPr>
                        </w:pPr>
                        <w:r>
                          <w:rPr>
                            <w:rFonts w:ascii="Times New Roman" w:hAnsi="Times New Roman" w:eastAsia="SimSun" w:cs="Times New Roman"/>
                            <w:color w:val="000000" w:themeColor="text1"/>
                            <w14:textFill>
                              <w14:solidFill>
                                <w14:schemeClr w14:val="tx1"/>
                              </w14:solidFill>
                            </w14:textFill>
                          </w:rPr>
                          <w:t>Education &amp; Media</w:t>
                        </w:r>
                      </w:p>
                    </w:txbxContent>
                  </v:textbox>
                </v:shape>
                <v:shape id="Straight Arrow Connector 30" o:spid="_x0000_s1026" o:spt="32" type="#_x0000_t32" style="position:absolute;left:3133;top:3630;flip:y;height:300;width:603;" filled="f" stroked="t" coordsize="21600,21600" o:gfxdata="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bcspvQAA&#10;ANsAAAAPAAAAAAAAAAEAIAAAACIAAABkcnMvZG93bnJldi54bWxQSwECFAAUAAAACACHTuJAMy8F&#10;njsAAAA5AAAAEAAAAAAAAAABACAAAAAMAQAAZHJzL3NoYXBleG1sLnhtbFBLBQYAAAAABgAGAFsB&#10;AAC2AwAAAAA=&#10;">
                  <v:fill on="f" focussize="0,0"/>
                  <v:stroke weight="1pt" color="#5B9BD5 [3204]" miterlimit="8" joinstyle="miter" endarrow="block"/>
                  <v:imagedata o:title=""/>
                  <o:lock v:ext="edit" aspectratio="f"/>
                </v:shape>
                <v:shape id="Flowchart: Alternate Process 18" o:spid="_x0000_s1026" o:spt="176" type="#_x0000_t176" style="position:absolute;left:1550;top:2485;height:668;width:1677;v-text-anchor:middle;" fillcolor="#FFFFFF [3212]" filled="t" stroked="t" coordsize="21600,21600" o:gfxdata="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EJSC8AAAA&#10;2wAAAA8AAAAAAAAAAQAgAAAAIgAAAGRycy9kb3ducmV2LnhtbFBLAQIUABQAAAAIAIdO4kAzLwWe&#10;OwAAADkAAAAQAAAAAAAAAAEAIAAAAAsBAABkcnMvc2hhcGV4bWwueG1sUEsFBgAAAAAGAAYAWwEA&#10;ALUDAAAAAA==&#10;">
                  <v:fill on="t" focussize="0,0"/>
                  <v:stroke weight="1pt" color="#2E75B6 [2404]" miterlimit="8" joinstyle="miter"/>
                  <v:imagedata o:title=""/>
                  <o:lock v:ext="edit" aspectratio="f"/>
                  <v:textbox>
                    <w:txbxContent>
                      <w:p w14:paraId="1A75F385">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Language attitudes</w:t>
                        </w:r>
                      </w:p>
                      <w:p w14:paraId="3A0BFBD3"/>
                    </w:txbxContent>
                  </v:textbox>
                </v:shape>
                <v:shape id="Flowchart: Alternate Process 19" o:spid="_x0000_s1026" o:spt="176" type="#_x0000_t176" style="position:absolute;left:3714;top:1932;height:675;width:1628;v-text-anchor:middle;" fillcolor="#FFFFFF [3212]" filled="t" stroked="t" coordsize="21600,21600" o:gfxdata="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gLu8AAAA&#10;2wAAAA8AAAAAAAAAAQAgAAAAIgAAAGRycy9kb3ducmV2LnhtbFBLAQIUABQAAAAIAIdO4kAzLwWe&#10;OwAAADkAAAAQAAAAAAAAAAEAIAAAAAsBAABkcnMvc2hhcGV4bWwueG1sUEsFBgAAAAAGAAYAWwEA&#10;ALUDAAAAAA==&#10;">
                  <v:fill on="t" focussize="0,0"/>
                  <v:stroke weight="1pt" color="#2E75B6 [2404]" miterlimit="8" joinstyle="miter"/>
                  <v:imagedata o:title=""/>
                  <o:lock v:ext="edit" aspectratio="f"/>
                  <v:textbox>
                    <w:txbxContent>
                      <w:p w14:paraId="445E437D">
                        <w:pPr>
                          <w:spacing w:after="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Cultural identity</w:t>
                        </w:r>
                      </w:p>
                    </w:txbxContent>
                  </v:textbox>
                </v:shape>
                <v:shape id="Flowchart: Alternate Process 20" o:spid="_x0000_s1026" o:spt="176" type="#_x0000_t176" style="position:absolute;left:1550;top:3591;height:678;width:1583;v-text-anchor:middle;" fillcolor="#FFFFFF [3212]" filled="t" stroked="t" coordsize="21600,21600" o:gfxdata="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lcUybgAAADbAAAA&#10;DwAAAAAAAAABACAAAAAiAAAAZHJzL2Rvd25yZXYueG1sUEsBAhQAFAAAAAgAh07iQDMvBZ47AAAA&#10;OQAAABAAAAAAAAAAAQAgAAAABwEAAGRycy9zaGFwZXhtbC54bWxQSwUGAAAAAAYABgBbAQAAsQMA&#10;AAAA&#10;">
                  <v:fill on="t" focussize="0,0"/>
                  <v:stroke weight="1pt" color="#2E75B6 [2404]" miterlimit="8" joinstyle="miter"/>
                  <v:imagedata o:title=""/>
                  <o:lock v:ext="edit" aspectratio="f"/>
                  <v:textbox>
                    <w:txbxContent>
                      <w:p w14:paraId="692F9906">
                        <w:pPr>
                          <w:ind w:left="-142" w:right="-111"/>
                          <w:jc w:val="right"/>
                          <w:rPr>
                            <w:color w:val="000000" w:themeColor="text1"/>
                            <w14:textFill>
                              <w14:solidFill>
                                <w14:schemeClr w14:val="tx1"/>
                              </w14:solidFill>
                            </w14:textFill>
                          </w:rPr>
                        </w:pPr>
                        <w:r>
                          <w:rPr>
                            <w:rFonts w:ascii="Times New Roman" w:hAnsi="Times New Roman" w:eastAsia="SimSun" w:cs="Times New Roman"/>
                            <w:color w:val="000000" w:themeColor="text1"/>
                            <w14:textFill>
                              <w14:solidFill>
                                <w14:schemeClr w14:val="tx1"/>
                              </w14:solidFill>
                            </w14:textFill>
                          </w:rPr>
                          <w:t xml:space="preserve">Family &amp; Community </w:t>
                        </w:r>
                        <w:r>
                          <w:rPr>
                            <w:rFonts w:ascii="Times New Roman" w:hAnsi="Times New Roman" w:eastAsia="SimSun" w:cs="Times New Roman"/>
                            <w:color w:val="FF0000"/>
                            <w:sz w:val="24"/>
                            <w:szCs w:val="24"/>
                          </w:rPr>
                          <w:t>Environment</w:t>
                        </w:r>
                      </w:p>
                    </w:txbxContent>
                  </v:textbox>
                </v:shape>
                <v:shape id="Flowchart: Alternate Process 24" o:spid="_x0000_s1026" o:spt="176" type="#_x0000_t176" style="position:absolute;left:5934;top:2478;height:675;width:1493;v-text-anchor:middle;" fillcolor="#FFFFFF [3212]" filled="t" stroked="t" coordsize="21600,21600" o:gfxdata="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rzim8AAAA&#10;2wAAAA8AAAAAAAAAAQAgAAAAIgAAAGRycy9kb3ducmV2LnhtbFBLAQIUABQAAAAIAIdO4kAzLwWe&#10;OwAAADkAAAAQAAAAAAAAAAEAIAAAAAsBAABkcnMvc2hhcGV4bWwueG1sUEsFBgAAAAAGAAYAWwEA&#10;ALUDAAAAAA==&#10;">
                  <v:fill on="t" focussize="0,0"/>
                  <v:stroke weight="1pt" color="#2E75B6 [2404]" miterlimit="8" joinstyle="miter"/>
                  <v:imagedata o:title=""/>
                  <o:lock v:ext="edit" aspectratio="f"/>
                  <v:textbox>
                    <w:txbxContent>
                      <w:p w14:paraId="5B816B3F">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Language proficiency</w:t>
                        </w:r>
                      </w:p>
                    </w:txbxContent>
                  </v:textbox>
                </v:shape>
                <v:shape id="Flowchart: Alternate Process 23" o:spid="_x0000_s1026" o:spt="176" type="#_x0000_t176" style="position:absolute;left:5937;top:3569;height:678;width:1490;v-text-anchor:middle;" fillcolor="#FFFFFF [3212]" filled="t" stroked="t" coordsize="21600,21600" o:gfxdata="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7lQXrsAAADb&#10;AAAADwAAAAAAAAABACAAAAAiAAAAZHJzL2Rvd25yZXYueG1sUEsBAhQAFAAAAAgAh07iQDMvBZ47&#10;AAAAOQAAABAAAAAAAAAAAQAgAAAACgEAAGRycy9zaGFwZXhtbC54bWxQSwUGAAAAAAYABgBbAQAA&#10;tAMAAAAA&#10;">
                  <v:fill on="t" focussize="0,0"/>
                  <v:stroke weight="1pt" color="#2E75B6 [2404]" miterlimit="8" joinstyle="miter"/>
                  <v:imagedata o:title=""/>
                  <o:lock v:ext="edit" aspectratio="f"/>
                  <v:textbox>
                    <w:txbxContent>
                      <w:p w14:paraId="7AB1580D">
                        <w:pPr>
                          <w:jc w:val="center"/>
                          <w:rPr>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Economic </w:t>
                        </w:r>
                        <w:r>
                          <w:rPr>
                            <w:rFonts w:ascii="Times New Roman" w:hAnsi="Times New Roman" w:eastAsia="SimSun" w:cs="Times New Roman"/>
                            <w:color w:val="000000" w:themeColor="text1"/>
                            <w:sz w:val="24"/>
                            <w:szCs w:val="24"/>
                            <w14:textFill>
                              <w14:solidFill>
                                <w14:schemeClr w14:val="tx1"/>
                              </w14:solidFill>
                            </w14:textFill>
                          </w:rPr>
                          <w:t>pressure</w:t>
                        </w:r>
                      </w:p>
                    </w:txbxContent>
                  </v:textbox>
                </v:shape>
                <v:shape id="Flowchart: Alternate Process 28" o:spid="_x0000_s1026" o:spt="176" type="#_x0000_t176" style="position:absolute;left:3757;top:3055;height:808;width:1585;v-text-anchor:middle;" fillcolor="#FFFFFF [3212]" filled="t" stroked="t" coordsize="21600,21600" o:gfxdata="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19cW8AAAA&#10;2wAAAA8AAAAAAAAAAQAgAAAAIgAAAGRycy9kb3ducmV2LnhtbFBLAQIUABQAAAAIAIdO4kAzLwWe&#10;OwAAADkAAAAQAAAAAAAAAAEAIAAAAAsBAABkcnMvc2hhcGV4bWwueG1sUEsFBgAAAAAGAAYAWwEA&#10;ALUDAAAAAA==&#10;">
                  <v:fill on="t" focussize="0,0"/>
                  <v:stroke weight="1pt" color="#2E75B6 [2404]" miterlimit="8" joinstyle="miter"/>
                  <v:imagedata o:title=""/>
                  <o:lock v:ext="edit" aspectratio="f"/>
                  <v:textbox>
                    <w:txbxContent>
                      <w:p w14:paraId="0FD4F979">
                        <w:pPr>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Language choice</w:t>
                        </w:r>
                      </w:p>
                    </w:txbxContent>
                  </v:textbox>
                </v:shape>
                <v:shape id="Straight Arrow Connector 29" o:spid="_x0000_s1026" o:spt="32" type="#_x0000_t32" style="position:absolute;left:3251;top:2826;height:340;width:538;" filled="f" stroked="t" coordsize="21600,21600" o:gfxdata="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k2r7sAAADb&#10;AAAADwAAAAAAAAABACAAAAAiAAAAZHJzL2Rvd25yZXYueG1sUEsBAhQAFAAAAAgAh07iQDMvBZ47&#10;AAAAOQAAABAAAAAAAAAAAQAgAAAACgEAAGRycy9zaGFwZXhtbC54bWxQSwUGAAAAAAYABgBbAQAA&#10;tAMAAAAA&#10;">
                  <v:fill on="f" focussize="0,0"/>
                  <v:stroke weight="1pt" color="#5B9BD5 [3204]" miterlimit="8" joinstyle="miter" endarrow="block"/>
                  <v:imagedata o:title=""/>
                  <o:lock v:ext="edit" aspectratio="f"/>
                </v:shape>
                <v:shape id="Straight Arrow Connector 32" o:spid="_x0000_s1026" o:spt="32" type="#_x0000_t32" style="position:absolute;left:4475;top:3932;flip:x y;height:361;width:24;" filled="f" stroked="t" coordsize="21600,21600" o:gfxdata="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KRgXvQAA&#10;ANsAAAAPAAAAAAAAAAEAIAAAACIAAABkcnMvZG93bnJldi54bWxQSwECFAAUAAAACACHTuJAMy8F&#10;njsAAAA5AAAAEAAAAAAAAAABACAAAAAMAQAAZHJzL3NoYXBleG1sLnhtbFBLBQYAAAAABgAGAFsB&#10;AAC2AwAAAAA=&#10;">
                  <v:fill on="f" focussize="0,0"/>
                  <v:stroke weight="1pt" color="#5B9BD5 [3204]" miterlimit="8" joinstyle="miter" endarrow="block"/>
                  <v:imagedata o:title=""/>
                  <o:lock v:ext="edit" aspectratio="f"/>
                </v:shape>
                <v:shape id="Straight Arrow Connector 33" o:spid="_x0000_s1026" o:spt="32" type="#_x0000_t32" style="position:absolute;left:5342;top:3735;flip:x y;height:173;width:595;" filled="f" stroked="t" coordsize="21600,21600" o:gfxdata="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W9jL4A&#10;AADbAAAADwAAAAAAAAABACAAAAAiAAAAZHJzL2Rvd25yZXYueG1sUEsBAhQAFAAAAAgAh07iQDMv&#10;BZ47AAAAOQAAABAAAAAAAAAAAQAgAAAADQEAAGRycy9zaGFwZXhtbC54bWxQSwUGAAAAAAYABgBb&#10;AQAAtwMAAAAA&#10;">
                  <v:fill on="f" focussize="0,0"/>
                  <v:stroke weight="1pt" color="#5B9BD5 [3204]" miterlimit="8" joinstyle="miter" endarrow="block"/>
                  <v:imagedata o:title=""/>
                  <o:lock v:ext="edit" aspectratio="f"/>
                </v:shape>
                <v:shape id="Straight Arrow Connector 34" o:spid="_x0000_s1026" o:spt="32" type="#_x0000_t32" style="position:absolute;left:5292;top:2815;flip:x;height:337;width:642;" filled="f" stroked="t" coordsize="21600,21600" o:gfxdata="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Etuvu8AAAA&#10;2wAAAA8AAAAAAAAAAQAgAAAAIgAAAGRycy9kb3ducmV2LnhtbFBLAQIUABQAAAAIAIdO4kAzLwWe&#10;OwAAADkAAAAQAAAAAAAAAAEAIAAAAAsBAABkcnMvc2hhcGV4bWwueG1sUEsFBgAAAAAGAAYAWwEA&#10;ALUDAAAAAA==&#10;">
                  <v:fill on="f" focussize="0,0"/>
                  <v:stroke weight="1pt" color="#5B9BD5 [3204]" miterlimit="8" joinstyle="miter" endarrow="block"/>
                  <v:imagedata o:title=""/>
                  <o:lock v:ext="edit" aspectratio="f"/>
                </v:shape>
                <v:shape id="Straight Arrow Connector 35" o:spid="_x0000_s1026" o:spt="32" type="#_x0000_t32" style="position:absolute;left:4528;top:2607;height:449;width:21;" filled="f" stroked="t" coordsize="21600,21600" o:gfxdata="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NiZMbsAAADb&#10;AAAADwAAAAAAAAABACAAAAAiAAAAZHJzL2Rvd25yZXYueG1sUEsBAhQAFAAAAAgAh07iQDMvBZ47&#10;AAAAOQAAABAAAAAAAAAAAQAgAAAACgEAAGRycy9zaGFwZXhtbC54bWxQSwUGAAAAAAYABgBbAQAA&#10;tAMAAAAA&#10;">
                  <v:fill on="f" focussize="0,0"/>
                  <v:stroke weight="1pt" color="#5B9BD5 [3204]" miterlimit="8" joinstyle="miter" endarrow="block"/>
                  <v:imagedata o:title=""/>
                  <o:lock v:ext="edit" aspectratio="f"/>
                </v:shape>
              </v:group>
            </w:pict>
          </mc:Fallback>
        </mc:AlternateContent>
      </w:r>
    </w:p>
    <w:p w14:paraId="12660B1F">
      <w:pPr>
        <w:jc w:val="both"/>
        <w:rPr>
          <w:rFonts w:ascii="Times New Roman" w:hAnsi="Times New Roman" w:cs="Times New Roman"/>
          <w:sz w:val="24"/>
          <w:szCs w:val="24"/>
        </w:rPr>
      </w:pPr>
    </w:p>
    <w:p w14:paraId="6FC56B37">
      <w:pPr>
        <w:jc w:val="both"/>
        <w:rPr>
          <w:rFonts w:ascii="Times New Roman" w:hAnsi="Times New Roman" w:cs="Times New Roman"/>
          <w:sz w:val="24"/>
          <w:szCs w:val="24"/>
        </w:rPr>
      </w:pPr>
    </w:p>
    <w:p w14:paraId="03AF1DB6">
      <w:pPr>
        <w:jc w:val="both"/>
        <w:rPr>
          <w:rFonts w:ascii="Times New Roman" w:hAnsi="Times New Roman" w:cs="Times New Roman"/>
          <w:sz w:val="24"/>
          <w:szCs w:val="24"/>
        </w:rPr>
      </w:pPr>
    </w:p>
    <w:p w14:paraId="701384FD">
      <w:pPr>
        <w:jc w:val="both"/>
        <w:rPr>
          <w:rFonts w:ascii="Times New Roman" w:hAnsi="Times New Roman" w:cs="Times New Roman"/>
          <w:color w:val="FF0000"/>
          <w:sz w:val="24"/>
          <w:szCs w:val="24"/>
        </w:rPr>
      </w:pPr>
    </w:p>
    <w:p w14:paraId="37E1CEC1">
      <w:pPr>
        <w:pStyle w:val="4"/>
        <w:spacing w:before="0" w:beforeAutospacing="0" w:after="0" w:afterAutospacing="0" w:line="276" w:lineRule="auto"/>
        <w:jc w:val="both"/>
        <w:rPr>
          <w:b w:val="0"/>
          <w:bCs w:val="0"/>
          <w:color w:val="FF0000"/>
          <w:sz w:val="24"/>
          <w:szCs w:val="24"/>
        </w:rPr>
      </w:pPr>
    </w:p>
    <w:p w14:paraId="6CC58ADE">
      <w:pPr>
        <w:spacing w:after="0"/>
        <w:ind w:firstLine="720"/>
        <w:jc w:val="both"/>
        <w:rPr>
          <w:rFonts w:ascii="Times New Roman" w:hAnsi="Times New Roman" w:eastAsia="SimSun" w:cs="Times New Roman"/>
          <w:color w:val="FF0000"/>
          <w:sz w:val="24"/>
          <w:szCs w:val="24"/>
        </w:rPr>
      </w:pPr>
      <w:r>
        <w:rPr>
          <w:rFonts w:ascii="Times New Roman" w:hAnsi="Times New Roman" w:eastAsia="SimSun" w:cs="Times New Roman"/>
          <w:color w:val="FF0000"/>
          <w:sz w:val="24"/>
          <w:szCs w:val="24"/>
        </w:rPr>
        <w:t xml:space="preserve"> </w:t>
      </w:r>
    </w:p>
    <w:p w14:paraId="716D4ECC">
      <w:pPr>
        <w:spacing w:after="0"/>
        <w:ind w:firstLine="720"/>
        <w:jc w:val="both"/>
        <w:rPr>
          <w:rFonts w:ascii="Times New Roman" w:hAnsi="Times New Roman" w:eastAsia="SimSun" w:cs="Times New Roman"/>
          <w:color w:val="FF0000"/>
          <w:sz w:val="24"/>
          <w:szCs w:val="24"/>
        </w:rPr>
      </w:pPr>
    </w:p>
    <w:p w14:paraId="0974D489">
      <w:pPr>
        <w:spacing w:after="0"/>
        <w:ind w:firstLine="720"/>
        <w:jc w:val="both"/>
        <w:rPr>
          <w:rFonts w:ascii="Times New Roman" w:hAnsi="Times New Roman" w:eastAsia="SimSun" w:cs="Times New Roman"/>
          <w:color w:val="FF0000"/>
          <w:sz w:val="24"/>
          <w:szCs w:val="24"/>
        </w:rPr>
      </w:pPr>
    </w:p>
    <w:p w14:paraId="620A38F3">
      <w:pPr>
        <w:spacing w:after="0"/>
        <w:jc w:val="center"/>
        <w:rPr>
          <w:rFonts w:ascii="Times New Roman" w:hAnsi="Times New Roman" w:eastAsia="SimSun" w:cs="Times New Roman"/>
          <w:sz w:val="24"/>
          <w:szCs w:val="24"/>
        </w:rPr>
      </w:pPr>
      <w:r>
        <w:rPr>
          <w:rFonts w:ascii="Times New Roman" w:hAnsi="Times New Roman" w:eastAsia="SimSun" w:cs="Times New Roman"/>
          <w:b/>
          <w:bCs/>
          <w:sz w:val="24"/>
          <w:szCs w:val="24"/>
        </w:rPr>
        <w:t>Figure 1</w:t>
      </w:r>
      <w:r>
        <w:rPr>
          <w:rFonts w:ascii="Times New Roman" w:hAnsi="Times New Roman" w:eastAsia="SimSun" w:cs="Times New Roman"/>
          <w:sz w:val="24"/>
          <w:szCs w:val="24"/>
        </w:rPr>
        <w:t>. The proposed research model</w:t>
      </w:r>
    </w:p>
    <w:p w14:paraId="72E2DA3D">
      <w:pPr>
        <w:pStyle w:val="18"/>
        <w:spacing w:before="0" w:beforeAutospacing="0" w:after="0" w:afterAutospacing="0" w:line="276" w:lineRule="auto"/>
        <w:ind w:firstLine="720"/>
        <w:jc w:val="both"/>
        <w:rPr>
          <w:rFonts w:eastAsia="SimSun"/>
          <w:lang w:val="da-DK"/>
        </w:rPr>
      </w:pPr>
    </w:p>
    <w:p w14:paraId="3D37B06C">
      <w:pPr>
        <w:pStyle w:val="18"/>
        <w:spacing w:before="0" w:beforeAutospacing="0" w:after="0" w:afterAutospacing="0" w:line="276" w:lineRule="auto"/>
        <w:ind w:firstLine="720"/>
        <w:jc w:val="both"/>
        <w:rPr>
          <w:rFonts w:eastAsia="SimSun"/>
          <w:lang w:val="da-DK"/>
        </w:rPr>
      </w:pPr>
      <w:r>
        <w:rPr>
          <w:rFonts w:eastAsia="SimSun"/>
          <w:lang w:val="da-DK"/>
        </w:rPr>
        <w:t>Based on the research model (see Figure 1), seven research hypotheses (H1 to H</w:t>
      </w:r>
      <w:r>
        <w:rPr>
          <w:rFonts w:eastAsia="SimSun"/>
        </w:rPr>
        <w:t>6</w:t>
      </w:r>
      <w:r>
        <w:rPr>
          <w:rFonts w:eastAsia="SimSun"/>
          <w:lang w:val="da-DK"/>
        </w:rPr>
        <w:t>) are formulated as follows:</w:t>
      </w:r>
    </w:p>
    <w:p w14:paraId="1C77F987">
      <w:pPr>
        <w:pStyle w:val="18"/>
        <w:spacing w:before="0" w:beforeAutospacing="0" w:after="0" w:afterAutospacing="0" w:line="276" w:lineRule="auto"/>
        <w:ind w:firstLine="720"/>
        <w:jc w:val="both"/>
        <w:rPr>
          <w:rFonts w:eastAsia="SimSun"/>
        </w:rPr>
      </w:pPr>
      <w:r>
        <w:rPr>
          <w:rFonts w:eastAsia="SimSun"/>
          <w:b/>
          <w:bCs/>
        </w:rPr>
        <w:t>H1.</w:t>
      </w:r>
      <w:r>
        <w:rPr>
          <w:rFonts w:eastAsia="SimSun"/>
        </w:rPr>
        <w:t xml:space="preserve"> Cultural identity significantly and positively influences Cham people’s language choice. </w:t>
      </w:r>
    </w:p>
    <w:p w14:paraId="41AC5ECC">
      <w:pPr>
        <w:pStyle w:val="18"/>
        <w:spacing w:before="0" w:beforeAutospacing="0" w:after="0" w:afterAutospacing="0" w:line="276" w:lineRule="auto"/>
        <w:ind w:firstLine="720"/>
        <w:jc w:val="both"/>
        <w:rPr>
          <w:rFonts w:eastAsia="SimSun"/>
        </w:rPr>
      </w:pPr>
      <w:r>
        <w:rPr>
          <w:rFonts w:eastAsia="SimSun"/>
          <w:b/>
          <w:bCs/>
        </w:rPr>
        <w:t>H2.</w:t>
      </w:r>
      <w:r>
        <w:rPr>
          <w:rFonts w:eastAsia="SimSun"/>
        </w:rPr>
        <w:t xml:space="preserve"> Proficiency in the Cham language significantly and positively influences Cham people’s language choice. </w:t>
      </w:r>
    </w:p>
    <w:p w14:paraId="0CBD9F24">
      <w:pPr>
        <w:pStyle w:val="18"/>
        <w:spacing w:before="0" w:beforeAutospacing="0" w:after="0" w:afterAutospacing="0" w:line="276" w:lineRule="auto"/>
        <w:ind w:firstLine="720"/>
        <w:jc w:val="both"/>
        <w:rPr>
          <w:rFonts w:eastAsia="SimSun"/>
        </w:rPr>
      </w:pPr>
      <w:r>
        <w:rPr>
          <w:rFonts w:eastAsia="SimSun"/>
          <w:b/>
          <w:bCs/>
        </w:rPr>
        <w:t>H3.</w:t>
      </w:r>
      <w:r>
        <w:rPr>
          <w:rFonts w:eastAsia="SimSun"/>
        </w:rPr>
        <w:t xml:space="preserve"> Positive attitudes toward the Cham language significantly and positively influence Cham people’s language choice. </w:t>
      </w:r>
    </w:p>
    <w:p w14:paraId="618ED230">
      <w:pPr>
        <w:pStyle w:val="18"/>
        <w:spacing w:before="0" w:beforeAutospacing="0" w:after="0" w:afterAutospacing="0" w:line="276" w:lineRule="auto"/>
        <w:ind w:firstLine="720"/>
        <w:jc w:val="both"/>
        <w:rPr>
          <w:rFonts w:eastAsia="SimSun"/>
        </w:rPr>
      </w:pPr>
      <w:r>
        <w:rPr>
          <w:rFonts w:eastAsia="SimSun"/>
          <w:b/>
          <w:bCs/>
        </w:rPr>
        <w:t>H4.</w:t>
      </w:r>
      <w:r>
        <w:rPr>
          <w:rFonts w:eastAsia="SimSun"/>
        </w:rPr>
        <w:t xml:space="preserve"> The Family and community environment significantly and positively influences Cham people’s language choice. </w:t>
      </w:r>
    </w:p>
    <w:p w14:paraId="3F22586D">
      <w:pPr>
        <w:pStyle w:val="18"/>
        <w:spacing w:before="0" w:beforeAutospacing="0" w:after="0" w:afterAutospacing="0" w:line="276" w:lineRule="auto"/>
        <w:ind w:firstLine="720"/>
        <w:jc w:val="both"/>
        <w:rPr>
          <w:rFonts w:eastAsia="SimSun"/>
        </w:rPr>
      </w:pPr>
      <w:r>
        <w:rPr>
          <w:rFonts w:eastAsia="SimSun"/>
          <w:b/>
          <w:bCs/>
        </w:rPr>
        <w:t>H5.</w:t>
      </w:r>
      <w:r>
        <w:rPr>
          <w:rFonts w:eastAsia="SimSun"/>
        </w:rPr>
        <w:t xml:space="preserve"> Perceptions of economic pressure significantly and positively influence Cham people’s language choice. </w:t>
      </w:r>
    </w:p>
    <w:p w14:paraId="23A71109">
      <w:pPr>
        <w:pStyle w:val="18"/>
        <w:spacing w:before="0" w:beforeAutospacing="0" w:after="0" w:afterAutospacing="0" w:line="276" w:lineRule="auto"/>
        <w:ind w:firstLine="720"/>
        <w:jc w:val="both"/>
        <w:rPr>
          <w:rFonts w:eastAsia="SimSun"/>
        </w:rPr>
      </w:pPr>
      <w:r>
        <w:rPr>
          <w:rFonts w:eastAsia="SimSun"/>
          <w:b/>
          <w:bCs/>
        </w:rPr>
        <w:t>H6.</w:t>
      </w:r>
      <w:r>
        <w:rPr>
          <w:rFonts w:eastAsia="SimSun"/>
        </w:rPr>
        <w:t xml:space="preserve"> Education and Media significantly and positively influence Cham people’s language choice.</w:t>
      </w:r>
    </w:p>
    <w:p w14:paraId="5B454C07">
      <w:pPr>
        <w:pStyle w:val="18"/>
        <w:spacing w:before="0" w:beforeAutospacing="0" w:after="0" w:afterAutospacing="0" w:line="276" w:lineRule="auto"/>
        <w:jc w:val="both"/>
        <w:rPr>
          <w:b/>
          <w:bCs/>
        </w:rPr>
      </w:pPr>
    </w:p>
    <w:p w14:paraId="0C828682">
      <w:pPr>
        <w:pStyle w:val="18"/>
        <w:spacing w:before="0" w:beforeAutospacing="0" w:after="0" w:afterAutospacing="0" w:line="276" w:lineRule="auto"/>
        <w:jc w:val="both"/>
        <w:rPr>
          <w:b/>
          <w:bCs/>
        </w:rPr>
      </w:pPr>
      <w:r>
        <w:rPr>
          <w:b/>
          <w:bCs/>
        </w:rPr>
        <w:t>3. Methodology</w:t>
      </w:r>
    </w:p>
    <w:p w14:paraId="066ED42A">
      <w:pPr>
        <w:pStyle w:val="5"/>
        <w:spacing w:beforeAutospacing="0" w:afterAutospacing="0"/>
        <w:jc w:val="both"/>
        <w:rPr>
          <w:rFonts w:hint="default" w:ascii="Times New Roman" w:hAnsi="Times New Roman"/>
        </w:rPr>
      </w:pPr>
      <w:r>
        <w:rPr>
          <w:rFonts w:hint="default" w:ascii="Times New Roman" w:hAnsi="Times New Roman"/>
        </w:rPr>
        <w:t>3.1. Research design</w:t>
      </w:r>
    </w:p>
    <w:p w14:paraId="64CE05CE">
      <w:pPr>
        <w:pStyle w:val="18"/>
        <w:spacing w:before="0" w:beforeAutospacing="0" w:after="0" w:afterAutospacing="0" w:line="276" w:lineRule="auto"/>
        <w:ind w:firstLine="720"/>
        <w:jc w:val="both"/>
        <w:rPr>
          <w:rFonts w:eastAsia="SimSun"/>
        </w:rPr>
      </w:pPr>
      <w:r>
        <w:rPr>
          <w:rFonts w:eastAsia="SimSun"/>
        </w:rPr>
        <w:t>This study employs a mixed-methods approach. In the qualitative approach, semi-structured in-depth interviews with eight Cham Muslim intellectuals and religious leaders (Imams, Hakims) were conducted to explore the factors affecting language choice within the Cham Muslim ethnic minority in a multilingual Vietnam. The findings served as the basis for developing and refining the observed variables in the questionnaire. In the quantitative approach, a large-scale cross-sectional survey was carried out to collect data for testing the proposed model and research hypotheses.</w:t>
      </w:r>
    </w:p>
    <w:p w14:paraId="4EC192AA">
      <w:pPr>
        <w:pStyle w:val="5"/>
        <w:spacing w:beforeAutospacing="0" w:afterAutospacing="0"/>
        <w:jc w:val="both"/>
        <w:rPr>
          <w:rFonts w:hint="default" w:ascii="Times New Roman" w:hAnsi="Times New Roman"/>
        </w:rPr>
      </w:pPr>
      <w:r>
        <w:rPr>
          <w:rFonts w:hint="default" w:ascii="Times New Roman" w:hAnsi="Times New Roman"/>
        </w:rPr>
        <w:t>3.2. Data collection procedure</w:t>
      </w:r>
    </w:p>
    <w:p w14:paraId="732473FF">
      <w:pPr>
        <w:pStyle w:val="18"/>
        <w:spacing w:before="0" w:beforeAutospacing="0" w:after="0" w:afterAutospacing="0" w:line="276" w:lineRule="auto"/>
        <w:ind w:firstLine="709"/>
        <w:jc w:val="both"/>
        <w:rPr>
          <w:rFonts w:eastAsia="SimSun"/>
        </w:rPr>
      </w:pPr>
      <w:r>
        <w:rPr>
          <w:rFonts w:eastAsia="SimSun"/>
        </w:rPr>
        <w:t>A purposive sampling method was employed to conduct interviews with eight Cham Muslim experts and intellectuals who possess in-depth knowledge of the Cham language, culture, and community life. The interviews were audio-recorded, transcribed, and analyzed using thematic analysis to identify key themes, which subsequently informed the refinement of the model and the development of the quantitative questionnaire.</w:t>
      </w:r>
    </w:p>
    <w:p w14:paraId="58830196">
      <w:pPr>
        <w:pStyle w:val="18"/>
        <w:spacing w:before="0" w:beforeAutospacing="0" w:after="0" w:afterAutospacing="0" w:line="276" w:lineRule="auto"/>
        <w:ind w:firstLine="709"/>
        <w:jc w:val="both"/>
        <w:rPr>
          <w:rFonts w:eastAsia="SimSun"/>
        </w:rPr>
      </w:pPr>
      <w:r>
        <w:rPr>
          <w:rFonts w:eastAsia="SimSun"/>
        </w:rPr>
        <w:t>The survey participants were Cham Muslim individuals aged 18 and above, residing in Southern Vietnam. As established in the introduction, this specific target population is estimated at approximately N = 39,600 (the combined Cham population of the Southeast and Mekong River Delta regions, 2019).</w:t>
      </w:r>
    </w:p>
    <w:p w14:paraId="34E0AC63">
      <w:pPr>
        <w:pStyle w:val="18"/>
        <w:spacing w:before="0" w:beforeAutospacing="0" w:after="0" w:afterAutospacing="0" w:line="276" w:lineRule="auto"/>
        <w:ind w:firstLine="709"/>
        <w:jc w:val="both"/>
        <w:rPr>
          <w:rFonts w:eastAsia="SimSun"/>
        </w:rPr>
      </w:pPr>
      <w:r>
        <w:rPr>
          <w:rFonts w:eastAsia="SimSun"/>
        </w:rPr>
        <w:t>The minimum sample size was determined using Yamane’s (1967) formula (1) with a 95% confidence level and a 5% margin of error (e = 0.05).</w:t>
      </w:r>
    </w:p>
    <w:p w14:paraId="2A422417">
      <w:pPr>
        <w:pStyle w:val="18"/>
        <w:spacing w:before="0" w:beforeAutospacing="0" w:after="0" w:afterAutospacing="0" w:line="276" w:lineRule="auto"/>
        <w:ind w:firstLine="720"/>
        <w:jc w:val="center"/>
        <w:rPr>
          <w:rFonts w:eastAsia="SimSun"/>
          <w:lang w:val="da-DK"/>
        </w:rPr>
      </w:pPr>
      <m:oMath>
        <m:r>
          <m:rPr>
            <m:nor/>
          </m:rPr>
          <w:rPr>
            <w:rFonts w:ascii="Cambria Math" w:hAnsi="Cambria Math"/>
            <w:i/>
          </w:rPr>
          <m:t>n</m:t>
        </m:r>
        <m:r>
          <m:rPr>
            <m:nor/>
            <m:sty m:val="p"/>
          </m:rPr>
          <w:rPr>
            <w:rFonts w:ascii="Cambria Math" w:hAnsi="Cambria Math"/>
            <w:b w:val="0"/>
            <w:i w:val="0"/>
          </w:rPr>
          <m:t xml:space="preserve"> =</m:t>
        </m:r>
        <m:f>
          <m:fPr>
            <m:ctrlPr>
              <w:rPr>
                <w:rFonts w:ascii="Cambria Math" w:hAnsi="Cambria Math"/>
                <w:i/>
              </w:rPr>
            </m:ctrlPr>
          </m:fPr>
          <m:num>
            <m:r>
              <m:rPr>
                <m:nor/>
              </m:rPr>
              <w:rPr>
                <w:rFonts w:ascii="Cambria Math" w:hAnsi="Cambria Math"/>
                <w:i/>
              </w:rPr>
              <m:t>N</m:t>
            </m:r>
            <m:ctrlPr>
              <w:rPr>
                <w:rFonts w:ascii="Cambria Math" w:hAnsi="Cambria Math"/>
                <w:i/>
              </w:rPr>
            </m:ctrlPr>
          </m:num>
          <m:den>
            <m:r>
              <m:rPr>
                <m:nor/>
                <m:sty m:val="p"/>
              </m:rPr>
              <w:rPr>
                <w:rFonts w:ascii="Cambria Math" w:hAnsi="Cambria Math"/>
                <w:b w:val="0"/>
                <w:i w:val="0"/>
              </w:rPr>
              <m:t>1+</m:t>
            </m:r>
            <m:r>
              <m:rPr>
                <m:nor/>
              </m:rPr>
              <w:rPr>
                <w:rFonts w:ascii="Cambria Math" w:hAnsi="Cambria Math"/>
                <w:i/>
              </w:rPr>
              <m:t>N</m:t>
            </m:r>
            <m:sSup>
              <m:sSupPr>
                <m:ctrlPr>
                  <w:rPr>
                    <w:rFonts w:ascii="Cambria Math" w:hAnsi="Cambria Math"/>
                    <w:i/>
                  </w:rPr>
                </m:ctrlPr>
              </m:sSupPr>
              <m:e>
                <m:r>
                  <m:rPr>
                    <m:nor/>
                    <m:sty m:val="p"/>
                  </m:rPr>
                  <w:rPr>
                    <w:rFonts w:ascii="Cambria Math" w:hAnsi="Cambria Math"/>
                    <w:b w:val="0"/>
                    <w:i w:val="0"/>
                  </w:rPr>
                  <m:t>(</m:t>
                </m:r>
                <m:r>
                  <m:rPr>
                    <m:nor/>
                  </m:rPr>
                  <w:rPr>
                    <w:rFonts w:ascii="Cambria Math" w:hAnsi="Cambria Math"/>
                    <w:i/>
                  </w:rPr>
                  <m:t>e</m:t>
                </m:r>
                <m:r>
                  <m:rPr>
                    <m:nor/>
                    <m:sty m:val="p"/>
                  </m:rPr>
                  <w:rPr>
                    <w:rFonts w:ascii="Cambria Math" w:hAnsi="Cambria Math"/>
                    <w:b w:val="0"/>
                    <w:i w:val="0"/>
                  </w:rPr>
                  <m:t>)</m:t>
                </m:r>
                <m:ctrlPr>
                  <w:rPr>
                    <w:rFonts w:ascii="Cambria Math" w:hAnsi="Cambria Math"/>
                    <w:i/>
                  </w:rPr>
                </m:ctrlPr>
              </m:e>
              <m:sup>
                <m:r>
                  <m:rPr>
                    <m:nor/>
                    <m:sty m:val="p"/>
                  </m:rPr>
                  <w:rPr>
                    <w:rFonts w:ascii="Cambria Math" w:hAnsi="Cambria Math"/>
                    <w:b w:val="0"/>
                    <w:i w:val="0"/>
                  </w:rPr>
                  <m:t>2</m:t>
                </m:r>
                <m:ctrlPr>
                  <w:rPr>
                    <w:rFonts w:ascii="Cambria Math" w:hAnsi="Cambria Math"/>
                    <w:i/>
                  </w:rPr>
                </m:ctrlPr>
              </m:sup>
            </m:sSup>
            <m:ctrlPr>
              <w:rPr>
                <w:rFonts w:ascii="Cambria Math" w:hAnsi="Cambria Math"/>
                <w:i/>
              </w:rPr>
            </m:ctrlPr>
          </m:den>
        </m:f>
      </m:oMath>
      <w:r>
        <w:rPr>
          <w:rFonts w:eastAsia="SimSun"/>
        </w:rPr>
        <w:t xml:space="preserve">  (1)</w:t>
      </w:r>
    </w:p>
    <w:p w14:paraId="466F3CD4">
      <w:pPr>
        <w:pStyle w:val="18"/>
        <w:spacing w:before="0" w:beforeAutospacing="0" w:after="0" w:afterAutospacing="0" w:line="276" w:lineRule="auto"/>
        <w:ind w:firstLine="720"/>
        <w:jc w:val="both"/>
        <w:rPr>
          <w:rFonts w:eastAsia="SimSun"/>
          <w:lang w:val="da-DK"/>
        </w:rPr>
      </w:pPr>
      <w:r>
        <w:rPr>
          <w:rFonts w:eastAsia="SimSun"/>
          <w:lang w:val="da-DK"/>
        </w:rPr>
        <w:t>where:</w:t>
      </w:r>
    </w:p>
    <w:p w14:paraId="347D6CE1">
      <w:pPr>
        <w:pStyle w:val="18"/>
        <w:spacing w:before="0" w:beforeAutospacing="0" w:after="0" w:afterAutospacing="0" w:line="276" w:lineRule="auto"/>
        <w:ind w:firstLine="720"/>
        <w:jc w:val="both"/>
        <w:rPr>
          <w:rFonts w:eastAsia="SimSun"/>
          <w:lang w:val="da-DK"/>
        </w:rPr>
      </w:pPr>
      <w:r>
        <w:rPr>
          <w:rFonts w:eastAsia="SimSun"/>
          <w:lang w:val="da-DK"/>
        </w:rPr>
        <w:t>n = required sample size</w:t>
      </w:r>
    </w:p>
    <w:p w14:paraId="4AC6C1BD">
      <w:pPr>
        <w:pStyle w:val="18"/>
        <w:spacing w:before="0" w:beforeAutospacing="0" w:after="0" w:afterAutospacing="0" w:line="276" w:lineRule="auto"/>
        <w:ind w:firstLine="720"/>
        <w:jc w:val="both"/>
        <w:rPr>
          <w:rFonts w:eastAsia="SimSun"/>
          <w:lang w:val="da-DK"/>
        </w:rPr>
      </w:pPr>
      <w:r>
        <w:rPr>
          <w:rFonts w:eastAsia="SimSun"/>
          <w:lang w:val="da-DK"/>
        </w:rPr>
        <w:t xml:space="preserve">N = </w:t>
      </w:r>
      <w:r>
        <w:rPr>
          <w:rFonts w:eastAsia="SimSun"/>
        </w:rPr>
        <w:t>target population size (estimated at 39,600)</w:t>
      </w:r>
    </w:p>
    <w:p w14:paraId="46034CDF">
      <w:pPr>
        <w:pStyle w:val="18"/>
        <w:spacing w:before="0" w:beforeAutospacing="0" w:after="0" w:afterAutospacing="0" w:line="276" w:lineRule="auto"/>
        <w:ind w:firstLine="720"/>
        <w:jc w:val="both"/>
        <w:rPr>
          <w:rFonts w:eastAsia="SimSun"/>
          <w:lang w:val="da-DK"/>
        </w:rPr>
      </w:pPr>
      <w:r>
        <w:rPr>
          <w:rFonts w:eastAsia="SimSun"/>
          <w:lang w:val="da-DK"/>
        </w:rPr>
        <w:t>e = margin of error (0.05)</w:t>
      </w:r>
    </w:p>
    <w:p w14:paraId="07A8DF5B">
      <w:pPr>
        <w:pStyle w:val="18"/>
        <w:spacing w:before="0" w:beforeAutospacing="0" w:after="0" w:afterAutospacing="0" w:line="276" w:lineRule="auto"/>
        <w:ind w:firstLine="720"/>
        <w:jc w:val="both"/>
        <w:rPr>
          <w:rFonts w:eastAsia="SimSun"/>
          <w:lang w:val="da-DK"/>
        </w:rPr>
      </w:pPr>
      <w:r>
        <w:rPr>
          <w:rFonts w:eastAsia="SimSun"/>
          <w:lang w:val="da-DK"/>
        </w:rPr>
        <w:t>Substituting the values:</w:t>
      </w:r>
    </w:p>
    <w:p w14:paraId="748D5F73">
      <w:pPr>
        <w:pStyle w:val="18"/>
        <w:spacing w:before="0" w:beforeAutospacing="0" w:after="0" w:afterAutospacing="0" w:line="276" w:lineRule="auto"/>
        <w:jc w:val="both"/>
      </w:pPr>
      <m:oMathPara>
        <m:oMath>
          <m:r>
            <m:rPr>
              <m:nor/>
            </m:rPr>
            <w:rPr>
              <w:rFonts w:ascii="Cambria Math" w:hAnsi="Cambria Math"/>
              <w:i/>
            </w:rPr>
            <m:t>n</m:t>
          </m:r>
          <m:r>
            <m:rPr>
              <m:nor/>
              <m:sty m:val="p"/>
            </m:rPr>
            <w:rPr>
              <w:rFonts w:ascii="Cambria Math" w:hAnsi="Cambria Math"/>
              <w:b w:val="0"/>
              <w:i w:val="0"/>
            </w:rPr>
            <m:t xml:space="preserve"> =</m:t>
          </m:r>
          <m:f>
            <m:fPr>
              <m:ctrlPr>
                <w:rPr>
                  <w:rFonts w:ascii="Cambria Math" w:hAnsi="Cambria Math"/>
                  <w:i/>
                </w:rPr>
              </m:ctrlPr>
            </m:fPr>
            <m:num>
              <m:r>
                <m:rPr>
                  <m:nor/>
                </m:rPr>
                <w:rPr>
                  <w:rFonts w:ascii="Cambria Math" w:hAnsi="Cambria Math"/>
                  <w:i/>
                </w:rPr>
                <m:t>N</m:t>
              </m:r>
              <m:ctrlPr>
                <w:rPr>
                  <w:rFonts w:ascii="Cambria Math" w:hAnsi="Cambria Math"/>
                  <w:i/>
                </w:rPr>
              </m:ctrlPr>
            </m:num>
            <m:den>
              <m:r>
                <m:rPr>
                  <m:nor/>
                  <m:sty m:val="p"/>
                </m:rPr>
                <w:rPr>
                  <w:rFonts w:ascii="Cambria Math" w:hAnsi="Cambria Math"/>
                  <w:b w:val="0"/>
                  <w:i w:val="0"/>
                </w:rPr>
                <m:t>1+</m:t>
              </m:r>
              <m:r>
                <m:rPr>
                  <m:nor/>
                </m:rPr>
                <w:rPr>
                  <w:rFonts w:ascii="Cambria Math" w:hAnsi="Cambria Math"/>
                  <w:i/>
                </w:rPr>
                <m:t>N</m:t>
              </m:r>
              <m:sSup>
                <m:sSupPr>
                  <m:ctrlPr>
                    <w:rPr>
                      <w:rFonts w:ascii="Cambria Math" w:hAnsi="Cambria Math"/>
                      <w:i/>
                    </w:rPr>
                  </m:ctrlPr>
                </m:sSupPr>
                <m:e>
                  <m:r>
                    <m:rPr>
                      <m:nor/>
                      <m:sty m:val="p"/>
                    </m:rPr>
                    <w:rPr>
                      <w:rFonts w:ascii="Cambria Math" w:hAnsi="Cambria Math"/>
                      <w:b w:val="0"/>
                      <w:i w:val="0"/>
                    </w:rPr>
                    <m:t>(</m:t>
                  </m:r>
                  <m:r>
                    <m:rPr>
                      <m:nor/>
                    </m:rPr>
                    <w:rPr>
                      <w:rFonts w:ascii="Cambria Math" w:hAnsi="Cambria Math"/>
                      <w:i/>
                    </w:rPr>
                    <m:t>e</m:t>
                  </m:r>
                  <m:r>
                    <m:rPr>
                      <m:nor/>
                      <m:sty m:val="p"/>
                    </m:rPr>
                    <w:rPr>
                      <w:rFonts w:ascii="Cambria Math" w:hAnsi="Cambria Math"/>
                      <w:b w:val="0"/>
                      <w:i w:val="0"/>
                    </w:rPr>
                    <m:t>)</m:t>
                  </m:r>
                  <m:ctrlPr>
                    <w:rPr>
                      <w:rFonts w:ascii="Cambria Math" w:hAnsi="Cambria Math"/>
                      <w:i/>
                    </w:rPr>
                  </m:ctrlPr>
                </m:e>
                <m:sup>
                  <m:r>
                    <m:rPr>
                      <m:nor/>
                      <m:sty m:val="p"/>
                    </m:rPr>
                    <w:rPr>
                      <w:rFonts w:ascii="Cambria Math" w:hAnsi="Cambria Math"/>
                      <w:b w:val="0"/>
                      <w:i w:val="0"/>
                    </w:rPr>
                    <m:t>2</m:t>
                  </m:r>
                  <m:ctrlPr>
                    <w:rPr>
                      <w:rFonts w:ascii="Cambria Math" w:hAnsi="Cambria Math"/>
                      <w:i/>
                    </w:rPr>
                  </m:ctrlPr>
                </m:sup>
              </m:sSup>
              <m:ctrlPr>
                <w:rPr>
                  <w:rFonts w:ascii="Cambria Math" w:hAnsi="Cambria Math"/>
                  <w:i/>
                </w:rPr>
              </m:ctrlPr>
            </m:den>
          </m:f>
          <m:r>
            <m:rPr>
              <m:nor/>
              <m:sty m:val="p"/>
            </m:rPr>
            <w:rPr>
              <w:rFonts w:ascii="Cambria Math" w:hAnsi="Cambria Math"/>
              <w:b w:val="0"/>
              <w:i w:val="0"/>
            </w:rPr>
            <m:t>=</m:t>
          </m:r>
          <m:f>
            <m:fPr>
              <m:ctrlPr>
                <w:rPr>
                  <w:rFonts w:ascii="Cambria Math" w:hAnsi="Cambria Math"/>
                  <w:i/>
                </w:rPr>
              </m:ctrlPr>
            </m:fPr>
            <m:num>
              <m:r>
                <m:rPr>
                  <m:nor/>
                  <m:sty m:val="p"/>
                </m:rPr>
                <w:rPr>
                  <w:rFonts w:ascii="Cambria Math" w:hAnsi="Cambria Math"/>
                  <w:b w:val="0"/>
                  <w:i w:val="0"/>
                </w:rPr>
                <m:t>39,6000</m:t>
              </m:r>
              <m:ctrlPr>
                <w:rPr>
                  <w:rFonts w:ascii="Cambria Math" w:hAnsi="Cambria Math"/>
                  <w:i/>
                </w:rPr>
              </m:ctrlPr>
            </m:num>
            <m:den>
              <m:r>
                <m:rPr>
                  <m:nor/>
                  <m:sty m:val="p"/>
                </m:rPr>
                <w:rPr>
                  <w:rFonts w:ascii="Cambria Math" w:hAnsi="Cambria Math"/>
                  <w:b w:val="0"/>
                  <w:i w:val="0"/>
                </w:rPr>
                <m:t>1+39,6000</m:t>
              </m:r>
              <m:r>
                <m:rPr>
                  <m:nor/>
                  <m:sty m:val="p"/>
                </m:rPr>
                <w:rPr>
                  <w:rFonts w:ascii="Cambria Math" w:hAnsi="Cambria Math" w:eastAsia="SimSun"/>
                  <w:b w:val="0"/>
                  <w:i w:val="0"/>
                </w:rPr>
                <m:t xml:space="preserve">. </m:t>
              </m:r>
              <m:sSup>
                <m:sSupPr>
                  <m:ctrlPr>
                    <w:rPr>
                      <w:rFonts w:ascii="Cambria Math" w:hAnsi="Cambria Math"/>
                      <w:i/>
                    </w:rPr>
                  </m:ctrlPr>
                </m:sSupPr>
                <m:e>
                  <m:r>
                    <m:rPr>
                      <m:nor/>
                      <m:sty m:val="p"/>
                    </m:rPr>
                    <w:rPr>
                      <w:rFonts w:ascii="Cambria Math" w:hAnsi="Cambria Math"/>
                      <w:b w:val="0"/>
                      <w:i w:val="0"/>
                    </w:rPr>
                    <m:t>(0.05)</m:t>
                  </m:r>
                  <m:ctrlPr>
                    <w:rPr>
                      <w:rFonts w:ascii="Cambria Math" w:hAnsi="Cambria Math"/>
                      <w:i/>
                    </w:rPr>
                  </m:ctrlPr>
                </m:e>
                <m:sup>
                  <m:r>
                    <m:rPr>
                      <m:nor/>
                      <m:sty m:val="p"/>
                    </m:rPr>
                    <w:rPr>
                      <w:rFonts w:ascii="Cambria Math" w:hAnsi="Cambria Math"/>
                      <w:b w:val="0"/>
                      <w:i w:val="0"/>
                    </w:rPr>
                    <m:t>2</m:t>
                  </m:r>
                  <m:ctrlPr>
                    <w:rPr>
                      <w:rFonts w:ascii="Cambria Math" w:hAnsi="Cambria Math"/>
                      <w:i/>
                    </w:rPr>
                  </m:ctrlPr>
                </m:sup>
              </m:sSup>
              <m:ctrlPr>
                <w:rPr>
                  <w:rFonts w:ascii="Cambria Math" w:hAnsi="Cambria Math"/>
                  <w:i/>
                </w:rPr>
              </m:ctrlPr>
            </m:den>
          </m:f>
          <m:r>
            <m:rPr>
              <m:nor/>
              <m:sty m:val="p"/>
            </m:rPr>
            <w:rPr>
              <w:rFonts w:ascii="Cambria Math" w:hAnsi="Cambria Math"/>
              <w:b w:val="0"/>
              <w:i w:val="0"/>
            </w:rPr>
            <m:t>≈396</m:t>
          </m:r>
        </m:oMath>
      </m:oMathPara>
    </w:p>
    <w:p w14:paraId="6E93C439">
      <w:pPr>
        <w:pStyle w:val="18"/>
        <w:spacing w:before="0" w:beforeAutospacing="0" w:after="0" w:afterAutospacing="0" w:line="276" w:lineRule="auto"/>
        <w:ind w:firstLine="709"/>
        <w:jc w:val="both"/>
      </w:pPr>
      <w:r>
        <w:t xml:space="preserve">Thus, the </w:t>
      </w:r>
      <w:r>
        <w:rPr>
          <w:rFonts w:eastAsia="SimSun"/>
        </w:rPr>
        <w:t>minimum</w:t>
      </w:r>
      <w:r>
        <w:t xml:space="preserve"> required sample size is 396. The actual sample collected was 464, which exceeds the minimum requirement, thereby enhancing the statistical reliability of the test results.</w:t>
      </w:r>
    </w:p>
    <w:p w14:paraId="35DBABE1">
      <w:pPr>
        <w:pStyle w:val="18"/>
        <w:spacing w:before="0" w:beforeAutospacing="0" w:after="0" w:afterAutospacing="0" w:line="276" w:lineRule="auto"/>
        <w:ind w:firstLine="709"/>
        <w:jc w:val="both"/>
      </w:pPr>
      <w:r>
        <w:t xml:space="preserve">The </w:t>
      </w:r>
      <w:r>
        <w:rPr>
          <w:rFonts w:eastAsia="SimSun"/>
        </w:rPr>
        <w:t>study</w:t>
      </w:r>
      <w:r>
        <w:t xml:space="preserve"> employed a non-probability sampling method, specifically a combination of convenience sampling and snowball sampling, conducted in four key provinces/cities with large Cham Muslim populations: An Giang, Ho Chi Minh City, Tay Ninh, and Dong Nai. This approach was deemed appropriate due to its feasibility and effectiveness in reaching research participants from an ethnic minority community, for whom a complete sampling frame is difficult to establish.</w:t>
      </w:r>
    </w:p>
    <w:p w14:paraId="475DA33D">
      <w:pPr>
        <w:pStyle w:val="18"/>
        <w:spacing w:before="0" w:beforeAutospacing="0" w:after="0" w:afterAutospacing="0" w:line="276" w:lineRule="auto"/>
        <w:ind w:firstLine="709"/>
        <w:jc w:val="both"/>
      </w:pPr>
      <w:r>
        <w:t xml:space="preserve">Fieldwork was conducted in person between February and September, 2025. A team of Cham </w:t>
      </w:r>
      <w:r>
        <w:rPr>
          <w:rFonts w:eastAsia="SimSun"/>
        </w:rPr>
        <w:t>investigators</w:t>
      </w:r>
      <w:r>
        <w:t>, proficient in the local culture, was thoroughly trained on the questionnaire and the principles of research ethics. After a clear explanation of the study's purpose, informed consent was obtained from every participant. All principles of voluntary participation, anonymity, and confidentiality were assured and strictly maintained throughout the research process.</w:t>
      </w:r>
    </w:p>
    <w:p w14:paraId="6E4C4674">
      <w:pPr>
        <w:pStyle w:val="18"/>
        <w:spacing w:before="0" w:beforeAutospacing="0" w:after="0" w:afterAutospacing="0" w:line="264" w:lineRule="auto"/>
        <w:jc w:val="both"/>
        <w:rPr>
          <w:rFonts w:hint="default" w:ascii="Times New Roman" w:hAnsi="Times New Roman" w:eastAsia="SimSun" w:cs="Times New Roman"/>
          <w:b/>
          <w:bCs/>
        </w:rPr>
      </w:pPr>
      <w:r>
        <w:rPr>
          <w:rFonts w:hint="default" w:ascii="Times New Roman" w:hAnsi="Times New Roman" w:eastAsia="SimSun" w:cs="Times New Roman"/>
          <w:b/>
          <w:bCs/>
        </w:rPr>
        <w:t>3.3. Measurement instrument</w:t>
      </w:r>
    </w:p>
    <w:p w14:paraId="7F37D489">
      <w:pPr>
        <w:pStyle w:val="18"/>
        <w:spacing w:before="0" w:beforeAutospacing="0" w:after="0" w:afterAutospacing="0" w:line="276" w:lineRule="auto"/>
        <w:ind w:firstLine="709"/>
        <w:jc w:val="both"/>
        <w:rPr>
          <w:rFonts w:hint="default" w:ascii="Times New Roman" w:hAnsi="Times New Roman" w:eastAsia="SimSun" w:cs="Times New Roman"/>
          <w:b w:val="0"/>
          <w:bCs w:val="0"/>
        </w:rPr>
      </w:pPr>
      <w:r>
        <w:rPr>
          <w:rFonts w:hint="default" w:ascii="Times New Roman" w:hAnsi="Times New Roman" w:eastAsia="SimSun" w:cs="Times New Roman"/>
          <w:b w:val="0"/>
          <w:bCs w:val="0"/>
        </w:rPr>
        <w:t>A structured questionnaire served as the primary instrument for data collection. This instrument was organized into two key components. The first component gathered demographic data (gender, age, educational attainment, occupation, residency, and main family language). The second component featured seven measurement scales, which were operationalized to quantify the constructs within the research model. All construct items were assessed using a five-point Likert scale (1 = “strongly disagree” to 5 = “strongly agree”). The development of these scales was grounded in a review of existing literature, supplemented and contextualized by the findings from the preliminary interviews with Cham experts. The dependent variable, language choice, was measured using a composite scale specifically designed to gauge the extent to which participants preferred using the Cham language across different communication domains.</w:t>
      </w:r>
      <w:r>
        <w:rPr>
          <w:rFonts w:hint="default" w:ascii="Times New Roman" w:hAnsi="Times New Roman" w:eastAsia="SimSun" w:cs="Times New Roman"/>
          <w:b w:val="0"/>
          <w:bCs w:val="0"/>
          <w:lang w:val="en-US"/>
        </w:rPr>
        <w:t xml:space="preserve"> </w:t>
      </w:r>
      <w:r>
        <w:rPr>
          <w:rFonts w:hint="default" w:ascii="Times New Roman" w:hAnsi="Times New Roman" w:eastAsia="SimSun" w:cs="Times New Roman"/>
          <w:b w:val="0"/>
          <w:bCs w:val="0"/>
          <w:sz w:val="24"/>
          <w:szCs w:val="24"/>
        </w:rPr>
        <w:t>The full questionnaire is provided in Appendix 1.</w:t>
      </w:r>
    </w:p>
    <w:p w14:paraId="1BE18A7A">
      <w:pPr>
        <w:pStyle w:val="5"/>
        <w:spacing w:beforeAutospacing="0" w:afterAutospacing="0" w:line="264" w:lineRule="auto"/>
        <w:jc w:val="both"/>
        <w:rPr>
          <w:rFonts w:hint="default" w:ascii="Times New Roman" w:hAnsi="Times New Roman" w:eastAsia="sans-serif"/>
        </w:rPr>
      </w:pPr>
      <w:r>
        <w:rPr>
          <w:rFonts w:hint="default" w:ascii="Times New Roman" w:hAnsi="Times New Roman" w:eastAsia="sans-serif"/>
        </w:rPr>
        <w:t>3.4. Data analysis</w:t>
      </w:r>
    </w:p>
    <w:p w14:paraId="368A23CB">
      <w:pPr>
        <w:pStyle w:val="18"/>
        <w:spacing w:before="0" w:beforeAutospacing="0" w:after="0" w:afterAutospacing="0" w:line="276" w:lineRule="auto"/>
        <w:ind w:firstLine="709"/>
        <w:jc w:val="both"/>
        <w:rPr>
          <w:rFonts w:eastAsia="SimSun"/>
        </w:rPr>
      </w:pPr>
      <w:r>
        <w:rPr>
          <w:rFonts w:eastAsia="SimSun"/>
        </w:rPr>
        <w:t>Data processing and analysis were performed using IBM SPSS Statistics 27.0 in several distinct stages. The initial stage involved generating descriptive statistics (frequencies, percentages, means, and standard deviations) to provide a comprehensive overview of the sample demographics and research variables.</w:t>
      </w:r>
    </w:p>
    <w:p w14:paraId="6C8BE26F">
      <w:pPr>
        <w:pStyle w:val="18"/>
        <w:spacing w:before="0" w:beforeAutospacing="0" w:after="0" w:afterAutospacing="0" w:line="276" w:lineRule="auto"/>
        <w:ind w:firstLine="709"/>
        <w:jc w:val="both"/>
        <w:rPr>
          <w:rFonts w:eastAsia="SimSun"/>
        </w:rPr>
      </w:pPr>
      <w:r>
        <w:rPr>
          <w:rFonts w:eastAsia="SimSun"/>
        </w:rPr>
        <w:t xml:space="preserve">The second stage was a thorough psychometric assessment of the measurement instrument. Cronbach’s Alpha was calculated to ensure internal consistency reliability (criterion: α ≥ 0.70).  To establish construct validity, Exploratory Factor Analysis (EFA) was conducted, adhering to standard criteria: a KMO index ≥ 0.5, a significant Bartlett’s test (p &lt; .05), and and minimum factor loadings of 0.5. </w:t>
      </w:r>
    </w:p>
    <w:p w14:paraId="4D7AA54C">
      <w:pPr>
        <w:pStyle w:val="18"/>
        <w:spacing w:before="0" w:beforeAutospacing="0" w:after="0" w:afterAutospacing="0" w:line="276" w:lineRule="auto"/>
        <w:ind w:firstLine="709"/>
        <w:jc w:val="both"/>
        <w:rPr>
          <w:rFonts w:eastAsia="SimSun"/>
        </w:rPr>
      </w:pPr>
      <w:r>
        <w:rPr>
          <w:rFonts w:eastAsia="SimSun"/>
        </w:rPr>
        <w:t>In the final stage, after the scales were validated, a multiple linear regression model was employed to test the study's hypotheses. This model allowed for the examination of each independent variable's unique contribution (standardized Beta coefficient) and statistical significance in predicting the dependent variable. The analysis also included checks for statistical assumptions, such as ensuring multicollinearity was within acceptable limits (VIF &lt; 5).</w:t>
      </w:r>
    </w:p>
    <w:p w14:paraId="752440E1">
      <w:pPr>
        <w:pStyle w:val="18"/>
        <w:spacing w:before="0" w:beforeAutospacing="0" w:after="0" w:afterAutospacing="0" w:line="276" w:lineRule="auto"/>
        <w:ind w:firstLine="709"/>
        <w:jc w:val="both"/>
        <w:rPr>
          <w:rFonts w:eastAsia="SimSun"/>
        </w:rPr>
      </w:pPr>
      <w:r>
        <w:rPr>
          <w:rFonts w:eastAsia="SimSun"/>
        </w:rPr>
        <w:t>To supplement and provide depth to the quantitative data, this study also employed a qualitative approach. Eight (8) semi-structured, in-depth interviews were conducted with members of the Cham community. The interview data was thematically analyzed to provide context and explanatory power for the relationships identified in the regression model.</w:t>
      </w:r>
    </w:p>
    <w:p w14:paraId="0AD9E3A3">
      <w:pPr>
        <w:spacing w:after="0"/>
        <w:ind w:left="1080"/>
        <w:jc w:val="both"/>
        <w:rPr>
          <w:rFonts w:asciiTheme="majorBidi" w:hAnsiTheme="majorBidi" w:cstheme="majorBidi"/>
          <w:sz w:val="24"/>
          <w:szCs w:val="24"/>
        </w:rPr>
      </w:pPr>
    </w:p>
    <w:p w14:paraId="63FEAD45">
      <w:pPr>
        <w:pStyle w:val="4"/>
        <w:spacing w:before="0" w:beforeAutospacing="0" w:after="0" w:afterAutospacing="0" w:line="276" w:lineRule="auto"/>
        <w:jc w:val="both"/>
        <w:rPr>
          <w:sz w:val="24"/>
          <w:szCs w:val="24"/>
        </w:rPr>
      </w:pPr>
      <w:r>
        <w:rPr>
          <w:sz w:val="24"/>
          <w:szCs w:val="24"/>
        </w:rPr>
        <w:t>4. Results</w:t>
      </w:r>
    </w:p>
    <w:p w14:paraId="3C4A0DBA">
      <w:pPr>
        <w:pStyle w:val="5"/>
        <w:spacing w:beforeAutospacing="0" w:afterAutospacing="0"/>
        <w:jc w:val="both"/>
        <w:rPr>
          <w:rFonts w:hint="default" w:ascii="Times New Roman" w:hAnsi="Times New Roman"/>
        </w:rPr>
      </w:pPr>
      <w:r>
        <w:rPr>
          <w:rFonts w:hint="default" w:ascii="Times New Roman" w:hAnsi="Times New Roman"/>
        </w:rPr>
        <w:t>4.1. Descriptive statistics</w:t>
      </w:r>
    </w:p>
    <w:p w14:paraId="7FFD745B">
      <w:pPr>
        <w:pStyle w:val="18"/>
        <w:spacing w:before="0" w:beforeAutospacing="0" w:after="0" w:afterAutospacing="0" w:line="276" w:lineRule="auto"/>
        <w:ind w:firstLine="709"/>
        <w:jc w:val="both"/>
        <w:rPr>
          <w:rFonts w:eastAsia="SimSun"/>
        </w:rPr>
      </w:pPr>
      <w:r>
        <w:rPr>
          <w:rFonts w:eastAsia="SimSun"/>
        </w:rPr>
        <w:t xml:space="preserve"> Descriptive statistical analysis (see Table 1) provides an overview of the sample's demographic characteristics (N = 464). The sample demonstrates a relatively balanced gender distribution (55.6% male, 44.4% female) and diversity in terms of age, educational level, and occupational structure, reflecting the characteristics of the Cham Muslim community in Southern Vietnam. A majority of respondents are farmers (50.2%), and the largest group of participants resides in An Giang (36.4%), followed by Tay Ninh (24.6%) and Ho Chi Minh City (23.5%).</w:t>
      </w:r>
    </w:p>
    <w:p w14:paraId="3965B474">
      <w:pPr>
        <w:pStyle w:val="18"/>
        <w:spacing w:before="0" w:beforeAutospacing="0" w:after="0" w:afterAutospacing="0" w:line="276" w:lineRule="auto"/>
        <w:ind w:firstLine="709"/>
        <w:jc w:val="both"/>
      </w:pPr>
      <w:r>
        <w:t xml:space="preserve">The most critical finding from Table 1 concerns the language used in the family, which is </w:t>
      </w:r>
      <w:r>
        <w:rPr>
          <w:rFonts w:eastAsia="SimSun"/>
        </w:rPr>
        <w:t>widely</w:t>
      </w:r>
      <w:r>
        <w:t xml:space="preserve"> considered the core domain for language maintenance and intergenerational transmission (Fishman, 1991). The data from this sample reveals that the family domain remains a significant stronghold for the Cham language.</w:t>
      </w:r>
    </w:p>
    <w:p w14:paraId="0DC8A77A">
      <w:pPr>
        <w:pStyle w:val="18"/>
        <w:spacing w:before="0" w:beforeAutospacing="0" w:after="0" w:afterAutospacing="0" w:line="276" w:lineRule="auto"/>
        <w:ind w:firstLine="709"/>
        <w:jc w:val="both"/>
      </w:pPr>
      <w:r>
        <w:t>A vast majority of respondents reported a Cham-dominant home environment. Specifically, 41.4% use "Cham language only," and another 44.2% use "Mainly Cham language." Combined, this indicates that 85.6% of respondents still prioritize Cham as their primary family language.</w:t>
      </w:r>
    </w:p>
    <w:p w14:paraId="65CDA4EC">
      <w:pPr>
        <w:pStyle w:val="18"/>
        <w:spacing w:before="0" w:beforeAutospacing="0" w:after="0" w:afterAutospacing="0" w:line="276" w:lineRule="auto"/>
        <w:ind w:firstLine="709"/>
        <w:jc w:val="both"/>
      </w:pPr>
      <w:r>
        <w:t>Conversely, the penetration of Vietnamese into this intimate domain, while present, is limited. Only 10.6% of respondents report using "Both Cham and Vietnamese language" equally, and a small minority (3.9%) use "Mainly Vietnamese language." This indicates that only 14.5% of the sample uses Vietnamese in a significant (partial or primary) capacity at home. This finding is a crucial quantitative indicator that, despite external pressures, the family is still serving as a powerful bastion for intergenerational transmission, providing a strong foundation for language maintenance.</w:t>
      </w:r>
    </w:p>
    <w:p w14:paraId="1D3CD504">
      <w:pPr>
        <w:pStyle w:val="18"/>
        <w:spacing w:before="0" w:beforeAutospacing="0" w:after="0" w:afterAutospacing="0" w:line="276" w:lineRule="auto"/>
        <w:jc w:val="center"/>
        <w:rPr>
          <w:lang w:val="da-DK"/>
        </w:rPr>
      </w:pPr>
      <w:r>
        <w:rPr>
          <w:b/>
          <w:bCs/>
          <w:lang w:val="da-DK"/>
        </w:rPr>
        <w:t>Table 1</w:t>
      </w:r>
      <w:r>
        <w:rPr>
          <w:lang w:val="da-DK"/>
        </w:rPr>
        <w:t xml:space="preserve">. Respondents’ demographic characteristics (N = </w:t>
      </w:r>
      <w:r>
        <w:t>464</w:t>
      </w:r>
      <w:r>
        <w:rPr>
          <w:lang w:val="da-DK"/>
        </w:rPr>
        <w:t>)</w:t>
      </w:r>
    </w:p>
    <w:tbl>
      <w:tblPr>
        <w:tblStyle w:val="7"/>
        <w:tblW w:w="731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417"/>
        <w:gridCol w:w="1571"/>
        <w:gridCol w:w="1323"/>
      </w:tblGrid>
      <w:tr w14:paraId="3BE8A73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bottom w:val="single" w:color="auto" w:sz="4" w:space="0"/>
            </w:tcBorders>
            <w:vAlign w:val="center"/>
          </w:tcPr>
          <w:p w14:paraId="41C4C7C8">
            <w:pPr>
              <w:spacing w:after="0"/>
              <w:jc w:val="both"/>
              <w:rPr>
                <w:rFonts w:ascii="Times New Roman" w:hAnsi="Times New Roman" w:eastAsia="Times New Roman" w:cs="Times New Roman"/>
                <w:lang w:eastAsia="en-US"/>
              </w:rPr>
            </w:pPr>
            <w:r>
              <w:rPr>
                <w:rFonts w:ascii="Times New Roman" w:hAnsi="Times New Roman" w:eastAsia="Times New Roman" w:cs="Times New Roman"/>
                <w:lang w:eastAsia="en-US"/>
              </w:rPr>
              <w:t>Demographic characteristics</w:t>
            </w:r>
          </w:p>
        </w:tc>
        <w:tc>
          <w:tcPr>
            <w:tcW w:w="1571" w:type="dxa"/>
            <w:tcBorders>
              <w:bottom w:val="single" w:color="auto" w:sz="4" w:space="0"/>
            </w:tcBorders>
            <w:vAlign w:val="center"/>
          </w:tcPr>
          <w:p w14:paraId="35310884">
            <w:pPr>
              <w:spacing w:after="0"/>
              <w:jc w:val="center"/>
              <w:rPr>
                <w:rFonts w:ascii="Times New Roman" w:hAnsi="Times New Roman" w:eastAsia="Times New Roman" w:cs="Times New Roman"/>
                <w:lang w:eastAsia="en-US"/>
              </w:rPr>
            </w:pPr>
            <w:r>
              <w:rPr>
                <w:rFonts w:ascii="Times New Roman" w:hAnsi="Times New Roman" w:eastAsia="Times New Roman" w:cs="Times New Roman"/>
                <w:lang w:eastAsia="en-US"/>
              </w:rPr>
              <w:t>Frequency (n)</w:t>
            </w:r>
          </w:p>
        </w:tc>
        <w:tc>
          <w:tcPr>
            <w:tcW w:w="1323" w:type="dxa"/>
            <w:tcBorders>
              <w:bottom w:val="single" w:color="auto" w:sz="4" w:space="0"/>
            </w:tcBorders>
            <w:vAlign w:val="center"/>
          </w:tcPr>
          <w:p w14:paraId="35208705">
            <w:pPr>
              <w:spacing w:after="0"/>
              <w:jc w:val="center"/>
              <w:rPr>
                <w:rFonts w:ascii="Times New Roman" w:hAnsi="Times New Roman" w:eastAsia="Times New Roman" w:cs="Times New Roman"/>
                <w:lang w:eastAsia="en-US"/>
              </w:rPr>
            </w:pPr>
            <w:r>
              <w:rPr>
                <w:rFonts w:ascii="Times New Roman" w:hAnsi="Times New Roman" w:eastAsia="Times New Roman" w:cs="Times New Roman"/>
                <w:lang w:eastAsia="en-US"/>
              </w:rPr>
              <w:t>Percent (%)</w:t>
            </w:r>
          </w:p>
        </w:tc>
      </w:tr>
      <w:tr w14:paraId="2DDEEE6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bottom w:val="nil"/>
            </w:tcBorders>
            <w:vAlign w:val="center"/>
          </w:tcPr>
          <w:p w14:paraId="67634E4E">
            <w:pPr>
              <w:spacing w:after="0"/>
              <w:jc w:val="both"/>
              <w:rPr>
                <w:rFonts w:ascii="Times New Roman" w:hAnsi="Times New Roman" w:eastAsia="Times New Roman" w:cs="Times New Roman"/>
                <w:lang w:eastAsia="en-US"/>
              </w:rPr>
            </w:pPr>
            <w:r>
              <w:rPr>
                <w:rFonts w:ascii="Times New Roman" w:hAnsi="Times New Roman" w:eastAsia="Times New Roman" w:cs="Times New Roman"/>
                <w:lang w:eastAsia="en-US"/>
              </w:rPr>
              <w:t>Gender</w:t>
            </w:r>
          </w:p>
        </w:tc>
        <w:tc>
          <w:tcPr>
            <w:tcW w:w="1571" w:type="dxa"/>
            <w:tcBorders>
              <w:bottom w:val="nil"/>
            </w:tcBorders>
            <w:vAlign w:val="center"/>
          </w:tcPr>
          <w:p w14:paraId="67BFED0F">
            <w:pPr>
              <w:spacing w:after="0"/>
              <w:jc w:val="center"/>
              <w:rPr>
                <w:rFonts w:ascii="Times New Roman" w:hAnsi="Times New Roman" w:eastAsia="Times New Roman" w:cs="Times New Roman"/>
                <w:lang w:eastAsia="en-US"/>
              </w:rPr>
            </w:pPr>
            <w:r>
              <w:rPr>
                <w:rFonts w:ascii="Times New Roman" w:hAnsi="Times New Roman" w:eastAsia="Times New Roman" w:cs="Times New Roman"/>
                <w:lang w:eastAsia="en-US"/>
              </w:rPr>
              <w:t> </w:t>
            </w:r>
          </w:p>
        </w:tc>
        <w:tc>
          <w:tcPr>
            <w:tcW w:w="1323" w:type="dxa"/>
            <w:tcBorders>
              <w:bottom w:val="nil"/>
            </w:tcBorders>
            <w:vAlign w:val="center"/>
          </w:tcPr>
          <w:p w14:paraId="48F659C6">
            <w:pPr>
              <w:spacing w:after="0"/>
              <w:jc w:val="center"/>
              <w:rPr>
                <w:rFonts w:ascii="Times New Roman" w:hAnsi="Times New Roman" w:eastAsia="Times New Roman" w:cs="Times New Roman"/>
                <w:lang w:eastAsia="en-US"/>
              </w:rPr>
            </w:pPr>
            <w:r>
              <w:rPr>
                <w:rFonts w:ascii="Times New Roman" w:hAnsi="Times New Roman" w:eastAsia="Times New Roman" w:cs="Times New Roman"/>
                <w:lang w:eastAsia="en-US"/>
              </w:rPr>
              <w:t> </w:t>
            </w:r>
          </w:p>
        </w:tc>
      </w:tr>
      <w:tr w14:paraId="3906973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5C6CA75A">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Male</w:t>
            </w:r>
          </w:p>
        </w:tc>
        <w:tc>
          <w:tcPr>
            <w:tcW w:w="1571" w:type="dxa"/>
            <w:tcBorders>
              <w:top w:val="nil"/>
              <w:bottom w:val="nil"/>
            </w:tcBorders>
          </w:tcPr>
          <w:p w14:paraId="4F5D21E7">
            <w:pPr>
              <w:spacing w:after="0"/>
              <w:ind w:left="60" w:right="60"/>
              <w:jc w:val="right"/>
              <w:rPr>
                <w:rFonts w:ascii="Times New Roman" w:hAnsi="Times New Roman" w:eastAsia="Times New Roman" w:cs="Times New Roman"/>
                <w:lang w:eastAsia="en-US"/>
              </w:rPr>
            </w:pPr>
            <w:r>
              <w:rPr>
                <w:rFonts w:ascii="Times New Roman" w:hAnsi="Times New Roman" w:cs="Times New Roman"/>
              </w:rPr>
              <w:t>258</w:t>
            </w:r>
          </w:p>
        </w:tc>
        <w:tc>
          <w:tcPr>
            <w:tcW w:w="1323" w:type="dxa"/>
            <w:tcBorders>
              <w:top w:val="nil"/>
              <w:bottom w:val="nil"/>
            </w:tcBorders>
          </w:tcPr>
          <w:p w14:paraId="42EA7E93">
            <w:pPr>
              <w:spacing w:after="0"/>
              <w:ind w:left="60" w:right="60"/>
              <w:jc w:val="right"/>
              <w:rPr>
                <w:rFonts w:ascii="Times New Roman" w:hAnsi="Times New Roman" w:eastAsia="Times New Roman" w:cs="Times New Roman"/>
                <w:lang w:eastAsia="en-US"/>
              </w:rPr>
            </w:pPr>
            <w:r>
              <w:rPr>
                <w:rFonts w:ascii="Times New Roman" w:hAnsi="Times New Roman" w:cs="Times New Roman"/>
              </w:rPr>
              <w:t>55.6%</w:t>
            </w:r>
          </w:p>
        </w:tc>
      </w:tr>
      <w:tr w14:paraId="2858C15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4CE3A2DF">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Female</w:t>
            </w:r>
          </w:p>
        </w:tc>
        <w:tc>
          <w:tcPr>
            <w:tcW w:w="1571" w:type="dxa"/>
            <w:tcBorders>
              <w:top w:val="nil"/>
              <w:bottom w:val="nil"/>
            </w:tcBorders>
          </w:tcPr>
          <w:p w14:paraId="53EC1DF3">
            <w:pPr>
              <w:spacing w:after="0"/>
              <w:ind w:left="60" w:right="60"/>
              <w:jc w:val="right"/>
              <w:rPr>
                <w:rFonts w:ascii="Times New Roman" w:hAnsi="Times New Roman" w:eastAsia="Times New Roman" w:cs="Times New Roman"/>
                <w:lang w:eastAsia="en-US"/>
              </w:rPr>
            </w:pPr>
            <w:r>
              <w:rPr>
                <w:rFonts w:ascii="Times New Roman" w:hAnsi="Times New Roman" w:cs="Times New Roman"/>
              </w:rPr>
              <w:t>206</w:t>
            </w:r>
          </w:p>
        </w:tc>
        <w:tc>
          <w:tcPr>
            <w:tcW w:w="1323" w:type="dxa"/>
            <w:tcBorders>
              <w:top w:val="nil"/>
              <w:bottom w:val="nil"/>
            </w:tcBorders>
          </w:tcPr>
          <w:p w14:paraId="2445E46C">
            <w:pPr>
              <w:spacing w:after="0"/>
              <w:ind w:left="60" w:right="60"/>
              <w:jc w:val="right"/>
              <w:rPr>
                <w:rFonts w:ascii="Times New Roman" w:hAnsi="Times New Roman" w:eastAsia="Times New Roman" w:cs="Times New Roman"/>
                <w:lang w:eastAsia="en-US"/>
              </w:rPr>
            </w:pPr>
            <w:r>
              <w:rPr>
                <w:rFonts w:ascii="Times New Roman" w:hAnsi="Times New Roman" w:cs="Times New Roman"/>
              </w:rPr>
              <w:t>44.4%</w:t>
            </w:r>
          </w:p>
        </w:tc>
      </w:tr>
      <w:tr w14:paraId="313F098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6FFE636C">
            <w:pPr>
              <w:spacing w:after="0"/>
              <w:jc w:val="both"/>
              <w:rPr>
                <w:rFonts w:ascii="Times New Roman" w:hAnsi="Times New Roman" w:eastAsia="Times New Roman" w:cs="Times New Roman"/>
                <w:lang w:eastAsia="en-US"/>
              </w:rPr>
            </w:pPr>
            <w:r>
              <w:rPr>
                <w:rFonts w:ascii="Times New Roman" w:hAnsi="Times New Roman" w:eastAsia="Times New Roman" w:cs="Times New Roman"/>
                <w:lang w:eastAsia="en-US"/>
              </w:rPr>
              <w:t>Age</w:t>
            </w:r>
          </w:p>
        </w:tc>
        <w:tc>
          <w:tcPr>
            <w:tcW w:w="1571" w:type="dxa"/>
            <w:tcBorders>
              <w:top w:val="nil"/>
              <w:bottom w:val="nil"/>
            </w:tcBorders>
            <w:vAlign w:val="center"/>
          </w:tcPr>
          <w:p w14:paraId="0D391C40">
            <w:pPr>
              <w:spacing w:after="0"/>
              <w:jc w:val="center"/>
              <w:rPr>
                <w:rFonts w:ascii="Times New Roman" w:hAnsi="Times New Roman" w:eastAsia="Times New Roman" w:cs="Times New Roman"/>
                <w:lang w:eastAsia="en-US"/>
              </w:rPr>
            </w:pPr>
            <w:r>
              <w:rPr>
                <w:rFonts w:ascii="Times New Roman" w:hAnsi="Times New Roman" w:eastAsia="Times New Roman" w:cs="Times New Roman"/>
                <w:lang w:eastAsia="en-US"/>
              </w:rPr>
              <w:t> </w:t>
            </w:r>
          </w:p>
        </w:tc>
        <w:tc>
          <w:tcPr>
            <w:tcW w:w="1323" w:type="dxa"/>
            <w:tcBorders>
              <w:top w:val="nil"/>
              <w:bottom w:val="nil"/>
            </w:tcBorders>
            <w:vAlign w:val="center"/>
          </w:tcPr>
          <w:p w14:paraId="62FD7A05">
            <w:pPr>
              <w:spacing w:after="0"/>
              <w:jc w:val="center"/>
              <w:rPr>
                <w:rFonts w:ascii="Times New Roman" w:hAnsi="Times New Roman" w:eastAsia="Times New Roman" w:cs="Times New Roman"/>
                <w:lang w:eastAsia="en-US"/>
              </w:rPr>
            </w:pPr>
            <w:r>
              <w:rPr>
                <w:rFonts w:ascii="Times New Roman" w:hAnsi="Times New Roman" w:eastAsia="Times New Roman" w:cs="Times New Roman"/>
                <w:lang w:eastAsia="en-US"/>
              </w:rPr>
              <w:t> </w:t>
            </w:r>
          </w:p>
        </w:tc>
      </w:tr>
      <w:tr w14:paraId="0332F72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5A5E4A1A">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18 - 30</w:t>
            </w:r>
          </w:p>
        </w:tc>
        <w:tc>
          <w:tcPr>
            <w:tcW w:w="1571" w:type="dxa"/>
            <w:tcBorders>
              <w:top w:val="nil"/>
              <w:bottom w:val="nil"/>
            </w:tcBorders>
          </w:tcPr>
          <w:p w14:paraId="6E4DA627">
            <w:pPr>
              <w:spacing w:after="0"/>
              <w:ind w:left="60" w:right="60"/>
              <w:jc w:val="right"/>
              <w:rPr>
                <w:rFonts w:ascii="Times New Roman" w:hAnsi="Times New Roman" w:eastAsia="Times New Roman" w:cs="Times New Roman"/>
                <w:lang w:eastAsia="en-US"/>
              </w:rPr>
            </w:pPr>
            <w:r>
              <w:rPr>
                <w:rFonts w:ascii="Times New Roman" w:hAnsi="Times New Roman" w:cs="Times New Roman"/>
              </w:rPr>
              <w:t>138</w:t>
            </w:r>
          </w:p>
        </w:tc>
        <w:tc>
          <w:tcPr>
            <w:tcW w:w="1323" w:type="dxa"/>
            <w:tcBorders>
              <w:top w:val="nil"/>
              <w:bottom w:val="nil"/>
            </w:tcBorders>
          </w:tcPr>
          <w:p w14:paraId="33EC16C9">
            <w:pPr>
              <w:spacing w:after="0"/>
              <w:ind w:left="60" w:right="60"/>
              <w:jc w:val="right"/>
              <w:rPr>
                <w:rFonts w:ascii="Times New Roman" w:hAnsi="Times New Roman" w:eastAsia="Times New Roman" w:cs="Times New Roman"/>
                <w:lang w:eastAsia="en-US"/>
              </w:rPr>
            </w:pPr>
            <w:r>
              <w:rPr>
                <w:rFonts w:ascii="Times New Roman" w:hAnsi="Times New Roman" w:cs="Times New Roman"/>
              </w:rPr>
              <w:t>29.7%</w:t>
            </w:r>
          </w:p>
        </w:tc>
      </w:tr>
      <w:tr w14:paraId="45B8321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5540A713">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31 - 45</w:t>
            </w:r>
          </w:p>
        </w:tc>
        <w:tc>
          <w:tcPr>
            <w:tcW w:w="1571" w:type="dxa"/>
            <w:tcBorders>
              <w:top w:val="nil"/>
              <w:bottom w:val="nil"/>
            </w:tcBorders>
          </w:tcPr>
          <w:p w14:paraId="2C56732D">
            <w:pPr>
              <w:spacing w:after="0"/>
              <w:ind w:left="60" w:right="60"/>
              <w:jc w:val="right"/>
              <w:rPr>
                <w:rFonts w:ascii="Times New Roman" w:hAnsi="Times New Roman" w:eastAsia="Times New Roman" w:cs="Times New Roman"/>
                <w:lang w:eastAsia="en-US"/>
              </w:rPr>
            </w:pPr>
            <w:r>
              <w:rPr>
                <w:rFonts w:ascii="Times New Roman" w:hAnsi="Times New Roman" w:cs="Times New Roman"/>
              </w:rPr>
              <w:t>88</w:t>
            </w:r>
          </w:p>
        </w:tc>
        <w:tc>
          <w:tcPr>
            <w:tcW w:w="1323" w:type="dxa"/>
            <w:tcBorders>
              <w:top w:val="nil"/>
              <w:bottom w:val="nil"/>
            </w:tcBorders>
          </w:tcPr>
          <w:p w14:paraId="0B8D45B7">
            <w:pPr>
              <w:spacing w:after="0"/>
              <w:ind w:left="60" w:right="60"/>
              <w:jc w:val="right"/>
              <w:rPr>
                <w:rFonts w:ascii="Times New Roman" w:hAnsi="Times New Roman" w:eastAsia="Times New Roman" w:cs="Times New Roman"/>
                <w:lang w:eastAsia="en-US"/>
              </w:rPr>
            </w:pPr>
            <w:r>
              <w:rPr>
                <w:rFonts w:ascii="Times New Roman" w:hAnsi="Times New Roman" w:cs="Times New Roman"/>
              </w:rPr>
              <w:t>19.0%</w:t>
            </w:r>
          </w:p>
        </w:tc>
      </w:tr>
      <w:tr w14:paraId="1BF3784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466616BC">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46 - 60</w:t>
            </w:r>
          </w:p>
        </w:tc>
        <w:tc>
          <w:tcPr>
            <w:tcW w:w="1571" w:type="dxa"/>
            <w:tcBorders>
              <w:top w:val="nil"/>
              <w:bottom w:val="nil"/>
            </w:tcBorders>
          </w:tcPr>
          <w:p w14:paraId="55831299">
            <w:pPr>
              <w:spacing w:after="0"/>
              <w:ind w:left="60" w:right="60"/>
              <w:jc w:val="right"/>
              <w:rPr>
                <w:rFonts w:ascii="Times New Roman" w:hAnsi="Times New Roman" w:eastAsia="Times New Roman" w:cs="Times New Roman"/>
                <w:lang w:eastAsia="en-US"/>
              </w:rPr>
            </w:pPr>
            <w:r>
              <w:rPr>
                <w:rFonts w:ascii="Times New Roman" w:hAnsi="Times New Roman" w:cs="Times New Roman"/>
              </w:rPr>
              <w:t>142</w:t>
            </w:r>
          </w:p>
        </w:tc>
        <w:tc>
          <w:tcPr>
            <w:tcW w:w="1323" w:type="dxa"/>
            <w:tcBorders>
              <w:top w:val="nil"/>
              <w:bottom w:val="nil"/>
            </w:tcBorders>
          </w:tcPr>
          <w:p w14:paraId="206D4B6E">
            <w:pPr>
              <w:spacing w:after="0"/>
              <w:ind w:left="60" w:right="60"/>
              <w:jc w:val="right"/>
              <w:rPr>
                <w:rFonts w:ascii="Times New Roman" w:hAnsi="Times New Roman" w:eastAsia="Times New Roman" w:cs="Times New Roman"/>
                <w:lang w:eastAsia="en-US"/>
              </w:rPr>
            </w:pPr>
            <w:r>
              <w:rPr>
                <w:rFonts w:ascii="Times New Roman" w:hAnsi="Times New Roman" w:cs="Times New Roman"/>
              </w:rPr>
              <w:t>30.6%</w:t>
            </w:r>
          </w:p>
        </w:tc>
      </w:tr>
      <w:tr w14:paraId="4DCEBD7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66591F6A">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&gt; 60</w:t>
            </w:r>
          </w:p>
        </w:tc>
        <w:tc>
          <w:tcPr>
            <w:tcW w:w="1571" w:type="dxa"/>
            <w:tcBorders>
              <w:top w:val="nil"/>
              <w:bottom w:val="nil"/>
            </w:tcBorders>
          </w:tcPr>
          <w:p w14:paraId="0417227E">
            <w:pPr>
              <w:spacing w:after="0"/>
              <w:ind w:left="60" w:right="60"/>
              <w:jc w:val="right"/>
              <w:rPr>
                <w:rFonts w:ascii="Times New Roman" w:hAnsi="Times New Roman" w:eastAsia="Times New Roman" w:cs="Times New Roman"/>
                <w:lang w:eastAsia="en-US"/>
              </w:rPr>
            </w:pPr>
            <w:r>
              <w:rPr>
                <w:rFonts w:ascii="Times New Roman" w:hAnsi="Times New Roman" w:cs="Times New Roman"/>
              </w:rPr>
              <w:t>96</w:t>
            </w:r>
          </w:p>
        </w:tc>
        <w:tc>
          <w:tcPr>
            <w:tcW w:w="1323" w:type="dxa"/>
            <w:tcBorders>
              <w:top w:val="nil"/>
              <w:bottom w:val="nil"/>
            </w:tcBorders>
          </w:tcPr>
          <w:p w14:paraId="0692EE5B">
            <w:pPr>
              <w:spacing w:after="0"/>
              <w:ind w:left="60" w:right="60"/>
              <w:jc w:val="right"/>
              <w:rPr>
                <w:rFonts w:ascii="Times New Roman" w:hAnsi="Times New Roman" w:eastAsia="Times New Roman" w:cs="Times New Roman"/>
                <w:lang w:eastAsia="en-US"/>
              </w:rPr>
            </w:pPr>
            <w:r>
              <w:rPr>
                <w:rFonts w:ascii="Times New Roman" w:hAnsi="Times New Roman" w:cs="Times New Roman"/>
              </w:rPr>
              <w:t>20.7%</w:t>
            </w:r>
          </w:p>
        </w:tc>
      </w:tr>
      <w:tr w14:paraId="53CB506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0F47AF70">
            <w:pPr>
              <w:spacing w:after="0"/>
              <w:jc w:val="both"/>
              <w:rPr>
                <w:rFonts w:ascii="Times New Roman" w:hAnsi="Times New Roman" w:eastAsia="Times New Roman" w:cs="Times New Roman"/>
                <w:lang w:eastAsia="en-US"/>
              </w:rPr>
            </w:pPr>
            <w:r>
              <w:rPr>
                <w:rFonts w:ascii="Times New Roman" w:hAnsi="Times New Roman" w:eastAsia="Times New Roman" w:cs="Times New Roman"/>
                <w:lang w:eastAsia="en-US"/>
              </w:rPr>
              <w:t>Educational level</w:t>
            </w:r>
          </w:p>
        </w:tc>
        <w:tc>
          <w:tcPr>
            <w:tcW w:w="1571" w:type="dxa"/>
            <w:tcBorders>
              <w:top w:val="nil"/>
              <w:bottom w:val="nil"/>
            </w:tcBorders>
            <w:vAlign w:val="center"/>
          </w:tcPr>
          <w:p w14:paraId="4C22256B">
            <w:pPr>
              <w:spacing w:after="0"/>
              <w:jc w:val="center"/>
              <w:rPr>
                <w:rFonts w:ascii="Times New Roman" w:hAnsi="Times New Roman" w:eastAsia="Times New Roman" w:cs="Times New Roman"/>
                <w:lang w:eastAsia="en-US"/>
              </w:rPr>
            </w:pPr>
            <w:r>
              <w:rPr>
                <w:rFonts w:ascii="Times New Roman" w:hAnsi="Times New Roman" w:eastAsia="Times New Roman" w:cs="Times New Roman"/>
                <w:lang w:eastAsia="en-US"/>
              </w:rPr>
              <w:t> </w:t>
            </w:r>
          </w:p>
        </w:tc>
        <w:tc>
          <w:tcPr>
            <w:tcW w:w="1323" w:type="dxa"/>
            <w:tcBorders>
              <w:top w:val="nil"/>
              <w:bottom w:val="nil"/>
            </w:tcBorders>
            <w:vAlign w:val="center"/>
          </w:tcPr>
          <w:p w14:paraId="55024985">
            <w:pPr>
              <w:spacing w:after="0"/>
              <w:jc w:val="center"/>
              <w:rPr>
                <w:rFonts w:ascii="Times New Roman" w:hAnsi="Times New Roman" w:eastAsia="Times New Roman" w:cs="Times New Roman"/>
                <w:lang w:eastAsia="en-US"/>
              </w:rPr>
            </w:pPr>
            <w:r>
              <w:rPr>
                <w:rFonts w:ascii="Times New Roman" w:hAnsi="Times New Roman" w:eastAsia="Times New Roman" w:cs="Times New Roman"/>
                <w:lang w:eastAsia="en-US"/>
              </w:rPr>
              <w:t> </w:t>
            </w:r>
          </w:p>
        </w:tc>
      </w:tr>
      <w:tr w14:paraId="6B5D913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39D763A5">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Elementary school or lower</w:t>
            </w:r>
          </w:p>
        </w:tc>
        <w:tc>
          <w:tcPr>
            <w:tcW w:w="1571" w:type="dxa"/>
            <w:tcBorders>
              <w:top w:val="nil"/>
              <w:bottom w:val="nil"/>
            </w:tcBorders>
          </w:tcPr>
          <w:p w14:paraId="17167295">
            <w:pPr>
              <w:spacing w:after="0"/>
              <w:ind w:left="60" w:right="60"/>
              <w:jc w:val="right"/>
              <w:rPr>
                <w:rFonts w:ascii="Times New Roman" w:hAnsi="Times New Roman" w:cs="Times New Roman"/>
                <w:lang w:eastAsia="en-US"/>
              </w:rPr>
            </w:pPr>
            <w:r>
              <w:rPr>
                <w:rFonts w:ascii="Times New Roman" w:hAnsi="Times New Roman" w:cs="Times New Roman"/>
              </w:rPr>
              <w:t>105</w:t>
            </w:r>
          </w:p>
        </w:tc>
        <w:tc>
          <w:tcPr>
            <w:tcW w:w="1323" w:type="dxa"/>
            <w:tcBorders>
              <w:top w:val="nil"/>
              <w:bottom w:val="nil"/>
            </w:tcBorders>
          </w:tcPr>
          <w:p w14:paraId="53367619">
            <w:pPr>
              <w:spacing w:after="0"/>
              <w:ind w:left="60" w:right="60"/>
              <w:jc w:val="right"/>
              <w:rPr>
                <w:rFonts w:ascii="Times New Roman" w:hAnsi="Times New Roman" w:cs="Times New Roman"/>
                <w:lang w:eastAsia="en-US"/>
              </w:rPr>
            </w:pPr>
            <w:r>
              <w:rPr>
                <w:rFonts w:ascii="Times New Roman" w:hAnsi="Times New Roman" w:cs="Times New Roman"/>
              </w:rPr>
              <w:t>22.6%</w:t>
            </w:r>
          </w:p>
        </w:tc>
      </w:tr>
      <w:tr w14:paraId="5ACBEDA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7F990002">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Secondary school</w:t>
            </w:r>
          </w:p>
        </w:tc>
        <w:tc>
          <w:tcPr>
            <w:tcW w:w="1571" w:type="dxa"/>
            <w:tcBorders>
              <w:top w:val="nil"/>
              <w:bottom w:val="nil"/>
            </w:tcBorders>
          </w:tcPr>
          <w:p w14:paraId="2BA257DF">
            <w:pPr>
              <w:spacing w:after="0"/>
              <w:ind w:left="60" w:right="60"/>
              <w:jc w:val="right"/>
              <w:rPr>
                <w:rFonts w:ascii="Times New Roman" w:hAnsi="Times New Roman" w:cs="Times New Roman"/>
                <w:lang w:eastAsia="en-US"/>
              </w:rPr>
            </w:pPr>
            <w:r>
              <w:rPr>
                <w:rFonts w:ascii="Times New Roman" w:hAnsi="Times New Roman" w:cs="Times New Roman"/>
              </w:rPr>
              <w:t>127</w:t>
            </w:r>
          </w:p>
        </w:tc>
        <w:tc>
          <w:tcPr>
            <w:tcW w:w="1323" w:type="dxa"/>
            <w:tcBorders>
              <w:top w:val="nil"/>
              <w:bottom w:val="nil"/>
            </w:tcBorders>
          </w:tcPr>
          <w:p w14:paraId="0E11C554">
            <w:pPr>
              <w:spacing w:after="0"/>
              <w:ind w:left="60" w:right="60"/>
              <w:jc w:val="right"/>
              <w:rPr>
                <w:rFonts w:ascii="Times New Roman" w:hAnsi="Times New Roman" w:cs="Times New Roman"/>
                <w:lang w:eastAsia="en-US"/>
              </w:rPr>
            </w:pPr>
            <w:r>
              <w:rPr>
                <w:rFonts w:ascii="Times New Roman" w:hAnsi="Times New Roman" w:cs="Times New Roman"/>
              </w:rPr>
              <w:t>27.4%</w:t>
            </w:r>
          </w:p>
        </w:tc>
      </w:tr>
      <w:tr w14:paraId="670FC4F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5C68D3BE">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High school</w:t>
            </w:r>
          </w:p>
        </w:tc>
        <w:tc>
          <w:tcPr>
            <w:tcW w:w="1571" w:type="dxa"/>
            <w:tcBorders>
              <w:top w:val="nil"/>
              <w:bottom w:val="nil"/>
            </w:tcBorders>
          </w:tcPr>
          <w:p w14:paraId="3C900314">
            <w:pPr>
              <w:spacing w:after="0"/>
              <w:ind w:left="60" w:right="60"/>
              <w:jc w:val="right"/>
              <w:rPr>
                <w:rFonts w:ascii="Times New Roman" w:hAnsi="Times New Roman" w:cs="Times New Roman"/>
                <w:lang w:eastAsia="en-US"/>
              </w:rPr>
            </w:pPr>
            <w:r>
              <w:rPr>
                <w:rFonts w:ascii="Times New Roman" w:hAnsi="Times New Roman" w:cs="Times New Roman"/>
              </w:rPr>
              <w:t>131</w:t>
            </w:r>
          </w:p>
        </w:tc>
        <w:tc>
          <w:tcPr>
            <w:tcW w:w="1323" w:type="dxa"/>
            <w:tcBorders>
              <w:top w:val="nil"/>
              <w:bottom w:val="nil"/>
            </w:tcBorders>
          </w:tcPr>
          <w:p w14:paraId="7BD2F50C">
            <w:pPr>
              <w:spacing w:after="0"/>
              <w:ind w:left="60" w:right="60"/>
              <w:jc w:val="right"/>
              <w:rPr>
                <w:rFonts w:ascii="Times New Roman" w:hAnsi="Times New Roman" w:cs="Times New Roman"/>
                <w:lang w:eastAsia="en-US"/>
              </w:rPr>
            </w:pPr>
            <w:r>
              <w:rPr>
                <w:rFonts w:ascii="Times New Roman" w:hAnsi="Times New Roman" w:cs="Times New Roman"/>
              </w:rPr>
              <w:t>28.2%</w:t>
            </w:r>
          </w:p>
        </w:tc>
      </w:tr>
      <w:tr w14:paraId="1FAF51D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63034DDB">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Vocational school or college</w:t>
            </w:r>
          </w:p>
        </w:tc>
        <w:tc>
          <w:tcPr>
            <w:tcW w:w="1571" w:type="dxa"/>
            <w:tcBorders>
              <w:top w:val="nil"/>
              <w:bottom w:val="nil"/>
            </w:tcBorders>
          </w:tcPr>
          <w:p w14:paraId="10CEB183">
            <w:pPr>
              <w:spacing w:after="0"/>
              <w:ind w:left="60" w:right="60"/>
              <w:jc w:val="right"/>
              <w:rPr>
                <w:rFonts w:ascii="Times New Roman" w:hAnsi="Times New Roman" w:cs="Times New Roman"/>
                <w:lang w:eastAsia="en-US"/>
              </w:rPr>
            </w:pPr>
            <w:r>
              <w:rPr>
                <w:rFonts w:ascii="Times New Roman" w:hAnsi="Times New Roman" w:cs="Times New Roman"/>
              </w:rPr>
              <w:t>101</w:t>
            </w:r>
          </w:p>
        </w:tc>
        <w:tc>
          <w:tcPr>
            <w:tcW w:w="1323" w:type="dxa"/>
            <w:tcBorders>
              <w:top w:val="nil"/>
              <w:bottom w:val="nil"/>
            </w:tcBorders>
          </w:tcPr>
          <w:p w14:paraId="647CB818">
            <w:pPr>
              <w:spacing w:after="0"/>
              <w:ind w:left="60" w:right="60"/>
              <w:jc w:val="right"/>
              <w:rPr>
                <w:rFonts w:ascii="Times New Roman" w:hAnsi="Times New Roman" w:cs="Times New Roman"/>
                <w:lang w:eastAsia="en-US"/>
              </w:rPr>
            </w:pPr>
            <w:r>
              <w:rPr>
                <w:rFonts w:ascii="Times New Roman" w:hAnsi="Times New Roman" w:cs="Times New Roman"/>
              </w:rPr>
              <w:t>21.8%</w:t>
            </w:r>
          </w:p>
        </w:tc>
      </w:tr>
      <w:tr w14:paraId="09C1513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23E2F514">
            <w:pPr>
              <w:spacing w:after="0"/>
              <w:jc w:val="both"/>
              <w:rPr>
                <w:rFonts w:ascii="Times New Roman" w:hAnsi="Times New Roman" w:eastAsia="Times New Roman" w:cs="Times New Roman"/>
                <w:lang w:eastAsia="en-US"/>
              </w:rPr>
            </w:pPr>
            <w:r>
              <w:rPr>
                <w:rFonts w:ascii="Times New Roman" w:hAnsi="Times New Roman" w:eastAsia="Times New Roman" w:cs="Times New Roman"/>
                <w:lang w:eastAsia="en-US"/>
              </w:rPr>
              <w:t>Occupation</w:t>
            </w:r>
          </w:p>
        </w:tc>
        <w:tc>
          <w:tcPr>
            <w:tcW w:w="1571" w:type="dxa"/>
            <w:tcBorders>
              <w:top w:val="nil"/>
              <w:bottom w:val="nil"/>
            </w:tcBorders>
            <w:vAlign w:val="center"/>
          </w:tcPr>
          <w:p w14:paraId="54E0C98B">
            <w:pPr>
              <w:spacing w:after="0"/>
              <w:jc w:val="center"/>
              <w:rPr>
                <w:rFonts w:ascii="Times New Roman" w:hAnsi="Times New Roman" w:eastAsia="Times New Roman" w:cs="Times New Roman"/>
                <w:lang w:eastAsia="en-US"/>
              </w:rPr>
            </w:pPr>
            <w:r>
              <w:rPr>
                <w:rFonts w:ascii="Times New Roman" w:hAnsi="Times New Roman" w:eastAsia="Times New Roman" w:cs="Times New Roman"/>
                <w:lang w:eastAsia="en-US"/>
              </w:rPr>
              <w:t> </w:t>
            </w:r>
          </w:p>
        </w:tc>
        <w:tc>
          <w:tcPr>
            <w:tcW w:w="1323" w:type="dxa"/>
            <w:tcBorders>
              <w:top w:val="nil"/>
              <w:bottom w:val="nil"/>
            </w:tcBorders>
            <w:vAlign w:val="center"/>
          </w:tcPr>
          <w:p w14:paraId="4EA0CC10">
            <w:pPr>
              <w:spacing w:after="0"/>
              <w:jc w:val="center"/>
              <w:rPr>
                <w:rFonts w:ascii="Times New Roman" w:hAnsi="Times New Roman" w:eastAsia="Times New Roman" w:cs="Times New Roman"/>
                <w:lang w:eastAsia="en-US"/>
              </w:rPr>
            </w:pPr>
            <w:r>
              <w:rPr>
                <w:rFonts w:ascii="Times New Roman" w:hAnsi="Times New Roman" w:eastAsia="Times New Roman" w:cs="Times New Roman"/>
                <w:lang w:eastAsia="en-US"/>
              </w:rPr>
              <w:t> </w:t>
            </w:r>
          </w:p>
        </w:tc>
      </w:tr>
      <w:tr w14:paraId="3A1B62B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58565951">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Farmer</w:t>
            </w:r>
          </w:p>
        </w:tc>
        <w:tc>
          <w:tcPr>
            <w:tcW w:w="1571" w:type="dxa"/>
            <w:tcBorders>
              <w:top w:val="nil"/>
              <w:bottom w:val="nil"/>
            </w:tcBorders>
          </w:tcPr>
          <w:p w14:paraId="03AD4F32">
            <w:pPr>
              <w:spacing w:after="0"/>
              <w:ind w:left="60" w:right="60"/>
              <w:jc w:val="right"/>
              <w:rPr>
                <w:rFonts w:ascii="Times New Roman" w:hAnsi="Times New Roman" w:cs="Times New Roman"/>
                <w:lang w:eastAsia="en-US"/>
              </w:rPr>
            </w:pPr>
            <w:r>
              <w:rPr>
                <w:rFonts w:ascii="Times New Roman" w:hAnsi="Times New Roman" w:cs="Times New Roman"/>
              </w:rPr>
              <w:t>233</w:t>
            </w:r>
          </w:p>
        </w:tc>
        <w:tc>
          <w:tcPr>
            <w:tcW w:w="1323" w:type="dxa"/>
            <w:tcBorders>
              <w:top w:val="nil"/>
              <w:bottom w:val="nil"/>
            </w:tcBorders>
          </w:tcPr>
          <w:p w14:paraId="2AC3F1AE">
            <w:pPr>
              <w:spacing w:after="0"/>
              <w:ind w:left="60" w:right="60"/>
              <w:jc w:val="right"/>
              <w:rPr>
                <w:rFonts w:ascii="Times New Roman" w:hAnsi="Times New Roman" w:cs="Times New Roman"/>
                <w:lang w:eastAsia="en-US"/>
              </w:rPr>
            </w:pPr>
            <w:r>
              <w:rPr>
                <w:rFonts w:ascii="Times New Roman" w:hAnsi="Times New Roman" w:cs="Times New Roman"/>
              </w:rPr>
              <w:t>50.2%</w:t>
            </w:r>
          </w:p>
        </w:tc>
      </w:tr>
      <w:tr w14:paraId="11988A8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47A81E9D">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Worker/Freelancer</w:t>
            </w:r>
          </w:p>
        </w:tc>
        <w:tc>
          <w:tcPr>
            <w:tcW w:w="1571" w:type="dxa"/>
            <w:tcBorders>
              <w:top w:val="nil"/>
              <w:bottom w:val="nil"/>
            </w:tcBorders>
          </w:tcPr>
          <w:p w14:paraId="17AB5616">
            <w:pPr>
              <w:spacing w:after="0"/>
              <w:ind w:left="60" w:right="60"/>
              <w:jc w:val="right"/>
              <w:rPr>
                <w:rFonts w:ascii="Times New Roman" w:hAnsi="Times New Roman" w:cs="Times New Roman"/>
                <w:lang w:eastAsia="en-US"/>
              </w:rPr>
            </w:pPr>
            <w:r>
              <w:rPr>
                <w:rFonts w:ascii="Times New Roman" w:hAnsi="Times New Roman" w:cs="Times New Roman"/>
              </w:rPr>
              <w:t>76</w:t>
            </w:r>
          </w:p>
        </w:tc>
        <w:tc>
          <w:tcPr>
            <w:tcW w:w="1323" w:type="dxa"/>
            <w:tcBorders>
              <w:top w:val="nil"/>
              <w:bottom w:val="nil"/>
            </w:tcBorders>
          </w:tcPr>
          <w:p w14:paraId="231256CC">
            <w:pPr>
              <w:spacing w:after="0"/>
              <w:ind w:left="60" w:right="60"/>
              <w:jc w:val="right"/>
              <w:rPr>
                <w:rFonts w:ascii="Times New Roman" w:hAnsi="Times New Roman" w:cs="Times New Roman"/>
                <w:lang w:eastAsia="en-US"/>
              </w:rPr>
            </w:pPr>
            <w:r>
              <w:rPr>
                <w:rFonts w:ascii="Times New Roman" w:hAnsi="Times New Roman" w:cs="Times New Roman"/>
              </w:rPr>
              <w:t>16.4%</w:t>
            </w:r>
          </w:p>
        </w:tc>
      </w:tr>
      <w:tr w14:paraId="10F7537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24083724">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Service/Business</w:t>
            </w:r>
          </w:p>
        </w:tc>
        <w:tc>
          <w:tcPr>
            <w:tcW w:w="1571" w:type="dxa"/>
            <w:tcBorders>
              <w:top w:val="nil"/>
              <w:bottom w:val="nil"/>
            </w:tcBorders>
          </w:tcPr>
          <w:p w14:paraId="6A38137A">
            <w:pPr>
              <w:spacing w:after="0"/>
              <w:ind w:left="60" w:right="60"/>
              <w:jc w:val="right"/>
              <w:rPr>
                <w:rFonts w:ascii="Times New Roman" w:hAnsi="Times New Roman" w:cs="Times New Roman"/>
                <w:lang w:eastAsia="en-US"/>
              </w:rPr>
            </w:pPr>
            <w:r>
              <w:rPr>
                <w:rFonts w:ascii="Times New Roman" w:hAnsi="Times New Roman" w:cs="Times New Roman"/>
              </w:rPr>
              <w:t>120</w:t>
            </w:r>
          </w:p>
        </w:tc>
        <w:tc>
          <w:tcPr>
            <w:tcW w:w="1323" w:type="dxa"/>
            <w:tcBorders>
              <w:top w:val="nil"/>
              <w:bottom w:val="nil"/>
            </w:tcBorders>
          </w:tcPr>
          <w:p w14:paraId="04502064">
            <w:pPr>
              <w:spacing w:after="0"/>
              <w:ind w:left="60" w:right="60"/>
              <w:jc w:val="right"/>
              <w:rPr>
                <w:rFonts w:ascii="Times New Roman" w:hAnsi="Times New Roman" w:cs="Times New Roman"/>
                <w:lang w:eastAsia="en-US"/>
              </w:rPr>
            </w:pPr>
            <w:r>
              <w:rPr>
                <w:rFonts w:ascii="Times New Roman" w:hAnsi="Times New Roman" w:cs="Times New Roman"/>
              </w:rPr>
              <w:t>25.9%</w:t>
            </w:r>
          </w:p>
        </w:tc>
      </w:tr>
      <w:tr w14:paraId="70E750B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7B4A3D2B">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Other</w:t>
            </w:r>
          </w:p>
        </w:tc>
        <w:tc>
          <w:tcPr>
            <w:tcW w:w="1571" w:type="dxa"/>
            <w:tcBorders>
              <w:top w:val="nil"/>
              <w:bottom w:val="nil"/>
            </w:tcBorders>
          </w:tcPr>
          <w:p w14:paraId="6A199042">
            <w:pPr>
              <w:spacing w:after="0"/>
              <w:ind w:left="60" w:right="60"/>
              <w:jc w:val="right"/>
              <w:rPr>
                <w:rFonts w:ascii="Times New Roman" w:hAnsi="Times New Roman" w:cs="Times New Roman"/>
                <w:lang w:eastAsia="en-US"/>
              </w:rPr>
            </w:pPr>
            <w:r>
              <w:rPr>
                <w:rFonts w:ascii="Times New Roman" w:hAnsi="Times New Roman" w:cs="Times New Roman"/>
              </w:rPr>
              <w:t>35</w:t>
            </w:r>
          </w:p>
        </w:tc>
        <w:tc>
          <w:tcPr>
            <w:tcW w:w="1323" w:type="dxa"/>
            <w:tcBorders>
              <w:top w:val="nil"/>
              <w:bottom w:val="nil"/>
            </w:tcBorders>
          </w:tcPr>
          <w:p w14:paraId="71C014B5">
            <w:pPr>
              <w:spacing w:after="0"/>
              <w:ind w:left="60" w:right="60"/>
              <w:jc w:val="right"/>
              <w:rPr>
                <w:rFonts w:ascii="Times New Roman" w:hAnsi="Times New Roman" w:cs="Times New Roman"/>
                <w:lang w:eastAsia="en-US"/>
              </w:rPr>
            </w:pPr>
            <w:r>
              <w:rPr>
                <w:rFonts w:ascii="Times New Roman" w:hAnsi="Times New Roman" w:cs="Times New Roman"/>
              </w:rPr>
              <w:t>7.5%</w:t>
            </w:r>
          </w:p>
        </w:tc>
      </w:tr>
      <w:tr w14:paraId="24FE312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750FC10F">
            <w:pPr>
              <w:spacing w:after="0"/>
              <w:jc w:val="both"/>
              <w:rPr>
                <w:rFonts w:ascii="Times New Roman" w:hAnsi="Times New Roman" w:eastAsia="Times New Roman" w:cs="Times New Roman"/>
                <w:lang w:eastAsia="en-US"/>
              </w:rPr>
            </w:pPr>
            <w:r>
              <w:rPr>
                <w:rFonts w:ascii="Times New Roman" w:hAnsi="Times New Roman" w:eastAsia="Times New Roman" w:cs="Times New Roman"/>
                <w:lang w:eastAsia="en-US"/>
              </w:rPr>
              <w:t>Place of residence</w:t>
            </w:r>
          </w:p>
        </w:tc>
        <w:tc>
          <w:tcPr>
            <w:tcW w:w="1571" w:type="dxa"/>
            <w:tcBorders>
              <w:top w:val="nil"/>
              <w:bottom w:val="nil"/>
            </w:tcBorders>
            <w:vAlign w:val="center"/>
          </w:tcPr>
          <w:p w14:paraId="786E5B26">
            <w:pPr>
              <w:spacing w:after="0"/>
              <w:jc w:val="center"/>
              <w:rPr>
                <w:rFonts w:ascii="Times New Roman" w:hAnsi="Times New Roman" w:eastAsia="Times New Roman" w:cs="Times New Roman"/>
                <w:lang w:eastAsia="en-US"/>
              </w:rPr>
            </w:pPr>
            <w:r>
              <w:rPr>
                <w:rFonts w:ascii="Times New Roman" w:hAnsi="Times New Roman" w:eastAsia="Times New Roman" w:cs="Times New Roman"/>
                <w:lang w:eastAsia="en-US"/>
              </w:rPr>
              <w:t> </w:t>
            </w:r>
          </w:p>
        </w:tc>
        <w:tc>
          <w:tcPr>
            <w:tcW w:w="1323" w:type="dxa"/>
            <w:tcBorders>
              <w:top w:val="nil"/>
              <w:bottom w:val="nil"/>
            </w:tcBorders>
            <w:vAlign w:val="center"/>
          </w:tcPr>
          <w:p w14:paraId="3CABC700">
            <w:pPr>
              <w:spacing w:after="0"/>
              <w:jc w:val="center"/>
              <w:rPr>
                <w:rFonts w:ascii="Times New Roman" w:hAnsi="Times New Roman" w:eastAsia="Times New Roman" w:cs="Times New Roman"/>
                <w:lang w:eastAsia="en-US"/>
              </w:rPr>
            </w:pPr>
            <w:r>
              <w:rPr>
                <w:rFonts w:ascii="Times New Roman" w:hAnsi="Times New Roman" w:eastAsia="Times New Roman" w:cs="Times New Roman"/>
                <w:lang w:eastAsia="en-US"/>
              </w:rPr>
              <w:t> </w:t>
            </w:r>
          </w:p>
        </w:tc>
      </w:tr>
      <w:tr w14:paraId="020CDBB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46AF8891">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An Giang</w:t>
            </w:r>
          </w:p>
        </w:tc>
        <w:tc>
          <w:tcPr>
            <w:tcW w:w="1571" w:type="dxa"/>
            <w:tcBorders>
              <w:top w:val="nil"/>
              <w:bottom w:val="nil"/>
            </w:tcBorders>
          </w:tcPr>
          <w:p w14:paraId="57170AC0">
            <w:pPr>
              <w:spacing w:after="0"/>
              <w:ind w:left="60" w:right="60"/>
              <w:jc w:val="right"/>
              <w:rPr>
                <w:rFonts w:ascii="Times New Roman" w:hAnsi="Times New Roman" w:eastAsia="Times New Roman" w:cs="Times New Roman"/>
                <w:lang w:eastAsia="en-US"/>
              </w:rPr>
            </w:pPr>
            <w:r>
              <w:rPr>
                <w:rFonts w:ascii="Times New Roman" w:hAnsi="Times New Roman" w:cs="Times New Roman"/>
              </w:rPr>
              <w:t>169</w:t>
            </w:r>
          </w:p>
        </w:tc>
        <w:tc>
          <w:tcPr>
            <w:tcW w:w="1323" w:type="dxa"/>
            <w:tcBorders>
              <w:top w:val="nil"/>
              <w:bottom w:val="nil"/>
            </w:tcBorders>
          </w:tcPr>
          <w:p w14:paraId="2A044D0E">
            <w:pPr>
              <w:spacing w:after="0"/>
              <w:ind w:left="60" w:right="60"/>
              <w:jc w:val="right"/>
              <w:rPr>
                <w:rFonts w:ascii="Times New Roman" w:hAnsi="Times New Roman" w:eastAsia="Times New Roman" w:cs="Times New Roman"/>
                <w:lang w:eastAsia="en-US"/>
              </w:rPr>
            </w:pPr>
            <w:r>
              <w:rPr>
                <w:rFonts w:ascii="Times New Roman" w:hAnsi="Times New Roman" w:cs="Times New Roman"/>
              </w:rPr>
              <w:t>36.4%</w:t>
            </w:r>
          </w:p>
        </w:tc>
      </w:tr>
      <w:tr w14:paraId="17AA06C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4256D0B4">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Ho Chi Minh City</w:t>
            </w:r>
          </w:p>
        </w:tc>
        <w:tc>
          <w:tcPr>
            <w:tcW w:w="1571" w:type="dxa"/>
            <w:tcBorders>
              <w:top w:val="nil"/>
              <w:bottom w:val="nil"/>
            </w:tcBorders>
          </w:tcPr>
          <w:p w14:paraId="17916A94">
            <w:pPr>
              <w:spacing w:after="0"/>
              <w:ind w:left="60" w:right="60"/>
              <w:jc w:val="right"/>
              <w:rPr>
                <w:rFonts w:ascii="Times New Roman" w:hAnsi="Times New Roman" w:eastAsia="Times New Roman" w:cs="Times New Roman"/>
                <w:lang w:eastAsia="en-US"/>
              </w:rPr>
            </w:pPr>
            <w:r>
              <w:rPr>
                <w:rFonts w:ascii="Times New Roman" w:hAnsi="Times New Roman" w:eastAsia="Times New Roman" w:cs="Times New Roman"/>
                <w:lang w:eastAsia="en-US"/>
              </w:rPr>
              <w:t>109</w:t>
            </w:r>
          </w:p>
        </w:tc>
        <w:tc>
          <w:tcPr>
            <w:tcW w:w="1323" w:type="dxa"/>
            <w:tcBorders>
              <w:top w:val="nil"/>
              <w:bottom w:val="nil"/>
            </w:tcBorders>
          </w:tcPr>
          <w:p w14:paraId="40B26A6F">
            <w:pPr>
              <w:spacing w:after="0"/>
              <w:ind w:left="60" w:right="60"/>
              <w:jc w:val="right"/>
              <w:rPr>
                <w:rFonts w:ascii="Times New Roman" w:hAnsi="Times New Roman" w:eastAsia="Times New Roman" w:cs="Times New Roman"/>
                <w:lang w:eastAsia="en-US"/>
              </w:rPr>
            </w:pPr>
            <w:r>
              <w:rPr>
                <w:rFonts w:ascii="Times New Roman" w:hAnsi="Times New Roman" w:cs="Times New Roman"/>
              </w:rPr>
              <w:t>23.5%</w:t>
            </w:r>
          </w:p>
        </w:tc>
      </w:tr>
      <w:tr w14:paraId="1BE0746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70D2F40E">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Tay Ninh</w:t>
            </w:r>
          </w:p>
        </w:tc>
        <w:tc>
          <w:tcPr>
            <w:tcW w:w="1571" w:type="dxa"/>
            <w:tcBorders>
              <w:top w:val="nil"/>
              <w:bottom w:val="nil"/>
            </w:tcBorders>
          </w:tcPr>
          <w:p w14:paraId="67E9AF46">
            <w:pPr>
              <w:spacing w:after="0"/>
              <w:ind w:left="60" w:right="60"/>
              <w:jc w:val="right"/>
              <w:rPr>
                <w:rFonts w:ascii="Times New Roman" w:hAnsi="Times New Roman" w:eastAsia="Times New Roman" w:cs="Times New Roman"/>
                <w:lang w:eastAsia="en-US"/>
              </w:rPr>
            </w:pPr>
            <w:r>
              <w:rPr>
                <w:rFonts w:ascii="Times New Roman" w:hAnsi="Times New Roman" w:cs="Times New Roman"/>
              </w:rPr>
              <w:t>114</w:t>
            </w:r>
          </w:p>
        </w:tc>
        <w:tc>
          <w:tcPr>
            <w:tcW w:w="1323" w:type="dxa"/>
            <w:tcBorders>
              <w:top w:val="nil"/>
              <w:bottom w:val="nil"/>
            </w:tcBorders>
          </w:tcPr>
          <w:p w14:paraId="0AF609BE">
            <w:pPr>
              <w:spacing w:after="0"/>
              <w:ind w:left="60" w:right="60"/>
              <w:jc w:val="right"/>
              <w:rPr>
                <w:rFonts w:ascii="Times New Roman" w:hAnsi="Times New Roman" w:eastAsia="Times New Roman" w:cs="Times New Roman"/>
                <w:lang w:eastAsia="en-US"/>
              </w:rPr>
            </w:pPr>
            <w:r>
              <w:rPr>
                <w:rFonts w:ascii="Times New Roman" w:hAnsi="Times New Roman" w:cs="Times New Roman"/>
              </w:rPr>
              <w:t>24.6%</w:t>
            </w:r>
          </w:p>
        </w:tc>
      </w:tr>
      <w:tr w14:paraId="22BC479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0CDF2822">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Dong Nai</w:t>
            </w:r>
          </w:p>
        </w:tc>
        <w:tc>
          <w:tcPr>
            <w:tcW w:w="1571" w:type="dxa"/>
            <w:tcBorders>
              <w:top w:val="nil"/>
              <w:bottom w:val="nil"/>
            </w:tcBorders>
          </w:tcPr>
          <w:p w14:paraId="68134C1C">
            <w:pPr>
              <w:spacing w:after="0"/>
              <w:ind w:left="60" w:right="60"/>
              <w:jc w:val="right"/>
              <w:rPr>
                <w:rFonts w:ascii="Times New Roman" w:hAnsi="Times New Roman" w:eastAsia="Times New Roman" w:cs="Times New Roman"/>
                <w:lang w:eastAsia="en-US"/>
              </w:rPr>
            </w:pPr>
            <w:r>
              <w:rPr>
                <w:rFonts w:ascii="Times New Roman" w:hAnsi="Times New Roman" w:eastAsia="Times New Roman" w:cs="Times New Roman"/>
                <w:lang w:eastAsia="en-US"/>
              </w:rPr>
              <w:t>72</w:t>
            </w:r>
          </w:p>
        </w:tc>
        <w:tc>
          <w:tcPr>
            <w:tcW w:w="1323" w:type="dxa"/>
            <w:tcBorders>
              <w:top w:val="nil"/>
              <w:bottom w:val="nil"/>
            </w:tcBorders>
          </w:tcPr>
          <w:p w14:paraId="475BAB02">
            <w:pPr>
              <w:spacing w:after="0"/>
              <w:ind w:left="60" w:right="60"/>
              <w:jc w:val="right"/>
              <w:rPr>
                <w:rFonts w:ascii="Times New Roman" w:hAnsi="Times New Roman" w:eastAsia="Times New Roman" w:cs="Times New Roman"/>
                <w:lang w:eastAsia="en-US"/>
              </w:rPr>
            </w:pPr>
            <w:r>
              <w:rPr>
                <w:rFonts w:ascii="Times New Roman" w:hAnsi="Times New Roman" w:cs="Times New Roman"/>
              </w:rPr>
              <w:t>15.5%</w:t>
            </w:r>
          </w:p>
        </w:tc>
      </w:tr>
      <w:tr w14:paraId="019D281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2C1339DB">
            <w:pPr>
              <w:spacing w:after="0"/>
              <w:jc w:val="both"/>
              <w:rPr>
                <w:rFonts w:ascii="Times New Roman" w:hAnsi="Times New Roman" w:eastAsia="Times New Roman" w:cs="Times New Roman"/>
                <w:lang w:eastAsia="en-US"/>
              </w:rPr>
            </w:pPr>
            <w:r>
              <w:rPr>
                <w:rFonts w:ascii="Times New Roman" w:hAnsi="Times New Roman" w:eastAsia="Times New Roman" w:cs="Times New Roman"/>
                <w:lang w:eastAsia="en-US"/>
              </w:rPr>
              <w:t>Language used in family</w:t>
            </w:r>
          </w:p>
        </w:tc>
        <w:tc>
          <w:tcPr>
            <w:tcW w:w="1571" w:type="dxa"/>
            <w:tcBorders>
              <w:top w:val="nil"/>
              <w:bottom w:val="nil"/>
            </w:tcBorders>
            <w:vAlign w:val="center"/>
          </w:tcPr>
          <w:p w14:paraId="789F63C4">
            <w:pPr>
              <w:spacing w:after="0"/>
              <w:jc w:val="center"/>
              <w:rPr>
                <w:rFonts w:ascii="Times New Roman" w:hAnsi="Times New Roman" w:eastAsia="Times New Roman" w:cs="Times New Roman"/>
                <w:lang w:eastAsia="en-US"/>
              </w:rPr>
            </w:pPr>
            <w:r>
              <w:rPr>
                <w:rFonts w:ascii="Times New Roman" w:hAnsi="Times New Roman" w:eastAsia="Times New Roman" w:cs="Times New Roman"/>
                <w:lang w:eastAsia="en-US"/>
              </w:rPr>
              <w:t> </w:t>
            </w:r>
          </w:p>
        </w:tc>
        <w:tc>
          <w:tcPr>
            <w:tcW w:w="1323" w:type="dxa"/>
            <w:tcBorders>
              <w:top w:val="nil"/>
              <w:bottom w:val="nil"/>
            </w:tcBorders>
            <w:vAlign w:val="center"/>
          </w:tcPr>
          <w:p w14:paraId="15C354E9">
            <w:pPr>
              <w:spacing w:after="0"/>
              <w:jc w:val="center"/>
              <w:rPr>
                <w:rFonts w:ascii="Times New Roman" w:hAnsi="Times New Roman" w:eastAsia="Times New Roman" w:cs="Times New Roman"/>
                <w:lang w:eastAsia="en-US"/>
              </w:rPr>
            </w:pPr>
            <w:r>
              <w:rPr>
                <w:rFonts w:ascii="Times New Roman" w:hAnsi="Times New Roman" w:eastAsia="Times New Roman" w:cs="Times New Roman"/>
                <w:lang w:eastAsia="en-US"/>
              </w:rPr>
              <w:t> </w:t>
            </w:r>
          </w:p>
        </w:tc>
      </w:tr>
      <w:tr w14:paraId="79B3FEA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0518C697">
            <w:pPr>
              <w:spacing w:after="0"/>
              <w:ind w:firstLine="440" w:firstLineChars="200"/>
              <w:rPr>
                <w:rFonts w:ascii="Times New Roman" w:hAnsi="Times New Roman" w:eastAsia="Times New Roman" w:cs="Times New Roman"/>
                <w:lang w:eastAsia="en-US"/>
              </w:rPr>
            </w:pPr>
            <w:r>
              <w:rPr>
                <w:rFonts w:ascii="Times New Roman" w:hAnsi="Times New Roman" w:cs="Times New Roman"/>
              </w:rPr>
              <w:t>Cham language only</w:t>
            </w:r>
          </w:p>
        </w:tc>
        <w:tc>
          <w:tcPr>
            <w:tcW w:w="1571" w:type="dxa"/>
            <w:tcBorders>
              <w:top w:val="nil"/>
              <w:bottom w:val="nil"/>
            </w:tcBorders>
          </w:tcPr>
          <w:p w14:paraId="22875178">
            <w:pPr>
              <w:spacing w:after="0"/>
              <w:ind w:left="60" w:right="60"/>
              <w:jc w:val="right"/>
              <w:rPr>
                <w:rFonts w:ascii="Times New Roman" w:hAnsi="Times New Roman" w:eastAsia="Times New Roman" w:cs="Times New Roman"/>
                <w:lang w:eastAsia="en-US"/>
              </w:rPr>
            </w:pPr>
            <w:r>
              <w:rPr>
                <w:rFonts w:ascii="Times New Roman" w:hAnsi="Times New Roman" w:cs="Times New Roman"/>
              </w:rPr>
              <w:t>192</w:t>
            </w:r>
          </w:p>
        </w:tc>
        <w:tc>
          <w:tcPr>
            <w:tcW w:w="1323" w:type="dxa"/>
            <w:tcBorders>
              <w:top w:val="nil"/>
              <w:bottom w:val="nil"/>
            </w:tcBorders>
          </w:tcPr>
          <w:p w14:paraId="3C4D39ED">
            <w:pPr>
              <w:spacing w:after="0"/>
              <w:ind w:left="60" w:right="60"/>
              <w:jc w:val="right"/>
              <w:rPr>
                <w:rFonts w:ascii="Times New Roman" w:hAnsi="Times New Roman" w:eastAsia="Times New Roman" w:cs="Times New Roman"/>
                <w:lang w:eastAsia="en-US"/>
              </w:rPr>
            </w:pPr>
            <w:r>
              <w:rPr>
                <w:rFonts w:ascii="Times New Roman" w:hAnsi="Times New Roman" w:cs="Times New Roman"/>
              </w:rPr>
              <w:t>41.4%</w:t>
            </w:r>
          </w:p>
        </w:tc>
      </w:tr>
      <w:tr w14:paraId="6335BF3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093DC5E2">
            <w:pPr>
              <w:spacing w:after="0"/>
              <w:ind w:firstLine="440" w:firstLineChars="200"/>
              <w:rPr>
                <w:rFonts w:ascii="Times New Roman" w:hAnsi="Times New Roman" w:eastAsia="Times New Roman" w:cs="Times New Roman"/>
                <w:lang w:eastAsia="en-US"/>
              </w:rPr>
            </w:pPr>
            <w:r>
              <w:rPr>
                <w:rFonts w:ascii="Times New Roman" w:hAnsi="Times New Roman" w:cs="Times New Roman"/>
              </w:rPr>
              <w:t>Mainly Cham language</w:t>
            </w:r>
          </w:p>
        </w:tc>
        <w:tc>
          <w:tcPr>
            <w:tcW w:w="1571" w:type="dxa"/>
            <w:tcBorders>
              <w:top w:val="nil"/>
              <w:bottom w:val="nil"/>
            </w:tcBorders>
          </w:tcPr>
          <w:p w14:paraId="21DD27F9">
            <w:pPr>
              <w:spacing w:after="0"/>
              <w:ind w:left="60" w:right="60"/>
              <w:jc w:val="right"/>
              <w:rPr>
                <w:rFonts w:ascii="Times New Roman" w:hAnsi="Times New Roman" w:eastAsia="Times New Roman" w:cs="Times New Roman"/>
                <w:lang w:eastAsia="en-US"/>
              </w:rPr>
            </w:pPr>
            <w:r>
              <w:rPr>
                <w:rFonts w:ascii="Times New Roman" w:hAnsi="Times New Roman" w:eastAsia="Times New Roman" w:cs="Times New Roman"/>
                <w:lang w:eastAsia="en-US"/>
              </w:rPr>
              <w:t>205</w:t>
            </w:r>
          </w:p>
        </w:tc>
        <w:tc>
          <w:tcPr>
            <w:tcW w:w="1323" w:type="dxa"/>
            <w:tcBorders>
              <w:top w:val="nil"/>
              <w:bottom w:val="nil"/>
            </w:tcBorders>
          </w:tcPr>
          <w:p w14:paraId="3C535020">
            <w:pPr>
              <w:spacing w:after="0"/>
              <w:ind w:left="60" w:right="60"/>
              <w:jc w:val="right"/>
              <w:rPr>
                <w:rFonts w:ascii="Times New Roman" w:hAnsi="Times New Roman" w:eastAsia="Times New Roman" w:cs="Times New Roman"/>
                <w:lang w:eastAsia="en-US"/>
              </w:rPr>
            </w:pPr>
            <w:r>
              <w:rPr>
                <w:rFonts w:ascii="Times New Roman" w:hAnsi="Times New Roman" w:cs="Times New Roman"/>
              </w:rPr>
              <w:t>42.2%</w:t>
            </w:r>
          </w:p>
        </w:tc>
      </w:tr>
      <w:tr w14:paraId="2B3DB3D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1FF51718">
            <w:pPr>
              <w:spacing w:after="0"/>
              <w:ind w:firstLine="440" w:firstLineChars="200"/>
              <w:rPr>
                <w:rFonts w:ascii="Times New Roman" w:hAnsi="Times New Roman" w:eastAsia="Times New Roman" w:cs="Times New Roman"/>
                <w:lang w:eastAsia="en-US"/>
              </w:rPr>
            </w:pPr>
            <w:r>
              <w:rPr>
                <w:rFonts w:ascii="Times New Roman" w:hAnsi="Times New Roman" w:cs="Times New Roman"/>
              </w:rPr>
              <w:t>Both Cham and Vietnamese language</w:t>
            </w:r>
          </w:p>
        </w:tc>
        <w:tc>
          <w:tcPr>
            <w:tcW w:w="1571" w:type="dxa"/>
            <w:tcBorders>
              <w:top w:val="nil"/>
              <w:bottom w:val="nil"/>
            </w:tcBorders>
          </w:tcPr>
          <w:p w14:paraId="1883A819">
            <w:pPr>
              <w:spacing w:after="0"/>
              <w:ind w:left="60" w:right="60"/>
              <w:jc w:val="right"/>
              <w:rPr>
                <w:rFonts w:ascii="Times New Roman" w:hAnsi="Times New Roman" w:eastAsia="Times New Roman" w:cs="Times New Roman"/>
                <w:lang w:eastAsia="en-US"/>
              </w:rPr>
            </w:pPr>
            <w:r>
              <w:rPr>
                <w:rFonts w:ascii="Times New Roman" w:hAnsi="Times New Roman" w:eastAsia="Times New Roman" w:cs="Times New Roman"/>
                <w:lang w:eastAsia="en-US"/>
              </w:rPr>
              <w:t>49</w:t>
            </w:r>
          </w:p>
        </w:tc>
        <w:tc>
          <w:tcPr>
            <w:tcW w:w="1323" w:type="dxa"/>
            <w:tcBorders>
              <w:top w:val="nil"/>
              <w:bottom w:val="nil"/>
            </w:tcBorders>
          </w:tcPr>
          <w:p w14:paraId="0DD4794A">
            <w:pPr>
              <w:spacing w:after="0"/>
              <w:ind w:left="60" w:right="60"/>
              <w:jc w:val="right"/>
              <w:rPr>
                <w:rFonts w:ascii="Times New Roman" w:hAnsi="Times New Roman" w:eastAsia="Times New Roman" w:cs="Times New Roman"/>
                <w:lang w:eastAsia="en-US"/>
              </w:rPr>
            </w:pPr>
            <w:r>
              <w:rPr>
                <w:rFonts w:ascii="Times New Roman" w:hAnsi="Times New Roman" w:cs="Times New Roman"/>
              </w:rPr>
              <w:t>10.6%</w:t>
            </w:r>
          </w:p>
        </w:tc>
      </w:tr>
      <w:tr w14:paraId="027CDDD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4417" w:type="dxa"/>
            <w:tcBorders>
              <w:top w:val="nil"/>
              <w:bottom w:val="nil"/>
            </w:tcBorders>
            <w:vAlign w:val="center"/>
          </w:tcPr>
          <w:p w14:paraId="79285202">
            <w:pPr>
              <w:spacing w:after="0"/>
              <w:ind w:firstLine="440" w:firstLineChars="200"/>
              <w:rPr>
                <w:rFonts w:ascii="Times New Roman" w:hAnsi="Times New Roman" w:eastAsia="Times New Roman" w:cs="Times New Roman"/>
                <w:lang w:eastAsia="en-US"/>
              </w:rPr>
            </w:pPr>
            <w:r>
              <w:rPr>
                <w:rFonts w:ascii="Times New Roman" w:hAnsi="Times New Roman" w:eastAsia="Times New Roman" w:cs="Times New Roman"/>
                <w:lang w:eastAsia="en-US"/>
              </w:rPr>
              <w:t>Mainly Vietnamese language</w:t>
            </w:r>
          </w:p>
        </w:tc>
        <w:tc>
          <w:tcPr>
            <w:tcW w:w="1571" w:type="dxa"/>
            <w:tcBorders>
              <w:top w:val="nil"/>
              <w:bottom w:val="nil"/>
            </w:tcBorders>
          </w:tcPr>
          <w:p w14:paraId="1ADF04F3">
            <w:pPr>
              <w:spacing w:after="0"/>
              <w:ind w:left="60" w:right="60"/>
              <w:jc w:val="right"/>
              <w:rPr>
                <w:rFonts w:ascii="Times New Roman" w:hAnsi="Times New Roman" w:eastAsia="Times New Roman" w:cs="Times New Roman"/>
                <w:lang w:eastAsia="en-US"/>
              </w:rPr>
            </w:pPr>
            <w:r>
              <w:rPr>
                <w:rFonts w:ascii="Times New Roman" w:hAnsi="Times New Roman" w:eastAsia="Times New Roman" w:cs="Times New Roman"/>
                <w:lang w:eastAsia="en-US"/>
              </w:rPr>
              <w:t>18</w:t>
            </w:r>
          </w:p>
        </w:tc>
        <w:tc>
          <w:tcPr>
            <w:tcW w:w="1323" w:type="dxa"/>
            <w:tcBorders>
              <w:top w:val="nil"/>
              <w:bottom w:val="nil"/>
            </w:tcBorders>
          </w:tcPr>
          <w:p w14:paraId="78CD993E">
            <w:pPr>
              <w:spacing w:after="0"/>
              <w:ind w:left="60" w:right="60"/>
              <w:jc w:val="right"/>
              <w:rPr>
                <w:rFonts w:ascii="Times New Roman" w:hAnsi="Times New Roman" w:eastAsia="Times New Roman" w:cs="Times New Roman"/>
                <w:lang w:eastAsia="en-US"/>
              </w:rPr>
            </w:pPr>
            <w:r>
              <w:rPr>
                <w:rFonts w:ascii="Times New Roman" w:hAnsi="Times New Roman" w:cs="Times New Roman"/>
              </w:rPr>
              <w:t>3.9%</w:t>
            </w:r>
          </w:p>
        </w:tc>
      </w:tr>
    </w:tbl>
    <w:p w14:paraId="0B57D7A1">
      <w:pPr>
        <w:pStyle w:val="18"/>
        <w:spacing w:before="0" w:beforeAutospacing="0" w:after="0" w:afterAutospacing="0" w:line="276" w:lineRule="auto"/>
        <w:jc w:val="center"/>
        <w:rPr>
          <w:color w:val="000000" w:themeColor="text1"/>
          <w:sz w:val="22"/>
          <w:szCs w:val="22"/>
          <w:lang w:val="da-DK"/>
          <w14:textFill>
            <w14:solidFill>
              <w14:schemeClr w14:val="tx1"/>
            </w14:solidFill>
          </w14:textFill>
        </w:rPr>
      </w:pPr>
    </w:p>
    <w:p w14:paraId="43F7F064">
      <w:pPr>
        <w:pStyle w:val="5"/>
        <w:spacing w:beforeAutospacing="0" w:afterAutospacing="0"/>
        <w:jc w:val="both"/>
        <w:rPr>
          <w:rFonts w:hint="default" w:ascii="Times New Roman" w:hAnsi="Times New Roman"/>
          <w:b w:val="0"/>
          <w:bCs w:val="0"/>
          <w:color w:val="000000" w:themeColor="text1"/>
          <w:lang w:val="da-DK"/>
          <w14:textFill>
            <w14:solidFill>
              <w14:schemeClr w14:val="tx1"/>
            </w14:solidFill>
          </w14:textFill>
        </w:rPr>
      </w:pPr>
      <w:r>
        <w:rPr>
          <w:rFonts w:hint="default" w:ascii="Times New Roman" w:hAnsi="Times New Roman"/>
          <w:color w:val="000000" w:themeColor="text1"/>
          <w:lang w:val="da-DK"/>
          <w14:textFill>
            <w14:solidFill>
              <w14:schemeClr w14:val="tx1"/>
            </w14:solidFill>
          </w14:textFill>
        </w:rPr>
        <w:t>4.2. Scale reliability asessment</w:t>
      </w:r>
      <w:r>
        <w:rPr>
          <w:rFonts w:hint="default" w:ascii="Times New Roman" w:hAnsi="Times New Roman"/>
          <w:b w:val="0"/>
          <w:bCs w:val="0"/>
          <w:color w:val="000000" w:themeColor="text1"/>
          <w:lang w:val="da-DK"/>
          <w14:textFill>
            <w14:solidFill>
              <w14:schemeClr w14:val="tx1"/>
            </w14:solidFill>
          </w14:textFill>
        </w:rPr>
        <w:t xml:space="preserve"> </w:t>
      </w:r>
    </w:p>
    <w:p w14:paraId="19CDFFF1">
      <w:pPr>
        <w:pStyle w:val="18"/>
        <w:spacing w:before="0" w:beforeAutospacing="0" w:after="0" w:afterAutospacing="0" w:line="276" w:lineRule="auto"/>
        <w:ind w:firstLine="709"/>
        <w:jc w:val="both"/>
        <w:rPr>
          <w:rFonts w:eastAsia="sans-serif"/>
        </w:rPr>
      </w:pPr>
      <w:r>
        <w:rPr>
          <w:rFonts w:eastAsia="sans-serif"/>
        </w:rPr>
        <w:t xml:space="preserve">The reliability of the seven measurement scales was assessed using Cronbach's Alpha, with a required </w:t>
      </w:r>
      <w:r>
        <w:rPr>
          <w:rFonts w:eastAsia="SimSun"/>
        </w:rPr>
        <w:t>threshold</w:t>
      </w:r>
      <w:r>
        <w:rPr>
          <w:rFonts w:eastAsia="sans-serif"/>
        </w:rPr>
        <w:t xml:space="preserve"> of </w:t>
      </w:r>
      <w:r>
        <w:t>≥ 0.7</w:t>
      </w:r>
      <w:r>
        <w:rPr>
          <w:rFonts w:eastAsia="sans-serif"/>
        </w:rPr>
        <w:t xml:space="preserve">0 (Hair et al., 1998). A secondary check of corrected item-total correlations (CITC) was also performed, with all items required to be </w:t>
      </w:r>
      <w:r>
        <w:t>≥ 0.3</w:t>
      </w:r>
      <w:r>
        <w:rPr>
          <w:rFonts w:eastAsia="sans-serif"/>
        </w:rPr>
        <w:t>0.</w:t>
      </w:r>
    </w:p>
    <w:p w14:paraId="0EE08005">
      <w:pPr>
        <w:pStyle w:val="18"/>
        <w:spacing w:before="0" w:beforeAutospacing="0" w:after="0" w:afterAutospacing="0" w:line="276" w:lineRule="auto"/>
        <w:ind w:firstLine="709"/>
        <w:jc w:val="both"/>
        <w:rPr>
          <w:rFonts w:eastAsia="sans-serif"/>
        </w:rPr>
      </w:pPr>
      <w:r>
        <w:rPr>
          <w:rFonts w:eastAsia="sans-serif"/>
        </w:rPr>
        <w:t xml:space="preserve">All </w:t>
      </w:r>
      <w:r>
        <w:rPr>
          <w:rFonts w:eastAsia="SimSun"/>
        </w:rPr>
        <w:t>items</w:t>
      </w:r>
      <w:r>
        <w:rPr>
          <w:rFonts w:eastAsia="sans-serif"/>
        </w:rPr>
        <w:t xml:space="preserve"> successfully surpassed this CITC threshold. No items were deleted, as the analysis indicated that removing any item would not substantively improve its scale's overall Alpha coefficient.</w:t>
      </w:r>
    </w:p>
    <w:p w14:paraId="559BED86">
      <w:pPr>
        <w:pStyle w:val="18"/>
        <w:spacing w:before="0" w:beforeAutospacing="0" w:after="0" w:afterAutospacing="0" w:line="276" w:lineRule="auto"/>
        <w:ind w:firstLine="709"/>
        <w:jc w:val="both"/>
        <w:rPr>
          <w:rFonts w:eastAsia="sans-serif"/>
        </w:rPr>
      </w:pPr>
      <w:r>
        <w:rPr>
          <w:rFonts w:eastAsia="sans-serif"/>
        </w:rPr>
        <w:t xml:space="preserve">As </w:t>
      </w:r>
      <w:r>
        <w:rPr>
          <w:rFonts w:eastAsia="SimSun"/>
        </w:rPr>
        <w:t>summarized</w:t>
      </w:r>
      <w:r>
        <w:rPr>
          <w:rFonts w:eastAsia="sans-serif"/>
        </w:rPr>
        <w:t xml:space="preserve"> in Table 2, the final Alpha coefficients for all seven constructs ranged from 0.805 (Language choice) to 0.914 (Economic pressure). This indicates that all scales possess a high degree of internal consistency, validating their use for the forthcoming exploratory factor analysis (EFA) and hypothesis testing.</w:t>
      </w:r>
    </w:p>
    <w:p w14:paraId="59F3FFE0">
      <w:pPr>
        <w:pStyle w:val="18"/>
        <w:spacing w:before="0" w:beforeAutospacing="0" w:after="0" w:afterAutospacing="0" w:line="276" w:lineRule="auto"/>
        <w:jc w:val="center"/>
        <w:rPr>
          <w:color w:val="000000" w:themeColor="text1"/>
          <w:lang w:val="da-DK"/>
          <w14:textFill>
            <w14:solidFill>
              <w14:schemeClr w14:val="tx1"/>
            </w14:solidFill>
          </w14:textFill>
        </w:rPr>
      </w:pPr>
      <w:r>
        <w:rPr>
          <w:b/>
          <w:bCs/>
          <w:color w:val="000000" w:themeColor="text1"/>
          <w:lang w:val="da-DK"/>
          <w14:textFill>
            <w14:solidFill>
              <w14:schemeClr w14:val="tx1"/>
            </w14:solidFill>
          </w14:textFill>
        </w:rPr>
        <w:t xml:space="preserve">Table 2. </w:t>
      </w:r>
      <w:r>
        <w:rPr>
          <w:color w:val="000000" w:themeColor="text1"/>
          <w:lang w:val="da-DK"/>
          <w14:textFill>
            <w14:solidFill>
              <w14:schemeClr w14:val="tx1"/>
            </w14:solidFill>
          </w14:textFill>
        </w:rPr>
        <w:t xml:space="preserve">The results of </w:t>
      </w:r>
      <w:r>
        <w:rPr>
          <w:rFonts w:eastAsia="SimSun"/>
          <w:color w:val="000000" w:themeColor="text1"/>
          <w:lang w:val="da-DK"/>
          <w14:textFill>
            <w14:solidFill>
              <w14:schemeClr w14:val="tx1"/>
            </w14:solidFill>
          </w14:textFill>
        </w:rPr>
        <w:t>scale</w:t>
      </w:r>
      <w:r>
        <w:rPr>
          <w:color w:val="000000" w:themeColor="text1"/>
          <w:lang w:val="da-DK"/>
          <w14:textFill>
            <w14:solidFill>
              <w14:schemeClr w14:val="tx1"/>
            </w14:solidFill>
          </w14:textFill>
        </w:rPr>
        <w:t xml:space="preserve"> reliability asessment</w:t>
      </w:r>
    </w:p>
    <w:tbl>
      <w:tblPr>
        <w:tblStyle w:val="7"/>
        <w:tblW w:w="7266"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568"/>
        <w:gridCol w:w="1040"/>
        <w:gridCol w:w="1542"/>
        <w:gridCol w:w="2116"/>
      </w:tblGrid>
      <w:tr w14:paraId="642BBAE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2568" w:type="dxa"/>
            <w:tcBorders>
              <w:bottom w:val="single" w:color="auto" w:sz="4" w:space="0"/>
            </w:tcBorders>
            <w:vAlign w:val="center"/>
          </w:tcPr>
          <w:p w14:paraId="00AC182F">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Variables</w:t>
            </w:r>
          </w:p>
        </w:tc>
        <w:tc>
          <w:tcPr>
            <w:tcW w:w="1040" w:type="dxa"/>
            <w:tcBorders>
              <w:bottom w:val="single" w:color="auto" w:sz="4" w:space="0"/>
            </w:tcBorders>
            <w:vAlign w:val="center"/>
          </w:tcPr>
          <w:p w14:paraId="65287473">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Coding</w:t>
            </w:r>
          </w:p>
        </w:tc>
        <w:tc>
          <w:tcPr>
            <w:tcW w:w="1542" w:type="dxa"/>
            <w:tcBorders>
              <w:bottom w:val="single" w:color="auto" w:sz="4" w:space="0"/>
            </w:tcBorders>
            <w:vAlign w:val="center"/>
          </w:tcPr>
          <w:p w14:paraId="5C085484">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No. of items</w:t>
            </w:r>
          </w:p>
        </w:tc>
        <w:tc>
          <w:tcPr>
            <w:tcW w:w="2116" w:type="dxa"/>
            <w:tcBorders>
              <w:bottom w:val="single" w:color="auto" w:sz="4" w:space="0"/>
            </w:tcBorders>
            <w:vAlign w:val="center"/>
          </w:tcPr>
          <w:p w14:paraId="469F311B">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Cronbach’s Alpha</w:t>
            </w:r>
          </w:p>
        </w:tc>
      </w:tr>
      <w:tr w14:paraId="4E0D6A4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2568" w:type="dxa"/>
            <w:tcBorders>
              <w:bottom w:val="nil"/>
            </w:tcBorders>
            <w:vAlign w:val="center"/>
          </w:tcPr>
          <w:p w14:paraId="7CAD8DBF">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Cultural identity</w:t>
            </w:r>
          </w:p>
        </w:tc>
        <w:tc>
          <w:tcPr>
            <w:tcW w:w="1040" w:type="dxa"/>
            <w:tcBorders>
              <w:bottom w:val="nil"/>
            </w:tcBorders>
            <w:vAlign w:val="center"/>
          </w:tcPr>
          <w:p w14:paraId="2923DF2F">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CI</w:t>
            </w:r>
          </w:p>
        </w:tc>
        <w:tc>
          <w:tcPr>
            <w:tcW w:w="1542" w:type="dxa"/>
            <w:tcBorders>
              <w:bottom w:val="nil"/>
            </w:tcBorders>
            <w:vAlign w:val="center"/>
          </w:tcPr>
          <w:p w14:paraId="6035DF38">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4</w:t>
            </w:r>
          </w:p>
        </w:tc>
        <w:tc>
          <w:tcPr>
            <w:tcW w:w="2116" w:type="dxa"/>
            <w:tcBorders>
              <w:bottom w:val="nil"/>
            </w:tcBorders>
            <w:vAlign w:val="center"/>
          </w:tcPr>
          <w:p w14:paraId="0DC15CAF">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0.870</w:t>
            </w:r>
          </w:p>
        </w:tc>
      </w:tr>
      <w:tr w14:paraId="3B19786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2568" w:type="dxa"/>
            <w:tcBorders>
              <w:top w:val="nil"/>
              <w:bottom w:val="nil"/>
            </w:tcBorders>
            <w:vAlign w:val="center"/>
          </w:tcPr>
          <w:p w14:paraId="73B33BA6">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SimSun" w:cs="Times New Roman"/>
                <w:color w:val="000000" w:themeColor="text1"/>
                <w14:textFill>
                  <w14:solidFill>
                    <w14:schemeClr w14:val="tx1"/>
                  </w14:solidFill>
                </w14:textFill>
              </w:rPr>
              <w:t>Family &amp; Community Environment</w:t>
            </w:r>
          </w:p>
        </w:tc>
        <w:tc>
          <w:tcPr>
            <w:tcW w:w="1040" w:type="dxa"/>
            <w:tcBorders>
              <w:top w:val="nil"/>
              <w:bottom w:val="nil"/>
            </w:tcBorders>
            <w:vAlign w:val="center"/>
          </w:tcPr>
          <w:p w14:paraId="3E0433EF">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FCE</w:t>
            </w:r>
          </w:p>
        </w:tc>
        <w:tc>
          <w:tcPr>
            <w:tcW w:w="1542" w:type="dxa"/>
            <w:tcBorders>
              <w:top w:val="nil"/>
              <w:bottom w:val="nil"/>
            </w:tcBorders>
            <w:vAlign w:val="center"/>
          </w:tcPr>
          <w:p w14:paraId="42492F91">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4</w:t>
            </w:r>
          </w:p>
        </w:tc>
        <w:tc>
          <w:tcPr>
            <w:tcW w:w="2116" w:type="dxa"/>
            <w:tcBorders>
              <w:top w:val="nil"/>
              <w:bottom w:val="nil"/>
            </w:tcBorders>
            <w:vAlign w:val="center"/>
          </w:tcPr>
          <w:p w14:paraId="0CB29C0E">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0.824</w:t>
            </w:r>
          </w:p>
        </w:tc>
      </w:tr>
      <w:tr w14:paraId="39938C5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2568" w:type="dxa"/>
            <w:tcBorders>
              <w:top w:val="nil"/>
              <w:bottom w:val="nil"/>
            </w:tcBorders>
            <w:vAlign w:val="center"/>
          </w:tcPr>
          <w:p w14:paraId="5B2D3E3E">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Language proficiency</w:t>
            </w:r>
          </w:p>
        </w:tc>
        <w:tc>
          <w:tcPr>
            <w:tcW w:w="1040" w:type="dxa"/>
            <w:tcBorders>
              <w:top w:val="nil"/>
              <w:bottom w:val="nil"/>
            </w:tcBorders>
            <w:vAlign w:val="center"/>
          </w:tcPr>
          <w:p w14:paraId="71B9B227">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LP</w:t>
            </w:r>
          </w:p>
        </w:tc>
        <w:tc>
          <w:tcPr>
            <w:tcW w:w="1542" w:type="dxa"/>
            <w:tcBorders>
              <w:top w:val="nil"/>
              <w:bottom w:val="nil"/>
            </w:tcBorders>
            <w:vAlign w:val="center"/>
          </w:tcPr>
          <w:p w14:paraId="7BF47601">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4</w:t>
            </w:r>
          </w:p>
        </w:tc>
        <w:tc>
          <w:tcPr>
            <w:tcW w:w="2116" w:type="dxa"/>
            <w:tcBorders>
              <w:top w:val="nil"/>
              <w:bottom w:val="nil"/>
            </w:tcBorders>
            <w:vAlign w:val="center"/>
          </w:tcPr>
          <w:p w14:paraId="6C5FFDAB">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0.867</w:t>
            </w:r>
          </w:p>
        </w:tc>
      </w:tr>
      <w:tr w14:paraId="205D2A4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2568" w:type="dxa"/>
            <w:tcBorders>
              <w:top w:val="nil"/>
              <w:bottom w:val="nil"/>
            </w:tcBorders>
            <w:vAlign w:val="center"/>
          </w:tcPr>
          <w:p w14:paraId="6C7B01B9">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SimSun" w:cs="Times New Roman"/>
                <w:color w:val="000000" w:themeColor="text1"/>
                <w14:textFill>
                  <w14:solidFill>
                    <w14:schemeClr w14:val="tx1"/>
                  </w14:solidFill>
                </w14:textFill>
              </w:rPr>
              <w:t>Economic pressure</w:t>
            </w:r>
          </w:p>
        </w:tc>
        <w:tc>
          <w:tcPr>
            <w:tcW w:w="1040" w:type="dxa"/>
            <w:tcBorders>
              <w:top w:val="nil"/>
              <w:bottom w:val="nil"/>
            </w:tcBorders>
            <w:vAlign w:val="center"/>
          </w:tcPr>
          <w:p w14:paraId="45FE118A">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EP</w:t>
            </w:r>
          </w:p>
        </w:tc>
        <w:tc>
          <w:tcPr>
            <w:tcW w:w="1542" w:type="dxa"/>
            <w:tcBorders>
              <w:top w:val="nil"/>
              <w:bottom w:val="nil"/>
            </w:tcBorders>
            <w:vAlign w:val="center"/>
          </w:tcPr>
          <w:p w14:paraId="3EF3B45F">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4</w:t>
            </w:r>
          </w:p>
        </w:tc>
        <w:tc>
          <w:tcPr>
            <w:tcW w:w="2116" w:type="dxa"/>
            <w:tcBorders>
              <w:top w:val="nil"/>
              <w:bottom w:val="nil"/>
            </w:tcBorders>
            <w:vAlign w:val="center"/>
          </w:tcPr>
          <w:p w14:paraId="265B872A">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0.914</w:t>
            </w:r>
          </w:p>
        </w:tc>
      </w:tr>
      <w:tr w14:paraId="3DC9757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2568" w:type="dxa"/>
            <w:tcBorders>
              <w:top w:val="nil"/>
              <w:bottom w:val="nil"/>
            </w:tcBorders>
            <w:vAlign w:val="center"/>
          </w:tcPr>
          <w:p w14:paraId="312ACAD8">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Language attitudes</w:t>
            </w:r>
          </w:p>
        </w:tc>
        <w:tc>
          <w:tcPr>
            <w:tcW w:w="1040" w:type="dxa"/>
            <w:tcBorders>
              <w:top w:val="nil"/>
              <w:bottom w:val="nil"/>
            </w:tcBorders>
            <w:vAlign w:val="center"/>
          </w:tcPr>
          <w:p w14:paraId="51B48208">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LA</w:t>
            </w:r>
          </w:p>
        </w:tc>
        <w:tc>
          <w:tcPr>
            <w:tcW w:w="1542" w:type="dxa"/>
            <w:tcBorders>
              <w:top w:val="nil"/>
              <w:bottom w:val="nil"/>
            </w:tcBorders>
            <w:vAlign w:val="center"/>
          </w:tcPr>
          <w:p w14:paraId="14ED4447">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4</w:t>
            </w:r>
          </w:p>
        </w:tc>
        <w:tc>
          <w:tcPr>
            <w:tcW w:w="2116" w:type="dxa"/>
            <w:tcBorders>
              <w:top w:val="nil"/>
              <w:bottom w:val="nil"/>
            </w:tcBorders>
            <w:vAlign w:val="center"/>
          </w:tcPr>
          <w:p w14:paraId="6D610353">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0.</w:t>
            </w:r>
            <w:r>
              <w:rPr>
                <w:rFonts w:ascii="Times New Roman" w:hAnsi="Times New Roman" w:cs="Times New Roman"/>
                <w:color w:val="000000" w:themeColor="text1"/>
                <w14:textFill>
                  <w14:solidFill>
                    <w14:schemeClr w14:val="tx1"/>
                  </w14:solidFill>
                </w14:textFill>
              </w:rPr>
              <w:t>852</w:t>
            </w:r>
          </w:p>
        </w:tc>
      </w:tr>
      <w:tr w14:paraId="7046554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2568" w:type="dxa"/>
            <w:tcBorders>
              <w:top w:val="nil"/>
              <w:bottom w:val="nil"/>
            </w:tcBorders>
            <w:vAlign w:val="center"/>
          </w:tcPr>
          <w:p w14:paraId="74AB7EA3">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SimSun" w:cs="Times New Roman"/>
                <w:color w:val="000000" w:themeColor="text1"/>
                <w14:textFill>
                  <w14:solidFill>
                    <w14:schemeClr w14:val="tx1"/>
                  </w14:solidFill>
                </w14:textFill>
              </w:rPr>
              <w:t>Education &amp; Media</w:t>
            </w:r>
          </w:p>
        </w:tc>
        <w:tc>
          <w:tcPr>
            <w:tcW w:w="1040" w:type="dxa"/>
            <w:tcBorders>
              <w:top w:val="nil"/>
              <w:bottom w:val="nil"/>
            </w:tcBorders>
            <w:vAlign w:val="center"/>
          </w:tcPr>
          <w:p w14:paraId="72262674">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EM</w:t>
            </w:r>
          </w:p>
        </w:tc>
        <w:tc>
          <w:tcPr>
            <w:tcW w:w="1542" w:type="dxa"/>
            <w:tcBorders>
              <w:top w:val="nil"/>
              <w:bottom w:val="nil"/>
            </w:tcBorders>
            <w:vAlign w:val="center"/>
          </w:tcPr>
          <w:p w14:paraId="3C9E1811">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4</w:t>
            </w:r>
          </w:p>
        </w:tc>
        <w:tc>
          <w:tcPr>
            <w:tcW w:w="2116" w:type="dxa"/>
            <w:tcBorders>
              <w:top w:val="nil"/>
              <w:bottom w:val="nil"/>
            </w:tcBorders>
            <w:vAlign w:val="center"/>
          </w:tcPr>
          <w:p w14:paraId="180E1B9F">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0.</w:t>
            </w:r>
            <w:r>
              <w:rPr>
                <w:rFonts w:ascii="Times New Roman" w:hAnsi="Times New Roman" w:cs="Times New Roman"/>
                <w:color w:val="000000" w:themeColor="text1"/>
                <w14:textFill>
                  <w14:solidFill>
                    <w14:schemeClr w14:val="tx1"/>
                  </w14:solidFill>
                </w14:textFill>
              </w:rPr>
              <w:t>840</w:t>
            </w:r>
          </w:p>
        </w:tc>
      </w:tr>
      <w:tr w14:paraId="665F81E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2568" w:type="dxa"/>
            <w:tcBorders>
              <w:top w:val="nil"/>
            </w:tcBorders>
            <w:vAlign w:val="center"/>
          </w:tcPr>
          <w:p w14:paraId="5541D583">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Language choice</w:t>
            </w:r>
          </w:p>
        </w:tc>
        <w:tc>
          <w:tcPr>
            <w:tcW w:w="1040" w:type="dxa"/>
            <w:tcBorders>
              <w:top w:val="nil"/>
            </w:tcBorders>
            <w:vAlign w:val="center"/>
          </w:tcPr>
          <w:p w14:paraId="59A8EB43">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LC</w:t>
            </w:r>
          </w:p>
        </w:tc>
        <w:tc>
          <w:tcPr>
            <w:tcW w:w="1542" w:type="dxa"/>
            <w:tcBorders>
              <w:top w:val="nil"/>
            </w:tcBorders>
            <w:vAlign w:val="center"/>
          </w:tcPr>
          <w:p w14:paraId="40566007">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4</w:t>
            </w:r>
          </w:p>
        </w:tc>
        <w:tc>
          <w:tcPr>
            <w:tcW w:w="2116" w:type="dxa"/>
            <w:tcBorders>
              <w:top w:val="nil"/>
            </w:tcBorders>
            <w:vAlign w:val="center"/>
          </w:tcPr>
          <w:p w14:paraId="4CAEBB98">
            <w:pPr>
              <w:spacing w:after="0"/>
              <w:jc w:val="center"/>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0.805</w:t>
            </w:r>
          </w:p>
        </w:tc>
      </w:tr>
    </w:tbl>
    <w:p w14:paraId="7907198F">
      <w:pPr>
        <w:pStyle w:val="4"/>
        <w:spacing w:before="0" w:beforeAutospacing="0" w:after="0" w:afterAutospacing="0" w:line="276" w:lineRule="auto"/>
        <w:jc w:val="both"/>
        <w:rPr>
          <w:color w:val="000000" w:themeColor="text1"/>
          <w:sz w:val="24"/>
          <w:szCs w:val="24"/>
          <w:lang w:val="da-DK"/>
          <w14:textFill>
            <w14:solidFill>
              <w14:schemeClr w14:val="tx1"/>
            </w14:solidFill>
          </w14:textFill>
        </w:rPr>
      </w:pPr>
    </w:p>
    <w:p w14:paraId="206C8E51">
      <w:pPr>
        <w:pStyle w:val="4"/>
        <w:spacing w:before="0" w:beforeAutospacing="0" w:after="0" w:afterAutospacing="0" w:line="276" w:lineRule="auto"/>
        <w:jc w:val="both"/>
        <w:rPr>
          <w:color w:val="000000" w:themeColor="text1"/>
          <w:sz w:val="24"/>
          <w:szCs w:val="24"/>
          <w:lang w:val="da-DK"/>
          <w14:textFill>
            <w14:solidFill>
              <w14:schemeClr w14:val="tx1"/>
            </w14:solidFill>
          </w14:textFill>
        </w:rPr>
      </w:pPr>
      <w:r>
        <w:rPr>
          <w:color w:val="000000" w:themeColor="text1"/>
          <w:sz w:val="24"/>
          <w:szCs w:val="24"/>
          <w:lang w:val="da-DK"/>
          <w14:textFill>
            <w14:solidFill>
              <w14:schemeClr w14:val="tx1"/>
            </w14:solidFill>
          </w14:textFill>
        </w:rPr>
        <w:t>4.3. Exploratory factor analysis (EFA)</w:t>
      </w:r>
    </w:p>
    <w:p w14:paraId="7F9C8D91">
      <w:pPr>
        <w:pStyle w:val="18"/>
        <w:spacing w:before="0" w:beforeAutospacing="0" w:after="0" w:afterAutospacing="0" w:line="276" w:lineRule="auto"/>
        <w:ind w:firstLine="720"/>
        <w:jc w:val="both"/>
        <w:rPr>
          <w:rFonts w:eastAsia="SimSun"/>
        </w:rPr>
      </w:pPr>
      <w:r>
        <w:rPr>
          <w:rFonts w:eastAsia="SimSun"/>
        </w:rPr>
        <w:t>After establishing scale reliability, an Exploratory factor analysis (EFA) was conducted on the 24 items of the six independent variables. The goal was to assess their convergent and discriminant validity. The analysis employed Principal component analysis (PCA) as the extraction method, along with a Varimax rotation and Kaiser normalization to achieve a clear factor structure.</w:t>
      </w:r>
    </w:p>
    <w:p w14:paraId="33EFF334">
      <w:pPr>
        <w:pStyle w:val="18"/>
        <w:spacing w:before="0" w:beforeAutospacing="0" w:after="0" w:afterAutospacing="0" w:line="276" w:lineRule="auto"/>
        <w:jc w:val="both"/>
        <w:rPr>
          <w:i/>
          <w:iCs/>
        </w:rPr>
      </w:pPr>
      <w:r>
        <w:rPr>
          <w:i/>
          <w:iCs/>
        </w:rPr>
        <w:t>4.3.1. Exploratory factor analysis of independent variables</w:t>
      </w:r>
    </w:p>
    <w:p w14:paraId="1751F1BA">
      <w:pPr>
        <w:pStyle w:val="18"/>
        <w:spacing w:before="0" w:beforeAutospacing="0" w:after="0" w:afterAutospacing="0" w:line="276" w:lineRule="auto"/>
        <w:ind w:firstLine="720"/>
        <w:jc w:val="both"/>
        <w:rPr>
          <w:rFonts w:eastAsia="SimSun"/>
        </w:rPr>
      </w:pPr>
      <w:r>
        <w:rPr>
          <w:rFonts w:eastAsia="SimSun"/>
        </w:rPr>
        <w:t>The appropriateness of the data for factor analysis was first confirmed using two tests (see Table 3).</w:t>
      </w:r>
    </w:p>
    <w:p w14:paraId="3DB32C43">
      <w:pPr>
        <w:pStyle w:val="18"/>
        <w:spacing w:before="0" w:beforeAutospacing="0" w:after="0" w:afterAutospacing="0" w:line="276" w:lineRule="auto"/>
        <w:jc w:val="center"/>
        <w:rPr>
          <w:color w:val="000000" w:themeColor="text1"/>
          <w14:textFill>
            <w14:solidFill>
              <w14:schemeClr w14:val="tx1"/>
            </w14:solidFill>
          </w14:textFill>
        </w:rPr>
      </w:pPr>
      <w:r>
        <w:rPr>
          <w:b/>
          <w:bCs/>
          <w:color w:val="000000" w:themeColor="text1"/>
          <w14:textFill>
            <w14:solidFill>
              <w14:schemeClr w14:val="tx1"/>
            </w14:solidFill>
          </w14:textFill>
        </w:rPr>
        <w:t>Table 3</w:t>
      </w:r>
      <w:r>
        <w:rPr>
          <w:color w:val="000000" w:themeColor="text1"/>
          <w14:textFill>
            <w14:solidFill>
              <w14:schemeClr w14:val="tx1"/>
            </w14:solidFill>
          </w14:textFill>
        </w:rPr>
        <w:t>. KMO and Bartlett's Test</w:t>
      </w:r>
    </w:p>
    <w:tbl>
      <w:tblPr>
        <w:tblStyle w:val="7"/>
        <w:tblW w:w="6625"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94"/>
        <w:gridCol w:w="2415"/>
        <w:gridCol w:w="1116"/>
      </w:tblGrid>
      <w:tr w14:paraId="0F314C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5509" w:type="dxa"/>
            <w:gridSpan w:val="2"/>
          </w:tcPr>
          <w:p w14:paraId="1DB5C8F4">
            <w:pPr>
              <w:spacing w:after="0"/>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Kaiser-Meyer-Olkin Measure of Sampling Adequacy.</w:t>
            </w:r>
          </w:p>
        </w:tc>
        <w:tc>
          <w:tcPr>
            <w:tcW w:w="1116" w:type="dxa"/>
            <w:noWrap/>
            <w:vAlign w:val="center"/>
          </w:tcPr>
          <w:p w14:paraId="61EAFE79">
            <w:pPr>
              <w:spacing w:after="0"/>
              <w:jc w:val="right"/>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.933</w:t>
            </w:r>
          </w:p>
        </w:tc>
      </w:tr>
      <w:tr w14:paraId="6D837C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094" w:type="dxa"/>
            <w:vMerge w:val="restart"/>
          </w:tcPr>
          <w:p w14:paraId="715F6DA3">
            <w:pPr>
              <w:spacing w:after="0"/>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Bartlett's Test of Sphericity</w:t>
            </w:r>
          </w:p>
        </w:tc>
        <w:tc>
          <w:tcPr>
            <w:tcW w:w="2415" w:type="dxa"/>
          </w:tcPr>
          <w:p w14:paraId="74FE09DC">
            <w:pPr>
              <w:spacing w:after="0"/>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Approx. Chi-Square</w:t>
            </w:r>
          </w:p>
        </w:tc>
        <w:tc>
          <w:tcPr>
            <w:tcW w:w="1116" w:type="dxa"/>
            <w:noWrap/>
            <w:vAlign w:val="center"/>
          </w:tcPr>
          <w:p w14:paraId="50CD42AB">
            <w:pPr>
              <w:spacing w:after="0"/>
              <w:jc w:val="right"/>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cs="Times New Roman"/>
                <w:color w:val="000000" w:themeColor="text1"/>
                <w14:textFill>
                  <w14:solidFill>
                    <w14:schemeClr w14:val="tx1"/>
                  </w14:solidFill>
                </w14:textFill>
              </w:rPr>
              <w:t>7356.475</w:t>
            </w:r>
          </w:p>
        </w:tc>
      </w:tr>
      <w:tr w14:paraId="04313A1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094" w:type="dxa"/>
            <w:vMerge w:val="continue"/>
            <w:vAlign w:val="center"/>
          </w:tcPr>
          <w:p w14:paraId="6857A6C7">
            <w:pPr>
              <w:spacing w:after="0"/>
              <w:rPr>
                <w:rFonts w:ascii="Times New Roman" w:hAnsi="Times New Roman" w:eastAsia="Times New Roman" w:cs="Times New Roman"/>
                <w:color w:val="000000" w:themeColor="text1"/>
                <w:lang w:eastAsia="en-US"/>
                <w14:textFill>
                  <w14:solidFill>
                    <w14:schemeClr w14:val="tx1"/>
                  </w14:solidFill>
                </w14:textFill>
              </w:rPr>
            </w:pPr>
          </w:p>
        </w:tc>
        <w:tc>
          <w:tcPr>
            <w:tcW w:w="2415" w:type="dxa"/>
          </w:tcPr>
          <w:p w14:paraId="05A60620">
            <w:pPr>
              <w:spacing w:after="0"/>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df</w:t>
            </w:r>
          </w:p>
        </w:tc>
        <w:tc>
          <w:tcPr>
            <w:tcW w:w="1116" w:type="dxa"/>
            <w:noWrap/>
            <w:vAlign w:val="center"/>
          </w:tcPr>
          <w:p w14:paraId="4D45A755">
            <w:pPr>
              <w:spacing w:after="0"/>
              <w:jc w:val="right"/>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276</w:t>
            </w:r>
          </w:p>
        </w:tc>
      </w:tr>
      <w:tr w14:paraId="0CE90E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3094" w:type="dxa"/>
            <w:vMerge w:val="continue"/>
            <w:vAlign w:val="center"/>
          </w:tcPr>
          <w:p w14:paraId="6F8DCEB4">
            <w:pPr>
              <w:spacing w:after="0"/>
              <w:rPr>
                <w:rFonts w:ascii="Times New Roman" w:hAnsi="Times New Roman" w:eastAsia="Times New Roman" w:cs="Times New Roman"/>
                <w:color w:val="000000" w:themeColor="text1"/>
                <w:lang w:eastAsia="en-US"/>
                <w14:textFill>
                  <w14:solidFill>
                    <w14:schemeClr w14:val="tx1"/>
                  </w14:solidFill>
                </w14:textFill>
              </w:rPr>
            </w:pPr>
          </w:p>
        </w:tc>
        <w:tc>
          <w:tcPr>
            <w:tcW w:w="2415" w:type="dxa"/>
          </w:tcPr>
          <w:p w14:paraId="2E3FCD7F">
            <w:pPr>
              <w:spacing w:after="0"/>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Sig.</w:t>
            </w:r>
          </w:p>
        </w:tc>
        <w:tc>
          <w:tcPr>
            <w:tcW w:w="1116" w:type="dxa"/>
            <w:noWrap/>
            <w:vAlign w:val="center"/>
          </w:tcPr>
          <w:p w14:paraId="60BB4F96">
            <w:pPr>
              <w:spacing w:after="0"/>
              <w:jc w:val="right"/>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0.000</w:t>
            </w:r>
          </w:p>
        </w:tc>
      </w:tr>
    </w:tbl>
    <w:p w14:paraId="63D0ADC8">
      <w:pPr>
        <w:pStyle w:val="18"/>
        <w:spacing w:before="0" w:beforeAutospacing="0" w:after="0" w:afterAutospacing="0" w:line="276" w:lineRule="auto"/>
        <w:ind w:firstLine="720"/>
        <w:jc w:val="both"/>
        <w:rPr>
          <w:rFonts w:eastAsia="SimSun"/>
        </w:rPr>
      </w:pPr>
      <w:r>
        <w:rPr>
          <w:rFonts w:eastAsia="SimSun"/>
        </w:rPr>
        <w:t>The Kaiser-Meyer-Olkin (KMO) measure of sampling adequacy was .933, an excellent score indicating a high degree of common variance. Additionally, Bartlett’s Test of Sphericity was significant (Approx. χ²(276) = 7356.475, p &lt; .001), rejecting the null hypothesis that the variables were uncorrelated. Together, these tests affirmed the data's suitability for EFA.</w:t>
      </w:r>
    </w:p>
    <w:p w14:paraId="57A7B3A9">
      <w:pPr>
        <w:pStyle w:val="18"/>
        <w:spacing w:before="0" w:beforeAutospacing="0" w:after="0" w:afterAutospacing="0" w:line="276" w:lineRule="auto"/>
        <w:ind w:firstLine="720"/>
        <w:jc w:val="both"/>
        <w:rPr>
          <w:rFonts w:eastAsia="SimSun"/>
        </w:rPr>
      </w:pPr>
      <w:r>
        <w:rPr>
          <w:rFonts w:eastAsia="SimSun"/>
        </w:rPr>
        <w:t>As shown in the Rotated Component Matrix (Table 4), the EFA yielded a clean and interpretable six-factor solution that perfectly matched the theoretical model. All 24 items loaded strongly onto their intended factors, with all factor loadings surpassing the minimum 0.50 threshold. The structure was free from any significant cross-loadings. This outcome provides strong empirical evidence for both convergent validity (as items for each construct loaded together) and discriminant validity (as the six factors proved to be distinct), confirming the overall psychometric soundness of the measurement model.</w:t>
      </w:r>
    </w:p>
    <w:p w14:paraId="57A44AB6">
      <w:pPr>
        <w:pStyle w:val="18"/>
        <w:spacing w:before="0" w:beforeAutospacing="0" w:after="0" w:afterAutospacing="0" w:line="276" w:lineRule="auto"/>
        <w:jc w:val="center"/>
        <w:rPr>
          <w:rFonts w:asciiTheme="majorBidi" w:hAnsiTheme="majorBidi" w:cstheme="majorBidi"/>
          <w:color w:val="000000" w:themeColor="text1"/>
          <w:lang w:val="nl-NL"/>
          <w14:textFill>
            <w14:solidFill>
              <w14:schemeClr w14:val="tx1"/>
            </w14:solidFill>
          </w14:textFill>
        </w:rPr>
      </w:pPr>
      <w:r>
        <w:rPr>
          <w:rFonts w:asciiTheme="majorBidi" w:hAnsiTheme="majorBidi" w:cstheme="majorBidi"/>
          <w:b/>
          <w:bCs/>
          <w:color w:val="000000" w:themeColor="text1"/>
          <w14:textFill>
            <w14:solidFill>
              <w14:schemeClr w14:val="tx1"/>
            </w14:solidFill>
          </w14:textFill>
        </w:rPr>
        <w:t>Table 4</w:t>
      </w:r>
      <w:r>
        <w:rPr>
          <w:rFonts w:asciiTheme="majorBidi" w:hAnsiTheme="majorBidi" w:cstheme="majorBidi"/>
          <w:color w:val="000000" w:themeColor="text1"/>
          <w:lang w:val="nl-NL"/>
          <w14:textFill>
            <w14:solidFill>
              <w14:schemeClr w14:val="tx1"/>
            </w14:solidFill>
          </w14:textFill>
        </w:rPr>
        <w:t>. Rotated component matrix</w:t>
      </w:r>
    </w:p>
    <w:tbl>
      <w:tblPr>
        <w:tblStyle w:val="7"/>
        <w:tblW w:w="6942"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768"/>
        <w:gridCol w:w="1029"/>
        <w:gridCol w:w="1029"/>
        <w:gridCol w:w="1029"/>
        <w:gridCol w:w="1029"/>
        <w:gridCol w:w="1029"/>
        <w:gridCol w:w="1029"/>
      </w:tblGrid>
      <w:tr w14:paraId="10131D9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vMerge w:val="restart"/>
            <w:vAlign w:val="bottom"/>
          </w:tcPr>
          <w:p w14:paraId="54D30CAC">
            <w:pPr>
              <w:spacing w:after="0"/>
              <w:rPr>
                <w:rFonts w:ascii="Times New Roman" w:hAnsi="Times New Roman" w:cs="Times New Roman"/>
                <w:color w:val="000000" w:themeColor="text1"/>
                <w14:textFill>
                  <w14:solidFill>
                    <w14:schemeClr w14:val="tx1"/>
                  </w14:solidFill>
                </w14:textFill>
              </w:rPr>
            </w:pPr>
          </w:p>
        </w:tc>
        <w:tc>
          <w:tcPr>
            <w:tcW w:w="6174" w:type="dxa"/>
            <w:gridSpan w:val="6"/>
            <w:vAlign w:val="bottom"/>
          </w:tcPr>
          <w:p w14:paraId="3F99F32F">
            <w:pPr>
              <w:spacing w:after="0"/>
              <w:ind w:left="60"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Component</w:t>
            </w:r>
          </w:p>
        </w:tc>
      </w:tr>
      <w:tr w14:paraId="24315F3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vMerge w:val="continue"/>
            <w:tcBorders>
              <w:bottom w:val="single" w:color="auto" w:sz="4" w:space="0"/>
            </w:tcBorders>
            <w:vAlign w:val="bottom"/>
          </w:tcPr>
          <w:p w14:paraId="48637A61">
            <w:pPr>
              <w:spacing w:after="0"/>
              <w:rPr>
                <w:rFonts w:ascii="Times New Roman" w:hAnsi="Times New Roman" w:cs="Times New Roman"/>
                <w:color w:val="000000" w:themeColor="text1"/>
                <w14:textFill>
                  <w14:solidFill>
                    <w14:schemeClr w14:val="tx1"/>
                  </w14:solidFill>
                </w14:textFill>
              </w:rPr>
            </w:pPr>
          </w:p>
        </w:tc>
        <w:tc>
          <w:tcPr>
            <w:tcW w:w="1029" w:type="dxa"/>
            <w:tcBorders>
              <w:bottom w:val="single" w:color="auto" w:sz="4" w:space="0"/>
            </w:tcBorders>
            <w:vAlign w:val="bottom"/>
          </w:tcPr>
          <w:p w14:paraId="2B5AC87C">
            <w:pPr>
              <w:spacing w:after="0"/>
              <w:ind w:left="60"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1029" w:type="dxa"/>
            <w:tcBorders>
              <w:bottom w:val="single" w:color="auto" w:sz="4" w:space="0"/>
            </w:tcBorders>
            <w:vAlign w:val="bottom"/>
          </w:tcPr>
          <w:p w14:paraId="54CA1071">
            <w:pPr>
              <w:spacing w:after="0"/>
              <w:ind w:left="60"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1029" w:type="dxa"/>
            <w:tcBorders>
              <w:bottom w:val="single" w:color="auto" w:sz="4" w:space="0"/>
            </w:tcBorders>
            <w:vAlign w:val="bottom"/>
          </w:tcPr>
          <w:p w14:paraId="66E59F42">
            <w:pPr>
              <w:spacing w:after="0"/>
              <w:ind w:left="60"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1029" w:type="dxa"/>
            <w:tcBorders>
              <w:bottom w:val="single" w:color="auto" w:sz="4" w:space="0"/>
            </w:tcBorders>
            <w:vAlign w:val="bottom"/>
          </w:tcPr>
          <w:p w14:paraId="121B8983">
            <w:pPr>
              <w:spacing w:after="0"/>
              <w:ind w:left="60"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p>
        </w:tc>
        <w:tc>
          <w:tcPr>
            <w:tcW w:w="1029" w:type="dxa"/>
            <w:tcBorders>
              <w:bottom w:val="single" w:color="auto" w:sz="4" w:space="0"/>
            </w:tcBorders>
            <w:vAlign w:val="bottom"/>
          </w:tcPr>
          <w:p w14:paraId="45771499">
            <w:pPr>
              <w:spacing w:after="0"/>
              <w:ind w:left="60"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p>
        </w:tc>
        <w:tc>
          <w:tcPr>
            <w:tcW w:w="1029" w:type="dxa"/>
            <w:tcBorders>
              <w:bottom w:val="single" w:color="auto" w:sz="4" w:space="0"/>
            </w:tcBorders>
            <w:vAlign w:val="bottom"/>
          </w:tcPr>
          <w:p w14:paraId="045DF94B">
            <w:pPr>
              <w:spacing w:after="0"/>
              <w:ind w:left="60"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p>
        </w:tc>
      </w:tr>
      <w:tr w14:paraId="5BAEBD5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bottom w:val="nil"/>
            </w:tcBorders>
          </w:tcPr>
          <w:p w14:paraId="151E2722">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EP1</w:t>
            </w:r>
          </w:p>
        </w:tc>
        <w:tc>
          <w:tcPr>
            <w:tcW w:w="1029" w:type="dxa"/>
            <w:tcBorders>
              <w:bottom w:val="nil"/>
            </w:tcBorders>
          </w:tcPr>
          <w:p w14:paraId="40D003A4">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.803</w:t>
            </w:r>
          </w:p>
        </w:tc>
        <w:tc>
          <w:tcPr>
            <w:tcW w:w="1029" w:type="dxa"/>
            <w:tcBorders>
              <w:bottom w:val="nil"/>
            </w:tcBorders>
          </w:tcPr>
          <w:p w14:paraId="07287E94">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bottom w:val="nil"/>
            </w:tcBorders>
          </w:tcPr>
          <w:p w14:paraId="378C98A2">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bottom w:val="nil"/>
            </w:tcBorders>
          </w:tcPr>
          <w:p w14:paraId="27C8406A">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bottom w:val="nil"/>
            </w:tcBorders>
          </w:tcPr>
          <w:p w14:paraId="485BF9E0">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bottom w:val="nil"/>
            </w:tcBorders>
          </w:tcPr>
          <w:p w14:paraId="0B8DD846">
            <w:pPr>
              <w:spacing w:after="0"/>
              <w:ind w:left="60" w:right="60"/>
              <w:jc w:val="right"/>
              <w:rPr>
                <w:rFonts w:ascii="Times New Roman" w:hAnsi="Times New Roman" w:cs="Times New Roman"/>
                <w:color w:val="000000" w:themeColor="text1"/>
                <w14:textFill>
                  <w14:solidFill>
                    <w14:schemeClr w14:val="tx1"/>
                  </w14:solidFill>
                </w14:textFill>
              </w:rPr>
            </w:pPr>
          </w:p>
        </w:tc>
      </w:tr>
      <w:tr w14:paraId="47C3846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59A35AA5">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EP2</w:t>
            </w:r>
          </w:p>
        </w:tc>
        <w:tc>
          <w:tcPr>
            <w:tcW w:w="1029" w:type="dxa"/>
            <w:tcBorders>
              <w:top w:val="nil"/>
              <w:bottom w:val="nil"/>
            </w:tcBorders>
          </w:tcPr>
          <w:p w14:paraId="6AD95F2E">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.790</w:t>
            </w:r>
          </w:p>
        </w:tc>
        <w:tc>
          <w:tcPr>
            <w:tcW w:w="1029" w:type="dxa"/>
            <w:tcBorders>
              <w:top w:val="nil"/>
              <w:bottom w:val="nil"/>
            </w:tcBorders>
          </w:tcPr>
          <w:p w14:paraId="30254F7D">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226737EB">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6CD8ED1D">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590D5AF5">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706758B8">
            <w:pPr>
              <w:spacing w:after="0"/>
              <w:ind w:left="60" w:right="60"/>
              <w:jc w:val="right"/>
              <w:rPr>
                <w:rFonts w:ascii="Times New Roman" w:hAnsi="Times New Roman" w:cs="Times New Roman"/>
                <w:color w:val="000000" w:themeColor="text1"/>
                <w14:textFill>
                  <w14:solidFill>
                    <w14:schemeClr w14:val="tx1"/>
                  </w14:solidFill>
                </w14:textFill>
              </w:rPr>
            </w:pPr>
          </w:p>
        </w:tc>
      </w:tr>
      <w:tr w14:paraId="7656CCC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32BA48B1">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EP4</w:t>
            </w:r>
          </w:p>
        </w:tc>
        <w:tc>
          <w:tcPr>
            <w:tcW w:w="1029" w:type="dxa"/>
            <w:tcBorders>
              <w:top w:val="nil"/>
              <w:bottom w:val="nil"/>
            </w:tcBorders>
          </w:tcPr>
          <w:p w14:paraId="2F8384C5">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.766</w:t>
            </w:r>
          </w:p>
        </w:tc>
        <w:tc>
          <w:tcPr>
            <w:tcW w:w="1029" w:type="dxa"/>
            <w:tcBorders>
              <w:top w:val="nil"/>
              <w:bottom w:val="nil"/>
            </w:tcBorders>
          </w:tcPr>
          <w:p w14:paraId="63894491">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24186810">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575CEB2D">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22B7147C">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6499AB8B">
            <w:pPr>
              <w:spacing w:after="0"/>
              <w:ind w:left="60" w:right="60"/>
              <w:jc w:val="right"/>
              <w:rPr>
                <w:rFonts w:ascii="Times New Roman" w:hAnsi="Times New Roman" w:cs="Times New Roman"/>
                <w:color w:val="000000" w:themeColor="text1"/>
                <w14:textFill>
                  <w14:solidFill>
                    <w14:schemeClr w14:val="tx1"/>
                  </w14:solidFill>
                </w14:textFill>
              </w:rPr>
            </w:pPr>
          </w:p>
        </w:tc>
      </w:tr>
      <w:tr w14:paraId="7DB931F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7AFC0ED1">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EP3</w:t>
            </w:r>
          </w:p>
        </w:tc>
        <w:tc>
          <w:tcPr>
            <w:tcW w:w="1029" w:type="dxa"/>
            <w:tcBorders>
              <w:top w:val="nil"/>
              <w:bottom w:val="nil"/>
            </w:tcBorders>
          </w:tcPr>
          <w:p w14:paraId="32D15E3D">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.704</w:t>
            </w:r>
          </w:p>
        </w:tc>
        <w:tc>
          <w:tcPr>
            <w:tcW w:w="1029" w:type="dxa"/>
            <w:tcBorders>
              <w:top w:val="nil"/>
              <w:bottom w:val="nil"/>
            </w:tcBorders>
          </w:tcPr>
          <w:p w14:paraId="25191CCF">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4F72F216">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07BE1B60">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232CDC23">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0B05EF47">
            <w:pPr>
              <w:spacing w:after="0"/>
              <w:ind w:left="60" w:right="60"/>
              <w:jc w:val="right"/>
              <w:rPr>
                <w:rFonts w:ascii="Times New Roman" w:hAnsi="Times New Roman" w:cs="Times New Roman"/>
                <w:color w:val="000000" w:themeColor="text1"/>
                <w14:textFill>
                  <w14:solidFill>
                    <w14:schemeClr w14:val="tx1"/>
                  </w14:solidFill>
                </w14:textFill>
              </w:rPr>
            </w:pPr>
          </w:p>
        </w:tc>
      </w:tr>
      <w:tr w14:paraId="0936B62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44BF7D6B">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EM1</w:t>
            </w:r>
          </w:p>
        </w:tc>
        <w:tc>
          <w:tcPr>
            <w:tcW w:w="1029" w:type="dxa"/>
            <w:tcBorders>
              <w:top w:val="nil"/>
              <w:bottom w:val="nil"/>
            </w:tcBorders>
          </w:tcPr>
          <w:p w14:paraId="013B48DE">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5A671BB4">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.805</w:t>
            </w:r>
          </w:p>
        </w:tc>
        <w:tc>
          <w:tcPr>
            <w:tcW w:w="1029" w:type="dxa"/>
            <w:tcBorders>
              <w:top w:val="nil"/>
              <w:bottom w:val="nil"/>
            </w:tcBorders>
          </w:tcPr>
          <w:p w14:paraId="409EA4EE">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212A09EA">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64CB2C79">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61760F52">
            <w:pPr>
              <w:spacing w:after="0"/>
              <w:ind w:left="60" w:right="60"/>
              <w:jc w:val="right"/>
              <w:rPr>
                <w:rFonts w:ascii="Times New Roman" w:hAnsi="Times New Roman" w:cs="Times New Roman"/>
                <w:color w:val="000000" w:themeColor="text1"/>
                <w14:textFill>
                  <w14:solidFill>
                    <w14:schemeClr w14:val="tx1"/>
                  </w14:solidFill>
                </w14:textFill>
              </w:rPr>
            </w:pPr>
          </w:p>
        </w:tc>
      </w:tr>
      <w:tr w14:paraId="3636409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12F799B8">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EM3</w:t>
            </w:r>
          </w:p>
        </w:tc>
        <w:tc>
          <w:tcPr>
            <w:tcW w:w="1029" w:type="dxa"/>
            <w:tcBorders>
              <w:top w:val="nil"/>
              <w:bottom w:val="nil"/>
            </w:tcBorders>
          </w:tcPr>
          <w:p w14:paraId="3FD0D241">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491EDA1C">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.779</w:t>
            </w:r>
          </w:p>
        </w:tc>
        <w:tc>
          <w:tcPr>
            <w:tcW w:w="1029" w:type="dxa"/>
            <w:tcBorders>
              <w:top w:val="nil"/>
              <w:bottom w:val="nil"/>
            </w:tcBorders>
          </w:tcPr>
          <w:p w14:paraId="3FA23D7D">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4E1DABAB">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634F8EFE">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7E2D983C">
            <w:pPr>
              <w:spacing w:after="0"/>
              <w:ind w:left="60" w:right="60"/>
              <w:jc w:val="right"/>
              <w:rPr>
                <w:rFonts w:ascii="Times New Roman" w:hAnsi="Times New Roman" w:cs="Times New Roman"/>
                <w:color w:val="000000" w:themeColor="text1"/>
                <w14:textFill>
                  <w14:solidFill>
                    <w14:schemeClr w14:val="tx1"/>
                  </w14:solidFill>
                </w14:textFill>
              </w:rPr>
            </w:pPr>
          </w:p>
        </w:tc>
      </w:tr>
      <w:tr w14:paraId="7B81032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5A57BD70">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EM2</w:t>
            </w:r>
          </w:p>
        </w:tc>
        <w:tc>
          <w:tcPr>
            <w:tcW w:w="1029" w:type="dxa"/>
            <w:tcBorders>
              <w:top w:val="nil"/>
              <w:bottom w:val="nil"/>
            </w:tcBorders>
          </w:tcPr>
          <w:p w14:paraId="730B4574">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12747631">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.718</w:t>
            </w:r>
          </w:p>
        </w:tc>
        <w:tc>
          <w:tcPr>
            <w:tcW w:w="1029" w:type="dxa"/>
            <w:tcBorders>
              <w:top w:val="nil"/>
              <w:bottom w:val="nil"/>
            </w:tcBorders>
          </w:tcPr>
          <w:p w14:paraId="18E703CE">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7189ACAE">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49B28DEA">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61FB29D7">
            <w:pPr>
              <w:spacing w:after="0"/>
              <w:ind w:left="60" w:right="60"/>
              <w:jc w:val="right"/>
              <w:rPr>
                <w:rFonts w:ascii="Times New Roman" w:hAnsi="Times New Roman" w:cs="Times New Roman"/>
                <w:color w:val="000000" w:themeColor="text1"/>
                <w14:textFill>
                  <w14:solidFill>
                    <w14:schemeClr w14:val="tx1"/>
                  </w14:solidFill>
                </w14:textFill>
              </w:rPr>
            </w:pPr>
          </w:p>
        </w:tc>
      </w:tr>
      <w:tr w14:paraId="142BA40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1F62FE82">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EM4</w:t>
            </w:r>
          </w:p>
        </w:tc>
        <w:tc>
          <w:tcPr>
            <w:tcW w:w="1029" w:type="dxa"/>
            <w:tcBorders>
              <w:top w:val="nil"/>
              <w:bottom w:val="nil"/>
            </w:tcBorders>
          </w:tcPr>
          <w:p w14:paraId="33CA8723">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7BAF0F3F">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.673</w:t>
            </w:r>
          </w:p>
        </w:tc>
        <w:tc>
          <w:tcPr>
            <w:tcW w:w="1029" w:type="dxa"/>
            <w:tcBorders>
              <w:top w:val="nil"/>
              <w:bottom w:val="nil"/>
            </w:tcBorders>
          </w:tcPr>
          <w:p w14:paraId="05E8D34F">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4FFF3512">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0CA3D64C">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0460E486">
            <w:pPr>
              <w:spacing w:after="0"/>
              <w:ind w:left="60" w:right="60"/>
              <w:jc w:val="right"/>
              <w:rPr>
                <w:rFonts w:ascii="Times New Roman" w:hAnsi="Times New Roman" w:cs="Times New Roman"/>
                <w:color w:val="000000" w:themeColor="text1"/>
                <w14:textFill>
                  <w14:solidFill>
                    <w14:schemeClr w14:val="tx1"/>
                  </w14:solidFill>
                </w14:textFill>
              </w:rPr>
            </w:pPr>
          </w:p>
        </w:tc>
      </w:tr>
      <w:tr w14:paraId="093BFA5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69404E9F">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LA2</w:t>
            </w:r>
          </w:p>
        </w:tc>
        <w:tc>
          <w:tcPr>
            <w:tcW w:w="1029" w:type="dxa"/>
            <w:tcBorders>
              <w:top w:val="nil"/>
              <w:bottom w:val="nil"/>
            </w:tcBorders>
          </w:tcPr>
          <w:p w14:paraId="63151ECC">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3C4B6DAC">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34BB391A">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.788</w:t>
            </w:r>
          </w:p>
        </w:tc>
        <w:tc>
          <w:tcPr>
            <w:tcW w:w="1029" w:type="dxa"/>
            <w:tcBorders>
              <w:top w:val="nil"/>
              <w:bottom w:val="nil"/>
            </w:tcBorders>
          </w:tcPr>
          <w:p w14:paraId="0D8A5737">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0F409860">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3C22419D">
            <w:pPr>
              <w:spacing w:after="0"/>
              <w:ind w:left="60" w:right="60"/>
              <w:jc w:val="right"/>
              <w:rPr>
                <w:rFonts w:ascii="Times New Roman" w:hAnsi="Times New Roman" w:cs="Times New Roman"/>
                <w:color w:val="000000" w:themeColor="text1"/>
                <w14:textFill>
                  <w14:solidFill>
                    <w14:schemeClr w14:val="tx1"/>
                  </w14:solidFill>
                </w14:textFill>
              </w:rPr>
            </w:pPr>
          </w:p>
        </w:tc>
      </w:tr>
      <w:tr w14:paraId="4B6D152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5D003220">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LA3</w:t>
            </w:r>
          </w:p>
        </w:tc>
        <w:tc>
          <w:tcPr>
            <w:tcW w:w="1029" w:type="dxa"/>
            <w:tcBorders>
              <w:top w:val="nil"/>
              <w:bottom w:val="nil"/>
            </w:tcBorders>
          </w:tcPr>
          <w:p w14:paraId="6B8FD0E3">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074D7773">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41EC284E">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.754</w:t>
            </w:r>
          </w:p>
        </w:tc>
        <w:tc>
          <w:tcPr>
            <w:tcW w:w="1029" w:type="dxa"/>
            <w:tcBorders>
              <w:top w:val="nil"/>
              <w:bottom w:val="nil"/>
            </w:tcBorders>
          </w:tcPr>
          <w:p w14:paraId="1BD314A6">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0BCBF5C1">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2A9FB199">
            <w:pPr>
              <w:spacing w:after="0"/>
              <w:ind w:left="60" w:right="60"/>
              <w:jc w:val="right"/>
              <w:rPr>
                <w:rFonts w:ascii="Times New Roman" w:hAnsi="Times New Roman" w:cs="Times New Roman"/>
                <w:color w:val="000000" w:themeColor="text1"/>
                <w14:textFill>
                  <w14:solidFill>
                    <w14:schemeClr w14:val="tx1"/>
                  </w14:solidFill>
                </w14:textFill>
              </w:rPr>
            </w:pPr>
          </w:p>
        </w:tc>
      </w:tr>
      <w:tr w14:paraId="080F963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32D2039D">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LA1</w:t>
            </w:r>
          </w:p>
        </w:tc>
        <w:tc>
          <w:tcPr>
            <w:tcW w:w="1029" w:type="dxa"/>
            <w:tcBorders>
              <w:top w:val="nil"/>
              <w:bottom w:val="nil"/>
            </w:tcBorders>
          </w:tcPr>
          <w:p w14:paraId="3DE17494">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0D4223BE">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3D61D88F">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.730</w:t>
            </w:r>
          </w:p>
        </w:tc>
        <w:tc>
          <w:tcPr>
            <w:tcW w:w="1029" w:type="dxa"/>
            <w:tcBorders>
              <w:top w:val="nil"/>
              <w:bottom w:val="nil"/>
            </w:tcBorders>
          </w:tcPr>
          <w:p w14:paraId="6DBDCA0D">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24FD4857">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23CCEF93">
            <w:pPr>
              <w:spacing w:after="0"/>
              <w:ind w:left="60" w:right="60"/>
              <w:jc w:val="right"/>
              <w:rPr>
                <w:rFonts w:ascii="Times New Roman" w:hAnsi="Times New Roman" w:cs="Times New Roman"/>
                <w:color w:val="000000" w:themeColor="text1"/>
                <w14:textFill>
                  <w14:solidFill>
                    <w14:schemeClr w14:val="tx1"/>
                  </w14:solidFill>
                </w14:textFill>
              </w:rPr>
            </w:pPr>
          </w:p>
        </w:tc>
      </w:tr>
      <w:tr w14:paraId="42097A9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5901D40E">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LA4</w:t>
            </w:r>
          </w:p>
        </w:tc>
        <w:tc>
          <w:tcPr>
            <w:tcW w:w="1029" w:type="dxa"/>
            <w:tcBorders>
              <w:top w:val="nil"/>
              <w:bottom w:val="nil"/>
            </w:tcBorders>
          </w:tcPr>
          <w:p w14:paraId="3630F966">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0FDC8F81">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1B7A0C5A">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.651</w:t>
            </w:r>
          </w:p>
        </w:tc>
        <w:tc>
          <w:tcPr>
            <w:tcW w:w="1029" w:type="dxa"/>
            <w:tcBorders>
              <w:top w:val="nil"/>
              <w:bottom w:val="nil"/>
            </w:tcBorders>
          </w:tcPr>
          <w:p w14:paraId="34388CEC">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7883045C">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554B3A54">
            <w:pPr>
              <w:spacing w:after="0"/>
              <w:ind w:left="60" w:right="60"/>
              <w:jc w:val="right"/>
              <w:rPr>
                <w:rFonts w:ascii="Times New Roman" w:hAnsi="Times New Roman" w:cs="Times New Roman"/>
                <w:color w:val="000000" w:themeColor="text1"/>
                <w14:textFill>
                  <w14:solidFill>
                    <w14:schemeClr w14:val="tx1"/>
                  </w14:solidFill>
                </w14:textFill>
              </w:rPr>
            </w:pPr>
          </w:p>
        </w:tc>
      </w:tr>
      <w:tr w14:paraId="6CF60BC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00AFBC2F">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LP4</w:t>
            </w:r>
          </w:p>
        </w:tc>
        <w:tc>
          <w:tcPr>
            <w:tcW w:w="1029" w:type="dxa"/>
            <w:tcBorders>
              <w:top w:val="nil"/>
              <w:bottom w:val="nil"/>
            </w:tcBorders>
          </w:tcPr>
          <w:p w14:paraId="70D310B1">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6C344A4A">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2D12E528">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48EDF524">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.753</w:t>
            </w:r>
          </w:p>
        </w:tc>
        <w:tc>
          <w:tcPr>
            <w:tcW w:w="1029" w:type="dxa"/>
            <w:tcBorders>
              <w:top w:val="nil"/>
              <w:bottom w:val="nil"/>
            </w:tcBorders>
          </w:tcPr>
          <w:p w14:paraId="6BE23619">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60425CFC">
            <w:pPr>
              <w:spacing w:after="0"/>
              <w:ind w:left="60" w:right="60"/>
              <w:jc w:val="right"/>
              <w:rPr>
                <w:rFonts w:ascii="Times New Roman" w:hAnsi="Times New Roman" w:cs="Times New Roman"/>
                <w:color w:val="000000" w:themeColor="text1"/>
                <w14:textFill>
                  <w14:solidFill>
                    <w14:schemeClr w14:val="tx1"/>
                  </w14:solidFill>
                </w14:textFill>
              </w:rPr>
            </w:pPr>
          </w:p>
        </w:tc>
      </w:tr>
      <w:tr w14:paraId="522FBDC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362EE880">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LP3</w:t>
            </w:r>
          </w:p>
        </w:tc>
        <w:tc>
          <w:tcPr>
            <w:tcW w:w="1029" w:type="dxa"/>
            <w:tcBorders>
              <w:top w:val="nil"/>
              <w:bottom w:val="nil"/>
            </w:tcBorders>
          </w:tcPr>
          <w:p w14:paraId="409A3F41">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787988C3">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69808D1C">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03B25726">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.746</w:t>
            </w:r>
          </w:p>
        </w:tc>
        <w:tc>
          <w:tcPr>
            <w:tcW w:w="1029" w:type="dxa"/>
            <w:tcBorders>
              <w:top w:val="nil"/>
              <w:bottom w:val="nil"/>
            </w:tcBorders>
          </w:tcPr>
          <w:p w14:paraId="6BC5F676">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248D0CC6">
            <w:pPr>
              <w:spacing w:after="0"/>
              <w:ind w:left="60" w:right="60"/>
              <w:jc w:val="right"/>
              <w:rPr>
                <w:rFonts w:ascii="Times New Roman" w:hAnsi="Times New Roman" w:cs="Times New Roman"/>
                <w:color w:val="000000" w:themeColor="text1"/>
                <w14:textFill>
                  <w14:solidFill>
                    <w14:schemeClr w14:val="tx1"/>
                  </w14:solidFill>
                </w14:textFill>
              </w:rPr>
            </w:pPr>
          </w:p>
        </w:tc>
      </w:tr>
      <w:tr w14:paraId="32406A9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0C915251">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LP1</w:t>
            </w:r>
          </w:p>
        </w:tc>
        <w:tc>
          <w:tcPr>
            <w:tcW w:w="1029" w:type="dxa"/>
            <w:tcBorders>
              <w:top w:val="nil"/>
              <w:bottom w:val="nil"/>
            </w:tcBorders>
          </w:tcPr>
          <w:p w14:paraId="3E0FB608">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7BC72B1E">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22CE126A">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56A5315E">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.745</w:t>
            </w:r>
          </w:p>
        </w:tc>
        <w:tc>
          <w:tcPr>
            <w:tcW w:w="1029" w:type="dxa"/>
            <w:tcBorders>
              <w:top w:val="nil"/>
              <w:bottom w:val="nil"/>
            </w:tcBorders>
          </w:tcPr>
          <w:p w14:paraId="1A63BA38">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7EEBAC5D">
            <w:pPr>
              <w:spacing w:after="0"/>
              <w:ind w:left="60" w:right="60"/>
              <w:jc w:val="right"/>
              <w:rPr>
                <w:rFonts w:ascii="Times New Roman" w:hAnsi="Times New Roman" w:cs="Times New Roman"/>
                <w:color w:val="000000" w:themeColor="text1"/>
                <w14:textFill>
                  <w14:solidFill>
                    <w14:schemeClr w14:val="tx1"/>
                  </w14:solidFill>
                </w14:textFill>
              </w:rPr>
            </w:pPr>
          </w:p>
        </w:tc>
      </w:tr>
      <w:tr w14:paraId="53889E3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6C44FD09">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LP2</w:t>
            </w:r>
          </w:p>
        </w:tc>
        <w:tc>
          <w:tcPr>
            <w:tcW w:w="1029" w:type="dxa"/>
            <w:tcBorders>
              <w:top w:val="nil"/>
              <w:bottom w:val="nil"/>
            </w:tcBorders>
          </w:tcPr>
          <w:p w14:paraId="2DAC4399">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44AA0BD7">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4A9506FB">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523996C9">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.663</w:t>
            </w:r>
          </w:p>
        </w:tc>
        <w:tc>
          <w:tcPr>
            <w:tcW w:w="1029" w:type="dxa"/>
            <w:tcBorders>
              <w:top w:val="nil"/>
              <w:bottom w:val="nil"/>
            </w:tcBorders>
          </w:tcPr>
          <w:p w14:paraId="065A816D">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5923F55C">
            <w:pPr>
              <w:spacing w:after="0"/>
              <w:ind w:left="60" w:right="60"/>
              <w:jc w:val="right"/>
              <w:rPr>
                <w:rFonts w:ascii="Times New Roman" w:hAnsi="Times New Roman" w:cs="Times New Roman"/>
                <w:color w:val="000000" w:themeColor="text1"/>
                <w14:textFill>
                  <w14:solidFill>
                    <w14:schemeClr w14:val="tx1"/>
                  </w14:solidFill>
                </w14:textFill>
              </w:rPr>
            </w:pPr>
          </w:p>
        </w:tc>
      </w:tr>
      <w:tr w14:paraId="4478E4F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3B299A7D">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CI2</w:t>
            </w:r>
          </w:p>
        </w:tc>
        <w:tc>
          <w:tcPr>
            <w:tcW w:w="1029" w:type="dxa"/>
            <w:tcBorders>
              <w:top w:val="nil"/>
              <w:bottom w:val="nil"/>
            </w:tcBorders>
          </w:tcPr>
          <w:p w14:paraId="46187B56">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3440687C">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25F53983">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4BAC0F9C">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22DFB648">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.778</w:t>
            </w:r>
          </w:p>
        </w:tc>
        <w:tc>
          <w:tcPr>
            <w:tcW w:w="1029" w:type="dxa"/>
            <w:tcBorders>
              <w:top w:val="nil"/>
              <w:bottom w:val="nil"/>
            </w:tcBorders>
          </w:tcPr>
          <w:p w14:paraId="7B609D21">
            <w:pPr>
              <w:spacing w:after="0"/>
              <w:ind w:left="60" w:right="60"/>
              <w:jc w:val="right"/>
              <w:rPr>
                <w:rFonts w:ascii="Times New Roman" w:hAnsi="Times New Roman" w:cs="Times New Roman"/>
                <w:color w:val="000000" w:themeColor="text1"/>
                <w14:textFill>
                  <w14:solidFill>
                    <w14:schemeClr w14:val="tx1"/>
                  </w14:solidFill>
                </w14:textFill>
              </w:rPr>
            </w:pPr>
          </w:p>
        </w:tc>
      </w:tr>
      <w:tr w14:paraId="38405BF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6CF39F08">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CI4</w:t>
            </w:r>
          </w:p>
        </w:tc>
        <w:tc>
          <w:tcPr>
            <w:tcW w:w="1029" w:type="dxa"/>
            <w:tcBorders>
              <w:top w:val="nil"/>
              <w:bottom w:val="nil"/>
            </w:tcBorders>
          </w:tcPr>
          <w:p w14:paraId="5928D98F">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0F2F3345">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20CE9C42">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314D60AD">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00829861">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.724</w:t>
            </w:r>
          </w:p>
        </w:tc>
        <w:tc>
          <w:tcPr>
            <w:tcW w:w="1029" w:type="dxa"/>
            <w:tcBorders>
              <w:top w:val="nil"/>
              <w:bottom w:val="nil"/>
            </w:tcBorders>
          </w:tcPr>
          <w:p w14:paraId="2D1C7850">
            <w:pPr>
              <w:spacing w:after="0"/>
              <w:ind w:left="60" w:right="60"/>
              <w:jc w:val="right"/>
              <w:rPr>
                <w:rFonts w:ascii="Times New Roman" w:hAnsi="Times New Roman" w:cs="Times New Roman"/>
                <w:color w:val="000000" w:themeColor="text1"/>
                <w14:textFill>
                  <w14:solidFill>
                    <w14:schemeClr w14:val="tx1"/>
                  </w14:solidFill>
                </w14:textFill>
              </w:rPr>
            </w:pPr>
          </w:p>
        </w:tc>
      </w:tr>
      <w:tr w14:paraId="1F13E0B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181431D0">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CI1</w:t>
            </w:r>
          </w:p>
        </w:tc>
        <w:tc>
          <w:tcPr>
            <w:tcW w:w="1029" w:type="dxa"/>
            <w:tcBorders>
              <w:top w:val="nil"/>
              <w:bottom w:val="nil"/>
            </w:tcBorders>
          </w:tcPr>
          <w:p w14:paraId="59C7C118">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5F4788F6">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565E3E00">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787D70C5">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7F5C2F8C">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.712</w:t>
            </w:r>
          </w:p>
        </w:tc>
        <w:tc>
          <w:tcPr>
            <w:tcW w:w="1029" w:type="dxa"/>
            <w:tcBorders>
              <w:top w:val="nil"/>
              <w:bottom w:val="nil"/>
            </w:tcBorders>
          </w:tcPr>
          <w:p w14:paraId="0E9902FA">
            <w:pPr>
              <w:spacing w:after="0"/>
              <w:ind w:left="60" w:right="60"/>
              <w:jc w:val="right"/>
              <w:rPr>
                <w:rFonts w:ascii="Times New Roman" w:hAnsi="Times New Roman" w:cs="Times New Roman"/>
                <w:color w:val="000000" w:themeColor="text1"/>
                <w14:textFill>
                  <w14:solidFill>
                    <w14:schemeClr w14:val="tx1"/>
                  </w14:solidFill>
                </w14:textFill>
              </w:rPr>
            </w:pPr>
          </w:p>
        </w:tc>
      </w:tr>
      <w:tr w14:paraId="432E61E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58A00F7D">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CI3</w:t>
            </w:r>
          </w:p>
        </w:tc>
        <w:tc>
          <w:tcPr>
            <w:tcW w:w="1029" w:type="dxa"/>
            <w:tcBorders>
              <w:top w:val="nil"/>
              <w:bottom w:val="nil"/>
            </w:tcBorders>
          </w:tcPr>
          <w:p w14:paraId="0F7F0DCC">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1841075B">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11C3E309">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22E993DB">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75DA0C40">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.600</w:t>
            </w:r>
          </w:p>
        </w:tc>
        <w:tc>
          <w:tcPr>
            <w:tcW w:w="1029" w:type="dxa"/>
            <w:tcBorders>
              <w:top w:val="nil"/>
              <w:bottom w:val="nil"/>
            </w:tcBorders>
          </w:tcPr>
          <w:p w14:paraId="4914EF55">
            <w:pPr>
              <w:spacing w:after="0"/>
              <w:ind w:left="60" w:right="60"/>
              <w:jc w:val="right"/>
              <w:rPr>
                <w:rFonts w:ascii="Times New Roman" w:hAnsi="Times New Roman" w:cs="Times New Roman"/>
                <w:color w:val="000000" w:themeColor="text1"/>
                <w14:textFill>
                  <w14:solidFill>
                    <w14:schemeClr w14:val="tx1"/>
                  </w14:solidFill>
                </w14:textFill>
              </w:rPr>
            </w:pPr>
          </w:p>
        </w:tc>
      </w:tr>
      <w:tr w14:paraId="7AA9262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656F96F7">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FCE1</w:t>
            </w:r>
          </w:p>
        </w:tc>
        <w:tc>
          <w:tcPr>
            <w:tcW w:w="1029" w:type="dxa"/>
            <w:tcBorders>
              <w:top w:val="nil"/>
              <w:bottom w:val="nil"/>
            </w:tcBorders>
          </w:tcPr>
          <w:p w14:paraId="04FF61B8">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5454771B">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476A278A">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4E7BC614">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7D6ACB26">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05006180">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.768</w:t>
            </w:r>
          </w:p>
        </w:tc>
      </w:tr>
      <w:tr w14:paraId="6873DC8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462A2214">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FCE4</w:t>
            </w:r>
          </w:p>
        </w:tc>
        <w:tc>
          <w:tcPr>
            <w:tcW w:w="1029" w:type="dxa"/>
            <w:tcBorders>
              <w:top w:val="nil"/>
              <w:bottom w:val="nil"/>
            </w:tcBorders>
          </w:tcPr>
          <w:p w14:paraId="596A26D1">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585FF9B0">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74FAC600">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538AF1DF">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146DEC3A">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580C3C58">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.746</w:t>
            </w:r>
          </w:p>
        </w:tc>
      </w:tr>
      <w:tr w14:paraId="5536FD9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bottom w:val="nil"/>
            </w:tcBorders>
          </w:tcPr>
          <w:p w14:paraId="3FE0EC3B">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FCE2</w:t>
            </w:r>
          </w:p>
        </w:tc>
        <w:tc>
          <w:tcPr>
            <w:tcW w:w="1029" w:type="dxa"/>
            <w:tcBorders>
              <w:top w:val="nil"/>
              <w:bottom w:val="nil"/>
            </w:tcBorders>
          </w:tcPr>
          <w:p w14:paraId="32D37990">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75EB52E4">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5FD7DCE7">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77426F4B">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4AB4873B">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bottom w:val="nil"/>
            </w:tcBorders>
          </w:tcPr>
          <w:p w14:paraId="0AB4CD5C">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.721</w:t>
            </w:r>
          </w:p>
        </w:tc>
      </w:tr>
      <w:tr w14:paraId="096BEF4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768" w:type="dxa"/>
            <w:tcBorders>
              <w:top w:val="nil"/>
            </w:tcBorders>
          </w:tcPr>
          <w:p w14:paraId="39AC5CE8">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FCE3</w:t>
            </w:r>
          </w:p>
        </w:tc>
        <w:tc>
          <w:tcPr>
            <w:tcW w:w="1029" w:type="dxa"/>
            <w:tcBorders>
              <w:top w:val="nil"/>
            </w:tcBorders>
          </w:tcPr>
          <w:p w14:paraId="24750733">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tcBorders>
          </w:tcPr>
          <w:p w14:paraId="38A1FDFA">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tcBorders>
          </w:tcPr>
          <w:p w14:paraId="3999407B">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tcBorders>
          </w:tcPr>
          <w:p w14:paraId="474B6E4C">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tcBorders>
          </w:tcPr>
          <w:p w14:paraId="33D33B9E">
            <w:pPr>
              <w:spacing w:after="0"/>
              <w:ind w:left="60" w:right="60"/>
              <w:jc w:val="right"/>
              <w:rPr>
                <w:rFonts w:ascii="Times New Roman" w:hAnsi="Times New Roman" w:cs="Times New Roman"/>
                <w:color w:val="000000" w:themeColor="text1"/>
                <w14:textFill>
                  <w14:solidFill>
                    <w14:schemeClr w14:val="tx1"/>
                  </w14:solidFill>
                </w14:textFill>
              </w:rPr>
            </w:pPr>
          </w:p>
        </w:tc>
        <w:tc>
          <w:tcPr>
            <w:tcW w:w="1029" w:type="dxa"/>
            <w:tcBorders>
              <w:top w:val="nil"/>
            </w:tcBorders>
          </w:tcPr>
          <w:p w14:paraId="49A2E65A">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.577</w:t>
            </w:r>
          </w:p>
        </w:tc>
      </w:tr>
      <w:tr w14:paraId="705F874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6942" w:type="dxa"/>
            <w:gridSpan w:val="7"/>
          </w:tcPr>
          <w:p w14:paraId="0CC63AF4">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Extraction Method: Principal Component Analysis. </w:t>
            </w:r>
          </w:p>
          <w:p w14:paraId="2BD047CE">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 Rotation Method: Varimax with Kaiser Normalization.</w:t>
            </w:r>
            <w:r>
              <w:rPr>
                <w:rFonts w:ascii="Times New Roman" w:hAnsi="Times New Roman" w:cs="Times New Roman"/>
                <w:color w:val="000000" w:themeColor="text1"/>
                <w:vertAlign w:val="superscript"/>
                <w14:textFill>
                  <w14:solidFill>
                    <w14:schemeClr w14:val="tx1"/>
                  </w14:solidFill>
                </w14:textFill>
              </w:rPr>
              <w:t>a</w:t>
            </w:r>
          </w:p>
        </w:tc>
      </w:tr>
      <w:tr w14:paraId="6150839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27" w:hRule="atLeast"/>
          <w:jc w:val="center"/>
        </w:trPr>
        <w:tc>
          <w:tcPr>
            <w:tcW w:w="6942" w:type="dxa"/>
            <w:gridSpan w:val="7"/>
          </w:tcPr>
          <w:p w14:paraId="1BD54F50">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 Rotation converged in 6 iterations.</w:t>
            </w:r>
          </w:p>
        </w:tc>
      </w:tr>
    </w:tbl>
    <w:p w14:paraId="2DDBBD35">
      <w:pPr>
        <w:pStyle w:val="18"/>
        <w:spacing w:before="0" w:beforeAutospacing="0" w:after="0" w:afterAutospacing="0" w:line="276" w:lineRule="auto"/>
        <w:jc w:val="both"/>
        <w:rPr>
          <w:i/>
          <w:iCs/>
          <w:color w:val="000000" w:themeColor="text1"/>
          <w14:textFill>
            <w14:solidFill>
              <w14:schemeClr w14:val="tx1"/>
            </w14:solidFill>
          </w14:textFill>
        </w:rPr>
      </w:pPr>
    </w:p>
    <w:p w14:paraId="68D5BF73">
      <w:pPr>
        <w:pStyle w:val="18"/>
        <w:spacing w:before="0" w:beforeAutospacing="0" w:after="0" w:afterAutospacing="0" w:line="276" w:lineRule="auto"/>
        <w:jc w:val="both"/>
        <w:rPr>
          <w:i/>
          <w:iCs/>
          <w:color w:val="000000" w:themeColor="text1"/>
          <w14:textFill>
            <w14:solidFill>
              <w14:schemeClr w14:val="tx1"/>
            </w14:solidFill>
          </w14:textFill>
        </w:rPr>
      </w:pPr>
      <w:r>
        <w:rPr>
          <w:i/>
          <w:iCs/>
          <w:color w:val="000000" w:themeColor="text1"/>
          <w14:textFill>
            <w14:solidFill>
              <w14:schemeClr w14:val="tx1"/>
            </w14:solidFill>
          </w14:textFill>
        </w:rPr>
        <w:t>4</w:t>
      </w:r>
      <w:r>
        <w:rPr>
          <w:i/>
          <w:iCs/>
          <w:color w:val="000000" w:themeColor="text1"/>
          <w:lang w:val="vi-VN"/>
          <w14:textFill>
            <w14:solidFill>
              <w14:schemeClr w14:val="tx1"/>
            </w14:solidFill>
          </w14:textFill>
        </w:rPr>
        <w:t xml:space="preserve">.3.2. </w:t>
      </w:r>
      <w:r>
        <w:rPr>
          <w:i/>
          <w:iCs/>
          <w:color w:val="000000" w:themeColor="text1"/>
          <w14:textFill>
            <w14:solidFill>
              <w14:schemeClr w14:val="tx1"/>
            </w14:solidFill>
          </w14:textFill>
        </w:rPr>
        <w:t>Exploratory factor analysis of dependent variable</w:t>
      </w:r>
    </w:p>
    <w:p w14:paraId="6B1E9F6D">
      <w:pPr>
        <w:pStyle w:val="18"/>
        <w:spacing w:before="0" w:beforeAutospacing="0" w:after="0" w:afterAutospacing="0" w:line="276" w:lineRule="auto"/>
        <w:ind w:firstLine="720"/>
        <w:jc w:val="both"/>
      </w:pPr>
      <w:r>
        <w:rPr>
          <w:rFonts w:eastAsia="SimSun"/>
        </w:rPr>
        <w:t>An exploratory factor analysis (EFA) was also conducted on the four items of the dependent variable, language choice, to confirm its unidimensionality (that all items measure a single underlying concept). As shown in Table 5, the data was well-suited for this analysis. The KMO measure was a meritorious 0.792, and Bartlett's Test of Sphericity was highly significant (Approx. χ²(276) = 7356.475, p &lt; .001)</w:t>
      </w:r>
      <w:r>
        <w:t>.</w:t>
      </w:r>
    </w:p>
    <w:p w14:paraId="10D71415">
      <w:pPr>
        <w:spacing w:after="0"/>
        <w:jc w:val="center"/>
        <w:rPr>
          <w:rFonts w:asciiTheme="majorBidi" w:hAnsiTheme="majorBidi" w:cstheme="majorBidi"/>
          <w:bCs/>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 xml:space="preserve">Table 5. </w:t>
      </w:r>
      <w:r>
        <w:rPr>
          <w:rFonts w:asciiTheme="majorBidi" w:hAnsiTheme="majorBidi" w:cstheme="majorBidi"/>
          <w:bCs/>
          <w:color w:val="000000" w:themeColor="text1"/>
          <w:sz w:val="24"/>
          <w:szCs w:val="24"/>
          <w14:textFill>
            <w14:solidFill>
              <w14:schemeClr w14:val="tx1"/>
            </w14:solidFill>
          </w14:textFill>
        </w:rPr>
        <w:t>KMO and Bartlett's test</w:t>
      </w:r>
    </w:p>
    <w:tbl>
      <w:tblPr>
        <w:tblStyle w:val="7"/>
        <w:tblW w:w="6677"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2844"/>
        <w:gridCol w:w="2351"/>
        <w:gridCol w:w="1482"/>
      </w:tblGrid>
      <w:tr w14:paraId="72F022D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jc w:val="center"/>
        </w:trPr>
        <w:tc>
          <w:tcPr>
            <w:tcW w:w="5195" w:type="dxa"/>
            <w:gridSpan w:val="2"/>
          </w:tcPr>
          <w:p w14:paraId="262A2A4B">
            <w:pPr>
              <w:spacing w:after="0"/>
              <w:ind w:left="60" w:right="6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Kaiser-Meyer-Olkin Measure of Sampling Adequacy.</w:t>
            </w:r>
          </w:p>
        </w:tc>
        <w:tc>
          <w:tcPr>
            <w:tcW w:w="1482" w:type="dxa"/>
          </w:tcPr>
          <w:p w14:paraId="3AA54FB8">
            <w:pPr>
              <w:spacing w:after="0"/>
              <w:ind w:left="60" w:right="6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.792</w:t>
            </w:r>
          </w:p>
        </w:tc>
      </w:tr>
      <w:tr w14:paraId="5EE0F69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jc w:val="center"/>
        </w:trPr>
        <w:tc>
          <w:tcPr>
            <w:tcW w:w="2844" w:type="dxa"/>
            <w:vMerge w:val="restart"/>
          </w:tcPr>
          <w:p w14:paraId="017508D2">
            <w:pPr>
              <w:spacing w:after="0"/>
              <w:ind w:left="60" w:right="6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Bartlett's Test of Sphericity</w:t>
            </w:r>
          </w:p>
        </w:tc>
        <w:tc>
          <w:tcPr>
            <w:tcW w:w="2351" w:type="dxa"/>
            <w:tcBorders>
              <w:bottom w:val="nil"/>
            </w:tcBorders>
          </w:tcPr>
          <w:p w14:paraId="01DFFFB0">
            <w:pPr>
              <w:spacing w:after="0"/>
              <w:ind w:left="60" w:right="6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Approx. Chi-Square</w:t>
            </w:r>
          </w:p>
        </w:tc>
        <w:tc>
          <w:tcPr>
            <w:tcW w:w="1482" w:type="dxa"/>
            <w:tcBorders>
              <w:bottom w:val="nil"/>
            </w:tcBorders>
          </w:tcPr>
          <w:p w14:paraId="0960BA8A">
            <w:pPr>
              <w:spacing w:after="0"/>
              <w:ind w:left="60" w:right="6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572.305</w:t>
            </w:r>
          </w:p>
        </w:tc>
      </w:tr>
      <w:tr w14:paraId="4D6F9E8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jc w:val="center"/>
        </w:trPr>
        <w:tc>
          <w:tcPr>
            <w:tcW w:w="2844" w:type="dxa"/>
            <w:vMerge w:val="continue"/>
          </w:tcPr>
          <w:p w14:paraId="775FED3D">
            <w:pPr>
              <w:spacing w:after="0"/>
              <w:jc w:val="both"/>
              <w:rPr>
                <w:rFonts w:ascii="Times New Roman" w:hAnsi="Times New Roman" w:cs="Times New Roman"/>
                <w:color w:val="000000" w:themeColor="text1"/>
                <w14:textFill>
                  <w14:solidFill>
                    <w14:schemeClr w14:val="tx1"/>
                  </w14:solidFill>
                </w14:textFill>
              </w:rPr>
            </w:pPr>
          </w:p>
        </w:tc>
        <w:tc>
          <w:tcPr>
            <w:tcW w:w="2351" w:type="dxa"/>
            <w:tcBorders>
              <w:top w:val="nil"/>
              <w:bottom w:val="nil"/>
            </w:tcBorders>
          </w:tcPr>
          <w:p w14:paraId="361D38B8">
            <w:pPr>
              <w:spacing w:after="0"/>
              <w:ind w:left="60" w:right="6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df</w:t>
            </w:r>
          </w:p>
        </w:tc>
        <w:tc>
          <w:tcPr>
            <w:tcW w:w="1482" w:type="dxa"/>
            <w:tcBorders>
              <w:top w:val="nil"/>
              <w:bottom w:val="nil"/>
            </w:tcBorders>
          </w:tcPr>
          <w:p w14:paraId="1A15B28E">
            <w:pPr>
              <w:spacing w:after="0"/>
              <w:ind w:left="60" w:right="6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w:t>
            </w:r>
          </w:p>
        </w:tc>
      </w:tr>
      <w:tr w14:paraId="2D3A4FA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jc w:val="center"/>
        </w:trPr>
        <w:tc>
          <w:tcPr>
            <w:tcW w:w="2844" w:type="dxa"/>
            <w:vMerge w:val="continue"/>
          </w:tcPr>
          <w:p w14:paraId="4E2213BC">
            <w:pPr>
              <w:spacing w:after="0"/>
              <w:jc w:val="both"/>
              <w:rPr>
                <w:rFonts w:ascii="Times New Roman" w:hAnsi="Times New Roman" w:cs="Times New Roman"/>
                <w:color w:val="000000" w:themeColor="text1"/>
                <w14:textFill>
                  <w14:solidFill>
                    <w14:schemeClr w14:val="tx1"/>
                  </w14:solidFill>
                </w14:textFill>
              </w:rPr>
            </w:pPr>
          </w:p>
        </w:tc>
        <w:tc>
          <w:tcPr>
            <w:tcW w:w="2351" w:type="dxa"/>
            <w:tcBorders>
              <w:top w:val="nil"/>
            </w:tcBorders>
          </w:tcPr>
          <w:p w14:paraId="0C5BF9F4">
            <w:pPr>
              <w:spacing w:after="0"/>
              <w:ind w:left="60" w:right="6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Sig.</w:t>
            </w:r>
          </w:p>
        </w:tc>
        <w:tc>
          <w:tcPr>
            <w:tcW w:w="1482" w:type="dxa"/>
            <w:tcBorders>
              <w:top w:val="nil"/>
            </w:tcBorders>
          </w:tcPr>
          <w:p w14:paraId="3F90B346">
            <w:pPr>
              <w:spacing w:after="0"/>
              <w:ind w:left="60" w:right="6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.000</w:t>
            </w:r>
          </w:p>
        </w:tc>
      </w:tr>
    </w:tbl>
    <w:p w14:paraId="310EC7F5">
      <w:pPr>
        <w:spacing w:after="0"/>
        <w:jc w:val="both"/>
        <w:rPr>
          <w:rFonts w:asciiTheme="majorBidi" w:hAnsiTheme="majorBidi" w:cstheme="majorBidi"/>
          <w:bCs/>
          <w:color w:val="000000" w:themeColor="text1"/>
          <w14:textFill>
            <w14:solidFill>
              <w14:schemeClr w14:val="tx1"/>
            </w14:solidFill>
          </w14:textFill>
        </w:rPr>
      </w:pPr>
    </w:p>
    <w:p w14:paraId="1F19D95F">
      <w:pPr>
        <w:pStyle w:val="18"/>
        <w:spacing w:before="0" w:beforeAutospacing="0" w:after="0" w:afterAutospacing="0" w:line="276" w:lineRule="auto"/>
        <w:ind w:firstLine="720"/>
        <w:jc w:val="both"/>
        <w:rPr>
          <w:rFonts w:eastAsia="SimSun"/>
        </w:rPr>
      </w:pPr>
      <w:r>
        <w:rPr>
          <w:rFonts w:eastAsia="SimSun"/>
        </w:rPr>
        <w:t>The analysis, detailed in Table 6, extracted a single, robust factor based on the Kaiser's criterion (an initial eigenvalue &gt; 1.0). This principal component had an initial eigenvalue of 2.527 and explained a substantial 63.168% of the total variance.</w:t>
      </w:r>
    </w:p>
    <w:p w14:paraId="3DB4E369">
      <w:pPr>
        <w:spacing w:after="0"/>
        <w:jc w:val="center"/>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b/>
          <w:bCs/>
          <w:color w:val="000000" w:themeColor="text1"/>
          <w:sz w:val="24"/>
          <w:szCs w:val="24"/>
          <w14:textFill>
            <w14:solidFill>
              <w14:schemeClr w14:val="tx1"/>
            </w14:solidFill>
          </w14:textFill>
        </w:rPr>
        <w:t>Table 6.</w:t>
      </w:r>
      <w:r>
        <w:rPr>
          <w:rFonts w:asciiTheme="majorBidi" w:hAnsiTheme="majorBidi" w:cstheme="majorBidi"/>
          <w:color w:val="000000" w:themeColor="text1"/>
          <w:sz w:val="24"/>
          <w:szCs w:val="24"/>
          <w14:textFill>
            <w14:solidFill>
              <w14:schemeClr w14:val="tx1"/>
            </w14:solidFill>
          </w14:textFill>
        </w:rPr>
        <w:t xml:space="preserve"> Total variance explained</w:t>
      </w:r>
    </w:p>
    <w:tbl>
      <w:tblPr>
        <w:tblStyle w:val="7"/>
        <w:tblW w:w="9296"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1291"/>
        <w:gridCol w:w="1029"/>
        <w:gridCol w:w="1444"/>
        <w:gridCol w:w="1460"/>
        <w:gridCol w:w="1168"/>
        <w:gridCol w:w="1444"/>
        <w:gridCol w:w="1460"/>
      </w:tblGrid>
      <w:tr w14:paraId="15607C1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1291" w:type="dxa"/>
            <w:vMerge w:val="restart"/>
            <w:vAlign w:val="bottom"/>
          </w:tcPr>
          <w:p w14:paraId="5F84FB13">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Component</w:t>
            </w:r>
          </w:p>
        </w:tc>
        <w:tc>
          <w:tcPr>
            <w:tcW w:w="3933" w:type="dxa"/>
            <w:gridSpan w:val="3"/>
            <w:vAlign w:val="bottom"/>
          </w:tcPr>
          <w:p w14:paraId="0BA0F022">
            <w:pPr>
              <w:spacing w:after="0"/>
              <w:ind w:left="60"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Initial Eigenvalues</w:t>
            </w:r>
          </w:p>
        </w:tc>
        <w:tc>
          <w:tcPr>
            <w:tcW w:w="4072" w:type="dxa"/>
            <w:gridSpan w:val="3"/>
            <w:vAlign w:val="bottom"/>
          </w:tcPr>
          <w:p w14:paraId="3828EEDE">
            <w:pPr>
              <w:spacing w:after="0"/>
              <w:ind w:left="60"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Extraction Sums of Squared Loadings</w:t>
            </w:r>
          </w:p>
        </w:tc>
      </w:tr>
      <w:tr w14:paraId="1939FCF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1291" w:type="dxa"/>
            <w:vMerge w:val="continue"/>
            <w:tcBorders>
              <w:bottom w:val="single" w:color="auto" w:sz="4" w:space="0"/>
            </w:tcBorders>
            <w:vAlign w:val="bottom"/>
          </w:tcPr>
          <w:p w14:paraId="31843B3E">
            <w:pPr>
              <w:spacing w:after="0"/>
              <w:rPr>
                <w:rFonts w:ascii="Times New Roman" w:hAnsi="Times New Roman" w:cs="Times New Roman"/>
                <w:color w:val="000000" w:themeColor="text1"/>
                <w14:textFill>
                  <w14:solidFill>
                    <w14:schemeClr w14:val="tx1"/>
                  </w14:solidFill>
                </w14:textFill>
              </w:rPr>
            </w:pPr>
          </w:p>
        </w:tc>
        <w:tc>
          <w:tcPr>
            <w:tcW w:w="1029" w:type="dxa"/>
            <w:tcBorders>
              <w:bottom w:val="single" w:color="auto" w:sz="4" w:space="0"/>
            </w:tcBorders>
            <w:vAlign w:val="bottom"/>
          </w:tcPr>
          <w:p w14:paraId="38E193AA">
            <w:pPr>
              <w:spacing w:after="0"/>
              <w:ind w:left="60"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Total</w:t>
            </w:r>
          </w:p>
        </w:tc>
        <w:tc>
          <w:tcPr>
            <w:tcW w:w="1444" w:type="dxa"/>
            <w:tcBorders>
              <w:bottom w:val="single" w:color="auto" w:sz="4" w:space="0"/>
            </w:tcBorders>
            <w:vAlign w:val="bottom"/>
          </w:tcPr>
          <w:p w14:paraId="40EAA7F1">
            <w:pPr>
              <w:spacing w:after="0"/>
              <w:ind w:left="60"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of Variance</w:t>
            </w:r>
          </w:p>
        </w:tc>
        <w:tc>
          <w:tcPr>
            <w:tcW w:w="1460" w:type="dxa"/>
            <w:tcBorders>
              <w:bottom w:val="single" w:color="auto" w:sz="4" w:space="0"/>
            </w:tcBorders>
            <w:vAlign w:val="bottom"/>
          </w:tcPr>
          <w:p w14:paraId="05399176">
            <w:pPr>
              <w:spacing w:after="0"/>
              <w:ind w:left="60"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Cumulative %</w:t>
            </w:r>
          </w:p>
        </w:tc>
        <w:tc>
          <w:tcPr>
            <w:tcW w:w="1168" w:type="dxa"/>
            <w:tcBorders>
              <w:bottom w:val="single" w:color="auto" w:sz="4" w:space="0"/>
            </w:tcBorders>
            <w:vAlign w:val="bottom"/>
          </w:tcPr>
          <w:p w14:paraId="0C8E053B">
            <w:pPr>
              <w:spacing w:after="0"/>
              <w:ind w:left="60"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Total</w:t>
            </w:r>
          </w:p>
        </w:tc>
        <w:tc>
          <w:tcPr>
            <w:tcW w:w="1444" w:type="dxa"/>
            <w:tcBorders>
              <w:bottom w:val="single" w:color="auto" w:sz="4" w:space="0"/>
            </w:tcBorders>
            <w:vAlign w:val="bottom"/>
          </w:tcPr>
          <w:p w14:paraId="3F6B661A">
            <w:pPr>
              <w:spacing w:after="0"/>
              <w:ind w:left="60"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of Variance</w:t>
            </w:r>
          </w:p>
        </w:tc>
        <w:tc>
          <w:tcPr>
            <w:tcW w:w="1460" w:type="dxa"/>
            <w:tcBorders>
              <w:bottom w:val="single" w:color="auto" w:sz="4" w:space="0"/>
            </w:tcBorders>
            <w:vAlign w:val="bottom"/>
          </w:tcPr>
          <w:p w14:paraId="1638B9BB">
            <w:pPr>
              <w:spacing w:after="0"/>
              <w:ind w:left="60" w:right="60"/>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Cumulative %</w:t>
            </w:r>
          </w:p>
        </w:tc>
      </w:tr>
      <w:tr w14:paraId="7AFA6DA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1291" w:type="dxa"/>
            <w:tcBorders>
              <w:bottom w:val="nil"/>
            </w:tcBorders>
          </w:tcPr>
          <w:p w14:paraId="60A9AABA">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w:t>
            </w:r>
          </w:p>
        </w:tc>
        <w:tc>
          <w:tcPr>
            <w:tcW w:w="1029" w:type="dxa"/>
            <w:tcBorders>
              <w:bottom w:val="nil"/>
            </w:tcBorders>
          </w:tcPr>
          <w:p w14:paraId="6807811A">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2.527</w:t>
            </w:r>
          </w:p>
        </w:tc>
        <w:tc>
          <w:tcPr>
            <w:tcW w:w="1444" w:type="dxa"/>
            <w:tcBorders>
              <w:bottom w:val="nil"/>
            </w:tcBorders>
          </w:tcPr>
          <w:p w14:paraId="02F0B2FE">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63.168</w:t>
            </w:r>
          </w:p>
        </w:tc>
        <w:tc>
          <w:tcPr>
            <w:tcW w:w="1460" w:type="dxa"/>
            <w:tcBorders>
              <w:bottom w:val="nil"/>
            </w:tcBorders>
          </w:tcPr>
          <w:p w14:paraId="670F6701">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63.168</w:t>
            </w:r>
          </w:p>
        </w:tc>
        <w:tc>
          <w:tcPr>
            <w:tcW w:w="1168" w:type="dxa"/>
            <w:tcBorders>
              <w:bottom w:val="nil"/>
            </w:tcBorders>
          </w:tcPr>
          <w:p w14:paraId="54EF7C10">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2.527</w:t>
            </w:r>
          </w:p>
        </w:tc>
        <w:tc>
          <w:tcPr>
            <w:tcW w:w="1444" w:type="dxa"/>
            <w:tcBorders>
              <w:bottom w:val="nil"/>
            </w:tcBorders>
          </w:tcPr>
          <w:p w14:paraId="02775579">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63.168</w:t>
            </w:r>
          </w:p>
        </w:tc>
        <w:tc>
          <w:tcPr>
            <w:tcW w:w="1460" w:type="dxa"/>
            <w:tcBorders>
              <w:bottom w:val="nil"/>
            </w:tcBorders>
          </w:tcPr>
          <w:p w14:paraId="3716A666">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63.168</w:t>
            </w:r>
          </w:p>
        </w:tc>
      </w:tr>
      <w:tr w14:paraId="40CC5D1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1291" w:type="dxa"/>
            <w:tcBorders>
              <w:top w:val="nil"/>
              <w:bottom w:val="nil"/>
            </w:tcBorders>
          </w:tcPr>
          <w:p w14:paraId="744E4F6D">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2</w:t>
            </w:r>
          </w:p>
        </w:tc>
        <w:tc>
          <w:tcPr>
            <w:tcW w:w="1029" w:type="dxa"/>
            <w:tcBorders>
              <w:top w:val="nil"/>
              <w:bottom w:val="nil"/>
            </w:tcBorders>
          </w:tcPr>
          <w:p w14:paraId="7B49F0D2">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.598</w:t>
            </w:r>
          </w:p>
        </w:tc>
        <w:tc>
          <w:tcPr>
            <w:tcW w:w="1444" w:type="dxa"/>
            <w:tcBorders>
              <w:top w:val="nil"/>
              <w:bottom w:val="nil"/>
            </w:tcBorders>
          </w:tcPr>
          <w:p w14:paraId="5EA89B9A">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14.950</w:t>
            </w:r>
          </w:p>
        </w:tc>
        <w:tc>
          <w:tcPr>
            <w:tcW w:w="1460" w:type="dxa"/>
            <w:tcBorders>
              <w:top w:val="nil"/>
              <w:bottom w:val="nil"/>
            </w:tcBorders>
          </w:tcPr>
          <w:p w14:paraId="056651C5">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78.117</w:t>
            </w:r>
          </w:p>
        </w:tc>
        <w:tc>
          <w:tcPr>
            <w:tcW w:w="1168" w:type="dxa"/>
            <w:tcBorders>
              <w:top w:val="nil"/>
              <w:bottom w:val="nil"/>
            </w:tcBorders>
            <w:vAlign w:val="center"/>
          </w:tcPr>
          <w:p w14:paraId="415B987B">
            <w:pPr>
              <w:spacing w:after="0"/>
              <w:rPr>
                <w:rFonts w:ascii="Times New Roman" w:hAnsi="Times New Roman" w:cs="Times New Roman"/>
                <w:color w:val="000000" w:themeColor="text1"/>
                <w14:textFill>
                  <w14:solidFill>
                    <w14:schemeClr w14:val="tx1"/>
                  </w14:solidFill>
                </w14:textFill>
              </w:rPr>
            </w:pPr>
          </w:p>
        </w:tc>
        <w:tc>
          <w:tcPr>
            <w:tcW w:w="1444" w:type="dxa"/>
            <w:tcBorders>
              <w:top w:val="nil"/>
              <w:bottom w:val="nil"/>
            </w:tcBorders>
            <w:vAlign w:val="center"/>
          </w:tcPr>
          <w:p w14:paraId="71F57D13">
            <w:pPr>
              <w:spacing w:after="0"/>
              <w:rPr>
                <w:rFonts w:ascii="Times New Roman" w:hAnsi="Times New Roman" w:cs="Times New Roman"/>
                <w:color w:val="000000" w:themeColor="text1"/>
                <w14:textFill>
                  <w14:solidFill>
                    <w14:schemeClr w14:val="tx1"/>
                  </w14:solidFill>
                </w14:textFill>
              </w:rPr>
            </w:pPr>
          </w:p>
        </w:tc>
        <w:tc>
          <w:tcPr>
            <w:tcW w:w="1460" w:type="dxa"/>
            <w:tcBorders>
              <w:top w:val="nil"/>
              <w:bottom w:val="nil"/>
            </w:tcBorders>
            <w:vAlign w:val="center"/>
          </w:tcPr>
          <w:p w14:paraId="71CC2C4C">
            <w:pPr>
              <w:spacing w:after="0"/>
              <w:rPr>
                <w:rFonts w:ascii="Times New Roman" w:hAnsi="Times New Roman" w:cs="Times New Roman"/>
                <w:color w:val="000000" w:themeColor="text1"/>
                <w14:textFill>
                  <w14:solidFill>
                    <w14:schemeClr w14:val="tx1"/>
                  </w14:solidFill>
                </w14:textFill>
              </w:rPr>
            </w:pPr>
          </w:p>
        </w:tc>
      </w:tr>
      <w:tr w14:paraId="141F08A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1291" w:type="dxa"/>
            <w:tcBorders>
              <w:top w:val="nil"/>
              <w:bottom w:val="nil"/>
            </w:tcBorders>
          </w:tcPr>
          <w:p w14:paraId="7B1D04F6">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3</w:t>
            </w:r>
          </w:p>
        </w:tc>
        <w:tc>
          <w:tcPr>
            <w:tcW w:w="1029" w:type="dxa"/>
            <w:tcBorders>
              <w:top w:val="nil"/>
              <w:bottom w:val="nil"/>
            </w:tcBorders>
          </w:tcPr>
          <w:p w14:paraId="235452FF">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.457</w:t>
            </w:r>
          </w:p>
        </w:tc>
        <w:tc>
          <w:tcPr>
            <w:tcW w:w="1444" w:type="dxa"/>
            <w:tcBorders>
              <w:top w:val="nil"/>
              <w:bottom w:val="nil"/>
            </w:tcBorders>
          </w:tcPr>
          <w:p w14:paraId="7500BD67">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11.427</w:t>
            </w:r>
          </w:p>
        </w:tc>
        <w:tc>
          <w:tcPr>
            <w:tcW w:w="1460" w:type="dxa"/>
            <w:tcBorders>
              <w:top w:val="nil"/>
              <w:bottom w:val="nil"/>
            </w:tcBorders>
          </w:tcPr>
          <w:p w14:paraId="386EFE2C">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89.544</w:t>
            </w:r>
          </w:p>
        </w:tc>
        <w:tc>
          <w:tcPr>
            <w:tcW w:w="1168" w:type="dxa"/>
            <w:tcBorders>
              <w:top w:val="nil"/>
              <w:bottom w:val="nil"/>
            </w:tcBorders>
            <w:vAlign w:val="center"/>
          </w:tcPr>
          <w:p w14:paraId="1519AB3D">
            <w:pPr>
              <w:spacing w:after="0"/>
              <w:rPr>
                <w:rFonts w:ascii="Times New Roman" w:hAnsi="Times New Roman" w:cs="Times New Roman"/>
                <w:color w:val="000000" w:themeColor="text1"/>
                <w14:textFill>
                  <w14:solidFill>
                    <w14:schemeClr w14:val="tx1"/>
                  </w14:solidFill>
                </w14:textFill>
              </w:rPr>
            </w:pPr>
          </w:p>
        </w:tc>
        <w:tc>
          <w:tcPr>
            <w:tcW w:w="1444" w:type="dxa"/>
            <w:tcBorders>
              <w:top w:val="nil"/>
              <w:bottom w:val="nil"/>
            </w:tcBorders>
            <w:vAlign w:val="center"/>
          </w:tcPr>
          <w:p w14:paraId="14CB010E">
            <w:pPr>
              <w:spacing w:after="0"/>
              <w:rPr>
                <w:rFonts w:ascii="Times New Roman" w:hAnsi="Times New Roman" w:cs="Times New Roman"/>
                <w:color w:val="000000" w:themeColor="text1"/>
                <w14:textFill>
                  <w14:solidFill>
                    <w14:schemeClr w14:val="tx1"/>
                  </w14:solidFill>
                </w14:textFill>
              </w:rPr>
            </w:pPr>
          </w:p>
        </w:tc>
        <w:tc>
          <w:tcPr>
            <w:tcW w:w="1460" w:type="dxa"/>
            <w:tcBorders>
              <w:top w:val="nil"/>
              <w:bottom w:val="nil"/>
            </w:tcBorders>
            <w:vAlign w:val="center"/>
          </w:tcPr>
          <w:p w14:paraId="4AF42AE9">
            <w:pPr>
              <w:spacing w:after="0"/>
              <w:rPr>
                <w:rFonts w:ascii="Times New Roman" w:hAnsi="Times New Roman" w:cs="Times New Roman"/>
                <w:color w:val="000000" w:themeColor="text1"/>
                <w14:textFill>
                  <w14:solidFill>
                    <w14:schemeClr w14:val="tx1"/>
                  </w14:solidFill>
                </w14:textFill>
              </w:rPr>
            </w:pPr>
          </w:p>
        </w:tc>
      </w:tr>
      <w:tr w14:paraId="38EEEA9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1291" w:type="dxa"/>
            <w:tcBorders>
              <w:top w:val="nil"/>
            </w:tcBorders>
          </w:tcPr>
          <w:p w14:paraId="059BF0F9">
            <w:pPr>
              <w:spacing w:after="0"/>
              <w:ind w:left="60" w:right="6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w:t>
            </w:r>
          </w:p>
        </w:tc>
        <w:tc>
          <w:tcPr>
            <w:tcW w:w="1029" w:type="dxa"/>
            <w:tcBorders>
              <w:top w:val="nil"/>
            </w:tcBorders>
          </w:tcPr>
          <w:p w14:paraId="4A782F10">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.418</w:t>
            </w:r>
          </w:p>
        </w:tc>
        <w:tc>
          <w:tcPr>
            <w:tcW w:w="1444" w:type="dxa"/>
            <w:tcBorders>
              <w:top w:val="nil"/>
            </w:tcBorders>
          </w:tcPr>
          <w:p w14:paraId="7FB251E6">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10.456</w:t>
            </w:r>
          </w:p>
        </w:tc>
        <w:tc>
          <w:tcPr>
            <w:tcW w:w="1460" w:type="dxa"/>
            <w:tcBorders>
              <w:top w:val="nil"/>
            </w:tcBorders>
          </w:tcPr>
          <w:p w14:paraId="76FCE3A1">
            <w:pPr>
              <w:spacing w:after="0"/>
              <w:ind w:left="60" w:right="60"/>
              <w:jc w:val="right"/>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100.000</w:t>
            </w:r>
          </w:p>
        </w:tc>
        <w:tc>
          <w:tcPr>
            <w:tcW w:w="1168" w:type="dxa"/>
            <w:tcBorders>
              <w:top w:val="nil"/>
            </w:tcBorders>
            <w:vAlign w:val="center"/>
          </w:tcPr>
          <w:p w14:paraId="5EB59A16">
            <w:pPr>
              <w:spacing w:after="0"/>
              <w:rPr>
                <w:rFonts w:ascii="Times New Roman" w:hAnsi="Times New Roman" w:cs="Times New Roman"/>
                <w:color w:val="000000" w:themeColor="text1"/>
                <w14:textFill>
                  <w14:solidFill>
                    <w14:schemeClr w14:val="tx1"/>
                  </w14:solidFill>
                </w14:textFill>
              </w:rPr>
            </w:pPr>
          </w:p>
        </w:tc>
        <w:tc>
          <w:tcPr>
            <w:tcW w:w="1444" w:type="dxa"/>
            <w:tcBorders>
              <w:top w:val="nil"/>
            </w:tcBorders>
            <w:vAlign w:val="center"/>
          </w:tcPr>
          <w:p w14:paraId="77E52EE8">
            <w:pPr>
              <w:spacing w:after="0"/>
              <w:rPr>
                <w:rFonts w:ascii="Times New Roman" w:hAnsi="Times New Roman" w:cs="Times New Roman"/>
                <w:color w:val="000000" w:themeColor="text1"/>
                <w14:textFill>
                  <w14:solidFill>
                    <w14:schemeClr w14:val="tx1"/>
                  </w14:solidFill>
                </w14:textFill>
              </w:rPr>
            </w:pPr>
          </w:p>
        </w:tc>
        <w:tc>
          <w:tcPr>
            <w:tcW w:w="1460" w:type="dxa"/>
            <w:tcBorders>
              <w:top w:val="nil"/>
            </w:tcBorders>
            <w:vAlign w:val="center"/>
          </w:tcPr>
          <w:p w14:paraId="2E457038">
            <w:pPr>
              <w:spacing w:after="0"/>
              <w:rPr>
                <w:rFonts w:ascii="Times New Roman" w:hAnsi="Times New Roman" w:cs="Times New Roman"/>
                <w:color w:val="000000" w:themeColor="text1"/>
                <w14:textFill>
                  <w14:solidFill>
                    <w14:schemeClr w14:val="tx1"/>
                  </w14:solidFill>
                </w14:textFill>
              </w:rPr>
            </w:pPr>
          </w:p>
        </w:tc>
      </w:tr>
      <w:tr w14:paraId="6223680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Pr>
        <w:tc>
          <w:tcPr>
            <w:tcW w:w="9296" w:type="dxa"/>
            <w:gridSpan w:val="7"/>
          </w:tcPr>
          <w:p w14:paraId="40AA58F4">
            <w:pPr>
              <w:spacing w:after="0"/>
              <w:ind w:left="60" w:right="60"/>
              <w:rPr>
                <w:rFonts w:ascii="Times New Roman" w:hAnsi="Times New Roman" w:cs="Times New Roman"/>
                <w:color w:val="010205"/>
              </w:rPr>
            </w:pPr>
            <w:r>
              <w:rPr>
                <w:rFonts w:ascii="Times New Roman" w:hAnsi="Times New Roman" w:cs="Times New Roman"/>
                <w:color w:val="010205"/>
              </w:rPr>
              <w:t>Extraction Method: Principal Component Analysis.</w:t>
            </w:r>
          </w:p>
        </w:tc>
      </w:tr>
    </w:tbl>
    <w:p w14:paraId="035A90CA">
      <w:pPr>
        <w:pStyle w:val="18"/>
        <w:spacing w:before="0" w:beforeAutospacing="0" w:after="0" w:afterAutospacing="0" w:line="276" w:lineRule="auto"/>
        <w:ind w:firstLine="720"/>
      </w:pPr>
    </w:p>
    <w:p w14:paraId="44714A5B">
      <w:pPr>
        <w:pStyle w:val="18"/>
        <w:spacing w:before="0" w:beforeAutospacing="0" w:after="0" w:afterAutospacing="0" w:line="276" w:lineRule="auto"/>
        <w:ind w:firstLine="720"/>
        <w:jc w:val="both"/>
      </w:pPr>
      <w:r>
        <w:t>This result, which far exceeds the minimum 50% threshold, provides strong evidence for the unidimensionality of the language choice construct. It confirms that the four items effectively converge to measure a single concept and are suitable for use as a composite dependent variable in the regression analysis.</w:t>
      </w:r>
    </w:p>
    <w:p w14:paraId="493E6F02">
      <w:pPr>
        <w:pStyle w:val="18"/>
        <w:spacing w:before="0" w:beforeAutospacing="0" w:after="0" w:afterAutospacing="0" w:line="276" w:lineRule="auto"/>
        <w:ind w:firstLine="720"/>
        <w:jc w:val="both"/>
      </w:pPr>
      <w:r>
        <w:t>The component matrix (Table 7) confirmed this single-factor structure. It reveals that all four items measuring the dependent variable (LC) loaded decisively onto this one component, with all factor loadings being high and ranging from .754 to .833.</w:t>
      </w:r>
    </w:p>
    <w:p w14:paraId="7B35736B">
      <w:pPr>
        <w:pStyle w:val="18"/>
        <w:spacing w:before="0" w:beforeAutospacing="0" w:after="0" w:afterAutospacing="0" w:line="276" w:lineRule="auto"/>
        <w:jc w:val="center"/>
        <w:rPr>
          <w:bCs/>
        </w:rPr>
      </w:pPr>
      <w:r>
        <w:rPr>
          <w:b/>
          <w:bCs/>
        </w:rPr>
        <w:t xml:space="preserve">Table 7. </w:t>
      </w:r>
      <w:r>
        <w:rPr>
          <w:rFonts w:eastAsia="SimSun"/>
          <w:lang w:val="da-DK"/>
        </w:rPr>
        <w:t>Component</w:t>
      </w:r>
      <w:r>
        <w:rPr>
          <w:bCs/>
        </w:rPr>
        <w:t xml:space="preserve"> matrix</w:t>
      </w:r>
    </w:p>
    <w:tbl>
      <w:tblPr>
        <w:tblStyle w:val="7"/>
        <w:tblW w:w="4823"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816"/>
        <w:gridCol w:w="3000"/>
        <w:gridCol w:w="7"/>
      </w:tblGrid>
      <w:tr w14:paraId="754332C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7" w:type="dxa"/>
          <w:trHeight w:val="255" w:hRule="atLeast"/>
          <w:jc w:val="center"/>
        </w:trPr>
        <w:tc>
          <w:tcPr>
            <w:tcW w:w="1816" w:type="dxa"/>
            <w:vMerge w:val="restart"/>
            <w:vAlign w:val="bottom"/>
          </w:tcPr>
          <w:p w14:paraId="4C99CBF4">
            <w:pPr>
              <w:spacing w:after="0"/>
              <w:rPr>
                <w:rFonts w:ascii="Times New Roman" w:hAnsi="Times New Roman" w:eastAsia="Times New Roman" w:cs="Times New Roman"/>
                <w:lang w:eastAsia="en-US"/>
              </w:rPr>
            </w:pPr>
            <w:r>
              <w:rPr>
                <w:rFonts w:ascii="Times New Roman" w:hAnsi="Times New Roman" w:eastAsia="Times New Roman" w:cs="Times New Roman"/>
                <w:lang w:eastAsia="en-US"/>
              </w:rPr>
              <w:t> </w:t>
            </w:r>
          </w:p>
        </w:tc>
        <w:tc>
          <w:tcPr>
            <w:tcW w:w="3000" w:type="dxa"/>
            <w:vAlign w:val="bottom"/>
          </w:tcPr>
          <w:p w14:paraId="433221B0">
            <w:pPr>
              <w:spacing w:after="0"/>
              <w:jc w:val="center"/>
              <w:rPr>
                <w:rFonts w:ascii="Times New Roman" w:hAnsi="Times New Roman" w:eastAsia="Times New Roman" w:cs="Times New Roman"/>
                <w:lang w:eastAsia="en-US"/>
              </w:rPr>
            </w:pPr>
            <w:r>
              <w:rPr>
                <w:rFonts w:ascii="Times New Roman" w:hAnsi="Times New Roman" w:eastAsia="Times New Roman" w:cs="Times New Roman"/>
                <w:lang w:eastAsia="en-US"/>
              </w:rPr>
              <w:t>Component</w:t>
            </w:r>
          </w:p>
        </w:tc>
      </w:tr>
      <w:tr w14:paraId="6E840A9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7" w:type="dxa"/>
          <w:trHeight w:val="255" w:hRule="atLeast"/>
          <w:jc w:val="center"/>
        </w:trPr>
        <w:tc>
          <w:tcPr>
            <w:tcW w:w="1816" w:type="dxa"/>
            <w:vMerge w:val="continue"/>
            <w:tcBorders>
              <w:bottom w:val="single" w:color="auto" w:sz="4" w:space="0"/>
            </w:tcBorders>
            <w:vAlign w:val="center"/>
          </w:tcPr>
          <w:p w14:paraId="2E00E8D2">
            <w:pPr>
              <w:spacing w:after="0"/>
              <w:rPr>
                <w:rFonts w:ascii="Times New Roman" w:hAnsi="Times New Roman" w:eastAsia="Times New Roman" w:cs="Times New Roman"/>
                <w:lang w:eastAsia="en-US"/>
              </w:rPr>
            </w:pPr>
          </w:p>
        </w:tc>
        <w:tc>
          <w:tcPr>
            <w:tcW w:w="3000" w:type="dxa"/>
            <w:tcBorders>
              <w:bottom w:val="single" w:color="auto" w:sz="4" w:space="0"/>
            </w:tcBorders>
            <w:noWrap/>
            <w:vAlign w:val="bottom"/>
          </w:tcPr>
          <w:p w14:paraId="73F08DFD">
            <w:pPr>
              <w:spacing w:after="0"/>
              <w:jc w:val="center"/>
              <w:rPr>
                <w:rFonts w:ascii="Times New Roman" w:hAnsi="Times New Roman" w:eastAsia="Times New Roman" w:cs="Times New Roman"/>
                <w:lang w:eastAsia="en-US"/>
              </w:rPr>
            </w:pPr>
            <w:r>
              <w:rPr>
                <w:rFonts w:ascii="Times New Roman" w:hAnsi="Times New Roman" w:eastAsia="Times New Roman" w:cs="Times New Roman"/>
                <w:lang w:eastAsia="en-US"/>
              </w:rPr>
              <w:t>1</w:t>
            </w:r>
          </w:p>
        </w:tc>
      </w:tr>
      <w:tr w14:paraId="50A000B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7" w:type="dxa"/>
          <w:trHeight w:val="255" w:hRule="atLeast"/>
          <w:jc w:val="center"/>
        </w:trPr>
        <w:tc>
          <w:tcPr>
            <w:tcW w:w="1816" w:type="dxa"/>
            <w:tcBorders>
              <w:bottom w:val="nil"/>
            </w:tcBorders>
          </w:tcPr>
          <w:p w14:paraId="5A97EB7F">
            <w:pPr>
              <w:spacing w:after="0"/>
              <w:rPr>
                <w:rFonts w:ascii="Times New Roman" w:hAnsi="Times New Roman" w:eastAsia="Times New Roman" w:cs="Times New Roman"/>
                <w:lang w:eastAsia="en-US"/>
              </w:rPr>
            </w:pPr>
            <w:r>
              <w:rPr>
                <w:rFonts w:ascii="Times New Roman" w:hAnsi="Times New Roman" w:eastAsia="Times New Roman" w:cs="Times New Roman"/>
                <w:lang w:eastAsia="en-US"/>
              </w:rPr>
              <w:t>LC4</w:t>
            </w:r>
          </w:p>
        </w:tc>
        <w:tc>
          <w:tcPr>
            <w:tcW w:w="3000" w:type="dxa"/>
            <w:tcBorders>
              <w:bottom w:val="nil"/>
            </w:tcBorders>
            <w:noWrap/>
          </w:tcPr>
          <w:p w14:paraId="1132457A">
            <w:pPr>
              <w:spacing w:after="0"/>
              <w:ind w:left="60" w:right="60"/>
              <w:jc w:val="right"/>
              <w:rPr>
                <w:rFonts w:ascii="Times New Roman" w:hAnsi="Times New Roman" w:cs="Times New Roman"/>
                <w:lang w:eastAsia="en-US"/>
              </w:rPr>
            </w:pPr>
            <w:r>
              <w:rPr>
                <w:rFonts w:ascii="Times New Roman" w:hAnsi="Times New Roman" w:cs="Times New Roman"/>
              </w:rPr>
              <w:t>.833</w:t>
            </w:r>
          </w:p>
        </w:tc>
      </w:tr>
      <w:tr w14:paraId="7C726AF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7" w:type="dxa"/>
          <w:trHeight w:val="255" w:hRule="atLeast"/>
          <w:jc w:val="center"/>
        </w:trPr>
        <w:tc>
          <w:tcPr>
            <w:tcW w:w="1816" w:type="dxa"/>
            <w:tcBorders>
              <w:top w:val="nil"/>
              <w:bottom w:val="nil"/>
            </w:tcBorders>
          </w:tcPr>
          <w:p w14:paraId="2548F49B">
            <w:pPr>
              <w:spacing w:after="0"/>
              <w:rPr>
                <w:rFonts w:ascii="Times New Roman" w:hAnsi="Times New Roman" w:eastAsia="Times New Roman" w:cs="Times New Roman"/>
                <w:lang w:eastAsia="en-US"/>
              </w:rPr>
            </w:pPr>
            <w:r>
              <w:rPr>
                <w:rFonts w:ascii="Times New Roman" w:hAnsi="Times New Roman" w:eastAsia="Times New Roman" w:cs="Times New Roman"/>
                <w:lang w:eastAsia="en-US"/>
              </w:rPr>
              <w:t>LC2</w:t>
            </w:r>
          </w:p>
        </w:tc>
        <w:tc>
          <w:tcPr>
            <w:tcW w:w="3000" w:type="dxa"/>
            <w:tcBorders>
              <w:top w:val="nil"/>
              <w:bottom w:val="nil"/>
            </w:tcBorders>
            <w:noWrap/>
          </w:tcPr>
          <w:p w14:paraId="7ADC9CA5">
            <w:pPr>
              <w:spacing w:after="0"/>
              <w:ind w:left="60" w:right="60"/>
              <w:jc w:val="right"/>
              <w:rPr>
                <w:rFonts w:ascii="Times New Roman" w:hAnsi="Times New Roman" w:cs="Times New Roman"/>
                <w:lang w:eastAsia="en-US"/>
              </w:rPr>
            </w:pPr>
            <w:r>
              <w:rPr>
                <w:rFonts w:ascii="Times New Roman" w:hAnsi="Times New Roman" w:cs="Times New Roman"/>
              </w:rPr>
              <w:t>.817</w:t>
            </w:r>
          </w:p>
        </w:tc>
      </w:tr>
      <w:tr w14:paraId="5212790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7" w:type="dxa"/>
          <w:trHeight w:val="255" w:hRule="atLeast"/>
          <w:jc w:val="center"/>
        </w:trPr>
        <w:tc>
          <w:tcPr>
            <w:tcW w:w="1816" w:type="dxa"/>
            <w:tcBorders>
              <w:top w:val="nil"/>
              <w:bottom w:val="nil"/>
            </w:tcBorders>
          </w:tcPr>
          <w:p w14:paraId="4C7D62E9">
            <w:pPr>
              <w:spacing w:after="0"/>
              <w:rPr>
                <w:rFonts w:ascii="Times New Roman" w:hAnsi="Times New Roman" w:eastAsia="Times New Roman" w:cs="Times New Roman"/>
                <w:lang w:eastAsia="en-US"/>
              </w:rPr>
            </w:pPr>
            <w:r>
              <w:rPr>
                <w:rFonts w:ascii="Times New Roman" w:hAnsi="Times New Roman" w:eastAsia="Times New Roman" w:cs="Times New Roman"/>
                <w:lang w:eastAsia="en-US"/>
              </w:rPr>
              <w:t>LC3</w:t>
            </w:r>
          </w:p>
        </w:tc>
        <w:tc>
          <w:tcPr>
            <w:tcW w:w="3000" w:type="dxa"/>
            <w:tcBorders>
              <w:top w:val="nil"/>
              <w:bottom w:val="nil"/>
            </w:tcBorders>
            <w:noWrap/>
          </w:tcPr>
          <w:p w14:paraId="014869E0">
            <w:pPr>
              <w:spacing w:after="0"/>
              <w:ind w:left="60" w:right="60"/>
              <w:jc w:val="right"/>
              <w:rPr>
                <w:rFonts w:ascii="Times New Roman" w:hAnsi="Times New Roman" w:cs="Times New Roman"/>
                <w:lang w:eastAsia="en-US"/>
              </w:rPr>
            </w:pPr>
            <w:r>
              <w:rPr>
                <w:rFonts w:ascii="Times New Roman" w:hAnsi="Times New Roman" w:cs="Times New Roman"/>
              </w:rPr>
              <w:t>.772</w:t>
            </w:r>
          </w:p>
        </w:tc>
      </w:tr>
      <w:tr w14:paraId="6925023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1"/>
          <w:wAfter w:w="7" w:type="dxa"/>
          <w:trHeight w:val="255" w:hRule="atLeast"/>
          <w:jc w:val="center"/>
        </w:trPr>
        <w:tc>
          <w:tcPr>
            <w:tcW w:w="1816" w:type="dxa"/>
            <w:tcBorders>
              <w:top w:val="nil"/>
            </w:tcBorders>
          </w:tcPr>
          <w:p w14:paraId="29BB279E">
            <w:pPr>
              <w:spacing w:after="0"/>
              <w:rPr>
                <w:rFonts w:ascii="Times New Roman" w:hAnsi="Times New Roman" w:eastAsia="Times New Roman" w:cs="Times New Roman"/>
                <w:lang w:eastAsia="en-US"/>
              </w:rPr>
            </w:pPr>
            <w:r>
              <w:rPr>
                <w:rFonts w:ascii="Times New Roman" w:hAnsi="Times New Roman" w:eastAsia="Times New Roman" w:cs="Times New Roman"/>
                <w:lang w:eastAsia="en-US"/>
              </w:rPr>
              <w:t>LC1</w:t>
            </w:r>
          </w:p>
        </w:tc>
        <w:tc>
          <w:tcPr>
            <w:tcW w:w="3000" w:type="dxa"/>
            <w:tcBorders>
              <w:top w:val="nil"/>
            </w:tcBorders>
            <w:noWrap/>
          </w:tcPr>
          <w:p w14:paraId="0BEB9E4F">
            <w:pPr>
              <w:spacing w:after="0"/>
              <w:ind w:left="60" w:right="60"/>
              <w:jc w:val="right"/>
              <w:rPr>
                <w:rFonts w:ascii="Times New Roman" w:hAnsi="Times New Roman" w:cs="Times New Roman"/>
                <w:lang w:eastAsia="en-US"/>
              </w:rPr>
            </w:pPr>
            <w:r>
              <w:rPr>
                <w:rFonts w:ascii="Times New Roman" w:hAnsi="Times New Roman" w:cs="Times New Roman"/>
              </w:rPr>
              <w:t>.754</w:t>
            </w:r>
          </w:p>
        </w:tc>
      </w:tr>
      <w:tr w14:paraId="0C0308D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4823" w:type="dxa"/>
            <w:gridSpan w:val="3"/>
          </w:tcPr>
          <w:p w14:paraId="4BD380DA">
            <w:pPr>
              <w:spacing w:after="0"/>
              <w:rPr>
                <w:rFonts w:ascii="Times New Roman" w:hAnsi="Times New Roman" w:eastAsia="Times New Roman" w:cs="Times New Roman"/>
                <w:lang w:eastAsia="en-US"/>
              </w:rPr>
            </w:pPr>
            <w:r>
              <w:rPr>
                <w:rFonts w:ascii="Times New Roman" w:hAnsi="Times New Roman" w:eastAsia="Times New Roman" w:cs="Times New Roman"/>
                <w:lang w:eastAsia="en-US"/>
              </w:rPr>
              <w:t>Extraction Method: Principal Component Analysis.</w:t>
            </w:r>
          </w:p>
        </w:tc>
      </w:tr>
      <w:tr w14:paraId="65A93E5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4823" w:type="dxa"/>
            <w:gridSpan w:val="3"/>
          </w:tcPr>
          <w:p w14:paraId="6B779558">
            <w:pPr>
              <w:spacing w:after="0"/>
              <w:rPr>
                <w:rFonts w:ascii="Times New Roman" w:hAnsi="Times New Roman" w:eastAsia="Times New Roman" w:cs="Times New Roman"/>
                <w:lang w:eastAsia="en-US"/>
              </w:rPr>
            </w:pPr>
            <w:r>
              <w:rPr>
                <w:rFonts w:ascii="Times New Roman" w:hAnsi="Times New Roman" w:eastAsia="Times New Roman" w:cs="Times New Roman"/>
                <w:lang w:eastAsia="en-US"/>
              </w:rPr>
              <w:t>a. 1 components extracted.</w:t>
            </w:r>
          </w:p>
        </w:tc>
      </w:tr>
    </w:tbl>
    <w:p w14:paraId="28CA571E">
      <w:pPr>
        <w:pStyle w:val="18"/>
        <w:spacing w:before="0" w:beforeAutospacing="0" w:after="0" w:afterAutospacing="0" w:line="276" w:lineRule="auto"/>
        <w:ind w:firstLine="720"/>
        <w:jc w:val="both"/>
      </w:pPr>
      <w:r>
        <w:t>In summary, the EFA results provide robust validation for the study's underlying theoretical framework. The analysis empirically confirms that the six independent constructs (as shown in Table 4) are not merely theoretical postulations but are distinct, psychologically meaningful, and statistically separate. The clear demarcation between related concepts, such as language attitude and cultural identity, for instance, establishes strong discriminant validity.</w:t>
      </w:r>
    </w:p>
    <w:p w14:paraId="757CF1DC">
      <w:pPr>
        <w:pStyle w:val="18"/>
        <w:spacing w:before="0" w:beforeAutospacing="0" w:after="0" w:afterAutospacing="0" w:line="276" w:lineRule="auto"/>
        <w:ind w:firstLine="720"/>
        <w:jc w:val="both"/>
      </w:pPr>
      <w:r>
        <w:t>Furthermore, the dependent variable, language choice, was also confirmed as a well-defined, unidimensional construct, with all four of its items loading decisively onto a single factor (Table 7). Collectively, these findings establish the psychometric soundness of the instrumentation, providing a firm foundation for testing the proposed relationships in the subsequent regression analysis.</w:t>
      </w:r>
    </w:p>
    <w:p w14:paraId="430AB9D8">
      <w:pPr>
        <w:pStyle w:val="18"/>
        <w:spacing w:before="0" w:beforeAutospacing="0" w:after="0" w:afterAutospacing="0" w:line="276" w:lineRule="auto"/>
        <w:ind w:firstLine="720"/>
        <w:jc w:val="both"/>
      </w:pPr>
    </w:p>
    <w:p w14:paraId="55578E90">
      <w:pPr>
        <w:pStyle w:val="4"/>
        <w:spacing w:before="0" w:beforeAutospacing="0" w:after="0" w:afterAutospacing="0" w:line="276" w:lineRule="auto"/>
        <w:jc w:val="both"/>
        <w:rPr>
          <w:sz w:val="24"/>
          <w:szCs w:val="24"/>
          <w:lang w:val="vi-VN"/>
        </w:rPr>
      </w:pPr>
      <w:r>
        <w:rPr>
          <w:sz w:val="24"/>
          <w:szCs w:val="24"/>
          <w:lang w:val="da-DK"/>
        </w:rPr>
        <w:t>4</w:t>
      </w:r>
      <w:r>
        <w:rPr>
          <w:sz w:val="24"/>
          <w:szCs w:val="24"/>
          <w:lang w:val="vi-VN"/>
        </w:rPr>
        <w:t>.4. Regression analysis and hypothesis testing</w:t>
      </w:r>
    </w:p>
    <w:p w14:paraId="1B051E14">
      <w:pPr>
        <w:pStyle w:val="18"/>
        <w:spacing w:before="0" w:beforeAutospacing="0" w:after="0" w:afterAutospacing="0" w:line="276" w:lineRule="auto"/>
        <w:ind w:firstLine="720"/>
        <w:jc w:val="both"/>
        <w:rPr>
          <w:rFonts w:eastAsia="SimSun"/>
        </w:rPr>
      </w:pPr>
      <w:r>
        <w:rPr>
          <w:rFonts w:eastAsia="SimSun"/>
        </w:rPr>
        <w:t>To test the impact of the six independent factors on language choice, a multiple linear regression model was conducted. All necessary statistical assumptions for the model were checked and met, ensuring the reliability and validity of the results.</w:t>
      </w:r>
    </w:p>
    <w:p w14:paraId="2E5FB118">
      <w:pPr>
        <w:pStyle w:val="18"/>
        <w:spacing w:before="0" w:beforeAutospacing="0" w:after="0" w:afterAutospacing="0" w:line="276" w:lineRule="auto"/>
        <w:ind w:firstLine="720"/>
        <w:jc w:val="center"/>
        <w:rPr>
          <w:bCs/>
          <w:color w:val="000000" w:themeColor="text1"/>
          <w14:textFill>
            <w14:solidFill>
              <w14:schemeClr w14:val="tx1"/>
            </w14:solidFill>
          </w14:textFill>
        </w:rPr>
      </w:pPr>
      <w:r>
        <w:rPr>
          <w:b/>
          <w:color w:val="000000" w:themeColor="text1"/>
          <w14:textFill>
            <w14:solidFill>
              <w14:schemeClr w14:val="tx1"/>
            </w14:solidFill>
          </w14:textFill>
        </w:rPr>
        <w:t>Table 8.</w:t>
      </w:r>
      <w:r>
        <w:rPr>
          <w:bCs/>
          <w:color w:val="000000" w:themeColor="text1"/>
          <w14:textFill>
            <w14:solidFill>
              <w14:schemeClr w14:val="tx1"/>
            </w14:solidFill>
          </w14:textFill>
        </w:rPr>
        <w:t xml:space="preserve"> Model summary</w:t>
      </w:r>
    </w:p>
    <w:tbl>
      <w:tblPr>
        <w:tblStyle w:val="7"/>
        <w:tblW w:w="8840"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040"/>
        <w:gridCol w:w="1040"/>
        <w:gridCol w:w="1040"/>
        <w:gridCol w:w="1802"/>
        <w:gridCol w:w="2371"/>
        <w:gridCol w:w="1547"/>
      </w:tblGrid>
      <w:tr w14:paraId="431D2F4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0" w:hRule="atLeast"/>
          <w:jc w:val="center"/>
        </w:trPr>
        <w:tc>
          <w:tcPr>
            <w:tcW w:w="1040" w:type="dxa"/>
            <w:tcBorders>
              <w:bottom w:val="single" w:color="auto" w:sz="4" w:space="0"/>
            </w:tcBorders>
            <w:vAlign w:val="center"/>
          </w:tcPr>
          <w:p w14:paraId="2819B8AB">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Model</w:t>
            </w:r>
          </w:p>
        </w:tc>
        <w:tc>
          <w:tcPr>
            <w:tcW w:w="1040" w:type="dxa"/>
            <w:tcBorders>
              <w:bottom w:val="single" w:color="auto" w:sz="4" w:space="0"/>
            </w:tcBorders>
            <w:vAlign w:val="center"/>
          </w:tcPr>
          <w:p w14:paraId="7DCE2E84">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R</w:t>
            </w:r>
          </w:p>
        </w:tc>
        <w:tc>
          <w:tcPr>
            <w:tcW w:w="1040" w:type="dxa"/>
            <w:tcBorders>
              <w:bottom w:val="single" w:color="auto" w:sz="4" w:space="0"/>
            </w:tcBorders>
            <w:vAlign w:val="center"/>
          </w:tcPr>
          <w:p w14:paraId="69DB7935">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R Square</w:t>
            </w:r>
          </w:p>
        </w:tc>
        <w:tc>
          <w:tcPr>
            <w:tcW w:w="1802" w:type="dxa"/>
            <w:tcBorders>
              <w:bottom w:val="single" w:color="auto" w:sz="4" w:space="0"/>
            </w:tcBorders>
            <w:vAlign w:val="center"/>
          </w:tcPr>
          <w:p w14:paraId="23C5DED1">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Adjusted R Square</w:t>
            </w:r>
          </w:p>
        </w:tc>
        <w:tc>
          <w:tcPr>
            <w:tcW w:w="2371" w:type="dxa"/>
            <w:tcBorders>
              <w:bottom w:val="single" w:color="auto" w:sz="4" w:space="0"/>
            </w:tcBorders>
            <w:vAlign w:val="center"/>
          </w:tcPr>
          <w:p w14:paraId="7901B55D">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Std. Error of the Estimate</w:t>
            </w:r>
          </w:p>
        </w:tc>
        <w:tc>
          <w:tcPr>
            <w:tcW w:w="1547" w:type="dxa"/>
            <w:tcBorders>
              <w:bottom w:val="single" w:color="auto" w:sz="4" w:space="0"/>
            </w:tcBorders>
            <w:vAlign w:val="center"/>
          </w:tcPr>
          <w:p w14:paraId="5197AEE4">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Durbin-Watson</w:t>
            </w:r>
          </w:p>
        </w:tc>
      </w:tr>
      <w:tr w14:paraId="07A7D5D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0" w:hRule="atLeast"/>
          <w:jc w:val="center"/>
        </w:trPr>
        <w:tc>
          <w:tcPr>
            <w:tcW w:w="1040" w:type="dxa"/>
            <w:tcBorders>
              <w:bottom w:val="nil"/>
            </w:tcBorders>
            <w:noWrap/>
            <w:vAlign w:val="center"/>
          </w:tcPr>
          <w:p w14:paraId="51AB9773">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1</w:t>
            </w:r>
          </w:p>
        </w:tc>
        <w:tc>
          <w:tcPr>
            <w:tcW w:w="1040" w:type="dxa"/>
            <w:tcBorders>
              <w:bottom w:val="nil"/>
            </w:tcBorders>
            <w:noWrap/>
          </w:tcPr>
          <w:p w14:paraId="3EDDFCC1">
            <w:pPr>
              <w:ind w:left="60" w:right="60"/>
              <w:jc w:val="both"/>
              <w:rPr>
                <w:rFonts w:ascii="Times New Roman" w:hAnsi="Times New Roman" w:cs="Times New Roman"/>
                <w:color w:val="010205"/>
                <w:lang w:eastAsia="en-US"/>
              </w:rPr>
            </w:pPr>
            <w:r>
              <w:rPr>
                <w:rFonts w:ascii="Times New Roman" w:hAnsi="Times New Roman" w:cs="Times New Roman"/>
                <w:color w:val="010205"/>
              </w:rPr>
              <w:t>.930</w:t>
            </w:r>
            <w:r>
              <w:rPr>
                <w:rFonts w:ascii="Times New Roman" w:hAnsi="Times New Roman" w:cs="Times New Roman"/>
                <w:color w:val="010205"/>
                <w:vertAlign w:val="superscript"/>
              </w:rPr>
              <w:t>a</w:t>
            </w:r>
          </w:p>
        </w:tc>
        <w:tc>
          <w:tcPr>
            <w:tcW w:w="1040" w:type="dxa"/>
            <w:tcBorders>
              <w:bottom w:val="nil"/>
            </w:tcBorders>
            <w:noWrap/>
          </w:tcPr>
          <w:p w14:paraId="65365A1E">
            <w:pPr>
              <w:ind w:left="60" w:right="60"/>
              <w:jc w:val="both"/>
              <w:rPr>
                <w:rFonts w:ascii="Times New Roman" w:hAnsi="Times New Roman" w:cs="Times New Roman"/>
                <w:color w:val="010205"/>
                <w:lang w:eastAsia="en-US"/>
              </w:rPr>
            </w:pPr>
            <w:r>
              <w:rPr>
                <w:rFonts w:ascii="Times New Roman" w:hAnsi="Times New Roman" w:cs="Times New Roman"/>
                <w:color w:val="010205"/>
              </w:rPr>
              <w:t>.864</w:t>
            </w:r>
          </w:p>
        </w:tc>
        <w:tc>
          <w:tcPr>
            <w:tcW w:w="1802" w:type="dxa"/>
            <w:tcBorders>
              <w:bottom w:val="nil"/>
            </w:tcBorders>
            <w:noWrap/>
          </w:tcPr>
          <w:p w14:paraId="712C2137">
            <w:pPr>
              <w:ind w:left="60" w:right="60"/>
              <w:jc w:val="both"/>
              <w:rPr>
                <w:rFonts w:ascii="Times New Roman" w:hAnsi="Times New Roman" w:cs="Times New Roman"/>
                <w:color w:val="010205"/>
                <w:lang w:eastAsia="en-US"/>
              </w:rPr>
            </w:pPr>
            <w:r>
              <w:rPr>
                <w:rFonts w:ascii="Times New Roman" w:hAnsi="Times New Roman" w:cs="Times New Roman"/>
                <w:color w:val="010205"/>
              </w:rPr>
              <w:t>.862</w:t>
            </w:r>
          </w:p>
        </w:tc>
        <w:tc>
          <w:tcPr>
            <w:tcW w:w="2371" w:type="dxa"/>
            <w:tcBorders>
              <w:bottom w:val="nil"/>
            </w:tcBorders>
            <w:noWrap/>
          </w:tcPr>
          <w:p w14:paraId="45031F89">
            <w:pPr>
              <w:ind w:left="60" w:right="60"/>
              <w:jc w:val="both"/>
              <w:rPr>
                <w:rFonts w:ascii="Times New Roman" w:hAnsi="Times New Roman" w:cs="Times New Roman"/>
                <w:color w:val="010205"/>
                <w:lang w:eastAsia="en-US"/>
              </w:rPr>
            </w:pPr>
            <w:r>
              <w:rPr>
                <w:rFonts w:ascii="Times New Roman" w:hAnsi="Times New Roman" w:cs="Times New Roman"/>
                <w:color w:val="010205"/>
              </w:rPr>
              <w:t>.14897</w:t>
            </w:r>
          </w:p>
        </w:tc>
        <w:tc>
          <w:tcPr>
            <w:tcW w:w="1547" w:type="dxa"/>
            <w:tcBorders>
              <w:bottom w:val="nil"/>
            </w:tcBorders>
            <w:noWrap/>
          </w:tcPr>
          <w:p w14:paraId="23DD9B9F">
            <w:pPr>
              <w:ind w:left="60" w:right="60"/>
              <w:jc w:val="both"/>
              <w:rPr>
                <w:rFonts w:ascii="Times New Roman" w:hAnsi="Times New Roman" w:cs="Times New Roman"/>
                <w:color w:val="010205"/>
                <w:lang w:eastAsia="en-US"/>
              </w:rPr>
            </w:pPr>
            <w:r>
              <w:rPr>
                <w:rFonts w:ascii="Times New Roman" w:hAnsi="Times New Roman" w:cs="Times New Roman"/>
                <w:color w:val="010205"/>
              </w:rPr>
              <w:t>1.819</w:t>
            </w:r>
          </w:p>
        </w:tc>
      </w:tr>
      <w:tr w14:paraId="22E9BA5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0" w:hRule="atLeast"/>
          <w:jc w:val="center"/>
        </w:trPr>
        <w:tc>
          <w:tcPr>
            <w:tcW w:w="8840" w:type="dxa"/>
            <w:gridSpan w:val="6"/>
            <w:tcBorders>
              <w:top w:val="nil"/>
              <w:bottom w:val="nil"/>
            </w:tcBorders>
            <w:vAlign w:val="center"/>
          </w:tcPr>
          <w:p w14:paraId="4CC4547A">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 xml:space="preserve">a. Predictors: (Constant), </w:t>
            </w:r>
            <w:r>
              <w:rPr>
                <w:rFonts w:ascii="Times New Roman" w:hAnsi="Times New Roman" w:cs="Times New Roman"/>
                <w:color w:val="010205"/>
              </w:rPr>
              <w:t>EM, LA, FCE, LP, EP, CI</w:t>
            </w:r>
          </w:p>
        </w:tc>
      </w:tr>
      <w:tr w14:paraId="64888CA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0" w:hRule="atLeast"/>
          <w:jc w:val="center"/>
        </w:trPr>
        <w:tc>
          <w:tcPr>
            <w:tcW w:w="8840" w:type="dxa"/>
            <w:gridSpan w:val="6"/>
            <w:tcBorders>
              <w:top w:val="nil"/>
            </w:tcBorders>
            <w:vAlign w:val="center"/>
          </w:tcPr>
          <w:p w14:paraId="7B9D81C6">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b. Dependent Variable: LC</w:t>
            </w:r>
          </w:p>
        </w:tc>
      </w:tr>
    </w:tbl>
    <w:p w14:paraId="464EFBF0">
      <w:pPr>
        <w:spacing w:after="0"/>
        <w:ind w:firstLine="720"/>
        <w:jc w:val="both"/>
        <w:rPr>
          <w:rFonts w:ascii="Times New Roman" w:hAnsi="Times New Roman" w:eastAsia="SimSun" w:cs="Times New Roman"/>
          <w:sz w:val="24"/>
          <w:szCs w:val="24"/>
          <w:lang w:bidi="ar"/>
        </w:rPr>
      </w:pPr>
    </w:p>
    <w:p w14:paraId="6588C918">
      <w:pPr>
        <w:spacing w:after="0"/>
        <w:ind w:firstLine="720"/>
        <w:jc w:val="both"/>
        <w:rPr>
          <w:rFonts w:ascii="Times New Roman" w:hAnsi="Times New Roman" w:eastAsia="SimSun" w:cs="Times New Roman"/>
          <w:sz w:val="24"/>
          <w:szCs w:val="24"/>
          <w:lang w:bidi="ar"/>
        </w:rPr>
      </w:pPr>
      <w:r>
        <w:rPr>
          <w:rFonts w:ascii="Times New Roman" w:hAnsi="Times New Roman" w:eastAsia="SimSun" w:cs="Times New Roman"/>
          <w:sz w:val="24"/>
          <w:szCs w:val="24"/>
          <w:lang w:bidi="ar"/>
        </w:rPr>
        <w:t xml:space="preserve">The model summary (Table 8) shows a multiple correlation coefficient (R) of </w:t>
      </w:r>
      <w:r>
        <w:rPr>
          <w:rFonts w:ascii="Times New Roman" w:hAnsi="Times New Roman" w:eastAsia="sans-serif" w:cs="Times New Roman"/>
          <w:sz w:val="24"/>
          <w:szCs w:val="24"/>
          <w:lang w:bidi="ar"/>
        </w:rPr>
        <w:t>.930</w:t>
      </w:r>
      <w:r>
        <w:rPr>
          <w:rFonts w:ascii="Times New Roman" w:hAnsi="Times New Roman" w:eastAsia="SimSun" w:cs="Times New Roman"/>
          <w:sz w:val="24"/>
          <w:szCs w:val="24"/>
          <w:lang w:bidi="ar"/>
        </w:rPr>
        <w:t xml:space="preserve">, indicating a very strong correlation between the six independent variables and the dependent variable. The adjusted coefficient of determination (Adjusted </w:t>
      </w:r>
      <w:r>
        <w:rPr>
          <w:rFonts w:ascii="Times New Roman" w:hAnsi="Times New Roman" w:cs="Times New Roman"/>
          <w:color w:val="000000" w:themeColor="text1"/>
          <w:sz w:val="24"/>
          <w:szCs w:val="24"/>
          <w:lang w:val="da-DK"/>
          <w14:textFill>
            <w14:solidFill>
              <w14:schemeClr w14:val="tx1"/>
            </w14:solidFill>
          </w14:textFill>
        </w:rPr>
        <w:t>R²</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eastAsia="SimSun" w:cs="Times New Roman"/>
          <w:sz w:val="24"/>
          <w:szCs w:val="24"/>
          <w:lang w:bidi="ar"/>
        </w:rPr>
        <w:t xml:space="preserve"> is </w:t>
      </w:r>
      <w:r>
        <w:rPr>
          <w:rFonts w:ascii="Times New Roman" w:hAnsi="Times New Roman" w:eastAsia="sans-serif" w:cs="Times New Roman"/>
          <w:sz w:val="24"/>
          <w:szCs w:val="24"/>
          <w:lang w:bidi="ar"/>
        </w:rPr>
        <w:t>.862</w:t>
      </w:r>
      <w:r>
        <w:rPr>
          <w:rFonts w:ascii="Times New Roman" w:hAnsi="Times New Roman" w:eastAsia="SimSun" w:cs="Times New Roman"/>
          <w:sz w:val="24"/>
          <w:szCs w:val="24"/>
          <w:lang w:bidi="ar"/>
        </w:rPr>
        <w:t xml:space="preserve">. This indicates that the model, incorporating all six factors, successfully explains </w:t>
      </w:r>
      <w:r>
        <w:rPr>
          <w:rFonts w:ascii="Times New Roman" w:hAnsi="Times New Roman" w:eastAsia="sans-serif" w:cs="Times New Roman"/>
          <w:sz w:val="24"/>
          <w:szCs w:val="24"/>
          <w:lang w:bidi="ar"/>
        </w:rPr>
        <w:t>86.2%</w:t>
      </w:r>
      <w:r>
        <w:rPr>
          <w:rFonts w:ascii="Times New Roman" w:hAnsi="Times New Roman" w:eastAsia="SimSun" w:cs="Times New Roman"/>
          <w:sz w:val="24"/>
          <w:szCs w:val="24"/>
          <w:lang w:bidi="ar"/>
        </w:rPr>
        <w:t xml:space="preserve"> of the total variance in language choice (LC). Furthermore, the Durbin-Watson statistic (</w:t>
      </w:r>
      <w:r>
        <w:rPr>
          <w:rFonts w:ascii="Times New Roman" w:hAnsi="Times New Roman" w:eastAsia="sans-serif" w:cs="Times New Roman"/>
          <w:sz w:val="24"/>
          <w:szCs w:val="24"/>
          <w:lang w:bidi="ar"/>
        </w:rPr>
        <w:t>1.819</w:t>
      </w:r>
      <w:r>
        <w:rPr>
          <w:rFonts w:ascii="Times New Roman" w:hAnsi="Times New Roman" w:eastAsia="SimSun" w:cs="Times New Roman"/>
          <w:sz w:val="24"/>
          <w:szCs w:val="24"/>
          <w:lang w:bidi="ar"/>
        </w:rPr>
        <w:t>) is very close to the ideal value of 2.0, suggesting that the assumption of independent residuals is met and autocorrelation is not a concern.</w:t>
      </w:r>
    </w:p>
    <w:p w14:paraId="4B97832C">
      <w:pPr>
        <w:spacing w:after="0"/>
        <w:ind w:firstLine="720"/>
        <w:jc w:val="both"/>
        <w:rPr>
          <w:rFonts w:ascii="Times New Roman" w:hAnsi="Times New Roman" w:eastAsia="SimSun" w:cs="Times New Roman"/>
          <w:sz w:val="24"/>
          <w:szCs w:val="24"/>
        </w:rPr>
      </w:pPr>
      <w:r>
        <w:rPr>
          <w:rFonts w:ascii="Times New Roman" w:hAnsi="Times New Roman" w:eastAsia="SimSun" w:cs="Times New Roman"/>
          <w:sz w:val="24"/>
          <w:szCs w:val="24"/>
        </w:rPr>
        <w:t>The analysis of variance (ANOVA) results, shown in Table 9, confirm the overall significance and goodness of fit of the regression model.</w:t>
      </w:r>
    </w:p>
    <w:p w14:paraId="0E900694">
      <w:pPr>
        <w:spacing w:after="0"/>
        <w:ind w:firstLine="720"/>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Table 9</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da-DK"/>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Analysis of variance (ANOVA)</w:t>
      </w:r>
    </w:p>
    <w:tbl>
      <w:tblPr>
        <w:tblStyle w:val="7"/>
        <w:tblW w:w="811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26"/>
        <w:gridCol w:w="1743"/>
        <w:gridCol w:w="1561"/>
        <w:gridCol w:w="1040"/>
        <w:gridCol w:w="1348"/>
        <w:gridCol w:w="1051"/>
        <w:gridCol w:w="1041"/>
        <w:gridCol w:w="8"/>
      </w:tblGrid>
      <w:tr w14:paraId="556D09C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55" w:hRule="atLeast"/>
          <w:jc w:val="center"/>
        </w:trPr>
        <w:tc>
          <w:tcPr>
            <w:tcW w:w="2080" w:type="dxa"/>
            <w:gridSpan w:val="2"/>
            <w:tcBorders>
              <w:bottom w:val="single" w:color="auto" w:sz="4" w:space="0"/>
              <w:right w:val="nil"/>
            </w:tcBorders>
            <w:vAlign w:val="bottom"/>
          </w:tcPr>
          <w:p w14:paraId="46591C34">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Model</w:t>
            </w:r>
          </w:p>
        </w:tc>
        <w:tc>
          <w:tcPr>
            <w:tcW w:w="1561" w:type="dxa"/>
            <w:tcBorders>
              <w:left w:val="nil"/>
              <w:bottom w:val="single" w:color="auto" w:sz="4" w:space="0"/>
              <w:right w:val="nil"/>
            </w:tcBorders>
            <w:vAlign w:val="bottom"/>
          </w:tcPr>
          <w:p w14:paraId="639BD8D2">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Sum of Squares</w:t>
            </w:r>
          </w:p>
        </w:tc>
        <w:tc>
          <w:tcPr>
            <w:tcW w:w="1040" w:type="dxa"/>
            <w:tcBorders>
              <w:left w:val="nil"/>
              <w:bottom w:val="single" w:color="auto" w:sz="4" w:space="0"/>
              <w:right w:val="nil"/>
            </w:tcBorders>
            <w:vAlign w:val="bottom"/>
          </w:tcPr>
          <w:p w14:paraId="6CD9D9A3">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df</w:t>
            </w:r>
          </w:p>
        </w:tc>
        <w:tc>
          <w:tcPr>
            <w:tcW w:w="1348" w:type="dxa"/>
            <w:tcBorders>
              <w:left w:val="nil"/>
              <w:bottom w:val="single" w:color="auto" w:sz="4" w:space="0"/>
              <w:right w:val="nil"/>
            </w:tcBorders>
            <w:vAlign w:val="bottom"/>
          </w:tcPr>
          <w:p w14:paraId="7C7F2AE3">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Mean Square</w:t>
            </w:r>
          </w:p>
        </w:tc>
        <w:tc>
          <w:tcPr>
            <w:tcW w:w="1040" w:type="dxa"/>
            <w:tcBorders>
              <w:left w:val="nil"/>
              <w:bottom w:val="single" w:color="auto" w:sz="4" w:space="0"/>
              <w:right w:val="nil"/>
            </w:tcBorders>
            <w:vAlign w:val="bottom"/>
          </w:tcPr>
          <w:p w14:paraId="359D3D3A">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F</w:t>
            </w:r>
          </w:p>
        </w:tc>
        <w:tc>
          <w:tcPr>
            <w:tcW w:w="1041" w:type="dxa"/>
            <w:tcBorders>
              <w:left w:val="nil"/>
              <w:bottom w:val="single" w:color="auto" w:sz="4" w:space="0"/>
            </w:tcBorders>
            <w:vAlign w:val="bottom"/>
          </w:tcPr>
          <w:p w14:paraId="6C42B029">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Sig.</w:t>
            </w:r>
          </w:p>
        </w:tc>
      </w:tr>
      <w:tr w14:paraId="2F5795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55" w:hRule="atLeast"/>
          <w:jc w:val="center"/>
        </w:trPr>
        <w:tc>
          <w:tcPr>
            <w:tcW w:w="316" w:type="dxa"/>
            <w:vMerge w:val="restart"/>
            <w:tcBorders>
              <w:bottom w:val="nil"/>
              <w:right w:val="nil"/>
            </w:tcBorders>
            <w:noWrap/>
          </w:tcPr>
          <w:p w14:paraId="531D2548">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1</w:t>
            </w:r>
          </w:p>
        </w:tc>
        <w:tc>
          <w:tcPr>
            <w:tcW w:w="1764" w:type="dxa"/>
            <w:tcBorders>
              <w:left w:val="nil"/>
              <w:bottom w:val="nil"/>
              <w:right w:val="nil"/>
            </w:tcBorders>
          </w:tcPr>
          <w:p w14:paraId="202C1D04">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Regression</w:t>
            </w:r>
          </w:p>
        </w:tc>
        <w:tc>
          <w:tcPr>
            <w:tcW w:w="1561" w:type="dxa"/>
            <w:tcBorders>
              <w:left w:val="nil"/>
              <w:bottom w:val="nil"/>
              <w:right w:val="nil"/>
            </w:tcBorders>
            <w:noWrap/>
          </w:tcPr>
          <w:p w14:paraId="5761DE78">
            <w:pPr>
              <w:spacing w:after="0"/>
              <w:ind w:left="60" w:right="6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cs="Times New Roman"/>
                <w:color w:val="010205"/>
              </w:rPr>
              <w:t>64.434</w:t>
            </w:r>
          </w:p>
        </w:tc>
        <w:tc>
          <w:tcPr>
            <w:tcW w:w="1040" w:type="dxa"/>
            <w:tcBorders>
              <w:left w:val="nil"/>
              <w:bottom w:val="nil"/>
              <w:right w:val="nil"/>
            </w:tcBorders>
            <w:noWrap/>
          </w:tcPr>
          <w:p w14:paraId="60A08E63">
            <w:pPr>
              <w:spacing w:after="0"/>
              <w:ind w:left="60" w:right="6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cs="Times New Roman"/>
                <w:color w:val="010205"/>
              </w:rPr>
              <w:t>6</w:t>
            </w:r>
          </w:p>
        </w:tc>
        <w:tc>
          <w:tcPr>
            <w:tcW w:w="1348" w:type="dxa"/>
            <w:tcBorders>
              <w:left w:val="nil"/>
              <w:bottom w:val="nil"/>
              <w:right w:val="nil"/>
            </w:tcBorders>
            <w:noWrap/>
          </w:tcPr>
          <w:p w14:paraId="0A836248">
            <w:pPr>
              <w:spacing w:after="0"/>
              <w:ind w:left="60" w:right="6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cs="Times New Roman"/>
                <w:color w:val="010205"/>
              </w:rPr>
              <w:t>10.739</w:t>
            </w:r>
          </w:p>
        </w:tc>
        <w:tc>
          <w:tcPr>
            <w:tcW w:w="1040" w:type="dxa"/>
            <w:tcBorders>
              <w:left w:val="nil"/>
              <w:bottom w:val="nil"/>
              <w:right w:val="nil"/>
            </w:tcBorders>
            <w:noWrap/>
          </w:tcPr>
          <w:p w14:paraId="6D5E105D">
            <w:pPr>
              <w:spacing w:after="0"/>
              <w:ind w:left="60" w:right="6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cs="Times New Roman"/>
                <w:color w:val="010205"/>
              </w:rPr>
              <w:t>483.943</w:t>
            </w:r>
          </w:p>
        </w:tc>
        <w:tc>
          <w:tcPr>
            <w:tcW w:w="1041" w:type="dxa"/>
            <w:tcBorders>
              <w:left w:val="nil"/>
              <w:bottom w:val="nil"/>
            </w:tcBorders>
            <w:noWrap/>
          </w:tcPr>
          <w:p w14:paraId="4CA6A011">
            <w:pPr>
              <w:spacing w:after="0"/>
              <w:ind w:left="60" w:right="6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cs="Times New Roman"/>
                <w:color w:val="010205"/>
              </w:rPr>
              <w:t>.000</w:t>
            </w:r>
            <w:r>
              <w:rPr>
                <w:rFonts w:ascii="Times New Roman" w:hAnsi="Times New Roman" w:cs="Times New Roman"/>
                <w:color w:val="010205"/>
                <w:vertAlign w:val="superscript"/>
              </w:rPr>
              <w:t>b</w:t>
            </w:r>
          </w:p>
        </w:tc>
      </w:tr>
      <w:tr w14:paraId="200E3E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55" w:hRule="atLeast"/>
          <w:jc w:val="center"/>
        </w:trPr>
        <w:tc>
          <w:tcPr>
            <w:tcW w:w="316" w:type="dxa"/>
            <w:vMerge w:val="continue"/>
            <w:tcBorders>
              <w:top w:val="nil"/>
              <w:bottom w:val="nil"/>
              <w:right w:val="nil"/>
            </w:tcBorders>
            <w:vAlign w:val="center"/>
          </w:tcPr>
          <w:p w14:paraId="4E18BDF7">
            <w:pPr>
              <w:spacing w:after="0"/>
              <w:jc w:val="both"/>
              <w:rPr>
                <w:rFonts w:ascii="Times New Roman" w:hAnsi="Times New Roman" w:eastAsia="Times New Roman" w:cs="Times New Roman"/>
                <w:color w:val="000000" w:themeColor="text1"/>
                <w:lang w:eastAsia="en-US"/>
                <w14:textFill>
                  <w14:solidFill>
                    <w14:schemeClr w14:val="tx1"/>
                  </w14:solidFill>
                </w14:textFill>
              </w:rPr>
            </w:pPr>
          </w:p>
        </w:tc>
        <w:tc>
          <w:tcPr>
            <w:tcW w:w="1764" w:type="dxa"/>
            <w:tcBorders>
              <w:top w:val="nil"/>
              <w:left w:val="nil"/>
              <w:bottom w:val="nil"/>
              <w:right w:val="nil"/>
            </w:tcBorders>
          </w:tcPr>
          <w:p w14:paraId="263C970E">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Residual</w:t>
            </w:r>
          </w:p>
        </w:tc>
        <w:tc>
          <w:tcPr>
            <w:tcW w:w="1561" w:type="dxa"/>
            <w:tcBorders>
              <w:top w:val="nil"/>
              <w:left w:val="nil"/>
              <w:bottom w:val="nil"/>
              <w:right w:val="nil"/>
            </w:tcBorders>
            <w:noWrap/>
          </w:tcPr>
          <w:p w14:paraId="7D7BC441">
            <w:pPr>
              <w:spacing w:after="0"/>
              <w:ind w:left="60" w:right="6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cs="Times New Roman"/>
                <w:color w:val="010205"/>
              </w:rPr>
              <w:t>10.141</w:t>
            </w:r>
          </w:p>
        </w:tc>
        <w:tc>
          <w:tcPr>
            <w:tcW w:w="1040" w:type="dxa"/>
            <w:tcBorders>
              <w:top w:val="nil"/>
              <w:left w:val="nil"/>
              <w:bottom w:val="nil"/>
              <w:right w:val="nil"/>
            </w:tcBorders>
            <w:noWrap/>
          </w:tcPr>
          <w:p w14:paraId="1024FF75">
            <w:pPr>
              <w:spacing w:after="0"/>
              <w:ind w:left="60" w:right="6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cs="Times New Roman"/>
                <w:color w:val="010205"/>
              </w:rPr>
              <w:t>457</w:t>
            </w:r>
          </w:p>
        </w:tc>
        <w:tc>
          <w:tcPr>
            <w:tcW w:w="1348" w:type="dxa"/>
            <w:tcBorders>
              <w:top w:val="nil"/>
              <w:left w:val="nil"/>
              <w:bottom w:val="nil"/>
              <w:right w:val="nil"/>
            </w:tcBorders>
            <w:noWrap/>
          </w:tcPr>
          <w:p w14:paraId="7668D922">
            <w:pPr>
              <w:spacing w:after="0"/>
              <w:ind w:left="60" w:right="6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cs="Times New Roman"/>
                <w:color w:val="010205"/>
              </w:rPr>
              <w:t>.022</w:t>
            </w:r>
          </w:p>
        </w:tc>
        <w:tc>
          <w:tcPr>
            <w:tcW w:w="1040" w:type="dxa"/>
            <w:tcBorders>
              <w:top w:val="nil"/>
              <w:left w:val="nil"/>
              <w:bottom w:val="nil"/>
              <w:right w:val="nil"/>
            </w:tcBorders>
            <w:vAlign w:val="center"/>
          </w:tcPr>
          <w:p w14:paraId="2F5EDEF2">
            <w:pPr>
              <w:spacing w:after="0"/>
              <w:jc w:val="both"/>
              <w:rPr>
                <w:rFonts w:ascii="Times New Roman" w:hAnsi="Times New Roman" w:eastAsia="Times New Roman" w:cs="Times New Roman"/>
                <w:color w:val="000000" w:themeColor="text1"/>
                <w:lang w:eastAsia="en-US"/>
                <w14:textFill>
                  <w14:solidFill>
                    <w14:schemeClr w14:val="tx1"/>
                  </w14:solidFill>
                </w14:textFill>
              </w:rPr>
            </w:pPr>
          </w:p>
        </w:tc>
        <w:tc>
          <w:tcPr>
            <w:tcW w:w="1041" w:type="dxa"/>
            <w:tcBorders>
              <w:top w:val="nil"/>
              <w:left w:val="nil"/>
              <w:bottom w:val="nil"/>
            </w:tcBorders>
            <w:vAlign w:val="center"/>
          </w:tcPr>
          <w:p w14:paraId="659BAB79">
            <w:pPr>
              <w:spacing w:after="0"/>
              <w:jc w:val="both"/>
              <w:rPr>
                <w:rFonts w:ascii="Times New Roman" w:hAnsi="Times New Roman" w:eastAsia="Times New Roman" w:cs="Times New Roman"/>
                <w:color w:val="000000" w:themeColor="text1"/>
                <w:lang w:eastAsia="en-US"/>
                <w14:textFill>
                  <w14:solidFill>
                    <w14:schemeClr w14:val="tx1"/>
                  </w14:solidFill>
                </w14:textFill>
              </w:rPr>
            </w:pPr>
          </w:p>
        </w:tc>
      </w:tr>
      <w:tr w14:paraId="1843B7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55" w:hRule="atLeast"/>
          <w:jc w:val="center"/>
        </w:trPr>
        <w:tc>
          <w:tcPr>
            <w:tcW w:w="316" w:type="dxa"/>
            <w:vMerge w:val="continue"/>
            <w:tcBorders>
              <w:top w:val="nil"/>
              <w:right w:val="nil"/>
            </w:tcBorders>
            <w:vAlign w:val="center"/>
          </w:tcPr>
          <w:p w14:paraId="5D87B7D5">
            <w:pPr>
              <w:spacing w:after="0"/>
              <w:jc w:val="both"/>
              <w:rPr>
                <w:rFonts w:ascii="Times New Roman" w:hAnsi="Times New Roman" w:eastAsia="Times New Roman" w:cs="Times New Roman"/>
                <w:color w:val="000000" w:themeColor="text1"/>
                <w:lang w:eastAsia="en-US"/>
                <w14:textFill>
                  <w14:solidFill>
                    <w14:schemeClr w14:val="tx1"/>
                  </w14:solidFill>
                </w14:textFill>
              </w:rPr>
            </w:pPr>
          </w:p>
        </w:tc>
        <w:tc>
          <w:tcPr>
            <w:tcW w:w="1764" w:type="dxa"/>
            <w:tcBorders>
              <w:top w:val="nil"/>
              <w:left w:val="nil"/>
              <w:right w:val="nil"/>
            </w:tcBorders>
          </w:tcPr>
          <w:p w14:paraId="3AA454AD">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Total</w:t>
            </w:r>
          </w:p>
        </w:tc>
        <w:tc>
          <w:tcPr>
            <w:tcW w:w="1561" w:type="dxa"/>
            <w:tcBorders>
              <w:top w:val="nil"/>
              <w:left w:val="nil"/>
              <w:right w:val="nil"/>
            </w:tcBorders>
            <w:noWrap/>
          </w:tcPr>
          <w:p w14:paraId="4D5132B6">
            <w:pPr>
              <w:spacing w:after="0"/>
              <w:ind w:left="60" w:right="6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cs="Times New Roman"/>
                <w:color w:val="010205"/>
              </w:rPr>
              <w:t>74.575</w:t>
            </w:r>
          </w:p>
        </w:tc>
        <w:tc>
          <w:tcPr>
            <w:tcW w:w="1040" w:type="dxa"/>
            <w:tcBorders>
              <w:top w:val="nil"/>
              <w:left w:val="nil"/>
              <w:right w:val="nil"/>
            </w:tcBorders>
            <w:noWrap/>
          </w:tcPr>
          <w:p w14:paraId="3F133CFE">
            <w:pPr>
              <w:spacing w:after="0"/>
              <w:ind w:left="60" w:right="6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cs="Times New Roman"/>
                <w:color w:val="010205"/>
              </w:rPr>
              <w:t>463</w:t>
            </w:r>
          </w:p>
        </w:tc>
        <w:tc>
          <w:tcPr>
            <w:tcW w:w="1348" w:type="dxa"/>
            <w:tcBorders>
              <w:top w:val="nil"/>
              <w:left w:val="nil"/>
              <w:right w:val="nil"/>
            </w:tcBorders>
            <w:vAlign w:val="center"/>
          </w:tcPr>
          <w:p w14:paraId="6017C40C">
            <w:pPr>
              <w:spacing w:after="0"/>
              <w:jc w:val="both"/>
              <w:rPr>
                <w:rFonts w:ascii="Times New Roman" w:hAnsi="Times New Roman" w:eastAsia="Times New Roman" w:cs="Times New Roman"/>
                <w:color w:val="000000" w:themeColor="text1"/>
                <w:lang w:eastAsia="en-US"/>
                <w14:textFill>
                  <w14:solidFill>
                    <w14:schemeClr w14:val="tx1"/>
                  </w14:solidFill>
                </w14:textFill>
              </w:rPr>
            </w:pPr>
          </w:p>
        </w:tc>
        <w:tc>
          <w:tcPr>
            <w:tcW w:w="1040" w:type="dxa"/>
            <w:tcBorders>
              <w:top w:val="nil"/>
              <w:left w:val="nil"/>
              <w:right w:val="nil"/>
            </w:tcBorders>
            <w:vAlign w:val="center"/>
          </w:tcPr>
          <w:p w14:paraId="0AC8F028">
            <w:pPr>
              <w:spacing w:after="0"/>
              <w:jc w:val="both"/>
              <w:rPr>
                <w:rFonts w:ascii="Times New Roman" w:hAnsi="Times New Roman" w:eastAsia="Times New Roman" w:cs="Times New Roman"/>
                <w:color w:val="000000" w:themeColor="text1"/>
                <w:lang w:eastAsia="en-US"/>
                <w14:textFill>
                  <w14:solidFill>
                    <w14:schemeClr w14:val="tx1"/>
                  </w14:solidFill>
                </w14:textFill>
              </w:rPr>
            </w:pPr>
          </w:p>
        </w:tc>
        <w:tc>
          <w:tcPr>
            <w:tcW w:w="1041" w:type="dxa"/>
            <w:tcBorders>
              <w:top w:val="nil"/>
              <w:left w:val="nil"/>
            </w:tcBorders>
            <w:vAlign w:val="center"/>
          </w:tcPr>
          <w:p w14:paraId="59B1E24E">
            <w:pPr>
              <w:spacing w:after="0"/>
              <w:jc w:val="both"/>
              <w:rPr>
                <w:rFonts w:ascii="Times New Roman" w:hAnsi="Times New Roman" w:eastAsia="Times New Roman" w:cs="Times New Roman"/>
                <w:color w:val="000000" w:themeColor="text1"/>
                <w:lang w:eastAsia="en-US"/>
                <w14:textFill>
                  <w14:solidFill>
                    <w14:schemeClr w14:val="tx1"/>
                  </w14:solidFill>
                </w14:textFill>
              </w:rPr>
            </w:pPr>
          </w:p>
        </w:tc>
      </w:tr>
      <w:tr w14:paraId="7C0F76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18" w:type="dxa"/>
            <w:gridSpan w:val="8"/>
          </w:tcPr>
          <w:p w14:paraId="78F22201">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a. Dependent Variable: LC</w:t>
            </w:r>
          </w:p>
        </w:tc>
      </w:tr>
      <w:tr w14:paraId="49F8B4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118" w:type="dxa"/>
            <w:gridSpan w:val="8"/>
          </w:tcPr>
          <w:p w14:paraId="783FFDCE">
            <w:pPr>
              <w:spacing w:after="0"/>
              <w:jc w:val="both"/>
              <w:rPr>
                <w:rFonts w:ascii="Times New Roman" w:hAnsi="Times New Roman" w:eastAsia="Times New Roman" w:cs="Times New Roman"/>
                <w:color w:val="000000" w:themeColor="text1"/>
                <w:lang w:eastAsia="en-US"/>
                <w14:textFill>
                  <w14:solidFill>
                    <w14:schemeClr w14:val="tx1"/>
                  </w14:solidFill>
                </w14:textFill>
              </w:rPr>
            </w:pPr>
            <w:r>
              <w:rPr>
                <w:rFonts w:ascii="Times New Roman" w:hAnsi="Times New Roman" w:eastAsia="Times New Roman" w:cs="Times New Roman"/>
                <w:color w:val="000000" w:themeColor="text1"/>
                <w:lang w:eastAsia="en-US"/>
                <w14:textFill>
                  <w14:solidFill>
                    <w14:schemeClr w14:val="tx1"/>
                  </w14:solidFill>
                </w14:textFill>
              </w:rPr>
              <w:t xml:space="preserve">b. Predictors: (Constant), </w:t>
            </w:r>
            <w:r>
              <w:rPr>
                <w:rFonts w:ascii="Times New Roman" w:hAnsi="Times New Roman" w:cs="Times New Roman"/>
                <w:color w:val="010205"/>
              </w:rPr>
              <w:t xml:space="preserve"> EM, LA, FCE, LP, EP, CI</w:t>
            </w:r>
          </w:p>
        </w:tc>
      </w:tr>
    </w:tbl>
    <w:p w14:paraId="05DF3EAA">
      <w:pPr>
        <w:spacing w:after="0"/>
        <w:ind w:firstLine="720"/>
        <w:jc w:val="both"/>
        <w:rPr>
          <w:rFonts w:ascii="Times New Roman" w:hAnsi="Times New Roman" w:eastAsia="SimSun" w:cs="Times New Roman"/>
          <w:sz w:val="24"/>
          <w:szCs w:val="24"/>
        </w:rPr>
      </w:pPr>
    </w:p>
    <w:p w14:paraId="65339B01">
      <w:pPr>
        <w:spacing w:after="0"/>
        <w:ind w:firstLine="720"/>
        <w:jc w:val="both"/>
        <w:rPr>
          <w:rFonts w:ascii="Times New Roman" w:hAnsi="Times New Roman" w:cs="Times New Roman"/>
          <w:sz w:val="24"/>
          <w:szCs w:val="24"/>
        </w:rPr>
      </w:pPr>
      <w:r>
        <w:rPr>
          <w:rFonts w:ascii="Times New Roman" w:hAnsi="Times New Roman" w:eastAsia="SimSun" w:cs="Times New Roman"/>
          <w:sz w:val="24"/>
          <w:szCs w:val="24"/>
        </w:rPr>
        <w:t xml:space="preserve">The F-statistic for the model is exceptionally high </w:t>
      </w:r>
      <w:r>
        <w:rPr>
          <w:rFonts w:ascii="Times New Roman" w:hAnsi="Times New Roman" w:eastAsia="SimSun" w:cs="Times New Roman"/>
          <w:sz w:val="24"/>
          <w:szCs w:val="24"/>
          <w:lang w:bidi="ar"/>
        </w:rPr>
        <w:t xml:space="preserve">(F(6, 457) = </w:t>
      </w:r>
      <w:r>
        <w:rPr>
          <w:rFonts w:ascii="Times New Roman" w:hAnsi="Times New Roman" w:eastAsia="sans-serif" w:cs="Times New Roman"/>
          <w:sz w:val="24"/>
          <w:szCs w:val="24"/>
          <w:lang w:bidi="ar"/>
        </w:rPr>
        <w:t>483.943</w:t>
      </w:r>
      <w:r>
        <w:rPr>
          <w:rFonts w:ascii="Times New Roman" w:hAnsi="Times New Roman" w:eastAsia="SimSun" w:cs="Times New Roman"/>
          <w:sz w:val="24"/>
          <w:szCs w:val="24"/>
          <w:lang w:bidi="ar"/>
        </w:rPr>
        <w:t xml:space="preserve">), with a significance level of </w:t>
      </w:r>
      <w:r>
        <w:rPr>
          <w:rFonts w:ascii="Times New Roman" w:hAnsi="Times New Roman" w:cs="Times New Roman"/>
          <w:color w:val="000000" w:themeColor="text1"/>
          <w:sz w:val="24"/>
          <w:szCs w:val="24"/>
          <w14:textFill>
            <w14:solidFill>
              <w14:schemeClr w14:val="tx1"/>
            </w14:solidFill>
          </w14:textFill>
        </w:rPr>
        <w:t xml:space="preserve"> p &lt; .001</w:t>
      </w:r>
      <w:r>
        <w:rPr>
          <w:rFonts w:ascii="Times New Roman" w:hAnsi="Times New Roman" w:eastAsia="SimSun" w:cs="Times New Roman"/>
          <w:sz w:val="24"/>
          <w:szCs w:val="24"/>
          <w:lang w:bidi="ar"/>
        </w:rPr>
        <w:t xml:space="preserve">. </w:t>
      </w:r>
      <w:r>
        <w:rPr>
          <w:rFonts w:ascii="Times New Roman" w:hAnsi="Times New Roman" w:eastAsia="SimSun" w:cs="Times New Roman"/>
          <w:sz w:val="24"/>
          <w:szCs w:val="24"/>
        </w:rPr>
        <w:t>This result is statistically significant and indicates that the regression model as a whole is a valid predictor of language choice. This confirms that the six independent variables, when taken together, provide a significantly better prediction of language choice than using the mean alone. In essence, the ANOVA test confirms that the model's strong explanatory power</w:t>
      </w:r>
      <w:r>
        <w:rPr>
          <w:rFonts w:ascii="Times New Roman" w:hAnsi="Times New Roman" w:eastAsia="SimSun" w:cs="Times New Roman"/>
          <w:sz w:val="24"/>
          <w:szCs w:val="24"/>
          <w:lang w:bidi="ar"/>
        </w:rPr>
        <w:t>(as indicated by the R</w:t>
      </w:r>
      <w:r>
        <w:rPr>
          <w:rFonts w:ascii="Times New Roman" w:hAnsi="Times New Roman" w:eastAsia="SimSun" w:cs="Times New Roman"/>
          <w:sz w:val="24"/>
          <w:szCs w:val="24"/>
          <w:vertAlign w:val="superscript"/>
          <w:lang w:bidi="ar"/>
        </w:rPr>
        <w:t>2</w:t>
      </w:r>
      <w:r>
        <w:rPr>
          <w:rFonts w:ascii="Times New Roman" w:hAnsi="Times New Roman" w:eastAsia="SimSun" w:cs="Times New Roman"/>
          <w:sz w:val="24"/>
          <w:szCs w:val="24"/>
          <w:lang w:bidi="ar"/>
        </w:rPr>
        <w:t xml:space="preserve"> value) is not a statistical fluke but reflects a robust and meaningful relationship between the factors and the dependent variable.</w:t>
      </w:r>
    </w:p>
    <w:p w14:paraId="07CE5307">
      <w:pPr>
        <w:tabs>
          <w:tab w:val="left" w:pos="720"/>
        </w:tabs>
        <w:spacing w:after="0"/>
        <w:jc w:val="center"/>
        <w:rPr>
          <w:rFonts w:ascii="Times New Roman" w:hAnsi="Times New Roman" w:cs="Times New Roman"/>
          <w:color w:val="000000" w:themeColor="text1"/>
          <w:sz w:val="24"/>
          <w:szCs w:val="24"/>
          <w:lang w:val="nl-NL"/>
          <w14:textFill>
            <w14:solidFill>
              <w14:schemeClr w14:val="tx1"/>
            </w14:solidFill>
          </w14:textFill>
        </w:rPr>
      </w:pPr>
      <w:bookmarkStart w:id="0" w:name="_Toc197352291"/>
      <w:r>
        <w:rPr>
          <w:rFonts w:ascii="Times New Roman" w:hAnsi="Times New Roman" w:cs="Times New Roman"/>
          <w:b/>
          <w:bCs/>
          <w:color w:val="000000" w:themeColor="text1"/>
          <w:sz w:val="24"/>
          <w:szCs w:val="24"/>
          <w:lang w:val="nl-NL"/>
          <w14:textFill>
            <w14:solidFill>
              <w14:schemeClr w14:val="tx1"/>
            </w14:solidFill>
          </w14:textFill>
        </w:rPr>
        <w:t>Table 10</w:t>
      </w:r>
      <w:r>
        <w:rPr>
          <w:rFonts w:ascii="Times New Roman" w:hAnsi="Times New Roman" w:cs="Times New Roman"/>
          <w:color w:val="000000" w:themeColor="text1"/>
          <w:sz w:val="24"/>
          <w:szCs w:val="24"/>
          <w:lang w:val="nl-NL"/>
          <w14:textFill>
            <w14:solidFill>
              <w14:schemeClr w14:val="tx1"/>
            </w14:solidFill>
          </w14:textFill>
        </w:rPr>
        <w:t xml:space="preserve">. </w:t>
      </w:r>
      <w:bookmarkEnd w:id="0"/>
      <w:r>
        <w:rPr>
          <w:rFonts w:ascii="Times New Roman" w:hAnsi="Times New Roman" w:cs="Times New Roman"/>
          <w:color w:val="000000" w:themeColor="text1"/>
          <w:sz w:val="24"/>
          <w:szCs w:val="24"/>
          <w:lang w:val="nl-NL"/>
          <w14:textFill>
            <w14:solidFill>
              <w14:schemeClr w14:val="tx1"/>
            </w14:solidFill>
          </w14:textFill>
        </w:rPr>
        <w:t>The results of regression analysis</w:t>
      </w:r>
    </w:p>
    <w:tbl>
      <w:tblPr>
        <w:tblStyle w:val="7"/>
        <w:tblW w:w="8973"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16"/>
        <w:gridCol w:w="1061"/>
        <w:gridCol w:w="700"/>
        <w:gridCol w:w="1040"/>
        <w:gridCol w:w="1261"/>
        <w:gridCol w:w="886"/>
        <w:gridCol w:w="686"/>
        <w:gridCol w:w="1040"/>
        <w:gridCol w:w="1040"/>
        <w:gridCol w:w="1045"/>
      </w:tblGrid>
      <w:tr w14:paraId="19343BD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1421" w:type="dxa"/>
            <w:gridSpan w:val="2"/>
            <w:vMerge w:val="restart"/>
            <w:vAlign w:val="center"/>
          </w:tcPr>
          <w:p w14:paraId="1153E8F8">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Model</w:t>
            </w:r>
          </w:p>
        </w:tc>
        <w:tc>
          <w:tcPr>
            <w:tcW w:w="1740" w:type="dxa"/>
            <w:gridSpan w:val="2"/>
            <w:vAlign w:val="center"/>
          </w:tcPr>
          <w:p w14:paraId="5B1D3920">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Unstandardized Coefficients</w:t>
            </w:r>
          </w:p>
        </w:tc>
        <w:tc>
          <w:tcPr>
            <w:tcW w:w="1261" w:type="dxa"/>
            <w:vAlign w:val="center"/>
          </w:tcPr>
          <w:p w14:paraId="0B2561F6">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Standardized Coefficients</w:t>
            </w:r>
          </w:p>
        </w:tc>
        <w:tc>
          <w:tcPr>
            <w:tcW w:w="766" w:type="dxa"/>
            <w:vMerge w:val="restart"/>
            <w:vAlign w:val="center"/>
          </w:tcPr>
          <w:p w14:paraId="342BCBF9">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t</w:t>
            </w:r>
          </w:p>
        </w:tc>
        <w:tc>
          <w:tcPr>
            <w:tcW w:w="660" w:type="dxa"/>
            <w:vMerge w:val="restart"/>
            <w:vAlign w:val="center"/>
          </w:tcPr>
          <w:p w14:paraId="0F3CCC61">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Sig.</w:t>
            </w:r>
          </w:p>
        </w:tc>
        <w:tc>
          <w:tcPr>
            <w:tcW w:w="2080" w:type="dxa"/>
            <w:gridSpan w:val="2"/>
            <w:vAlign w:val="center"/>
          </w:tcPr>
          <w:p w14:paraId="2A794C34">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Collinearity Statistics</w:t>
            </w:r>
          </w:p>
        </w:tc>
        <w:tc>
          <w:tcPr>
            <w:tcW w:w="1045" w:type="dxa"/>
            <w:vMerge w:val="restart"/>
            <w:noWrap/>
            <w:vAlign w:val="center"/>
          </w:tcPr>
          <w:p w14:paraId="0A6D2BC1">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Remarks</w:t>
            </w:r>
          </w:p>
        </w:tc>
      </w:tr>
      <w:tr w14:paraId="3AB66E8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1421" w:type="dxa"/>
            <w:gridSpan w:val="2"/>
            <w:vMerge w:val="continue"/>
            <w:vAlign w:val="center"/>
          </w:tcPr>
          <w:p w14:paraId="03E79D51">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p>
        </w:tc>
        <w:tc>
          <w:tcPr>
            <w:tcW w:w="700" w:type="dxa"/>
            <w:vAlign w:val="center"/>
          </w:tcPr>
          <w:p w14:paraId="678ADE7A">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B</w:t>
            </w:r>
          </w:p>
        </w:tc>
        <w:tc>
          <w:tcPr>
            <w:tcW w:w="1040" w:type="dxa"/>
            <w:vAlign w:val="center"/>
          </w:tcPr>
          <w:p w14:paraId="5585D50C">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Std. Error</w:t>
            </w:r>
          </w:p>
        </w:tc>
        <w:tc>
          <w:tcPr>
            <w:tcW w:w="1261" w:type="dxa"/>
            <w:vAlign w:val="center"/>
          </w:tcPr>
          <w:p w14:paraId="0A4B0853">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Beta</w:t>
            </w:r>
          </w:p>
        </w:tc>
        <w:tc>
          <w:tcPr>
            <w:tcW w:w="766" w:type="dxa"/>
            <w:vMerge w:val="continue"/>
            <w:vAlign w:val="center"/>
          </w:tcPr>
          <w:p w14:paraId="7B8B1F42">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p>
        </w:tc>
        <w:tc>
          <w:tcPr>
            <w:tcW w:w="660" w:type="dxa"/>
            <w:vMerge w:val="continue"/>
            <w:vAlign w:val="center"/>
          </w:tcPr>
          <w:p w14:paraId="233B0F47">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p>
        </w:tc>
        <w:tc>
          <w:tcPr>
            <w:tcW w:w="1040" w:type="dxa"/>
            <w:vAlign w:val="center"/>
          </w:tcPr>
          <w:p w14:paraId="2BC5EAA4">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Tolerance</w:t>
            </w:r>
          </w:p>
        </w:tc>
        <w:tc>
          <w:tcPr>
            <w:tcW w:w="1040" w:type="dxa"/>
            <w:vAlign w:val="center"/>
          </w:tcPr>
          <w:p w14:paraId="62C752DE">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VIF</w:t>
            </w:r>
          </w:p>
        </w:tc>
        <w:tc>
          <w:tcPr>
            <w:tcW w:w="1045" w:type="dxa"/>
            <w:vMerge w:val="continue"/>
            <w:vAlign w:val="center"/>
          </w:tcPr>
          <w:p w14:paraId="13C2FED2">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p>
        </w:tc>
      </w:tr>
      <w:tr w14:paraId="384207E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316" w:type="dxa"/>
            <w:vMerge w:val="restart"/>
            <w:noWrap/>
            <w:vAlign w:val="center"/>
          </w:tcPr>
          <w:p w14:paraId="03BBA371">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1</w:t>
            </w:r>
          </w:p>
        </w:tc>
        <w:tc>
          <w:tcPr>
            <w:tcW w:w="1105" w:type="dxa"/>
            <w:tcBorders>
              <w:bottom w:val="nil"/>
            </w:tcBorders>
            <w:vAlign w:val="center"/>
          </w:tcPr>
          <w:p w14:paraId="5079CA77">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(Constant)</w:t>
            </w:r>
          </w:p>
        </w:tc>
        <w:tc>
          <w:tcPr>
            <w:tcW w:w="700" w:type="dxa"/>
            <w:tcBorders>
              <w:bottom w:val="nil"/>
            </w:tcBorders>
            <w:noWrap/>
          </w:tcPr>
          <w:p w14:paraId="6B591BB5">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.097</w:t>
            </w:r>
          </w:p>
        </w:tc>
        <w:tc>
          <w:tcPr>
            <w:tcW w:w="1040" w:type="dxa"/>
            <w:tcBorders>
              <w:bottom w:val="nil"/>
            </w:tcBorders>
            <w:noWrap/>
          </w:tcPr>
          <w:p w14:paraId="5488DED8">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.086</w:t>
            </w:r>
          </w:p>
        </w:tc>
        <w:tc>
          <w:tcPr>
            <w:tcW w:w="1261" w:type="dxa"/>
            <w:tcBorders>
              <w:bottom w:val="nil"/>
            </w:tcBorders>
            <w:vAlign w:val="center"/>
          </w:tcPr>
          <w:p w14:paraId="21D9FA7C">
            <w:pPr>
              <w:spacing w:after="0"/>
              <w:jc w:val="both"/>
              <w:rPr>
                <w:rFonts w:ascii="Times New Roman" w:hAnsi="Times New Roman" w:cs="Times New Roman"/>
                <w:color w:val="000000" w:themeColor="text1"/>
                <w:sz w:val="20"/>
                <w:szCs w:val="20"/>
                <w:lang w:eastAsia="en-US"/>
                <w14:textFill>
                  <w14:solidFill>
                    <w14:schemeClr w14:val="tx1"/>
                  </w14:solidFill>
                </w14:textFill>
              </w:rPr>
            </w:pPr>
          </w:p>
        </w:tc>
        <w:tc>
          <w:tcPr>
            <w:tcW w:w="766" w:type="dxa"/>
            <w:tcBorders>
              <w:bottom w:val="nil"/>
            </w:tcBorders>
            <w:noWrap/>
          </w:tcPr>
          <w:p w14:paraId="426B1DBF">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1.118</w:t>
            </w:r>
          </w:p>
        </w:tc>
        <w:tc>
          <w:tcPr>
            <w:tcW w:w="660" w:type="dxa"/>
            <w:tcBorders>
              <w:bottom w:val="nil"/>
            </w:tcBorders>
            <w:noWrap/>
          </w:tcPr>
          <w:p w14:paraId="2260F2CB">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.264</w:t>
            </w:r>
          </w:p>
        </w:tc>
        <w:tc>
          <w:tcPr>
            <w:tcW w:w="1040" w:type="dxa"/>
            <w:tcBorders>
              <w:bottom w:val="nil"/>
            </w:tcBorders>
            <w:vAlign w:val="center"/>
          </w:tcPr>
          <w:p w14:paraId="7C4F1761">
            <w:pPr>
              <w:spacing w:after="0"/>
              <w:jc w:val="both"/>
              <w:rPr>
                <w:rFonts w:ascii="Times New Roman" w:hAnsi="Times New Roman" w:cs="Times New Roman"/>
                <w:color w:val="000000" w:themeColor="text1"/>
                <w:sz w:val="20"/>
                <w:szCs w:val="20"/>
                <w:lang w:eastAsia="en-US"/>
                <w14:textFill>
                  <w14:solidFill>
                    <w14:schemeClr w14:val="tx1"/>
                  </w14:solidFill>
                </w14:textFill>
              </w:rPr>
            </w:pPr>
          </w:p>
        </w:tc>
        <w:tc>
          <w:tcPr>
            <w:tcW w:w="1040" w:type="dxa"/>
            <w:tcBorders>
              <w:bottom w:val="nil"/>
            </w:tcBorders>
            <w:vAlign w:val="center"/>
          </w:tcPr>
          <w:p w14:paraId="0140E8F1">
            <w:pPr>
              <w:spacing w:after="0"/>
              <w:jc w:val="both"/>
              <w:rPr>
                <w:rFonts w:ascii="Times New Roman" w:hAnsi="Times New Roman" w:cs="Times New Roman"/>
                <w:color w:val="000000" w:themeColor="text1"/>
                <w:sz w:val="20"/>
                <w:szCs w:val="20"/>
                <w:lang w:eastAsia="en-US"/>
                <w14:textFill>
                  <w14:solidFill>
                    <w14:schemeClr w14:val="tx1"/>
                  </w14:solidFill>
                </w14:textFill>
              </w:rPr>
            </w:pPr>
          </w:p>
        </w:tc>
        <w:tc>
          <w:tcPr>
            <w:tcW w:w="1045" w:type="dxa"/>
            <w:tcBorders>
              <w:bottom w:val="nil"/>
            </w:tcBorders>
            <w:noWrap/>
            <w:vAlign w:val="center"/>
          </w:tcPr>
          <w:p w14:paraId="32350D0A">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 </w:t>
            </w:r>
          </w:p>
        </w:tc>
      </w:tr>
      <w:tr w14:paraId="3BCE2D4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316" w:type="dxa"/>
            <w:vMerge w:val="continue"/>
            <w:vAlign w:val="center"/>
          </w:tcPr>
          <w:p w14:paraId="58363B5D">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p>
        </w:tc>
        <w:tc>
          <w:tcPr>
            <w:tcW w:w="1105" w:type="dxa"/>
            <w:tcBorders>
              <w:top w:val="nil"/>
              <w:bottom w:val="nil"/>
            </w:tcBorders>
          </w:tcPr>
          <w:p w14:paraId="33904C7B">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CI</w:t>
            </w:r>
          </w:p>
        </w:tc>
        <w:tc>
          <w:tcPr>
            <w:tcW w:w="700" w:type="dxa"/>
            <w:tcBorders>
              <w:top w:val="nil"/>
              <w:bottom w:val="nil"/>
            </w:tcBorders>
            <w:noWrap/>
          </w:tcPr>
          <w:p w14:paraId="41D2E187">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.227</w:t>
            </w:r>
          </w:p>
        </w:tc>
        <w:tc>
          <w:tcPr>
            <w:tcW w:w="1040" w:type="dxa"/>
            <w:tcBorders>
              <w:top w:val="nil"/>
              <w:bottom w:val="nil"/>
            </w:tcBorders>
            <w:noWrap/>
          </w:tcPr>
          <w:p w14:paraId="5222BF86">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.022</w:t>
            </w:r>
          </w:p>
        </w:tc>
        <w:tc>
          <w:tcPr>
            <w:tcW w:w="1261" w:type="dxa"/>
            <w:tcBorders>
              <w:top w:val="nil"/>
              <w:bottom w:val="nil"/>
            </w:tcBorders>
            <w:noWrap/>
          </w:tcPr>
          <w:p w14:paraId="1A1A5C76">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.278</w:t>
            </w:r>
          </w:p>
        </w:tc>
        <w:tc>
          <w:tcPr>
            <w:tcW w:w="766" w:type="dxa"/>
            <w:tcBorders>
              <w:top w:val="nil"/>
              <w:bottom w:val="nil"/>
            </w:tcBorders>
            <w:noWrap/>
          </w:tcPr>
          <w:p w14:paraId="0059DA1C">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10.478</w:t>
            </w:r>
          </w:p>
        </w:tc>
        <w:tc>
          <w:tcPr>
            <w:tcW w:w="660" w:type="dxa"/>
            <w:tcBorders>
              <w:top w:val="nil"/>
              <w:bottom w:val="nil"/>
            </w:tcBorders>
            <w:noWrap/>
          </w:tcPr>
          <w:p w14:paraId="12112357">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.000</w:t>
            </w:r>
          </w:p>
        </w:tc>
        <w:tc>
          <w:tcPr>
            <w:tcW w:w="1040" w:type="dxa"/>
            <w:tcBorders>
              <w:top w:val="nil"/>
              <w:bottom w:val="nil"/>
            </w:tcBorders>
            <w:noWrap/>
          </w:tcPr>
          <w:p w14:paraId="368578CE">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.422</w:t>
            </w:r>
          </w:p>
        </w:tc>
        <w:tc>
          <w:tcPr>
            <w:tcW w:w="1040" w:type="dxa"/>
            <w:tcBorders>
              <w:top w:val="nil"/>
              <w:bottom w:val="nil"/>
            </w:tcBorders>
            <w:noWrap/>
          </w:tcPr>
          <w:p w14:paraId="39784185">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2.369</w:t>
            </w:r>
          </w:p>
        </w:tc>
        <w:tc>
          <w:tcPr>
            <w:tcW w:w="1045" w:type="dxa"/>
            <w:tcBorders>
              <w:top w:val="nil"/>
              <w:bottom w:val="nil"/>
            </w:tcBorders>
            <w:noWrap/>
            <w:vAlign w:val="center"/>
          </w:tcPr>
          <w:p w14:paraId="557670B2">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Supported</w:t>
            </w:r>
          </w:p>
        </w:tc>
      </w:tr>
      <w:tr w14:paraId="630F90B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316" w:type="dxa"/>
            <w:vMerge w:val="continue"/>
            <w:vAlign w:val="center"/>
          </w:tcPr>
          <w:p w14:paraId="6FAC3471">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p>
        </w:tc>
        <w:tc>
          <w:tcPr>
            <w:tcW w:w="1105" w:type="dxa"/>
            <w:tcBorders>
              <w:top w:val="nil"/>
              <w:bottom w:val="nil"/>
            </w:tcBorders>
          </w:tcPr>
          <w:p w14:paraId="3C64B49C">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FCE</w:t>
            </w:r>
          </w:p>
        </w:tc>
        <w:tc>
          <w:tcPr>
            <w:tcW w:w="700" w:type="dxa"/>
            <w:tcBorders>
              <w:top w:val="nil"/>
              <w:bottom w:val="nil"/>
            </w:tcBorders>
            <w:noWrap/>
          </w:tcPr>
          <w:p w14:paraId="7E718B53">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.154</w:t>
            </w:r>
          </w:p>
        </w:tc>
        <w:tc>
          <w:tcPr>
            <w:tcW w:w="1040" w:type="dxa"/>
            <w:tcBorders>
              <w:top w:val="nil"/>
              <w:bottom w:val="nil"/>
            </w:tcBorders>
            <w:noWrap/>
          </w:tcPr>
          <w:p w14:paraId="64FAFA5E">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.023</w:t>
            </w:r>
          </w:p>
        </w:tc>
        <w:tc>
          <w:tcPr>
            <w:tcW w:w="1261" w:type="dxa"/>
            <w:tcBorders>
              <w:top w:val="nil"/>
              <w:bottom w:val="nil"/>
            </w:tcBorders>
            <w:noWrap/>
          </w:tcPr>
          <w:p w14:paraId="0B63D4DF">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.159</w:t>
            </w:r>
          </w:p>
        </w:tc>
        <w:tc>
          <w:tcPr>
            <w:tcW w:w="766" w:type="dxa"/>
            <w:tcBorders>
              <w:top w:val="nil"/>
              <w:bottom w:val="nil"/>
            </w:tcBorders>
            <w:noWrap/>
          </w:tcPr>
          <w:p w14:paraId="0FEA37FF">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6.616</w:t>
            </w:r>
          </w:p>
        </w:tc>
        <w:tc>
          <w:tcPr>
            <w:tcW w:w="660" w:type="dxa"/>
            <w:tcBorders>
              <w:top w:val="nil"/>
              <w:bottom w:val="nil"/>
            </w:tcBorders>
            <w:noWrap/>
          </w:tcPr>
          <w:p w14:paraId="2772E1F8">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.000</w:t>
            </w:r>
          </w:p>
        </w:tc>
        <w:tc>
          <w:tcPr>
            <w:tcW w:w="1040" w:type="dxa"/>
            <w:tcBorders>
              <w:top w:val="nil"/>
              <w:bottom w:val="nil"/>
            </w:tcBorders>
            <w:noWrap/>
          </w:tcPr>
          <w:p w14:paraId="7D53A0A3">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.513</w:t>
            </w:r>
          </w:p>
        </w:tc>
        <w:tc>
          <w:tcPr>
            <w:tcW w:w="1040" w:type="dxa"/>
            <w:tcBorders>
              <w:top w:val="nil"/>
              <w:bottom w:val="nil"/>
            </w:tcBorders>
            <w:noWrap/>
          </w:tcPr>
          <w:p w14:paraId="0C467A3D">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1.948</w:t>
            </w:r>
          </w:p>
        </w:tc>
        <w:tc>
          <w:tcPr>
            <w:tcW w:w="1045" w:type="dxa"/>
            <w:tcBorders>
              <w:top w:val="nil"/>
              <w:bottom w:val="nil"/>
            </w:tcBorders>
            <w:noWrap/>
            <w:vAlign w:val="center"/>
          </w:tcPr>
          <w:p w14:paraId="06CC34BB">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Supported</w:t>
            </w:r>
          </w:p>
        </w:tc>
      </w:tr>
      <w:tr w14:paraId="707B603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316" w:type="dxa"/>
            <w:vMerge w:val="continue"/>
            <w:vAlign w:val="center"/>
          </w:tcPr>
          <w:p w14:paraId="6730CCAC">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p>
        </w:tc>
        <w:tc>
          <w:tcPr>
            <w:tcW w:w="1105" w:type="dxa"/>
            <w:tcBorders>
              <w:top w:val="nil"/>
              <w:bottom w:val="nil"/>
            </w:tcBorders>
          </w:tcPr>
          <w:p w14:paraId="5628C1CB">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LP</w:t>
            </w:r>
          </w:p>
        </w:tc>
        <w:tc>
          <w:tcPr>
            <w:tcW w:w="700" w:type="dxa"/>
            <w:tcBorders>
              <w:top w:val="nil"/>
              <w:bottom w:val="nil"/>
            </w:tcBorders>
            <w:noWrap/>
          </w:tcPr>
          <w:p w14:paraId="749F6461">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.185</w:t>
            </w:r>
          </w:p>
        </w:tc>
        <w:tc>
          <w:tcPr>
            <w:tcW w:w="1040" w:type="dxa"/>
            <w:tcBorders>
              <w:top w:val="nil"/>
              <w:bottom w:val="nil"/>
            </w:tcBorders>
            <w:noWrap/>
          </w:tcPr>
          <w:p w14:paraId="21DAE310">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.021</w:t>
            </w:r>
          </w:p>
        </w:tc>
        <w:tc>
          <w:tcPr>
            <w:tcW w:w="1261" w:type="dxa"/>
            <w:tcBorders>
              <w:top w:val="nil"/>
              <w:bottom w:val="nil"/>
            </w:tcBorders>
            <w:noWrap/>
          </w:tcPr>
          <w:p w14:paraId="6545A02C">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.221</w:t>
            </w:r>
          </w:p>
        </w:tc>
        <w:tc>
          <w:tcPr>
            <w:tcW w:w="766" w:type="dxa"/>
            <w:tcBorders>
              <w:top w:val="nil"/>
              <w:bottom w:val="nil"/>
            </w:tcBorders>
            <w:noWrap/>
          </w:tcPr>
          <w:p w14:paraId="3B1E9D23">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8.776</w:t>
            </w:r>
          </w:p>
        </w:tc>
        <w:tc>
          <w:tcPr>
            <w:tcW w:w="660" w:type="dxa"/>
            <w:tcBorders>
              <w:top w:val="nil"/>
              <w:bottom w:val="nil"/>
            </w:tcBorders>
            <w:noWrap/>
          </w:tcPr>
          <w:p w14:paraId="207F29CC">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.000</w:t>
            </w:r>
          </w:p>
        </w:tc>
        <w:tc>
          <w:tcPr>
            <w:tcW w:w="1040" w:type="dxa"/>
            <w:tcBorders>
              <w:top w:val="nil"/>
              <w:bottom w:val="nil"/>
            </w:tcBorders>
            <w:noWrap/>
          </w:tcPr>
          <w:p w14:paraId="49734808">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.470</w:t>
            </w:r>
          </w:p>
        </w:tc>
        <w:tc>
          <w:tcPr>
            <w:tcW w:w="1040" w:type="dxa"/>
            <w:tcBorders>
              <w:top w:val="nil"/>
              <w:bottom w:val="nil"/>
            </w:tcBorders>
            <w:noWrap/>
          </w:tcPr>
          <w:p w14:paraId="669F3B56">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2.129</w:t>
            </w:r>
          </w:p>
        </w:tc>
        <w:tc>
          <w:tcPr>
            <w:tcW w:w="1045" w:type="dxa"/>
            <w:tcBorders>
              <w:top w:val="nil"/>
              <w:bottom w:val="nil"/>
            </w:tcBorders>
            <w:noWrap/>
            <w:vAlign w:val="center"/>
          </w:tcPr>
          <w:p w14:paraId="05B449AF">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Supported</w:t>
            </w:r>
          </w:p>
        </w:tc>
      </w:tr>
      <w:tr w14:paraId="46FBC69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316" w:type="dxa"/>
            <w:vMerge w:val="continue"/>
            <w:vAlign w:val="center"/>
          </w:tcPr>
          <w:p w14:paraId="48270D2D">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p>
        </w:tc>
        <w:tc>
          <w:tcPr>
            <w:tcW w:w="1105" w:type="dxa"/>
            <w:tcBorders>
              <w:top w:val="nil"/>
              <w:bottom w:val="nil"/>
            </w:tcBorders>
          </w:tcPr>
          <w:p w14:paraId="1D31401B">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EP</w:t>
            </w:r>
          </w:p>
        </w:tc>
        <w:tc>
          <w:tcPr>
            <w:tcW w:w="700" w:type="dxa"/>
            <w:tcBorders>
              <w:top w:val="nil"/>
              <w:bottom w:val="nil"/>
            </w:tcBorders>
            <w:noWrap/>
          </w:tcPr>
          <w:p w14:paraId="05750D99">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.127</w:t>
            </w:r>
          </w:p>
        </w:tc>
        <w:tc>
          <w:tcPr>
            <w:tcW w:w="1040" w:type="dxa"/>
            <w:tcBorders>
              <w:top w:val="nil"/>
              <w:bottom w:val="nil"/>
            </w:tcBorders>
            <w:noWrap/>
          </w:tcPr>
          <w:p w14:paraId="76976C7D">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.020</w:t>
            </w:r>
          </w:p>
        </w:tc>
        <w:tc>
          <w:tcPr>
            <w:tcW w:w="1261" w:type="dxa"/>
            <w:tcBorders>
              <w:top w:val="nil"/>
              <w:bottom w:val="nil"/>
            </w:tcBorders>
            <w:noWrap/>
          </w:tcPr>
          <w:p w14:paraId="2A29E34F">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.157</w:t>
            </w:r>
          </w:p>
        </w:tc>
        <w:tc>
          <w:tcPr>
            <w:tcW w:w="766" w:type="dxa"/>
            <w:tcBorders>
              <w:top w:val="nil"/>
              <w:bottom w:val="nil"/>
            </w:tcBorders>
            <w:noWrap/>
          </w:tcPr>
          <w:p w14:paraId="240216C2">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6.213</w:t>
            </w:r>
          </w:p>
        </w:tc>
        <w:tc>
          <w:tcPr>
            <w:tcW w:w="660" w:type="dxa"/>
            <w:tcBorders>
              <w:top w:val="nil"/>
              <w:bottom w:val="nil"/>
            </w:tcBorders>
            <w:noWrap/>
          </w:tcPr>
          <w:p w14:paraId="7F2FC7C5">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.000</w:t>
            </w:r>
          </w:p>
        </w:tc>
        <w:tc>
          <w:tcPr>
            <w:tcW w:w="1040" w:type="dxa"/>
            <w:tcBorders>
              <w:top w:val="nil"/>
              <w:bottom w:val="nil"/>
            </w:tcBorders>
            <w:noWrap/>
          </w:tcPr>
          <w:p w14:paraId="670FD2B7">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.468</w:t>
            </w:r>
          </w:p>
        </w:tc>
        <w:tc>
          <w:tcPr>
            <w:tcW w:w="1040" w:type="dxa"/>
            <w:tcBorders>
              <w:top w:val="nil"/>
              <w:bottom w:val="nil"/>
            </w:tcBorders>
            <w:noWrap/>
          </w:tcPr>
          <w:p w14:paraId="6513A3F3">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2.138</w:t>
            </w:r>
          </w:p>
        </w:tc>
        <w:tc>
          <w:tcPr>
            <w:tcW w:w="1045" w:type="dxa"/>
            <w:tcBorders>
              <w:top w:val="nil"/>
              <w:bottom w:val="nil"/>
            </w:tcBorders>
            <w:noWrap/>
            <w:vAlign w:val="center"/>
          </w:tcPr>
          <w:p w14:paraId="3D858994">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Supported</w:t>
            </w:r>
          </w:p>
        </w:tc>
      </w:tr>
      <w:tr w14:paraId="35CDCD5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316" w:type="dxa"/>
            <w:vMerge w:val="continue"/>
            <w:vAlign w:val="center"/>
          </w:tcPr>
          <w:p w14:paraId="43FF3254">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p>
        </w:tc>
        <w:tc>
          <w:tcPr>
            <w:tcW w:w="1105" w:type="dxa"/>
            <w:tcBorders>
              <w:top w:val="nil"/>
              <w:bottom w:val="nil"/>
            </w:tcBorders>
          </w:tcPr>
          <w:p w14:paraId="303A8A52">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LA</w:t>
            </w:r>
          </w:p>
        </w:tc>
        <w:tc>
          <w:tcPr>
            <w:tcW w:w="700" w:type="dxa"/>
            <w:tcBorders>
              <w:top w:val="nil"/>
              <w:bottom w:val="nil"/>
            </w:tcBorders>
            <w:noWrap/>
          </w:tcPr>
          <w:p w14:paraId="50D94268">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.171</w:t>
            </w:r>
          </w:p>
        </w:tc>
        <w:tc>
          <w:tcPr>
            <w:tcW w:w="1040" w:type="dxa"/>
            <w:tcBorders>
              <w:top w:val="nil"/>
              <w:bottom w:val="nil"/>
            </w:tcBorders>
            <w:noWrap/>
          </w:tcPr>
          <w:p w14:paraId="39D568B9">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.020</w:t>
            </w:r>
          </w:p>
        </w:tc>
        <w:tc>
          <w:tcPr>
            <w:tcW w:w="1261" w:type="dxa"/>
            <w:tcBorders>
              <w:top w:val="nil"/>
              <w:bottom w:val="nil"/>
            </w:tcBorders>
            <w:noWrap/>
          </w:tcPr>
          <w:p w14:paraId="4B1F4BFC">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.208</w:t>
            </w:r>
          </w:p>
        </w:tc>
        <w:tc>
          <w:tcPr>
            <w:tcW w:w="766" w:type="dxa"/>
            <w:tcBorders>
              <w:top w:val="nil"/>
              <w:bottom w:val="nil"/>
            </w:tcBorders>
            <w:noWrap/>
          </w:tcPr>
          <w:p w14:paraId="0AB2E707">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8.498</w:t>
            </w:r>
          </w:p>
        </w:tc>
        <w:tc>
          <w:tcPr>
            <w:tcW w:w="660" w:type="dxa"/>
            <w:tcBorders>
              <w:top w:val="nil"/>
              <w:bottom w:val="nil"/>
            </w:tcBorders>
            <w:noWrap/>
          </w:tcPr>
          <w:p w14:paraId="0C55C147">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.000</w:t>
            </w:r>
          </w:p>
        </w:tc>
        <w:tc>
          <w:tcPr>
            <w:tcW w:w="1040" w:type="dxa"/>
            <w:tcBorders>
              <w:top w:val="nil"/>
              <w:bottom w:val="nil"/>
            </w:tcBorders>
            <w:noWrap/>
          </w:tcPr>
          <w:p w14:paraId="50E46A14">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.497</w:t>
            </w:r>
          </w:p>
        </w:tc>
        <w:tc>
          <w:tcPr>
            <w:tcW w:w="1040" w:type="dxa"/>
            <w:tcBorders>
              <w:top w:val="nil"/>
              <w:bottom w:val="nil"/>
            </w:tcBorders>
            <w:noWrap/>
          </w:tcPr>
          <w:p w14:paraId="65C65E53">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2.013</w:t>
            </w:r>
          </w:p>
        </w:tc>
        <w:tc>
          <w:tcPr>
            <w:tcW w:w="1045" w:type="dxa"/>
            <w:tcBorders>
              <w:top w:val="nil"/>
              <w:bottom w:val="nil"/>
            </w:tcBorders>
            <w:noWrap/>
            <w:vAlign w:val="center"/>
          </w:tcPr>
          <w:p w14:paraId="061D86EC">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Supported</w:t>
            </w:r>
          </w:p>
        </w:tc>
      </w:tr>
      <w:tr w14:paraId="3695611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316" w:type="dxa"/>
            <w:vMerge w:val="continue"/>
            <w:vAlign w:val="center"/>
          </w:tcPr>
          <w:p w14:paraId="334C93D9">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p>
        </w:tc>
        <w:tc>
          <w:tcPr>
            <w:tcW w:w="1105" w:type="dxa"/>
            <w:tcBorders>
              <w:top w:val="nil"/>
              <w:bottom w:val="nil"/>
            </w:tcBorders>
          </w:tcPr>
          <w:p w14:paraId="1BD0B99C">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EM</w:t>
            </w:r>
          </w:p>
        </w:tc>
        <w:tc>
          <w:tcPr>
            <w:tcW w:w="700" w:type="dxa"/>
            <w:tcBorders>
              <w:top w:val="nil"/>
              <w:bottom w:val="nil"/>
            </w:tcBorders>
            <w:noWrap/>
          </w:tcPr>
          <w:p w14:paraId="316D5DFB">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.121</w:t>
            </w:r>
          </w:p>
        </w:tc>
        <w:tc>
          <w:tcPr>
            <w:tcW w:w="1040" w:type="dxa"/>
            <w:tcBorders>
              <w:top w:val="nil"/>
              <w:bottom w:val="nil"/>
            </w:tcBorders>
            <w:noWrap/>
          </w:tcPr>
          <w:p w14:paraId="4BBB2486">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.022</w:t>
            </w:r>
          </w:p>
        </w:tc>
        <w:tc>
          <w:tcPr>
            <w:tcW w:w="1261" w:type="dxa"/>
            <w:tcBorders>
              <w:top w:val="nil"/>
              <w:bottom w:val="nil"/>
            </w:tcBorders>
            <w:noWrap/>
          </w:tcPr>
          <w:p w14:paraId="65750750">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.126</w:t>
            </w:r>
          </w:p>
        </w:tc>
        <w:tc>
          <w:tcPr>
            <w:tcW w:w="766" w:type="dxa"/>
            <w:tcBorders>
              <w:top w:val="nil"/>
              <w:bottom w:val="nil"/>
            </w:tcBorders>
            <w:noWrap/>
          </w:tcPr>
          <w:p w14:paraId="55A671B6">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5.586</w:t>
            </w:r>
          </w:p>
        </w:tc>
        <w:tc>
          <w:tcPr>
            <w:tcW w:w="660" w:type="dxa"/>
            <w:tcBorders>
              <w:top w:val="nil"/>
              <w:bottom w:val="nil"/>
            </w:tcBorders>
            <w:noWrap/>
          </w:tcPr>
          <w:p w14:paraId="6D65314D">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.000</w:t>
            </w:r>
          </w:p>
        </w:tc>
        <w:tc>
          <w:tcPr>
            <w:tcW w:w="1040" w:type="dxa"/>
            <w:tcBorders>
              <w:top w:val="nil"/>
              <w:bottom w:val="nil"/>
            </w:tcBorders>
            <w:noWrap/>
          </w:tcPr>
          <w:p w14:paraId="5E213D2C">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.582</w:t>
            </w:r>
          </w:p>
        </w:tc>
        <w:tc>
          <w:tcPr>
            <w:tcW w:w="1040" w:type="dxa"/>
            <w:tcBorders>
              <w:top w:val="nil"/>
              <w:bottom w:val="nil"/>
            </w:tcBorders>
            <w:noWrap/>
          </w:tcPr>
          <w:p w14:paraId="3C34B7E5">
            <w:pPr>
              <w:spacing w:after="0"/>
              <w:ind w:left="60" w:right="60"/>
              <w:jc w:val="both"/>
              <w:rPr>
                <w:rFonts w:ascii="Times New Roman" w:hAnsi="Times New Roman" w:cs="Times New Roman"/>
                <w:color w:val="000000" w:themeColor="text1"/>
                <w:sz w:val="20"/>
                <w:szCs w:val="20"/>
                <w:lang w:eastAsia="en-US"/>
                <w14:textFill>
                  <w14:solidFill>
                    <w14:schemeClr w14:val="tx1"/>
                  </w14:solidFill>
                </w14:textFill>
              </w:rPr>
            </w:pPr>
            <w:r>
              <w:rPr>
                <w:rFonts w:ascii="Times New Roman" w:hAnsi="Times New Roman" w:cs="Times New Roman"/>
                <w:color w:val="000000" w:themeColor="text1"/>
                <w:sz w:val="20"/>
                <w:szCs w:val="20"/>
                <w14:textFill>
                  <w14:solidFill>
                    <w14:schemeClr w14:val="tx1"/>
                  </w14:solidFill>
                </w14:textFill>
              </w:rPr>
              <w:t>1.719</w:t>
            </w:r>
          </w:p>
        </w:tc>
        <w:tc>
          <w:tcPr>
            <w:tcW w:w="1045" w:type="dxa"/>
            <w:tcBorders>
              <w:top w:val="nil"/>
              <w:bottom w:val="nil"/>
            </w:tcBorders>
            <w:noWrap/>
            <w:vAlign w:val="center"/>
          </w:tcPr>
          <w:p w14:paraId="4D7FB025">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Supported</w:t>
            </w:r>
          </w:p>
        </w:tc>
      </w:tr>
      <w:tr w14:paraId="0938052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55" w:hRule="atLeast"/>
          <w:jc w:val="center"/>
        </w:trPr>
        <w:tc>
          <w:tcPr>
            <w:tcW w:w="8973" w:type="dxa"/>
            <w:gridSpan w:val="10"/>
            <w:vAlign w:val="center"/>
          </w:tcPr>
          <w:p w14:paraId="1BBBA866">
            <w:pPr>
              <w:spacing w:after="0"/>
              <w:jc w:val="both"/>
              <w:rPr>
                <w:rFonts w:ascii="Times New Roman" w:hAnsi="Times New Roman" w:eastAsia="Times New Roman" w:cs="Times New Roman"/>
                <w:color w:val="000000" w:themeColor="text1"/>
                <w:sz w:val="20"/>
                <w:szCs w:val="20"/>
                <w:lang w:eastAsia="en-US"/>
                <w14:textFill>
                  <w14:solidFill>
                    <w14:schemeClr w14:val="tx1"/>
                  </w14:solidFill>
                </w14:textFill>
              </w:rPr>
            </w:pPr>
            <w:r>
              <w:rPr>
                <w:rFonts w:ascii="Times New Roman" w:hAnsi="Times New Roman" w:eastAsia="Times New Roman" w:cs="Times New Roman"/>
                <w:color w:val="000000" w:themeColor="text1"/>
                <w:sz w:val="20"/>
                <w:szCs w:val="20"/>
                <w:lang w:eastAsia="en-US"/>
                <w14:textFill>
                  <w14:solidFill>
                    <w14:schemeClr w14:val="tx1"/>
                  </w14:solidFill>
                </w14:textFill>
              </w:rPr>
              <w:t>a. Dependent Variable: LC</w:t>
            </w:r>
          </w:p>
        </w:tc>
      </w:tr>
    </w:tbl>
    <w:p w14:paraId="4529A60B">
      <w:pPr>
        <w:tabs>
          <w:tab w:val="left" w:pos="720"/>
        </w:tabs>
        <w:spacing w:after="0"/>
        <w:jc w:val="both"/>
        <w:rPr>
          <w:rFonts w:ascii="Times New Roman" w:hAnsi="Times New Roman" w:cs="Times New Roman"/>
          <w:color w:val="000000" w:themeColor="text1"/>
          <w:sz w:val="24"/>
          <w:szCs w:val="24"/>
          <w:lang w:val="nl-NL"/>
          <w14:textFill>
            <w14:solidFill>
              <w14:schemeClr w14:val="tx1"/>
            </w14:solidFill>
          </w14:textFill>
        </w:rPr>
      </w:pPr>
    </w:p>
    <w:p w14:paraId="69D3D2C7">
      <w:pPr>
        <w:pStyle w:val="18"/>
        <w:spacing w:before="0" w:beforeAutospacing="0" w:after="0" w:afterAutospacing="0" w:line="276" w:lineRule="auto"/>
        <w:ind w:firstLine="720"/>
        <w:jc w:val="both"/>
        <w:rPr>
          <w:rFonts w:eastAsia="SimSun"/>
        </w:rPr>
      </w:pPr>
      <w:r>
        <w:rPr>
          <w:rFonts w:eastAsia="SimSun"/>
        </w:rPr>
        <w:t>The analysis of individual predictors in Table 10 provides answers to research question 1 and research question 2.</w:t>
      </w:r>
    </w:p>
    <w:p w14:paraId="7E4A13E0">
      <w:pPr>
        <w:pStyle w:val="18"/>
        <w:spacing w:before="0" w:beforeAutospacing="0" w:after="0" w:afterAutospacing="0" w:line="276" w:lineRule="auto"/>
        <w:ind w:firstLine="720"/>
        <w:jc w:val="both"/>
        <w:rPr>
          <w:rFonts w:eastAsia="sans-serif"/>
        </w:rPr>
      </w:pPr>
      <w:r>
        <w:rPr>
          <w:rFonts w:eastAsia="sans-serif"/>
        </w:rPr>
        <w:t>In response to RQ1, the results reveal that all six independent variables have a statistically significant positive impact on the choice of using the Cham language (all p &lt; .001). All variance inflation factor (VIF) values were well below 5 (max = 2.369), indicating no multicollinearity. Since all estimated Beta coefficients are positive, all six hypotheses (H1-H6) are strongly supported.</w:t>
      </w:r>
    </w:p>
    <w:p w14:paraId="7AE974AE">
      <w:pPr>
        <w:pStyle w:val="18"/>
        <w:spacing w:before="0" w:beforeAutospacing="0" w:after="0" w:afterAutospacing="0" w:line="276" w:lineRule="auto"/>
        <w:ind w:firstLine="720"/>
        <w:jc w:val="both"/>
        <w:rPr>
          <w:rFonts w:eastAsia="sans-serif"/>
        </w:rPr>
      </w:pPr>
      <w:r>
        <w:rPr>
          <w:rFonts w:eastAsia="sans-serif"/>
        </w:rPr>
        <w:t>Thus, the standardized regression equation is as follows:</w:t>
      </w:r>
    </w:p>
    <w:p w14:paraId="692E1E3C">
      <w:pPr>
        <w:pStyle w:val="18"/>
        <w:spacing w:before="0" w:beforeAutospacing="0" w:after="0" w:afterAutospacing="0" w:line="276" w:lineRule="auto"/>
        <w:jc w:val="both"/>
        <w:rPr>
          <w:b/>
          <w:bCs/>
        </w:rPr>
      </w:pPr>
      <w:r>
        <w:t xml:space="preserve"> </w:t>
      </w:r>
      <w:r>
        <w:tab/>
      </w:r>
      <w:r>
        <w:rPr>
          <w:b/>
          <w:bCs/>
        </w:rPr>
        <w:t>LC = .278*CI + .221*LP + .208*LA + .159*FCE + .157*EP + .126*EM</w:t>
      </w:r>
    </w:p>
    <w:p w14:paraId="294ADAB6">
      <w:pPr>
        <w:pStyle w:val="18"/>
        <w:spacing w:before="0" w:beforeAutospacing="0" w:after="0" w:afterAutospacing="0" w:line="276" w:lineRule="auto"/>
        <w:ind w:firstLine="720"/>
        <w:jc w:val="both"/>
        <w:rPr>
          <w:rFonts w:eastAsia="SimSun"/>
        </w:rPr>
      </w:pPr>
      <w:r>
        <w:rPr>
          <w:rFonts w:eastAsia="SimSun"/>
        </w:rPr>
        <w:t>In response to RQ2, the results present a comprehensive picture of the driving forces behind the Cham people’s language choice. The order of influence from highest to lowest is interpreted as follows:</w:t>
      </w:r>
    </w:p>
    <w:p w14:paraId="37B535B6">
      <w:pPr>
        <w:spacing w:after="0"/>
        <w:ind w:firstLine="720"/>
        <w:jc w:val="both"/>
        <w:rPr>
          <w:rFonts w:ascii="Times New Roman" w:hAnsi="Times New Roman" w:cs="Times New Roman"/>
        </w:rPr>
      </w:pPr>
      <w:r>
        <w:rPr>
          <w:rFonts w:ascii="Times New Roman" w:hAnsi="Times New Roman" w:cs="Times New Roman"/>
          <w:b/>
          <w:bCs/>
          <w:color w:val="000000" w:themeColor="text1"/>
          <w:lang w:val="da-DK"/>
          <w14:textFill>
            <w14:solidFill>
              <w14:schemeClr w14:val="tx1"/>
            </w14:solidFill>
          </w14:textFill>
        </w:rPr>
        <w:t>H1</w:t>
      </w:r>
      <w:r>
        <w:rPr>
          <w:rFonts w:ascii="Times New Roman" w:hAnsi="Times New Roman" w:cs="Times New Roman"/>
          <w:b/>
          <w:bCs/>
          <w:color w:val="000000" w:themeColor="text1"/>
          <w14:textFill>
            <w14:solidFill>
              <w14:schemeClr w14:val="tx1"/>
            </w14:solidFill>
          </w14:textFill>
        </w:rPr>
        <w:t>.</w:t>
      </w:r>
      <w:r>
        <w:rPr>
          <w:rFonts w:ascii="Times New Roman" w:hAnsi="Times New Roman" w:eastAsia="sans-serif" w:cs="Times New Roman"/>
          <w:b/>
          <w:bCs/>
          <w:sz w:val="24"/>
          <w:szCs w:val="24"/>
          <w:lang w:bidi="ar"/>
        </w:rPr>
        <w:t xml:space="preserve"> </w:t>
      </w:r>
      <w:r>
        <w:rPr>
          <w:rFonts w:ascii="Times New Roman" w:hAnsi="Times New Roman" w:eastAsia="sans-serif" w:cs="Times New Roman"/>
          <w:sz w:val="24"/>
          <w:szCs w:val="24"/>
          <w:lang w:bidi="ar"/>
        </w:rPr>
        <w:t>Cultural identity</w:t>
      </w:r>
      <w:r>
        <w:rPr>
          <w:rFonts w:ascii="Times New Roman" w:hAnsi="Times New Roman" w:eastAsia="sans-serif" w:cs="Times New Roman"/>
          <w:b/>
          <w:bCs/>
          <w:sz w:val="24"/>
          <w:szCs w:val="24"/>
          <w:lang w:bidi="ar"/>
        </w:rPr>
        <w:t xml:space="preserve"> </w:t>
      </w:r>
      <w:r>
        <w:rPr>
          <w:rFonts w:ascii="Times New Roman" w:hAnsi="Times New Roman" w:eastAsia="SimSun" w:cs="Times New Roman"/>
          <w:sz w:val="24"/>
          <w:szCs w:val="24"/>
          <w:lang w:bidi="ar"/>
        </w:rPr>
        <w:t>is the factor that has the strongest positive effect on language choice (</w:t>
      </w:r>
      <w:r>
        <w:rPr>
          <w:rFonts w:ascii="Times New Roman" w:hAnsi="Times New Roman" w:cs="Times New Roman"/>
          <w:color w:val="000000" w:themeColor="text1"/>
          <w:lang w:val="da-DK"/>
          <w14:textFill>
            <w14:solidFill>
              <w14:schemeClr w14:val="tx1"/>
            </w14:solidFill>
          </w14:textFill>
        </w:rPr>
        <w:t>β = 0.</w:t>
      </w:r>
      <w:r>
        <w:rPr>
          <w:rFonts w:ascii="Times New Roman" w:hAnsi="Times New Roman" w:eastAsia="sans-serif" w:cs="Times New Roman"/>
          <w:sz w:val="24"/>
          <w:szCs w:val="24"/>
          <w:lang w:bidi="ar"/>
        </w:rPr>
        <w:t>278</w:t>
      </w:r>
      <w:r>
        <w:rPr>
          <w:rFonts w:ascii="Times New Roman" w:hAnsi="Times New Roman" w:eastAsia="SimSun" w:cs="Times New Roman"/>
          <w:sz w:val="24"/>
          <w:szCs w:val="24"/>
          <w:lang w:bidi="ar"/>
        </w:rPr>
        <w:t>; p</w:t>
      </w:r>
      <w:r>
        <w:rPr>
          <w:rFonts w:ascii="Times New Roman" w:hAnsi="Times New Roman" w:eastAsia="sans-serif" w:cs="Times New Roman"/>
          <w:sz w:val="24"/>
          <w:szCs w:val="24"/>
          <w:lang w:bidi="ar"/>
        </w:rPr>
        <w:t xml:space="preserve"> &lt; 0.001</w:t>
      </w:r>
      <w:r>
        <w:rPr>
          <w:rFonts w:ascii="Times New Roman" w:hAnsi="Times New Roman" w:eastAsia="SimSun" w:cs="Times New Roman"/>
          <w:sz w:val="24"/>
          <w:szCs w:val="24"/>
          <w:lang w:bidi="ar"/>
        </w:rPr>
        <w:t>). This finding supports the view that language is the core symbol of ethnic identity (Edwards, 2010) and is consistent with Giles et al.’s (1977) theory of ethnolinguistic vitality, where identity serves as the central force motivating a community to maintain its language.</w:t>
      </w:r>
    </w:p>
    <w:p w14:paraId="3DDA466F">
      <w:pPr>
        <w:spacing w:after="0"/>
        <w:ind w:firstLine="720"/>
        <w:jc w:val="both"/>
        <w:rPr>
          <w:rFonts w:ascii="Times New Roman" w:hAnsi="Times New Roman" w:cs="Times New Roman"/>
        </w:rPr>
      </w:pPr>
      <w:r>
        <w:rPr>
          <w:rFonts w:ascii="Times New Roman" w:hAnsi="Times New Roman" w:cs="Times New Roman"/>
          <w:b/>
          <w:bCs/>
          <w:color w:val="000000" w:themeColor="text1"/>
          <w:lang w:val="da-DK"/>
          <w14:textFill>
            <w14:solidFill>
              <w14:schemeClr w14:val="tx1"/>
            </w14:solidFill>
          </w14:textFill>
        </w:rPr>
        <w:t>H2</w:t>
      </w:r>
      <w:r>
        <w:rPr>
          <w:rFonts w:ascii="Times New Roman" w:hAnsi="Times New Roman" w:cs="Times New Roman"/>
          <w:b/>
          <w:bCs/>
          <w:color w:val="000000" w:themeColor="text1"/>
          <w14:textFill>
            <w14:solidFill>
              <w14:schemeClr w14:val="tx1"/>
            </w14:solidFill>
          </w14:textFill>
        </w:rPr>
        <w:t>.</w:t>
      </w:r>
      <w:r>
        <w:rPr>
          <w:rFonts w:ascii="Times New Roman" w:hAnsi="Times New Roman" w:cs="Times New Roman"/>
          <w:color w:val="000000" w:themeColor="text1"/>
          <w:lang w:val="da-DK"/>
          <w14:textFill>
            <w14:solidFill>
              <w14:schemeClr w14:val="tx1"/>
            </w14:solidFill>
          </w14:textFill>
        </w:rPr>
        <w:t xml:space="preserve"> Language proficiency </w:t>
      </w:r>
      <w:r>
        <w:rPr>
          <w:rFonts w:ascii="Times New Roman" w:hAnsi="Times New Roman" w:eastAsia="SimSun" w:cs="Times New Roman"/>
          <w:sz w:val="24"/>
          <w:szCs w:val="24"/>
          <w:lang w:bidi="ar"/>
        </w:rPr>
        <w:t>is the second strongest influencing factor (</w:t>
      </w:r>
      <w:r>
        <w:rPr>
          <w:rFonts w:ascii="Times New Roman" w:hAnsi="Times New Roman" w:cs="Times New Roman"/>
          <w:color w:val="000000" w:themeColor="text1"/>
          <w:lang w:val="da-DK"/>
          <w14:textFill>
            <w14:solidFill>
              <w14:schemeClr w14:val="tx1"/>
            </w14:solidFill>
          </w14:textFill>
        </w:rPr>
        <w:t>β =</w:t>
      </w:r>
      <w:r>
        <w:rPr>
          <w:rFonts w:ascii="Times New Roman" w:hAnsi="Times New Roman" w:cs="Times New Roman"/>
          <w:color w:val="000000" w:themeColor="text1"/>
          <w14:textFill>
            <w14:solidFill>
              <w14:schemeClr w14:val="tx1"/>
            </w14:solidFill>
          </w14:textFill>
        </w:rPr>
        <w:t>0</w:t>
      </w:r>
      <w:r>
        <w:rPr>
          <w:rFonts w:ascii="Times New Roman" w:hAnsi="Times New Roman" w:eastAsia="sans-serif" w:cs="Times New Roman"/>
          <w:sz w:val="24"/>
          <w:szCs w:val="24"/>
          <w:lang w:bidi="ar"/>
        </w:rPr>
        <w:t>.221</w:t>
      </w:r>
      <w:r>
        <w:rPr>
          <w:rFonts w:ascii="Times New Roman" w:hAnsi="Times New Roman" w:eastAsia="SimSun" w:cs="Times New Roman"/>
          <w:sz w:val="24"/>
          <w:szCs w:val="24"/>
          <w:lang w:bidi="ar"/>
        </w:rPr>
        <w:t xml:space="preserve">; </w:t>
      </w:r>
      <w:r>
        <w:rPr>
          <w:rFonts w:ascii="Times New Roman" w:hAnsi="Times New Roman" w:eastAsia="sans-serif" w:cs="Times New Roman"/>
          <w:sz w:val="24"/>
          <w:szCs w:val="24"/>
          <w:lang w:bidi="ar"/>
        </w:rPr>
        <w:t>p &lt; 0.001</w:t>
      </w:r>
      <w:r>
        <w:rPr>
          <w:rFonts w:ascii="Times New Roman" w:hAnsi="Times New Roman" w:eastAsia="SimSun" w:cs="Times New Roman"/>
          <w:sz w:val="24"/>
          <w:szCs w:val="24"/>
          <w:lang w:bidi="ar"/>
        </w:rPr>
        <w:t>). This result supports Cummins’ (1981) assertion that proficiency and comfort in using a language largely determine its frequency of choice.</w:t>
      </w:r>
    </w:p>
    <w:p w14:paraId="79CCD674">
      <w:pPr>
        <w:spacing w:after="0"/>
        <w:ind w:firstLine="720"/>
        <w:jc w:val="both"/>
        <w:rPr>
          <w:rFonts w:ascii="Times New Roman" w:hAnsi="Times New Roman" w:cs="Times New Roman"/>
        </w:rPr>
      </w:pPr>
      <w:r>
        <w:rPr>
          <w:rFonts w:ascii="Times New Roman" w:hAnsi="Times New Roman" w:eastAsia="SimSun" w:cs="Times New Roman"/>
          <w:b/>
          <w:bCs/>
          <w:color w:val="000000" w:themeColor="text1"/>
          <w:lang w:val="da-DK"/>
          <w14:textFill>
            <w14:solidFill>
              <w14:schemeClr w14:val="tx1"/>
            </w14:solidFill>
          </w14:textFill>
        </w:rPr>
        <w:t>H</w:t>
      </w:r>
      <w:r>
        <w:rPr>
          <w:rFonts w:ascii="Times New Roman" w:hAnsi="Times New Roman" w:eastAsia="SimSun" w:cs="Times New Roman"/>
          <w:b/>
          <w:bCs/>
          <w:color w:val="000000" w:themeColor="text1"/>
          <w14:textFill>
            <w14:solidFill>
              <w14:schemeClr w14:val="tx1"/>
            </w14:solidFill>
          </w14:textFill>
        </w:rPr>
        <w:t>3.</w:t>
      </w:r>
      <w:r>
        <w:rPr>
          <w:rFonts w:ascii="Times New Roman" w:hAnsi="Times New Roman" w:eastAsia="SimSun" w:cs="Times New Roman"/>
          <w:color w:val="000000" w:themeColor="text1"/>
          <w:lang w:val="da-DK"/>
          <w14:textFill>
            <w14:solidFill>
              <w14:schemeClr w14:val="tx1"/>
            </w14:solidFill>
          </w14:textFill>
        </w:rPr>
        <w:t xml:space="preserve"> Language attitude </w:t>
      </w:r>
      <w:r>
        <w:rPr>
          <w:rFonts w:ascii="Times New Roman" w:hAnsi="Times New Roman" w:eastAsia="SimSun" w:cs="Times New Roman"/>
          <w:sz w:val="24"/>
          <w:szCs w:val="24"/>
          <w:lang w:bidi="ar"/>
        </w:rPr>
        <w:t>represents the third strongest influencing factor (</w:t>
      </w:r>
      <w:r>
        <w:rPr>
          <w:rFonts w:ascii="Times New Roman" w:hAnsi="Times New Roman" w:cs="Times New Roman"/>
          <w:color w:val="000000" w:themeColor="text1"/>
          <w:lang w:val="da-DK"/>
          <w14:textFill>
            <w14:solidFill>
              <w14:schemeClr w14:val="tx1"/>
            </w14:solidFill>
          </w14:textFill>
        </w:rPr>
        <w:t>β =</w:t>
      </w:r>
      <w:r>
        <w:rPr>
          <w:rFonts w:ascii="Times New Roman" w:hAnsi="Times New Roman" w:eastAsia="sans-serif" w:cs="Times New Roman"/>
          <w:sz w:val="24"/>
          <w:szCs w:val="24"/>
          <w:lang w:bidi="ar"/>
        </w:rPr>
        <w:t xml:space="preserve"> 0.208</w:t>
      </w:r>
      <w:r>
        <w:rPr>
          <w:rFonts w:ascii="Times New Roman" w:hAnsi="Times New Roman" w:eastAsia="SimSun" w:cs="Times New Roman"/>
          <w:sz w:val="24"/>
          <w:szCs w:val="24"/>
          <w:lang w:bidi="ar"/>
        </w:rPr>
        <w:t xml:space="preserve">; </w:t>
      </w:r>
      <w:r>
        <w:rPr>
          <w:rFonts w:ascii="Times New Roman" w:hAnsi="Times New Roman" w:eastAsia="sans-serif" w:cs="Times New Roman"/>
          <w:sz w:val="24"/>
          <w:szCs w:val="24"/>
          <w:lang w:bidi="ar"/>
        </w:rPr>
        <w:t>p &lt; 0.001</w:t>
      </w:r>
      <w:r>
        <w:rPr>
          <w:rFonts w:ascii="Times New Roman" w:hAnsi="Times New Roman" w:eastAsia="SimSun" w:cs="Times New Roman"/>
          <w:sz w:val="24"/>
          <w:szCs w:val="24"/>
          <w:lang w:bidi="ar"/>
        </w:rPr>
        <w:t>). A positive attitude, coupled with pride, serves as a strong motivation to maintain and use the language (Baker, 1992).</w:t>
      </w:r>
    </w:p>
    <w:p w14:paraId="424C20F1">
      <w:pPr>
        <w:spacing w:after="0"/>
        <w:ind w:firstLine="720"/>
        <w:jc w:val="both"/>
        <w:rPr>
          <w:rFonts w:ascii="Times New Roman" w:hAnsi="Times New Roman" w:cs="Times New Roman"/>
        </w:rPr>
      </w:pPr>
      <w:r>
        <w:rPr>
          <w:rFonts w:ascii="Times New Roman" w:hAnsi="Times New Roman" w:cs="Times New Roman"/>
          <w:b/>
          <w:bCs/>
          <w:color w:val="000000" w:themeColor="text1"/>
          <w:lang w:val="da-DK"/>
          <w14:textFill>
            <w14:solidFill>
              <w14:schemeClr w14:val="tx1"/>
            </w14:solidFill>
          </w14:textFill>
        </w:rPr>
        <w:t>H</w:t>
      </w:r>
      <w:r>
        <w:rPr>
          <w:rFonts w:ascii="Times New Roman" w:hAnsi="Times New Roman" w:cs="Times New Roman"/>
          <w:b/>
          <w:bCs/>
          <w:color w:val="000000" w:themeColor="text1"/>
          <w14:textFill>
            <w14:solidFill>
              <w14:schemeClr w14:val="tx1"/>
            </w14:solidFill>
          </w14:textFill>
        </w:rPr>
        <w:t>4.</w:t>
      </w:r>
      <w:r>
        <w:rPr>
          <w:rFonts w:ascii="Times New Roman" w:hAnsi="Times New Roman" w:cs="Times New Roman"/>
          <w:color w:val="000000" w:themeColor="text1"/>
          <w:lang w:val="da-DK"/>
          <w14:textFill>
            <w14:solidFill>
              <w14:schemeClr w14:val="tx1"/>
            </w14:solidFill>
          </w14:textFill>
        </w:rPr>
        <w:t xml:space="preserve"> </w:t>
      </w:r>
      <w:r>
        <w:rPr>
          <w:rFonts w:ascii="Times New Roman" w:hAnsi="Times New Roman" w:eastAsia="sans-serif" w:cs="Times New Roman"/>
          <w:sz w:val="24"/>
          <w:szCs w:val="24"/>
          <w:lang w:bidi="ar"/>
        </w:rPr>
        <w:t>Family &amp; community environment</w:t>
      </w:r>
      <w:r>
        <w:rPr>
          <w:rFonts w:ascii="Times New Roman" w:hAnsi="Times New Roman" w:eastAsia="sans-serif" w:cs="Times New Roman"/>
          <w:b/>
          <w:bCs/>
          <w:sz w:val="24"/>
          <w:szCs w:val="24"/>
          <w:lang w:bidi="ar"/>
        </w:rPr>
        <w:t xml:space="preserve"> </w:t>
      </w:r>
      <w:r>
        <w:rPr>
          <w:rFonts w:ascii="Times New Roman" w:hAnsi="Times New Roman" w:eastAsia="SimSun" w:cs="Times New Roman"/>
          <w:sz w:val="24"/>
          <w:szCs w:val="24"/>
          <w:lang w:bidi="ar"/>
        </w:rPr>
        <w:t>is the fourth-strongest influencing factor (</w:t>
      </w:r>
      <w:r>
        <w:rPr>
          <w:rFonts w:ascii="Times New Roman" w:hAnsi="Times New Roman" w:cs="Times New Roman"/>
          <w:color w:val="000000" w:themeColor="text1"/>
          <w:lang w:val="da-DK"/>
          <w14:textFill>
            <w14:solidFill>
              <w14:schemeClr w14:val="tx1"/>
            </w14:solidFill>
          </w14:textFill>
        </w:rPr>
        <w:t>β =</w:t>
      </w:r>
      <w:r>
        <w:rPr>
          <w:rFonts w:ascii="Times New Roman" w:hAnsi="Times New Roman" w:cs="Times New Roman"/>
          <w:color w:val="000000" w:themeColor="text1"/>
          <w14:textFill>
            <w14:solidFill>
              <w14:schemeClr w14:val="tx1"/>
            </w14:solidFill>
          </w14:textFill>
        </w:rPr>
        <w:t xml:space="preserve"> 0.</w:t>
      </w:r>
      <w:r>
        <w:rPr>
          <w:rFonts w:ascii="Times New Roman" w:hAnsi="Times New Roman" w:eastAsia="sans-serif" w:cs="Times New Roman"/>
          <w:sz w:val="24"/>
          <w:szCs w:val="24"/>
          <w:lang w:bidi="ar"/>
        </w:rPr>
        <w:t>159</w:t>
      </w:r>
      <w:r>
        <w:rPr>
          <w:rFonts w:ascii="Times New Roman" w:hAnsi="Times New Roman" w:eastAsia="SimSun" w:cs="Times New Roman"/>
          <w:sz w:val="24"/>
          <w:szCs w:val="24"/>
          <w:lang w:bidi="ar"/>
        </w:rPr>
        <w:t>; p &lt; 0.001). This underscores the importance of situational factors and in-group domains, supporting Fishman's (1972) domain analysis, which identifies the family and community as the primary strongholds for language maintenance.</w:t>
      </w:r>
    </w:p>
    <w:p w14:paraId="7D98A0AD">
      <w:pPr>
        <w:spacing w:after="0"/>
        <w:ind w:firstLine="720"/>
        <w:jc w:val="both"/>
        <w:rPr>
          <w:rFonts w:ascii="Times New Roman" w:hAnsi="Times New Roman" w:cs="Times New Roman"/>
        </w:rPr>
      </w:pPr>
      <w:r>
        <w:rPr>
          <w:rFonts w:ascii="Times New Roman" w:hAnsi="Times New Roman" w:eastAsia="SimSun" w:cs="Times New Roman"/>
          <w:b/>
          <w:bCs/>
          <w:color w:val="000000" w:themeColor="text1"/>
          <w:lang w:val="da-DK"/>
          <w14:textFill>
            <w14:solidFill>
              <w14:schemeClr w14:val="tx1"/>
            </w14:solidFill>
          </w14:textFill>
        </w:rPr>
        <w:t>H</w:t>
      </w:r>
      <w:r>
        <w:rPr>
          <w:rFonts w:ascii="Times New Roman" w:hAnsi="Times New Roman" w:eastAsia="SimSun" w:cs="Times New Roman"/>
          <w:b/>
          <w:bCs/>
          <w:color w:val="000000" w:themeColor="text1"/>
          <w14:textFill>
            <w14:solidFill>
              <w14:schemeClr w14:val="tx1"/>
            </w14:solidFill>
          </w14:textFill>
        </w:rPr>
        <w:t>5.</w:t>
      </w:r>
      <w:r>
        <w:rPr>
          <w:rFonts w:ascii="Times New Roman" w:hAnsi="Times New Roman" w:eastAsia="SimSun" w:cs="Times New Roman"/>
          <w:color w:val="000000" w:themeColor="text1"/>
          <w:lang w:val="da-DK"/>
          <w14:textFill>
            <w14:solidFill>
              <w14:schemeClr w14:val="tx1"/>
            </w14:solidFill>
          </w14:textFill>
        </w:rPr>
        <w:t xml:space="preserve"> </w:t>
      </w:r>
      <w:r>
        <w:rPr>
          <w:rFonts w:ascii="Times New Roman" w:hAnsi="Times New Roman" w:eastAsia="sans-serif" w:cs="Times New Roman"/>
          <w:sz w:val="24"/>
          <w:szCs w:val="24"/>
          <w:lang w:bidi="ar"/>
        </w:rPr>
        <w:t>Economic pressure</w:t>
      </w:r>
      <w:r>
        <w:rPr>
          <w:rFonts w:ascii="Times New Roman" w:hAnsi="Times New Roman" w:eastAsia="SimSun" w:cs="Times New Roman"/>
          <w:sz w:val="24"/>
          <w:szCs w:val="24"/>
          <w:lang w:bidi="ar"/>
        </w:rPr>
        <w:t xml:space="preserve"> has a significant positive effect (</w:t>
      </w:r>
      <w:r>
        <w:rPr>
          <w:rFonts w:ascii="Times New Roman" w:hAnsi="Times New Roman" w:cs="Times New Roman"/>
          <w:color w:val="000000" w:themeColor="text1"/>
          <w:lang w:val="da-DK"/>
          <w14:textFill>
            <w14:solidFill>
              <w14:schemeClr w14:val="tx1"/>
            </w14:solidFill>
          </w14:textFill>
        </w:rPr>
        <w:t>β =</w:t>
      </w:r>
      <w:r>
        <w:rPr>
          <w:rFonts w:ascii="Times New Roman" w:hAnsi="Times New Roman" w:cs="Times New Roman"/>
          <w:color w:val="000000" w:themeColor="text1"/>
          <w14:textFill>
            <w14:solidFill>
              <w14:schemeClr w14:val="tx1"/>
            </w14:solidFill>
          </w14:textFill>
        </w:rPr>
        <w:t xml:space="preserve"> 0</w:t>
      </w:r>
      <w:r>
        <w:rPr>
          <w:rFonts w:ascii="Times New Roman" w:hAnsi="Times New Roman" w:eastAsia="sans-serif" w:cs="Times New Roman"/>
          <w:sz w:val="24"/>
          <w:szCs w:val="24"/>
          <w:lang w:bidi="ar"/>
        </w:rPr>
        <w:t>.157</w:t>
      </w:r>
      <w:r>
        <w:rPr>
          <w:rFonts w:ascii="Times New Roman" w:hAnsi="Times New Roman" w:eastAsia="SimSun" w:cs="Times New Roman"/>
          <w:sz w:val="24"/>
          <w:szCs w:val="24"/>
          <w:lang w:bidi="ar"/>
        </w:rPr>
        <w:t>; p &lt; 0.001). This counter-intuitive finding suggests that perceiving economic pressure (from the dominant language) does not lead to assimilation, but instead may trigger a "consciousness-raising" effect, strengthening in-group solidarity and the resolve to use the ethnic language (Giles &amp; Johnson, 1987).</w:t>
      </w:r>
    </w:p>
    <w:p w14:paraId="635918F6">
      <w:pPr>
        <w:spacing w:after="0"/>
        <w:ind w:firstLine="720"/>
        <w:jc w:val="both"/>
        <w:rPr>
          <w:rFonts w:ascii="Times New Roman" w:hAnsi="Times New Roman" w:cs="Times New Roman"/>
        </w:rPr>
      </w:pPr>
      <w:r>
        <w:rPr>
          <w:rFonts w:ascii="Times New Roman" w:hAnsi="Times New Roman" w:eastAsia="SimSun" w:cs="Times New Roman"/>
          <w:b/>
          <w:bCs/>
          <w:color w:val="000000" w:themeColor="text1"/>
          <w:lang w:val="da-DK"/>
          <w14:textFill>
            <w14:solidFill>
              <w14:schemeClr w14:val="tx1"/>
            </w14:solidFill>
          </w14:textFill>
        </w:rPr>
        <w:t>H</w:t>
      </w:r>
      <w:r>
        <w:rPr>
          <w:rFonts w:ascii="Times New Roman" w:hAnsi="Times New Roman" w:eastAsia="SimSun" w:cs="Times New Roman"/>
          <w:b/>
          <w:bCs/>
          <w:color w:val="000000" w:themeColor="text1"/>
          <w14:textFill>
            <w14:solidFill>
              <w14:schemeClr w14:val="tx1"/>
            </w14:solidFill>
          </w14:textFill>
        </w:rPr>
        <w:t xml:space="preserve">6. </w:t>
      </w:r>
      <w:r>
        <w:rPr>
          <w:rFonts w:ascii="Times New Roman" w:hAnsi="Times New Roman" w:eastAsia="sans-serif" w:cs="Times New Roman"/>
          <w:sz w:val="24"/>
          <w:szCs w:val="24"/>
          <w:lang w:bidi="ar"/>
        </w:rPr>
        <w:t xml:space="preserve">Education &amp; media </w:t>
      </w:r>
      <w:r>
        <w:rPr>
          <w:rFonts w:ascii="Times New Roman" w:hAnsi="Times New Roman" w:eastAsia="SimSun" w:cs="Times New Roman"/>
          <w:sz w:val="24"/>
          <w:szCs w:val="24"/>
          <w:lang w:bidi="ar"/>
        </w:rPr>
        <w:t>is the least influential factor, though still highly significant (</w:t>
      </w:r>
      <w:r>
        <w:rPr>
          <w:rFonts w:ascii="Times New Roman" w:hAnsi="Times New Roman" w:cs="Times New Roman"/>
          <w:color w:val="000000" w:themeColor="text1"/>
          <w:lang w:val="da-DK"/>
          <w14:textFill>
            <w14:solidFill>
              <w14:schemeClr w14:val="tx1"/>
            </w14:solidFill>
          </w14:textFill>
        </w:rPr>
        <w:t>β =</w:t>
      </w:r>
      <w:r>
        <w:rPr>
          <w:rFonts w:ascii="Times New Roman" w:hAnsi="Times New Roman" w:cs="Times New Roman"/>
          <w:color w:val="000000" w:themeColor="text1"/>
          <w14:textFill>
            <w14:solidFill>
              <w14:schemeClr w14:val="tx1"/>
            </w14:solidFill>
          </w14:textFill>
        </w:rPr>
        <w:t xml:space="preserve"> 0</w:t>
      </w:r>
      <w:r>
        <w:rPr>
          <w:rFonts w:ascii="Times New Roman" w:hAnsi="Times New Roman" w:eastAsia="sans-serif" w:cs="Times New Roman"/>
          <w:sz w:val="24"/>
          <w:szCs w:val="24"/>
          <w:lang w:bidi="ar"/>
        </w:rPr>
        <w:t>.126</w:t>
      </w:r>
      <w:r>
        <w:rPr>
          <w:rFonts w:ascii="Times New Roman" w:hAnsi="Times New Roman" w:eastAsia="SimSun" w:cs="Times New Roman"/>
          <w:sz w:val="24"/>
          <w:szCs w:val="24"/>
          <w:lang w:bidi="ar"/>
        </w:rPr>
        <w:t>; p &lt; 9.001). Similar to H5, this finding suggests that exposure to out-group institutions, rather than causing assimilation, may foster a stronger conscious awareness of ethnic identity and the need to preserve it (Spolsky, 2012).</w:t>
      </w:r>
    </w:p>
    <w:p w14:paraId="6C1F88FB">
      <w:pPr>
        <w:pStyle w:val="18"/>
        <w:spacing w:before="0" w:beforeAutospacing="0" w:after="0" w:afterAutospacing="0" w:line="276" w:lineRule="auto"/>
        <w:ind w:firstLine="720"/>
        <w:jc w:val="both"/>
        <w:rPr>
          <w:rFonts w:eastAsia="SimSun"/>
        </w:rPr>
      </w:pPr>
      <w:r>
        <w:rPr>
          <w:rFonts w:eastAsia="SimSun"/>
        </w:rPr>
        <w:t>Overall, the findings confirm that language choice among the Cham people is a multidimensional construct, most strongly influenced by cultural identity, followed by language proficiency and language attitude.</w:t>
      </w:r>
    </w:p>
    <w:p w14:paraId="10D6E971">
      <w:pPr>
        <w:pStyle w:val="3"/>
        <w:spacing w:beforeAutospacing="0" w:afterAutospacing="0" w:line="276" w:lineRule="auto"/>
        <w:jc w:val="both"/>
        <w:rPr>
          <w:rFonts w:hint="default" w:asciiTheme="majorBidi" w:hAnsiTheme="majorBidi" w:cstheme="majorBidi"/>
          <w:b w:val="0"/>
          <w:bCs w:val="0"/>
          <w:sz w:val="24"/>
          <w:szCs w:val="24"/>
        </w:rPr>
      </w:pPr>
    </w:p>
    <w:p w14:paraId="1FC64907">
      <w:pPr>
        <w:pStyle w:val="3"/>
        <w:spacing w:beforeAutospacing="0" w:afterAutospacing="0" w:line="276" w:lineRule="auto"/>
        <w:jc w:val="both"/>
        <w:rPr>
          <w:rFonts w:hint="default" w:ascii="Times New Roman" w:hAnsi="Times New Roman"/>
          <w:sz w:val="24"/>
          <w:szCs w:val="24"/>
        </w:rPr>
      </w:pPr>
      <w:r>
        <w:rPr>
          <w:rFonts w:hint="default" w:ascii="Times New Roman" w:hAnsi="Times New Roman"/>
          <w:sz w:val="24"/>
          <w:szCs w:val="24"/>
        </w:rPr>
        <w:t>5. Discussion and implication</w:t>
      </w:r>
    </w:p>
    <w:p w14:paraId="14EC5522">
      <w:pPr>
        <w:spacing w:after="0"/>
        <w:jc w:val="both"/>
        <w:rPr>
          <w:rFonts w:ascii="Times New Roman" w:hAnsi="Times New Roman" w:cs="Times New Roman"/>
          <w:b/>
          <w:bCs/>
          <w:sz w:val="24"/>
          <w:szCs w:val="24"/>
        </w:rPr>
      </w:pPr>
      <w:r>
        <w:rPr>
          <w:rFonts w:ascii="Times New Roman" w:hAnsi="Times New Roman" w:cs="Times New Roman"/>
          <w:b/>
          <w:bCs/>
          <w:sz w:val="24"/>
          <w:szCs w:val="24"/>
        </w:rPr>
        <w:t>5.1. Discussion</w:t>
      </w:r>
    </w:p>
    <w:p w14:paraId="498AA6AF">
      <w:pPr>
        <w:pStyle w:val="18"/>
        <w:spacing w:before="0" w:beforeAutospacing="0" w:after="0" w:afterAutospacing="0" w:line="276" w:lineRule="auto"/>
        <w:ind w:firstLine="720"/>
        <w:jc w:val="both"/>
        <w:rPr>
          <w:rFonts w:eastAsia="SimSun"/>
        </w:rPr>
      </w:pPr>
      <w:r>
        <w:rPr>
          <w:rFonts w:eastAsia="SimSun"/>
        </w:rPr>
        <w:t xml:space="preserve">The quantitative findings confirm that the language choice of the Cham Muslim minority in Southern Vietnam is not a random act of bilingual alternation but a structured sociolinguistic behavior. The research model, which explains a remarkable 86.2% of the variance in language choice </w:t>
      </w:r>
      <w:r>
        <w:rPr>
          <w:rFonts w:eastAsia="sans-serif"/>
        </w:rPr>
        <w:t xml:space="preserve">(Adjusted </w:t>
      </w:r>
      <w:r>
        <w:rPr>
          <w:color w:val="000000" w:themeColor="text1"/>
          <w:lang w:val="da-DK"/>
          <w14:textFill>
            <w14:solidFill>
              <w14:schemeClr w14:val="tx1"/>
            </w14:solidFill>
          </w14:textFill>
        </w:rPr>
        <w:t>R²</w:t>
      </w:r>
      <w:r>
        <w:rPr>
          <w:rFonts w:eastAsia="sans-serif"/>
        </w:rPr>
        <w:t xml:space="preserve"> = 0.862), </w:t>
      </w:r>
      <w:r>
        <w:rPr>
          <w:rFonts w:eastAsia="SimSun"/>
        </w:rPr>
        <w:t>underscores the multidimensional nature of this process. The overall configuration of results reveals a community where linguistic decisions are powerfully, and perhaps surprisingly, aligned. Unlike models that posit a strict opposition between affective motivations and instrumental needs, these findings suggest that for the Cham Muslims, both internal identity factors and external pragmatic factors collectively reinforce the choice to use the Cham language.</w:t>
      </w:r>
    </w:p>
    <w:p w14:paraId="67295D4A">
      <w:pPr>
        <w:pStyle w:val="18"/>
        <w:spacing w:before="0" w:beforeAutospacing="0" w:after="0" w:afterAutospacing="0" w:line="276" w:lineRule="auto"/>
        <w:ind w:firstLine="720"/>
        <w:jc w:val="both"/>
        <w:rPr>
          <w:rFonts w:eastAsia="SimSun"/>
        </w:rPr>
      </w:pPr>
      <w:r>
        <w:rPr>
          <w:rFonts w:eastAsia="SimSun"/>
          <w:lang w:bidi="ar"/>
        </w:rPr>
        <w:t>The strongest predictor, c</w:t>
      </w:r>
      <w:r>
        <w:rPr>
          <w:rFonts w:eastAsia="sans-serif"/>
          <w:lang w:bidi="ar"/>
        </w:rPr>
        <w:t xml:space="preserve">ultural identity </w:t>
      </w:r>
      <w:r>
        <w:rPr>
          <w:rFonts w:eastAsia="sans-serif"/>
        </w:rPr>
        <w:t>(</w:t>
      </w:r>
      <w:r>
        <w:rPr>
          <w:rFonts w:eastAsia="SimSun"/>
          <w:color w:val="000000" w:themeColor="text1"/>
          <w:lang w:val="da-DK"/>
          <w14:textFill>
            <w14:solidFill>
              <w14:schemeClr w14:val="tx1"/>
            </w14:solidFill>
          </w14:textFill>
        </w:rPr>
        <w:t xml:space="preserve">β </w:t>
      </w:r>
      <w:r>
        <w:rPr>
          <w:rFonts w:eastAsia="sans-serif"/>
        </w:rPr>
        <w:t>= 0.278),</w:t>
      </w:r>
      <w:r>
        <w:rPr>
          <w:rFonts w:eastAsia="SimSun"/>
          <w:lang w:bidi="ar"/>
        </w:rPr>
        <w:t xml:space="preserve"> </w:t>
      </w:r>
      <w:r>
        <w:rPr>
          <w:rFonts w:eastAsia="SimSun"/>
        </w:rPr>
        <w:t>provides robust quantitative evidence that identity-driven motivations remain the most powerful predictor of Cham language behavior. This finding is a statistical validation of the core role of language as a symbol of ethnic identity (Edwards, 2010). The in-depth interview data explains why this factor is so powerful, revealing that identity is inextricably linked with religion:</w:t>
      </w:r>
    </w:p>
    <w:p w14:paraId="38ECD84B">
      <w:pPr>
        <w:spacing w:after="0"/>
        <w:ind w:left="708" w:leftChars="322"/>
        <w:jc w:val="both"/>
        <w:rPr>
          <w:rFonts w:ascii="Times New Roman" w:hAnsi="Times New Roman" w:eastAsia="SimSun" w:cs="Times New Roman"/>
          <w:sz w:val="24"/>
          <w:szCs w:val="24"/>
        </w:rPr>
      </w:pPr>
      <w:r>
        <w:rPr>
          <w:rFonts w:ascii="Times New Roman" w:hAnsi="Times New Roman" w:eastAsia="SimSun" w:cs="Times New Roman"/>
        </w:rPr>
        <w:t>We are Cham Muslims (Islam). The Cham language is not just for daily speech; it is the language of the prayers, of the Masjid (mosque). To lose the Cham language means to lose the soul of our religion. That is unacceptable. (Male, 52, An Giang)</w:t>
      </w:r>
      <w:r>
        <w:rPr>
          <w:rFonts w:ascii="Times New Roman" w:hAnsi="Times New Roman" w:eastAsia="SimSun" w:cs="Times New Roman"/>
          <w:sz w:val="24"/>
          <w:szCs w:val="24"/>
        </w:rPr>
        <w:t>.</w:t>
      </w:r>
    </w:p>
    <w:p w14:paraId="71328B1C">
      <w:pPr>
        <w:pStyle w:val="18"/>
        <w:spacing w:before="0" w:beforeAutospacing="0" w:after="0" w:afterAutospacing="0" w:line="276" w:lineRule="auto"/>
        <w:ind w:firstLine="720"/>
        <w:jc w:val="both"/>
        <w:rPr>
          <w:rFonts w:eastAsia="SimSun"/>
        </w:rPr>
      </w:pPr>
      <w:r>
        <w:rPr>
          <w:rFonts w:eastAsia="SimSun"/>
        </w:rPr>
        <w:t xml:space="preserve">This internal cohesion is further bolstered by the second and third strongest factors: </w:t>
      </w:r>
      <w:r>
        <w:rPr>
          <w:rFonts w:eastAsia="sans-serif"/>
        </w:rPr>
        <w:t>Language proficiency (</w:t>
      </w:r>
      <w:r>
        <w:rPr>
          <w:rFonts w:eastAsia="SimSun"/>
          <w:color w:val="000000" w:themeColor="text1"/>
          <w:lang w:val="da-DK"/>
          <w14:textFill>
            <w14:solidFill>
              <w14:schemeClr w14:val="tx1"/>
            </w14:solidFill>
          </w14:textFill>
        </w:rPr>
        <w:t>β</w:t>
      </w:r>
      <w:r>
        <w:rPr>
          <w:rFonts w:eastAsia="sans-serif"/>
        </w:rPr>
        <w:t xml:space="preserve"> = 0.221) and language attitude ( </w:t>
      </w:r>
      <w:r>
        <w:rPr>
          <w:rFonts w:eastAsia="SimSun"/>
          <w:color w:val="000000" w:themeColor="text1"/>
          <w:lang w:val="da-DK"/>
          <w14:textFill>
            <w14:solidFill>
              <w14:schemeClr w14:val="tx1"/>
            </w14:solidFill>
          </w14:textFill>
        </w:rPr>
        <w:t>β</w:t>
      </w:r>
      <w:r>
        <w:rPr>
          <w:rFonts w:eastAsia="SimSun"/>
          <w:color w:val="000000" w:themeColor="text1"/>
          <w14:textFill>
            <w14:solidFill>
              <w14:schemeClr w14:val="tx1"/>
            </w14:solidFill>
          </w14:textFill>
        </w:rPr>
        <w:t xml:space="preserve"> </w:t>
      </w:r>
      <w:r>
        <w:rPr>
          <w:rFonts w:eastAsia="sans-serif"/>
        </w:rPr>
        <w:t xml:space="preserve">= 0.208). </w:t>
      </w:r>
      <w:r>
        <w:rPr>
          <w:rFonts w:eastAsia="SimSun"/>
        </w:rPr>
        <w:t>This core triad (CI, LP, and LA) demonstrates that the primary foundation for language maintenance is a strong sense of self, combined with the ability to speak the language and the belief in its intrinsic value. The qualitative data linked these two factors through the concept of responsibility, showing how a positive attitude (H3) creates a direct motivation to ensure proficiency in the next generation (H2):</w:t>
      </w:r>
    </w:p>
    <w:p w14:paraId="3B0FB785">
      <w:pPr>
        <w:spacing w:after="0"/>
        <w:ind w:left="708" w:leftChars="322"/>
        <w:jc w:val="both"/>
        <w:rPr>
          <w:rFonts w:eastAsia="sans-serif"/>
        </w:rPr>
      </w:pPr>
      <w:r>
        <w:rPr>
          <w:rFonts w:ascii="Times New Roman" w:hAnsi="Times New Roman" w:eastAsia="SimSun" w:cs="Times New Roman"/>
        </w:rPr>
        <w:t>I am proud because I can speak Cham. It makes me sad to see many young people speaking Vietnamese so much. I try to speak only Cham with my children at home. We must teach them, it is our responsibility. (Female, 41, An Giang).</w:t>
      </w:r>
    </w:p>
    <w:p w14:paraId="65003704">
      <w:pPr>
        <w:pStyle w:val="18"/>
        <w:spacing w:before="0" w:beforeAutospacing="0" w:after="0" w:afterAutospacing="0" w:line="276" w:lineRule="auto"/>
        <w:ind w:firstLine="720"/>
        <w:jc w:val="both"/>
        <w:rPr>
          <w:rFonts w:eastAsia="sans-serif"/>
        </w:rPr>
      </w:pPr>
      <w:r>
        <w:rPr>
          <w:rFonts w:eastAsia="sans-serif"/>
        </w:rPr>
        <w:t>This internal foundation is strongly supported by the significant positive influence of the family &amp; community environment  (</w:t>
      </w:r>
      <w:r>
        <w:rPr>
          <w:rFonts w:eastAsia="SimSun"/>
          <w:color w:val="000000" w:themeColor="text1"/>
          <w:lang w:val="da-DK"/>
          <w14:textFill>
            <w14:solidFill>
              <w14:schemeClr w14:val="tx1"/>
            </w14:solidFill>
          </w14:textFill>
        </w:rPr>
        <w:t>β</w:t>
      </w:r>
      <w:r>
        <w:rPr>
          <w:rFonts w:eastAsia="SimSun"/>
          <w:color w:val="000000" w:themeColor="text1"/>
          <w14:textFill>
            <w14:solidFill>
              <w14:schemeClr w14:val="tx1"/>
            </w14:solidFill>
          </w14:textFill>
        </w:rPr>
        <w:t xml:space="preserve"> </w:t>
      </w:r>
      <w:r>
        <w:rPr>
          <w:rFonts w:eastAsia="sans-serif"/>
        </w:rPr>
        <w:t xml:space="preserve">= 0.159). This regression finding is powerfully reinforced by the descriptive data from Table 1 (which showed 85.6% of families are Cham-dominant). The interview data confirmed this clear domain separation, framing the FCE as a stronghold: </w:t>
      </w:r>
    </w:p>
    <w:p w14:paraId="544B7C27">
      <w:pPr>
        <w:spacing w:after="0"/>
        <w:ind w:left="708" w:leftChars="322"/>
        <w:jc w:val="both"/>
        <w:rPr>
          <w:rFonts w:eastAsia="sans-serif"/>
        </w:rPr>
      </w:pPr>
      <w:r>
        <w:rPr>
          <w:rFonts w:ascii="Times New Roman" w:hAnsi="Times New Roman" w:eastAsia="sans-serif" w:cs="Times New Roman"/>
        </w:rPr>
        <w:t xml:space="preserve">When I leave the village, go to the market, or go to the district office to do paperwork, I definitely use </w:t>
      </w:r>
      <w:r>
        <w:rPr>
          <w:rFonts w:ascii="Times New Roman" w:hAnsi="Times New Roman" w:eastAsia="SimSun" w:cs="Times New Roman"/>
        </w:rPr>
        <w:t>Vietnamese</w:t>
      </w:r>
      <w:r>
        <w:rPr>
          <w:rFonts w:ascii="Times New Roman" w:hAnsi="Times New Roman" w:eastAsia="sans-serif" w:cs="Times New Roman"/>
        </w:rPr>
        <w:t>. But when I step back into my home, and especially into the Masjid, it is only Cham. That is the unwritten law. At home, we are Cham. (Male, 38, Tay Ninh</w:t>
      </w:r>
      <w:r>
        <w:rPr>
          <w:rFonts w:ascii="Times New Roman" w:hAnsi="Times New Roman" w:eastAsia="sans-serif" w:cs="Times New Roman"/>
          <w:sz w:val="24"/>
          <w:szCs w:val="24"/>
        </w:rPr>
        <w:t>).</w:t>
      </w:r>
    </w:p>
    <w:p w14:paraId="6EE6CCFD">
      <w:pPr>
        <w:pStyle w:val="18"/>
        <w:spacing w:before="0" w:beforeAutospacing="0" w:after="0" w:afterAutospacing="0" w:line="276" w:lineRule="auto"/>
        <w:ind w:firstLine="720"/>
        <w:jc w:val="both"/>
        <w:rPr>
          <w:rFonts w:eastAsia="sans-serif"/>
        </w:rPr>
      </w:pPr>
      <w:r>
        <w:rPr>
          <w:rFonts w:eastAsia="SimSun"/>
        </w:rPr>
        <w:t>The most striking findings of this study are the positive and significant effects of economic pressure</w:t>
      </w:r>
      <w:r>
        <w:rPr>
          <w:rFonts w:eastAsia="sans-serif"/>
        </w:rPr>
        <w:t xml:space="preserve"> (</w:t>
      </w:r>
      <w:r>
        <w:rPr>
          <w:rFonts w:eastAsia="SimSun"/>
          <w:color w:val="000000" w:themeColor="text1"/>
          <w:lang w:val="da-DK"/>
          <w14:textFill>
            <w14:solidFill>
              <w14:schemeClr w14:val="tx1"/>
            </w14:solidFill>
          </w14:textFill>
        </w:rPr>
        <w:t>β</w:t>
      </w:r>
      <w:r>
        <w:rPr>
          <w:rFonts w:eastAsia="SimSun"/>
          <w:color w:val="000000" w:themeColor="text1"/>
          <w14:textFill>
            <w14:solidFill>
              <w14:schemeClr w14:val="tx1"/>
            </w14:solidFill>
          </w14:textFill>
        </w:rPr>
        <w:t xml:space="preserve"> </w:t>
      </w:r>
      <w:r>
        <w:rPr>
          <w:rFonts w:eastAsia="sans-serif"/>
        </w:rPr>
        <w:t>= 0.157) and education &amp; media (</w:t>
      </w:r>
      <w:r>
        <w:rPr>
          <w:rFonts w:eastAsia="SimSun"/>
          <w:color w:val="000000" w:themeColor="text1"/>
          <w:lang w:val="da-DK"/>
          <w14:textFill>
            <w14:solidFill>
              <w14:schemeClr w14:val="tx1"/>
            </w14:solidFill>
          </w14:textFill>
        </w:rPr>
        <w:t>β</w:t>
      </w:r>
      <w:r>
        <w:rPr>
          <w:rFonts w:eastAsia="SimSun"/>
          <w:color w:val="000000" w:themeColor="text1"/>
          <w14:textFill>
            <w14:solidFill>
              <w14:schemeClr w14:val="tx1"/>
            </w14:solidFill>
          </w14:textFill>
        </w:rPr>
        <w:t xml:space="preserve"> </w:t>
      </w:r>
      <w:r>
        <w:rPr>
          <w:rFonts w:eastAsia="sans-serif"/>
        </w:rPr>
        <w:t xml:space="preserve">= 0.126). </w:t>
      </w:r>
      <w:r>
        <w:rPr>
          <w:rFonts w:eastAsia="SimSun"/>
        </w:rPr>
        <w:t>These factors were hypothesized to be positive, and the quantitative data confirmed this.</w:t>
      </w:r>
    </w:p>
    <w:p w14:paraId="27530A89">
      <w:pPr>
        <w:pStyle w:val="18"/>
        <w:spacing w:before="0" w:beforeAutospacing="0" w:after="0" w:afterAutospacing="0" w:line="276" w:lineRule="auto"/>
        <w:ind w:firstLine="720"/>
        <w:jc w:val="both"/>
        <w:rPr>
          <w:rFonts w:eastAsia="SimSun"/>
        </w:rPr>
      </w:pPr>
      <w:r>
        <w:rPr>
          <w:rFonts w:eastAsia="SimSun"/>
        </w:rPr>
        <w:t>The qualitative data explained the psychological mechanism behind this counter-intuitive result: it is a conscious resistance. For this community, exposure to the pragmatic pressures of the Vietnamese economy and media does not lead to assimilation. Instead, it appears to trigger a consciousness-raising effect. The interview data for H5 (Economic pressure) clearly illustrates this:</w:t>
      </w:r>
    </w:p>
    <w:p w14:paraId="37C7F0BA">
      <w:pPr>
        <w:spacing w:after="0"/>
        <w:ind w:left="708" w:leftChars="322"/>
        <w:jc w:val="both"/>
        <w:rPr>
          <w:rFonts w:ascii="SimSun" w:hAnsi="SimSun" w:eastAsia="SimSun" w:cs="SimSun"/>
        </w:rPr>
      </w:pPr>
      <w:r>
        <w:rPr>
          <w:rFonts w:ascii="Times New Roman" w:hAnsi="Times New Roman" w:eastAsia="SimSun" w:cs="Times New Roman"/>
        </w:rPr>
        <w:t>Of course, when I work in Saigon, I must speak Vietnamese. How can I sell things or make a living otherwise? But it is because I must speak Vietnamese all day, and I am aware of that pressure, that I must speak Cham when I get home. It's how I know who I still am. The more pressure I face outside, the more I must keep my roots. (Male, 29, Ho Chi Minh City</w:t>
      </w:r>
      <w:r>
        <w:rPr>
          <w:rFonts w:ascii="SimSun" w:hAnsi="SimSun" w:eastAsia="SimSun" w:cs="SimSun"/>
          <w:sz w:val="24"/>
          <w:szCs w:val="24"/>
        </w:rPr>
        <w:t>).</w:t>
      </w:r>
    </w:p>
    <w:p w14:paraId="0C6AE9F0">
      <w:pPr>
        <w:pStyle w:val="18"/>
        <w:spacing w:before="0" w:beforeAutospacing="0" w:after="0" w:afterAutospacing="0" w:line="276" w:lineRule="auto"/>
        <w:ind w:firstLine="720"/>
        <w:jc w:val="both"/>
      </w:pPr>
      <w:r>
        <w:t>Similarly, for H6 (Education &amp; Media), formal education (in Vietnamese) seems to provide a comparative context that allows the Cham to recognize the value of their own heritage:</w:t>
      </w:r>
    </w:p>
    <w:p w14:paraId="7C9D51E8">
      <w:pPr>
        <w:spacing w:after="0"/>
        <w:ind w:left="708" w:leftChars="322"/>
        <w:jc w:val="both"/>
      </w:pPr>
      <w:r>
        <w:rPr>
          <w:rFonts w:ascii="Times New Roman" w:hAnsi="Times New Roman" w:eastAsia="SimSun" w:cs="Times New Roman"/>
        </w:rPr>
        <w:t>I didn't care when I was young. But when I went to university (in Vietnamese), I read many books, I learned about other ethnic groups... and I realized how special and precious my own culture was. The higher I studied, the more I became aware of the need to preserve my nation's language. (Female, 24, Ho Chi Minh City).</w:t>
      </w:r>
    </w:p>
    <w:p w14:paraId="3A5C3A8D">
      <w:pPr>
        <w:pStyle w:val="18"/>
        <w:spacing w:before="0" w:beforeAutospacing="0" w:after="0" w:afterAutospacing="0" w:line="276" w:lineRule="auto"/>
        <w:ind w:firstLine="720"/>
        <w:jc w:val="both"/>
      </w:pPr>
      <w:r>
        <w:t>In brief, these findings substantiate the argument that language choice among Cham Muslims is a highly structured behavior. In this model, the choice to use Cham is not a simple act of tradition but a conscious decision reinforced from all angles.</w:t>
      </w:r>
    </w:p>
    <w:p w14:paraId="6633D018">
      <w:pPr>
        <w:pStyle w:val="18"/>
        <w:spacing w:before="0" w:beforeAutospacing="0" w:after="0" w:afterAutospacing="0" w:line="276" w:lineRule="auto"/>
        <w:ind w:firstLine="720"/>
        <w:jc w:val="both"/>
      </w:pPr>
    </w:p>
    <w:p w14:paraId="7F3F0411">
      <w:pPr>
        <w:pStyle w:val="18"/>
        <w:spacing w:before="0" w:beforeAutospacing="0" w:after="0" w:afterAutospacing="0" w:line="276" w:lineRule="auto"/>
        <w:jc w:val="both"/>
        <w:rPr>
          <w:rFonts w:eastAsia="SimSun"/>
          <w:b/>
          <w:bCs/>
          <w:lang w:val="da-DK"/>
        </w:rPr>
      </w:pPr>
      <w:r>
        <w:rPr>
          <w:rFonts w:eastAsia="SimSun"/>
          <w:b/>
          <w:bCs/>
          <w:lang w:val="da-DK"/>
        </w:rPr>
        <w:t>5.2. Implications for policies</w:t>
      </w:r>
    </w:p>
    <w:p w14:paraId="2F8C0001">
      <w:pPr>
        <w:pStyle w:val="18"/>
        <w:spacing w:before="0" w:beforeAutospacing="0" w:after="0" w:afterAutospacing="0" w:line="276" w:lineRule="auto"/>
        <w:ind w:firstLine="720"/>
        <w:jc w:val="both"/>
        <w:rPr>
          <w:rFonts w:eastAsia="sans-serif"/>
        </w:rPr>
      </w:pPr>
      <w:r>
        <w:rPr>
          <w:rFonts w:eastAsia="sans-serif"/>
        </w:rPr>
        <w:t>Based on the findings, which indicate that all six factors positively correlate with the choice to use the Cham language, this study proposes several policy implications:</w:t>
      </w:r>
    </w:p>
    <w:p w14:paraId="28E8FBB5">
      <w:pPr>
        <w:pStyle w:val="18"/>
        <w:spacing w:before="0" w:beforeAutospacing="0" w:after="0" w:afterAutospacing="0" w:line="276" w:lineRule="auto"/>
        <w:ind w:firstLine="720"/>
        <w:jc w:val="both"/>
        <w:rPr>
          <w:rFonts w:eastAsia="sans-serif"/>
        </w:rPr>
      </w:pPr>
      <w:r>
        <w:rPr>
          <w:rFonts w:eastAsia="sans-serif"/>
          <w:b/>
          <w:bCs/>
          <w:i/>
          <w:iCs/>
        </w:rPr>
        <w:t>Strengthen community institutions to foster cultural identit</w:t>
      </w:r>
      <w:r>
        <w:rPr>
          <w:rFonts w:eastAsia="sans-serif"/>
          <w:b/>
          <w:bCs/>
        </w:rPr>
        <w:t>y</w:t>
      </w:r>
      <w:r>
        <w:rPr>
          <w:rFonts w:eastAsia="sans-serif"/>
        </w:rPr>
        <w:t>. The findings confirmed that Cultural Identity (CI) is the single most powerful predictor (</w:t>
      </w:r>
      <w:r>
        <w:rPr>
          <w:rFonts w:eastAsia="SimSun"/>
          <w:color w:val="000000" w:themeColor="text1"/>
          <w:lang w:val="da-DK"/>
          <w14:textFill>
            <w14:solidFill>
              <w14:schemeClr w14:val="tx1"/>
            </w14:solidFill>
          </w14:textFill>
        </w:rPr>
        <w:t>β</w:t>
      </w:r>
      <w:r>
        <w:rPr>
          <w:rFonts w:eastAsia="sans-serif"/>
        </w:rPr>
        <w:t xml:space="preserve"> = 0.278) of Cham language choice. Therefore, policies must prioritize strengthening the institutions that serve as the hubs for this identity. This includes supporting the role of Cham Islamic institutions, such as mosques (masjid) and religious schools (Suraus). These function not only as centers of spiritual life but also as vital cultural and linguistic transmission centers. Furthermore, supporting community-led initiatives, clubs, and creative spaces where young people can practice the language will help foster their pride in using Cham.</w:t>
      </w:r>
    </w:p>
    <w:p w14:paraId="0D0D2453">
      <w:pPr>
        <w:pStyle w:val="18"/>
        <w:spacing w:before="0" w:beforeAutospacing="0" w:after="0" w:afterAutospacing="0" w:line="276" w:lineRule="auto"/>
        <w:ind w:firstLine="720"/>
        <w:jc w:val="both"/>
        <w:rPr>
          <w:rFonts w:eastAsia="sans-serif"/>
        </w:rPr>
      </w:pPr>
      <w:r>
        <w:rPr>
          <w:rFonts w:eastAsia="sans-serif"/>
          <w:b/>
          <w:bCs/>
          <w:i/>
          <w:iCs/>
        </w:rPr>
        <w:t>Invest in high-quality bilingual education</w:t>
      </w:r>
      <w:r>
        <w:rPr>
          <w:rFonts w:eastAsia="sans-serif"/>
        </w:rPr>
        <w:t>. The study identified language proficiency as the second strongest factor (</w:t>
      </w:r>
      <w:r>
        <w:rPr>
          <w:rFonts w:eastAsia="SimSun"/>
          <w:color w:val="000000" w:themeColor="text1"/>
          <w:lang w:val="da-DK"/>
          <w14:textFill>
            <w14:solidFill>
              <w14:schemeClr w14:val="tx1"/>
            </w14:solidFill>
          </w14:textFill>
        </w:rPr>
        <w:t>β</w:t>
      </w:r>
      <w:r>
        <w:rPr>
          <w:rFonts w:eastAsia="sans-serif"/>
        </w:rPr>
        <w:t xml:space="preserve"> = 0.221). The positive correlation of education &amp; media (</w:t>
      </w:r>
      <w:r>
        <w:rPr>
          <w:rFonts w:eastAsia="SimSun"/>
          <w:color w:val="000000" w:themeColor="text1"/>
          <w:lang w:val="da-DK"/>
          <w14:textFill>
            <w14:solidFill>
              <w14:schemeClr w14:val="tx1"/>
            </w14:solidFill>
          </w14:textFill>
        </w:rPr>
        <w:t>β</w:t>
      </w:r>
      <w:r>
        <w:rPr>
          <w:rFonts w:eastAsia="sans-serif"/>
        </w:rPr>
        <w:t xml:space="preserve"> = 0.126) also suggests that education, rather than causing assimilation, fosters a conscious choice to use Cham. Therefore, language policy should move beyond teaching Cham merely as an extracurricular subject. It is necessary to develop substantive bilingual education models where both Cham and Vietnamese are used as languages of instruction. This additive bilingualism approach (Cummins, 1981) not only enables younger generations to achieve high proficiency in both languages but also enhances the status of the Cham language within the formal educational domain.</w:t>
      </w:r>
    </w:p>
    <w:p w14:paraId="4C374843">
      <w:pPr>
        <w:pStyle w:val="18"/>
        <w:spacing w:before="0" w:beforeAutospacing="0" w:after="0" w:afterAutospacing="0" w:line="276" w:lineRule="auto"/>
        <w:ind w:firstLine="720"/>
        <w:jc w:val="both"/>
        <w:rPr>
          <w:rFonts w:eastAsia="sans-serif"/>
        </w:rPr>
      </w:pPr>
      <w:r>
        <w:rPr>
          <w:rFonts w:eastAsia="sans-serif"/>
          <w:b/>
          <w:bCs/>
          <w:i/>
          <w:iCs/>
        </w:rPr>
        <w:t>Modernize language resources and media</w:t>
      </w:r>
      <w:r>
        <w:rPr>
          <w:rFonts w:eastAsia="sans-serif"/>
        </w:rPr>
        <w:t>. Language attitude was the third strongest factor (</w:t>
      </w:r>
      <w:r>
        <w:rPr>
          <w:rFonts w:eastAsia="SimSun"/>
          <w:color w:val="000000" w:themeColor="text1"/>
          <w:lang w:val="da-DK"/>
          <w14:textFill>
            <w14:solidFill>
              <w14:schemeClr w14:val="tx1"/>
            </w14:solidFill>
          </w14:textFill>
        </w:rPr>
        <w:t>β</w:t>
      </w:r>
      <w:r>
        <w:rPr>
          <w:rFonts w:eastAsia="sans-serif"/>
        </w:rPr>
        <w:t xml:space="preserve"> = 0.208). To foster positive attitudes among younger, media-savvy generations, it is essential to invest in the modernization of Cham language resources. This includes developing modern digital dictionaries, standardized terminological resources, and Unicode-compliant fonts. Concurrently, the production of high-quality, Cham-language media content (such as YouTube channels, TikTok videos, and podcasts) should be expanded and tailored to the interests of young people, ensuring they perceive their mother tongue as both valuable and modern.</w:t>
      </w:r>
    </w:p>
    <w:p w14:paraId="7FDC1072">
      <w:pPr>
        <w:pStyle w:val="18"/>
        <w:spacing w:before="0" w:beforeAutospacing="0" w:after="0" w:afterAutospacing="0" w:line="276" w:lineRule="auto"/>
        <w:ind w:firstLine="720"/>
        <w:jc w:val="both"/>
        <w:rPr>
          <w:rFonts w:eastAsia="SimSun"/>
        </w:rPr>
      </w:pPr>
      <w:r>
        <w:rPr>
          <w:rFonts w:eastAsia="sans-serif"/>
          <w:b/>
          <w:bCs/>
          <w:i/>
          <w:iCs/>
        </w:rPr>
        <w:t>Reframe language as a unique economic asset</w:t>
      </w:r>
      <w:r>
        <w:rPr>
          <w:rFonts w:eastAsia="sans-serif"/>
        </w:rPr>
        <w:t>. The study’s most counter-intuitive finding was the positive impact of economic pressure (</w:t>
      </w:r>
      <w:r>
        <w:rPr>
          <w:rFonts w:eastAsia="SimSun"/>
          <w:color w:val="000000" w:themeColor="text1"/>
          <w:lang w:val="da-DK"/>
          <w14:textFill>
            <w14:solidFill>
              <w14:schemeClr w14:val="tx1"/>
            </w14:solidFill>
          </w14:textFill>
        </w:rPr>
        <w:t>β</w:t>
      </w:r>
      <w:r>
        <w:rPr>
          <w:rFonts w:eastAsia="sans-serif"/>
        </w:rPr>
        <w:t xml:space="preserve"> = 0.157) on choosing Cham. </w:t>
      </w:r>
      <w:r>
        <w:rPr>
          <w:rFonts w:eastAsia="SimSun"/>
        </w:rPr>
        <w:t>This suggests that perceiving economic pressure may trigger a consciousness-raising effect. Policies should leverage this by reframing the Cham language itself as a unique economic asset, not a liability. Instead of just balancing, policies should actively link the Cham language to economic opportunities. This includes promoting and supporting heritage tourism, such as Cham weaving villages and culinary arts, digital cultural products, and traditional crafts. When the mother tongue is seen as generating tangible economic benefits, the community's motivation to maintain it is reinforced.</w:t>
      </w:r>
    </w:p>
    <w:p w14:paraId="386FEB03">
      <w:pPr>
        <w:pStyle w:val="18"/>
        <w:spacing w:before="0" w:beforeAutospacing="0" w:after="0" w:afterAutospacing="0" w:line="276" w:lineRule="auto"/>
        <w:jc w:val="both"/>
        <w:rPr>
          <w:rFonts w:eastAsia="SimSun"/>
          <w:b/>
          <w:bCs/>
          <w:lang w:val="vi-VN"/>
        </w:rPr>
      </w:pPr>
    </w:p>
    <w:p w14:paraId="3897A6D6">
      <w:pPr>
        <w:pStyle w:val="18"/>
        <w:spacing w:before="0" w:beforeAutospacing="0" w:after="0" w:afterAutospacing="0" w:line="276" w:lineRule="auto"/>
        <w:jc w:val="both"/>
        <w:rPr>
          <w:rFonts w:eastAsia="SimSun"/>
          <w:b/>
          <w:bCs/>
          <w:lang w:val="vi-VN"/>
        </w:rPr>
      </w:pPr>
      <w:r>
        <w:rPr>
          <w:rFonts w:eastAsia="SimSun"/>
          <w:b/>
          <w:bCs/>
          <w:lang w:val="vi-VN"/>
        </w:rPr>
        <w:t>6. Conclusion</w:t>
      </w:r>
    </w:p>
    <w:p w14:paraId="2CE823EE">
      <w:pPr>
        <w:pStyle w:val="18"/>
        <w:spacing w:before="0" w:beforeAutospacing="0" w:after="0" w:afterAutospacing="0" w:line="276" w:lineRule="auto"/>
        <w:ind w:firstLine="720"/>
        <w:jc w:val="both"/>
        <w:rPr>
          <w:rFonts w:eastAsia="SimSun"/>
        </w:rPr>
      </w:pPr>
      <w:r>
        <w:rPr>
          <w:rFonts w:eastAsia="SimSun"/>
        </w:rPr>
        <w:t xml:space="preserve">This study successfully developed and empirically tested a comprehensive mixed-methods model, conclusively demonstrating that the language choice of the Cham Muslim ethnic minority is a structured sociolinguistic behaviour, not a random act. Findings from a quantitative survey of 464 respondents, which were then contextualized by qualitative in-depth interviews, reveal a complex process influenced by six key factors. The research model, which explains 86.2% of the variance </w:t>
      </w:r>
      <w:r>
        <w:rPr>
          <w:rFonts w:eastAsia="sans-serif"/>
        </w:rPr>
        <w:t xml:space="preserve">(Adjusted </w:t>
      </w:r>
      <w:r>
        <w:rPr>
          <w:color w:val="000000" w:themeColor="text1"/>
          <w:lang w:val="da-DK"/>
          <w14:textFill>
            <w14:solidFill>
              <w14:schemeClr w14:val="tx1"/>
            </w14:solidFill>
          </w14:textFill>
        </w:rPr>
        <w:t>R²</w:t>
      </w:r>
      <w:r>
        <w:rPr>
          <w:rFonts w:eastAsia="sans-serif"/>
        </w:rPr>
        <w:t xml:space="preserve"> = 0.86)</w:t>
      </w:r>
      <w:r>
        <w:rPr>
          <w:rFonts w:eastAsia="SimSun"/>
        </w:rPr>
        <w:t xml:space="preserve">, provides robust validation for the study’s core thesis: that the choice to use the Cham language is a conscious, motivated behaviour. </w:t>
      </w:r>
    </w:p>
    <w:p w14:paraId="60B7202D">
      <w:pPr>
        <w:pStyle w:val="18"/>
        <w:spacing w:before="0" w:beforeAutospacing="0" w:after="0" w:afterAutospacing="0" w:line="276" w:lineRule="auto"/>
        <w:ind w:firstLine="720"/>
        <w:jc w:val="both"/>
        <w:rPr>
          <w:rFonts w:eastAsia="SimSun"/>
        </w:rPr>
      </w:pPr>
      <w:r>
        <w:rPr>
          <w:rFonts w:eastAsia="sans-serif"/>
        </w:rPr>
        <w:t>Among these factors, cultural identity (</w:t>
      </w:r>
      <w:r>
        <w:rPr>
          <w:rFonts w:eastAsia="SimSun"/>
          <w:color w:val="000000" w:themeColor="text1"/>
          <w:lang w:val="da-DK"/>
          <w14:textFill>
            <w14:solidFill>
              <w14:schemeClr w14:val="tx1"/>
            </w14:solidFill>
          </w14:textFill>
        </w:rPr>
        <w:t>β</w:t>
      </w:r>
      <w:r>
        <w:rPr>
          <w:rFonts w:eastAsia="sans-serif"/>
        </w:rPr>
        <w:t xml:space="preserve"> = 0.278) emerged as the most decisive driver, reaffirming that for this community, language is not merely a communicative tool but the embodiment of their cultural and religious soul. The next two strongest factors, language proficiency (</w:t>
      </w:r>
      <w:r>
        <w:rPr>
          <w:rFonts w:eastAsia="SimSun"/>
          <w:color w:val="000000" w:themeColor="text1"/>
          <w:lang w:val="da-DK"/>
          <w14:textFill>
            <w14:solidFill>
              <w14:schemeClr w14:val="tx1"/>
            </w14:solidFill>
          </w14:textFill>
        </w:rPr>
        <w:t>β</w:t>
      </w:r>
      <w:r>
        <w:rPr>
          <w:color w:val="000000" w:themeColor="text1"/>
          <w14:textFill>
            <w14:solidFill>
              <w14:schemeClr w14:val="tx1"/>
            </w14:solidFill>
          </w14:textFill>
        </w:rPr>
        <w:t xml:space="preserve"> </w:t>
      </w:r>
      <w:r>
        <w:rPr>
          <w:rFonts w:eastAsia="sans-serif"/>
        </w:rPr>
        <w:t>= 0.221) and language attitude (</w:t>
      </w:r>
      <w:r>
        <w:rPr>
          <w:rFonts w:eastAsia="SimSun"/>
          <w:color w:val="000000" w:themeColor="text1"/>
          <w:lang w:val="da-DK"/>
          <w14:textFill>
            <w14:solidFill>
              <w14:schemeClr w14:val="tx1"/>
            </w14:solidFill>
          </w14:textFill>
        </w:rPr>
        <w:t>β</w:t>
      </w:r>
      <w:r>
        <w:rPr>
          <w:rFonts w:eastAsia="sans-serif"/>
        </w:rPr>
        <w:t xml:space="preserve"> = 0.208), </w:t>
      </w:r>
      <w:r>
        <w:rPr>
          <w:rFonts w:eastAsia="SimSun"/>
        </w:rPr>
        <w:t>underscore that language maintenance is overwhelmingly propelled by this internal, identity-based core.</w:t>
      </w:r>
    </w:p>
    <w:p w14:paraId="6C5A3975">
      <w:pPr>
        <w:pStyle w:val="18"/>
        <w:spacing w:before="0" w:beforeAutospacing="0" w:after="0" w:afterAutospacing="0" w:line="276" w:lineRule="auto"/>
        <w:ind w:firstLine="720"/>
        <w:jc w:val="both"/>
        <w:rPr>
          <w:rFonts w:eastAsia="sans-serif"/>
        </w:rPr>
      </w:pPr>
      <w:r>
        <w:rPr>
          <w:rFonts w:eastAsia="sans-serif"/>
        </w:rPr>
        <w:t xml:space="preserve">The most theoretically significant finding, however, is that </w:t>
      </w:r>
      <w:r>
        <w:rPr>
          <w:rFonts w:eastAsia="sans-serif"/>
          <w:i/>
          <w:iCs/>
        </w:rPr>
        <w:t>all</w:t>
      </w:r>
      <w:r>
        <w:rPr>
          <w:rFonts w:eastAsia="sans-serif"/>
        </w:rPr>
        <w:t xml:space="preserve"> six factors, including external and pragmatic </w:t>
      </w:r>
      <w:r>
        <w:rPr>
          <w:rFonts w:eastAsia="SimSun"/>
        </w:rPr>
        <w:t>ones</w:t>
      </w:r>
      <w:r>
        <w:rPr>
          <w:rFonts w:eastAsia="sans-serif"/>
        </w:rPr>
        <w:t>, had a positive and significant effect on choosing the Cham language. Factors often assumed to be drivers of language shift, such as economic pressure (</w:t>
      </w:r>
      <w:r>
        <w:rPr>
          <w:rFonts w:eastAsia="SimSun"/>
          <w:color w:val="000000" w:themeColor="text1"/>
          <w:lang w:val="da-DK"/>
          <w14:textFill>
            <w14:solidFill>
              <w14:schemeClr w14:val="tx1"/>
            </w14:solidFill>
          </w14:textFill>
        </w:rPr>
        <w:t>β</w:t>
      </w:r>
      <w:r>
        <w:rPr>
          <w:rFonts w:eastAsia="sans-serif"/>
        </w:rPr>
        <w:t xml:space="preserve"> = 0.157) and education &amp; media (</w:t>
      </w:r>
      <w:r>
        <w:rPr>
          <w:rFonts w:eastAsia="SimSun"/>
          <w:color w:val="000000" w:themeColor="text1"/>
          <w:lang w:val="da-DK"/>
          <w14:textFill>
            <w14:solidFill>
              <w14:schemeClr w14:val="tx1"/>
            </w14:solidFill>
          </w14:textFill>
        </w:rPr>
        <w:t>β</w:t>
      </w:r>
      <w:r>
        <w:rPr>
          <w:rFonts w:eastAsia="sans-serif"/>
        </w:rPr>
        <w:t xml:space="preserve"> = 0.126), were found to positively correlate with Cham language use. This suggests that for the Cham Muslim community, exposure to external pressures does not lead to simple assimilation. Instead, it appears to foster a "consciousness-raising" effect, where increased awareness of their distinctiveness in a globalized world strengthens their resolve to preserve their linguistic heritage.</w:t>
      </w:r>
    </w:p>
    <w:p w14:paraId="5C5B38E9">
      <w:pPr>
        <w:pStyle w:val="18"/>
        <w:spacing w:before="0" w:beforeAutospacing="0" w:after="0" w:afterAutospacing="0" w:line="276" w:lineRule="auto"/>
        <w:ind w:firstLine="720"/>
        <w:jc w:val="both"/>
        <w:rPr>
          <w:rFonts w:eastAsia="SimSun"/>
        </w:rPr>
      </w:pPr>
      <w:r>
        <w:rPr>
          <w:rFonts w:eastAsia="SimSun"/>
        </w:rPr>
        <w:t>In essence, the language choice of the Cham people is not a negotiation that forces a choice between affective motivations and instrumental needs. Instead, it is a structured behavior where both identity-driven factors and a conscious awareness of external pressures work in tandem to reinforce linguistic loyalty.</w:t>
      </w:r>
    </w:p>
    <w:p w14:paraId="32A322C7">
      <w:pPr>
        <w:pStyle w:val="18"/>
        <w:spacing w:before="0" w:beforeAutospacing="0" w:after="0" w:afterAutospacing="0" w:line="276" w:lineRule="auto"/>
        <w:ind w:firstLine="720"/>
        <w:jc w:val="both"/>
      </w:pPr>
      <w:r>
        <w:t xml:space="preserve">From a theoretical perspective, this study makes three important contributions. First, it quantified and tested the factors affecting language choice in the specific multilingual context of the Cham </w:t>
      </w:r>
      <w:r>
        <w:rPr>
          <w:rFonts w:eastAsia="SimSun"/>
        </w:rPr>
        <w:t>Muslim</w:t>
      </w:r>
      <w:r>
        <w:t xml:space="preserve"> community in Vietnam, filling a gap in large-scale quantitative research in the country. Second, it validated classical frameworks—such as ethnolinguistic identity (Edwards, 2010; Giles &amp; Johnson, 1987)—in a new context. Third, the study developed and validated a comprehensive model demonstrating a complex interaction where individual (LP, LA), socio-cultural (CI, FCE), and even macro-structural factors (EP, EM) all contribute positively to language maintenance, challenging the traditional "identity vs. utility" dichotomy.</w:t>
      </w:r>
    </w:p>
    <w:p w14:paraId="377A07DB">
      <w:pPr>
        <w:pStyle w:val="18"/>
        <w:spacing w:before="0" w:beforeAutospacing="0" w:after="0" w:afterAutospacing="0" w:line="276" w:lineRule="auto"/>
        <w:ind w:firstLine="720"/>
        <w:jc w:val="both"/>
      </w:pPr>
      <w:r>
        <w:t xml:space="preserve">From a practical perspective, this study provides valuable data for policymakers, educators, and community leaders, emphasizing that language preservation efforts must adopt a multidimensional approach—combining top-down measures through policy with bottom-up motivations nurtured within the community. </w:t>
      </w:r>
    </w:p>
    <w:p w14:paraId="5F8C350C">
      <w:pPr>
        <w:pStyle w:val="18"/>
        <w:spacing w:before="0" w:beforeAutospacing="0" w:after="0" w:afterAutospacing="0" w:line="276" w:lineRule="auto"/>
        <w:ind w:firstLine="720"/>
        <w:jc w:val="both"/>
      </w:pPr>
      <w:r>
        <w:t xml:space="preserve">Although this study has achieved its stated objectives, there are several limitations. Specifically, </w:t>
      </w:r>
      <w:r>
        <w:rPr>
          <w:rFonts w:eastAsia="SimSun"/>
        </w:rPr>
        <w:t>probability</w:t>
      </w:r>
      <w:r>
        <w:t xml:space="preserve"> sampling methods should be applied in the future to enhance representativeness. Furthermore, longitudinal studies are needed to track language change over time, thereby overcoming the limitations of this cross-sectional design. From a methodological perspective, while this study successfully integrated qualitative data to explain the regression model, a more extensive qualitative phase (such as a full ethnography) and the extension of comparative research to other ethnic minority communities (such as the Khmer and the Hoa) would provide a more comprehensive understanding of multilingualism in Vietnam.</w:t>
      </w:r>
    </w:p>
    <w:p w14:paraId="211E57F2">
      <w:pPr>
        <w:pStyle w:val="18"/>
        <w:spacing w:before="0" w:beforeAutospacing="0" w:after="0" w:afterAutospacing="0" w:line="276" w:lineRule="auto"/>
        <w:jc w:val="both"/>
        <w:rPr>
          <w:rFonts w:eastAsia="SimSun"/>
          <w:lang w:val="da-DK"/>
        </w:rPr>
      </w:pPr>
    </w:p>
    <w:p w14:paraId="24209D55">
      <w:pPr>
        <w:pStyle w:val="18"/>
        <w:spacing w:before="0" w:beforeAutospacing="0" w:after="0" w:afterAutospacing="0" w:line="276" w:lineRule="auto"/>
        <w:jc w:val="both"/>
        <w:rPr>
          <w:rFonts w:eastAsia="SimSun" w:asciiTheme="majorBidi" w:hAnsiTheme="majorBidi" w:cstheme="majorBidi"/>
          <w:b/>
          <w:bCs/>
          <w:lang w:val="da-DK"/>
        </w:rPr>
      </w:pPr>
      <w:r>
        <w:rPr>
          <w:rFonts w:eastAsia="SimSun" w:asciiTheme="majorBidi" w:hAnsiTheme="majorBidi" w:cstheme="majorBidi"/>
          <w:b/>
          <w:bCs/>
          <w:lang w:val="da-DK"/>
        </w:rPr>
        <w:t>Acknowledgments</w:t>
      </w:r>
    </w:p>
    <w:p w14:paraId="1240851F">
      <w:pPr>
        <w:pStyle w:val="18"/>
        <w:spacing w:before="0" w:beforeAutospacing="0" w:after="0" w:afterAutospacing="0" w:line="276" w:lineRule="auto"/>
        <w:jc w:val="both"/>
        <w:rPr>
          <w:rFonts w:eastAsia="SimSun" w:asciiTheme="majorBidi" w:hAnsiTheme="majorBidi" w:cstheme="majorBidi"/>
          <w:lang w:val="da-DK"/>
        </w:rPr>
      </w:pPr>
      <w:r>
        <w:rPr>
          <w:rFonts w:eastAsia="SimSun" w:asciiTheme="majorBidi" w:hAnsiTheme="majorBidi" w:cstheme="majorBidi"/>
          <w:lang w:val="da-DK"/>
        </w:rPr>
        <w:t>I would like to express my heartfelt gratitude to the participants for their enthusiastic participation. Their time, effort, and willingness to contribute played a crucial role in ensuring the collection of valid and reliable data, which forms the foundation for the discussion of this research.</w:t>
      </w:r>
    </w:p>
    <w:p w14:paraId="503FB56D">
      <w:pPr>
        <w:pStyle w:val="18"/>
        <w:spacing w:before="0" w:beforeAutospacing="0" w:after="0" w:afterAutospacing="0" w:line="276" w:lineRule="auto"/>
        <w:jc w:val="both"/>
        <w:rPr>
          <w:rFonts w:eastAsia="SimSun" w:asciiTheme="majorBidi" w:hAnsiTheme="majorBidi" w:cstheme="majorBidi"/>
          <w:lang w:val="da-DK"/>
        </w:rPr>
      </w:pPr>
    </w:p>
    <w:p w14:paraId="371FF528">
      <w:pPr>
        <w:pStyle w:val="18"/>
        <w:spacing w:before="0" w:beforeAutospacing="0" w:after="0" w:afterAutospacing="0" w:line="276" w:lineRule="auto"/>
        <w:jc w:val="both"/>
        <w:rPr>
          <w:rFonts w:eastAsia="SimSun" w:asciiTheme="majorBidi" w:hAnsiTheme="majorBidi" w:cstheme="majorBidi"/>
          <w:b/>
          <w:bCs/>
          <w:lang w:val="da-DK"/>
        </w:rPr>
      </w:pPr>
      <w:r>
        <w:rPr>
          <w:rFonts w:eastAsia="SimSun" w:asciiTheme="majorBidi" w:hAnsiTheme="majorBidi" w:cstheme="majorBidi"/>
          <w:b/>
          <w:bCs/>
          <w:lang w:val="da-DK"/>
        </w:rPr>
        <w:t>Ethical statements, Ethics approval and consent to participate</w:t>
      </w:r>
    </w:p>
    <w:p w14:paraId="600CE236">
      <w:pPr>
        <w:pStyle w:val="18"/>
        <w:spacing w:before="0" w:beforeAutospacing="0" w:after="0" w:afterAutospacing="0" w:line="276" w:lineRule="auto"/>
        <w:jc w:val="both"/>
        <w:rPr>
          <w:rFonts w:eastAsia="SimSun" w:asciiTheme="majorBidi" w:hAnsiTheme="majorBidi" w:cstheme="majorBidi"/>
          <w:lang w:val="da-DK"/>
        </w:rPr>
      </w:pPr>
      <w:r>
        <w:rPr>
          <w:rFonts w:eastAsia="SimSun" w:asciiTheme="majorBidi" w:hAnsiTheme="majorBidi" w:cstheme="majorBidi"/>
          <w:lang w:val="da-DK"/>
        </w:rPr>
        <w:t>This research, entitled “</w:t>
      </w:r>
      <w:r>
        <w:rPr>
          <w:rFonts w:eastAsia="SimSun"/>
        </w:rPr>
        <w:t xml:space="preserve">Factors influencing language choice among bilingual Cham Muslims in </w:t>
      </w:r>
      <w:r>
        <w:rPr>
          <w:rFonts w:eastAsia="SimSun" w:asciiTheme="majorBidi" w:hAnsiTheme="majorBidi" w:cstheme="majorBidi"/>
          <w:lang w:val="da-DK"/>
        </w:rPr>
        <w:t>Southern</w:t>
      </w:r>
      <w:r>
        <w:rPr>
          <w:rFonts w:eastAsia="SimSun"/>
        </w:rPr>
        <w:t xml:space="preserve"> Vietnam</w:t>
      </w:r>
      <w:r>
        <w:rPr>
          <w:rFonts w:eastAsia="SimSun" w:asciiTheme="majorBidi" w:hAnsiTheme="majorBidi" w:cstheme="majorBidi"/>
          <w:lang w:val="da-DK"/>
        </w:rPr>
        <w:t>”, was conducted in accordance with the principles outlined in the Declaration of Helsinki. Informed consent was obtained from all participants prior to their involvement in the study.</w:t>
      </w:r>
    </w:p>
    <w:p w14:paraId="694F13EC">
      <w:pPr>
        <w:pStyle w:val="18"/>
        <w:spacing w:before="0" w:beforeAutospacing="0" w:after="0" w:afterAutospacing="0" w:line="276" w:lineRule="auto"/>
        <w:ind w:firstLine="720"/>
        <w:jc w:val="both"/>
        <w:rPr>
          <w:rFonts w:eastAsia="SimSun" w:asciiTheme="majorBidi" w:hAnsiTheme="majorBidi" w:cstheme="majorBidi"/>
          <w:lang w:val="da-DK"/>
        </w:rPr>
      </w:pPr>
    </w:p>
    <w:p w14:paraId="19BC2A91">
      <w:pPr>
        <w:pStyle w:val="18"/>
        <w:spacing w:before="0" w:beforeAutospacing="0" w:after="0" w:afterAutospacing="0" w:line="276" w:lineRule="auto"/>
        <w:jc w:val="both"/>
        <w:rPr>
          <w:rFonts w:eastAsia="SimSun" w:asciiTheme="majorBidi" w:hAnsiTheme="majorBidi" w:cstheme="majorBidi"/>
          <w:b/>
          <w:bCs/>
          <w:lang w:val="da-DK"/>
        </w:rPr>
      </w:pPr>
      <w:r>
        <w:rPr>
          <w:rFonts w:eastAsia="SimSun" w:asciiTheme="majorBidi" w:hAnsiTheme="majorBidi" w:cstheme="majorBidi"/>
          <w:b/>
          <w:bCs/>
          <w:lang w:val="da-DK"/>
        </w:rPr>
        <w:t>Conflict of Interest</w:t>
      </w:r>
    </w:p>
    <w:p w14:paraId="62B9AA61">
      <w:pPr>
        <w:pStyle w:val="18"/>
        <w:spacing w:before="0" w:beforeAutospacing="0" w:after="0" w:afterAutospacing="0" w:line="276" w:lineRule="auto"/>
        <w:jc w:val="both"/>
        <w:rPr>
          <w:rFonts w:eastAsia="SimSun" w:asciiTheme="majorBidi" w:hAnsiTheme="majorBidi" w:cstheme="majorBidi"/>
          <w:lang w:val="da-DK"/>
        </w:rPr>
      </w:pPr>
      <w:r>
        <w:rPr>
          <w:rFonts w:eastAsia="SimSun" w:asciiTheme="majorBidi" w:hAnsiTheme="majorBidi" w:cstheme="majorBidi"/>
          <w:lang w:val="da-DK"/>
        </w:rPr>
        <w:t>The author declares no conflicts of interest.</w:t>
      </w:r>
    </w:p>
    <w:p w14:paraId="07CA43CD">
      <w:pPr>
        <w:pStyle w:val="18"/>
        <w:spacing w:before="0" w:beforeAutospacing="0" w:after="0" w:afterAutospacing="0" w:line="276" w:lineRule="auto"/>
        <w:ind w:firstLine="720"/>
        <w:jc w:val="both"/>
        <w:rPr>
          <w:rFonts w:eastAsia="SimSun" w:asciiTheme="majorBidi" w:hAnsiTheme="majorBidi" w:cstheme="majorBidi"/>
          <w:lang w:val="da-DK"/>
        </w:rPr>
      </w:pPr>
    </w:p>
    <w:p w14:paraId="7597CCE9">
      <w:pPr>
        <w:pStyle w:val="18"/>
        <w:spacing w:before="0" w:beforeAutospacing="0" w:after="0" w:afterAutospacing="0" w:line="276" w:lineRule="auto"/>
        <w:jc w:val="both"/>
        <w:rPr>
          <w:rFonts w:eastAsia="SimSun" w:asciiTheme="majorBidi" w:hAnsiTheme="majorBidi" w:cstheme="majorBidi"/>
          <w:b/>
          <w:bCs/>
          <w:lang w:val="da-DK"/>
        </w:rPr>
      </w:pPr>
      <w:r>
        <w:rPr>
          <w:rFonts w:eastAsia="SimSun" w:asciiTheme="majorBidi" w:hAnsiTheme="majorBidi" w:cstheme="majorBidi"/>
          <w:b/>
          <w:bCs/>
          <w:lang w:val="da-DK"/>
        </w:rPr>
        <w:t>Funding</w:t>
      </w:r>
    </w:p>
    <w:p w14:paraId="5B9D04BF">
      <w:pPr>
        <w:pStyle w:val="18"/>
        <w:spacing w:before="0" w:beforeAutospacing="0" w:after="0" w:afterAutospacing="0" w:line="276" w:lineRule="auto"/>
        <w:jc w:val="both"/>
        <w:rPr>
          <w:rFonts w:eastAsia="SimSun" w:asciiTheme="majorBidi" w:hAnsiTheme="majorBidi" w:cstheme="majorBidi"/>
          <w:lang w:val="da-DK"/>
        </w:rPr>
      </w:pPr>
      <w:r>
        <w:rPr>
          <w:rFonts w:eastAsia="SimSun" w:asciiTheme="majorBidi" w:hAnsiTheme="majorBidi" w:cstheme="majorBidi"/>
          <w:lang w:val="da-DK"/>
        </w:rPr>
        <w:t>This research did not receive any financial support.</w:t>
      </w:r>
    </w:p>
    <w:p w14:paraId="31CC0833">
      <w:pPr>
        <w:pStyle w:val="18"/>
        <w:spacing w:before="0" w:beforeAutospacing="0" w:after="0" w:afterAutospacing="0" w:line="276" w:lineRule="auto"/>
        <w:ind w:firstLine="720"/>
        <w:jc w:val="both"/>
        <w:rPr>
          <w:rFonts w:eastAsia="SimSun" w:asciiTheme="majorBidi" w:hAnsiTheme="majorBidi" w:cstheme="majorBidi"/>
          <w:lang w:val="da-DK"/>
        </w:rPr>
      </w:pPr>
    </w:p>
    <w:p w14:paraId="2C421E6A">
      <w:pPr>
        <w:pStyle w:val="18"/>
        <w:spacing w:beforeAutospacing="0" w:afterAutospacing="0" w:line="276" w:lineRule="auto"/>
        <w:jc w:val="both"/>
        <w:rPr>
          <w:rFonts w:hint="default" w:asciiTheme="majorBidi" w:hAnsiTheme="majorBidi"/>
          <w:lang w:val="da-DK"/>
        </w:rPr>
      </w:pPr>
      <w:r>
        <w:rPr>
          <w:rFonts w:asciiTheme="majorBidi" w:hAnsiTheme="majorBidi" w:cstheme="majorBidi"/>
          <w:b/>
          <w:bCs/>
          <w:lang w:val="da-DK"/>
        </w:rPr>
        <w:t>Data availability:</w:t>
      </w:r>
      <w:r>
        <w:rPr>
          <w:rFonts w:asciiTheme="majorBidi" w:hAnsiTheme="majorBidi" w:cstheme="majorBidi"/>
          <w:lang w:val="da-DK"/>
        </w:rPr>
        <w:t xml:space="preserve"> The datasets in this article are available in the OSF repository, at </w:t>
      </w:r>
      <w:r>
        <w:rPr>
          <w:rFonts w:hint="default" w:asciiTheme="majorBidi" w:hAnsiTheme="majorBidi"/>
          <w:lang w:val="da-DK"/>
        </w:rPr>
        <w:fldChar w:fldCharType="begin"/>
      </w:r>
      <w:r>
        <w:rPr>
          <w:rFonts w:hint="default" w:asciiTheme="majorBidi" w:hAnsiTheme="majorBidi"/>
          <w:lang w:val="da-DK"/>
        </w:rPr>
        <w:instrText xml:space="preserve"> HYPERLINK "https://osf.io/9s6hp/files" </w:instrText>
      </w:r>
      <w:r>
        <w:rPr>
          <w:rFonts w:hint="default" w:asciiTheme="majorBidi" w:hAnsiTheme="majorBidi"/>
          <w:lang w:val="da-DK"/>
        </w:rPr>
        <w:fldChar w:fldCharType="separate"/>
      </w:r>
      <w:r>
        <w:rPr>
          <w:rStyle w:val="17"/>
          <w:rFonts w:hint="default" w:asciiTheme="majorBidi" w:hAnsiTheme="majorBidi"/>
          <w:lang w:val="da-DK"/>
        </w:rPr>
        <w:t>https://osf.io/9s6hp/files</w:t>
      </w:r>
      <w:r>
        <w:rPr>
          <w:rFonts w:hint="default" w:asciiTheme="majorBidi" w:hAnsiTheme="majorBidi"/>
          <w:lang w:val="da-DK"/>
        </w:rPr>
        <w:fldChar w:fldCharType="end"/>
      </w:r>
    </w:p>
    <w:p w14:paraId="6EC3285B">
      <w:pPr>
        <w:pStyle w:val="18"/>
        <w:spacing w:beforeAutospacing="0" w:afterAutospacing="0" w:line="276" w:lineRule="auto"/>
        <w:jc w:val="both"/>
        <w:rPr>
          <w:rFonts w:hint="default" w:asciiTheme="majorBidi" w:hAnsiTheme="majorBidi"/>
          <w:lang w:val="da-DK"/>
        </w:rPr>
      </w:pPr>
    </w:p>
    <w:p w14:paraId="3E7E2210">
      <w:pPr>
        <w:pStyle w:val="18"/>
        <w:spacing w:before="0" w:beforeAutospacing="0" w:after="0" w:afterAutospacing="0" w:line="276" w:lineRule="auto"/>
        <w:jc w:val="both"/>
        <w:rPr>
          <w:rFonts w:asciiTheme="majorBidi" w:hAnsiTheme="majorBidi" w:cstheme="majorBidi"/>
          <w:b/>
          <w:bCs/>
        </w:rPr>
      </w:pPr>
    </w:p>
    <w:p w14:paraId="029CF6CF">
      <w:pPr>
        <w:pStyle w:val="18"/>
        <w:spacing w:before="0" w:beforeAutospacing="0" w:after="0" w:afterAutospacing="0" w:line="276" w:lineRule="auto"/>
        <w:jc w:val="both"/>
        <w:rPr>
          <w:rFonts w:asciiTheme="majorBidi" w:hAnsiTheme="majorBidi" w:cstheme="majorBidi"/>
          <w:b/>
          <w:bCs/>
        </w:rPr>
      </w:pPr>
      <w:r>
        <w:rPr>
          <w:rFonts w:asciiTheme="majorBidi" w:hAnsiTheme="majorBidi" w:cstheme="majorBidi"/>
          <w:b/>
          <w:bCs/>
        </w:rPr>
        <w:t>References</w:t>
      </w:r>
    </w:p>
    <w:p w14:paraId="6EDDABE9">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rPr>
        <w:t xml:space="preserve">Baker, C. (1992). </w:t>
      </w:r>
      <w:r>
        <w:rPr>
          <w:rFonts w:asciiTheme="majorBidi" w:hAnsiTheme="majorBidi" w:cstheme="majorBidi"/>
          <w:i/>
          <w:iCs/>
          <w:sz w:val="24"/>
          <w:szCs w:val="24"/>
        </w:rPr>
        <w:t>Attitudes and languages</w:t>
      </w:r>
      <w:r>
        <w:rPr>
          <w:rFonts w:asciiTheme="majorBidi" w:hAnsiTheme="majorBidi" w:cstheme="majorBidi"/>
          <w:sz w:val="24"/>
          <w:szCs w:val="24"/>
        </w:rPr>
        <w:t>. Multilingual Matters.</w:t>
      </w:r>
    </w:p>
    <w:p w14:paraId="5CFE0538">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Barker</w:t>
      </w:r>
      <w:r>
        <w:rPr>
          <w:rFonts w:asciiTheme="majorBidi" w:hAnsiTheme="majorBidi" w:cstheme="majorBidi"/>
          <w:sz w:val="24"/>
          <w:szCs w:val="24"/>
        </w:rPr>
        <w:t xml:space="preserve">, G. C. (1947). </w:t>
      </w:r>
      <w:r>
        <w:rPr>
          <w:rFonts w:asciiTheme="majorBidi" w:hAnsiTheme="majorBidi" w:cstheme="majorBidi"/>
          <w:i/>
          <w:iCs/>
          <w:sz w:val="24"/>
          <w:szCs w:val="24"/>
        </w:rPr>
        <w:t>Social functions of language in a Mexican-American community</w:t>
      </w:r>
      <w:r>
        <w:rPr>
          <w:rFonts w:asciiTheme="majorBidi" w:hAnsiTheme="majorBidi" w:cstheme="majorBidi"/>
          <w:sz w:val="24"/>
          <w:szCs w:val="24"/>
        </w:rPr>
        <w:t xml:space="preserve"> (Doctoral dissertation). The University of Chicago.</w:t>
      </w:r>
    </w:p>
    <w:p w14:paraId="181B2C55">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Blommaert</w:t>
      </w:r>
      <w:r>
        <w:rPr>
          <w:rFonts w:asciiTheme="majorBidi" w:hAnsiTheme="majorBidi" w:cstheme="majorBidi"/>
          <w:sz w:val="24"/>
          <w:szCs w:val="24"/>
        </w:rPr>
        <w:t xml:space="preserve">, J. (2010). </w:t>
      </w:r>
      <w:r>
        <w:rPr>
          <w:rFonts w:asciiTheme="majorBidi" w:hAnsiTheme="majorBidi" w:cstheme="majorBidi"/>
          <w:i/>
          <w:iCs/>
          <w:sz w:val="24"/>
          <w:szCs w:val="24"/>
        </w:rPr>
        <w:t>The sociolinguistics of globalization</w:t>
      </w:r>
      <w:r>
        <w:rPr>
          <w:rFonts w:asciiTheme="majorBidi" w:hAnsiTheme="majorBidi" w:cstheme="majorBidi"/>
          <w:sz w:val="24"/>
          <w:szCs w:val="24"/>
        </w:rPr>
        <w:t>. Cambridge University Press.</w:t>
      </w:r>
    </w:p>
    <w:p w14:paraId="65807D70">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Bourdieu</w:t>
      </w:r>
      <w:r>
        <w:rPr>
          <w:rFonts w:asciiTheme="majorBidi" w:hAnsiTheme="majorBidi" w:cstheme="majorBidi"/>
          <w:sz w:val="24"/>
          <w:szCs w:val="24"/>
        </w:rPr>
        <w:t xml:space="preserve">, P. (1991). </w:t>
      </w:r>
      <w:r>
        <w:rPr>
          <w:rFonts w:asciiTheme="majorBidi" w:hAnsiTheme="majorBidi" w:cstheme="majorBidi"/>
          <w:i/>
          <w:iCs/>
          <w:sz w:val="24"/>
          <w:szCs w:val="24"/>
        </w:rPr>
        <w:t>Language and symbolic power</w:t>
      </w:r>
      <w:r>
        <w:rPr>
          <w:rFonts w:asciiTheme="majorBidi" w:hAnsiTheme="majorBidi" w:cstheme="majorBidi"/>
          <w:sz w:val="24"/>
          <w:szCs w:val="24"/>
        </w:rPr>
        <w:t>. Harvard University Press.</w:t>
      </w:r>
    </w:p>
    <w:p w14:paraId="2D441E65">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Cummins</w:t>
      </w:r>
      <w:r>
        <w:rPr>
          <w:rFonts w:asciiTheme="majorBidi" w:hAnsiTheme="majorBidi" w:cstheme="majorBidi"/>
          <w:sz w:val="24"/>
          <w:szCs w:val="24"/>
        </w:rPr>
        <w:t xml:space="preserve">, J. (1981). The role of primary language development in promoting educational success for language minority students. In </w:t>
      </w:r>
      <w:r>
        <w:rPr>
          <w:rFonts w:asciiTheme="majorBidi" w:hAnsiTheme="majorBidi" w:cstheme="majorBidi"/>
          <w:i/>
          <w:iCs/>
          <w:sz w:val="24"/>
          <w:szCs w:val="24"/>
        </w:rPr>
        <w:t>Schooling and language minority students: A theoretical framework</w:t>
      </w:r>
      <w:r>
        <w:rPr>
          <w:rFonts w:asciiTheme="majorBidi" w:hAnsiTheme="majorBidi" w:cstheme="majorBidi"/>
          <w:sz w:val="24"/>
          <w:szCs w:val="24"/>
        </w:rPr>
        <w:t xml:space="preserve"> (pp. 3–49). California State Department of Education.</w:t>
      </w:r>
    </w:p>
    <w:p w14:paraId="294EDF9C">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Edwards</w:t>
      </w:r>
      <w:r>
        <w:rPr>
          <w:rFonts w:asciiTheme="majorBidi" w:hAnsiTheme="majorBidi" w:cstheme="majorBidi"/>
          <w:sz w:val="24"/>
          <w:szCs w:val="24"/>
        </w:rPr>
        <w:t xml:space="preserve">, J. (2010). </w:t>
      </w:r>
      <w:r>
        <w:rPr>
          <w:rFonts w:asciiTheme="majorBidi" w:hAnsiTheme="majorBidi" w:cstheme="majorBidi"/>
          <w:i/>
          <w:iCs/>
          <w:sz w:val="24"/>
          <w:szCs w:val="24"/>
        </w:rPr>
        <w:t>Minority languages and group identity: Cases and categories</w:t>
      </w:r>
      <w:r>
        <w:rPr>
          <w:rFonts w:asciiTheme="majorBidi" w:hAnsiTheme="majorBidi" w:cstheme="majorBidi"/>
          <w:sz w:val="24"/>
          <w:szCs w:val="24"/>
        </w:rPr>
        <w:t>. John Benjamins Publishing Company.</w:t>
      </w:r>
    </w:p>
    <w:p w14:paraId="51E5321F">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Fasold</w:t>
      </w:r>
      <w:r>
        <w:rPr>
          <w:rFonts w:asciiTheme="majorBidi" w:hAnsiTheme="majorBidi" w:cstheme="majorBidi"/>
          <w:sz w:val="24"/>
          <w:szCs w:val="24"/>
        </w:rPr>
        <w:t xml:space="preserve">, R. (1984). </w:t>
      </w:r>
      <w:r>
        <w:rPr>
          <w:rFonts w:asciiTheme="majorBidi" w:hAnsiTheme="majorBidi" w:cstheme="majorBidi"/>
          <w:i/>
          <w:iCs/>
          <w:sz w:val="24"/>
          <w:szCs w:val="24"/>
        </w:rPr>
        <w:t>The sociolinguistics of society</w:t>
      </w:r>
      <w:r>
        <w:rPr>
          <w:rFonts w:asciiTheme="majorBidi" w:hAnsiTheme="majorBidi" w:cstheme="majorBidi"/>
          <w:sz w:val="24"/>
          <w:szCs w:val="24"/>
        </w:rPr>
        <w:t>. Basil Blackwell Inc.</w:t>
      </w:r>
    </w:p>
    <w:p w14:paraId="60C0AFEB">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Fishman</w:t>
      </w:r>
      <w:r>
        <w:rPr>
          <w:rFonts w:asciiTheme="majorBidi" w:hAnsiTheme="majorBidi" w:cstheme="majorBidi"/>
          <w:sz w:val="24"/>
          <w:szCs w:val="24"/>
        </w:rPr>
        <w:t xml:space="preserve">, J. A. (1967). Bilingualism with and without diglossia; diglossia with and without bilingualism. </w:t>
      </w:r>
      <w:r>
        <w:rPr>
          <w:rFonts w:asciiTheme="majorBidi" w:hAnsiTheme="majorBidi" w:cstheme="majorBidi"/>
          <w:i/>
          <w:iCs/>
          <w:sz w:val="24"/>
          <w:szCs w:val="24"/>
        </w:rPr>
        <w:t>Journal of Social Issues</w:t>
      </w:r>
      <w:r>
        <w:rPr>
          <w:rFonts w:asciiTheme="majorBidi" w:hAnsiTheme="majorBidi" w:cstheme="majorBidi"/>
          <w:sz w:val="24"/>
          <w:szCs w:val="24"/>
        </w:rPr>
        <w:t xml:space="preserve">, </w:t>
      </w:r>
      <w:r>
        <w:rPr>
          <w:rFonts w:asciiTheme="majorBidi" w:hAnsiTheme="majorBidi" w:cstheme="majorBidi"/>
          <w:i/>
          <w:iCs/>
          <w:sz w:val="24"/>
          <w:szCs w:val="24"/>
        </w:rPr>
        <w:t>23</w:t>
      </w:r>
      <w:r>
        <w:rPr>
          <w:rFonts w:asciiTheme="majorBidi" w:hAnsiTheme="majorBidi" w:cstheme="majorBidi"/>
          <w:sz w:val="24"/>
          <w:szCs w:val="24"/>
        </w:rPr>
        <w:t xml:space="preserve">(2), 29–38. </w:t>
      </w:r>
      <w:r>
        <w:fldChar w:fldCharType="begin"/>
      </w:r>
      <w:r>
        <w:instrText xml:space="preserve"> HYPERLINK "https://doi.org/10.1111/j.1540-4560.1967.tb00573.x" </w:instrText>
      </w:r>
      <w:r>
        <w:fldChar w:fldCharType="separate"/>
      </w:r>
      <w:r>
        <w:rPr>
          <w:rStyle w:val="17"/>
          <w:rFonts w:asciiTheme="majorBidi" w:hAnsiTheme="majorBidi" w:cstheme="majorBidi"/>
          <w:sz w:val="24"/>
          <w:szCs w:val="24"/>
        </w:rPr>
        <w:t>https://doi.org/10.1111/j.1540-4560.1967.tb00573.x</w:t>
      </w:r>
      <w:r>
        <w:rPr>
          <w:rStyle w:val="17"/>
          <w:rFonts w:asciiTheme="majorBidi" w:hAnsiTheme="majorBidi" w:cstheme="majorBidi"/>
          <w:sz w:val="24"/>
          <w:szCs w:val="24"/>
        </w:rPr>
        <w:fldChar w:fldCharType="end"/>
      </w:r>
      <w:r>
        <w:rPr>
          <w:rFonts w:asciiTheme="majorBidi" w:hAnsiTheme="majorBidi" w:cstheme="majorBidi"/>
          <w:sz w:val="24"/>
          <w:szCs w:val="24"/>
        </w:rPr>
        <w:t xml:space="preserve"> </w:t>
      </w:r>
    </w:p>
    <w:p w14:paraId="5B29B059">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Fishman</w:t>
      </w:r>
      <w:r>
        <w:rPr>
          <w:rFonts w:asciiTheme="majorBidi" w:hAnsiTheme="majorBidi" w:cstheme="majorBidi"/>
          <w:sz w:val="24"/>
          <w:szCs w:val="24"/>
        </w:rPr>
        <w:t xml:space="preserve">, J. A. (1972). The relationship between micro- and macro-sociolinguistics in the study of who speaks what language to whom and when. In J. B. Pride &amp; J. Holmes (Eds.), </w:t>
      </w:r>
      <w:r>
        <w:rPr>
          <w:rFonts w:asciiTheme="majorBidi" w:hAnsiTheme="majorBidi" w:cstheme="majorBidi"/>
          <w:i/>
          <w:iCs/>
          <w:sz w:val="24"/>
          <w:szCs w:val="24"/>
        </w:rPr>
        <w:t>Sociolinguistics: Selected readings</w:t>
      </w:r>
      <w:r>
        <w:rPr>
          <w:rFonts w:asciiTheme="majorBidi" w:hAnsiTheme="majorBidi" w:cstheme="majorBidi"/>
          <w:sz w:val="24"/>
          <w:szCs w:val="24"/>
        </w:rPr>
        <w:t xml:space="preserve"> (pp. 15–32). Penguin.</w:t>
      </w:r>
    </w:p>
    <w:p w14:paraId="695F2856">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Fishman</w:t>
      </w:r>
      <w:r>
        <w:rPr>
          <w:rFonts w:asciiTheme="majorBidi" w:hAnsiTheme="majorBidi" w:cstheme="majorBidi"/>
          <w:sz w:val="24"/>
          <w:szCs w:val="24"/>
        </w:rPr>
        <w:t xml:space="preserve">, J. A. (1991). </w:t>
      </w:r>
      <w:r>
        <w:rPr>
          <w:rFonts w:asciiTheme="majorBidi" w:hAnsiTheme="majorBidi" w:cstheme="majorBidi"/>
          <w:i/>
          <w:iCs/>
          <w:sz w:val="24"/>
          <w:szCs w:val="24"/>
        </w:rPr>
        <w:t>Reversing language shift: Theory and practice of assistance to threatened languages</w:t>
      </w:r>
      <w:r>
        <w:rPr>
          <w:rFonts w:asciiTheme="majorBidi" w:hAnsiTheme="majorBidi" w:cstheme="majorBidi"/>
          <w:sz w:val="24"/>
          <w:szCs w:val="24"/>
        </w:rPr>
        <w:t>. Multilingual Matters.</w:t>
      </w:r>
    </w:p>
    <w:p w14:paraId="31ED6291">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García</w:t>
      </w:r>
      <w:r>
        <w:rPr>
          <w:rFonts w:asciiTheme="majorBidi" w:hAnsiTheme="majorBidi" w:cstheme="majorBidi"/>
          <w:sz w:val="24"/>
          <w:szCs w:val="24"/>
        </w:rPr>
        <w:t xml:space="preserve">, O., &amp; Wei, L. (2014). </w:t>
      </w:r>
      <w:r>
        <w:rPr>
          <w:rFonts w:asciiTheme="majorBidi" w:hAnsiTheme="majorBidi" w:cstheme="majorBidi"/>
          <w:i/>
          <w:iCs/>
          <w:sz w:val="24"/>
          <w:szCs w:val="24"/>
        </w:rPr>
        <w:t>Translanguaging: Language, bilingualism, and education</w:t>
      </w:r>
      <w:r>
        <w:rPr>
          <w:rFonts w:asciiTheme="majorBidi" w:hAnsiTheme="majorBidi" w:cstheme="majorBidi"/>
          <w:sz w:val="24"/>
          <w:szCs w:val="24"/>
        </w:rPr>
        <w:t xml:space="preserve">. Palgrave MacMillan. </w:t>
      </w:r>
      <w:r>
        <w:fldChar w:fldCharType="begin"/>
      </w:r>
      <w:r>
        <w:instrText xml:space="preserve"> HYPERLINK "https://doi.org/10.1057/9781137385765" \t "_blank" </w:instrText>
      </w:r>
      <w:r>
        <w:fldChar w:fldCharType="separate"/>
      </w:r>
      <w:r>
        <w:rPr>
          <w:rStyle w:val="17"/>
          <w:rFonts w:asciiTheme="majorBidi" w:hAnsiTheme="majorBidi" w:cstheme="majorBidi"/>
          <w:sz w:val="24"/>
          <w:szCs w:val="24"/>
        </w:rPr>
        <w:t>https://doi.org/10.1057/9781137385765</w:t>
      </w:r>
      <w:r>
        <w:rPr>
          <w:rStyle w:val="17"/>
          <w:rFonts w:asciiTheme="majorBidi" w:hAnsiTheme="majorBidi" w:cstheme="majorBidi"/>
          <w:sz w:val="24"/>
          <w:szCs w:val="24"/>
        </w:rPr>
        <w:fldChar w:fldCharType="end"/>
      </w:r>
    </w:p>
    <w:p w14:paraId="7AEB10D7">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General</w:t>
      </w:r>
      <w:r>
        <w:rPr>
          <w:rFonts w:asciiTheme="majorBidi" w:hAnsiTheme="majorBidi" w:cstheme="majorBidi"/>
          <w:sz w:val="24"/>
          <w:szCs w:val="24"/>
        </w:rPr>
        <w:t xml:space="preserve"> Statistics Office. (2019). </w:t>
      </w:r>
      <w:r>
        <w:rPr>
          <w:rFonts w:asciiTheme="majorBidi" w:hAnsiTheme="majorBidi" w:cstheme="majorBidi"/>
          <w:i/>
          <w:iCs/>
          <w:sz w:val="24"/>
          <w:szCs w:val="24"/>
        </w:rPr>
        <w:t>Completed results of the 2019 Viet Nam population and housing census</w:t>
      </w:r>
      <w:r>
        <w:rPr>
          <w:rFonts w:asciiTheme="majorBidi" w:hAnsiTheme="majorBidi" w:cstheme="majorBidi"/>
          <w:sz w:val="24"/>
          <w:szCs w:val="24"/>
        </w:rPr>
        <w:t xml:space="preserve">. Statistical Publishing House. </w:t>
      </w:r>
      <w:r>
        <w:fldChar w:fldCharType="begin"/>
      </w:r>
      <w:r>
        <w:instrText xml:space="preserve"> HYPERLINK "https://www.gso.gov.vn/wp-content/uploads/2019/12/Ket-qua-toan-bo-Tong-dieu-tra-dan-so-va-nha-o-2019.pdf" \t "_blank" </w:instrText>
      </w:r>
      <w:r>
        <w:fldChar w:fldCharType="separate"/>
      </w:r>
      <w:r>
        <w:rPr>
          <w:rStyle w:val="17"/>
          <w:rFonts w:asciiTheme="majorBidi" w:hAnsiTheme="majorBidi" w:cstheme="majorBidi"/>
          <w:sz w:val="24"/>
          <w:szCs w:val="24"/>
        </w:rPr>
        <w:t>https://www.gso.gov.vn/wp-content/uploads/2019/12/Ket-qua-toan-bo-Tong-dieu-tra-dan-so-va-nha-o-2019.pdf</w:t>
      </w:r>
      <w:r>
        <w:rPr>
          <w:rStyle w:val="17"/>
          <w:rFonts w:asciiTheme="majorBidi" w:hAnsiTheme="majorBidi" w:cstheme="majorBidi"/>
          <w:sz w:val="24"/>
          <w:szCs w:val="24"/>
        </w:rPr>
        <w:fldChar w:fldCharType="end"/>
      </w:r>
    </w:p>
    <w:p w14:paraId="26F202D7">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Gumperz</w:t>
      </w:r>
      <w:r>
        <w:rPr>
          <w:rFonts w:asciiTheme="majorBidi" w:hAnsiTheme="majorBidi" w:cstheme="majorBidi"/>
          <w:sz w:val="24"/>
          <w:szCs w:val="24"/>
        </w:rPr>
        <w:t xml:space="preserve">, J. J. (1982). </w:t>
      </w:r>
      <w:r>
        <w:rPr>
          <w:rFonts w:asciiTheme="majorBidi" w:hAnsiTheme="majorBidi" w:cstheme="majorBidi"/>
          <w:i/>
          <w:iCs/>
          <w:sz w:val="24"/>
          <w:szCs w:val="24"/>
        </w:rPr>
        <w:t>Discourse strategies</w:t>
      </w:r>
      <w:r>
        <w:rPr>
          <w:rFonts w:asciiTheme="majorBidi" w:hAnsiTheme="majorBidi" w:cstheme="majorBidi"/>
          <w:sz w:val="24"/>
          <w:szCs w:val="24"/>
        </w:rPr>
        <w:t>. Cambridge University Press.</w:t>
      </w:r>
    </w:p>
    <w:p w14:paraId="65E1F39F">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Giles</w:t>
      </w:r>
      <w:r>
        <w:rPr>
          <w:rFonts w:asciiTheme="majorBidi" w:hAnsiTheme="majorBidi" w:cstheme="majorBidi"/>
          <w:sz w:val="24"/>
          <w:szCs w:val="24"/>
        </w:rPr>
        <w:t xml:space="preserve">, H., &amp; Johnson, P. (1987). Ethnolinguistic identity theory: A social psychological approach to language maintenance. </w:t>
      </w:r>
      <w:r>
        <w:rPr>
          <w:rFonts w:asciiTheme="majorBidi" w:hAnsiTheme="majorBidi" w:cstheme="majorBidi"/>
          <w:i/>
          <w:iCs/>
          <w:sz w:val="24"/>
          <w:szCs w:val="24"/>
        </w:rPr>
        <w:t>International Journal of the Sociology of Language</w:t>
      </w:r>
      <w:r>
        <w:rPr>
          <w:rFonts w:asciiTheme="majorBidi" w:hAnsiTheme="majorBidi" w:cstheme="majorBidi"/>
          <w:sz w:val="24"/>
          <w:szCs w:val="24"/>
        </w:rPr>
        <w:t xml:space="preserve">, </w:t>
      </w:r>
      <w:r>
        <w:rPr>
          <w:rFonts w:asciiTheme="majorBidi" w:hAnsiTheme="majorBidi" w:cstheme="majorBidi"/>
          <w:i/>
          <w:iCs/>
          <w:sz w:val="24"/>
          <w:szCs w:val="24"/>
        </w:rPr>
        <w:t>1987</w:t>
      </w:r>
      <w:r>
        <w:rPr>
          <w:rFonts w:asciiTheme="majorBidi" w:hAnsiTheme="majorBidi" w:cstheme="majorBidi"/>
          <w:sz w:val="24"/>
          <w:szCs w:val="24"/>
        </w:rPr>
        <w:t xml:space="preserve">(68), 69-100. </w:t>
      </w:r>
      <w:r>
        <w:fldChar w:fldCharType="begin"/>
      </w:r>
      <w:r>
        <w:instrText xml:space="preserve"> HYPERLINK "https://doi.org/10.1515/ijsl.1987.68.69" </w:instrText>
      </w:r>
      <w:r>
        <w:fldChar w:fldCharType="separate"/>
      </w:r>
      <w:r>
        <w:rPr>
          <w:rStyle w:val="17"/>
          <w:rFonts w:asciiTheme="majorBidi" w:hAnsiTheme="majorBidi" w:cstheme="majorBidi"/>
          <w:sz w:val="24"/>
          <w:szCs w:val="24"/>
        </w:rPr>
        <w:t>https://doi.org/10.1515/ijsl.1987.68.69</w:t>
      </w:r>
      <w:r>
        <w:rPr>
          <w:rStyle w:val="17"/>
          <w:rFonts w:asciiTheme="majorBidi" w:hAnsiTheme="majorBidi" w:cstheme="majorBidi"/>
          <w:sz w:val="24"/>
          <w:szCs w:val="24"/>
        </w:rPr>
        <w:fldChar w:fldCharType="end"/>
      </w:r>
      <w:r>
        <w:rPr>
          <w:rFonts w:asciiTheme="majorBidi" w:hAnsiTheme="majorBidi" w:cstheme="majorBidi"/>
          <w:sz w:val="24"/>
          <w:szCs w:val="24"/>
        </w:rPr>
        <w:t xml:space="preserve"> </w:t>
      </w:r>
    </w:p>
    <w:p w14:paraId="284C1220">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rPr>
        <w:t xml:space="preserve">Giles, H., Bourhis, R. Y., &amp; Taylor, D. (1977). Towards a theory of language in ethnic group relations. In H. Giles (Ed.), </w:t>
      </w:r>
      <w:r>
        <w:rPr>
          <w:rFonts w:asciiTheme="majorBidi" w:hAnsiTheme="majorBidi" w:cstheme="majorBidi"/>
          <w:i/>
          <w:iCs/>
          <w:sz w:val="24"/>
          <w:szCs w:val="24"/>
        </w:rPr>
        <w:t>Language, ethnicity and intergroup relations</w:t>
      </w:r>
      <w:r>
        <w:rPr>
          <w:rFonts w:asciiTheme="majorBidi" w:hAnsiTheme="majorBidi" w:cstheme="majorBidi"/>
          <w:sz w:val="24"/>
          <w:szCs w:val="24"/>
        </w:rPr>
        <w:t xml:space="preserve"> (pp. 307–348). Academic Press.</w:t>
      </w:r>
    </w:p>
    <w:p w14:paraId="096016AB">
      <w:pPr>
        <w:shd w:val="clear" w:color="auto" w:fill="FFFFFF"/>
        <w:spacing w:after="0"/>
        <w:ind w:left="709" w:hanging="713"/>
        <w:jc w:val="both"/>
        <w:rPr>
          <w:rFonts w:eastAsia="sans-serif" w:asciiTheme="majorBidi" w:hAnsiTheme="majorBidi" w:cstheme="majorBidi"/>
          <w:sz w:val="24"/>
          <w:szCs w:val="24"/>
          <w:shd w:val="clear" w:color="auto" w:fill="FFFFFF"/>
        </w:rPr>
      </w:pPr>
      <w:r>
        <w:rPr>
          <w:rFonts w:asciiTheme="majorBidi" w:hAnsiTheme="majorBidi" w:cstheme="majorBidi"/>
          <w:sz w:val="24"/>
          <w:szCs w:val="24"/>
          <w:lang w:val="vi-VN"/>
        </w:rPr>
        <w:t>Hair</w:t>
      </w:r>
      <w:r>
        <w:rPr>
          <w:rFonts w:eastAsia="sans-serif" w:asciiTheme="majorBidi" w:hAnsiTheme="majorBidi" w:cstheme="majorBidi"/>
          <w:sz w:val="24"/>
          <w:szCs w:val="24"/>
          <w:shd w:val="clear" w:color="auto" w:fill="FFFFFF"/>
        </w:rPr>
        <w:t xml:space="preserve"> Jr, J. F., Anderson, R.E., Tatham, R.L. &amp; Black, W.C. (1998) </w:t>
      </w:r>
      <w:r>
        <w:rPr>
          <w:rFonts w:eastAsia="sans-serif" w:asciiTheme="majorBidi" w:hAnsiTheme="majorBidi" w:cstheme="majorBidi"/>
          <w:i/>
          <w:iCs/>
          <w:sz w:val="24"/>
          <w:szCs w:val="24"/>
          <w:shd w:val="clear" w:color="auto" w:fill="FFFFFF"/>
        </w:rPr>
        <w:t>Multivariate data analysis</w:t>
      </w:r>
      <w:r>
        <w:rPr>
          <w:rFonts w:eastAsia="sans-serif" w:asciiTheme="majorBidi" w:hAnsiTheme="majorBidi" w:cstheme="majorBidi"/>
          <w:sz w:val="24"/>
          <w:szCs w:val="24"/>
          <w:shd w:val="clear" w:color="auto" w:fill="FFFFFF"/>
        </w:rPr>
        <w:t>. Hoboken, NJ: Wiley.</w:t>
      </w:r>
    </w:p>
    <w:p w14:paraId="465244B6">
      <w:pPr>
        <w:shd w:val="clear" w:color="auto" w:fill="FFFFFF"/>
        <w:spacing w:after="0"/>
        <w:ind w:left="709" w:hanging="713"/>
        <w:jc w:val="both"/>
        <w:rPr>
          <w:rFonts w:ascii="Times New Roman" w:hAnsi="Times New Roman" w:eastAsia="SimSun" w:cs="Times New Roman"/>
          <w:color w:val="EE0000"/>
          <w:sz w:val="24"/>
          <w:szCs w:val="24"/>
        </w:rPr>
      </w:pPr>
      <w:r>
        <w:rPr>
          <w:rFonts w:ascii="Times New Roman" w:hAnsi="Times New Roman" w:eastAsia="SimSun" w:cs="Times New Roman"/>
          <w:color w:val="000000" w:themeColor="text1"/>
          <w:sz w:val="24"/>
          <w:szCs w:val="24"/>
          <w14:textFill>
            <w14:solidFill>
              <w14:schemeClr w14:val="tx1"/>
            </w14:solidFill>
          </w14:textFill>
        </w:rPr>
        <w:t xml:space="preserve">Phu, V. H. (2019). The Cham people in the Southern region in present cultural development. </w:t>
      </w:r>
      <w:r>
        <w:rPr>
          <w:rFonts w:ascii="Times New Roman" w:hAnsi="Times New Roman" w:eastAsia="SimSun" w:cs="Times New Roman"/>
          <w:i/>
          <w:iCs/>
          <w:color w:val="000000" w:themeColor="text1"/>
          <w:sz w:val="24"/>
          <w:szCs w:val="24"/>
          <w14:textFill>
            <w14:solidFill>
              <w14:schemeClr w14:val="tx1"/>
            </w14:solidFill>
          </w14:textFill>
        </w:rPr>
        <w:t>Văn hóa truyền thống và Phát triển</w:t>
      </w:r>
      <w:r>
        <w:rPr>
          <w:rFonts w:ascii="Times New Roman" w:hAnsi="Times New Roman" w:eastAsia="SimSun" w:cs="Times New Roman"/>
          <w:color w:val="000000" w:themeColor="text1"/>
          <w:sz w:val="24"/>
          <w:szCs w:val="24"/>
          <w14:textFill>
            <w14:solidFill>
              <w14:schemeClr w14:val="tx1"/>
            </w14:solidFill>
          </w14:textFill>
        </w:rPr>
        <w:t xml:space="preserve"> [Journal of Traditional Culture and Development], </w:t>
      </w:r>
      <w:r>
        <w:rPr>
          <w:rFonts w:ascii="Times New Roman" w:hAnsi="Times New Roman" w:eastAsia="SimSun" w:cs="Times New Roman"/>
          <w:i/>
          <w:iCs/>
          <w:color w:val="000000" w:themeColor="text1"/>
          <w:sz w:val="24"/>
          <w:szCs w:val="24"/>
          <w14:textFill>
            <w14:solidFill>
              <w14:schemeClr w14:val="tx1"/>
            </w14:solidFill>
          </w14:textFill>
        </w:rPr>
        <w:t>8</w:t>
      </w:r>
      <w:r>
        <w:rPr>
          <w:rFonts w:ascii="Times New Roman" w:hAnsi="Times New Roman" w:eastAsia="SimSun" w:cs="Times New Roman"/>
          <w:color w:val="000000" w:themeColor="text1"/>
          <w:sz w:val="24"/>
          <w:szCs w:val="24"/>
          <w14:textFill>
            <w14:solidFill>
              <w14:schemeClr w14:val="tx1"/>
            </w14:solidFill>
          </w14:textFill>
        </w:rPr>
        <w:t xml:space="preserve">(4). Retrived from </w:t>
      </w:r>
      <w:r>
        <w:fldChar w:fldCharType="begin"/>
      </w:r>
      <w:r>
        <w:instrText xml:space="preserve"> HYPERLINK "https://vjol.info.vn/index.php/ncdt/article/view/45677" </w:instrText>
      </w:r>
      <w:r>
        <w:fldChar w:fldCharType="separate"/>
      </w:r>
      <w:r>
        <w:rPr>
          <w:rStyle w:val="17"/>
          <w:rFonts w:ascii="Times New Roman" w:hAnsi="Times New Roman" w:eastAsia="SimSun" w:cs="Times New Roman"/>
          <w:sz w:val="24"/>
          <w:szCs w:val="24"/>
        </w:rPr>
        <w:t>https://vjol.info.vn/index.php/ncdt/article/view/45677</w:t>
      </w:r>
      <w:r>
        <w:rPr>
          <w:rStyle w:val="17"/>
          <w:rFonts w:ascii="Times New Roman" w:hAnsi="Times New Roman" w:eastAsia="SimSun" w:cs="Times New Roman"/>
          <w:sz w:val="24"/>
          <w:szCs w:val="24"/>
        </w:rPr>
        <w:fldChar w:fldCharType="end"/>
      </w:r>
    </w:p>
    <w:p w14:paraId="5D22C27F">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Hoang</w:t>
      </w:r>
      <w:r>
        <w:rPr>
          <w:rFonts w:asciiTheme="majorBidi" w:hAnsiTheme="majorBidi" w:cstheme="majorBidi"/>
          <w:sz w:val="24"/>
          <w:szCs w:val="24"/>
        </w:rPr>
        <w:t xml:space="preserve">, Q., &amp; Nguyen, V. K. (2025). Multilingual communication characteristics of ethnic minorities in An Giang province, Mekong Delta Vietnam. </w:t>
      </w:r>
      <w:r>
        <w:rPr>
          <w:rFonts w:asciiTheme="majorBidi" w:hAnsiTheme="majorBidi" w:cstheme="majorBidi"/>
          <w:i/>
          <w:iCs/>
          <w:sz w:val="24"/>
          <w:szCs w:val="24"/>
        </w:rPr>
        <w:t>Ampersand, 14</w:t>
      </w:r>
      <w:r>
        <w:rPr>
          <w:rFonts w:asciiTheme="majorBidi" w:hAnsiTheme="majorBidi" w:cstheme="majorBidi"/>
          <w:sz w:val="24"/>
          <w:szCs w:val="24"/>
        </w:rPr>
        <w:t xml:space="preserve">, 100220. </w:t>
      </w:r>
      <w:r>
        <w:fldChar w:fldCharType="begin"/>
      </w:r>
      <w:r>
        <w:instrText xml:space="preserve"> HYPERLINK "https://doi.org/10.1016/j.amper.2025.100220" </w:instrText>
      </w:r>
      <w:r>
        <w:fldChar w:fldCharType="separate"/>
      </w:r>
      <w:r>
        <w:rPr>
          <w:rStyle w:val="17"/>
          <w:rFonts w:asciiTheme="majorBidi" w:hAnsiTheme="majorBidi" w:cstheme="majorBidi"/>
          <w:sz w:val="24"/>
          <w:szCs w:val="24"/>
        </w:rPr>
        <w:t>https://doi.org/10.1016/j.amper.2025.100220</w:t>
      </w:r>
      <w:r>
        <w:rPr>
          <w:rStyle w:val="17"/>
          <w:rFonts w:asciiTheme="majorBidi" w:hAnsiTheme="majorBidi" w:cstheme="majorBidi"/>
          <w:sz w:val="24"/>
          <w:szCs w:val="24"/>
        </w:rPr>
        <w:fldChar w:fldCharType="end"/>
      </w:r>
    </w:p>
    <w:p w14:paraId="198C6DD0">
      <w:pPr>
        <w:shd w:val="clear" w:color="auto" w:fill="FFFFFF"/>
        <w:spacing w:after="0" w:line="240" w:lineRule="auto"/>
        <w:ind w:left="566" w:hanging="570"/>
        <w:jc w:val="both"/>
        <w:rPr>
          <w:rFonts w:ascii="Times New Roman" w:hAnsi="Times New Roman" w:eastAsia="SimSun" w:cs="Times New Roman"/>
          <w:color w:val="000000" w:themeColor="text1"/>
          <w:sz w:val="24"/>
          <w:szCs w:val="24"/>
          <w14:textFill>
            <w14:solidFill>
              <w14:schemeClr w14:val="tx1"/>
            </w14:solidFill>
          </w14:textFill>
        </w:rPr>
      </w:pPr>
      <w:r>
        <w:rPr>
          <w:rFonts w:ascii="Times New Roman" w:hAnsi="Times New Roman" w:eastAsia="SimSun" w:cs="Times New Roman"/>
          <w:color w:val="000000" w:themeColor="text1"/>
          <w:sz w:val="24"/>
          <w:szCs w:val="24"/>
          <w14:textFill>
            <w14:solidFill>
              <w14:schemeClr w14:val="tx1"/>
            </w14:solidFill>
          </w14:textFill>
        </w:rPr>
        <w:t xml:space="preserve">Holmes, J. (2001). </w:t>
      </w:r>
      <w:r>
        <w:rPr>
          <w:rFonts w:ascii="Times New Roman" w:hAnsi="Times New Roman" w:eastAsia="SimSun" w:cs="Times New Roman"/>
          <w:i/>
          <w:iCs/>
          <w:color w:val="000000" w:themeColor="text1"/>
          <w:sz w:val="24"/>
          <w:szCs w:val="24"/>
          <w14:textFill>
            <w14:solidFill>
              <w14:schemeClr w14:val="tx1"/>
            </w14:solidFill>
          </w14:textFill>
        </w:rPr>
        <w:t>An introduction to sociolinguistics</w:t>
      </w:r>
      <w:r>
        <w:rPr>
          <w:rFonts w:ascii="Times New Roman" w:hAnsi="Times New Roman" w:eastAsia="SimSun" w:cs="Times New Roman"/>
          <w:color w:val="000000" w:themeColor="text1"/>
          <w:sz w:val="24"/>
          <w:szCs w:val="24"/>
          <w14:textFill>
            <w14:solidFill>
              <w14:schemeClr w14:val="tx1"/>
            </w14:solidFill>
          </w14:textFill>
        </w:rPr>
        <w:t xml:space="preserve"> (2nd ed.). Pearson Education.</w:t>
      </w:r>
    </w:p>
    <w:p w14:paraId="3B5D78B7">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Holmes</w:t>
      </w:r>
      <w:r>
        <w:rPr>
          <w:rFonts w:asciiTheme="majorBidi" w:hAnsiTheme="majorBidi" w:cstheme="majorBidi"/>
          <w:sz w:val="24"/>
          <w:szCs w:val="24"/>
        </w:rPr>
        <w:t xml:space="preserve">, J., &amp; Wilson, N. (2022). </w:t>
      </w:r>
      <w:r>
        <w:rPr>
          <w:rFonts w:asciiTheme="majorBidi" w:hAnsiTheme="majorBidi" w:cstheme="majorBidi"/>
          <w:i/>
          <w:iCs/>
          <w:sz w:val="24"/>
          <w:szCs w:val="24"/>
        </w:rPr>
        <w:t>An introduction to sociolinguistics</w:t>
      </w:r>
      <w:r>
        <w:rPr>
          <w:rFonts w:asciiTheme="majorBidi" w:hAnsiTheme="majorBidi" w:cstheme="majorBidi"/>
          <w:sz w:val="24"/>
          <w:szCs w:val="24"/>
        </w:rPr>
        <w:t>. Routledge.</w:t>
      </w:r>
    </w:p>
    <w:p w14:paraId="15C6E7BF">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Hornberger</w:t>
      </w:r>
      <w:r>
        <w:rPr>
          <w:rFonts w:asciiTheme="majorBidi" w:hAnsiTheme="majorBidi" w:cstheme="majorBidi"/>
          <w:sz w:val="24"/>
          <w:szCs w:val="24"/>
        </w:rPr>
        <w:t xml:space="preserve">, N. H. (2009). Multilingual education policy and practice: Ten certainties (grounded in Indigenous experience). </w:t>
      </w:r>
      <w:r>
        <w:rPr>
          <w:rFonts w:asciiTheme="majorBidi" w:hAnsiTheme="majorBidi" w:cstheme="majorBidi"/>
          <w:i/>
          <w:iCs/>
          <w:sz w:val="24"/>
          <w:szCs w:val="24"/>
        </w:rPr>
        <w:t>Language Teaching</w:t>
      </w:r>
      <w:r>
        <w:rPr>
          <w:rFonts w:asciiTheme="majorBidi" w:hAnsiTheme="majorBidi" w:cstheme="majorBidi"/>
          <w:sz w:val="24"/>
          <w:szCs w:val="24"/>
        </w:rPr>
        <w:t xml:space="preserve">, </w:t>
      </w:r>
      <w:r>
        <w:rPr>
          <w:rFonts w:asciiTheme="majorBidi" w:hAnsiTheme="majorBidi" w:cstheme="majorBidi"/>
          <w:i/>
          <w:iCs/>
          <w:sz w:val="24"/>
          <w:szCs w:val="24"/>
        </w:rPr>
        <w:t>42</w:t>
      </w:r>
      <w:r>
        <w:rPr>
          <w:rFonts w:asciiTheme="majorBidi" w:hAnsiTheme="majorBidi" w:cstheme="majorBidi"/>
          <w:sz w:val="24"/>
          <w:szCs w:val="24"/>
        </w:rPr>
        <w:t xml:space="preserve">(2), 197-211. </w:t>
      </w:r>
      <w:r>
        <w:fldChar w:fldCharType="begin"/>
      </w:r>
      <w:r>
        <w:instrText xml:space="preserve"> HYPERLINK "https://doi.org/10.1017/S0261444808005491" </w:instrText>
      </w:r>
      <w:r>
        <w:fldChar w:fldCharType="separate"/>
      </w:r>
      <w:r>
        <w:rPr>
          <w:rStyle w:val="17"/>
          <w:rFonts w:asciiTheme="majorBidi" w:hAnsiTheme="majorBidi" w:cstheme="majorBidi"/>
          <w:sz w:val="24"/>
          <w:szCs w:val="24"/>
        </w:rPr>
        <w:t>https://doi.org/10.1017/S0261444808005491</w:t>
      </w:r>
      <w:r>
        <w:rPr>
          <w:rStyle w:val="17"/>
          <w:rFonts w:asciiTheme="majorBidi" w:hAnsiTheme="majorBidi" w:cstheme="majorBidi"/>
          <w:sz w:val="24"/>
          <w:szCs w:val="24"/>
        </w:rPr>
        <w:fldChar w:fldCharType="end"/>
      </w:r>
      <w:r>
        <w:rPr>
          <w:rFonts w:asciiTheme="majorBidi" w:hAnsiTheme="majorBidi" w:cstheme="majorBidi"/>
          <w:sz w:val="24"/>
          <w:szCs w:val="24"/>
        </w:rPr>
        <w:t xml:space="preserve"> </w:t>
      </w:r>
    </w:p>
    <w:p w14:paraId="236FC86C">
      <w:pPr>
        <w:shd w:val="clear" w:color="auto" w:fill="FFFFFF"/>
        <w:spacing w:after="0"/>
        <w:ind w:left="709" w:hanging="713"/>
        <w:jc w:val="both"/>
        <w:rPr>
          <w:rStyle w:val="17"/>
          <w:rFonts w:asciiTheme="majorBidi" w:hAnsiTheme="majorBidi" w:cstheme="majorBidi"/>
          <w:sz w:val="24"/>
          <w:szCs w:val="24"/>
        </w:rPr>
      </w:pPr>
      <w:r>
        <w:rPr>
          <w:rFonts w:asciiTheme="majorBidi" w:hAnsiTheme="majorBidi" w:cstheme="majorBidi"/>
          <w:sz w:val="24"/>
          <w:szCs w:val="24"/>
          <w:lang w:val="vi-VN"/>
        </w:rPr>
        <w:t>Krauss</w:t>
      </w:r>
      <w:r>
        <w:rPr>
          <w:rFonts w:asciiTheme="majorBidi" w:hAnsiTheme="majorBidi" w:cstheme="majorBidi"/>
          <w:sz w:val="24"/>
          <w:szCs w:val="24"/>
        </w:rPr>
        <w:t xml:space="preserve">, M. (1992). The world’s languages in crisis. </w:t>
      </w:r>
      <w:r>
        <w:rPr>
          <w:rFonts w:asciiTheme="majorBidi" w:hAnsiTheme="majorBidi" w:cstheme="majorBidi"/>
          <w:i/>
          <w:iCs/>
          <w:sz w:val="24"/>
          <w:szCs w:val="24"/>
        </w:rPr>
        <w:t>Language</w:t>
      </w:r>
      <w:r>
        <w:rPr>
          <w:rFonts w:asciiTheme="majorBidi" w:hAnsiTheme="majorBidi" w:cstheme="majorBidi"/>
          <w:sz w:val="24"/>
          <w:szCs w:val="24"/>
        </w:rPr>
        <w:t xml:space="preserve">, </w:t>
      </w:r>
      <w:r>
        <w:rPr>
          <w:rFonts w:asciiTheme="majorBidi" w:hAnsiTheme="majorBidi" w:cstheme="majorBidi"/>
          <w:i/>
          <w:iCs/>
          <w:sz w:val="24"/>
          <w:szCs w:val="24"/>
        </w:rPr>
        <w:t>68</w:t>
      </w:r>
      <w:r>
        <w:rPr>
          <w:rFonts w:asciiTheme="majorBidi" w:hAnsiTheme="majorBidi" w:cstheme="majorBidi"/>
          <w:sz w:val="24"/>
          <w:szCs w:val="24"/>
        </w:rPr>
        <w:t xml:space="preserve">(1), 4–10. </w:t>
      </w:r>
      <w:r>
        <w:fldChar w:fldCharType="begin"/>
      </w:r>
      <w:r>
        <w:instrText xml:space="preserve"> HYPERLINK "https://doi.org/10.1353/lan.1992.0075" \t "_blank" </w:instrText>
      </w:r>
      <w:r>
        <w:fldChar w:fldCharType="separate"/>
      </w:r>
      <w:r>
        <w:rPr>
          <w:rStyle w:val="17"/>
          <w:rFonts w:asciiTheme="majorBidi" w:hAnsiTheme="majorBidi" w:cstheme="majorBidi"/>
          <w:sz w:val="24"/>
          <w:szCs w:val="24"/>
        </w:rPr>
        <w:t>https://doi.org/10.1353/lan.1992.0075</w:t>
      </w:r>
      <w:r>
        <w:rPr>
          <w:rStyle w:val="17"/>
          <w:rFonts w:asciiTheme="majorBidi" w:hAnsiTheme="majorBidi" w:cstheme="majorBidi"/>
          <w:sz w:val="24"/>
          <w:szCs w:val="24"/>
        </w:rPr>
        <w:fldChar w:fldCharType="end"/>
      </w:r>
    </w:p>
    <w:p w14:paraId="1268A29E">
      <w:pPr>
        <w:shd w:val="clear" w:color="auto" w:fill="FFFFFF"/>
        <w:spacing w:after="0"/>
        <w:ind w:left="709" w:hanging="713"/>
        <w:jc w:val="both"/>
        <w:rPr>
          <w:rStyle w:val="17"/>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lang w:val="sv-SE"/>
          <w14:textFill>
            <w14:solidFill>
              <w14:schemeClr w14:val="tx1"/>
            </w14:solidFill>
          </w14:textFill>
        </w:rPr>
        <w:t xml:space="preserve">Le, H. P., Ha, V. H., &amp; Dat, B. (2014). </w:t>
      </w:r>
      <w:r>
        <w:rPr>
          <w:rFonts w:asciiTheme="majorBidi" w:hAnsiTheme="majorBidi" w:cstheme="majorBidi"/>
          <w:color w:val="000000" w:themeColor="text1"/>
          <w:sz w:val="24"/>
          <w:szCs w:val="24"/>
          <w14:textFill>
            <w14:solidFill>
              <w14:schemeClr w14:val="tx1"/>
            </w14:solidFill>
          </w14:textFill>
        </w:rPr>
        <w:t xml:space="preserve">Language policies in modern-day Vietnam: Changes, challenges and complexities. In P. Sercombe &amp; R. Tupas (Eds.), </w:t>
      </w:r>
      <w:r>
        <w:rPr>
          <w:rStyle w:val="12"/>
          <w:rFonts w:asciiTheme="majorBidi" w:hAnsiTheme="majorBidi" w:eastAsiaTheme="majorEastAsia" w:cstheme="majorBidi"/>
          <w:color w:val="000000" w:themeColor="text1"/>
          <w:sz w:val="24"/>
          <w:szCs w:val="24"/>
          <w14:textFill>
            <w14:solidFill>
              <w14:schemeClr w14:val="tx1"/>
            </w14:solidFill>
          </w14:textFill>
        </w:rPr>
        <w:t>Language, education and nation-building</w:t>
      </w:r>
      <w:r>
        <w:rPr>
          <w:rFonts w:asciiTheme="majorBidi" w:hAnsiTheme="majorBidi" w:cstheme="majorBidi"/>
          <w:color w:val="000000" w:themeColor="text1"/>
          <w:sz w:val="24"/>
          <w:szCs w:val="24"/>
          <w14:textFill>
            <w14:solidFill>
              <w14:schemeClr w14:val="tx1"/>
            </w14:solidFill>
          </w14:textFill>
        </w:rPr>
        <w:t xml:space="preserve"> (pp. 232–244). Palgrave Macmillan. </w:t>
      </w:r>
      <w:r>
        <w:fldChar w:fldCharType="begin"/>
      </w:r>
      <w:r>
        <w:instrText xml:space="preserve"> HYPERLINK "https://doi.org/10.1057/9781137455536_12" \t "_blank" </w:instrText>
      </w:r>
      <w:r>
        <w:fldChar w:fldCharType="separate"/>
      </w:r>
      <w:r>
        <w:rPr>
          <w:rStyle w:val="17"/>
          <w:rFonts w:asciiTheme="majorBidi" w:hAnsiTheme="majorBidi" w:cstheme="majorBidi"/>
          <w:sz w:val="24"/>
          <w:szCs w:val="24"/>
        </w:rPr>
        <w:t>https://doi.org/10.1057/9781137455536_12</w:t>
      </w:r>
      <w:r>
        <w:rPr>
          <w:rStyle w:val="17"/>
          <w:rFonts w:asciiTheme="majorBidi" w:hAnsiTheme="majorBidi" w:cstheme="majorBidi"/>
          <w:sz w:val="24"/>
          <w:szCs w:val="24"/>
        </w:rPr>
        <w:fldChar w:fldCharType="end"/>
      </w:r>
    </w:p>
    <w:p w14:paraId="53333089">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Mackey</w:t>
      </w:r>
      <w:r>
        <w:rPr>
          <w:rFonts w:asciiTheme="majorBidi" w:hAnsiTheme="majorBidi" w:cstheme="majorBidi"/>
          <w:sz w:val="24"/>
          <w:szCs w:val="24"/>
        </w:rPr>
        <w:t xml:space="preserve">, W. F. (1962). The description of bilingualism. </w:t>
      </w:r>
      <w:r>
        <w:rPr>
          <w:rFonts w:asciiTheme="majorBidi" w:hAnsiTheme="majorBidi" w:cstheme="majorBidi"/>
          <w:i/>
          <w:iCs/>
          <w:sz w:val="24"/>
          <w:szCs w:val="24"/>
        </w:rPr>
        <w:t>Canadian Journal of Linguistics/Revue canadienne de linguistique</w:t>
      </w:r>
      <w:r>
        <w:rPr>
          <w:rFonts w:asciiTheme="majorBidi" w:hAnsiTheme="majorBidi" w:cstheme="majorBidi"/>
          <w:sz w:val="24"/>
          <w:szCs w:val="24"/>
        </w:rPr>
        <w:t xml:space="preserve">, </w:t>
      </w:r>
      <w:r>
        <w:rPr>
          <w:rFonts w:asciiTheme="majorBidi" w:hAnsiTheme="majorBidi" w:cstheme="majorBidi"/>
          <w:i/>
          <w:iCs/>
          <w:sz w:val="24"/>
          <w:szCs w:val="24"/>
        </w:rPr>
        <w:t>7</w:t>
      </w:r>
      <w:r>
        <w:rPr>
          <w:rFonts w:asciiTheme="majorBidi" w:hAnsiTheme="majorBidi" w:cstheme="majorBidi"/>
          <w:sz w:val="24"/>
          <w:szCs w:val="24"/>
        </w:rPr>
        <w:t>(2), 51–85.</w:t>
      </w:r>
      <w:r>
        <w:t xml:space="preserve"> </w:t>
      </w:r>
      <w:r>
        <w:fldChar w:fldCharType="begin"/>
      </w:r>
      <w:r>
        <w:instrText xml:space="preserve"> HYPERLINK "https://doi.org/10.1017/S0008413100019393" </w:instrText>
      </w:r>
      <w:r>
        <w:fldChar w:fldCharType="separate"/>
      </w:r>
      <w:r>
        <w:rPr>
          <w:rStyle w:val="17"/>
          <w:rFonts w:asciiTheme="majorBidi" w:hAnsiTheme="majorBidi" w:cstheme="majorBidi"/>
          <w:sz w:val="24"/>
          <w:szCs w:val="24"/>
        </w:rPr>
        <w:t>https://doi.org/10.1017/S0008413100019393</w:t>
      </w:r>
      <w:r>
        <w:rPr>
          <w:rStyle w:val="17"/>
          <w:rFonts w:asciiTheme="majorBidi" w:hAnsiTheme="majorBidi" w:cstheme="majorBidi"/>
          <w:sz w:val="24"/>
          <w:szCs w:val="24"/>
        </w:rPr>
        <w:fldChar w:fldCharType="end"/>
      </w:r>
      <w:r>
        <w:rPr>
          <w:rFonts w:asciiTheme="majorBidi" w:hAnsiTheme="majorBidi" w:cstheme="majorBidi"/>
          <w:sz w:val="24"/>
          <w:szCs w:val="24"/>
        </w:rPr>
        <w:t xml:space="preserve"> </w:t>
      </w:r>
    </w:p>
    <w:p w14:paraId="6DD9C6E4">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Moseley</w:t>
      </w:r>
      <w:r>
        <w:rPr>
          <w:rFonts w:asciiTheme="majorBidi" w:hAnsiTheme="majorBidi" w:cstheme="majorBidi"/>
          <w:sz w:val="24"/>
          <w:szCs w:val="24"/>
        </w:rPr>
        <w:t xml:space="preserve">, C. (Ed.). (2010). </w:t>
      </w:r>
      <w:r>
        <w:rPr>
          <w:rFonts w:asciiTheme="majorBidi" w:hAnsiTheme="majorBidi" w:cstheme="majorBidi"/>
          <w:i/>
          <w:iCs/>
          <w:sz w:val="24"/>
          <w:szCs w:val="24"/>
        </w:rPr>
        <w:t>Atlas of the world's languages in danger</w:t>
      </w:r>
      <w:r>
        <w:rPr>
          <w:rFonts w:asciiTheme="majorBidi" w:hAnsiTheme="majorBidi" w:cstheme="majorBidi"/>
          <w:sz w:val="24"/>
          <w:szCs w:val="24"/>
        </w:rPr>
        <w:t>. UNESCO. UNESCO publishing.</w:t>
      </w:r>
    </w:p>
    <w:p w14:paraId="56B011D6">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Myers</w:t>
      </w:r>
      <w:r>
        <w:rPr>
          <w:rFonts w:asciiTheme="majorBidi" w:hAnsiTheme="majorBidi" w:cstheme="majorBidi"/>
          <w:sz w:val="24"/>
          <w:szCs w:val="24"/>
        </w:rPr>
        <w:t xml:space="preserve">-Scotton, C. (1993). </w:t>
      </w:r>
      <w:r>
        <w:rPr>
          <w:rFonts w:asciiTheme="majorBidi" w:hAnsiTheme="majorBidi" w:cstheme="majorBidi"/>
          <w:i/>
          <w:iCs/>
          <w:sz w:val="24"/>
          <w:szCs w:val="24"/>
        </w:rPr>
        <w:t>Social motivations for codeswitching: Evidence from Africa</w:t>
      </w:r>
      <w:r>
        <w:rPr>
          <w:rFonts w:asciiTheme="majorBidi" w:hAnsiTheme="majorBidi" w:cstheme="majorBidi"/>
          <w:sz w:val="24"/>
          <w:szCs w:val="24"/>
        </w:rPr>
        <w:t>. Clarendon Press.</w:t>
      </w:r>
    </w:p>
    <w:p w14:paraId="3BA92612">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Nguyen</w:t>
      </w:r>
      <w:r>
        <w:rPr>
          <w:rFonts w:asciiTheme="majorBidi" w:hAnsiTheme="majorBidi" w:cstheme="majorBidi"/>
          <w:sz w:val="24"/>
          <w:szCs w:val="24"/>
        </w:rPr>
        <w:t xml:space="preserve">, V. K. (2023). </w:t>
      </w:r>
      <w:r>
        <w:rPr>
          <w:rFonts w:asciiTheme="majorBidi" w:hAnsiTheme="majorBidi" w:cstheme="majorBidi"/>
          <w:i/>
          <w:iCs/>
          <w:sz w:val="24"/>
          <w:szCs w:val="24"/>
        </w:rPr>
        <w:t>Languages used in ethnic minority areas of Vietnam</w:t>
      </w:r>
      <w:r>
        <w:rPr>
          <w:rFonts w:asciiTheme="majorBidi" w:hAnsiTheme="majorBidi" w:cstheme="majorBidi"/>
          <w:sz w:val="24"/>
          <w:szCs w:val="24"/>
        </w:rPr>
        <w:t>. Vietnam Education Publishing House.</w:t>
      </w:r>
    </w:p>
    <w:p w14:paraId="4E6C4F2E">
      <w:pPr>
        <w:shd w:val="clear" w:color="auto" w:fill="FFFFFF"/>
        <w:spacing w:after="0"/>
        <w:ind w:left="709" w:hanging="713"/>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cation policy in Vietnam. In A. Kirkpatrick &amp; A. J. Liddicoat (Eds.), </w:t>
      </w:r>
      <w:r>
        <w:rPr>
          <w:rStyle w:val="12"/>
          <w:rFonts w:asciiTheme="majorBidi" w:hAnsiTheme="majorBidi" w:eastAsiaTheme="majorEastAsia" w:cstheme="majorBidi"/>
          <w:color w:val="000000" w:themeColor="text1"/>
          <w:sz w:val="24"/>
          <w:szCs w:val="24"/>
          <w14:textFill>
            <w14:solidFill>
              <w14:schemeClr w14:val="tx1"/>
            </w14:solidFill>
          </w14:textFill>
        </w:rPr>
        <w:t>The Routledge international handbook of language education policy in Asia</w:t>
      </w:r>
      <w:r>
        <w:rPr>
          <w:rFonts w:asciiTheme="majorBidi" w:hAnsiTheme="majorBidi" w:cstheme="majorBidi"/>
          <w:color w:val="000000" w:themeColor="text1"/>
          <w:sz w:val="24"/>
          <w:szCs w:val="24"/>
          <w14:textFill>
            <w14:solidFill>
              <w14:schemeClr w14:val="tx1"/>
            </w14:solidFill>
          </w14:textFill>
        </w:rPr>
        <w:t xml:space="preserve"> (pp. 185–201). Routledge. </w:t>
      </w:r>
      <w:r>
        <w:fldChar w:fldCharType="begin"/>
      </w:r>
      <w:r>
        <w:instrText xml:space="preserve"> HYPERLINK "https://doi.org/10.4324/9781315666235" </w:instrText>
      </w:r>
      <w:r>
        <w:fldChar w:fldCharType="separate"/>
      </w:r>
      <w:r>
        <w:rPr>
          <w:rStyle w:val="17"/>
          <w:rFonts w:asciiTheme="majorBidi" w:hAnsiTheme="majorBidi" w:cstheme="majorBidi"/>
          <w:sz w:val="24"/>
          <w:szCs w:val="24"/>
        </w:rPr>
        <w:t>https://doi.org/10.4324/9781315666235</w:t>
      </w:r>
      <w:r>
        <w:rPr>
          <w:rStyle w:val="17"/>
          <w:rFonts w:asciiTheme="majorBidi" w:hAnsiTheme="majorBidi" w:cstheme="majorBidi"/>
          <w:sz w:val="24"/>
          <w:szCs w:val="24"/>
        </w:rPr>
        <w:fldChar w:fldCharType="end"/>
      </w:r>
      <w:r>
        <w:rPr>
          <w:rFonts w:asciiTheme="majorBidi" w:hAnsiTheme="majorBidi" w:cstheme="majorBidi"/>
          <w:sz w:val="24"/>
          <w:szCs w:val="24"/>
        </w:rPr>
        <w:t xml:space="preserve"> </w:t>
      </w:r>
    </w:p>
    <w:p w14:paraId="39222E1B">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Romaine</w:t>
      </w:r>
      <w:r>
        <w:rPr>
          <w:rFonts w:asciiTheme="majorBidi" w:hAnsiTheme="majorBidi" w:cstheme="majorBidi"/>
          <w:sz w:val="24"/>
          <w:szCs w:val="24"/>
        </w:rPr>
        <w:t xml:space="preserve">, S. (1995). </w:t>
      </w:r>
      <w:r>
        <w:rPr>
          <w:rFonts w:asciiTheme="majorBidi" w:hAnsiTheme="majorBidi" w:cstheme="majorBidi"/>
          <w:i/>
          <w:iCs/>
          <w:sz w:val="24"/>
          <w:szCs w:val="24"/>
        </w:rPr>
        <w:t>Bilingualism</w:t>
      </w:r>
      <w:r>
        <w:rPr>
          <w:rFonts w:asciiTheme="majorBidi" w:hAnsiTheme="majorBidi" w:cstheme="majorBidi"/>
          <w:sz w:val="24"/>
          <w:szCs w:val="24"/>
        </w:rPr>
        <w:t>. Blackwell.</w:t>
      </w:r>
    </w:p>
    <w:p w14:paraId="6F4F9A99">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Schmidt</w:t>
      </w:r>
      <w:r>
        <w:rPr>
          <w:rFonts w:asciiTheme="majorBidi" w:hAnsiTheme="majorBidi" w:cstheme="majorBidi"/>
          <w:sz w:val="24"/>
          <w:szCs w:val="24"/>
        </w:rPr>
        <w:t xml:space="preserve">-Rohr, G. (1933). </w:t>
      </w:r>
      <w:r>
        <w:rPr>
          <w:rFonts w:asciiTheme="majorBidi" w:hAnsiTheme="majorBidi" w:cstheme="majorBidi"/>
          <w:i/>
          <w:iCs/>
          <w:sz w:val="24"/>
          <w:szCs w:val="24"/>
        </w:rPr>
        <w:t>Mutter Sprache–vom Amt der Sprache bei der volkwerdung</w:t>
      </w:r>
      <w:r>
        <w:rPr>
          <w:rFonts w:asciiTheme="majorBidi" w:hAnsiTheme="majorBidi" w:cstheme="majorBidi"/>
          <w:sz w:val="24"/>
          <w:szCs w:val="24"/>
        </w:rPr>
        <w:t>.</w:t>
      </w:r>
      <w:r>
        <w:t xml:space="preserve"> </w:t>
      </w:r>
      <w:r>
        <w:rPr>
          <w:rFonts w:asciiTheme="majorBidi" w:hAnsiTheme="majorBidi" w:cstheme="majorBidi"/>
          <w:sz w:val="24"/>
          <w:szCs w:val="24"/>
        </w:rPr>
        <w:t>Jena: Eugen Diederichs.</w:t>
      </w:r>
    </w:p>
    <w:p w14:paraId="5BEAC2C9">
      <w:pPr>
        <w:shd w:val="clear" w:color="auto" w:fill="FFFFFF"/>
        <w:spacing w:after="0"/>
        <w:ind w:left="709" w:hanging="713"/>
        <w:jc w:val="both"/>
        <w:rPr>
          <w:rStyle w:val="17"/>
        </w:rPr>
      </w:pPr>
      <w:r>
        <w:rPr>
          <w:rFonts w:asciiTheme="majorBidi" w:hAnsiTheme="majorBidi" w:cstheme="majorBidi"/>
          <w:color w:val="000000" w:themeColor="text1"/>
          <w:sz w:val="24"/>
          <w:szCs w:val="24"/>
          <w:lang w:val="vi-VN"/>
          <w14:textFill>
            <w14:solidFill>
              <w14:schemeClr w14:val="tx1"/>
            </w14:solidFill>
          </w14:textFill>
        </w:rPr>
        <w:t>Spolsky</w:t>
      </w:r>
      <w:r>
        <w:rPr>
          <w:rFonts w:asciiTheme="majorBidi" w:hAnsiTheme="majorBidi" w:cstheme="majorBidi"/>
          <w:color w:val="000000" w:themeColor="text1"/>
          <w:sz w:val="24"/>
          <w:szCs w:val="24"/>
          <w14:textFill>
            <w14:solidFill>
              <w14:schemeClr w14:val="tx1"/>
            </w14:solidFill>
          </w14:textFill>
        </w:rPr>
        <w:t xml:space="preserve">, B. (2012). Family language policy – The critical domain. </w:t>
      </w:r>
      <w:r>
        <w:rPr>
          <w:rFonts w:asciiTheme="majorBidi" w:hAnsiTheme="majorBidi" w:cstheme="majorBidi"/>
          <w:i/>
          <w:iCs/>
          <w:color w:val="000000" w:themeColor="text1"/>
          <w:sz w:val="24"/>
          <w:szCs w:val="24"/>
          <w14:textFill>
            <w14:solidFill>
              <w14:schemeClr w14:val="tx1"/>
            </w14:solidFill>
          </w14:textFill>
        </w:rPr>
        <w:t>Journal of Multilingual and Multicultural Development</w:t>
      </w:r>
      <w:r>
        <w:rPr>
          <w:rFonts w:asciiTheme="majorBidi" w:hAnsiTheme="majorBidi" w:cstheme="majorBidi"/>
          <w:color w:val="000000" w:themeColor="text1"/>
          <w:sz w:val="24"/>
          <w:szCs w:val="24"/>
          <w14:textFill>
            <w14:solidFill>
              <w14:schemeClr w14:val="tx1"/>
            </w14:solidFill>
          </w14:textFill>
        </w:rPr>
        <w:t xml:space="preserve">, </w:t>
      </w:r>
      <w:r>
        <w:rPr>
          <w:rFonts w:asciiTheme="majorBidi" w:hAnsiTheme="majorBidi" w:cstheme="majorBidi"/>
          <w:i/>
          <w:iCs/>
          <w:color w:val="000000" w:themeColor="text1"/>
          <w:sz w:val="24"/>
          <w:szCs w:val="24"/>
          <w14:textFill>
            <w14:solidFill>
              <w14:schemeClr w14:val="tx1"/>
            </w14:solidFill>
          </w14:textFill>
        </w:rPr>
        <w:t>33</w:t>
      </w:r>
      <w:r>
        <w:rPr>
          <w:rFonts w:asciiTheme="majorBidi" w:hAnsiTheme="majorBidi" w:cstheme="majorBidi"/>
          <w:color w:val="000000" w:themeColor="text1"/>
          <w:sz w:val="24"/>
          <w:szCs w:val="24"/>
          <w14:textFill>
            <w14:solidFill>
              <w14:schemeClr w14:val="tx1"/>
            </w14:solidFill>
          </w14:textFill>
        </w:rPr>
        <w:t xml:space="preserve">(1), 3–11. </w:t>
      </w:r>
      <w:r>
        <w:fldChar w:fldCharType="begin"/>
      </w:r>
      <w:r>
        <w:instrText xml:space="preserve"> HYPERLINK "https://doi.org/10.1080/01434632.2011.638072" </w:instrText>
      </w:r>
      <w:r>
        <w:fldChar w:fldCharType="separate"/>
      </w:r>
      <w:r>
        <w:rPr>
          <w:rStyle w:val="17"/>
          <w:rFonts w:asciiTheme="majorBidi" w:hAnsiTheme="majorBidi" w:cstheme="majorBidi"/>
          <w:sz w:val="24"/>
          <w:szCs w:val="24"/>
        </w:rPr>
        <w:t>https://doi.org/10.1080/01434632.2011.638072</w:t>
      </w:r>
      <w:r>
        <w:rPr>
          <w:rStyle w:val="17"/>
          <w:rFonts w:asciiTheme="majorBidi" w:hAnsiTheme="majorBidi" w:cstheme="majorBidi"/>
          <w:sz w:val="24"/>
          <w:szCs w:val="24"/>
        </w:rPr>
        <w:fldChar w:fldCharType="end"/>
      </w:r>
      <w:r>
        <w:rPr>
          <w:rStyle w:val="17"/>
        </w:rPr>
        <w:t xml:space="preserve"> </w:t>
      </w:r>
    </w:p>
    <w:p w14:paraId="583F85BD">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rPr>
        <w:t xml:space="preserve">Taqavi, M., &amp; Rezaei, A. (2019). Language choice and identity construction of Azerbaijani bilinguals in family and friendship domains. </w:t>
      </w:r>
      <w:r>
        <w:rPr>
          <w:rFonts w:asciiTheme="majorBidi" w:hAnsiTheme="majorBidi" w:cstheme="majorBidi"/>
          <w:i/>
          <w:iCs/>
          <w:sz w:val="24"/>
          <w:szCs w:val="24"/>
        </w:rPr>
        <w:t>Journal of Multilingual and Multicultural Development</w:t>
      </w:r>
      <w:r>
        <w:rPr>
          <w:rFonts w:asciiTheme="majorBidi" w:hAnsiTheme="majorBidi" w:cstheme="majorBidi"/>
          <w:sz w:val="24"/>
          <w:szCs w:val="24"/>
        </w:rPr>
        <w:t xml:space="preserve">, </w:t>
      </w:r>
      <w:r>
        <w:rPr>
          <w:rFonts w:asciiTheme="majorBidi" w:hAnsiTheme="majorBidi" w:cstheme="majorBidi"/>
          <w:i/>
          <w:iCs/>
          <w:sz w:val="24"/>
          <w:szCs w:val="24"/>
        </w:rPr>
        <w:t>42</w:t>
      </w:r>
      <w:r>
        <w:rPr>
          <w:rFonts w:asciiTheme="majorBidi" w:hAnsiTheme="majorBidi" w:cstheme="majorBidi"/>
          <w:sz w:val="24"/>
          <w:szCs w:val="24"/>
        </w:rPr>
        <w:t xml:space="preserve">(4), 383–397. </w:t>
      </w:r>
      <w:r>
        <w:fldChar w:fldCharType="begin"/>
      </w:r>
      <w:r>
        <w:instrText xml:space="preserve"> HYPERLINK "https://doi.org/10.1080/01434632.2019.1699564" \t "_blank" </w:instrText>
      </w:r>
      <w:r>
        <w:fldChar w:fldCharType="separate"/>
      </w:r>
      <w:r>
        <w:rPr>
          <w:rStyle w:val="17"/>
          <w:rFonts w:asciiTheme="majorBidi" w:hAnsiTheme="majorBidi" w:cstheme="majorBidi"/>
          <w:sz w:val="24"/>
          <w:szCs w:val="24"/>
        </w:rPr>
        <w:t>https://doi.org/10.1080/01434632.2019.1699564</w:t>
      </w:r>
      <w:r>
        <w:rPr>
          <w:rStyle w:val="17"/>
          <w:rFonts w:asciiTheme="majorBidi" w:hAnsiTheme="majorBidi" w:cstheme="majorBidi"/>
          <w:sz w:val="24"/>
          <w:szCs w:val="24"/>
        </w:rPr>
        <w:fldChar w:fldCharType="end"/>
      </w:r>
    </w:p>
    <w:p w14:paraId="17FA9302">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Tufi</w:t>
      </w:r>
      <w:r>
        <w:rPr>
          <w:rFonts w:asciiTheme="majorBidi" w:hAnsiTheme="majorBidi" w:cstheme="majorBidi"/>
          <w:sz w:val="24"/>
          <w:szCs w:val="24"/>
        </w:rPr>
        <w:t xml:space="preserve">, S., &amp; Blackwood, R. J. (2016). </w:t>
      </w:r>
      <w:r>
        <w:rPr>
          <w:rFonts w:asciiTheme="majorBidi" w:hAnsiTheme="majorBidi" w:cstheme="majorBidi"/>
          <w:i/>
          <w:iCs/>
          <w:sz w:val="24"/>
          <w:szCs w:val="24"/>
        </w:rPr>
        <w:t>The linguistic landscape of the Mediterranean: French and Italian coastal cities</w:t>
      </w:r>
      <w:r>
        <w:rPr>
          <w:rFonts w:asciiTheme="majorBidi" w:hAnsiTheme="majorBidi" w:cstheme="majorBidi"/>
          <w:sz w:val="24"/>
          <w:szCs w:val="24"/>
        </w:rPr>
        <w:t>. Springer.</w:t>
      </w:r>
    </w:p>
    <w:p w14:paraId="02E6640F">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rPr>
        <w:t xml:space="preserve">Uwen, G. O., &amp; Okafor, A. Y. (2025). Language choice in a multilingual setting: The preference for English language among school children in Nigeria. </w:t>
      </w:r>
      <w:r>
        <w:rPr>
          <w:rFonts w:asciiTheme="majorBidi" w:hAnsiTheme="majorBidi" w:cstheme="majorBidi"/>
          <w:i/>
          <w:iCs/>
          <w:sz w:val="24"/>
          <w:szCs w:val="24"/>
        </w:rPr>
        <w:t>International Journal of Multilingualism</w:t>
      </w:r>
      <w:r>
        <w:rPr>
          <w:rFonts w:asciiTheme="majorBidi" w:hAnsiTheme="majorBidi" w:cstheme="majorBidi"/>
          <w:sz w:val="24"/>
          <w:szCs w:val="24"/>
        </w:rPr>
        <w:t xml:space="preserve">, 1–20. </w:t>
      </w:r>
      <w:r>
        <w:fldChar w:fldCharType="begin"/>
      </w:r>
      <w:r>
        <w:instrText xml:space="preserve"> HYPERLINK "https://doi.org/10.1080/14790718.2024.2444550" \t "_blank" </w:instrText>
      </w:r>
      <w:r>
        <w:fldChar w:fldCharType="separate"/>
      </w:r>
      <w:r>
        <w:rPr>
          <w:rStyle w:val="17"/>
          <w:rFonts w:asciiTheme="majorBidi" w:hAnsiTheme="majorBidi" w:cstheme="majorBidi"/>
          <w:sz w:val="24"/>
          <w:szCs w:val="24"/>
        </w:rPr>
        <w:t>https://doi.org/10.1080/14790718.2024.2444550</w:t>
      </w:r>
      <w:r>
        <w:rPr>
          <w:rStyle w:val="17"/>
          <w:rFonts w:asciiTheme="majorBidi" w:hAnsiTheme="majorBidi" w:cstheme="majorBidi"/>
          <w:sz w:val="24"/>
          <w:szCs w:val="24"/>
        </w:rPr>
        <w:fldChar w:fldCharType="end"/>
      </w:r>
    </w:p>
    <w:p w14:paraId="5B994CFE">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rPr>
        <w:t xml:space="preserve">Wei, L. (2018). Translanguaging as a practical theory of language. </w:t>
      </w:r>
      <w:r>
        <w:rPr>
          <w:rFonts w:asciiTheme="majorBidi" w:hAnsiTheme="majorBidi" w:cstheme="majorBidi"/>
          <w:i/>
          <w:iCs/>
          <w:sz w:val="24"/>
          <w:szCs w:val="24"/>
        </w:rPr>
        <w:t>Applied linguistics</w:t>
      </w:r>
      <w:r>
        <w:rPr>
          <w:rFonts w:asciiTheme="majorBidi" w:hAnsiTheme="majorBidi" w:cstheme="majorBidi"/>
          <w:sz w:val="24"/>
          <w:szCs w:val="24"/>
        </w:rPr>
        <w:t xml:space="preserve">, </w:t>
      </w:r>
      <w:r>
        <w:rPr>
          <w:rFonts w:asciiTheme="majorBidi" w:hAnsiTheme="majorBidi" w:cstheme="majorBidi"/>
          <w:i/>
          <w:iCs/>
          <w:sz w:val="24"/>
          <w:szCs w:val="24"/>
        </w:rPr>
        <w:t>39</w:t>
      </w:r>
      <w:r>
        <w:rPr>
          <w:rFonts w:asciiTheme="majorBidi" w:hAnsiTheme="majorBidi" w:cstheme="majorBidi"/>
          <w:sz w:val="24"/>
          <w:szCs w:val="24"/>
        </w:rPr>
        <w:t xml:space="preserve">(1), 9-30. </w:t>
      </w:r>
      <w:r>
        <w:fldChar w:fldCharType="begin"/>
      </w:r>
      <w:r>
        <w:instrText xml:space="preserve"> HYPERLINK "https://doi.org/10.1093/applin/amx044" </w:instrText>
      </w:r>
      <w:r>
        <w:fldChar w:fldCharType="separate"/>
      </w:r>
      <w:r>
        <w:rPr>
          <w:rStyle w:val="17"/>
          <w:rFonts w:asciiTheme="majorBidi" w:hAnsiTheme="majorBidi" w:cstheme="majorBidi"/>
          <w:sz w:val="24"/>
          <w:szCs w:val="24"/>
        </w:rPr>
        <w:t>https://doi.org/10.1093/applin/amx044</w:t>
      </w:r>
      <w:r>
        <w:rPr>
          <w:rStyle w:val="17"/>
          <w:rFonts w:asciiTheme="majorBidi" w:hAnsiTheme="majorBidi" w:cstheme="majorBidi"/>
          <w:sz w:val="24"/>
          <w:szCs w:val="24"/>
        </w:rPr>
        <w:fldChar w:fldCharType="end"/>
      </w:r>
      <w:r>
        <w:rPr>
          <w:rFonts w:asciiTheme="majorBidi" w:hAnsiTheme="majorBidi" w:cstheme="majorBidi"/>
          <w:sz w:val="24"/>
          <w:szCs w:val="24"/>
        </w:rPr>
        <w:t xml:space="preserve"> </w:t>
      </w:r>
    </w:p>
    <w:p w14:paraId="232B994C">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Weinreich</w:t>
      </w:r>
      <w:r>
        <w:rPr>
          <w:rFonts w:asciiTheme="majorBidi" w:hAnsiTheme="majorBidi" w:cstheme="majorBidi"/>
          <w:sz w:val="24"/>
          <w:szCs w:val="24"/>
        </w:rPr>
        <w:t xml:space="preserve">, U. (1953). </w:t>
      </w:r>
      <w:r>
        <w:rPr>
          <w:rFonts w:asciiTheme="majorBidi" w:hAnsiTheme="majorBidi" w:cstheme="majorBidi"/>
          <w:i/>
          <w:iCs/>
          <w:sz w:val="24"/>
          <w:szCs w:val="24"/>
        </w:rPr>
        <w:t>Languages in contact: Findings and problems</w:t>
      </w:r>
      <w:r>
        <w:rPr>
          <w:rFonts w:asciiTheme="majorBidi" w:hAnsiTheme="majorBidi" w:cstheme="majorBidi"/>
          <w:sz w:val="24"/>
          <w:szCs w:val="24"/>
        </w:rPr>
        <w:t>. Mouton.</w:t>
      </w:r>
    </w:p>
    <w:p w14:paraId="5AA4CE1A">
      <w:pPr>
        <w:shd w:val="clear" w:color="auto" w:fill="FFFFFF"/>
        <w:spacing w:after="0"/>
        <w:ind w:left="709" w:hanging="713"/>
        <w:jc w:val="both"/>
        <w:rPr>
          <w:rFonts w:asciiTheme="majorBidi" w:hAnsiTheme="majorBidi" w:cstheme="majorBidi"/>
          <w:sz w:val="24"/>
          <w:szCs w:val="24"/>
        </w:rPr>
      </w:pPr>
      <w:r>
        <w:rPr>
          <w:rFonts w:asciiTheme="majorBidi" w:hAnsiTheme="majorBidi" w:cstheme="majorBidi"/>
          <w:sz w:val="24"/>
          <w:szCs w:val="24"/>
          <w:lang w:val="vi-VN"/>
        </w:rPr>
        <w:t>Yamane</w:t>
      </w:r>
      <w:r>
        <w:rPr>
          <w:rFonts w:asciiTheme="majorBidi" w:hAnsiTheme="majorBidi" w:cstheme="majorBidi"/>
          <w:sz w:val="24"/>
          <w:szCs w:val="24"/>
        </w:rPr>
        <w:t xml:space="preserve">, T. (1967). </w:t>
      </w:r>
      <w:r>
        <w:rPr>
          <w:rFonts w:asciiTheme="majorBidi" w:hAnsiTheme="majorBidi" w:cstheme="majorBidi"/>
          <w:i/>
          <w:iCs/>
          <w:sz w:val="24"/>
          <w:szCs w:val="24"/>
        </w:rPr>
        <w:t>Statistics, an introductory, analysis</w:t>
      </w:r>
      <w:r>
        <w:rPr>
          <w:rFonts w:asciiTheme="majorBidi" w:hAnsiTheme="majorBidi" w:cstheme="majorBidi"/>
          <w:sz w:val="24"/>
          <w:szCs w:val="24"/>
        </w:rPr>
        <w:t xml:space="preserve"> (2nd ed.). Harper and Row.</w:t>
      </w:r>
    </w:p>
    <w:p w14:paraId="7F839EF2">
      <w:pPr>
        <w:shd w:val="clear" w:color="auto" w:fill="FFFFFF"/>
        <w:spacing w:after="0"/>
        <w:ind w:left="566" w:hanging="570"/>
        <w:jc w:val="both"/>
        <w:rPr>
          <w:rFonts w:asciiTheme="majorBidi" w:hAnsiTheme="majorBidi" w:cstheme="majorBidi"/>
          <w:sz w:val="24"/>
          <w:szCs w:val="24"/>
        </w:rPr>
      </w:pPr>
    </w:p>
    <w:p w14:paraId="7A55547F">
      <w:pPr>
        <w:pStyle w:val="18"/>
        <w:spacing w:before="0" w:beforeAutospacing="0" w:after="0" w:afterAutospacing="0" w:line="276" w:lineRule="auto"/>
        <w:jc w:val="center"/>
        <w:rPr>
          <w:rFonts w:asciiTheme="majorBidi" w:hAnsiTheme="majorBidi" w:cstheme="majorBidi"/>
          <w:b/>
          <w:bCs/>
        </w:rPr>
      </w:pPr>
      <w:bookmarkStart w:id="1" w:name="_GoBack"/>
      <w:bookmarkEnd w:id="1"/>
    </w:p>
    <w:p w14:paraId="369775F0">
      <w:pPr>
        <w:pStyle w:val="4"/>
        <w:spacing w:beforeAutospacing="0" w:afterAutospacing="0"/>
        <w:rPr>
          <w:color w:val="000000" w:themeColor="text1"/>
          <w:sz w:val="22"/>
          <w:szCs w:val="22"/>
          <w14:textFill>
            <w14:solidFill>
              <w14:schemeClr w14:val="tx1"/>
            </w14:solidFill>
          </w14:textFill>
        </w:rPr>
      </w:pPr>
    </w:p>
    <w:sectPr>
      <w:footerReference r:id="rId5" w:type="default"/>
      <w:pgSz w:w="11906" w:h="16838"/>
      <w:pgMar w:top="1418" w:right="1418" w:bottom="1418" w:left="141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VnTime">
    <w:panose1 w:val="020B7200000000000000"/>
    <w:charset w:val="00"/>
    <w:family w:val="swiss"/>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DengXian Light">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3000399"/>
    </w:sdtPr>
    <w:sdtEndPr>
      <w:rPr>
        <w:rFonts w:asciiTheme="majorBidi" w:hAnsiTheme="majorBidi" w:cstheme="majorBidi"/>
        <w:sz w:val="24"/>
        <w:szCs w:val="24"/>
      </w:rPr>
    </w:sdtEndPr>
    <w:sdtContent>
      <w:p w14:paraId="2B823B5D">
        <w:pPr>
          <w:pStyle w:val="14"/>
          <w:jc w:val="center"/>
          <w:rPr>
            <w:rFonts w:asciiTheme="majorBidi" w:hAnsiTheme="majorBidi" w:cstheme="majorBidi"/>
            <w:sz w:val="24"/>
            <w:szCs w:val="24"/>
          </w:rPr>
        </w:pPr>
        <w:r>
          <w:rPr>
            <w:rFonts w:asciiTheme="majorBidi" w:hAnsiTheme="majorBidi" w:cstheme="majorBidi"/>
            <w:sz w:val="24"/>
            <w:szCs w:val="24"/>
          </w:rPr>
          <w:fldChar w:fldCharType="begin"/>
        </w:r>
        <w:r>
          <w:rPr>
            <w:rFonts w:asciiTheme="majorBidi" w:hAnsiTheme="majorBidi" w:cstheme="majorBidi"/>
            <w:sz w:val="24"/>
            <w:szCs w:val="24"/>
          </w:rPr>
          <w:instrText xml:space="preserve"> PAGE   \* MERGEFORMAT </w:instrText>
        </w:r>
        <w:r>
          <w:rPr>
            <w:rFonts w:asciiTheme="majorBidi" w:hAnsiTheme="majorBidi" w:cstheme="majorBidi"/>
            <w:sz w:val="24"/>
            <w:szCs w:val="24"/>
          </w:rPr>
          <w:fldChar w:fldCharType="separate"/>
        </w:r>
        <w:r>
          <w:rPr>
            <w:rFonts w:asciiTheme="majorBidi" w:hAnsiTheme="majorBidi" w:cstheme="majorBidi"/>
            <w:sz w:val="24"/>
            <w:szCs w:val="24"/>
          </w:rPr>
          <w:t>2</w:t>
        </w:r>
        <w:r>
          <w:rPr>
            <w:rFonts w:asciiTheme="majorBidi" w:hAnsiTheme="majorBidi" w:cstheme="majorBidi"/>
            <w:sz w:val="24"/>
            <w:szCs w:val="24"/>
          </w:rPr>
          <w:fldChar w:fldCharType="end"/>
        </w:r>
      </w:p>
    </w:sdtContent>
  </w:sdt>
  <w:p w14:paraId="3E2C1A94">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B523B"/>
    <w:multiLevelType w:val="multilevel"/>
    <w:tmpl w:val="1A4B523B"/>
    <w:lvl w:ilvl="0" w:tentative="0">
      <w:start w:val="1"/>
      <w:numFmt w:val="decimal"/>
      <w:suff w:val="space"/>
      <w:lvlText w:val="CHƯƠNG %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pStyle w:val="23"/>
      <w:suff w:val="space"/>
      <w:lvlText w:val="%1.%2.%3."/>
      <w:lvlJc w:val="left"/>
      <w:pPr>
        <w:ind w:left="0" w:firstLine="170"/>
      </w:pPr>
      <w:rPr>
        <w:rFonts w:hint="default"/>
      </w:rPr>
    </w:lvl>
    <w:lvl w:ilvl="3" w:tentative="0">
      <w:start w:val="1"/>
      <w:numFmt w:val="decimal"/>
      <w:suff w:val="space"/>
      <w:lvlText w:val="%1.%2.%3.%4."/>
      <w:lvlJc w:val="left"/>
      <w:pPr>
        <w:ind w:left="0" w:firstLine="454"/>
      </w:p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
    <w:nsid w:val="3C6EF157"/>
    <w:multiLevelType w:val="singleLevel"/>
    <w:tmpl w:val="3C6EF157"/>
    <w:lvl w:ilvl="0" w:tentative="0">
      <w:start w:val="1"/>
      <w:numFmt w:val="decimal"/>
      <w:suff w:val="space"/>
      <w:lvlText w:val="%1."/>
      <w:lvlJc w:val="left"/>
    </w:lvl>
  </w:abstractNum>
  <w:abstractNum w:abstractNumId="2">
    <w:nsid w:val="6729578A"/>
    <w:multiLevelType w:val="multilevel"/>
    <w:tmpl w:val="6729578A"/>
    <w:lvl w:ilvl="0" w:tentative="0">
      <w:start w:val="1"/>
      <w:numFmt w:val="decimal"/>
      <w:lvlText w:val="CHƯƠNG %1:"/>
      <w:lvlJc w:val="left"/>
      <w:pPr>
        <w:ind w:left="1843" w:firstLine="0"/>
      </w:pPr>
      <w:rPr>
        <w:rFonts w:hint="default"/>
      </w:rPr>
    </w:lvl>
    <w:lvl w:ilvl="1" w:tentative="0">
      <w:start w:val="1"/>
      <w:numFmt w:val="decimal"/>
      <w:isLgl/>
      <w:suff w:val="nothing"/>
      <w:lvlText w:val="%1.%2. "/>
      <w:lvlJc w:val="left"/>
      <w:pPr>
        <w:ind w:left="0" w:firstLine="0"/>
      </w:pPr>
      <w:rPr>
        <w:rFonts w:hint="default"/>
        <w:i w:val="0"/>
        <w:iCs w:val="0"/>
        <w:sz w:val="26"/>
        <w:szCs w:val="26"/>
      </w:rPr>
    </w:lvl>
    <w:lvl w:ilvl="2" w:tentative="0">
      <w:start w:val="1"/>
      <w:numFmt w:val="decimal"/>
      <w:pStyle w:val="21"/>
      <w:isLgl/>
      <w:suff w:val="nothing"/>
      <w:lvlText w:val="%1.%2.%3. "/>
      <w:lvlJc w:val="left"/>
      <w:pPr>
        <w:ind w:left="0" w:firstLine="0"/>
      </w:pPr>
      <w:rPr>
        <w:rFonts w:hint="default" w:ascii="Times New Roman" w:hAnsi="Times New Roman" w:cs="Times New Roman"/>
        <w:i w:val="0"/>
        <w:iCs w:val="0"/>
      </w:rPr>
    </w:lvl>
    <w:lvl w:ilvl="3" w:tentative="0">
      <w:start w:val="1"/>
      <w:numFmt w:val="decimal"/>
      <w:lvlRestart w:val="0"/>
      <w:suff w:val="nothing"/>
      <w:lvlText w:val="%1.%2.%3.%4. "/>
      <w:lvlJc w:val="left"/>
      <w:pPr>
        <w:ind w:left="0" w:firstLine="0"/>
      </w:pPr>
      <w:rPr>
        <w:rFonts w:hint="default"/>
      </w:rPr>
    </w:lvl>
    <w:lvl w:ilvl="4" w:tentative="0">
      <w:start w:val="1"/>
      <w:numFmt w:val="decimal"/>
      <w:isLgl/>
      <w:lvlText w:val="%1.%2.%3.%4.%5."/>
      <w:lvlJc w:val="left"/>
      <w:pPr>
        <w:ind w:left="0" w:firstLine="0"/>
      </w:pPr>
      <w:rPr>
        <w:rFonts w:hint="default"/>
      </w:rPr>
    </w:lvl>
    <w:lvl w:ilvl="5" w:tentative="0">
      <w:start w:val="1"/>
      <w:numFmt w:val="decimal"/>
      <w:isLgl/>
      <w:lvlText w:val="%1.%2.%3.%4.%5.%6."/>
      <w:lvlJc w:val="left"/>
      <w:pPr>
        <w:ind w:left="0" w:firstLine="0"/>
      </w:pPr>
      <w:rPr>
        <w:rFonts w:hint="default"/>
      </w:rPr>
    </w:lvl>
    <w:lvl w:ilvl="6" w:tentative="0">
      <w:start w:val="1"/>
      <w:numFmt w:val="decimal"/>
      <w:isLgl/>
      <w:lvlText w:val="%1.%2.%3.%4.%5.%6.%7."/>
      <w:lvlJc w:val="left"/>
      <w:pPr>
        <w:ind w:left="0" w:firstLine="0"/>
      </w:pPr>
      <w:rPr>
        <w:rFonts w:hint="default"/>
      </w:rPr>
    </w:lvl>
    <w:lvl w:ilvl="7" w:tentative="0">
      <w:start w:val="1"/>
      <w:numFmt w:val="decimal"/>
      <w:isLgl/>
      <w:lvlText w:val="%1.%2.%3.%4.%5.%6.%7.%8."/>
      <w:lvlJc w:val="left"/>
      <w:pPr>
        <w:ind w:left="0" w:firstLine="0"/>
      </w:pPr>
      <w:rPr>
        <w:rFonts w:hint="default"/>
      </w:rPr>
    </w:lvl>
    <w:lvl w:ilvl="8" w:tentative="0">
      <w:start w:val="1"/>
      <w:numFmt w:val="decimal"/>
      <w:isLgl/>
      <w:lvlText w:val="%1.%2.%3.%4.%5.%6.%7.%8.%9."/>
      <w:lvlJc w:val="left"/>
      <w:pPr>
        <w:ind w:left="0" w:firstLine="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A3511"/>
    <w:rsid w:val="00013EDE"/>
    <w:rsid w:val="00032199"/>
    <w:rsid w:val="000377EB"/>
    <w:rsid w:val="000472D1"/>
    <w:rsid w:val="0005561B"/>
    <w:rsid w:val="000578D2"/>
    <w:rsid w:val="00070DC6"/>
    <w:rsid w:val="00086F8F"/>
    <w:rsid w:val="000B4401"/>
    <w:rsid w:val="000C6013"/>
    <w:rsid w:val="000E2D15"/>
    <w:rsid w:val="000F4818"/>
    <w:rsid w:val="001357EE"/>
    <w:rsid w:val="0018094A"/>
    <w:rsid w:val="0018549D"/>
    <w:rsid w:val="001B192C"/>
    <w:rsid w:val="001E36C3"/>
    <w:rsid w:val="001E54BF"/>
    <w:rsid w:val="001F557C"/>
    <w:rsid w:val="00205C9F"/>
    <w:rsid w:val="00231824"/>
    <w:rsid w:val="00233D36"/>
    <w:rsid w:val="00241DAB"/>
    <w:rsid w:val="00277A86"/>
    <w:rsid w:val="002829FA"/>
    <w:rsid w:val="00283822"/>
    <w:rsid w:val="00291A3B"/>
    <w:rsid w:val="0029741A"/>
    <w:rsid w:val="00297626"/>
    <w:rsid w:val="002C2B7E"/>
    <w:rsid w:val="002E378D"/>
    <w:rsid w:val="00303F00"/>
    <w:rsid w:val="003111E0"/>
    <w:rsid w:val="00340F8D"/>
    <w:rsid w:val="003632D1"/>
    <w:rsid w:val="003817A5"/>
    <w:rsid w:val="003A7A40"/>
    <w:rsid w:val="003B4563"/>
    <w:rsid w:val="003C507E"/>
    <w:rsid w:val="004063D2"/>
    <w:rsid w:val="00414ACE"/>
    <w:rsid w:val="0045170C"/>
    <w:rsid w:val="00480EAB"/>
    <w:rsid w:val="0049218F"/>
    <w:rsid w:val="004A041E"/>
    <w:rsid w:val="004A1AC9"/>
    <w:rsid w:val="004C7E6B"/>
    <w:rsid w:val="004E4E03"/>
    <w:rsid w:val="004F2AC4"/>
    <w:rsid w:val="004F54EE"/>
    <w:rsid w:val="0050456B"/>
    <w:rsid w:val="00517560"/>
    <w:rsid w:val="00525C0B"/>
    <w:rsid w:val="0053165F"/>
    <w:rsid w:val="00552356"/>
    <w:rsid w:val="00552802"/>
    <w:rsid w:val="00573D06"/>
    <w:rsid w:val="005957A2"/>
    <w:rsid w:val="005A0932"/>
    <w:rsid w:val="005A1942"/>
    <w:rsid w:val="005D0F66"/>
    <w:rsid w:val="005E1027"/>
    <w:rsid w:val="006077F5"/>
    <w:rsid w:val="00620937"/>
    <w:rsid w:val="00630349"/>
    <w:rsid w:val="00633093"/>
    <w:rsid w:val="00650888"/>
    <w:rsid w:val="006719BF"/>
    <w:rsid w:val="0068340C"/>
    <w:rsid w:val="006A787D"/>
    <w:rsid w:val="006C1BB7"/>
    <w:rsid w:val="006C4F55"/>
    <w:rsid w:val="007229E6"/>
    <w:rsid w:val="007319EB"/>
    <w:rsid w:val="00736FAF"/>
    <w:rsid w:val="00744009"/>
    <w:rsid w:val="007A2A19"/>
    <w:rsid w:val="007C3C00"/>
    <w:rsid w:val="007E1A72"/>
    <w:rsid w:val="007E3776"/>
    <w:rsid w:val="008004F7"/>
    <w:rsid w:val="008056E2"/>
    <w:rsid w:val="00807F9F"/>
    <w:rsid w:val="00815D02"/>
    <w:rsid w:val="0082106B"/>
    <w:rsid w:val="00836A03"/>
    <w:rsid w:val="008657CB"/>
    <w:rsid w:val="00873727"/>
    <w:rsid w:val="008A2ABC"/>
    <w:rsid w:val="008B1F9C"/>
    <w:rsid w:val="008C7D9A"/>
    <w:rsid w:val="008E0893"/>
    <w:rsid w:val="00910B7E"/>
    <w:rsid w:val="009356A3"/>
    <w:rsid w:val="00937CCF"/>
    <w:rsid w:val="009445F2"/>
    <w:rsid w:val="0094485A"/>
    <w:rsid w:val="009A288B"/>
    <w:rsid w:val="009C1C1F"/>
    <w:rsid w:val="009D15B7"/>
    <w:rsid w:val="009D4A34"/>
    <w:rsid w:val="009E63FA"/>
    <w:rsid w:val="009F09B2"/>
    <w:rsid w:val="00A34497"/>
    <w:rsid w:val="00A43E62"/>
    <w:rsid w:val="00A5003D"/>
    <w:rsid w:val="00A81DB4"/>
    <w:rsid w:val="00AB1088"/>
    <w:rsid w:val="00AF34CE"/>
    <w:rsid w:val="00AF6ABF"/>
    <w:rsid w:val="00B1102C"/>
    <w:rsid w:val="00B11BF3"/>
    <w:rsid w:val="00B1385F"/>
    <w:rsid w:val="00B217FF"/>
    <w:rsid w:val="00B33BAF"/>
    <w:rsid w:val="00B42CD4"/>
    <w:rsid w:val="00B7284C"/>
    <w:rsid w:val="00B7284E"/>
    <w:rsid w:val="00B72BB5"/>
    <w:rsid w:val="00B7764B"/>
    <w:rsid w:val="00B8422E"/>
    <w:rsid w:val="00BB5799"/>
    <w:rsid w:val="00BD170B"/>
    <w:rsid w:val="00BD62CA"/>
    <w:rsid w:val="00C149F7"/>
    <w:rsid w:val="00C24C61"/>
    <w:rsid w:val="00C44886"/>
    <w:rsid w:val="00C520DB"/>
    <w:rsid w:val="00C713B2"/>
    <w:rsid w:val="00C8424B"/>
    <w:rsid w:val="00C85E42"/>
    <w:rsid w:val="00C867FE"/>
    <w:rsid w:val="00C8723B"/>
    <w:rsid w:val="00C95032"/>
    <w:rsid w:val="00C96554"/>
    <w:rsid w:val="00CB25A9"/>
    <w:rsid w:val="00CC2FC0"/>
    <w:rsid w:val="00CF0984"/>
    <w:rsid w:val="00CF762E"/>
    <w:rsid w:val="00D340E0"/>
    <w:rsid w:val="00D47EB6"/>
    <w:rsid w:val="00D5241A"/>
    <w:rsid w:val="00D72B39"/>
    <w:rsid w:val="00D86AEF"/>
    <w:rsid w:val="00D877EE"/>
    <w:rsid w:val="00DB7FB8"/>
    <w:rsid w:val="00DC08B6"/>
    <w:rsid w:val="00DE0A31"/>
    <w:rsid w:val="00E20533"/>
    <w:rsid w:val="00E4018D"/>
    <w:rsid w:val="00E40AC5"/>
    <w:rsid w:val="00E74294"/>
    <w:rsid w:val="00E978C4"/>
    <w:rsid w:val="00EA3C80"/>
    <w:rsid w:val="00EA4788"/>
    <w:rsid w:val="00EB6A44"/>
    <w:rsid w:val="00EE4EC3"/>
    <w:rsid w:val="00EF4E8B"/>
    <w:rsid w:val="00EF5712"/>
    <w:rsid w:val="00F16EA2"/>
    <w:rsid w:val="00F242DE"/>
    <w:rsid w:val="00F76B62"/>
    <w:rsid w:val="00F80303"/>
    <w:rsid w:val="00F91294"/>
    <w:rsid w:val="00F95120"/>
    <w:rsid w:val="00FB295E"/>
    <w:rsid w:val="00FE01A7"/>
    <w:rsid w:val="05F15280"/>
    <w:rsid w:val="09572FA5"/>
    <w:rsid w:val="0C7D1BC7"/>
    <w:rsid w:val="0CDE5E53"/>
    <w:rsid w:val="0D6D02B6"/>
    <w:rsid w:val="0E434D63"/>
    <w:rsid w:val="0E6A3511"/>
    <w:rsid w:val="0E845891"/>
    <w:rsid w:val="10E14072"/>
    <w:rsid w:val="11156D80"/>
    <w:rsid w:val="111A41BC"/>
    <w:rsid w:val="11ED6575"/>
    <w:rsid w:val="1381535D"/>
    <w:rsid w:val="14CF38F5"/>
    <w:rsid w:val="16BE7979"/>
    <w:rsid w:val="17075BFE"/>
    <w:rsid w:val="194C7236"/>
    <w:rsid w:val="1B493796"/>
    <w:rsid w:val="1DC20229"/>
    <w:rsid w:val="1F3B5E55"/>
    <w:rsid w:val="1F826DE4"/>
    <w:rsid w:val="20C62A43"/>
    <w:rsid w:val="20D14297"/>
    <w:rsid w:val="235217D5"/>
    <w:rsid w:val="23C86477"/>
    <w:rsid w:val="2439563E"/>
    <w:rsid w:val="25E87BEB"/>
    <w:rsid w:val="26B26AFE"/>
    <w:rsid w:val="272F622A"/>
    <w:rsid w:val="28436A82"/>
    <w:rsid w:val="286C6F98"/>
    <w:rsid w:val="2BB32DEF"/>
    <w:rsid w:val="2C345D82"/>
    <w:rsid w:val="30A32D05"/>
    <w:rsid w:val="34F47703"/>
    <w:rsid w:val="36644B30"/>
    <w:rsid w:val="37B276EB"/>
    <w:rsid w:val="38266303"/>
    <w:rsid w:val="39DF5631"/>
    <w:rsid w:val="3AD94C45"/>
    <w:rsid w:val="3B667FC3"/>
    <w:rsid w:val="3C300856"/>
    <w:rsid w:val="3C71258D"/>
    <w:rsid w:val="3CD915B5"/>
    <w:rsid w:val="3DAE1FF9"/>
    <w:rsid w:val="443D61E4"/>
    <w:rsid w:val="445534E8"/>
    <w:rsid w:val="45320E80"/>
    <w:rsid w:val="46F671D1"/>
    <w:rsid w:val="481C2380"/>
    <w:rsid w:val="496A1CE5"/>
    <w:rsid w:val="49C61816"/>
    <w:rsid w:val="4B1B4576"/>
    <w:rsid w:val="4DB07A08"/>
    <w:rsid w:val="4FE1259B"/>
    <w:rsid w:val="508C6C72"/>
    <w:rsid w:val="50BA396A"/>
    <w:rsid w:val="59167431"/>
    <w:rsid w:val="59A868E5"/>
    <w:rsid w:val="5A9E77F1"/>
    <w:rsid w:val="5B0A537F"/>
    <w:rsid w:val="5B446363"/>
    <w:rsid w:val="5DDE6213"/>
    <w:rsid w:val="621B25C6"/>
    <w:rsid w:val="632136E4"/>
    <w:rsid w:val="65DF338A"/>
    <w:rsid w:val="67E419D5"/>
    <w:rsid w:val="6B061593"/>
    <w:rsid w:val="6F6F5852"/>
    <w:rsid w:val="6FD44115"/>
    <w:rsid w:val="706E4CD6"/>
    <w:rsid w:val="709D6C5F"/>
    <w:rsid w:val="74F63577"/>
    <w:rsid w:val="7868098F"/>
    <w:rsid w:val="786A4630"/>
    <w:rsid w:val="7EE970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1"/>
    <w:basedOn w:val="1"/>
    <w:next w:val="1"/>
    <w:qFormat/>
    <w:uiPriority w:val="99"/>
    <w:pPr>
      <w:keepNext/>
      <w:outlineLvl w:val="0"/>
    </w:pPr>
    <w:rPr>
      <w:b/>
      <w:bCs/>
    </w:rPr>
  </w:style>
  <w:style w:type="paragraph" w:styleId="3">
    <w:name w:val="heading 2"/>
    <w:next w:val="1"/>
    <w:semiHidden/>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paragraph" w:styleId="4">
    <w:name w:val="heading 3"/>
    <w:basedOn w:val="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5">
    <w:name w:val="heading 4"/>
    <w:basedOn w:val="1"/>
    <w:next w:val="1"/>
    <w:semiHidden/>
    <w:unhideWhenUsed/>
    <w:qFormat/>
    <w:uiPriority w:val="0"/>
    <w:pPr>
      <w:spacing w:beforeAutospacing="1" w:after="0" w:afterAutospacing="1"/>
      <w:outlineLvl w:val="3"/>
    </w:pPr>
    <w:rPr>
      <w:rFonts w:hint="eastAsia" w:ascii="SimSun" w:hAnsi="SimSun" w:eastAsia="SimSun" w:cs="Times New Roman"/>
      <w:b/>
      <w:bCs/>
      <w:sz w:val="24"/>
      <w:szCs w:val="24"/>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Indent"/>
    <w:basedOn w:val="1"/>
    <w:qFormat/>
    <w:uiPriority w:val="0"/>
    <w:pPr>
      <w:spacing w:line="360" w:lineRule="auto"/>
      <w:ind w:firstLine="720"/>
      <w:jc w:val="both"/>
    </w:pPr>
    <w:rPr>
      <w:rFonts w:ascii=".VnTime" w:hAnsi=".VnTime"/>
      <w:sz w:val="28"/>
    </w:rPr>
  </w:style>
  <w:style w:type="character" w:styleId="9">
    <w:name w:val="annotation reference"/>
    <w:basedOn w:val="6"/>
    <w:qFormat/>
    <w:uiPriority w:val="0"/>
    <w:rPr>
      <w:sz w:val="16"/>
      <w:szCs w:val="16"/>
    </w:rPr>
  </w:style>
  <w:style w:type="paragraph" w:styleId="10">
    <w:name w:val="annotation text"/>
    <w:basedOn w:val="1"/>
    <w:link w:val="26"/>
    <w:qFormat/>
    <w:uiPriority w:val="0"/>
    <w:pPr>
      <w:spacing w:line="240" w:lineRule="auto"/>
    </w:pPr>
    <w:rPr>
      <w:sz w:val="20"/>
      <w:szCs w:val="20"/>
    </w:rPr>
  </w:style>
  <w:style w:type="paragraph" w:styleId="11">
    <w:name w:val="annotation subject"/>
    <w:basedOn w:val="10"/>
    <w:next w:val="10"/>
    <w:link w:val="27"/>
    <w:qFormat/>
    <w:uiPriority w:val="0"/>
    <w:rPr>
      <w:b/>
      <w:bCs/>
    </w:rPr>
  </w:style>
  <w:style w:type="character" w:styleId="12">
    <w:name w:val="Emphasis"/>
    <w:basedOn w:val="6"/>
    <w:qFormat/>
    <w:uiPriority w:val="20"/>
    <w:rPr>
      <w:i/>
      <w:iCs/>
    </w:rPr>
  </w:style>
  <w:style w:type="character" w:styleId="13">
    <w:name w:val="FollowedHyperlink"/>
    <w:basedOn w:val="6"/>
    <w:qFormat/>
    <w:uiPriority w:val="0"/>
    <w:rPr>
      <w:color w:val="954F72" w:themeColor="followedHyperlink"/>
      <w:u w:val="single"/>
      <w14:textFill>
        <w14:solidFill>
          <w14:schemeClr w14:val="folHlink"/>
        </w14:solidFill>
      </w14:textFill>
    </w:rPr>
  </w:style>
  <w:style w:type="paragraph" w:styleId="14">
    <w:name w:val="footer"/>
    <w:basedOn w:val="1"/>
    <w:link w:val="29"/>
    <w:qFormat/>
    <w:uiPriority w:val="99"/>
    <w:pPr>
      <w:tabs>
        <w:tab w:val="center" w:pos="4680"/>
        <w:tab w:val="right" w:pos="9360"/>
      </w:tabs>
      <w:spacing w:after="0" w:line="240" w:lineRule="auto"/>
    </w:pPr>
  </w:style>
  <w:style w:type="paragraph" w:styleId="15">
    <w:name w:val="header"/>
    <w:basedOn w:val="1"/>
    <w:link w:val="28"/>
    <w:qFormat/>
    <w:uiPriority w:val="0"/>
    <w:pPr>
      <w:tabs>
        <w:tab w:val="center" w:pos="4680"/>
        <w:tab w:val="right" w:pos="9360"/>
      </w:tabs>
      <w:spacing w:after="0" w:line="240" w:lineRule="auto"/>
    </w:pPr>
  </w:style>
  <w:style w:type="character" w:styleId="16">
    <w:name w:val="HTML Code"/>
    <w:basedOn w:val="6"/>
    <w:qFormat/>
    <w:uiPriority w:val="0"/>
    <w:rPr>
      <w:rFonts w:ascii="Courier New" w:hAnsi="Courier New" w:cs="Courier New"/>
      <w:sz w:val="20"/>
      <w:szCs w:val="20"/>
    </w:rPr>
  </w:style>
  <w:style w:type="character" w:styleId="17">
    <w:name w:val="Hyperlink"/>
    <w:basedOn w:val="6"/>
    <w:qFormat/>
    <w:uiPriority w:val="0"/>
    <w:rPr>
      <w:color w:val="0000FF"/>
      <w:u w:val="single"/>
    </w:rPr>
  </w:style>
  <w:style w:type="paragraph" w:styleId="1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9">
    <w:name w:val="Strong"/>
    <w:basedOn w:val="6"/>
    <w:qFormat/>
    <w:uiPriority w:val="22"/>
    <w:rPr>
      <w:b/>
      <w:bCs/>
    </w:rPr>
  </w:style>
  <w:style w:type="table" w:styleId="20">
    <w:name w:val="Table Grid"/>
    <w:basedOn w:val="7"/>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A3"/>
    <w:basedOn w:val="22"/>
    <w:qFormat/>
    <w:uiPriority w:val="0"/>
    <w:pPr>
      <w:numPr>
        <w:ilvl w:val="2"/>
        <w:numId w:val="1"/>
      </w:numPr>
      <w:spacing w:before="120" w:after="120"/>
    </w:pPr>
    <w:rPr>
      <w:b/>
      <w:bCs/>
      <w:iCs/>
      <w:color w:val="000000" w:themeColor="text1"/>
      <w:szCs w:val="26"/>
      <w:lang w:val="vi-VN"/>
      <w14:textFill>
        <w14:solidFill>
          <w14:schemeClr w14:val="tx1"/>
        </w14:solidFill>
      </w14:textFill>
    </w:rPr>
  </w:style>
  <w:style w:type="paragraph" w:styleId="22">
    <w:name w:val="List Paragraph"/>
    <w:basedOn w:val="1"/>
    <w:qFormat/>
    <w:uiPriority w:val="34"/>
    <w:pPr>
      <w:ind w:left="720"/>
      <w:contextualSpacing/>
    </w:pPr>
  </w:style>
  <w:style w:type="paragraph" w:customStyle="1" w:styleId="23">
    <w:name w:val="B3"/>
    <w:basedOn w:val="21"/>
    <w:qFormat/>
    <w:uiPriority w:val="0"/>
    <w:pPr>
      <w:numPr>
        <w:numId w:val="2"/>
      </w:numPr>
      <w:tabs>
        <w:tab w:val="left" w:pos="720"/>
      </w:tabs>
    </w:pPr>
  </w:style>
  <w:style w:type="paragraph" w:customStyle="1" w:styleId="24">
    <w:name w:val="BAN1"/>
    <w:basedOn w:val="25"/>
    <w:qFormat/>
    <w:uiPriority w:val="0"/>
    <w:pPr>
      <w:tabs>
        <w:tab w:val="left" w:pos="720"/>
      </w:tabs>
    </w:pPr>
  </w:style>
  <w:style w:type="paragraph" w:customStyle="1" w:styleId="25">
    <w:name w:val="bảng"/>
    <w:basedOn w:val="1"/>
    <w:qFormat/>
    <w:uiPriority w:val="0"/>
    <w:pPr>
      <w:tabs>
        <w:tab w:val="left" w:pos="720"/>
      </w:tabs>
      <w:spacing w:before="120" w:after="120" w:line="24" w:lineRule="atLeast"/>
    </w:pPr>
    <w:rPr>
      <w:rFonts w:ascii="Times New Roman" w:hAnsi="Times New Roman"/>
      <w:b/>
      <w:bCs/>
      <w:sz w:val="26"/>
      <w:szCs w:val="26"/>
      <w:lang w:val="nl-NL"/>
    </w:rPr>
  </w:style>
  <w:style w:type="character" w:customStyle="1" w:styleId="26">
    <w:name w:val="Comment Text Char"/>
    <w:basedOn w:val="6"/>
    <w:link w:val="10"/>
    <w:qFormat/>
    <w:uiPriority w:val="0"/>
    <w:rPr>
      <w:rFonts w:asciiTheme="minorHAnsi" w:hAnsiTheme="minorHAnsi" w:eastAsiaTheme="minorEastAsia" w:cstheme="minorBidi"/>
      <w:lang w:eastAsia="zh-CN"/>
    </w:rPr>
  </w:style>
  <w:style w:type="character" w:customStyle="1" w:styleId="27">
    <w:name w:val="Comment Subject Char"/>
    <w:basedOn w:val="26"/>
    <w:link w:val="11"/>
    <w:qFormat/>
    <w:uiPriority w:val="0"/>
    <w:rPr>
      <w:rFonts w:asciiTheme="minorHAnsi" w:hAnsiTheme="minorHAnsi" w:eastAsiaTheme="minorEastAsia" w:cstheme="minorBidi"/>
      <w:b/>
      <w:bCs/>
      <w:lang w:eastAsia="zh-CN"/>
    </w:rPr>
  </w:style>
  <w:style w:type="character" w:customStyle="1" w:styleId="28">
    <w:name w:val="Header Char"/>
    <w:basedOn w:val="6"/>
    <w:link w:val="15"/>
    <w:qFormat/>
    <w:uiPriority w:val="0"/>
    <w:rPr>
      <w:rFonts w:asciiTheme="minorHAnsi" w:hAnsiTheme="minorHAnsi" w:eastAsiaTheme="minorEastAsia" w:cstheme="minorBidi"/>
      <w:sz w:val="22"/>
      <w:szCs w:val="22"/>
      <w:lang w:eastAsia="zh-CN"/>
    </w:rPr>
  </w:style>
  <w:style w:type="character" w:customStyle="1" w:styleId="29">
    <w:name w:val="Footer Char"/>
    <w:basedOn w:val="6"/>
    <w:link w:val="14"/>
    <w:qFormat/>
    <w:uiPriority w:val="99"/>
    <w:rPr>
      <w:rFonts w:asciiTheme="minorHAnsi" w:hAnsiTheme="minorHAnsi" w:eastAsiaTheme="minorEastAsia" w:cstheme="minorBidi"/>
      <w:sz w:val="22"/>
      <w:szCs w:val="22"/>
      <w:lang w:eastAsia="zh-CN"/>
    </w:rPr>
  </w:style>
  <w:style w:type="character" w:customStyle="1" w:styleId="30">
    <w:name w:val="Unresolved Mention1"/>
    <w:basedOn w:val="6"/>
    <w:semiHidden/>
    <w:unhideWhenUsed/>
    <w:qFormat/>
    <w:uiPriority w:val="99"/>
    <w:rPr>
      <w:color w:val="605E5C"/>
      <w:shd w:val="clear" w:color="auto" w:fill="E1DFDD"/>
    </w:rPr>
  </w:style>
  <w:style w:type="paragraph" w:customStyle="1" w:styleId="31">
    <w:name w:val="MDPI_1.6_affiliation"/>
    <w:basedOn w:val="1"/>
    <w:qFormat/>
    <w:uiPriority w:val="0"/>
    <w:pPr>
      <w:adjustRightInd w:val="0"/>
      <w:snapToGrid w:val="0"/>
      <w:spacing w:after="0" w:line="200" w:lineRule="atLeast"/>
      <w:ind w:left="311" w:hanging="198"/>
    </w:pPr>
    <w:rPr>
      <w:rFonts w:ascii="Palatino Linotype" w:hAnsi="Palatino Linotype" w:eastAsia="Times New Roman"/>
      <w:color w:val="000000"/>
      <w:sz w:val="18"/>
      <w:szCs w:val="18"/>
      <w:lang w:eastAsia="de-DE" w:bidi="en-US"/>
    </w:rPr>
  </w:style>
  <w:style w:type="character" w:customStyle="1" w:styleId="32">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9134</Words>
  <Characters>53620</Characters>
  <Lines>1675</Lines>
  <Paragraphs>794</Paragraphs>
  <TotalTime>14</TotalTime>
  <ScaleCrop>false</ScaleCrop>
  <LinksUpToDate>false</LinksUpToDate>
  <CharactersWithSpaces>61960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2025-08-06T03:36:00Z</dcterms:created>
  <dc:creator>Admin</dc:creator>
  <cp:lastModifiedBy>Hoang Quoc</cp:lastModifiedBy>
  <cp:lastPrinted>2025-08-23T01:02:00Z</cp:lastPrinted>
  <dcterms:modified xsi:type="dcterms:W3CDTF">2025-10-29T23:49:13Z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A1756DEAEC1B4783A95CA483A0E23F18_11</vt:lpwstr>
  </property>
</Properties>
</file>