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0D11" w14:textId="662B2F34" w:rsidR="00EB0DE5" w:rsidRPr="00AC4B84" w:rsidRDefault="00AC4B84" w:rsidP="00902543">
      <w:pPr>
        <w:autoSpaceDE w:val="0"/>
        <w:autoSpaceDN w:val="0"/>
        <w:adjustRightInd w:val="0"/>
        <w:jc w:val="center"/>
        <w:rPr>
          <w:lang w:val="en-US"/>
        </w:rPr>
      </w:pPr>
      <w:r w:rsidRPr="00AC4B84">
        <w:rPr>
          <w:b/>
          <w:bCs/>
        </w:rPr>
        <w:t>Policy Translation and Religious Moderation under Aceh’s Sharia Governance: The Banda Aceh Interfaith Forum</w:t>
      </w:r>
    </w:p>
    <w:p w14:paraId="22B63E78" w14:textId="77777777" w:rsidR="00902543" w:rsidRPr="00902543" w:rsidRDefault="00902543" w:rsidP="00902543">
      <w:pPr>
        <w:autoSpaceDE w:val="0"/>
        <w:autoSpaceDN w:val="0"/>
        <w:adjustRightInd w:val="0"/>
        <w:jc w:val="center"/>
        <w:rPr>
          <w:sz w:val="22"/>
          <w:szCs w:val="22"/>
        </w:rPr>
      </w:pPr>
    </w:p>
    <w:p w14:paraId="4C408350" w14:textId="4E6EE04B" w:rsidR="00C74E13" w:rsidRPr="00902543" w:rsidRDefault="00EB0DE5" w:rsidP="00C74E13">
      <w:pPr>
        <w:autoSpaceDE w:val="0"/>
        <w:autoSpaceDN w:val="0"/>
        <w:adjustRightInd w:val="0"/>
        <w:jc w:val="center"/>
        <w:rPr>
          <w:b/>
          <w:bCs/>
          <w:sz w:val="22"/>
          <w:szCs w:val="22"/>
        </w:rPr>
      </w:pPr>
      <w:r w:rsidRPr="00902543">
        <w:rPr>
          <w:b/>
          <w:bCs/>
          <w:sz w:val="22"/>
          <w:szCs w:val="22"/>
        </w:rPr>
        <w:t>Abstract</w:t>
      </w:r>
    </w:p>
    <w:p w14:paraId="0B5BE83C" w14:textId="3DEDD73C" w:rsidR="00A7620E" w:rsidRPr="00902543" w:rsidRDefault="00C74E13" w:rsidP="00C74E13">
      <w:pPr>
        <w:autoSpaceDE w:val="0"/>
        <w:autoSpaceDN w:val="0"/>
        <w:adjustRightInd w:val="0"/>
        <w:jc w:val="both"/>
        <w:rPr>
          <w:sz w:val="22"/>
          <w:szCs w:val="22"/>
        </w:rPr>
      </w:pPr>
      <w:r w:rsidRPr="00902543">
        <w:rPr>
          <w:sz w:val="22"/>
          <w:szCs w:val="22"/>
        </w:rPr>
        <w:t>This article examines how the Banda Aceh Interfaith Forum (FKUB) translates Indonesia’s national policy of religious moderation into practice under Aceh’s sharia governance. Using a qualitative case study, the research draws on in-depth interviews with forum members, religious leaders, and local officials, complemented by document analysis of forum recommendations and relevant local regulations. Data were coded through thematic analysis to trace how national guidelines are localized, negotiated, and enacted in routine mediation and advisory work. The study finds that FKUB operates as a practical policy translator—aligning national goals with local norms by framing moderation in culturally resonant terms, facilitating intergroup contact, and advising authorities on sensitive issues such as house-of-worship permits and community outreach. These efforts are constrained by a limited legal mandate, uneven resources, and public expectations in a sharia-governed setting. The article contributes an empirically grounded account of policy translation in a hybrid legal context and clarifies the link between religious moderation and local governance outcomes. Practical implications include clarifying FKUB’s mandate, strengthening documentation and follow-up mechanisms, and adopting measurable indicators of community trust and conflict prevention. The findings speak to scholars and policymakers concerned with interfaith relations, legal pluralism, and the localization of national reform agendas.</w:t>
      </w:r>
      <w:r w:rsidRPr="00902543">
        <w:rPr>
          <w:sz w:val="22"/>
          <w:szCs w:val="22"/>
        </w:rPr>
        <w:br/>
      </w:r>
    </w:p>
    <w:p w14:paraId="5FE90CFA" w14:textId="2A6E0DF1" w:rsidR="00EB0DE5" w:rsidRPr="00902543" w:rsidRDefault="00EB0DE5" w:rsidP="00C74E13">
      <w:pPr>
        <w:autoSpaceDE w:val="0"/>
        <w:autoSpaceDN w:val="0"/>
        <w:adjustRightInd w:val="0"/>
        <w:jc w:val="both"/>
        <w:rPr>
          <w:i/>
          <w:iCs/>
          <w:sz w:val="22"/>
          <w:szCs w:val="22"/>
        </w:rPr>
      </w:pPr>
      <w:r w:rsidRPr="00902543">
        <w:rPr>
          <w:b/>
          <w:bCs/>
          <w:sz w:val="22"/>
          <w:szCs w:val="22"/>
        </w:rPr>
        <w:t>Keywords:</w:t>
      </w:r>
      <w:r w:rsidRPr="00902543">
        <w:rPr>
          <w:sz w:val="22"/>
          <w:szCs w:val="22"/>
        </w:rPr>
        <w:t xml:space="preserve"> </w:t>
      </w:r>
      <w:r w:rsidR="00C74E13" w:rsidRPr="00902543">
        <w:rPr>
          <w:i/>
          <w:iCs/>
          <w:sz w:val="22"/>
          <w:szCs w:val="22"/>
        </w:rPr>
        <w:t>policy translation; religious moderation; sharia governance; Aceh; Interfaith Forum (FKUB)</w:t>
      </w:r>
    </w:p>
    <w:p w14:paraId="4759BC14" w14:textId="77777777" w:rsidR="00EB0DE5" w:rsidRPr="00902543" w:rsidRDefault="00EB0DE5" w:rsidP="00C74E13">
      <w:pPr>
        <w:autoSpaceDE w:val="0"/>
        <w:autoSpaceDN w:val="0"/>
        <w:adjustRightInd w:val="0"/>
        <w:spacing w:line="480" w:lineRule="auto"/>
        <w:rPr>
          <w:sz w:val="22"/>
          <w:szCs w:val="22"/>
        </w:rPr>
      </w:pPr>
    </w:p>
    <w:p w14:paraId="58912F4B" w14:textId="77777777" w:rsidR="00EB0DE5" w:rsidRPr="00902543" w:rsidRDefault="006563E5" w:rsidP="00C74E13">
      <w:pPr>
        <w:autoSpaceDE w:val="0"/>
        <w:autoSpaceDN w:val="0"/>
        <w:adjustRightInd w:val="0"/>
        <w:spacing w:line="480" w:lineRule="auto"/>
        <w:rPr>
          <w:sz w:val="22"/>
          <w:szCs w:val="22"/>
          <w:lang w:val="en-US"/>
        </w:rPr>
      </w:pPr>
      <w:r w:rsidRPr="00902543">
        <w:rPr>
          <w:b/>
          <w:bCs/>
          <w:sz w:val="22"/>
          <w:szCs w:val="22"/>
          <w:lang w:val="en-US"/>
        </w:rPr>
        <w:t>Introduction</w:t>
      </w:r>
      <w:r w:rsidR="00FE5B36" w:rsidRPr="00902543">
        <w:rPr>
          <w:b/>
          <w:bCs/>
          <w:sz w:val="22"/>
          <w:szCs w:val="22"/>
        </w:rPr>
        <w:t xml:space="preserve"> </w:t>
      </w:r>
    </w:p>
    <w:p w14:paraId="54D03CE4" w14:textId="56945DF9" w:rsidR="00E335A7" w:rsidRPr="00902543" w:rsidRDefault="00E335A7" w:rsidP="00C74E13">
      <w:pPr>
        <w:autoSpaceDE w:val="0"/>
        <w:autoSpaceDN w:val="0"/>
        <w:adjustRightInd w:val="0"/>
        <w:spacing w:line="480" w:lineRule="auto"/>
        <w:ind w:firstLine="567"/>
        <w:jc w:val="both"/>
        <w:rPr>
          <w:sz w:val="22"/>
          <w:szCs w:val="22"/>
        </w:rPr>
      </w:pPr>
      <w:r w:rsidRPr="00902543">
        <w:rPr>
          <w:sz w:val="22"/>
          <w:szCs w:val="22"/>
          <w:lang w:val="en-US"/>
        </w:rPr>
        <w:t>Religious and ideological diversity is an inevitable global social reality, carrying an inherent duality: on the one hand, it offers a rich source of cultural heritage and interfaith understanding; on the other hand, it also serves as fertile ground for friction, misunderstanding, and even open conflict often waged in the name of religion</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{"citationItems":[{"id":"ITEM-1","itemData":{"DOI":"10.18784/analisa.v15i02.339","ISSN":"2443-3853","abstract":"Indonesians generally claim as religious nation. History showed that Indonesian is a nation with rich races, tribes, ethnics, cultures, cus­ tom, and religions. That richness is a gift from God so human beings could organize and maintain their harmony in order to respect and ap­ preciate one another in their diversity. Religions and beliefs such as Islam, Christian, Catholics, Hindu­ ism, Buddha and other believe ideologies educate human beings to do good things (ikhsan) among human being, between members of a reli­ gious community, and among members of various religious communi­ ties. Efforts needed to keep away tension and conflict in daily life of members of a religious community and among members of various reli­ gious communities are to implement and to apply their own tenets, to create dialog among various religious community in leader level or in grassroots level regularly. In addition, to collect various thoughts and opinions of different group of people that care of religious role in solv­ ing current social problems.","author":[{"dropping-particle":"","family":"Priyono","given":"Priyono","non-dropping-particle":"","parse-names":false,"suffix":""}],"container-title":"Analisa","id":"ITEM-1","issue":"02","issued":{"date-parts":[["2016","5","18"]]},"note":"Retrieved from","page":"161","title":"Pluralisme Agama dan Konflik","type":"article-journal","volume":"15"},"uris":["http://www.mendeley.com/documents/?uuid=0fbe598d-48ee-4b0d-8aa2-23779f9fb786"]},{"id":"ITEM-2","itemData":{"DOI":"10.24246/sami.vol2i2pp155-184","author":[{"dropping-particle":"","family":"Nendissa","given":"Julio Eleazer","non-dropping-particle":"","parse-names":false,"suffix":""},{"dropping-particle":"","family":"Simamora","given":"Ridwan Henry","non-dropping-particle":"","parse-names":false,"suffix":""},{"dropping-particle":"","family":"Rotua","given":"Dewi Magdalena","non-dropping-particle":"","parse-names":false,"suffix":""},{"dropping-particle":"","family":"Baringbing","given":"Pangeran Guntar Wijaya","non-dropping-particle":"","parse-names":false,"suffix":""},{"dropping-particle":"","family":"Farneyanan","given":"Sarah","non-dropping-particle":"","parse-names":false,"suffix":""}],"container-title":"Jurnal Sosiologi Agama dan Teologi Indonesia (SAMI)","id":"ITEM-2","issue":"2","issued":{"date-parts":[["2024"]]},"page":"155–184","title":"Pluralisme agama-agama: Tantangan, peluang, dan perspektif teologis dalam membangun kerukunan umat beragama di Indonesia","type":"article-journal","volume":"2"},"uris":["http://www.mendeley.com/documents/?uuid=936b3d40-4c7f-4838-b258-3bf86e76b12a"]},{"id":"ITEM-3","itemData":{"author":[{"dropping-particle":"","family":"Hedges","given":"Paul","non-dropping-particle":"","parse-names":false,"suffix":""}],"id":"ITEM-3","issued":{"date-parts":[["2020"]]},"publisher":"Interreligious Relations","title":"Conceptualising Social Cohesion in Relation to Religious Diversity: Sketching a Pathway in a Globalised World","type":"book"},"uris":["http://www.mendeley.com/documents/?uuid=a3b74368-3009-42a1-95bd-0e13bd1ec0f4"]}],"mendeley":{"formattedCitation":"(Hedges, 2020; Nendissa et al., 2024; Priyono, 2016)","plainTextFormattedCitation":"(Hedges, 2020; Nendissa et al., 2024; Priyono, 2016)","previouslyFormattedCitation":"(Hedges, 2020; Nendissa et al., 2024; Priyono, 2016)"},"properties":{"noteIndex":0},"schema":"https://github.com/citation-style-language/schema/raw/master/csl-citation.json"}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(Hedges, 2020; Nendissa et al., 2024; Priyono, 2016)</w:t>
      </w:r>
      <w:r w:rsidR="00876B52" w:rsidRPr="00902543">
        <w:rPr>
          <w:sz w:val="22"/>
          <w:szCs w:val="22"/>
          <w:vertAlign w:val="superscript"/>
        </w:rPr>
        <w:fldChar w:fldCharType="end"/>
      </w:r>
      <w:r w:rsidR="00C74E13" w:rsidRPr="00902543">
        <w:rPr>
          <w:sz w:val="22"/>
          <w:szCs w:val="22"/>
          <w:vertAlign w:val="superscript"/>
        </w:rPr>
        <w:t>.</w:t>
      </w:r>
      <w:r w:rsidRPr="00902543">
        <w:rPr>
          <w:sz w:val="22"/>
          <w:szCs w:val="22"/>
          <w:lang w:val="en-US"/>
        </w:rPr>
        <w:t xml:space="preserve"> The potential for conflict can be understood through the lens of Social Identity Theory</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author":[{"dropping-particle":"","family":"Tajfel","given":"H","non-dropping-particle":"","parse-names":false,"suffix":""},{"dropping-particle":"","family":"Turner","given":"J","non-dropping-particle":"","parse-names":false,"suffix":""}],"container-title":"The social psychology of intergroup relations. Monterey, CA: Brooks/Cole","id":"ITEM-1","issued":{"date-parts":[["1979"]]},"title":"An integrative theory of multigroup conflict","type":"article-journal"},"uris":["http://www.mendeley.com/documents/?uuid=3d6d87f3-7ea9-4ca1-9549-7c35d8f0f5fe"]}],"mendeley":{"formattedCitation":"(Tajfel &amp; Turner, 1979)","plainTextFormattedCitation":"(Tajfel &amp; Turner, 1979)","previouslyFormattedCitation":"(Tajfel &amp; Turner, 1979)"},"properties":{"noteIndex":0},"schema":"https://github.com/citation-style-language/schema/raw/master/csl-citation.json"}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(Tajfel &amp; Turner, 1979)</w:t>
      </w:r>
      <w:r w:rsidR="00876B52" w:rsidRPr="00902543">
        <w:rPr>
          <w:sz w:val="22"/>
          <w:szCs w:val="22"/>
          <w:vertAlign w:val="superscript"/>
        </w:rPr>
        <w:fldChar w:fldCharType="end"/>
      </w:r>
      <w:r w:rsidR="00C74E13" w:rsidRPr="00902543">
        <w:rPr>
          <w:sz w:val="22"/>
          <w:szCs w:val="22"/>
          <w:lang w:val="en-US"/>
        </w:rPr>
        <w:t xml:space="preserve">, </w:t>
      </w:r>
      <w:r w:rsidRPr="00902543">
        <w:rPr>
          <w:sz w:val="22"/>
          <w:szCs w:val="22"/>
          <w:lang w:val="en-US"/>
        </w:rPr>
        <w:t>which highlights how strong group-based religious identities, when not inclusively managed, can lead to prejudice and intergroup discrimination</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{"citationItems":[{"id":"ITEM-1","itemData":{"DOI":"10.1007/978-1-4614-5583-7_289","author":[{"dropping-particle":"","family":"Islam","given":"Gazi","non-dropping-particle":"","parse-names":false,"suffix":""}],"container-title":"Encyclopedia of Critical Psychology","id":"ITEM-1","issued":{"date-parts":[["2014"]]},"page":"1781-1783","publisher":"Springer New York","publisher-place":"New York, NY","title":"Social Identity Theory","type":"chapter"},"uris":["http://www.mendeley.com/documents/?uuid=39456ea3-78ec-456f-9586-6f776f10c3ec"]}],"mendeley":{"formattedCitation":"(Islam, 2014)","plainTextFormattedCitation":"(Islam, 2014)","previouslyFormattedCitation":"(Islam, 2014)"},"properties":{"noteIndex":0},"schema":"https://github.com/citation-style-language/schema/raw/master/csl-citation.json"}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(Islam, 2014)</w:t>
      </w:r>
      <w:r w:rsidR="00876B52" w:rsidRPr="00902543">
        <w:rPr>
          <w:sz w:val="22"/>
          <w:szCs w:val="22"/>
          <w:vertAlign w:val="superscript"/>
        </w:rPr>
        <w:fldChar w:fldCharType="end"/>
      </w:r>
      <w:r w:rsidR="00C74E13" w:rsidRPr="00902543">
        <w:rPr>
          <w:sz w:val="22"/>
          <w:szCs w:val="22"/>
          <w:lang w:val="en-US"/>
        </w:rPr>
        <w:t xml:space="preserve">. </w:t>
      </w:r>
      <w:r w:rsidRPr="00902543">
        <w:rPr>
          <w:sz w:val="22"/>
          <w:szCs w:val="22"/>
          <w:lang w:val="en-US"/>
        </w:rPr>
        <w:t>This dynamic is evident in recurring patterns of religiously motivated intolerance, discrimination, and violent extremism—issues that continue to draw serious attention from the global community. International reports consistently underline how these issues erode social cohesion, particularly in multicultural regions such as Southeast Asia</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URL":"https://thediplomat.com/2022/10/in-indonesia-a-rising-tide-of-religious-intolerance/","author":[{"dropping-particle":"","family":"Amran","given":"Laura","non-dropping-particle":"","parse-names":false,"suffix":""}],"container-title":"The Diplomat","id":"ITEM-1","issued":{"date-parts":[["2022"]]},"title":"In Indonesia, a Rising Tide of Religious Intolerance","type":"webpage"},"uris":["http://www.mendeley.com/documents/?uuid=64856e35-db28-3d68-9d52-b5eb81622d1b"]},{"id":"ITEM-2","itemData":{"DOI":"10.1007/978-981-16-6847-0","ISBN":"978-981-16-6846-3","collection-title":"Politics of South Asia","editor":[{"dropping-particle":"","family":"Ahmed","given":"Imran","non-dropping-particle":"","parse-names":false,"suffix":""},{"dropping-particle":"","family":"Ahmed","given":"Zahid Shahab","non-dropping-particle":"","parse-names":false,"suffix":""},{"dropping-particle":"","family":"Brasted","given":"Howard","non-dropping-particle":"","parse-names":false,"suffix":""},{"dropping-particle":"","family":"Akbarzadeh","given":"Shahram","non-dropping-particle":"","parse-names":false,"suffix":""}],"id":"ITEM-2","issued":{"date-parts":[["2022"]]},"publisher":"Springer Nature Singapore","publisher-place":"Singapore","title":"Religion, Extremism and Violence in South Asia","type":"book"},"uris":["http://www.mendeley.com/documents/?uuid=34203911-19ab-418d-bf5b-fba25c9636ee"]},{"id":"ITEM-3","itemData":{"DOI":"10.4324/9781003265696-7","ISBN":"9781000916959","abstract":"UNESCO is a global actor with influence on education policies and practices, but issues of religion and education have been given little attention. What may be the reasons for the lack of attention to questions of religion and education and what does this mean for ongoing discourse on these issues? UNESCO has a strong ‘humanist’ legacy, but in the last document, ‘Reimagining our futures together. A new social contract for education’, the role of religion seems to be less restricted, seeing a contribution to the ‘social contract’ and the ‘future together’. The increasing emphasis on the value of ‘diversity’ and ‘epistemic pluralism’ plays a role here, while issues of securitisation and educationalisation raise discussion. It is an open question how this will develop in years to come, but there are reasons to argue that religion may play a more significant role in UNESCO's education policy in the future.","author":[{"dropping-particle":"","family":"Skeie","given":"Geir","non-dropping-particle":"","parse-names":false,"suffix":""}],"container-title":"Religion and Worldviews in Education","id":"ITEM-3","issued":{"date-parts":[["2023","5","22"]]},"page":"71-90","publisher":"Routledge","publisher-place":"London","title":"Global Education Policy on Religion and Education","type":"chapter"},"uris":["http://www.mendeley.com/documents/?uuid=10e9ef2c-f2ca-3d30-ac2f-dc285ba62b07"]}],"mendeley":{"formattedCitation":"(Ahmed et al., 2022; Amran, 2022; Skeie, 2023)","plainTextFormattedCitation":"(Ahmed et al., 2022; Amran, 2022; Skeie, 2023)","previouslyFormattedCitation":"(Ahmed et al., 2022; Amran, 2022; Skeie, 2023)"},"properties":{"noteIndex":0},"schema":"https://github.com/citation-style-language/schema/raw/master/csl-citation.json"}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(Ahmed et al., 2022; Amran, 2022; Skeie, 2023)</w:t>
      </w:r>
      <w:r w:rsidR="00876B52" w:rsidRPr="00902543">
        <w:rPr>
          <w:sz w:val="22"/>
          <w:szCs w:val="22"/>
          <w:vertAlign w:val="superscript"/>
        </w:rPr>
        <w:fldChar w:fldCharType="end"/>
      </w:r>
      <w:r w:rsidR="00C74E13" w:rsidRPr="00902543">
        <w:rPr>
          <w:sz w:val="22"/>
          <w:szCs w:val="22"/>
          <w:lang w:val="en-US"/>
        </w:rPr>
        <w:t>.</w:t>
      </w:r>
    </w:p>
    <w:p w14:paraId="3BD48C4E" w14:textId="45C66F69" w:rsidR="00C74E13" w:rsidRPr="00902543" w:rsidRDefault="00E335A7" w:rsidP="00C74E13">
      <w:pPr>
        <w:autoSpaceDE w:val="0"/>
        <w:autoSpaceDN w:val="0"/>
        <w:adjustRightInd w:val="0"/>
        <w:spacing w:line="480" w:lineRule="auto"/>
        <w:ind w:firstLine="567"/>
        <w:jc w:val="both"/>
        <w:rPr>
          <w:sz w:val="22"/>
          <w:szCs w:val="22"/>
          <w:lang w:val="en-US"/>
        </w:rPr>
      </w:pPr>
      <w:r w:rsidRPr="00902543">
        <w:rPr>
          <w:sz w:val="22"/>
          <w:szCs w:val="22"/>
          <w:lang w:val="en-US"/>
        </w:rPr>
        <w:lastRenderedPageBreak/>
        <w:t>As a response to these global challenges, many nations have sought to formulate and implement strategic approaches to fostering tolerance, cultivating meaningful interfaith dialogue, and pursuing sustainable peace grounded in social justice</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{"citationItems":[{"id":"ITEM-1","itemData":{"DOI":"10.22146/jkn.61332","ISSN":"2527-9688","abstract":"ABSTRAKPancasila merupakan ideologi bangsa Indonesia. Penerapan nilai-nilai Pancasila perlu dilakukan oleh setiap warga negara Indonesia agar terciptanya warga negara yang baik serta mampu mengimplementasikan nilai Pancasila di kehidupan sehari-hari seperti toleransi umat beragama sehingga akan meningkatkan ketahanan nasional. Tujuan penelitian ini yaitu mengetahui sejauh mana ancaman Intoleransi Terhadap Dasar Negara Pancasila dan Implikasinya Kepada Ketahanan Ideologi Wilayah terutama di Tasikmalaya.Penelitian ini menggunakan metode penelitian studi kasus dengan menggunakan berbagai prosedur pengumpulan data untuk menggambarkan respon dari suatu peristiwa pada periode tertentu, Teknik pengumpulan data yang digunakan dalam penelitian ini adalah observasi, wawancara dan dokumentasi sedangkan untuk teknik analisis data pada penelitian ini yaitu reduksi data, penyajian data, dan mengambil kesimpulan.Permasalahan mengenai ketahanan ideologi Pancasila saat ini menjadi polemik bangsa Indonesia. munculnya berbagai isu gerakan pembentukan negara berbasis agama sampai dengan praktik-praktik pemahaman dan perubahan ideologi di berbagai aspek kehidupan sikap intoleransi terhadap umat beragama salah satunya adalah pemahaman agama yang bersifat ekstrinsik Pancasila menjadi sebuah alat pemersatu bangsa Indonesia agar tidak terpecah belah,Pancasila adalah ideologi dan dasar negara kesatuan memiliki nilai yang digali dari Indonesia, artinya digali dan diambil dari kekayaan, rohani, moral dan budaya masyarakat dan bangsa Indonesia. Sikap toleransi harus ditegakkan untuk melawan sikap anti toleransi atau intoleransi yang semakin berkembang. Bhinneka Tunggal Ika dan nilai Pancasila dijadikan dasar dalam upaya membina kerukunan dalam kehidupan bermasyarakat, berbangsa, dan bernegara.","author":[{"dropping-particle":"","family":"Budiman","given":"Agus","non-dropping-particle":"","parse-names":false,"suffix":""},{"dropping-particle":"","family":"Taufiq","given":"Otong Husni","non-dropping-particle":"","parse-names":false,"suffix":""},{"dropping-particle":"","family":"Nurholis","given":"Egi","non-dropping-particle":"","parse-names":false,"suffix":""}],"container-title":"Jurnal Ketahanan Nasional","id":"ITEM-1","issue":"3","issued":{"date-parts":[["2022","12","30"]]},"page":"372–391","title":"Ancaman Intoleransi Terhadap Dasar Negara Pancasila Dan Implikasinya Terhadap Ketahanan Ideologi Wilayah (Studi Di Kabupaten Tasikmalaya, Jawa Barat, Periode 2019-2020)","type":"article-journal","volume":"28"},"uris":["http://www.mendeley.com/documents/?uuid=37b9c41a-337a-4ede-aa3d-3db0ae8d6256"]},{"id":"ITEM-2","itemData":{"DOI":"10.22146/jkn.98566","ISSN":"2527-9688","abstract":"Indonesia, negara pluralis dengan beragam suku, agama, budaya, dan bahasa, menghadapi tantangan intoleransi yang mengancam kerukunan bermasyarakat dan bernegara. Penelitian ini mengkaji fenomena intoleransi secara mendalam menggunakan pendekatan studi kasus, fokus pada pemicu sikap intoleransi dan praktik-praktik yang diakibatkan oleh konstruksi nilai moral yang menyimpang. Metode pengumpulan data meliputi observasi, wawancara mendalam, dan dokumentasi. Analisis data dilakukan melalui reduksi, penyajian, dan penarikan kesimpulan. Intoleransi dapat menyebabkan dampak negatif seperti perpecahan bangsa dan konflik sosial. Mengatasi intoleransi memerlukan upaya komprehensif dari berbagai pemangku kepentingan, termasuk pemerintah, masyarakat, dan lembaga pendidikan. Kebijakan untuk mengatasi ancaman intoleransi terhadap Pancasila dapat dilakukan dengan berbagai strategi. Intoleransi muncul dalam bentuk sikap diskriminatif terhadap kelompok minoritas, penyebaran paham radikal, dan politik identitas yang memecah belah. Pancasila, sebagai landasan utama kehidupan berbangsa dan bernegara, harus dijaga dan dilestarikan untuk mempertahankan keberagaman sebagai kekayaan Indonesia.","author":[{"dropping-particle":"","family":"Taufiq","given":"Otong Husni","non-dropping-particle":"","parse-names":false,"suffix":""},{"dropping-particle":"","family":"Budiman","given":"Agus","non-dropping-particle":"","parse-names":false,"suffix":""},{"dropping-particle":"","family":"Nurholis","given":"Egi","non-dropping-particle":"","parse-names":false,"suffix":""}],"container-title":"Jurnal Ketahanan Nasional","id":"ITEM-2","issue":"2","issued":{"date-parts":[["2024","8","20"]]},"page":"161","title":"Kebijakan dalam Menanggulangi Ancaman Intoleransi Beragama terhadap Ketahanan Ideologi Pancasila di Kabupaten Ciamis Jawa Barat","type":"article-journal","volume":"30"},"uris":["http://www.mendeley.com/documents/?uuid=fd2c33bd-8055-4504-ae45-d96f023b2118"]}],"mendeley":{"formattedCitation":"(Budiman et al., 2022; Taufiq et al., 2024)","plainTextFormattedCitation":"(Budiman et al., 2022; Taufiq et al., 2024)","previouslyFormattedCitation":"(Budiman et al., 2022; Taufiq et al.,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(Budiman et al., 2022; Taufiq et al., 2024)</w:t>
      </w:r>
      <w:r w:rsidR="00876B52" w:rsidRPr="00902543">
        <w:rPr>
          <w:sz w:val="22"/>
          <w:szCs w:val="22"/>
          <w:vertAlign w:val="superscript"/>
        </w:rPr>
        <w:fldChar w:fldCharType="end"/>
      </w:r>
      <w:r w:rsidR="00C74E13" w:rsidRPr="00902543">
        <w:rPr>
          <w:sz w:val="22"/>
          <w:szCs w:val="22"/>
          <w:lang w:val="en-US"/>
        </w:rPr>
        <w:t xml:space="preserve">. </w:t>
      </w:r>
      <w:r w:rsidRPr="00902543">
        <w:rPr>
          <w:sz w:val="22"/>
          <w:szCs w:val="22"/>
          <w:lang w:val="en-US"/>
        </w:rPr>
        <w:t xml:space="preserve">Within this context, Indonesia as home to the world’s largest Muslim population and constitutionally recognized religious pluralism faces an especially complex challenge in managing religious diversity. While the ideal of “unity in diversity” is enshrined in the national motto </w:t>
      </w:r>
      <w:r w:rsidRPr="00902543">
        <w:rPr>
          <w:i/>
          <w:iCs/>
          <w:sz w:val="22"/>
          <w:szCs w:val="22"/>
          <w:lang w:val="en-US"/>
        </w:rPr>
        <w:t>Bhinneka Tunggal Ika</w:t>
      </w:r>
      <w:r w:rsidRPr="00902543">
        <w:rPr>
          <w:sz w:val="22"/>
          <w:szCs w:val="22"/>
          <w:lang w:val="en-US"/>
        </w:rPr>
        <w:t>, both historical and contemporary realities reveal gaps between this ideal and lived experience. Interreligious relations remain fraught with tensions fueled by political, social, and economic factors</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{"citationItems":[{"id":"ITEM-1","itemData":{"DOI":"10.15575/rpj.v1i1.432","ISSN":"3031-1004","abstract":"This article explores the complex relationship between religion and policy in the public sphere. This research explores the tensions that arise when religious beliefs and practices intersect with government policies and decision-making processes. This study examines how individuals, communities, and governments address these challenges, seeking to strike a balance between upholding religious freedom and ensuring public policy is secular. Through a multidisciplinary approach, this research highlights the multiple dimensions of this issue, providing insight into its implications for governance, social cohesion and individual rights. This exploration aims to contribute to a deeper understanding of the dynamic relationship between religion and policy in contemporary society.","author":[{"dropping-particle":"","family":"Sambo","given":"Usman","non-dropping-particle":"","parse-names":false,"suffix":""}],"container-title":"Religion and Policy Journal","id":"ITEM-1","issue":"1","issued":{"date-parts":[["2023","12","19"]]},"page":"16-21","title":"Tensions between Religion and Policy: Navigating the Public Sphere","type":"article-journal","volume":"1"},"uris":["http://www.mendeley.com/documents/?uuid=584308bf-8daa-4dd8-8a61-7f45935ec3b8"]},{"id":"ITEM-2","itemData":{"URL":"https://ronggo.id/interfaith-dialogue-in-indonesia/","author":[{"dropping-particle":"","family":"Rosidah","given":"Afifah","non-dropping-particle":"","parse-names":false,"suffix":""}],"container-title":"Ronggo.id","id":"ITEM-2","issued":{"date-parts":[["2020"]]},"title":"Interfaith Dialogue in Indonesia","type":"webpage"},"uris":["http://www.mendeley.com/documents/?uuid=75b0e86f-35b1-33dc-bad5-790f0ba33b36"]}],"mendeley":{"formattedCitation":"(Rosidah, 2020; Sambo, 2023)","plainTextFormattedCitation":"(Rosidah, 2020; Sambo, 2023)","previouslyFormattedCitation":"(Rosidah, 2020; Sambo, 2023)"},"properties":{"noteIndex":0},"schema":"https://github.com/citation-style-language/schema/raw/master/csl-citation.json"}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(Rosidah, 2020; Sambo, 2023)</w:t>
      </w:r>
      <w:r w:rsidR="00876B52" w:rsidRPr="00902543">
        <w:rPr>
          <w:sz w:val="22"/>
          <w:szCs w:val="22"/>
          <w:vertAlign w:val="superscript"/>
        </w:rPr>
        <w:fldChar w:fldCharType="end"/>
      </w:r>
      <w:r w:rsidR="00C74E13" w:rsidRPr="00902543">
        <w:rPr>
          <w:sz w:val="22"/>
          <w:szCs w:val="22"/>
          <w:lang w:val="en-US"/>
        </w:rPr>
        <w:t xml:space="preserve">, </w:t>
      </w:r>
      <w:r w:rsidRPr="00902543">
        <w:rPr>
          <w:sz w:val="22"/>
          <w:szCs w:val="22"/>
        </w:rPr>
        <w:t>as reflected in ongoing reports of religious intolerance documented by several monitoring institutions, such as the Wahid Foundation</w:t>
      </w:r>
      <w:r w:rsidR="00C74E13" w:rsidRPr="00902543">
        <w:rPr>
          <w:sz w:val="22"/>
          <w:szCs w:val="22"/>
        </w:rPr>
        <w:t xml:space="preserve"> </w:t>
      </w:r>
      <w:r w:rsidR="00876B52" w:rsidRPr="00902543">
        <w:rPr>
          <w:sz w:val="22"/>
          <w:szCs w:val="22"/>
          <w:vertAlign w:val="superscript"/>
        </w:rPr>
        <w:fldChar w:fldCharType="begin" w:fldLock="1"/>
      </w:r>
      <w:r w:rsidR="00AD7F4D">
        <w:rPr>
          <w:sz w:val="22"/>
          <w:szCs w:val="22"/>
        </w:rPr>
        <w:instrText>ADDIN CSL_CITATION {"citationItems":[{"id":"ITEM-1","itemData":{"URL":"https://wahidfoundation.org/news/detail/Wahid-Foundation-Diskusikan-Laporan-Kemerdekaan-Beragama-dan-Berkeyakinan-di-Indonesia-Tahun-2020-2022","author":[{"dropping-particle":"","family":"Admin","given":"","non-dropping-particle":"","parse-names":false,"suffix":""}],"container-title":"Wahid Foundation","id":"ITEM-1","issued":{"date-parts":[["2023"]]},"title":"Wahid Foundation Diskusikan Laporan Kemerdekaan Beragama dan Berkeyakinan di Indonesia Tahun 2020-2022","type":"webpage"},"uris":["http://www.mendeley.com/documents/?uuid=d3843791-c09d-3cfc-8886-629c6c54f10d"]}],"mendeley":{"formattedCitation":"(Admin, 2023)","manualFormatting":"(2023)","plainTextFormattedCitation":"(Admin, 2023)","previouslyFormattedCitation":"(Admin, 2023)"},"properties":{"noteIndex":0},"schema":"https://github.com/citation-style-language/schema/raw/master/csl-citation.json"}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(2023)</w:t>
      </w:r>
      <w:r w:rsidR="00876B52" w:rsidRPr="00902543">
        <w:rPr>
          <w:sz w:val="22"/>
          <w:szCs w:val="22"/>
          <w:vertAlign w:val="superscript"/>
        </w:rPr>
        <w:fldChar w:fldCharType="end"/>
      </w:r>
      <w:r w:rsidRPr="00902543">
        <w:rPr>
          <w:sz w:val="22"/>
          <w:szCs w:val="22"/>
          <w:lang w:val="en-US"/>
        </w:rPr>
        <w:t xml:space="preserve"> and Setara Institute’s Religious Freedom Report</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{"citationItems":[{"id":"ITEM-1","itemData":{"URL":"https://setara-institute.org/rilis-data-kondisi-kebebasan-beragama-dan-berkeyakinan-2023/","author":[{"dropping-particle":"","family":"Setara Institut","given":"","non-dropping-particle":"","parse-names":false,"suffix":""}],"container-title":"Setara Institut","id":"ITEM-1","issued":{"date-parts":[["2023"]]},"title":"Rilis Data: Kondisi Kebebasan Beragama dan Berkeyakinan 2023","type":"webpage"},"uris":["http://www.mendeley.com/documents/?uuid=166f6012-9c47-3ad0-b1c9-cd19efedd7a2"]}],"mendeley":{"formattedCitation":"(Setara Institut, 2023)","plainTextFormattedCitation":"(Setara Institut, 2023)","previouslyFormattedCitation":"(Setara Institut, 2023)"},"properties":{"noteIndex":0},"schema":"https://github.com/citation-style-language/schema/raw/master/csl-citation.json"}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(Setara Institut, 2023)</w:t>
      </w:r>
      <w:r w:rsidR="00876B52" w:rsidRPr="00902543">
        <w:rPr>
          <w:sz w:val="22"/>
          <w:szCs w:val="22"/>
          <w:vertAlign w:val="superscript"/>
        </w:rPr>
        <w:fldChar w:fldCharType="end"/>
      </w:r>
      <w:r w:rsidR="00C74E13" w:rsidRPr="00902543">
        <w:rPr>
          <w:sz w:val="22"/>
          <w:szCs w:val="22"/>
          <w:lang w:val="en-US"/>
        </w:rPr>
        <w:t xml:space="preserve">. </w:t>
      </w:r>
      <w:r w:rsidRPr="00902543">
        <w:rPr>
          <w:sz w:val="22"/>
          <w:szCs w:val="22"/>
          <w:lang w:val="en-US"/>
        </w:rPr>
        <w:t>These conditions underscore the urgent need for a more systematic and in-depth strategy for managing diversity—one that goes beyond formal inter-elite harmony and emphasizes the grassroots internalization of values such as pluralism and intercultural understanding</w:t>
      </w:r>
      <w:r w:rsidR="00C74E1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ISBN":"9781526485823","author":[{"dropping-particle":"","family":"Syed","given":"Jawad","non-dropping-particle":"","parse-names":false,"suffix":""},{"dropping-particle":"","family":"Ozbilgin","given":"Mustafa","non-dropping-particle":"","parse-names":false,"suffix":""}],"id":"ITEM-1","issued":{"date-parts":[["2019"]]},"publisher":"SAGE Publications","title":"Managing Diversity and Inclusion: An International Perspective","type":"book"},"uris":["http://www.mendeley.com/documents/?uuid=1cc6c1cf-31de-4f2d-8c35-da9a1f0f10a3"]},{"id":"ITEM-2","itemData":{"DOI":"10.1108/EDI-07-2019-0197","ISSN":"2040-7149","author":[{"dropping-particle":"","family":"Yadav","given":"Shatrughan","non-dropping-particle":"","parse-names":false,"suffix":""},{"dropping-particle":"","family":"Lenka","given":"Usha","non-dropping-particle":"","parse-names":false,"suffix":""}],"container-title":"Equality, Diversity and Inclusion: An International Journal","id":"ITEM-2","issue":"8","issued":{"date-parts":[["2020","5","13"]]},"page":"901-929","title":"Diversity management: a systematic review","type":"article-journal","volume":"39"},"uris":["http://www.mendeley.com/documents/?uuid=ed76d063-59c6-4fe3-8ffb-b217691c4e3a"]},{"id":"ITEM-3","itemData":{"DOI":"10.1108/02621710310505467","ISSN":"0262-1711","abstract":"Many organizations have implemented various types of initiatives within the last few decades in an effort to deal with diversity. A possible missing vinculum (link) between how an organization deals with diversity and its impact on the bottomline is a corporate diversity strategy that is executed using a planned change approach to systemically manage diversity. While many organizations have implemented a corporate diversity strategy, most have not used a “planned change‐corporate diversity strategy”. The lack of a “planned change‐corporate diversity strategy” is quite likely to inhibit managing diversity from becoming systemic to an organization's culture and its way of doing business, thus tending to disallow the potential benefits of diversity to be maximized. Hence, this paper offers a framework for using a “planned change‐corporate diversity strategy” to: progress along the “diversity continuum” starting with acknowledging to valuing, and ultimately to managing diversity; and systemically managing diversity using a eight‐step “managing diversity process”.","author":[{"dropping-particle":"","family":"Friday","given":"Earnest","non-dropping-particle":"","parse-names":false,"suffix":""},{"dropping-particle":"","family":"Friday","given":"Shawnta S.","non-dropping-particle":"","parse-names":false,"suffix":""}],"container-title":"Journal of Management Development","id":"ITEM-3","issue":"10","issued":{"date-parts":[["2003","12","1"]]},"page":"863-880","title":"Managing diversity using a strategic planned change approach","type":"article-journal","volume":"22"},"uris":["http://www.mendeley.com/documents/?uuid=597261dd-8e5c-4808-b891-72c23fcad855"]}],"mendeley":{"formattedCitation":"(Friday &amp; Friday, 2003; Syed &amp; Ozbilgin, 2019; Yadav &amp; Lenka, 2020)","plainTextFormattedCitation":"(Friday &amp; Friday, 2003; Syed &amp; Ozbilgin, 2019; Yadav &amp; Lenka, 2020)","previouslyFormattedCitation":"(Friday &amp; Friday, 2003; Syed &amp; Ozbilgin, 2019; Yadav &amp; Lenka, 2020)"},"properties":{"noteIndex":0},"schema":"https://github.com/citation-style-language/schema/raw/master/csl-citation.json"}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(Friday &amp; Friday, 2003; Syed &amp; Ozbilgin, 2019; Yadav &amp; Lenka, 2020)</w:t>
      </w:r>
      <w:r w:rsidR="00876B52" w:rsidRPr="00902543">
        <w:rPr>
          <w:sz w:val="22"/>
          <w:szCs w:val="22"/>
          <w:vertAlign w:val="superscript"/>
        </w:rPr>
        <w:fldChar w:fldCharType="end"/>
      </w:r>
      <w:r w:rsidR="00C74E13" w:rsidRPr="00902543">
        <w:rPr>
          <w:sz w:val="22"/>
          <w:szCs w:val="22"/>
          <w:lang w:val="en-US"/>
        </w:rPr>
        <w:t xml:space="preserve">. </w:t>
      </w:r>
    </w:p>
    <w:p w14:paraId="0FCBA8B5" w14:textId="012D60B0" w:rsidR="00E335A7" w:rsidRPr="00902543" w:rsidRDefault="00C74E13" w:rsidP="00C74E13">
      <w:pPr>
        <w:autoSpaceDE w:val="0"/>
        <w:autoSpaceDN w:val="0"/>
        <w:adjustRightInd w:val="0"/>
        <w:spacing w:line="480" w:lineRule="auto"/>
        <w:ind w:firstLine="567"/>
        <w:jc w:val="both"/>
        <w:rPr>
          <w:sz w:val="22"/>
          <w:szCs w:val="22"/>
          <w:lang w:val="en-US"/>
        </w:rPr>
      </w:pPr>
      <w:r w:rsidRPr="00902543">
        <w:rPr>
          <w:sz w:val="22"/>
          <w:szCs w:val="22"/>
          <w:lang w:val="en-US"/>
        </w:rPr>
        <w:t>T</w:t>
      </w:r>
      <w:r w:rsidR="00E335A7" w:rsidRPr="00902543">
        <w:rPr>
          <w:sz w:val="22"/>
          <w:szCs w:val="22"/>
          <w:lang w:val="en-US"/>
        </w:rPr>
        <w:t>o address this need, the Indonesian government launched a national policy on “Religious Moderation,” emphasizing a balanced, just, and tolerant approach to religious practice (</w:t>
      </w:r>
      <w:proofErr w:type="spellStart"/>
      <w:r w:rsidR="00E335A7" w:rsidRPr="00902543">
        <w:rPr>
          <w:i/>
          <w:iCs/>
          <w:sz w:val="22"/>
          <w:szCs w:val="22"/>
          <w:lang w:val="en-US"/>
        </w:rPr>
        <w:t>tasamuh</w:t>
      </w:r>
      <w:proofErr w:type="spellEnd"/>
      <w:r w:rsidR="00E335A7" w:rsidRPr="00902543">
        <w:rPr>
          <w:sz w:val="22"/>
          <w:szCs w:val="22"/>
          <w:lang w:val="en-US"/>
        </w:rPr>
        <w:t>) and firmly rejecting all forms of extremism and violence</w:t>
      </w:r>
      <w:r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{"citationItems":[{"id":"ITEM-1","itemData":{"author":[{"dropping-particle":"","family":"Kementerian Agama RI","given":"","non-dropping-particle":"","parse-names":false,"suffix":""}],"id":"ITEM-1","issued":{"date-parts":[["2019"]]},"publisher":"Badan Litbang dan Diklat Kementerian Agama RI","publisher-place":"Jakarta","title":"Moderasi Beragama","type":"book"},"uris":["http://www.mendeley.com/documents/?uuid=14103553-203c-47f1-8b04-71dbd93edf79"]},{"id":"ITEM-2","itemData":{"author":[{"dropping-particle":"","family":"Kementerian Agama RI","given":"","non-dropping-particle":"","parse-names":false,"suffix":""}],"id":"ITEM-2","issued":{"date-parts":[["2019"]]},"publisher":"Badan Litbang dan Diklat Kementerian Agama RI","publisher-place":"Jakarta","title":"Tanya Jawab Moderasi Beragama","type":"book"},"uris":["http://www.mendeley.com/documents/?uuid=41d37e1c-447c-4557-a79f-4d048502c454"]},{"id":"ITEM-3","itemData":{"DOI":"10.1080/23311886.2022.2116162","ISSN":"2331-1886","author":[{"dropping-particle":"","family":"Jubba","given":"Hasse","non-dropping-particle":"","parse-names":false,"suffix":""},{"dropping-particle":"","family":"Awang","given":"Jaffary","non-dropping-particle":"","parse-names":false,"suffix":""},{"dropping-particle":"","family":"Qodir","given":"Zuly","non-dropping-particle":"","parse-names":false,"suffix":""},{"dropping-particle":"","family":"Hannani","given":"","non-dropping-particle":"","parse-names":false,"suffix":""},{"dropping-particle":"","family":"Pabbajah","given":"Mustaqim","non-dropping-particle":"","parse-names":false,"suffix":""}],"container-title":"Cogent Social Sciences","id":"ITEM-3","issue":"1","issued":{"date-parts":[["2022","12","31"]]},"title":"The contestation between conservative and moderate Muslims in promoting Islamic moderatism in Indonesia","type":"article-journal","volume":"8"},"uris":["http://www.mendeley.com/documents/?uuid=b9a326eb-16e1-414b-bbde-797a9ea9e4d2"]}],"mendeley":{"formattedCitation":"(Jubba et al., 2022; Kementerian Agama RI, 2019a, 2019b)","plainTextFormattedCitation":"(Jubba et al., 2022; Kementerian Agama RI, 2019a, 2019b)","previouslyFormattedCitation":"(Jubba et al., 2022; Kementerian Agama RI, 2019a, 2019b)"},"properties":{"noteIndex":0},"schema":"https://github.com/citation-style-language/schema/raw/master/csl-citation.json"}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(Jubba et al., 2022; Kementerian Agama RI, 2019a, 2019b)</w:t>
      </w:r>
      <w:r w:rsidR="00876B52" w:rsidRPr="00902543">
        <w:rPr>
          <w:sz w:val="22"/>
          <w:szCs w:val="22"/>
          <w:vertAlign w:val="superscript"/>
        </w:rPr>
        <w:fldChar w:fldCharType="end"/>
      </w:r>
      <w:r w:rsidRPr="00902543">
        <w:rPr>
          <w:sz w:val="22"/>
          <w:szCs w:val="22"/>
          <w:lang w:val="en-US"/>
        </w:rPr>
        <w:t xml:space="preserve">. </w:t>
      </w:r>
      <w:r w:rsidR="00E335A7" w:rsidRPr="00902543">
        <w:rPr>
          <w:sz w:val="22"/>
          <w:szCs w:val="22"/>
          <w:lang w:val="en-US"/>
        </w:rPr>
        <w:t>Core values such as balance (</w:t>
      </w:r>
      <w:proofErr w:type="spellStart"/>
      <w:r w:rsidR="00E335A7" w:rsidRPr="00902543">
        <w:rPr>
          <w:i/>
          <w:iCs/>
          <w:sz w:val="22"/>
          <w:szCs w:val="22"/>
          <w:lang w:val="en-US"/>
        </w:rPr>
        <w:t>tawazun</w:t>
      </w:r>
      <w:proofErr w:type="spellEnd"/>
      <w:r w:rsidR="00E335A7" w:rsidRPr="00902543">
        <w:rPr>
          <w:sz w:val="22"/>
          <w:szCs w:val="22"/>
          <w:lang w:val="en-US"/>
        </w:rPr>
        <w:t>), justice (</w:t>
      </w:r>
      <w:proofErr w:type="spellStart"/>
      <w:r w:rsidR="00E335A7" w:rsidRPr="00902543">
        <w:rPr>
          <w:i/>
          <w:iCs/>
          <w:sz w:val="22"/>
          <w:szCs w:val="22"/>
          <w:lang w:val="en-US"/>
        </w:rPr>
        <w:t>i’tidal</w:t>
      </w:r>
      <w:proofErr w:type="spellEnd"/>
      <w:r w:rsidR="00E335A7" w:rsidRPr="00902543">
        <w:rPr>
          <w:sz w:val="22"/>
          <w:szCs w:val="22"/>
          <w:lang w:val="en-US"/>
        </w:rPr>
        <w:t>), and deliberation (</w:t>
      </w:r>
      <w:proofErr w:type="spellStart"/>
      <w:r w:rsidR="00E335A7" w:rsidRPr="00902543">
        <w:rPr>
          <w:i/>
          <w:iCs/>
          <w:sz w:val="22"/>
          <w:szCs w:val="22"/>
          <w:lang w:val="en-US"/>
        </w:rPr>
        <w:t>syura</w:t>
      </w:r>
      <w:proofErr w:type="spellEnd"/>
      <w:r w:rsidR="00E335A7" w:rsidRPr="00902543">
        <w:rPr>
          <w:sz w:val="22"/>
          <w:szCs w:val="22"/>
          <w:lang w:val="en-US"/>
        </w:rPr>
        <w:t>) not only reflect the essence of many religious teachings in Indonesia but also resonate with the foundational values of Pancasila</w:t>
      </w:r>
      <w:r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author":[{"dropping-particle":"","family":"Muslim","given":"Buhori","non-dropping-particle":"","parse-names":false,"suffix":""}],"editor":[{"dropping-particle":"","family":"Nurulllah","given":"","non-dropping-particle":"","parse-names":false,"suffix":""}],"id":"ITEM-1","issued":{"date-parts":[["2022"]]},"publisher":"Bandar Publishing","publisher-place":"Banda Aceh","title":"Nilai-Nilai Moderasi Beragama dalam Buku Ajar Al-Qur'an Hadist di Madrasah Aliyah","type":"book"},"uris":["http://www.mendeley.com/documents/?uuid=44752fc3-1b30-3f41-95ad-13164f1b56ba"]},{"id":"ITEM-2","itemData":{"DOI":"10.1016/j.ssaho.2024.101271","ISSN":"25902911","author":[{"dropping-particle":"","family":"Setinawati","given":"","non-dropping-particle":"","parse-names":false,"suffix":""},{"dropping-particle":"","family":"Jeniva","given":"Isabella","non-dropping-particle":"","parse-names":false,"suffix":""},{"dropping-particle":"","family":"Tanyid","given":"Maidiantius","non-dropping-particle":"","parse-names":false,"suffix":""},{"dropping-particle":"","family":"Merilyn","given":"","non-dropping-particle":"","parse-names":false,"suffix":""}],"container-title":"Social Sciences &amp; Humanities Open","id":"ITEM-2","issued":{"date-parts":[["2025"]]},"page":"101271","title":"The framework of religious moderation: A socio-theological study on the role of religion and culture from Indonesia's perspective","type":"article-journal","volume":"11"},"uris":["http://www.mendeley.com/documents/?uuid=dbbcf7eb-e7a0-4564-8aed-573fdb3477f3"]},{"id":"ITEM-3","itemData":{"DOI":"10.37302/jbi.v13i1.189","ISSN":"2657-1188","abstract":"Abstrak Moderasi beragama tidak hanya perlu dikembangkan dalam pola keberagamaan, tetapi dalam cara berpikir tentang negara. Sebab keterkaitan antara negara dan paham keagamaan, sering memunculkan sikap ekstrim dalam beragama. Untuk itu dibutuhkan pemikiran kenegaraan Islam yang moderat, yang melampaui formalisasi agama melalui negara pada satu sisi, dan pemisahan agama dan negara pada sisi lain. Dalam kaitan ini, pemikiran KH Abdurrahman Wahid (Gus Dur) tentang persoalan ini menjadi penting untuk dipahami. Gus Dur telah mewariskan pemikiran kenegaraan Islam yang moderat yang sesuai dengan prinsip kehidupan politik demokratis dan berkeadilan sosial. Abstract Religious moderation needs to be developed not only in a pattern of religion, but in ways of thinking about the state because the relationship between the state and religious understanding often leads to extreme attitude in religion. Therefore, it requires moderate Islamic thinking, which transcend religious formalization through the state on one side, and the separation of religion and state on the other. On this regard, KH Abdurrahman Wahid's (Gus Dur) thought about this becomes important to understand. Gus Dur has bequeathed thought of moderate Islamic state that conforms to the principles of democratic political life and social justice.","author":[{"dropping-particle":"","family":"Arif","given":"Syaiful","non-dropping-particle":"","parse-names":false,"suffix":""}],"container-title":"Jurnal Bimas Islam","id":"ITEM-3","issue":"1","issued":{"date-parts":[["2020","7","21"]]},"page":"73-104","title":"Moderasi Beragama dalam Diskursus Negara Islam: Pemikiran KH Abdurrahman Wahid","type":"article-journal","volume":"13"},"uris":["http://www.mendeley.com/documents/?uuid=25fd5b28-1494-4595-bd59-8a6605de23a0"]},{"id":"ITEM-4","itemData":{"DOI":"10.53491/porosonim.v3i1.333","ISSN":"2776-4532","abstract":"It is undeniable that in the realm of praxis of religious and state life in Indonesia, there are still some people who clash Pancasila with religious teachings. Whereas as a state ideology, Pancasila actually contains the value of forming moderate religious understandings and attitudes for the benefit of life between religious people in Indonesia. This study intends to identify the dimensions of religious moderation values in the construction of Pancasila. This literature research uses a normative-philosophical approach. The results of the study concluded that there are dimensions of religious moderation values contained in the construction of Pancasila. First, the value of tolerance in the first precept is in the form of the value of forming paradigms and social attitudes of religion that prioritize pluralism in life between religious people. Second, the value of anti-radicalism in the second precept is in the form of the value of forming paradigms and social religious attitudes that prioritize the spirit of humanism. Third, the value of national commitment in the third precept is in the form of the value of forming paradigms and social attitudes of religion that uphold nationalism. Fourth, the accommodating value of local wisdom in the fourth and fifth precepts is in the form of the value of forming paradigms and social attitudes of diversity that prioritize the principle of deliberation and make the value of social justice in responding to various local wisdom. The theoretical implications of the findings of this study show that Pancasila contains universal values in the formation of a moderate social religious character in Indonesia. The limitation of this study is that it has not studied the role of the Indonesian government in disseminating the value of religious moderation contained in Pancasila in various lines of social life.","author":[{"dropping-particle":"","family":"Islamy","given":"Athoillah","non-dropping-particle":"","parse-names":false,"suffix":""}],"container-title":"POROS ONIM: Jurnal Sosial Keagamaan","id":"ITEM-4","issue":"1","issued":{"date-parts":[["2022","6","28"]]},"page":"18-30","title":"Moderasi Beragama Dalam Ideologi Pancasila","type":"article-journal","volume":"3"},"uris":["http://www.mendeley.com/documents/?uuid=7abd67ec-57b4-4825-9938-83727c715ae8"]},{"id":"ITEM-5","itemData":{"DOI":"10.22373/jsai.v5i1.4312","ISSN":"2722-6700","abstract":"\\nThis article aims to analyze the discourse of religious moderation as conveyed by the Ministry of Religious Affairs of the Republic of Indonesia, utilizing Norman Fairclough's critical discourse analysis (CDA) framework. The primary focus is on understanding how religious moderation is represented, how power relations are constructed, and how identity is formed through this discourse. The study adopts a qualitative approach, applying Fairclough's techniques for critical discourse analysis. Data were collected from content related to religious moderation on the official website of the Ministry of Religious Affairs of the Republic of Indonesia. The analysis divides the discourse into three levels: Microstructural, Mesostructural, and Macrostructural. At the Microstructural level, the findings indicate that the representation in the discourse of religious moderation includes comprehensive information and clear metaphors, establishing power relations and positioning journalists as part of governmental authority. At the Mesostructural level, it was found that the Ministry of Religious Affairs' website functions as a government information medium in the religious domain, with journalists as members of the Ministry of Religious Affairs, reaffirming power relations in the dissemination of the discourse. Furthermore, the Macrostructural analysis reveals that the Ministry of Religious Affairs' efforts to construct a narrative of religious moderation are a strategic response to social threats disrupting national unity, such as radicalism and intolerance. This study confirms that the Ministry of Religious Affairs of the Republic of Indonesia uses its website as the primary platform for spreading the discourse of religious moderation as an effort to face social challenges and strengthen national unity. The critical discourse analysis demonstrates that representation, power relations, and identity formation through the discourse of religious moderation play a crucial role in this effort.\\n \\n\\nAbstrak\\n \\n\\nArtikel ini bertujuan untuk menganalisis wacana moderasi beragama yang disampaikan oleh Kementerian Agama Republik Indonesia menggunakan kerangka analisis wacana kritis Norman Fairclough. Fokus utama adalah untuk memahami bagaimana moderasi beragama direpresentasikan, bagaimana relasi kuasa terkonstruksi, dan bagaimana identitas dibentuk melalui wacana tersebut. Kajian ini menggunakan pendekatan kualitatif, dengan menerapkan teknik analisis wacana kritis Norman …","author":[{"dropping-particle":"","family":"Ashadi","given":"Andri","non-dropping-particle":"","parse-names":false,"suffix":""},{"dropping-particle":"","family":"Martalia","given":"Martalia","non-dropping-particle":"","parse-names":false,"suffix":""},{"dropping-particle":"","family":"Susilawati","given":"Susilawati","non-dropping-particle":"","parse-names":false,"suffix":""}],"container-title":"Jurnal Sosiologi Agama Indonesia","id":"ITEM-5","issue":"1","issued":{"date-parts":[["2024"]]},"language":"EN","publisher":"UIN Ar-raniry, Program Studi Sosiologi Agama","title":"Wacana Moderasi Beragama Kementerian Agama: Analisis Wacana Kritis Norman Fairclough","type":"article-journal","volume":"5"},"uris":["http://www.mendeley.com/documents/?uuid=4567b9c5-36d2-4c5d-ae6f-5e65b0f3b39d"]}],"mendeley":{"formattedCitation":"(Arif, 2020; Ashadi et al., 2024; Islamy, 2022; Muslim, 2022; Setinawati et al., 2025)","plainTextFormattedCitation":"(Arif, 2020; Ashadi et al., 2024; Islamy, 2022; Muslim, 2022; Setinawati et al., 2025)","previouslyFormattedCitation":"(Arif, 2020; Ashadi et al., 2024; Islamy, 2022; Muslim, 2022; Setinawati et al., 2025)"},"properties":{"noteIndex":0},"schema":"https://github.com/citation-style-language/schema/raw/master/csl-citation.json"}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(Arif, 2020; Ashadi et al., 2024; Islamy, 2022; Muslim, 2022; Setinawati et al., 2025)</w:t>
      </w:r>
      <w:r w:rsidR="00876B52" w:rsidRPr="00902543">
        <w:rPr>
          <w:sz w:val="22"/>
          <w:szCs w:val="22"/>
          <w:vertAlign w:val="superscript"/>
        </w:rPr>
        <w:fldChar w:fldCharType="end"/>
      </w:r>
      <w:r w:rsidRPr="00902543">
        <w:rPr>
          <w:sz w:val="22"/>
          <w:szCs w:val="22"/>
          <w:lang w:val="en-US"/>
        </w:rPr>
        <w:t xml:space="preserve">. </w:t>
      </w:r>
      <w:r w:rsidR="00E335A7" w:rsidRPr="00902543">
        <w:rPr>
          <w:sz w:val="22"/>
          <w:szCs w:val="22"/>
          <w:lang w:val="en-US"/>
        </w:rPr>
        <w:t>Theoretically, this policy can be interpreted through the lens of Conflict Transformation Theory, which underscores the importance of integrating local cultural values into sustainable peacebuilding processes. As part of this policy’s local implementation, the government established the Interfaith Harmony Forum (</w:t>
      </w:r>
      <w:r w:rsidR="00E335A7" w:rsidRPr="00902543">
        <w:rPr>
          <w:i/>
          <w:iCs/>
          <w:sz w:val="22"/>
          <w:szCs w:val="22"/>
          <w:lang w:val="en-US"/>
        </w:rPr>
        <w:t xml:space="preserve">Forum </w:t>
      </w:r>
      <w:proofErr w:type="spellStart"/>
      <w:r w:rsidR="00E335A7" w:rsidRPr="00902543">
        <w:rPr>
          <w:i/>
          <w:iCs/>
          <w:sz w:val="22"/>
          <w:szCs w:val="22"/>
          <w:lang w:val="en-US"/>
        </w:rPr>
        <w:t>Kerukunan</w:t>
      </w:r>
      <w:proofErr w:type="spellEnd"/>
      <w:r w:rsidR="00E335A7" w:rsidRPr="00902543">
        <w:rPr>
          <w:i/>
          <w:iCs/>
          <w:sz w:val="22"/>
          <w:szCs w:val="22"/>
          <w:lang w:val="en-US"/>
        </w:rPr>
        <w:t xml:space="preserve"> </w:t>
      </w:r>
      <w:proofErr w:type="spellStart"/>
      <w:r w:rsidR="00E335A7" w:rsidRPr="00902543">
        <w:rPr>
          <w:i/>
          <w:iCs/>
          <w:sz w:val="22"/>
          <w:szCs w:val="22"/>
          <w:lang w:val="en-US"/>
        </w:rPr>
        <w:t>Umat</w:t>
      </w:r>
      <w:proofErr w:type="spellEnd"/>
      <w:r w:rsidR="00E335A7" w:rsidRPr="00902543">
        <w:rPr>
          <w:i/>
          <w:iCs/>
          <w:sz w:val="22"/>
          <w:szCs w:val="22"/>
          <w:lang w:val="en-US"/>
        </w:rPr>
        <w:t xml:space="preserve"> Beragama</w:t>
      </w:r>
      <w:r w:rsidR="00E335A7" w:rsidRPr="00902543">
        <w:rPr>
          <w:sz w:val="22"/>
          <w:szCs w:val="22"/>
          <w:lang w:val="en-US"/>
        </w:rPr>
        <w:t>, FKUB) at the provincial and municipal/regency levels</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{"citationItems":[{"id":"ITEM-1","itemData":{"DOI":"10.31330/penamas.v35i2.626","ISSN":"2502-7891","abstract":"Religious moderation is still being promoted by the Indonesia government because it is seen as having strategic value for the development of religious understanding in the religious field. This study aims to describe the implementation of the concept of religious moderation which has been carried out by the people of Serang Municipial, Banten Province without realizing it. Forum of Religious Harmony as an institution that represents the community has an important role in implementing the concept of religious moderation. By using a qualitative approach, this study aims to explore the implementation of religious moderation in Serang Municipial in strengthening local culture, building tolerance and practicing religious moderation in Serang Municipial. The results of this research study confirm that the religious moderation of the Serang community, according to the Religious Harmony Forum has been embedded from the past, cultural acculturation that has been built since the monarchy era shows that the prior life of the Serang Municipial community prioritizes things that are balanced and moderate.","author":[{"dropping-particle":"","family":"Aditya","given":"Rizky","non-dropping-particle":"","parse-names":false,"suffix":""},{"dropping-particle":"","family":"Mayasari","given":"Ima","non-dropping-particle":"","parse-names":false,"suffix":""}],"container-title":"Penamas","id":"ITEM-1","issue":"2","issued":{"date-parts":[["2022","12","27"]]},"page":"253-266","title":"The Implementation Religious Moderation In Serang Municipial: Religious Harmony Forum Perspectiv","type":"article-journal","volume":"35"},"uris":["http://www.mendeley.com/documents/?uuid=133d192e-750a-4cd0-b4b1-cf53f7b0857a"]},{"id":"ITEM-2","itemData":{"DOI":"10.17265/2159-5526/2025.01.002","ISSN":"21595526","author":[{"dropping-particle":"","family":"Betty Tresnawaty","given":"","non-dropping-particle":"","parse-names":false,"suffix":""},{"dropping-particle":"","family":"Enok Risdayah","given":"","non-dropping-particle":"","parse-names":false,"suffix":""},{"dropping-particle":"","family":"Rohmanur Aziz","given":"","non-dropping-particle":"","parse-names":false,"suffix":""}],"container-title":"Sociology Study","id":"ITEM-2","issue":"1","issued":{"date-parts":[["2025","2","28"]]},"title":"Spiritual Communication: Implementation of Religious Moderation in Cirebon, Indonesia","type":"article-journal","volume":"15"},"uris":["http://www.mendeley.com/documents/?uuid=c9836ff9-23b9-4929-9ea4-ec7e65dd0799"]}],"mendeley":{"formattedCitation":"(Aditya &amp; Mayasari, 2022; Betty Tresnawaty et al., 2025)","plainTextFormattedCitation":"(Aditya &amp; Mayasari, 2022; Betty Tresnawaty et al., 2025)","previouslyFormattedCitation":"(Aditya &amp; Mayasari, 2022; Betty Tresnawaty et al., 2025)"},"properties":{"noteIndex":0},"schema":"https://github.com/citation-style-language/schema/raw/master/csl-citation.json"}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(Aditya &amp; Mayasari, 2022; Betty Tresnawaty et al., 2025)</w:t>
      </w:r>
      <w:r w:rsidR="00876B52" w:rsidRPr="00902543">
        <w:rPr>
          <w:sz w:val="22"/>
          <w:szCs w:val="22"/>
          <w:vertAlign w:val="superscript"/>
        </w:rPr>
        <w:fldChar w:fldCharType="end"/>
      </w:r>
      <w:r w:rsidR="00902543" w:rsidRPr="00902543">
        <w:rPr>
          <w:sz w:val="22"/>
          <w:szCs w:val="22"/>
          <w:lang w:val="en-US"/>
        </w:rPr>
        <w:t xml:space="preserve">. </w:t>
      </w:r>
      <w:r w:rsidR="00E335A7" w:rsidRPr="00902543">
        <w:rPr>
          <w:sz w:val="22"/>
          <w:szCs w:val="22"/>
          <w:lang w:val="en-US"/>
        </w:rPr>
        <w:t xml:space="preserve">This body was formed under the Joint Regulation of the Minister of </w:t>
      </w:r>
      <w:r w:rsidR="00E335A7" w:rsidRPr="00902543">
        <w:rPr>
          <w:sz w:val="22"/>
          <w:szCs w:val="22"/>
          <w:lang w:val="en-US"/>
        </w:rPr>
        <w:lastRenderedPageBreak/>
        <w:t>Religious Affairs and the Minister of Home Affairs No. 9 and 8 of 2006, which outlines guidelines for interfaith dialogue, recommendations for establishing places of worship, and community empowerment in maintaining social harmony</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{"citationItems":[{"id":"ITEM-1","itemData":{"DOI":"10.32488/harmoni.v11i1.236","ISSN":"2502-8472","abstract":"The Government has issued a Joint Ministerial Regulation (PBM) Minister of Religious Affairs and Minister of Home Affairs No. 9 and 8 Year 2006 on Guidelines for the Implementation of Regional Head of Maintenance Tasks for Religious Harmony, Empowerment Forum for Religious Harmony and the Construction of Houses of Worship on March 21, 2006. The FKUB was born among the people, by the community and to society. The birth had been preceded by the agency FKUB FKKUB which is used as a tool for communication, acknowledgement, aspiration, and contribution towards the community. FKUB can also be a forum for social action together and build together a lasting social relationship. North Jakarta FKUB formation is facilitated by the government as the implementation of the publication of PBM in 2006 which preceded smoothly at the end of 2007 the number of board 17.","author":[{"dropping-particle":"","family":"Asnawati","given":"Asnawati","non-dropping-particle":"","parse-names":false,"suffix":""}],"container-title":"Harmoni","id":"ITEM-1","issue":"1","issued":{"date-parts":[["2012","3","31"]]},"page":"129-137","title":"Peranan Forum Kerukunan Umat Beragama (FKUB): Studi Kasus Pelaksanaan PBM No.9 dan No.8 Tahun 2006 di Jakarta Utara","type":"article-journal","volume":"11"},"uris":["http://www.mendeley.com/documents/?uuid=2d35cb7b-4c17-4b85-8090-125f6c3751d3"]},{"id":"ITEM-2","itemData":{"ISSN":"2461-0798","abstract":"… Penelitian ini akan membahas tentang Peraturan Bersama Menteri Agama No. 9 Tahun 2006 dan Menteri Dalam Negeri No. 8 Tahun 2006 dan upaya perlindungan bagi kelompok …","author":[{"dropping-particle":"","family":"Ichwanuddin","given":"Abi","non-dropping-particle":"","parse-names":false,"suffix":""},{"dropping-particle":"","family":"Widyaningrum","given":"Tuti","non-dropping-particle":"","parse-names":false,"suffix":""}],"container-title":"Staatrechts","id":"ITEM-2","issue":"1","issued":{"date-parts":[["2021"]]},"number-of-pages":"68-88","title":"Implikasi Normatif Peraturan Bersama Menteri Nomor 9 dan 8 Tahun 2006 Terhadap Perlindungan Kelompok Minroritas Di Wilayah Provinsi DKI Jakarta","type":"report","volume":"4"},"uris":["http://www.mendeley.com/documents/?uuid=5c93c22e-950d-3365-b7c3-9752f4433051"]},{"id":"ITEM-3","itemData":{"URL":"https://balitbangdiklat.kemenag.go.id/berita/rakornas-fkub-rekomendasikan-penguatan-pbm-no-9-dan-8-tahun-2006-jadi-perpres","author":[{"dropping-particle":"","family":"Humas","given":"","non-dropping-particle":"","parse-names":false,"suffix":""}],"container-title":"Kementerian Agama Republik Indonesia","id":"ITEM-3","issued":{"date-parts":[["2020"]]},"title":"Rakornas FKUB Rekomendasikan Penguatan PBM No. 9 dan 8 Tahun 2006 Jadi Perpres","type":"webpage"},"uris":["http://www.mendeley.com/documents/?uuid=eed3d570-e033-34ac-8274-0139778f0f7f"]}],"mendeley":{"formattedCitation":"(Asnawati, 2012; Humas, 2020; Ichwanuddin &amp; Widyaningrum, 2021)","plainTextFormattedCitation":"(Asnawati, 2012; Humas, 2020; Ichwanuddin &amp; Widyaningrum, 2021)","previouslyFormattedCitation":"(Asnawati, 2012; Humas, 2020; Ichwanuddin &amp; Widyaningrum, 2021)"},"properties":{"noteIndex":0},"schema":"https://github.com/citation-style-language/schema/raw/master/csl-citation.json"}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(Asnawati, 2012; Humas, 2020; Ichwanuddin &amp; Widyaningrum, 2021)</w:t>
      </w:r>
      <w:r w:rsidR="00876B52" w:rsidRPr="00902543">
        <w:rPr>
          <w:sz w:val="22"/>
          <w:szCs w:val="22"/>
          <w:vertAlign w:val="superscript"/>
        </w:rPr>
        <w:fldChar w:fldCharType="end"/>
      </w:r>
      <w:r w:rsidR="00902543" w:rsidRPr="00902543">
        <w:rPr>
          <w:sz w:val="22"/>
          <w:szCs w:val="22"/>
          <w:lang w:val="en-US"/>
        </w:rPr>
        <w:t xml:space="preserve">. </w:t>
      </w:r>
    </w:p>
    <w:p w14:paraId="4C245B02" w14:textId="583C9CD3" w:rsidR="00902543" w:rsidRPr="00902543" w:rsidRDefault="00E335A7" w:rsidP="00C74E13">
      <w:pPr>
        <w:autoSpaceDE w:val="0"/>
        <w:autoSpaceDN w:val="0"/>
        <w:adjustRightInd w:val="0"/>
        <w:spacing w:line="480" w:lineRule="auto"/>
        <w:ind w:firstLine="567"/>
        <w:jc w:val="both"/>
        <w:rPr>
          <w:sz w:val="22"/>
          <w:szCs w:val="22"/>
          <w:lang w:val="en-US"/>
        </w:rPr>
      </w:pPr>
      <w:r w:rsidRPr="00902543">
        <w:rPr>
          <w:sz w:val="22"/>
          <w:szCs w:val="22"/>
          <w:lang w:val="en-US"/>
        </w:rPr>
        <w:t xml:space="preserve">A growing body of </w:t>
      </w:r>
      <w:r w:rsidR="00902543" w:rsidRPr="00902543">
        <w:rPr>
          <w:sz w:val="22"/>
          <w:szCs w:val="22"/>
          <w:lang w:val="en-US"/>
        </w:rPr>
        <w:t>studies</w:t>
      </w:r>
      <w:r w:rsidRPr="00902543">
        <w:rPr>
          <w:sz w:val="22"/>
          <w:szCs w:val="22"/>
          <w:lang w:val="en-US"/>
        </w:rPr>
        <w:t xml:space="preserve"> has acknowledged FKUB’s positive role in mediating religious conflicts, although consistent challenges remain, including resource limitations and the risk of political co-optation</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{"citationItems":[{"id":"ITEM-1","itemData":{"DOI":"10.24294/jipd.v8i7.4299","ISSN":"2572-7931","abstract":"This article aims to analyze the role of the Medan City Religious Harmony Forum (FKUB) in shaping harmony in digital literacy-based virtual communities. FKUB has a central role as an institution that ensures that the aspirations and interests of religious communities can be accommodated effectively. In addition to making real improvements, FKUB also initiated its moderating role through the digital realm. This research adopts a qualitative method using a phenomenological approach. Primary data was obtained through interactions with key informants, while secondary data sources involved articles, books, reportage related to the context of the research theme. Data collection was conducted through interview, observation, and documentation techniques. Data analysis used the Miles and Huberman analysis model with the steps of data coding, data presentation, and conclusion drawing. The results showed that FKUB initiated digital literacy-based religious moderation through two development communication models. The first model is a linear model where FKUB acts as a community educator. The second model is a participatory model that is usually uploaded on Instagram, FaceBook and Youtube social media. This model allows the community to comment and have two-way communication with the FKUB. Both models are oriented towards creating collective intelligence as an indicator of building virtual harmony. Through digital literacy-based development communication, FKUB can be a mediator in meeting the Sustainable Development Goals (SDG’s), namely: Peace, justice and strong institutions, as well as promoting equality and reducing inequality.","author":[{"dropping-particle":"","family":"Humaizi","given":"Humaizi","non-dropping-particle":"","parse-names":false,"suffix":""},{"dropping-particle":"","family":"Nik Hasan","given":"Nik Norma","non-dropping-particle":"","parse-names":false,"suffix":""},{"dropping-particle":"","family":"Dalimunthe","given":"Maulana Andinata","non-dropping-particle":"","parse-names":false,"suffix":""},{"dropping-particle":"","family":"Ramadhani","given":"Emilia","non-dropping-particle":"","parse-names":false,"suffix":""}],"container-title":"Journal of Infrastructure, Policy and Development","id":"ITEM-1","issue":"7","issued":{"date-parts":[["2024","7","24"]]},"page":"4299","title":"Harmony in virtual space: Forum Kerukunan Umat Beragama (FKUB) development communication in creating digital literacy based on religious moderation Pusat Pengajian Komunikasi, Universiti Sains Malaysia","type":"article-journal","volume":"8"},"uris":["http://www.mendeley.com/documents/?uuid=7fea034c-9ef7-4380-8207-0d5daa09d739"]},{"id":"ITEM-2","itemData":{"author":[{"dropping-particle":"","family":"Huliselan","given":"Beril","non-dropping-particle":"","parse-names":false,"suffix":""}],"container-title":"Majalah SAMA - Semper Reformanda - (KNLWF) Edisi April 2020","id":"ITEM-2","issued":{"date-parts":[["2020"]]},"title":"Sebuah Catatan Tentang Revisi PBM No 9 dan No 8 Tahun 2006","type":"article-journal"},"uris":["http://www.mendeley.com/documents/?uuid=21ab521e-840c-3e42-ac30-04563894813e"]},{"id":"ITEM-3","itemData":{"DOI":"10.30821/miqot.v41i2.400","ISSN":"2502-3616","abstract":"Abstrak: Penelitian ini bertujuan untuk memahami dinamika pola kerukunan umat beragama (religious harmony) FKUB di Sumatera Utara. Untuk mengungkap hal itu, penelitian ini menggunakan pendekatan phenomenologic-interpretif, dengan meng-gunakan teknik pengumpulan data pada FGD (Focus Group Discussion). Penelitian ini mengajukan beberapa temuan. Pertama, idealita kerukunan yang dibangun oleh FKUB Sumut berpijak pada pola kerukunan non-pluralisme agama, yang berarti bahwa truth claim pada masing-masing agama tidak bisa disamakan karena memiliki landasan teologis yang berbeda. Namun dalam konteks sosial, kebenaran teologis tersebut tidak boleh dipaksakan kepada orang lain, dan setiap individu beragama harus mampu bekerjasama untuk kepentingan bermasyarakat, berbangsa dan bernegara. Kedua, dalam penerapannya, FKUB Sumatera Utara melakukan dialog teologis, interaksi sosial, advokasi dan regulasi serta dialog interaktif. Abstract: The Pattern of Religious Harmony in the Perspective of Religious Harmony Forum of Sumatera Utara. This study aims to analyze the dynamics of the harmony of the FKUB (Religious Harmony Forum in North Sumatra). This study uses a phenomenologic-interpretive approach, using data collection techniques in FGD (Focus Group Discussion). This research finds that: First, the ideal of harmony established by FKUB of North Sumatra is based on the pattern of religious non-pluralism harmony, in a sense that the claim of truth in each religion can not beequated because it has a different theological foundation. But in the social context, such theological truths should not be imposed on others, and every religious individual must be able to work together for the benefit of society, nation and state. Second, in its application, FKUB of North Sumatra conducts theological dialogue, social interaction, advocacy and regulation and interactive dialogue. Keywords: agama-agama, kerukunan, pluralisme, FKUB, Sumatera Utara","author":[{"dropping-particle":"","family":"Manshuruddin","given":"Manshuruddin","non-dropping-particle":"","parse-names":false,"suffix":""}],"container-title":"MIQOT: Jurnal Ilmu-ilmu Keislaman","id":"ITEM-3","issue":"2","issued":{"date-parts":[["2017","12","28"]]},"title":"Pola Kerukunan Antar Umat Beragama dalam Perspektif Forum Kerukunan Umat Beragama (FKUB) Sumatera Utara","type":"article-journal","volume":"41"},"uris":["http://www.mendeley.com/documents/?uuid=06479ad9-dd99-49cf-84ae-257312d215d2"]},{"id":"ITEM-4","itemData":{"DOI":"10.30821/miqot.v43i2.606","ISSN":"2502-3616","abstract":"Abstrak: Studi ini menganalisis peran kearifan lokal dalihan na tolu, ninik mamak dan Kerapatan Adat Nagari dalam menjaga kerukunan antarumat beragama di Pasaman Barat dan Kabupaten Mandailing Natal. Penelitian ini merupakan penelitian kualitatif dimana data diperoleh melalui wawancara, pengamatan dan studi dokumen. Teknik analisis data menggunakan model Miles dan Huberman. Penelitian ini menemukan bahwa kearifan lokal dalihan na tolu di Kabupaten Madina berperan penting dari segi agama, budaya dan sosial dalam menjaga kerukunan antarumat beragama, karena menerapkan nilai budaya religius, menjaga kekerabatan, humajuon, hasangapon, uhum, pengayom kepada masyarakat dan mengelola konflik. Sedangkan di Kabupaten Pasaman Barat, peranan ninik mamak dan Kerapatan Adat Nagari belum optimal di dalam melaksanakan fungsinya karena minimnya dialog dan kerjasama dengan Forum Kerukunan Umat Beragama. Abstract: Local Wisdom Dalihan Na Tolu, Ninik Mamak and Kerapatan Adat Nagari in Maintaining Inter-religious Harmony in West and North Sumatera. This study aims to analyze the role of local wisdoms in maintaining inter-religious harmony in West Pasaman and Mandailing Natal Regency. This research is a qualitative study in which data is obtained through interviews, observations and document studies. Data analysis techniques employ the Miles and Huberman models. This study proposed that the local wisdoms of dalihan na tolu in Madina Regency, play an important role of religion, social and culture in maintaining inter-religous harmony, since it apply seven religious values of humajuon, hasangapon, uhum, and managing the conflict. Meanwhile, in the West Pasaman the role of the ninik mamak and the Kerapatan Adat Nagari still need to be optimized in safeguarding religious harmony which might arise from the lack of dialogue and cooperation with Religious Harmony Forum (FKUB). Kata Kunci: Mandailing, Minangkabau, kearifan lokal, dialog, agama-agama","author":[{"dropping-particle":"","family":"Sahrul","given":"Sahrul","non-dropping-particle":"","parse-names":false,"suffix":""},{"dropping-particle":"","family":"Fadhila Daulai","given":"Afrahul","non-dropping-particle":"","parse-names":false,"suffix":""}],"container-title":"MIQOT: Jurnal Ilmu-ilmu Keislaman","id":"ITEM-4","issue":"2","issued":{"date-parts":[["2019","12","30"]]},"page":"300","title":"Kearifan Lokal Dalihan Na Tolu, Ninik Mamak dan Kerapatan Adat Nagari dalam Menjaga Kerukunan Antarumat Beragama di Sumatera Barat dan Sumatera Utara.","type":"article-journal","volume":"43"},"uris":["http://www.mendeley.com/documents/?uuid=f140e3df-1705-47d6-a867-6d40d959f4b8"]}],"mendeley":{"formattedCitation":"(Huliselan, 2020; Humaizi et al., 2024; Manshuruddin, 2017; Sahrul &amp; Fadhila Daulai, 2019)","plainTextFormattedCitation":"(Huliselan, 2020; Humaizi et al., 2024; Manshuruddin, 2017; Sahrul &amp; Fadhila Daulai, 2019)","previouslyFormattedCitation":"(Huliselan, 2020; Humaizi et al., 2024; Manshuruddin, 2017; Sahrul &amp; Fadhila Daulai, 2019)"},"properties":{"noteIndex":0},"schema":"https://github.com/citation-style-language/schema/raw/master/csl-citation.json"}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(Huliselan, 2020; Humaizi et al., 2024; Manshuruddin, 2017; Sahrul &amp; Fadhila Daulai, 2019)</w:t>
      </w:r>
      <w:r w:rsidR="00876B52" w:rsidRPr="00902543">
        <w:rPr>
          <w:sz w:val="22"/>
          <w:szCs w:val="22"/>
          <w:vertAlign w:val="superscript"/>
        </w:rPr>
        <w:fldChar w:fldCharType="end"/>
      </w:r>
      <w:r w:rsidR="00902543" w:rsidRPr="00902543">
        <w:rPr>
          <w:sz w:val="22"/>
          <w:szCs w:val="22"/>
          <w:lang w:val="en-US"/>
        </w:rPr>
        <w:t xml:space="preserve">, </w:t>
      </w:r>
      <w:r w:rsidRPr="00902543">
        <w:rPr>
          <w:sz w:val="22"/>
          <w:szCs w:val="22"/>
          <w:lang w:val="en-US"/>
        </w:rPr>
        <w:t>Within this landscape, the province of Aceh presents a unique and significant case. It is the only region in Indonesia that formally implements aspects of Islamic Sharia under Law No. 11 of 2006 on Aceh Governance</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{"citationItems":[{"id":"ITEM-1","itemData":{"DOI":"10.22373/petita.v5i2.98","ISSN":"2549-8274","abstract":"Considering the development of various regional regulations in West Sumatra, there are some things that need to be noted. First, the desire to make regional regulations consuisting sharia is more dominated by the desires of certain political parties. It is not supported by other government agencies in the form of existing local regulation follow-up even though the political party always claims that the regulation is the desire of the wider community. Consequently, it is difficult to reject the impression that the presence of these regulations is solely for the political interests of parties, or the interests of heads of government. Second, the emergence of these regulations is highly determined by the figures driving the emergence of these regulations. So, when they are no longer in their positions, then the attention to the implementation of these regulations is reduced or nonexistent. Third, there are differences of opinion or understanding among regional leaders that overcoming the problem of poverty, problems in education and the economy is far more important than just making sharia regulations. As a result of the accumulation of these three things, the momentum of the emergence of the need for sharia regulations often appears and then disappears and then reappears following certain events in the community; like in the month of Ramadan or other Islamic celebrations.","author":[{"dropping-particle":"","family":"Huda","given":"Yasrul","non-dropping-particle":"","parse-names":false,"suffix":""}],"container-title":"PETITA: JURNAL KAJIAN ILMU HUKUM DAN SYARIAH","id":"ITEM-1","issue":"2","issued":{"date-parts":[["2020","11","1"]]},"title":"Islamic Sharia in Aceh and Its Implications in other Regions in Indonesia","type":"article-journal","volume":"5"},"uris":["http://www.mendeley.com/documents/?uuid=27ed7e88-db20-4f3f-955b-5a6aeaf0aaa1"]},{"id":"ITEM-2","itemData":{"ISSN":"2502-3616","abstract":"… the Republic of Indonesia as well as Pancasila and the 1945 Constitution. State recognition of the implementation of Islamic law in Aceh as special autonomy, based on Law Number 44 of 1999 concerning organization of the privilege of the Special Province of Aceh and Law No…","author":[{"dropping-particle":"","family":"Isa","given":"Abdul Gani","non-dropping-particle":"","parse-names":false,"suffix":""}],"container-title":"MIQOT: Jurnal Ilmu-ilmu Keislaman","id":"ITEM-2","issue":"1","issued":{"date-parts":[["2014","2"]]},"page":"103-120","title":"Implementation of Islamic Sharia in the Framework of Special Autonomy: Assessment Study in the Province of Aceh","type":"article-journal","volume":"38"},"uris":["http://www.mendeley.com/documents/?uuid=2e973afc-4f34-3b2a-8621-7fc3471d0bab"]}],"mendeley":{"formattedCitation":"(Huda, 2020; Isa, 2014)","plainTextFormattedCitation":"(Huda, 2020; Isa, 2014)","previouslyFormattedCitation":"(Huda, 2020; Isa, 2014)"},"properties":{"noteIndex":0},"schema":"https://github.com/citation-style-language/schema/raw/master/csl-citation.json"}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(Huda, 2020; Isa, 2014)</w:t>
      </w:r>
      <w:r w:rsidR="00876B52" w:rsidRPr="00902543">
        <w:rPr>
          <w:sz w:val="22"/>
          <w:szCs w:val="22"/>
          <w:vertAlign w:val="superscript"/>
        </w:rPr>
        <w:fldChar w:fldCharType="end"/>
      </w:r>
      <w:r w:rsidR="00902543" w:rsidRPr="00902543">
        <w:rPr>
          <w:sz w:val="22"/>
          <w:szCs w:val="22"/>
          <w:lang w:val="en-US"/>
        </w:rPr>
        <w:t xml:space="preserve">. </w:t>
      </w:r>
      <w:r w:rsidRPr="00902543">
        <w:rPr>
          <w:sz w:val="22"/>
          <w:szCs w:val="22"/>
          <w:lang w:val="en-US"/>
        </w:rPr>
        <w:t>As a result, Aceh operates under a distinct legal and social framework, which directly shapes how religious moderation is understood and practiced. Previous studies have consistently highlighted the structural and operational challenges faced by FKUB in various regions, including limited operational budgets, political interference that undermines institutional independence and controversies surrounding recommendations for places of worship—an issue frequently triggering communal friction</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{"citationItems":[{"id":"ITEM-1","itemData":{"DOI":"10.35719/islamikainside.v6i2.113","ISSN":"2580-8885","abstract":"Abstract: This paper discus the discourse of religious harmony in Indonesia by looking into the role played by PKUB/FKUB, a state-sponsored body focused on maintaining religious harmony, in the context of interreligious dialogue agenda in Indonesia. By looking into its trajectory and legal standing, this paper hypothesizes that there are some limits within the PKUB/FKUB in addressing the spirit and practice of interreligious dialogue to the Indonesian public due to the preference of religious harmony rather than interreligious dialogue. This paper then wants to explore the preference of religious harmony by employing Godly-Nationalism/Productive Intolerance concept. The data of this paper is collected by library research methodology. Finally, this paper suggests that despite the discourse of religious harmony requires the religious community to engage in the dialogue, there is a different direction and objective to which the dialogue would lead. While the dialogue in the context of religious harmony would be directed to maintaining harmony itself, the interreligious dialogue as suggested by several scholars requires religious people to learn from others to change and grow together. Keywords: Interreligious Dialogue, Religious Harmony, PKUB, FKUB, Godly- Nationalism.","author":[{"dropping-particle":"","family":"Sopyan","given":"Imam","non-dropping-particle":"","parse-names":false,"suffix":""},{"dropping-particle":"","family":"Fauzan","given":"Pepen Irpan","non-dropping-particle":"","parse-names":false,"suffix":""},{"dropping-particle":"","family":"Fata","given":"Ahmad Khoirul","non-dropping-particle":"","parse-names":false,"suffix":""}],"container-title":"Islamika Inside: Jurnal Keislaman dan Humaniora","id":"ITEM-1","issue":"2","issued":{"date-parts":[["2021","3","11"]]},"page":"31-53","title":"Religious Harmony, Godly Nationalism, and the Limits of State-sponsored Interreligious Dialogue Agenda in Indonesia","type":"article-journal","volume":"6"},"uris":["http://www.mendeley.com/documents/?uuid=604ebdb1-81bc-466a-9357-c891e5090a7e"]},{"id":"ITEM-2","itemData":{"DOI":"10.46222/pharosjot.105.517","ISSN":"2414-3324","abstract":"Freedom of religion in Indonesia is an important and sensitive issue. Indonesia's religious diversity often leads to disputes and conflicts that disrupt harmony and unity. It is considered the emergence of diverse understandings and unfulfilled rights from religious differences. A theological approach can be an effective tool in facilitating the transformation of religious awakening and promoting religious freedom in Indonesia. This research aims to determine how theological perspectives influence the understanding and practice of religious freedom, which is communicated effectively. The research method used is descriptive, analysing the index of religious freedom in Indonesia with a theological analysis of religious freedom. The study's results highlight the importance of a theological approach in fostering a spiritual attitude and influencing expressions of religious freedom. The values of harmony, tolerance, and respect have encouraged efforts to build respect but still raise concerns about the emergence of conflict with the development of community interaction. Implementing effective strategies to place theology that encourages religious freedom in Indonesia is essential.","author":[{"dropping-particle":"","family":"Nasution","given":"Faiz Albar","non-dropping-particle":"","parse-names":false,"suffix":""},{"dropping-particle":"","family":"Irmayani","given":"Tengku","non-dropping-particle":"","parse-names":false,"suffix":""},{"dropping-particle":"","family":"Sazali","given":"Hasan","non-dropping-particle":"","parse-names":false,"suffix":""}],"container-title":"Pharos Journal of Theology","id":"ITEM-2","issue":"105(5)","issued":{"date-parts":[["2024","9"]]},"title":"The Reality of Spirituality and the Challenge of Religious Freedom in Indonesia: Theological and Social Perspectives","type":"article-journal"},"uris":["http://www.mendeley.com/documents/?uuid=28fc1664-7c47-430f-8c89-70c1831ea5cc"]},{"id":"ITEM-3","itemData":{"DOI":"10.20414/ujis.v25i2.457","ISSN":"2775-2453","abstract":"This research focuses on three aspects: the strategies, the roles of the Interfaith Harmony Forum (Forum Kerukunan Antar Umat Beragama-FKUB), and the obstacles in establishing interfaith harmony in Aceh province. This study employed a qualitative approach, with 79 research subjects consisting of the chair and members of FKUB in three districts and cities and the FKUB of Aceh province, religious leaders, and the community. The research subjects were selected by purposive sampling, and the data were analyzed using a descriptive approach. The research results found that the interfaith harmony in the province of Aceh is well and peacefully established. There are five strategies for realizing harmony: tolerance, equality, cooperation, mutual respect, and communication. This study also revealed that FKUB has carried out its role optimally in creating interfaith harmony in Aceh. However, it experiences some obstacles due to sociological, internal, and external factors. Despite the challenges, overall, FKUB in Aceh province can overcome the obstacles.","author":[{"dropping-particle":"","family":"AR","given":"Nurdin","non-dropping-particle":"","parse-names":false,"suffix":""},{"dropping-particle":"","family":"Yusnaini","given":"Siti","non-dropping-particle":"","parse-names":false,"suffix":""},{"dropping-particle":"","family":"Widyanto","given":"Anton","non-dropping-particle":"","parse-names":false,"suffix":""},{"dropping-particle":"","family":"Walidin","given":"Warul","non-dropping-particle":"","parse-names":false,"suffix":""},{"dropping-particle":"","family":"Sulaiman","given":"Sulaiman","non-dropping-particle":"","parse-names":false,"suffix":""}],"container-title":"Ulumuna","id":"ITEM-3","issue":"2","issued":{"date-parts":[["2021","12","31"]]},"page":"306-328","title":"The Interfaith Harmony in Aceh Province (The Analysis of the Strategies, Roles of FKUB, and Barriers)","type":"article-journal","volume":"25"},"uris":["http://www.mendeley.com/documents/?uuid=5ad72630-10aa-4087-a131-44cefb1980de"]},{"id":"ITEM-4","itemData":{"DOI":"10.58863/20.500.12424/166523","ISBN":"9782889311149","editor":[{"dropping-particle":"","family":"Sofjan","given":"Dicky","non-dropping-particle":"","parse-names":false,"suffix":""}],"id":"ITEM-4","issued":{"date-parts":[["2016"]]},"publisher":"Globethics.net","title":"Religion, public policy and social transformation in Southeast Asia. Vol. 1, Managing religious diversity","type":"book"},"uris":["http://www.mendeley.com/documents/?uuid=4c9112f3-8b6e-4533-a2ae-55f965d20507"]},{"id":"ITEM-5","itemData":{"DOI":"10.46222/pharosjot.1056","ISSN":"2414-3324","abstract":"Religious harmony in Indonesia still necessitates special attention since a balance must be established among the country's six religions. From a political and legal standpoint, examining the Religious Harmony Forum's performance in sustaining religious harmony in Indonesia is vital. This study employed the normative juridical research approach. The statutory technique was adopted, and the library research method was the search system. According to the findings, encouraging religious unity through the Religious Unity Forum is vital in preventing religion from becoming politicized in Indonesia. Concerns are developing about the role of religion, particularly Islam, in coping with the growing prominence of extremist groups, notably by justifying religious politicization. As problems and policies concerning intra-and inter-religious harmony are improved politically and legally through an institution known as the Religious Harmony Forum, it is critical to encourage the passage of the Draft Law on Religious Harmony as soon as possible in order to strengthen the Religious Harmony Forum's role in maintaining religious harmony in Indonesia. Communication is crucial in building intra- and inter-religious harmony and preventing religion from being politicized in Indonesia.","author":[{"dropping-particle":"","family":"Ritonga","given":"Alwi Dahlan","non-dropping-particle":"","parse-names":false,"suffix":""},{"dropping-particle":"","family":"Hadita","given":"Cynthia","non-dropping-particle":"","parse-names":false,"suffix":""},{"dropping-particle":"","family":"Mawardi","given":"","non-dropping-particle":"","parse-names":false,"suffix":""},{"dropping-particle":"Al","family":"Attas","given":"S. Muchtadin","non-dropping-particle":"","parse-names":false,"suffix":""},{"dropping-particle":"","family":"Wicaksono","given":"Baskoro","non-dropping-particle":"","parse-names":false,"suffix":""},{"dropping-particle":"","family":"Masril","given":"Munzaimah","non-dropping-particle":"","parse-names":false,"suffix":""}],"container-title":"Pharos Journal of Theology","id":"ITEM-5","issue":"105(1)","issued":{"date-parts":[["2023","12"]]},"title":"Political and Legal Improvisation on the Issue of Religious Politicization: A Study of the Forum for Religious Harmony in Indonesia","type":"article-journal"},"uris":["http://www.mendeley.com/documents/?uuid=2e689453-4163-4db3-8975-21cb2f697ccc"]},{"id":"ITEM-6","itemData":{"DOI":"10.19105/ejpis.v6i2.14772","ISSN":"2716-1226","abstract":"This study aims to explain how the history of the establishment of the Forum Kerukunan Umat Beragama (FKUB) or Religious Harmony Forum, how the development of character education and what roles are performed by FKUB. It uses a historical method with a case study approach, including collecting information through interviews, archival documents, observation, and documentation. The results of the study state that the FKUB of Sidoarjo Regency functions as a regular forum for religious leaders and community leaders to strengthen relations between religious communities. The government established FKUB to maintain inter-religious harmony and ensure a harmonious society, in accordance with PBM No. 9 and 8 of 2006. In Character Education Development, it is also important to instil positive values such as integrity, cooperation and responsibility. FKUB also has a significant role in shaping positive and healthy community views, responding to misleading issues, accommodating the aspirations of religious organisations and providing advice regarding the construction of houses of worship. The data shows that the percentage increase in the number of mosques in Sidoarjo from 2021 to 2022 is around 4.47%.","author":[{"dropping-particle":"","family":"Kamaliah","given":"Nailah","non-dropping-particle":"","parse-names":false,"suffix":""},{"dropping-particle":"","family":"Fitriany","given":"Aulia","non-dropping-particle":"","parse-names":false,"suffix":""},{"dropping-particle":"","family":"Mubarok","given":"M. Khusni","non-dropping-particle":"","parse-names":false,"suffix":""},{"dropping-particle":"","family":"Widodo","given":"J. Priyanto","non-dropping-particle":"","parse-names":false,"suffix":""}],"container-title":"Entita: Jurnal Pendidikan Ilmu Pengetahuan Sosial dan Ilmu-Ilmu Sosial","id":"ITEM-6","issue":"2","issued":{"date-parts":[["2024","12","20"]]},"title":"The History of FKUB in The Development of Character Education for Religious Communities in Sidoarjo","type":"article-journal","volume":"6"},"uris":["http://www.mendeley.com/documents/?uuid=41c6b09c-5daa-472b-a20c-ec8d2843f3e2"]}],"mendeley":{"formattedCitation":"(AR et al., 2021; Kamaliah et al., 2024; Nasution et al., 2024; Ritonga et al., 2023; Sofjan, 2016; Sopyan et al., 2021)","plainTextFormattedCitation":"(AR et al., 2021; Kamaliah et al., 2024; Nasution et al., 2024; Ritonga et al., 2023; Sofjan, 2016; Sopyan et al., 2021)","previouslyFormattedCitation":"(AR et al., 2021; Kamaliah et al., 2024; Nasution et al., 2024; Ritonga et al., 2023; Sofjan, 2016; Sopyan et al., 2021)"},"properties":{"noteIndex":0},"schema":"https://github.com/citation-style-language/schema/raw/master/csl-citation.json"}</w:instrText>
      </w:r>
      <w:r w:rsidR="00876B52" w:rsidRPr="00902543">
        <w:rPr>
          <w:sz w:val="22"/>
          <w:szCs w:val="22"/>
          <w:vertAlign w:val="superscript"/>
        </w:rPr>
        <w:fldChar w:fldCharType="separate"/>
      </w:r>
      <w:r w:rsidR="00876B52" w:rsidRPr="00902543">
        <w:rPr>
          <w:bCs/>
          <w:noProof/>
          <w:sz w:val="22"/>
          <w:szCs w:val="22"/>
          <w:lang w:val="en-US"/>
        </w:rPr>
        <w:t>(AR et al., 2021; Kamaliah et al., 2024; Nasution et al., 2024; Ritonga et al., 2023; Sofjan, 2016; Sopyan et al., 2021)</w:t>
      </w:r>
      <w:r w:rsidR="00876B52" w:rsidRPr="00902543">
        <w:rPr>
          <w:sz w:val="22"/>
          <w:szCs w:val="22"/>
          <w:vertAlign w:val="superscript"/>
        </w:rPr>
        <w:fldChar w:fldCharType="end"/>
      </w:r>
      <w:r w:rsidR="00902543" w:rsidRPr="00902543">
        <w:rPr>
          <w:sz w:val="22"/>
          <w:szCs w:val="22"/>
          <w:lang w:val="en-US"/>
        </w:rPr>
        <w:t xml:space="preserve">. </w:t>
      </w:r>
      <w:r w:rsidRPr="00902543">
        <w:rPr>
          <w:sz w:val="22"/>
          <w:szCs w:val="22"/>
          <w:lang w:val="en-US"/>
        </w:rPr>
        <w:t>Additionally, FKUBs often struggle to reach and gain trust from grassroots communities in multicultural areas, resulting in limited on-the-ground impact</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{"citationItems":[{"id":"ITEM-1","itemData":{"DOI":"10.15642/religio.v11i1.1662","ISSN":"2503-3778","abstract":"This study aims to describe the extent of the Forum of Religious Harmony’s (FKUB) roles and duties as a driving force for harmony and right protection for Freedom of Religion or Belief (Forb). To answer the problem, this paper formulates two questions: (1) how is the role of FKUB in protecting Forb rights and maintaining religious harmony and (2) does the formation of FKUB in protecting Forb as well as maintaining religious harmony in Indonesia work successfully or not. This study examines several regulations formulated regarding the right to freedom of religion or belief and the basic principles of human rights in Indonesia. This study found that although FKUB has been established based on the principles of justice and diversity of society in Indonesia, its programs tend to only focus on one issue such as licensing places of worship, while the issue of empowering religious community, fostering tolerance, and fighting radicalism are less appreciated.","author":[{"dropping-particle":"","family":"Faqih","given":"Ahmad","non-dropping-particle":"","parse-names":false,"suffix":""}],"container-title":"Religió: Jurnal Studi Agama-agama","id":"ITEM-1","issue":"1","issued":{"date-parts":[["2021","3","12"]]},"page":"75-93","title":"The Role of Forum Kerukunan Umat Beragama (FKUB) for Religious Harmony and the Rights of Freedom of Religion or Belief (Forb)","type":"article-journal","volume":"11"},"uris":["http://www.mendeley.com/documents/?uuid=e0da990f-d14b-456e-b098-99cfa1306826"]},{"id":"ITEM-2","itemData":{"DOI":"10.24090/ibda.v21i2.7885","ISSN":"2477-5517","abstract":"This study looks into identity politics locally, with an emphasis on the role played by religious groups—such as the Religious Harmony Forum (Forum Kerukunan Umat Beragaman/FKUB)—in promoting multiculturalism as a countermeasure to the growth of identity politics. The study’s focus is the Kerinci Regency in Jambi, Indonesia, and it looks at how identity politics and diversity are positioned within the larger Indonesian framework. The research selectively chooses informants, such as the FKUB, the Election Supervisory Agency (Bawaslu), traditional leaders, and religious figures, using qualitative methods like observation, interviews, and document examination. Results show that a variety of political identification patterns exist across the country according to societal culture, resources, and sociopolitical circumstances. As a result, the FKUB responds with a variety of strategies and tactics. The study also emphasizes how the discourse-centric perspective on multiculturalism hinders its ability to effectively counter identity politics. The research points up difficulties that stand in the way of achieving diversity, such as the consolidation and contestation of identity within Islam. Interfaith conflicts, however, show a downward trend and provide a more nuanced picture of the intricate relationship between identity politics and multiculturalism in Indonesia at the local level.","author":[{"dropping-particle":"","family":"Ahmad","given":"Jafar","non-dropping-particle":"","parse-names":false,"suffix":""},{"dropping-particle":"","family":"Wafi","given":"Mahmud Hibatul","non-dropping-particle":"","parse-names":false,"suffix":""},{"dropping-particle":"","family":"Mushkalamzai","given":"Ziaulrahman","non-dropping-particle":"","parse-names":false,"suffix":""},{"dropping-particle":"","family":"Hadi","given":"Al Amin","non-dropping-particle":"","parse-names":false,"suffix":""}],"container-title":"IBDA` : Jurnal Kajian Islam dan Budaya","id":"ITEM-2","issue":"2","issued":{"date-parts":[["2023","10","1"]]},"title":"Multiculturalism and identity politics: Reading on the Religious Harmony Forum","type":"article-journal","volume":"21"},"uris":["http://www.mendeley.com/documents/?uuid=2fe07ba2-79f3-413a-abaa-c60fe126e195"]},{"id":"ITEM-3","itemData":{"ISSN":"2655-3686","abstract":"This study explores the practice of interfaith figure communication in efforts to build religious harmony among the community in North Labuhanbatu Regency. This research is a field study with a qualitative descriptive approach. Data were collected through direct observation, interviews, group discussions, and documentation. The subjects include religious figures, community leaders, and government officials in North Labuhanbatu Regency. Data analysis used the Miles and Huberman model, with stages of data reduction, display, and conclusion drawing/verification. The results show that interfaith communication among religious figures in Labuhanbatu Utara is based on Islamic principles that respect human values and build harmony. This communication is crucial for strengthening social interactions and achieving common goals in creating sustainable harmony. Religious figures in the FKUB (Forum Komunikasi Umat Beragama) of Labuhanbatu Utara play a role in preventing religious conflicts through dialogue and coordination with local government. Barriers to building harmony among religious communities in Labuhanbatu Utara include distorted information and fake news on social media. The role of the internet and social media has changed how people obtain religious information, making religious figures more involved in politics and facing various challenges.","author":[{"dropping-particle":"","family":"Sihombing","given":"Ibrahim","non-dropping-particle":"","parse-names":false,"suffix":""},{"dropping-particle":"","family":"Kholil","given":"Syukur","non-dropping-particle":"","parse-names":false,"suffix":""},{"dropping-particle":"","family":"Yusnadi","given":"Yusnadi","non-dropping-particle":"","parse-names":false,"suffix":""}],"container-title":"MUHARRIK: Jurnal Dakwah dan Sosial","id":"ITEM-3","issue":"1","issued":{"date-parts":[["2023","6"]]},"page":"213-227","title":"Mapping Communication Strategies of the Interfaith Dialogue Forum in North Labuhan Batu for Strengthening Religious Moderation","type":"article-journal","volume":"6"},"uris":["http://www.mendeley.com/documents/?uuid=96c26929-62f3-321b-b891-3c8e1242bd57"]},{"id":"ITEM-4","itemData":{"DOI":"10.1558/poth.v9i1.79","ISSN":"1462-317X","author":[{"dropping-particle":"","family":"Muwahidah","given":"Siti","non-dropping-particle":"","parse-names":false,"suffix":""}],"container-title":"Political Theology","id":"ITEM-4","issue":"1","issued":{"date-parts":[["2008","2","3"]]},"page":"79-92","title":"Interfaith Dialogue at the Grassroots Level: A Case Study of an Interfaith Empowerment Program in East Java, Indonesia","type":"article-journal","volume":"9"},"uris":["http://www.mendeley.com/documents/?uuid=cc227b95-6930-4493-825e-63750cfe06f3"]}],"mendeley":{"formattedCitation":"(Ahmad et al., 2023; Faqih, 2021; Muwahidah, 2008; Sihombing et al., 2023)","plainTextFormattedCitation":"(Ahmad et al., 2023; Faqih, 2021; Muwahidah, 2008; Sihombing et al., 2023)","previouslyFormattedCitation":"(Ahmad et al., 2023; Faqih, 2021; Muwahidah, 2008; Sihombing et al., 2023)"},"properties":{"noteIndex":0},"schema":"https://github.com/citation-style-language/schema/raw/master/csl-citation.json"}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(Ahmad et al., 2023; Faqih, 2021; Muwahidah, 2008; Sihombing et al., 2023)</w:t>
      </w:r>
      <w:r w:rsidR="00876B52" w:rsidRPr="00902543">
        <w:rPr>
          <w:sz w:val="22"/>
          <w:szCs w:val="22"/>
          <w:vertAlign w:val="superscript"/>
        </w:rPr>
        <w:fldChar w:fldCharType="end"/>
      </w:r>
      <w:r w:rsidR="00902543" w:rsidRPr="00902543">
        <w:rPr>
          <w:sz w:val="22"/>
          <w:szCs w:val="22"/>
          <w:lang w:val="en-US"/>
        </w:rPr>
        <w:t xml:space="preserve">. </w:t>
      </w:r>
      <w:r w:rsidRPr="00902543">
        <w:rPr>
          <w:sz w:val="22"/>
          <w:szCs w:val="22"/>
          <w:lang w:val="en-US"/>
        </w:rPr>
        <w:t>On the other hand, FKUB is also widely recognized for its efforts to establish sustained interfaith dialogue platforms and strengthen communication channels across groups</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{"citationItems":[{"id":"ITEM-1","itemData":{"author":[{"dropping-particle":"","family":"Muhammad","given":"Imran","non-dropping-particle":"","parse-names":false,"suffix":""}],"container-title":"Jurnal Konflik Sosial","id":"ITEM-1","issue":"X","issued":{"date-parts":[["0"]]},"note":"halaman tidak tersedia].","title":"Peran FKUB dalam mediasi konflik komunal di Banda Aceh: Pendekatan kearifan lokal","type":"article-journal","volume":"X"},"uris":["http://www.mendeley.com/documents/?uuid=9f116672-fa55-439b-82d7-b42c1136511e"]},{"id":"ITEM-2","itemData":{"DOI":"10.22373/jm.v12i4.17289","ISSN":"2460-0733","abstract":"Today, in understanding, the millennial generation has appeared to deviate from the concept of moderation, as evidenced by the emergence of terror from millennials. Today's millennials are trapped in religious ideology which has the potential to damage the peace and harmony of the nation and state. The adherents of this ideology are easy to recognize, among the criteria that appear and can be seen immediately are in terms of attitude, such as feeling themselves the holiest, most righteous, apart from those who are heretics, heretics, and even disbelievers. This study tries to describe the phenomena that occur and the efforts of madrasas in Aceh in fostering students not to be trapped in religious phenomena that undermine the peace of the nation and state. The results of the study show that these radical or extremist actors indoctrinate millennials with an understanding that is contrary to the government's attitude towards the diversity of religious communities or stereotypes towards Religious Moderation. besides that through the use of information technology such as social media by creating content that leads to rejection of government policies, especially regarding religious moderation. The efforts of madrasas in Aceh in fostering students are through habituation of spiritual attitudes and character development in extracurricular activities.","author":[{"dropping-particle":"","family":"Muhammad","given":"Imran","non-dropping-particle":"","parse-names":false,"suffix":""}],"container-title":"Jurnal MUDARRISUNA: Media Kajian Pendidikan Agama Islam","id":"ITEM-2","issue":"4","issued":{"date-parts":[["2022","12","31"]]},"page":"980","title":"Fenomenologis Moderasi Beragama pada Madrasah di Aceh","type":"article-journal","volume":"12"},"uris":["http://www.mendeley.com/documents/?uuid=96d3edca-e67e-47fb-867f-fa5233b4fd63"]},{"id":"ITEM-3","itemData":{"DOI":"10.22146/jkn.61332","ISSN":"2527-9688","abstract":"ABSTRAKPancasila merupakan ideologi bangsa Indonesia. Penerapan nilai-nilai Pancasila perlu dilakukan oleh setiap warga negara Indonesia agar terciptanya warga negara yang baik serta mampu mengimplementasikan nilai Pancasila di kehidupan sehari-hari seperti toleransi umat beragama sehingga akan meningkatkan ketahanan nasional. Tujuan penelitian ini yaitu mengetahui sejauh mana ancaman Intoleransi Terhadap Dasar Negara Pancasila dan Implikasinya Kepada Ketahanan Ideologi Wilayah terutama di Tasikmalaya.Penelitian ini menggunakan metode penelitian studi kasus dengan menggunakan berbagai prosedur pengumpulan data untuk menggambarkan respon dari suatu peristiwa pada periode tertentu, Teknik pengumpulan data yang digunakan dalam penelitian ini adalah observasi, wawancara dan dokumentasi sedangkan untuk teknik analisis data pada penelitian ini yaitu reduksi data, penyajian data, dan mengambil kesimpulan.Permasalahan mengenai ketahanan ideologi Pancasila saat ini menjadi polemik bangsa Indonesia. munculnya berbagai isu gerakan pembentukan negara berbasis agama sampai dengan praktik-praktik pemahaman dan perubahan ideologi di berbagai aspek kehidupan sikap intoleransi terhadap umat beragama salah satunya adalah pemahaman agama yang bersifat ekstrinsik Pancasila menjadi sebuah alat pemersatu bangsa Indonesia agar tidak terpecah belah,Pancasila adalah ideologi dan dasar negara kesatuan memiliki nilai yang digali dari Indonesia, artinya digali dan diambil dari kekayaan, rohani, moral dan budaya masyarakat dan bangsa Indonesia. Sikap toleransi harus ditegakkan untuk melawan sikap anti toleransi atau intoleransi yang semakin berkembang. Bhinneka Tunggal Ika dan nilai Pancasila dijadikan dasar dalam upaya membina kerukunan dalam kehidupan bermasyarakat, berbangsa, dan bernegara.","author":[{"dropping-particle":"","family":"Budiman","given":"Agus","non-dropping-particle":"","parse-names":false,"suffix":""},{"dropping-particle":"","family":"Taufiq","given":"Otong Husni","non-dropping-particle":"","parse-names":false,"suffix":""},{"dropping-particle":"","family":"Nurholis","given":"Egi","non-dropping-particle":"","parse-names":false,"suffix":""}],"container-title":"Jurnal Ketahanan Nasional","id":"ITEM-3","issue":"3","issued":{"date-parts":[["2022","12","30"]]},"page":"372–391","title":"Ancaman Intoleransi Terhadap Dasar Negara Pancasila Dan Implikasinya Terhadap Ketahanan Ideologi Wilayah (Studi Di Kabupaten Tasikmalaya, Jawa Barat, Periode 2019-2020)","type":"article-journal","volume":"28"},"uris":["http://www.mendeley.com/documents/?uuid=37b9c41a-337a-4ede-aa3d-3db0ae8d6256"]}],"mendeley":{"formattedCitation":"(Budiman et al., 2022; Muhammad, n.d., 2022)","plainTextFormattedCitation":"(Budiman et al., 2022; Muhammad, n.d., 2022)","previouslyFormattedCitation":"(Budiman et al., 2022; Muhammad, n.d., 2022)"},"properties":{"noteIndex":0},"schema":"https://github.com/citation-style-language/schema/raw/master/csl-citation.json"}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(Budiman et al., 2022; Muhammad, n.d., 2022)</w:t>
      </w:r>
      <w:r w:rsidR="00876B52" w:rsidRPr="00902543">
        <w:rPr>
          <w:sz w:val="22"/>
          <w:szCs w:val="22"/>
          <w:vertAlign w:val="superscript"/>
        </w:rPr>
        <w:fldChar w:fldCharType="end"/>
      </w:r>
      <w:r w:rsidR="00902543" w:rsidRPr="00902543">
        <w:rPr>
          <w:sz w:val="22"/>
          <w:szCs w:val="22"/>
          <w:vertAlign w:val="superscript"/>
        </w:rPr>
        <w:t xml:space="preserve">, </w:t>
      </w:r>
      <w:r w:rsidRPr="00902543">
        <w:rPr>
          <w:sz w:val="22"/>
          <w:szCs w:val="22"/>
          <w:lang w:val="en-US"/>
        </w:rPr>
        <w:t>and has, in some cases, successfully mediated low-scale communal tensions</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{"citationItems":[{"id":"ITEM-1","itemData":{"DOI":"10.33367/tribakti.v35i2.5423","ISSN":"2502-3047","abstract":"Religious Harmony Forum (FKUB) plays a crucial role in managing diversity to prevent conflicts that could undermine social integrity. Therefore, this study aimed to identify conflict mitigation strategies through communication as well as supporting and hindering factors in the management of interfaith harmony by FKUB Nganjuk Regency and FKUB Kediri City. This qualitative study used various data collection techniques including interviews, observations and documentation. Participants in the study were the leaders of FKUB and representatives of the Nganjuk and Kediri communities. Data analysis used Miles and Huberman's techniques for analysing primary and secondary data, complemented by Stella Ting-Toomey's Face Negotiation Theory to examine face-saving efforts in diversity conflict mitigation. The findings revealed that facework, as a strategy for mitigating diversity conflict through communication, was implemented by considering communication goals and elements. This strategy was manifested in the programmes conducted by the FKUB. The individualistic culture of the community was evident in the conflict management approach of FKUB Nganjuk Regency, while the conflict mitigation approach of FKUB Kediri City was in line with the collectivistic culture of the community. However, both FKUBs also used collectivist approaches to conflict mitigation, particularly through integration. The supporting and hindering factors in managing interfaith harmony stemmed from both internal and external aspects of the FKUB, highlighting the need for synergy between different stakeholders to effectively manage interfaith harmony.","author":[{"dropping-particle":"","family":"Sutamaji","given":"Sutamaji","non-dropping-particle":"","parse-names":false,"suffix":""},{"dropping-particle":"","family":"Hakim","given":"Lukman","non-dropping-particle":"","parse-names":false,"suffix":""}],"container-title":"Tribakti: Jurnal Pemikiran Keislaman","id":"ITEM-1","issue":"2","issued":{"date-parts":[["2024","7","30"]]},"page":"225-242","title":"Communication Strategies of FKUB in Managing Conflicts Among Religious Communities in Nganjuk and Kediri","type":"article-journal","volume":"35"},"uris":["http://www.mendeley.com/documents/?uuid=dc5d6879-57c5-4e0d-b99f-7a5430099185"]},{"id":"ITEM-2","itemData":{"DOI":"10.33258/birci.v3i3.1083","ISSN":"2615-3076","abstract":"The objective of this study is to investigate communication strategies implemented by Forum Kerukunan Umat Beragama (Indonesian: Religious Harmony Forum) in maintaining religious harmony in Medan. The research used a qualitative descriptive analysis and a method of data collection which consisted of indepth interviews with research informants, interviews using observation techniques with direct field observation, and document study to explore data. Communication strategies implemented by Forum Kerukunan Umat Beragama (FKUB) in maintaining religious harmony in Medan include determining communicators based on the communicants’ religion and ethnicity; grouping the target audience by adjusting the program’s theme to the communicants’ age, gender, education, work and religion; gathering informative, persuasive and educational messages; and utilizing printed, electronic and outdoor media.","author":[{"dropping-particle":"","family":"Wikanda","given":"Fauji","non-dropping-particle":"","parse-names":false,"suffix":""},{"dropping-particle":"","family":"Hatta","given":"Mohd.","non-dropping-particle":"","parse-names":false,"suffix":""},{"dropping-particle":"","family":"Abdullah","given":"Abdullah","non-dropping-particle":"","parse-names":false,"suffix":""}],"container-title":"Budapest International Research and Critics Institute (BIRCI-Journal): Humanities and Social Sciences","id":"ITEM-2","issue":"3","issued":{"date-parts":[["2020","7","29"]]},"page":"1541-1551","title":"FKUB’s Communication Strategy in Mantaining Religious Harmony in Medan","type":"article-journal","volume":"3"},"uris":["http://www.mendeley.com/documents/?uuid=4c90d2b7-c2ac-4cf5-bd73-b325e57712e3"]},{"id":"ITEM-3","itemData":{"DOI":"10.2991/978-2-38476-046-6_51","author":[{"dropping-particle":"","family":"Putra","given":"Joni","non-dropping-particle":"","parse-names":false,"suffix":""},{"dropping-particle":"","family":"Frimayanti","given":"Ade Imelda","non-dropping-particle":"","parse-names":false,"suffix":""},{"dropping-particle":"","family":"Saputri","given":"Rima Yuni","non-dropping-particle":"","parse-names":false,"suffix":""},{"dropping-particle":"","family":"BR","given":"Aryan Danil Mirza.","non-dropping-particle":"","parse-names":false,"suffix":""}],"id":"ITEM-3","issued":{"date-parts":[["2023"]]},"page":"511-523","title":"Fostering Harmony Between Religious People: Study on FKUB Bandar Lampung","type":"chapter"},"uris":["http://www.mendeley.com/documents/?uuid=e5002059-b321-483e-bd90-4f8ddbd9d63a"]},{"id":"ITEM-4","itemData":{"DOI":"10.33550/sd.v11i1.397","ISSN":"2599-3267","abstract":"This article describes and analyses a complex relationship between Islamisation, peacebuilding, and interfaith dialogue in Papua. Before the presence of transnational Islam, the relationship between Muslims and Christians was in harmony, and they lived peacefully. However, such radical transnational Islamic groups have created tensions and conflict between these two religions as well as intra-religious frictions among Islamic groups. Furthermore, tensions among different religions have provided another nuance to the long-running separatism-flavoured conflict in Papua. This paper will describe the presence of transnational groups that promote Islamism and how the religious leaders in Papua, through Forum Kerukunan Umat Beragama or FKUB [the Religious Forum for Tolerance], reduce religious conflicts by making Deklarasi Papua Tanah Damai [Papua Land of Peace Declaration]. Furthermore, it explicates the framework of interfaith dialogue and how it is practised to maintain communal harmony in Papua. However, the interfaith dialogue is still used traditionally in Papua and has yet to resolve the root cause of the existing religious conflicts. Keywords: Islamisation, Communal Conflict, Transnational Islam, Peacebuilding, Interfaith Dialogue","author":[{"dropping-particle":"","family":"Ridwan","given":"","non-dropping-particle":"","parse-names":false,"suffix":""},{"dropping-particle":"","family":"Khotimah","given":"Husnul","non-dropping-particle":"","parse-names":false,"suffix":""}],"container-title":"Societas Dei: Jurnal Agama dan Masyarakat","id":"ITEM-4","issue":"1","issued":{"date-parts":[["2024","4","30"]]},"page":"24-38","title":"Examining Islamism, Peacebuilding, and Interfaith Dialogue in Papua, Indonesia","type":"article-journal","volume":"11"},"uris":["http://www.mendeley.com/documents/?uuid=a6c8dc7c-273e-45d3-9a12-9c23f6f1fe19"]},{"id":"ITEM-5","itemData":{"DOI":"10.61707/frs7yn36","ISSN":"2633-3538","abstract":"The digital era has brought significant changes in communication and social interactions, including in the context of interfaith harmony in South Sulawesi, Indonesia. This study explores the multifaceted communication strategies employed by interfaith leaders and religious figures to foster tolerance and mutual understanding among religious communities in South Sulawesi. The study uses a qualitative approach through case studies, in-depth interviews, observations, and documentation studies. Key informants include religious leaders, communities involved in interfaith activities, communication and information technology experts, and government officials related to religion and communication. The findings reveal that the strategic use of cyberculture and social media platforms is effective in promoting religious harmony. Social media platforms like Facebook, Twitter, and WhatsApp play a crucial role in facilitating communication and interaction among religious communities. Maintaining interfaith harmony in a digital society requires a comprehensive approach, including increased interfaith dialogue, inclusive religious education, active community engagement, and collaboration between religious institutions and government agencies. This study provides new insights into communication strategies for maintaining religious harmony in the digital era, emphasizing the need for digital literacy and effective detection and prevention strategies.","author":[{"dropping-particle":"","family":"Sulvinajayanti","given":"Sulvinajayanti","non-dropping-particle":"","parse-names":false,"suffix":""},{"dropping-particle":"","family":"Nisa","given":"Andi Khaerun","non-dropping-particle":"","parse-names":false,"suffix":""},{"dropping-particle":"","family":"Bahfiarti","given":"Tuti","non-dropping-particle":"","parse-names":false,"suffix":""},{"dropping-particle":"","family":"Sultan","given":"M.Iqbal","non-dropping-particle":"","parse-names":false,"suffix":""},{"dropping-particle":"","family":"Fitriana","given":"A.Dian","non-dropping-particle":"","parse-names":false,"suffix":""},{"dropping-particle":"","family":"Hilmiyah","given":"Mifda","non-dropping-particle":"","parse-names":false,"suffix":""}],"container-title":"International Journal of Religion","id":"ITEM-5","issue":"10","issued":{"date-parts":[["2024","7","26"]]},"page":"4757-4765","title":"Interfaith Harmony: Optimizing Digital Media and Stakeholder Collaboration in Communicating the Message of Moderation","type":"article-journal","volume":"5"},"uris":["http://www.mendeley.com/documents/?uuid=95a74c22-27b5-4c7d-a5a4-3861fbc6b173"]}],"mendeley":{"formattedCitation":"(Putra et al., 2023; Ridwan &amp; Khotimah, 2024; Sulvinajayanti et al., 2024; Sutamaji &amp; Hakim, 2024; Wikanda et al., 2020)","plainTextFormattedCitation":"(Putra et al., 2023; Ridwan &amp; Khotimah, 2024; Sulvinajayanti et al., 2024; Sutamaji &amp; Hakim, 2024; Wikanda et al., 2020)","previouslyFormattedCitation":"(Putra et al., 2023; Ridwan &amp; Khotimah, 2024; Sulvinajayanti et al., 2024; Sutamaji &amp; Hakim, 2024; Wikanda et al., 2020)"},"properties":{"noteIndex":0},"schema":"https://github.com/citation-style-language/schema/raw/master/csl-citation.json"}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(Putra et al., 2023; Ridwan &amp; Khotimah, 2024; Sulvinajayanti et al., 2024; Sutamaji &amp; Hakim, 2024; Wikanda et al., 2020)</w:t>
      </w:r>
      <w:r w:rsidR="00876B52" w:rsidRPr="00902543">
        <w:rPr>
          <w:sz w:val="22"/>
          <w:szCs w:val="22"/>
          <w:vertAlign w:val="superscript"/>
        </w:rPr>
        <w:fldChar w:fldCharType="end"/>
      </w:r>
      <w:r w:rsidR="00902543" w:rsidRPr="00902543">
        <w:rPr>
          <w:sz w:val="22"/>
          <w:szCs w:val="22"/>
          <w:lang w:val="en-US"/>
        </w:rPr>
        <w:t xml:space="preserve">. </w:t>
      </w:r>
    </w:p>
    <w:p w14:paraId="7CA8AE46" w14:textId="2E1668C7" w:rsidR="00F40688" w:rsidRPr="00902543" w:rsidRDefault="00902543" w:rsidP="00C74E13">
      <w:pPr>
        <w:autoSpaceDE w:val="0"/>
        <w:autoSpaceDN w:val="0"/>
        <w:adjustRightInd w:val="0"/>
        <w:spacing w:line="480" w:lineRule="auto"/>
        <w:ind w:firstLine="567"/>
        <w:jc w:val="both"/>
        <w:rPr>
          <w:sz w:val="22"/>
          <w:szCs w:val="22"/>
          <w:lang w:val="en-US"/>
        </w:rPr>
      </w:pPr>
      <w:r w:rsidRPr="00902543">
        <w:rPr>
          <w:sz w:val="22"/>
          <w:szCs w:val="22"/>
          <w:lang w:val="en-US"/>
        </w:rPr>
        <w:t>D</w:t>
      </w:r>
      <w:r w:rsidR="00131DA2" w:rsidRPr="00902543">
        <w:rPr>
          <w:sz w:val="22"/>
          <w:szCs w:val="22"/>
          <w:lang w:val="en-US"/>
        </w:rPr>
        <w:t>espite growing attention to religious moderation in Indonesia, particularly in Java and other pluralistic provinces, there remains a significant lack of empirical studies that explore how the national policy of moderation is interpreted and operationalized in the unique legal and socio-</w:t>
      </w:r>
      <w:r w:rsidR="00131DA2" w:rsidRPr="00902543">
        <w:rPr>
          <w:sz w:val="22"/>
          <w:szCs w:val="22"/>
          <w:lang w:val="en-US"/>
        </w:rPr>
        <w:lastRenderedPageBreak/>
        <w:t>religious setting of Aceh. Specifically, little is known about how FKUB actors in Banda Aceh reconcile the national moderation agenda with the local implementation of Islamic Sharia. Such complexity is not merely theoretical but reflected in recurring tensions surrounding religious pluralism in th</w:t>
      </w:r>
      <w:r w:rsidR="008F2B46" w:rsidRPr="00902543">
        <w:rPr>
          <w:sz w:val="22"/>
          <w:szCs w:val="22"/>
          <w:lang w:val="en-US"/>
        </w:rPr>
        <w:t>is</w:t>
      </w:r>
      <w:r w:rsidR="00131DA2" w:rsidRPr="00902543">
        <w:rPr>
          <w:sz w:val="22"/>
          <w:szCs w:val="22"/>
          <w:lang w:val="en-US"/>
        </w:rPr>
        <w:t xml:space="preserve"> region. One prominent example occurred in </w:t>
      </w:r>
      <w:proofErr w:type="spellStart"/>
      <w:r w:rsidR="00131DA2" w:rsidRPr="00902543">
        <w:rPr>
          <w:sz w:val="22"/>
          <w:szCs w:val="22"/>
          <w:lang w:val="en-US"/>
        </w:rPr>
        <w:t>Singkil</w:t>
      </w:r>
      <w:proofErr w:type="spellEnd"/>
      <w:r w:rsidR="00131DA2" w:rsidRPr="00902543">
        <w:rPr>
          <w:sz w:val="22"/>
          <w:szCs w:val="22"/>
          <w:lang w:val="en-US"/>
        </w:rPr>
        <w:t xml:space="preserve"> Regency in 2015, when violence broke out over disputes involving unregistered churches: a church was set on fire by a mob, one person was killed, and approximately 1,900 Christian residents fled to North Sumatra</w:t>
      </w:r>
      <w:r w:rsidR="0079519B" w:rsidRPr="00902543">
        <w:rPr>
          <w:sz w:val="22"/>
          <w:szCs w:val="22"/>
          <w:lang w:val="en-US"/>
        </w:rPr>
        <w:t>.</w:t>
      </w:r>
      <w:r w:rsidRPr="00902543">
        <w:rPr>
          <w:sz w:val="22"/>
          <w:szCs w:val="22"/>
          <w:lang w:val="en-US"/>
        </w:rPr>
        <w:t xml:space="preserve"> </w:t>
      </w:r>
      <w:r w:rsidR="00131DA2" w:rsidRPr="00902543">
        <w:rPr>
          <w:sz w:val="22"/>
          <w:szCs w:val="22"/>
          <w:lang w:val="en-US"/>
        </w:rPr>
        <w:t>In Banda Aceh, minority religious groups such as Christians and Buddhists have experienced resistance and prolonged delays in acquiring permits to establish houses of worship, particularly when operating in rented shophouses without formal registration</w:t>
      </w:r>
      <w:r w:rsidRPr="00902543">
        <w:rPr>
          <w:sz w:val="22"/>
          <w:szCs w:val="22"/>
          <w:lang w:val="en-US"/>
        </w:rPr>
        <w:t xml:space="preserve"> </w:t>
      </w:r>
      <w:r w:rsidR="00876B52" w:rsidRPr="00902543">
        <w:rPr>
          <w:rStyle w:val="FootnoteReference"/>
          <w:sz w:val="22"/>
          <w:szCs w:val="22"/>
          <w:lang w:val="en-US"/>
        </w:rPr>
        <w:fldChar w:fldCharType="begin" w:fldLock="1"/>
      </w:r>
      <w:r w:rsidR="00AD7F4D">
        <w:rPr>
          <w:sz w:val="22"/>
          <w:szCs w:val="22"/>
          <w:lang w:val="en-US"/>
        </w:rPr>
        <w:instrText>ADDIN CSL_CITATION {"citationItems":[{"id":"ITEM-1","itemData":{"DOI":"10.14421/ajish.v55i1.1012","ISSN":"2443-0757","abstract":"Abstract: Religious identity-based laws can cause restrictions on the expression of religious freedom in the public sphere. It occurred in the implementation of Qanun Aceh 4/2016 about the provisions for establishing places of worship in Aceh (the Qanun). The enactment of the Qanun often triggers the majority hegemony over minority groups. Having focused on criticizing the Qanun, this article analyses two aspects. Firstly, the Qanun was reviewed from human rights. Secondly, the impact of the Qanun on the map on distribution and condition of places of worship for religious minorities in each regency/city in Aceh Province. This article uses qualitative research methods by utilizing, mapping, and reviewing data from the 2020 Central Statistics Agency of Aceh Province. This study found that: firstly, the Qanun does not meet the provisions of limitations on human rights in the 1945 Indonesian Constitution, International Covenant on Civil and Political Rights (ICCPR), and the Principle of Siracusa; secondly, the access for minority groups for establishing places of worship in Aceh can be mapped in three conditions, namely positive, normal and negative.Abstract: Hukum yang didasarkan pada identitas keagamaan bisa menyebabkan pembatasan ekspresi kebebasan beragama di muka umum. Ini terjadi dalam pelaksanaan Qanun Aceh 4/2016 tentang persyaratan pendirian tempat ibadah di Aceh (Qanun). Pemberlakuan Qanun sering memicu hegemoni mayoritas terhadap kelompok minoritas. Dengan fokus untuk mengkritisi Qanun, artikel ini mengulas dua aspek. Pertama, keberadaan Qanun ditinjau dengan Hak Asasi Manusian (HAM). Kedua, pengaruh Qanun terhadap peta distribusi dan konsisi tempat ibadah bagi kelompok keagamaan minoritas di setiap kabupaten/kota di Provinsi Aceh. Artikel ini menggunakan metode penelitian kualitatif dengan memanfaatkan, memetakan dan mereview data tahun 2020 dari Badan Pusat Statistik Provinsi Aceh. Penelitian ini menemukan: pertama, Qanun tidak memenuhi persyaratan pembatasan HAM yang diatur dalam UUD 1945, Kovenan Internasional Hak Sipil-Politik, dan PrinsipSiracusa; kedua, akses kelompok minoritas atas pendirian rumah ibadah di Aceh dapat dipetakan dalam tiga konidisi, yakni positif, normal dan negatif.","author":[{"dropping-particle":"","family":"Tobroni","given":"Faiq","non-dropping-particle":"","parse-names":false,"suffix":""}],"container-title":"Asy-Syir'ah: Jurnal Ilmu Syari'ah dan Hukum","id":"ITEM-1","issue":"1","issued":{"date-parts":[["2021","12","10"]]},"page":"209","title":"Local-Sharia Regulations and Religious Expression in Aceh: Criticism of the Qanun about Establishing Places of Worship","type":"article-journal","volume":"55"},"uris":["http://www.mendeley.com/documents/?uuid=94f618d5-993e-4628-8f48-3e24b7fbd409"]},{"id":"ITEM-2","itemData":{"author":[{"dropping-particle":"","family":"U.S. Embassy Jakarta","given":"","non-dropping-particle":"","parse-names":false,"suffix":""}],"id":"ITEM-2","issued":{"date-parts":[["2021"]]},"title":"2021 Report on International Religious Freedom in Indonesia","type":"report"},"uris":["http://www.mendeley.com/documents/?uuid=f9412cb9-a7d3-3813-ae44-a60007669f2b"]}],"mendeley":{"formattedCitation":"(Tobroni, 2021; U.S. Embassy Jakarta, 2021)","plainTextFormattedCitation":"(Tobroni, 2021; U.S. Embassy Jakarta, 2021)","previouslyFormattedCitation":"(Tobroni, 2021; U.S. Embassy Jakarta, 2021)"},"properties":{"noteIndex":0},"schema":"https://github.com/citation-style-language/schema/raw/master/csl-citation.json"}</w:instrText>
      </w:r>
      <w:r w:rsidR="00876B52" w:rsidRPr="00902543">
        <w:rPr>
          <w:rStyle w:val="FootnoteReference"/>
          <w:sz w:val="22"/>
          <w:szCs w:val="22"/>
          <w:lang w:val="en-US"/>
        </w:rPr>
        <w:fldChar w:fldCharType="separate"/>
      </w:r>
      <w:r w:rsidR="00876B52" w:rsidRPr="00902543">
        <w:rPr>
          <w:noProof/>
          <w:sz w:val="22"/>
          <w:szCs w:val="22"/>
          <w:lang w:val="en-US"/>
        </w:rPr>
        <w:t>(Tobroni, 2021; U.S. Embassy Jakarta, 2021)</w:t>
      </w:r>
      <w:r w:rsidR="00876B52" w:rsidRPr="00902543">
        <w:rPr>
          <w:rStyle w:val="FootnoteReference"/>
          <w:sz w:val="22"/>
          <w:szCs w:val="22"/>
          <w:lang w:val="en-US"/>
        </w:rPr>
        <w:fldChar w:fldCharType="end"/>
      </w:r>
      <w:r w:rsidRPr="00902543">
        <w:rPr>
          <w:sz w:val="22"/>
          <w:szCs w:val="22"/>
          <w:lang w:val="en-US"/>
        </w:rPr>
        <w:t xml:space="preserve">. </w:t>
      </w:r>
      <w:r w:rsidR="00131DA2" w:rsidRPr="00902543">
        <w:rPr>
          <w:sz w:val="22"/>
          <w:szCs w:val="22"/>
          <w:lang w:val="en-US"/>
        </w:rPr>
        <w:t>In 2012, nine churches in Banda Aceh agreed to halt activities after negotiations with the city government due to lack of permits</w:t>
      </w:r>
      <w:r w:rsidRPr="00902543">
        <w:rPr>
          <w:sz w:val="22"/>
          <w:szCs w:val="22"/>
          <w:lang w:val="en-US"/>
        </w:rPr>
        <w:t xml:space="preserve"> </w:t>
      </w:r>
      <w:r w:rsidR="00876B52" w:rsidRPr="00902543">
        <w:rPr>
          <w:rStyle w:val="FootnoteReference"/>
          <w:sz w:val="22"/>
          <w:szCs w:val="22"/>
          <w:lang w:val="en-US"/>
        </w:rPr>
        <w:fldChar w:fldCharType="begin" w:fldLock="1"/>
      </w:r>
      <w:r w:rsidR="00AD7F4D">
        <w:rPr>
          <w:sz w:val="22"/>
          <w:szCs w:val="22"/>
          <w:lang w:val="en-US"/>
        </w:rPr>
        <w:instrText>ADDIN CSL_CITATION {"citationItems":[{"id":"ITEM-1","itemData":{"URL":"https://nasional.kompas.com/read/2012/10/24/16041587/penutupan.gereja.dan.vihara.di.aceh.tindakan.subversif","author":[{"dropping-particle":"","family":"Kompas.com","given":"","non-dropping-particle":"","parse-names":false,"suffix":""}],"id":"ITEM-1","issued":{"date-parts":[["2012"]]},"title":"Penutupan Gereja dan Wihara di Aceh Tindakan Subversif","type":"webpage"},"uris":["http://www.mendeley.com/documents/?uuid=93a68f87-176b-3bbf-95d4-daf6148c77eb"]},{"id":"ITEM-2","itemData":{"URL":"https://www.thejakartapost.com/news/2012/10/23/christians-aceh-live-fear-after-church-closures.html","author":[{"dropping-particle":"","family":"The Jakarta Post","given":"","non-dropping-particle":"","parse-names":false,"suffix":""}],"id":"ITEM-2","issued":{"date-parts":[["2012"]]},"title":"Christians in Aceh live in fear after church closures","type":"webpage"},"uris":["http://www.mendeley.com/documents/?uuid=3d3524d0-4bce-38b8-b573-9df58a06ff2f"]}],"mendeley":{"formattedCitation":"(Kompas.com, 2012; The Jakarta Post, 2012)","plainTextFormattedCitation":"(Kompas.com, 2012; The Jakarta Post, 2012)","previouslyFormattedCitation":"(Kompas.com, 2012; The Jakarta Post, 2012)"},"properties":{"noteIndex":0},"schema":"https://github.com/citation-style-language/schema/raw/master/csl-citation.json"}</w:instrText>
      </w:r>
      <w:r w:rsidR="00876B52" w:rsidRPr="00902543">
        <w:rPr>
          <w:rStyle w:val="FootnoteReference"/>
          <w:sz w:val="22"/>
          <w:szCs w:val="22"/>
          <w:lang w:val="en-US"/>
        </w:rPr>
        <w:fldChar w:fldCharType="separate"/>
      </w:r>
      <w:r w:rsidR="00876B52" w:rsidRPr="00902543">
        <w:rPr>
          <w:noProof/>
          <w:sz w:val="22"/>
          <w:szCs w:val="22"/>
          <w:lang w:val="en-US"/>
        </w:rPr>
        <w:t>(Kompas.com, 2012; The Jakarta Post, 2012)</w:t>
      </w:r>
      <w:r w:rsidR="00876B52" w:rsidRPr="00902543">
        <w:rPr>
          <w:rStyle w:val="FootnoteReference"/>
          <w:sz w:val="22"/>
          <w:szCs w:val="22"/>
          <w:lang w:val="en-US"/>
        </w:rPr>
        <w:fldChar w:fldCharType="end"/>
      </w:r>
      <w:r w:rsidRPr="00902543">
        <w:rPr>
          <w:sz w:val="22"/>
          <w:szCs w:val="22"/>
          <w:lang w:val="en-US"/>
        </w:rPr>
        <w:t xml:space="preserve">. </w:t>
      </w:r>
      <w:r w:rsidR="00131DA2" w:rsidRPr="00902543">
        <w:rPr>
          <w:sz w:val="22"/>
          <w:szCs w:val="22"/>
          <w:lang w:val="en-US"/>
        </w:rPr>
        <w:t xml:space="preserve">FKUB is frequently placed in a delicate position—tasked with implementing the 2006 Joint Ministerial Regulation, while navigating strong public sentiments shaped by local interpretations of Islamic norms. </w:t>
      </w:r>
      <w:r w:rsidR="005E760D" w:rsidRPr="00902543">
        <w:rPr>
          <w:sz w:val="22"/>
          <w:szCs w:val="22"/>
          <w:lang w:val="en-US"/>
        </w:rPr>
        <w:t>Additionally, broader studies have noted persistent structural limitations on religious minorities’ freedom of worship and celebration in Aceh, particularly through local regulations and communal pressures</w:t>
      </w:r>
      <w:r w:rsidRPr="00902543">
        <w:rPr>
          <w:sz w:val="22"/>
          <w:szCs w:val="22"/>
          <w:lang w:val="en-US"/>
        </w:rPr>
        <w:t xml:space="preserve"> </w:t>
      </w:r>
      <w:r w:rsidR="00876B52" w:rsidRPr="00902543">
        <w:rPr>
          <w:rStyle w:val="FootnoteReference"/>
          <w:sz w:val="22"/>
          <w:szCs w:val="22"/>
          <w:lang w:val="en-US"/>
        </w:rPr>
        <w:fldChar w:fldCharType="begin" w:fldLock="1"/>
      </w:r>
      <w:r w:rsidR="00AD7F4D">
        <w:rPr>
          <w:sz w:val="22"/>
          <w:szCs w:val="22"/>
          <w:lang w:val="en-US"/>
        </w:rPr>
        <w:instrText>ADDIN CSL_CITATION {"citationItems":[{"id":"ITEM-1","itemData":{"URL":"https://wahidfoundation.org/index.php/publikasi/laporan-kbb","author":[{"dropping-particle":"","family":"Foundation","given":"Wahid","non-dropping-particle":"","parse-names":false,"suffix":""}],"id":"ITEM-1","issued":{"date-parts":[["2023"]]},"title":"Laporan Tahunan: Kemerdekaan Beragama/Berkeyakinan 2022","type":"webpage"},"uris":["http://www.mendeley.com/documents/?uuid=0bf4baf0-e50b-3411-a3d8-1769b27c1ea6"]}],"mendeley":{"formattedCitation":"(Foundation, 2023)","plainTextFormattedCitation":"(Foundation, 2023)","previouslyFormattedCitation":"(Foundation, 2023)"},"properties":{"noteIndex":0},"schema":"https://github.com/citation-style-language/schema/raw/master/csl-citation.json"}</w:instrText>
      </w:r>
      <w:r w:rsidR="00876B52" w:rsidRPr="00902543">
        <w:rPr>
          <w:rStyle w:val="FootnoteReference"/>
          <w:sz w:val="22"/>
          <w:szCs w:val="22"/>
          <w:lang w:val="en-US"/>
        </w:rPr>
        <w:fldChar w:fldCharType="separate"/>
      </w:r>
      <w:r w:rsidR="00876B52" w:rsidRPr="00902543">
        <w:rPr>
          <w:noProof/>
          <w:sz w:val="22"/>
          <w:szCs w:val="22"/>
          <w:lang w:val="en-US"/>
        </w:rPr>
        <w:t>(Foundation, 2023)</w:t>
      </w:r>
      <w:r w:rsidR="00876B52" w:rsidRPr="00902543">
        <w:rPr>
          <w:rStyle w:val="FootnoteReference"/>
          <w:sz w:val="22"/>
          <w:szCs w:val="22"/>
          <w:lang w:val="en-US"/>
        </w:rPr>
        <w:fldChar w:fldCharType="end"/>
      </w:r>
      <w:r w:rsidRPr="00902543">
        <w:rPr>
          <w:sz w:val="22"/>
          <w:szCs w:val="22"/>
          <w:lang w:val="en-US"/>
        </w:rPr>
        <w:t xml:space="preserve">. </w:t>
      </w:r>
      <w:r w:rsidR="005E760D" w:rsidRPr="00902543">
        <w:rPr>
          <w:sz w:val="22"/>
          <w:szCs w:val="22"/>
          <w:lang w:val="en-US"/>
        </w:rPr>
        <w:t xml:space="preserve">Although these tensions may not always escalate into open conflict, they reflect structural disharmony rooted in contested interpretations of religious rights, public pressure, and identity-based exclusion. </w:t>
      </w:r>
      <w:r w:rsidR="00F40688" w:rsidRPr="00902543">
        <w:rPr>
          <w:sz w:val="22"/>
          <w:szCs w:val="22"/>
        </w:rPr>
        <w:t>These empirical realities suggest that religious moderation in Aceh is not simply a matter of policy articulation but involves complex negotiations at the intersection of law, religion, and society. They also highlight the pressing need to investigate how institutions like FKUB navigate and adapt the national religious moderation framework within such a stringent normative environment.</w:t>
      </w:r>
      <w:r w:rsidR="00F40688" w:rsidRPr="00902543">
        <w:rPr>
          <w:sz w:val="22"/>
          <w:szCs w:val="22"/>
          <w:lang w:val="en-US"/>
        </w:rPr>
        <w:t xml:space="preserve"> </w:t>
      </w:r>
    </w:p>
    <w:p w14:paraId="291F6B3D" w14:textId="09FF7D2E" w:rsidR="00663220" w:rsidRPr="00902543" w:rsidRDefault="00F40688" w:rsidP="00C74E13">
      <w:pPr>
        <w:autoSpaceDE w:val="0"/>
        <w:autoSpaceDN w:val="0"/>
        <w:adjustRightInd w:val="0"/>
        <w:spacing w:line="480" w:lineRule="auto"/>
        <w:ind w:firstLine="567"/>
        <w:jc w:val="both"/>
        <w:rPr>
          <w:sz w:val="22"/>
          <w:szCs w:val="22"/>
          <w:lang w:val="en-US"/>
        </w:rPr>
      </w:pPr>
      <w:r w:rsidRPr="00902543">
        <w:rPr>
          <w:sz w:val="22"/>
          <w:szCs w:val="22"/>
        </w:rPr>
        <w:t xml:space="preserve">Given Aceh’s unique position as the only province in Indonesia governed by formal Islamic Sharia, Banda Aceh offers a critical context for examining how national religious moderation policies are adapted and negotiated locally. Rather than seeking representativeness across regions, this study adopts an in-depth, context-sensitive approach, focusing on how religious moderation unfolds within a stringent socio-religious framework. Insights from such an extreme case are </w:t>
      </w:r>
      <w:r w:rsidRPr="00902543">
        <w:rPr>
          <w:sz w:val="22"/>
          <w:szCs w:val="22"/>
        </w:rPr>
        <w:lastRenderedPageBreak/>
        <w:t>valuable for understanding the operational boundaries and adaptive strategies of interfaith institutions in varied normative settings. Thus, t</w:t>
      </w:r>
      <w:r w:rsidR="00131DA2" w:rsidRPr="00902543">
        <w:rPr>
          <w:sz w:val="22"/>
          <w:szCs w:val="22"/>
          <w:lang w:val="en-US"/>
        </w:rPr>
        <w:t>his study addresses that gap by focusing on the Banda Aceh FKUB as a site of interfaith praxis within the framework of Sharia. It addresses two key research questions: (1) How does the Banda Aceh FKUB articulate the concept of religious moderation within the framework of Islamic Sharia?</w:t>
      </w:r>
      <w:r w:rsidR="000B5CA6" w:rsidRPr="00902543">
        <w:rPr>
          <w:sz w:val="22"/>
          <w:szCs w:val="22"/>
          <w:lang w:val="en-US"/>
        </w:rPr>
        <w:t xml:space="preserve"> </w:t>
      </w:r>
      <w:r w:rsidR="00131DA2" w:rsidRPr="00902543">
        <w:rPr>
          <w:sz w:val="22"/>
          <w:szCs w:val="22"/>
          <w:lang w:val="en-US"/>
        </w:rPr>
        <w:t xml:space="preserve">and (2) How does it facilitate dialogue, mediation, and interreligious harmony within a complex socio-religious </w:t>
      </w:r>
      <w:r w:rsidR="000B5CA6" w:rsidRPr="00902543">
        <w:rPr>
          <w:sz w:val="22"/>
          <w:szCs w:val="22"/>
          <w:lang w:val="en-US"/>
        </w:rPr>
        <w:t xml:space="preserve">setting? </w:t>
      </w:r>
      <w:r w:rsidR="00131DA2" w:rsidRPr="00902543">
        <w:rPr>
          <w:sz w:val="22"/>
          <w:szCs w:val="22"/>
          <w:lang w:val="en-US"/>
        </w:rPr>
        <w:t>Through a context-sensitive and data-driven analysis, this article aims to contribute theoretically to the study of religious moderation policy localization, while offering practical implications for strengthening FKUB’s institutional capacity in socially and normatively complex regions such as Aceh.</w:t>
      </w:r>
    </w:p>
    <w:p w14:paraId="3561D6DB" w14:textId="29720383" w:rsidR="00DA7547" w:rsidRPr="00902543" w:rsidRDefault="0045046F" w:rsidP="00C74E13">
      <w:pPr>
        <w:autoSpaceDE w:val="0"/>
        <w:autoSpaceDN w:val="0"/>
        <w:adjustRightInd w:val="0"/>
        <w:spacing w:line="480" w:lineRule="auto"/>
        <w:rPr>
          <w:sz w:val="22"/>
          <w:szCs w:val="22"/>
          <w:lang w:val="en-US"/>
        </w:rPr>
      </w:pPr>
      <w:r w:rsidRPr="00902543">
        <w:rPr>
          <w:b/>
          <w:bCs/>
          <w:sz w:val="22"/>
          <w:szCs w:val="22"/>
          <w:lang w:val="en-US"/>
        </w:rPr>
        <w:t>Method</w:t>
      </w:r>
      <w:r w:rsidR="00FE5B36" w:rsidRPr="00902543">
        <w:rPr>
          <w:b/>
          <w:bCs/>
          <w:sz w:val="22"/>
          <w:szCs w:val="22"/>
        </w:rPr>
        <w:t xml:space="preserve"> </w:t>
      </w:r>
    </w:p>
    <w:p w14:paraId="057C6548" w14:textId="42DB4C33" w:rsidR="00C54188" w:rsidRPr="00902543" w:rsidRDefault="00F05660" w:rsidP="00C74E13">
      <w:pPr>
        <w:autoSpaceDE w:val="0"/>
        <w:autoSpaceDN w:val="0"/>
        <w:adjustRightInd w:val="0"/>
        <w:spacing w:line="480" w:lineRule="auto"/>
        <w:ind w:firstLine="567"/>
        <w:jc w:val="both"/>
        <w:rPr>
          <w:sz w:val="22"/>
          <w:szCs w:val="22"/>
        </w:rPr>
      </w:pPr>
      <w:r w:rsidRPr="00902543">
        <w:rPr>
          <w:sz w:val="22"/>
          <w:szCs w:val="22"/>
        </w:rPr>
        <w:t xml:space="preserve">This study employs a qualitative single-case study design, selecting the Interfaith Harmony Forum </w:t>
      </w:r>
      <w:r w:rsidRPr="00902543">
        <w:rPr>
          <w:i/>
          <w:iCs/>
          <w:sz w:val="22"/>
          <w:szCs w:val="22"/>
        </w:rPr>
        <w:t xml:space="preserve">(Forum </w:t>
      </w:r>
      <w:proofErr w:type="spellStart"/>
      <w:r w:rsidRPr="00902543">
        <w:rPr>
          <w:i/>
          <w:iCs/>
          <w:sz w:val="22"/>
          <w:szCs w:val="22"/>
        </w:rPr>
        <w:t>Kerukunan</w:t>
      </w:r>
      <w:proofErr w:type="spellEnd"/>
      <w:r w:rsidRPr="00902543">
        <w:rPr>
          <w:i/>
          <w:iCs/>
          <w:sz w:val="22"/>
          <w:szCs w:val="22"/>
        </w:rPr>
        <w:t xml:space="preserve"> </w:t>
      </w:r>
      <w:proofErr w:type="spellStart"/>
      <w:r w:rsidRPr="00902543">
        <w:rPr>
          <w:i/>
          <w:iCs/>
          <w:sz w:val="22"/>
          <w:szCs w:val="22"/>
        </w:rPr>
        <w:t>Umat</w:t>
      </w:r>
      <w:proofErr w:type="spellEnd"/>
      <w:r w:rsidRPr="00902543">
        <w:rPr>
          <w:i/>
          <w:iCs/>
          <w:sz w:val="22"/>
          <w:szCs w:val="22"/>
        </w:rPr>
        <w:t xml:space="preserve"> Beragama, FKUB)</w:t>
      </w:r>
      <w:r w:rsidRPr="00902543">
        <w:rPr>
          <w:sz w:val="22"/>
          <w:szCs w:val="22"/>
        </w:rPr>
        <w:t xml:space="preserve"> of Banda Aceh as a critical case to explore the localization of religious moderation within a Sharia-governed socio-religious environment. The selection of Banda Aceh follows an extreme case rationale, aiming to investigate how religious moderation efforts are interpreted and operationalized within one of the most normatively rigid regions in Indonesia. This approach aligns with Flyvbjerg’s</w:t>
      </w:r>
      <w:r w:rsidR="00902543" w:rsidRPr="00902543">
        <w:rPr>
          <w:sz w:val="22"/>
          <w:szCs w:val="22"/>
        </w:rPr>
        <w:t xml:space="preserve"> </w:t>
      </w:r>
      <w:r w:rsidR="00876B52" w:rsidRPr="00902543">
        <w:rPr>
          <w:rStyle w:val="FootnoteReference"/>
          <w:sz w:val="22"/>
          <w:szCs w:val="22"/>
        </w:rPr>
        <w:fldChar w:fldCharType="begin" w:fldLock="1"/>
      </w:r>
      <w:r w:rsidR="00AD7F4D">
        <w:rPr>
          <w:sz w:val="22"/>
          <w:szCs w:val="22"/>
        </w:rPr>
        <w:instrText>ADDIN CSL_CITATION {"citationItems":[{"id":"ITEM-1","itemData":{"DOI":"10.1177/1077800405284363","ISSN":"1077-8004","abstract":"This article examines five common misunderstandings about case-study research: (a) theoretical knowledge is more valuable than practical knowledge; (b) one cannot generalize from a single case, therefore, the single-case study cannot contribute to scientific development; (c) the case study is most useful for generating hypotheses, whereas other methods are more suitable for hypotheses testing and theory building; (d) the case study contains a bias toward verification; and (e) it is often difficult to summarize specific case studies. This article explains and corrects these misunderstandings one by one and concludes with the Kuhnian insight that a scientific discipline without a large number of thoroughly executed case studies is a discipline without systematic production of exemplars, and a discipline without exemplars is an ineffective one. Social science may be strengthened by the execution of a greater number of good case studies.","author":[{"dropping-particle":"","family":"Flyvbjerg","given":"Bent","non-dropping-particle":"","parse-names":false,"suffix":""}],"container-title":"Qualitative Inquiry","id":"ITEM-1","issue":"2","issued":{"date-parts":[["2006","4","1"]]},"page":"219-245","title":"Five Misunderstandings About Case-Study Research","type":"article-journal","volume":"12"},"uris":["http://www.mendeley.com/documents/?uuid=c611cc9d-5736-487e-bb82-5c35f7ec3a5d"]}],"mendeley":{"formattedCitation":"(Flyvbjerg, 2006)","manualFormatting":"(2006)","plainTextFormattedCitation":"(Flyvbjerg, 2006)","previouslyFormattedCitation":"(Flyvbjerg, 2006)"},"properties":{"noteIndex":0},"schema":"https://github.com/citation-style-language/schema/raw/master/csl-citation.json"}</w:instrText>
      </w:r>
      <w:r w:rsidR="00876B52" w:rsidRPr="00902543">
        <w:rPr>
          <w:rStyle w:val="FootnoteReference"/>
          <w:sz w:val="22"/>
          <w:szCs w:val="22"/>
        </w:rPr>
        <w:fldChar w:fldCharType="separate"/>
      </w:r>
      <w:r w:rsidR="00876B52" w:rsidRPr="00902543">
        <w:rPr>
          <w:noProof/>
          <w:sz w:val="22"/>
          <w:szCs w:val="22"/>
        </w:rPr>
        <w:t>(2006)</w:t>
      </w:r>
      <w:r w:rsidR="00876B52" w:rsidRPr="00902543">
        <w:rPr>
          <w:rStyle w:val="FootnoteReference"/>
          <w:sz w:val="22"/>
          <w:szCs w:val="22"/>
        </w:rPr>
        <w:fldChar w:fldCharType="end"/>
      </w:r>
      <w:r w:rsidRPr="00902543">
        <w:rPr>
          <w:sz w:val="22"/>
          <w:szCs w:val="22"/>
        </w:rPr>
        <w:t xml:space="preserve"> and Yin’s</w:t>
      </w:r>
      <w:r w:rsidR="00902543" w:rsidRPr="00902543">
        <w:rPr>
          <w:sz w:val="22"/>
          <w:szCs w:val="22"/>
        </w:rPr>
        <w:t xml:space="preserve"> </w:t>
      </w:r>
      <w:r w:rsidR="00876B52" w:rsidRPr="00902543">
        <w:rPr>
          <w:rStyle w:val="FootnoteReference"/>
          <w:sz w:val="22"/>
          <w:szCs w:val="22"/>
        </w:rPr>
        <w:fldChar w:fldCharType="begin" w:fldLock="1"/>
      </w:r>
      <w:r w:rsidR="00AD7F4D">
        <w:rPr>
          <w:sz w:val="22"/>
          <w:szCs w:val="22"/>
        </w:rPr>
        <w:instrText>ADDIN CSL_CITATION {"citationItems":[{"id":"ITEM-1","itemData":{"ISBN":"9781506336169","author":[{"dropping-particle":"","family":"Yin","given":"Robert K.","non-dropping-particle":"","parse-names":false,"suffix":""}],"edition":"6th Editio","id":"ITEM-1","issued":{"date-parts":[["2018"]]},"publisher":"SAGE Publications Ltd","publisher-place":"London","title":"Case Study Research and Applications: Design and Methods","type":"book"},"uris":["http://www.mendeley.com/documents/?uuid=9a68c68f-4170-4cfa-b823-598cf2b8d1fe"]}],"mendeley":{"formattedCitation":"(Yin, 2018)","manualFormatting":"(2018)","plainTextFormattedCitation":"(Yin, 2018)","previouslyFormattedCitation":"(Yin, 2018)"},"properties":{"noteIndex":0},"schema":"https://github.com/citation-style-language/schema/raw/master/csl-citation.json"}</w:instrText>
      </w:r>
      <w:r w:rsidR="00876B52" w:rsidRPr="00902543">
        <w:rPr>
          <w:rStyle w:val="FootnoteReference"/>
          <w:sz w:val="22"/>
          <w:szCs w:val="22"/>
        </w:rPr>
        <w:fldChar w:fldCharType="separate"/>
      </w:r>
      <w:r w:rsidR="00876B52" w:rsidRPr="00902543">
        <w:rPr>
          <w:noProof/>
          <w:sz w:val="22"/>
          <w:szCs w:val="22"/>
        </w:rPr>
        <w:t>(2018)</w:t>
      </w:r>
      <w:r w:rsidR="00876B52" w:rsidRPr="00902543">
        <w:rPr>
          <w:rStyle w:val="FootnoteReference"/>
          <w:sz w:val="22"/>
          <w:szCs w:val="22"/>
        </w:rPr>
        <w:fldChar w:fldCharType="end"/>
      </w:r>
      <w:r w:rsidRPr="00902543">
        <w:rPr>
          <w:sz w:val="22"/>
          <w:szCs w:val="22"/>
        </w:rPr>
        <w:t xml:space="preserve"> argument that extreme or critical cases are particularly valuable for gaining deep insights into complex social phenomena and for maximizing theoretical learning from unique contexts. By focusing on such a setting, the study allows for a deep analytical understanding of the interplay between formal religious governance and the practices of interfaith institutions within a localized environment.</w:t>
      </w:r>
      <w:r w:rsidR="00663220" w:rsidRPr="00902543">
        <w:rPr>
          <w:sz w:val="22"/>
          <w:szCs w:val="22"/>
          <w:lang w:val="en-US"/>
        </w:rPr>
        <w:t xml:space="preserve"> </w:t>
      </w:r>
    </w:p>
    <w:p w14:paraId="104626D8" w14:textId="54A427BE"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lang w:val="en-US"/>
        </w:rPr>
        <w:t>Data</w:t>
      </w:r>
      <w:r w:rsidR="00F40688" w:rsidRPr="00902543">
        <w:rPr>
          <w:sz w:val="22"/>
          <w:szCs w:val="22"/>
          <w:lang w:val="en-US"/>
        </w:rPr>
        <w:t xml:space="preserve"> </w:t>
      </w:r>
      <w:r w:rsidRPr="00902543">
        <w:rPr>
          <w:sz w:val="22"/>
          <w:szCs w:val="22"/>
          <w:lang w:val="en-US"/>
        </w:rPr>
        <w:t xml:space="preserve">were collected through in-depth interviews and document analysis. Semi-structured interviews were conducted with eleven key informants, comprising active FKUB administrators and representatives from various religious communities who were directly involved in FKUB activities or possessed a strong understanding of religious moderation issues. Informants were selected using purposive sampling based on criteria such as experience, reflective capacity, and their involvement in interfaith harmony efforts. This technique is commonly used in qualitative </w:t>
      </w:r>
      <w:r w:rsidRPr="00902543">
        <w:rPr>
          <w:sz w:val="22"/>
          <w:szCs w:val="22"/>
          <w:lang w:val="en-US"/>
        </w:rPr>
        <w:lastRenderedPageBreak/>
        <w:t>research because it allows for the collection of rich and relevant data</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{"citationItems":[{"id":"ITEM-1","itemData":{"ISBN":"978-1-292-02023-5","abstract":"At last, a social research methods text for students and future researchers who will need to use both words and numbers in their research. Using actual examples from psychology, sociology, anthropology, health, and education, the book provides readers with both a conceptual understanding of each technique as well as showing them how to use the technique. H. Russell Bernard, author of the best-selling textbook Research Methods in Anthropology and a world figure in the social sciences, brings to the researcher and the student the excitement of the research act as never before.","author":[{"dropping-particle":"","family":"Neuman","given":"W. Lawrence","non-dropping-particle":"","parse-names":false,"suffix":""}],"container-title":"Pearson Education Limited","id":"ITEM-1","issued":{"date-parts":[["2014"]]},"number-of-pages":"380","publisher":"Pearson","publisher-place":"United States of America","title":"Social Research Methods: Qualitative and Quantitative Approaches","type":"book"},"uris":["http://www.mendeley.com/documents/?uuid=cdc443dd-bece-41b4-95f1-e19d07362ed4"]},{"id":"ITEM-2","itemData":{"author":[{"dropping-particle":"","family":"Sugiyono","given":"","non-dropping-particle":"","parse-names":false,"suffix":""}],"id":"ITEM-2","issued":{"date-parts":[["2020"]]},"publisher":"Alfabeta","publisher-place":"Bandung","title":"Metode Penelitian Kualitatif","type":"book"},"uris":["http://www.mendeley.com/documents/?uuid=6656d86b-b497-49a8-bce9-8fae3b743c7b"]}],"mendeley":{"formattedCitation":"(Neuman, 2014; Sugiyono, 2020)","plainTextFormattedCitation":"(Neuman, 2014; Sugiyono, 2020)","previouslyFormattedCitation":"(W. L. Neuman, 2014; Sugiyono, 2020)"},"properties":{"noteIndex":0},"schema":"https://github.com/citation-style-language/schema/raw/master/csl-citation.json"}</w:instrText>
      </w:r>
      <w:r w:rsidR="00876B52" w:rsidRPr="00902543">
        <w:rPr>
          <w:sz w:val="22"/>
          <w:szCs w:val="22"/>
          <w:vertAlign w:val="superscript"/>
        </w:rPr>
        <w:fldChar w:fldCharType="separate"/>
      </w:r>
      <w:r w:rsidR="00AD7F4D" w:rsidRPr="00AD7F4D">
        <w:rPr>
          <w:noProof/>
          <w:sz w:val="22"/>
          <w:szCs w:val="22"/>
        </w:rPr>
        <w:t>(Neuman, 2014; Sugiyono, 2020)</w:t>
      </w:r>
      <w:r w:rsidR="00876B52" w:rsidRPr="00902543">
        <w:rPr>
          <w:sz w:val="22"/>
          <w:szCs w:val="22"/>
          <w:vertAlign w:val="superscript"/>
        </w:rPr>
        <w:fldChar w:fldCharType="end"/>
      </w:r>
      <w:r w:rsidR="00902543" w:rsidRPr="00902543">
        <w:rPr>
          <w:sz w:val="22"/>
          <w:szCs w:val="22"/>
          <w:lang w:val="en-US"/>
        </w:rPr>
        <w:t xml:space="preserve">. </w:t>
      </w:r>
      <w:r w:rsidRPr="00902543">
        <w:rPr>
          <w:sz w:val="22"/>
          <w:szCs w:val="22"/>
          <w:lang w:val="en-US"/>
        </w:rPr>
        <w:t>In addition to primary data from interviews, this research also utilized secondary documents for triangulation and contextual reinforcement. These documents included FKUB activity reports, meeting minutes, outreach materials, government regulations such as the Joint Regulation of the Minister of Religious Affairs and Minister of Home Affairs No. 9 and 8 of 2006, the Law on Aceh Governance, and supporting documents from the local government. The use of documents aimed to provide corroborative evidence for field findings and to clarify institutional policy dynamics.</w:t>
      </w:r>
    </w:p>
    <w:p w14:paraId="159FBF71" w14:textId="68A0E75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Data were analyzed using thematic analysis techniques as developed by Braun and Clarke</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10.1080/2159676X.2019.1628806","ISSN":"2159-676X","author":[{"dropping-particle":"","family":"Braun","given":"Virginia","non-dropping-particle":"","parse-names":false,"suffix":""},{"dropping-particle":"","family":"Clarke","given":"Victoria","non-dropping-particle":"","parse-names":false,"suffix":""}],"container-title":"Qualitative Research in Sport, Exercise and Health","id":"ITEM-1","issue":"4","issued":{"date-parts":[["2019","8","8"]]},"page":"589-597","title":"Reflecting on reflexive thematic analysis","type":"article-journal","volume":"11"},"uris":["http://www.mendeley.com/documents/?uuid=7fcc5906-7601-4d03-8906-4f421c41a617"]}],"mendeley":{"formattedCitation":"(Braun &amp; Clarke, 2019)","manualFormatting":"(2019)","plainTextFormattedCitation":"(Braun &amp; Clarke, 2019)","previouslyFormattedCitation":"(Braun &amp; Clarke, 2019)"},"properties":{"noteIndex":0},"schema":"https://github.com/citation-style-language/schema/raw/master/csl-citation.json"}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(2019)</w:t>
      </w:r>
      <w:r w:rsidR="00876B52" w:rsidRPr="00902543">
        <w:rPr>
          <w:sz w:val="22"/>
          <w:szCs w:val="22"/>
          <w:vertAlign w:val="superscript"/>
        </w:rPr>
        <w:fldChar w:fldCharType="end"/>
      </w:r>
      <w:r w:rsidRPr="00902543">
        <w:rPr>
          <w:sz w:val="22"/>
          <w:szCs w:val="22"/>
          <w:lang w:val="en-US"/>
        </w:rPr>
        <w:t xml:space="preserve"> The analytical steps involved: (1) familiarizing with the data through repeated reading, (2) initial coding of significant data segments, (3) theme development based on code clusters, (4) reviewing and refining themes, and (5) naming and interpreting the main themes. This method is appropriate for studies that aim to identify patterns of meaning within qualitative narratives and provides interpretive space for understanding informants’ lived experiences</w:t>
      </w:r>
      <w:r w:rsidR="00902543" w:rsidRPr="00902543">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{"citationItems":[{"id":"ITEM-1","itemData":{"ISSN":"10944281","abstract":"Combining the latest thinking about mixed-methods research designs with practical, step-by-step guidance, the Second Edition of this text now covers six major mixed-methods designs","author":[{"dropping-particle":"","family":"John W. Creswell","given":"","non-dropping-particle":"","parse-names":false,"suffix":""},{"dropping-particle":"","family":"Vicki L. Plano Clark","given":"","non-dropping-particle":"","parse-names":false,"suffix":""}],"container-title":"Organizational Research Methods","id":"ITEM-1","issue":"4","issued":{"date-parts":[["2018"]]},"title":"Designing and conducting mixed methods research.","type":"book","volume":"12"},"uris":["http://www.mendeley.com/documents/?uuid=363e3aa3-f00f-3789-92e9-acd20beb8331"]}],"mendeley":{"formattedCitation":"(John W. Creswell &amp; Vicki L. Plano Clark, 2018)","plainTextFormattedCitation":"(John W. Creswell &amp; Vicki L. Plano Clark, 2018)","previouslyFormattedCitation":"(John W. Creswell &amp; Vicki L. Plano Clark, 2018)"},"properties":{"noteIndex":0},"schema":"https://github.com/citation-style-language/schema/raw/master/csl-citation.json"}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(John W. Creswell &amp; Vicki L. Plano Clark, 2018)</w:t>
      </w:r>
      <w:r w:rsidR="00876B52" w:rsidRPr="00902543">
        <w:rPr>
          <w:sz w:val="22"/>
          <w:szCs w:val="22"/>
          <w:vertAlign w:val="superscript"/>
        </w:rPr>
        <w:fldChar w:fldCharType="end"/>
      </w:r>
      <w:r w:rsidR="00902543" w:rsidRPr="00902543">
        <w:rPr>
          <w:sz w:val="22"/>
          <w:szCs w:val="22"/>
          <w:lang w:val="en-US"/>
        </w:rPr>
        <w:t xml:space="preserve">. </w:t>
      </w:r>
    </w:p>
    <w:p w14:paraId="2C801FC1" w14:textId="7205DFCA" w:rsidR="00EB0DE5" w:rsidRPr="00902543" w:rsidRDefault="00902543" w:rsidP="00C74E13">
      <w:pPr>
        <w:autoSpaceDE w:val="0"/>
        <w:autoSpaceDN w:val="0"/>
        <w:adjustRightInd w:val="0"/>
        <w:spacing w:line="480" w:lineRule="auto"/>
        <w:rPr>
          <w:b/>
          <w:bCs/>
          <w:sz w:val="22"/>
          <w:szCs w:val="22"/>
          <w:lang w:val="en-US"/>
        </w:rPr>
      </w:pPr>
      <w:r w:rsidRPr="00902543">
        <w:rPr>
          <w:b/>
          <w:bCs/>
          <w:sz w:val="22"/>
          <w:szCs w:val="22"/>
        </w:rPr>
        <w:t>Finding</w:t>
      </w:r>
      <w:r w:rsidR="00663220" w:rsidRPr="00902543">
        <w:rPr>
          <w:b/>
          <w:bCs/>
          <w:sz w:val="22"/>
          <w:szCs w:val="22"/>
        </w:rPr>
        <w:t xml:space="preserve"> and Discussion </w:t>
      </w:r>
    </w:p>
    <w:p w14:paraId="23589610" w14:textId="77777777" w:rsidR="00663220" w:rsidRPr="00902543" w:rsidRDefault="00663220" w:rsidP="00C74E13">
      <w:pPr>
        <w:autoSpaceDE w:val="0"/>
        <w:autoSpaceDN w:val="0"/>
        <w:adjustRightInd w:val="0"/>
        <w:spacing w:line="480" w:lineRule="auto"/>
        <w:jc w:val="both"/>
        <w:rPr>
          <w:b/>
          <w:bCs/>
          <w:sz w:val="22"/>
          <w:szCs w:val="22"/>
        </w:rPr>
      </w:pPr>
      <w:r w:rsidRPr="00902543">
        <w:rPr>
          <w:b/>
          <w:bCs/>
          <w:sz w:val="22"/>
          <w:szCs w:val="22"/>
          <w:lang w:val="en-US"/>
        </w:rPr>
        <w:t>Conceptualizing Religious Moderation According to the Banda Aceh FKUB</w:t>
      </w:r>
    </w:p>
    <w:p w14:paraId="1881B03E" w14:textId="7777777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The findings reveal that the Banda Aceh FKUB interprets and articulates religious moderation as an approach rooted in the national framework promoted by the Ministry of Religious Affairs, but recontextualized according to Aceh’s distinctive socio-religious setting. In general, moderation is understood as a balanced and wise religious attitude—one that avoids excess, embraces the middle path, and upholds wisdom (</w:t>
      </w:r>
      <w:r w:rsidRPr="00902543">
        <w:rPr>
          <w:i/>
          <w:iCs/>
          <w:sz w:val="22"/>
          <w:szCs w:val="22"/>
          <w:lang w:val="en-US"/>
        </w:rPr>
        <w:t>hikmah</w:t>
      </w:r>
      <w:r w:rsidRPr="00902543">
        <w:rPr>
          <w:sz w:val="22"/>
          <w:szCs w:val="22"/>
          <w:lang w:val="en-US"/>
        </w:rPr>
        <w:t>) in both religious life and social interaction. This understanding reflects several interconnected core principles, summarized in Table 1 below.</w:t>
      </w:r>
    </w:p>
    <w:p w14:paraId="16376529" w14:textId="77777777" w:rsidR="00AD7F4D" w:rsidRDefault="00663220" w:rsidP="00AD7F4D">
      <w:pPr>
        <w:autoSpaceDE w:val="0"/>
        <w:autoSpaceDN w:val="0"/>
        <w:adjustRightInd w:val="0"/>
        <w:jc w:val="center"/>
        <w:rPr>
          <w:sz w:val="22"/>
          <w:szCs w:val="22"/>
          <w:lang w:val="en-US"/>
        </w:rPr>
      </w:pPr>
      <w:r w:rsidRPr="00AD7F4D">
        <w:rPr>
          <w:sz w:val="22"/>
          <w:szCs w:val="22"/>
          <w:lang w:val="en-US"/>
        </w:rPr>
        <w:t>Table 1.</w:t>
      </w:r>
    </w:p>
    <w:p w14:paraId="4252F87D" w14:textId="60FAF289" w:rsidR="00663220" w:rsidRDefault="00663220" w:rsidP="00AD7F4D">
      <w:pPr>
        <w:autoSpaceDE w:val="0"/>
        <w:autoSpaceDN w:val="0"/>
        <w:adjustRightInd w:val="0"/>
        <w:jc w:val="center"/>
        <w:rPr>
          <w:sz w:val="22"/>
          <w:szCs w:val="22"/>
          <w:lang w:val="en-US"/>
        </w:rPr>
      </w:pPr>
      <w:r w:rsidRPr="00AD7F4D">
        <w:rPr>
          <w:sz w:val="22"/>
          <w:szCs w:val="22"/>
          <w:lang w:val="en-US"/>
        </w:rPr>
        <w:t xml:space="preserve"> Core Principles of Religious Moderation According to the Banda Aceh FKUB</w:t>
      </w:r>
    </w:p>
    <w:p w14:paraId="73402312" w14:textId="77777777" w:rsidR="00AD7F4D" w:rsidRPr="00AD7F4D" w:rsidRDefault="00AD7F4D" w:rsidP="00AD7F4D">
      <w:pPr>
        <w:autoSpaceDE w:val="0"/>
        <w:autoSpaceDN w:val="0"/>
        <w:adjustRightInd w:val="0"/>
        <w:jc w:val="center"/>
        <w:rPr>
          <w:sz w:val="22"/>
          <w:szCs w:val="22"/>
          <w:lang w:val="en-US"/>
        </w:rPr>
      </w:pPr>
    </w:p>
    <w:tbl>
      <w:tblPr>
        <w:tblStyle w:val="PlainTable2"/>
        <w:tblW w:w="0" w:type="auto"/>
        <w:tblLook w:val="04A0" w:firstRow="1" w:lastRow="0" w:firstColumn="1" w:lastColumn="0" w:noHBand="0" w:noVBand="1"/>
      </w:tblPr>
      <w:tblGrid>
        <w:gridCol w:w="1872"/>
        <w:gridCol w:w="6633"/>
      </w:tblGrid>
      <w:tr w:rsidR="00663220" w:rsidRPr="00902543" w14:paraId="6377BDFC" w14:textId="77777777" w:rsidTr="00466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F7F7F" w:themeColor="text1" w:themeTint="80"/>
            </w:tcBorders>
            <w:hideMark/>
          </w:tcPr>
          <w:p w14:paraId="0413B592" w14:textId="77777777" w:rsidR="00663220" w:rsidRPr="00902543" w:rsidRDefault="00663220" w:rsidP="00902543">
            <w:pPr>
              <w:autoSpaceDE w:val="0"/>
              <w:autoSpaceDN w:val="0"/>
              <w:adjustRightInd w:val="0"/>
              <w:jc w:val="both"/>
              <w:rPr>
                <w:sz w:val="22"/>
                <w:szCs w:val="22"/>
                <w:lang w:val="en-US"/>
              </w:rPr>
            </w:pPr>
            <w:r w:rsidRPr="00902543">
              <w:rPr>
                <w:sz w:val="22"/>
                <w:szCs w:val="22"/>
                <w:lang w:val="en-US"/>
              </w:rPr>
              <w:t>Core Principle</w:t>
            </w:r>
          </w:p>
        </w:tc>
        <w:tc>
          <w:tcPr>
            <w:tcW w:w="7375" w:type="dxa"/>
            <w:tcBorders>
              <w:top w:val="single" w:sz="4" w:space="0" w:color="7F7F7F" w:themeColor="text1" w:themeTint="80"/>
            </w:tcBorders>
            <w:hideMark/>
          </w:tcPr>
          <w:p w14:paraId="03295392" w14:textId="77777777" w:rsidR="00663220" w:rsidRPr="00902543" w:rsidRDefault="00663220" w:rsidP="0090254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Key Interpretation (Based on Research Findings)</w:t>
            </w:r>
          </w:p>
        </w:tc>
      </w:tr>
      <w:tr w:rsidR="00663220" w:rsidRPr="00902543" w14:paraId="0017D42C" w14:textId="77777777" w:rsidTr="00466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03C0645D" w14:textId="77777777" w:rsidR="00663220" w:rsidRPr="00902543" w:rsidRDefault="00663220" w:rsidP="00902543">
            <w:pPr>
              <w:autoSpaceDE w:val="0"/>
              <w:autoSpaceDN w:val="0"/>
              <w:adjustRightInd w:val="0"/>
              <w:jc w:val="both"/>
              <w:rPr>
                <w:b w:val="0"/>
                <w:bCs w:val="0"/>
                <w:sz w:val="22"/>
                <w:szCs w:val="22"/>
                <w:lang w:val="en-US"/>
              </w:rPr>
            </w:pPr>
            <w:proofErr w:type="spellStart"/>
            <w:r w:rsidRPr="00902543">
              <w:rPr>
                <w:b w:val="0"/>
                <w:bCs w:val="0"/>
                <w:i/>
                <w:iCs/>
                <w:sz w:val="22"/>
                <w:szCs w:val="22"/>
                <w:lang w:val="en-US"/>
              </w:rPr>
              <w:lastRenderedPageBreak/>
              <w:t>Tawassuth</w:t>
            </w:r>
            <w:proofErr w:type="spellEnd"/>
          </w:p>
        </w:tc>
        <w:tc>
          <w:tcPr>
            <w:tcW w:w="7375" w:type="dxa"/>
            <w:hideMark/>
          </w:tcPr>
          <w:p w14:paraId="06D6F8EA" w14:textId="77777777" w:rsidR="00663220" w:rsidRPr="00902543" w:rsidRDefault="00663220" w:rsidP="009025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The middle path; avoiding extremism, either excessive religious zeal (</w:t>
            </w:r>
            <w:proofErr w:type="spellStart"/>
            <w:r w:rsidRPr="00902543">
              <w:rPr>
                <w:i/>
                <w:iCs/>
                <w:sz w:val="22"/>
                <w:szCs w:val="22"/>
                <w:lang w:val="en-US"/>
              </w:rPr>
              <w:t>ifrath</w:t>
            </w:r>
            <w:proofErr w:type="spellEnd"/>
            <w:r w:rsidRPr="00902543">
              <w:rPr>
                <w:sz w:val="22"/>
                <w:szCs w:val="22"/>
                <w:lang w:val="en-US"/>
              </w:rPr>
              <w:t>) or neglect and disregard (</w:t>
            </w:r>
            <w:proofErr w:type="spellStart"/>
            <w:r w:rsidRPr="00902543">
              <w:rPr>
                <w:i/>
                <w:iCs/>
                <w:sz w:val="22"/>
                <w:szCs w:val="22"/>
                <w:lang w:val="en-US"/>
              </w:rPr>
              <w:t>tafrith</w:t>
            </w:r>
            <w:proofErr w:type="spellEnd"/>
            <w:r w:rsidRPr="00902543">
              <w:rPr>
                <w:sz w:val="22"/>
                <w:szCs w:val="22"/>
                <w:lang w:val="en-US"/>
              </w:rPr>
              <w:t>).</w:t>
            </w:r>
          </w:p>
        </w:tc>
      </w:tr>
      <w:tr w:rsidR="00663220" w:rsidRPr="00902543" w14:paraId="1702B128" w14:textId="77777777" w:rsidTr="00466959">
        <w:tc>
          <w:tcPr>
            <w:cnfStyle w:val="001000000000" w:firstRow="0" w:lastRow="0" w:firstColumn="1" w:lastColumn="0" w:oddVBand="0" w:evenVBand="0" w:oddHBand="0" w:evenHBand="0" w:firstRowFirstColumn="0" w:firstRowLastColumn="0" w:lastRowFirstColumn="0" w:lastRowLastColumn="0"/>
            <w:tcW w:w="1985" w:type="dxa"/>
            <w:hideMark/>
          </w:tcPr>
          <w:p w14:paraId="2D334113" w14:textId="77777777" w:rsidR="00663220" w:rsidRPr="00902543" w:rsidRDefault="00663220" w:rsidP="00902543">
            <w:pPr>
              <w:autoSpaceDE w:val="0"/>
              <w:autoSpaceDN w:val="0"/>
              <w:adjustRightInd w:val="0"/>
              <w:jc w:val="both"/>
              <w:rPr>
                <w:b w:val="0"/>
                <w:bCs w:val="0"/>
                <w:sz w:val="22"/>
                <w:szCs w:val="22"/>
                <w:lang w:val="en-US"/>
              </w:rPr>
            </w:pPr>
            <w:proofErr w:type="spellStart"/>
            <w:r w:rsidRPr="00902543">
              <w:rPr>
                <w:b w:val="0"/>
                <w:bCs w:val="0"/>
                <w:i/>
                <w:iCs/>
                <w:sz w:val="22"/>
                <w:szCs w:val="22"/>
                <w:lang w:val="en-US"/>
              </w:rPr>
              <w:t>Tasamuh</w:t>
            </w:r>
            <w:proofErr w:type="spellEnd"/>
          </w:p>
        </w:tc>
        <w:tc>
          <w:tcPr>
            <w:tcW w:w="7375" w:type="dxa"/>
            <w:hideMark/>
          </w:tcPr>
          <w:p w14:paraId="22544C60" w14:textId="77777777" w:rsidR="00663220" w:rsidRPr="00902543" w:rsidRDefault="00663220" w:rsidP="009025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Tolerance; recognizing and respecting the presence and rights of others with different beliefs, as a key to interfaith harmony.</w:t>
            </w:r>
          </w:p>
        </w:tc>
      </w:tr>
      <w:tr w:rsidR="00663220" w:rsidRPr="00902543" w14:paraId="67FA041D" w14:textId="77777777" w:rsidTr="00466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5D52FA6F" w14:textId="77777777" w:rsidR="00663220" w:rsidRPr="00902543" w:rsidRDefault="00663220" w:rsidP="00902543">
            <w:pPr>
              <w:autoSpaceDE w:val="0"/>
              <w:autoSpaceDN w:val="0"/>
              <w:adjustRightInd w:val="0"/>
              <w:jc w:val="both"/>
              <w:rPr>
                <w:b w:val="0"/>
                <w:bCs w:val="0"/>
                <w:sz w:val="22"/>
                <w:szCs w:val="22"/>
                <w:lang w:val="en-US"/>
              </w:rPr>
            </w:pPr>
            <w:proofErr w:type="spellStart"/>
            <w:r w:rsidRPr="00902543">
              <w:rPr>
                <w:b w:val="0"/>
                <w:bCs w:val="0"/>
                <w:i/>
                <w:iCs/>
                <w:sz w:val="22"/>
                <w:szCs w:val="22"/>
                <w:lang w:val="en-US"/>
              </w:rPr>
              <w:t>Tawazun</w:t>
            </w:r>
            <w:proofErr w:type="spellEnd"/>
          </w:p>
        </w:tc>
        <w:tc>
          <w:tcPr>
            <w:tcW w:w="7375" w:type="dxa"/>
            <w:hideMark/>
          </w:tcPr>
          <w:p w14:paraId="535E6949" w14:textId="77777777" w:rsidR="00663220" w:rsidRPr="00902543" w:rsidRDefault="00663220" w:rsidP="009025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Balance; maintaining harmony between the vertical dimension (</w:t>
            </w:r>
            <w:proofErr w:type="spellStart"/>
            <w:r w:rsidRPr="00902543">
              <w:rPr>
                <w:i/>
                <w:iCs/>
                <w:sz w:val="22"/>
                <w:szCs w:val="22"/>
                <w:lang w:val="en-US"/>
              </w:rPr>
              <w:t>hablumminallah</w:t>
            </w:r>
            <w:proofErr w:type="spellEnd"/>
            <w:r w:rsidRPr="00902543">
              <w:rPr>
                <w:sz w:val="22"/>
                <w:szCs w:val="22"/>
                <w:lang w:val="en-US"/>
              </w:rPr>
              <w:t>) and the horizontal (</w:t>
            </w:r>
            <w:proofErr w:type="spellStart"/>
            <w:r w:rsidRPr="00902543">
              <w:rPr>
                <w:i/>
                <w:iCs/>
                <w:sz w:val="22"/>
                <w:szCs w:val="22"/>
                <w:lang w:val="en-US"/>
              </w:rPr>
              <w:t>hablumminannas</w:t>
            </w:r>
            <w:proofErr w:type="spellEnd"/>
            <w:r w:rsidRPr="00902543">
              <w:rPr>
                <w:sz w:val="22"/>
                <w:szCs w:val="22"/>
                <w:lang w:val="en-US"/>
              </w:rPr>
              <w:t>), as well as between reason (</w:t>
            </w:r>
            <w:r w:rsidRPr="00902543">
              <w:rPr>
                <w:i/>
                <w:iCs/>
                <w:sz w:val="22"/>
                <w:szCs w:val="22"/>
                <w:lang w:val="en-US"/>
              </w:rPr>
              <w:t>‘</w:t>
            </w:r>
            <w:proofErr w:type="spellStart"/>
            <w:r w:rsidRPr="00902543">
              <w:rPr>
                <w:i/>
                <w:iCs/>
                <w:sz w:val="22"/>
                <w:szCs w:val="22"/>
                <w:lang w:val="en-US"/>
              </w:rPr>
              <w:t>aqli</w:t>
            </w:r>
            <w:proofErr w:type="spellEnd"/>
            <w:r w:rsidRPr="00902543">
              <w:rPr>
                <w:sz w:val="22"/>
                <w:szCs w:val="22"/>
                <w:lang w:val="en-US"/>
              </w:rPr>
              <w:t>) and revelation (</w:t>
            </w:r>
            <w:proofErr w:type="spellStart"/>
            <w:r w:rsidRPr="00902543">
              <w:rPr>
                <w:i/>
                <w:iCs/>
                <w:sz w:val="22"/>
                <w:szCs w:val="22"/>
                <w:lang w:val="en-US"/>
              </w:rPr>
              <w:t>naqli</w:t>
            </w:r>
            <w:proofErr w:type="spellEnd"/>
            <w:r w:rsidRPr="00902543">
              <w:rPr>
                <w:sz w:val="22"/>
                <w:szCs w:val="22"/>
                <w:lang w:val="en-US"/>
              </w:rPr>
              <w:t>).</w:t>
            </w:r>
          </w:p>
        </w:tc>
      </w:tr>
      <w:tr w:rsidR="00663220" w:rsidRPr="00902543" w14:paraId="4B759090" w14:textId="77777777" w:rsidTr="00466959">
        <w:tc>
          <w:tcPr>
            <w:cnfStyle w:val="001000000000" w:firstRow="0" w:lastRow="0" w:firstColumn="1" w:lastColumn="0" w:oddVBand="0" w:evenVBand="0" w:oddHBand="0" w:evenHBand="0" w:firstRowFirstColumn="0" w:firstRowLastColumn="0" w:lastRowFirstColumn="0" w:lastRowLastColumn="0"/>
            <w:tcW w:w="1985" w:type="dxa"/>
            <w:hideMark/>
          </w:tcPr>
          <w:p w14:paraId="7D7CAA44" w14:textId="77777777" w:rsidR="00663220" w:rsidRPr="00902543" w:rsidRDefault="00663220" w:rsidP="00902543">
            <w:pPr>
              <w:autoSpaceDE w:val="0"/>
              <w:autoSpaceDN w:val="0"/>
              <w:adjustRightInd w:val="0"/>
              <w:jc w:val="both"/>
              <w:rPr>
                <w:b w:val="0"/>
                <w:bCs w:val="0"/>
                <w:sz w:val="22"/>
                <w:szCs w:val="22"/>
                <w:lang w:val="en-US"/>
              </w:rPr>
            </w:pPr>
            <w:r w:rsidRPr="00902543">
              <w:rPr>
                <w:b w:val="0"/>
                <w:bCs w:val="0"/>
                <w:i/>
                <w:iCs/>
                <w:sz w:val="22"/>
                <w:szCs w:val="22"/>
                <w:lang w:val="en-US"/>
              </w:rPr>
              <w:t>I’tidal</w:t>
            </w:r>
          </w:p>
        </w:tc>
        <w:tc>
          <w:tcPr>
            <w:tcW w:w="7375" w:type="dxa"/>
            <w:hideMark/>
          </w:tcPr>
          <w:p w14:paraId="329CFBD3" w14:textId="77777777" w:rsidR="00663220" w:rsidRPr="00902543" w:rsidRDefault="00663220" w:rsidP="009025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Justice and proportionality; standing firmly and fairly on truth and treating all parties justly in response to differences.</w:t>
            </w:r>
          </w:p>
        </w:tc>
      </w:tr>
      <w:tr w:rsidR="00663220" w:rsidRPr="00902543" w14:paraId="3DF61317" w14:textId="77777777" w:rsidTr="00466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7837C604" w14:textId="77777777" w:rsidR="00663220" w:rsidRPr="00902543" w:rsidRDefault="00663220" w:rsidP="00902543">
            <w:pPr>
              <w:autoSpaceDE w:val="0"/>
              <w:autoSpaceDN w:val="0"/>
              <w:adjustRightInd w:val="0"/>
              <w:jc w:val="both"/>
              <w:rPr>
                <w:b w:val="0"/>
                <w:bCs w:val="0"/>
                <w:sz w:val="22"/>
                <w:szCs w:val="22"/>
                <w:lang w:val="en-US"/>
              </w:rPr>
            </w:pPr>
            <w:proofErr w:type="spellStart"/>
            <w:r w:rsidRPr="00902543">
              <w:rPr>
                <w:b w:val="0"/>
                <w:bCs w:val="0"/>
                <w:i/>
                <w:iCs/>
                <w:sz w:val="22"/>
                <w:szCs w:val="22"/>
                <w:lang w:val="en-US"/>
              </w:rPr>
              <w:t>Musawah</w:t>
            </w:r>
            <w:proofErr w:type="spellEnd"/>
          </w:p>
        </w:tc>
        <w:tc>
          <w:tcPr>
            <w:tcW w:w="7375" w:type="dxa"/>
            <w:hideMark/>
          </w:tcPr>
          <w:p w14:paraId="0EB48244" w14:textId="77777777" w:rsidR="00663220" w:rsidRPr="00902543" w:rsidRDefault="00663220" w:rsidP="009025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Equality; viewing all citizens as equal creations of God, with equal rights before the law and within society.</w:t>
            </w:r>
          </w:p>
        </w:tc>
      </w:tr>
    </w:tbl>
    <w:p w14:paraId="24472F86" w14:textId="77777777" w:rsidR="00663220" w:rsidRPr="00902543" w:rsidRDefault="00663220" w:rsidP="00C74E13">
      <w:pPr>
        <w:autoSpaceDE w:val="0"/>
        <w:autoSpaceDN w:val="0"/>
        <w:adjustRightInd w:val="0"/>
        <w:spacing w:line="480" w:lineRule="auto"/>
        <w:jc w:val="both"/>
        <w:rPr>
          <w:sz w:val="22"/>
          <w:szCs w:val="22"/>
          <w:lang w:val="en-US"/>
        </w:rPr>
      </w:pPr>
      <w:r w:rsidRPr="00902543">
        <w:rPr>
          <w:i/>
          <w:iCs/>
          <w:sz w:val="22"/>
          <w:szCs w:val="22"/>
          <w:lang w:val="en-US"/>
        </w:rPr>
        <w:t>Source: Processed from field data, 2024</w:t>
      </w:r>
    </w:p>
    <w:p w14:paraId="59F6FD2C" w14:textId="784E7CFD"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 xml:space="preserve">Furthermore, the informants—especially FKUB administrators—emphasized that these values are not seen as isolated concepts, but as an integrated religious and civic disposition. </w:t>
      </w:r>
      <w:proofErr w:type="spellStart"/>
      <w:r w:rsidRPr="00902543">
        <w:rPr>
          <w:i/>
          <w:iCs/>
          <w:sz w:val="22"/>
          <w:szCs w:val="22"/>
        </w:rPr>
        <w:t>Tasamuh</w:t>
      </w:r>
      <w:proofErr w:type="spellEnd"/>
      <w:r w:rsidRPr="00902543">
        <w:rPr>
          <w:sz w:val="22"/>
          <w:szCs w:val="22"/>
        </w:rPr>
        <w:t xml:space="preserve"> (tolerance), for instance, is identified as a crucial foundation. The Chairperson of the Banda Aceh FKUB explained that tolerance is the key to religious moderation and that people must be able to accept differences and respect others’ rights to worship according to their beliefs</w:t>
      </w:r>
      <w:r w:rsidR="00902543" w:rsidRPr="00902543">
        <w:rPr>
          <w:sz w:val="22"/>
          <w:szCs w:val="22"/>
        </w:rPr>
        <w:t xml:space="preserve"> (</w:t>
      </w:r>
      <w:r w:rsidR="00902543" w:rsidRPr="00902543">
        <w:rPr>
          <w:sz w:val="22"/>
          <w:szCs w:val="22"/>
        </w:rPr>
        <w:t>Interview, Chairperson of Banda Aceh FKUB, March 2024</w:t>
      </w:r>
      <w:r w:rsidR="00902543" w:rsidRPr="00902543">
        <w:rPr>
          <w:sz w:val="22"/>
          <w:szCs w:val="22"/>
        </w:rPr>
        <w:t xml:space="preserve">). </w:t>
      </w:r>
      <w:r w:rsidRPr="00902543">
        <w:rPr>
          <w:sz w:val="22"/>
          <w:szCs w:val="22"/>
        </w:rPr>
        <w:t xml:space="preserve"> This understanding also affirms that moderation does not mean compromising one’s faith, but rather the ability to coexist peacefully and respectfully. The Deputy Chair added that moderation is not about being weak or indecisive, but about being fair (</w:t>
      </w:r>
      <w:proofErr w:type="spellStart"/>
      <w:r w:rsidRPr="00902543">
        <w:rPr>
          <w:i/>
          <w:iCs/>
          <w:sz w:val="22"/>
          <w:szCs w:val="22"/>
        </w:rPr>
        <w:t>i’tidal</w:t>
      </w:r>
      <w:proofErr w:type="spellEnd"/>
      <w:r w:rsidRPr="00902543">
        <w:rPr>
          <w:sz w:val="22"/>
          <w:szCs w:val="22"/>
        </w:rPr>
        <w:t>), balanced (</w:t>
      </w:r>
      <w:proofErr w:type="spellStart"/>
      <w:r w:rsidRPr="00902543">
        <w:rPr>
          <w:i/>
          <w:iCs/>
          <w:sz w:val="22"/>
          <w:szCs w:val="22"/>
        </w:rPr>
        <w:t>tawazun</w:t>
      </w:r>
      <w:proofErr w:type="spellEnd"/>
      <w:r w:rsidRPr="00902543">
        <w:rPr>
          <w:sz w:val="22"/>
          <w:szCs w:val="22"/>
        </w:rPr>
        <w:t>), and tolerant (</w:t>
      </w:r>
      <w:proofErr w:type="spellStart"/>
      <w:r w:rsidRPr="00902543">
        <w:rPr>
          <w:i/>
          <w:iCs/>
          <w:sz w:val="22"/>
          <w:szCs w:val="22"/>
        </w:rPr>
        <w:t>tasamuh</w:t>
      </w:r>
      <w:proofErr w:type="spellEnd"/>
      <w:r w:rsidRPr="00902543">
        <w:rPr>
          <w:sz w:val="22"/>
          <w:szCs w:val="22"/>
        </w:rPr>
        <w:t>) when engaging with differences, holding firmly to religious principles while remaining flexible in social interaction</w:t>
      </w:r>
      <w:r w:rsidR="00902543" w:rsidRPr="00902543">
        <w:rPr>
          <w:sz w:val="22"/>
          <w:szCs w:val="22"/>
        </w:rPr>
        <w:t xml:space="preserve"> (</w:t>
      </w:r>
      <w:r w:rsidR="00902543" w:rsidRPr="00902543">
        <w:rPr>
          <w:sz w:val="22"/>
          <w:szCs w:val="22"/>
        </w:rPr>
        <w:t>Interview, Deputy Chair of FKUB, March 2024</w:t>
      </w:r>
      <w:r w:rsidR="00902543" w:rsidRPr="00902543">
        <w:rPr>
          <w:sz w:val="22"/>
          <w:szCs w:val="22"/>
        </w:rPr>
        <w:t>)</w:t>
      </w:r>
      <w:r w:rsidRPr="00902543">
        <w:rPr>
          <w:sz w:val="22"/>
          <w:szCs w:val="22"/>
        </w:rPr>
        <w:t>.</w:t>
      </w:r>
    </w:p>
    <w:p w14:paraId="735B647D"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 xml:space="preserve">FKUB also links these principles to the Islamic value of </w:t>
      </w:r>
      <w:proofErr w:type="spellStart"/>
      <w:r w:rsidRPr="00902543">
        <w:rPr>
          <w:i/>
          <w:iCs/>
          <w:sz w:val="22"/>
          <w:szCs w:val="22"/>
        </w:rPr>
        <w:t>rahmatan</w:t>
      </w:r>
      <w:proofErr w:type="spellEnd"/>
      <w:r w:rsidRPr="00902543">
        <w:rPr>
          <w:i/>
          <w:iCs/>
          <w:sz w:val="22"/>
          <w:szCs w:val="22"/>
        </w:rPr>
        <w:t xml:space="preserve"> </w:t>
      </w:r>
      <w:proofErr w:type="spellStart"/>
      <w:r w:rsidRPr="00902543">
        <w:rPr>
          <w:i/>
          <w:iCs/>
          <w:sz w:val="22"/>
          <w:szCs w:val="22"/>
        </w:rPr>
        <w:t>lil</w:t>
      </w:r>
      <w:proofErr w:type="spellEnd"/>
      <w:r w:rsidRPr="00902543">
        <w:rPr>
          <w:i/>
          <w:iCs/>
          <w:sz w:val="22"/>
          <w:szCs w:val="22"/>
        </w:rPr>
        <w:t xml:space="preserve"> ‘</w:t>
      </w:r>
      <w:proofErr w:type="spellStart"/>
      <w:r w:rsidRPr="00902543">
        <w:rPr>
          <w:i/>
          <w:iCs/>
          <w:sz w:val="22"/>
          <w:szCs w:val="22"/>
        </w:rPr>
        <w:t>alamin</w:t>
      </w:r>
      <w:proofErr w:type="spellEnd"/>
      <w:r w:rsidRPr="00902543">
        <w:rPr>
          <w:sz w:val="22"/>
          <w:szCs w:val="22"/>
        </w:rPr>
        <w:t>. Moderation is not regarded as a foreign or secular concept but rather as an embodiment of Islam as a mercy to all creation—preserving both harmony and humanity. In Aceh’s context, emphasis on social harmony and balancing Sharia with human dignity is particularly strong. Moreover, the inclusion of non-Muslim members within the FKUB reinforces interfaith understanding of the concept. As noted by Willy Putra Nanda, a Buddhist representative in FKUB:</w:t>
      </w:r>
    </w:p>
    <w:p w14:paraId="142AF1A5" w14:textId="670F6085" w:rsidR="00663220" w:rsidRPr="00902543" w:rsidRDefault="00663220" w:rsidP="00902543">
      <w:pPr>
        <w:autoSpaceDE w:val="0"/>
        <w:autoSpaceDN w:val="0"/>
        <w:adjustRightInd w:val="0"/>
        <w:ind w:left="567"/>
        <w:jc w:val="both"/>
        <w:rPr>
          <w:sz w:val="22"/>
          <w:szCs w:val="22"/>
        </w:rPr>
      </w:pPr>
      <w:r w:rsidRPr="00902543">
        <w:rPr>
          <w:sz w:val="22"/>
          <w:szCs w:val="22"/>
        </w:rPr>
        <w:t>“Religious moderation provides guidance for religious leaders... to understand moderation in substance, not as an attempt to reform religion. Here, each religious leader strengthens their own values before conveying them to the wider community.”</w:t>
      </w:r>
      <w:r w:rsidR="00902543" w:rsidRPr="00902543">
        <w:rPr>
          <w:sz w:val="22"/>
          <w:szCs w:val="22"/>
        </w:rPr>
        <w:t xml:space="preserve"> (</w:t>
      </w:r>
      <w:r w:rsidR="00902543" w:rsidRPr="00902543">
        <w:rPr>
          <w:sz w:val="22"/>
          <w:szCs w:val="22"/>
        </w:rPr>
        <w:t>Interview,</w:t>
      </w:r>
      <w:r w:rsidR="00902543" w:rsidRPr="00902543">
        <w:rPr>
          <w:sz w:val="22"/>
          <w:szCs w:val="22"/>
        </w:rPr>
        <w:t xml:space="preserve"> </w:t>
      </w:r>
      <w:r w:rsidR="00902543" w:rsidRPr="00902543">
        <w:rPr>
          <w:sz w:val="22"/>
          <w:szCs w:val="22"/>
        </w:rPr>
        <w:t>April 2024</w:t>
      </w:r>
      <w:r w:rsidR="00902543" w:rsidRPr="00902543">
        <w:rPr>
          <w:sz w:val="22"/>
          <w:szCs w:val="22"/>
        </w:rPr>
        <w:t>)</w:t>
      </w:r>
    </w:p>
    <w:p w14:paraId="3DCB080C" w14:textId="77777777" w:rsidR="00902543" w:rsidRPr="00902543" w:rsidRDefault="00902543" w:rsidP="00902543">
      <w:pPr>
        <w:autoSpaceDE w:val="0"/>
        <w:autoSpaceDN w:val="0"/>
        <w:adjustRightInd w:val="0"/>
        <w:ind w:left="567"/>
        <w:jc w:val="both"/>
        <w:rPr>
          <w:sz w:val="22"/>
          <w:szCs w:val="22"/>
        </w:rPr>
      </w:pPr>
    </w:p>
    <w:p w14:paraId="4E84FF83"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lastRenderedPageBreak/>
        <w:t>Moderation is also viewed as part of strengthening national identity. FKUB leaders consistently express that moderation supports the values of Pancasila and a just and peaceful civic life. This is reflected in how they link moderation to commitments to the Republic of Indonesia (NKRI), the Constitution, and pluralism. As one religious instructor working with FKUB explained:</w:t>
      </w:r>
    </w:p>
    <w:p w14:paraId="5F4B23BF" w14:textId="31B83621" w:rsidR="00663220" w:rsidRPr="00902543" w:rsidRDefault="00663220" w:rsidP="00902543">
      <w:pPr>
        <w:autoSpaceDE w:val="0"/>
        <w:autoSpaceDN w:val="0"/>
        <w:adjustRightInd w:val="0"/>
        <w:ind w:left="567"/>
        <w:jc w:val="both"/>
        <w:rPr>
          <w:sz w:val="22"/>
          <w:szCs w:val="22"/>
        </w:rPr>
      </w:pPr>
      <w:r w:rsidRPr="00902543">
        <w:rPr>
          <w:sz w:val="22"/>
          <w:szCs w:val="22"/>
        </w:rPr>
        <w:t>“As religious instructors, we must explain that this is how my religion teaches—not to unify beliefs, but to explain the values that one holds.”</w:t>
      </w:r>
      <w:r w:rsidR="00902543" w:rsidRPr="00902543">
        <w:rPr>
          <w:sz w:val="22"/>
          <w:szCs w:val="22"/>
        </w:rPr>
        <w:t xml:space="preserve">( </w:t>
      </w:r>
      <w:r w:rsidR="00902543" w:rsidRPr="00902543">
        <w:rPr>
          <w:sz w:val="22"/>
          <w:szCs w:val="22"/>
        </w:rPr>
        <w:t>Interview, Religious Instructor, April 2024</w:t>
      </w:r>
      <w:r w:rsidR="00902543" w:rsidRPr="00902543">
        <w:rPr>
          <w:sz w:val="22"/>
          <w:szCs w:val="22"/>
        </w:rPr>
        <w:t>)</w:t>
      </w:r>
    </w:p>
    <w:p w14:paraId="66239442" w14:textId="77777777" w:rsidR="00902543" w:rsidRPr="00902543" w:rsidRDefault="00902543" w:rsidP="00902543">
      <w:pPr>
        <w:autoSpaceDE w:val="0"/>
        <w:autoSpaceDN w:val="0"/>
        <w:adjustRightInd w:val="0"/>
        <w:ind w:left="567"/>
        <w:jc w:val="both"/>
        <w:rPr>
          <w:sz w:val="22"/>
          <w:szCs w:val="22"/>
        </w:rPr>
      </w:pPr>
    </w:p>
    <w:p w14:paraId="60A74A73" w14:textId="77777777" w:rsidR="00663220" w:rsidRPr="00902543" w:rsidRDefault="00663220" w:rsidP="00C74E13">
      <w:pPr>
        <w:autoSpaceDE w:val="0"/>
        <w:autoSpaceDN w:val="0"/>
        <w:adjustRightInd w:val="0"/>
        <w:spacing w:line="480" w:lineRule="auto"/>
        <w:jc w:val="both"/>
        <w:rPr>
          <w:sz w:val="22"/>
          <w:szCs w:val="22"/>
        </w:rPr>
      </w:pPr>
      <w:r w:rsidRPr="00902543">
        <w:rPr>
          <w:sz w:val="22"/>
          <w:szCs w:val="22"/>
        </w:rPr>
        <w:t>This perspective is succinctly summarized by the FKUB Chair:</w:t>
      </w:r>
    </w:p>
    <w:p w14:paraId="0CE0057B" w14:textId="79AAF46C" w:rsidR="00663220" w:rsidRPr="00902543" w:rsidRDefault="00663220" w:rsidP="00902543">
      <w:pPr>
        <w:autoSpaceDE w:val="0"/>
        <w:autoSpaceDN w:val="0"/>
        <w:adjustRightInd w:val="0"/>
        <w:ind w:left="567"/>
        <w:jc w:val="both"/>
        <w:rPr>
          <w:sz w:val="22"/>
          <w:szCs w:val="22"/>
        </w:rPr>
      </w:pPr>
      <w:r w:rsidRPr="00902543">
        <w:rPr>
          <w:sz w:val="22"/>
          <w:szCs w:val="22"/>
        </w:rPr>
        <w:t>“Moderation doesn’t mean sacrificing one’s beliefs, but rather living side by side peacefully and wisely—respecting others and finding common ground without erasing differences.”</w:t>
      </w:r>
      <w:r w:rsidR="00902543" w:rsidRPr="00902543">
        <w:rPr>
          <w:sz w:val="22"/>
          <w:szCs w:val="22"/>
        </w:rPr>
        <w:t xml:space="preserve">( </w:t>
      </w:r>
      <w:r w:rsidR="00902543" w:rsidRPr="00902543">
        <w:rPr>
          <w:sz w:val="22"/>
          <w:szCs w:val="22"/>
        </w:rPr>
        <w:t>Interview, Chairperson of Banda Aceh FKUB, March 2024</w:t>
      </w:r>
      <w:r w:rsidR="00902543" w:rsidRPr="00902543">
        <w:rPr>
          <w:sz w:val="22"/>
          <w:szCs w:val="22"/>
        </w:rPr>
        <w:t>)</w:t>
      </w:r>
    </w:p>
    <w:p w14:paraId="14D84CCD" w14:textId="77777777" w:rsidR="00902543" w:rsidRPr="00902543" w:rsidRDefault="00902543" w:rsidP="00902543">
      <w:pPr>
        <w:autoSpaceDE w:val="0"/>
        <w:autoSpaceDN w:val="0"/>
        <w:adjustRightInd w:val="0"/>
        <w:ind w:left="567"/>
        <w:jc w:val="both"/>
        <w:rPr>
          <w:sz w:val="22"/>
          <w:szCs w:val="22"/>
        </w:rPr>
      </w:pPr>
    </w:p>
    <w:p w14:paraId="093F0226"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The concept of religious moderation developed by the Banda Aceh FKUB reflects a careful adaptation process that aligns with Aceh’s local identity, marked by strong Islamic values, a post-conflict legacy, and a dynamic social context—making it both relevant and inclusive, while remaining grounded in local wisdom</w:t>
      </w:r>
      <w:r w:rsidRPr="00902543">
        <w:rPr>
          <w:sz w:val="22"/>
          <w:szCs w:val="22"/>
          <w:lang w:val="en-US"/>
        </w:rPr>
        <w:t>.</w:t>
      </w:r>
    </w:p>
    <w:p w14:paraId="514223B3" w14:textId="77777777" w:rsidR="00663220" w:rsidRPr="00902543" w:rsidRDefault="00663220" w:rsidP="00C74E13">
      <w:pPr>
        <w:autoSpaceDE w:val="0"/>
        <w:autoSpaceDN w:val="0"/>
        <w:adjustRightInd w:val="0"/>
        <w:spacing w:line="480" w:lineRule="auto"/>
        <w:jc w:val="both"/>
        <w:rPr>
          <w:b/>
          <w:bCs/>
          <w:sz w:val="22"/>
          <w:szCs w:val="22"/>
          <w:lang w:val="en-US"/>
        </w:rPr>
      </w:pPr>
      <w:r w:rsidRPr="00902543">
        <w:rPr>
          <w:b/>
          <w:bCs/>
          <w:sz w:val="22"/>
          <w:szCs w:val="22"/>
          <w:lang w:val="en-US"/>
        </w:rPr>
        <w:t>Implementation of Religious Moderation Values by the Banda Aceh FKUB</w:t>
      </w:r>
    </w:p>
    <w:p w14:paraId="71607732" w14:textId="7777777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The findings indicate that the Banda Aceh FKUB translates the concept of religious moderation into a variety of strategies, programs, and concrete activities. These are implemented in accordance with FKUB’s core mandates, particularly its role in promoting interreligious harmony. Based on interview data and official documentation, the implementation activities can be grouped into several main categories, as summarized in Table 2.</w:t>
      </w:r>
    </w:p>
    <w:p w14:paraId="368B6D39" w14:textId="77777777" w:rsidR="00AD7F4D" w:rsidRDefault="00663220" w:rsidP="00902543">
      <w:pPr>
        <w:autoSpaceDE w:val="0"/>
        <w:autoSpaceDN w:val="0"/>
        <w:adjustRightInd w:val="0"/>
        <w:jc w:val="center"/>
        <w:rPr>
          <w:sz w:val="22"/>
          <w:szCs w:val="22"/>
          <w:lang w:val="en-US"/>
        </w:rPr>
      </w:pPr>
      <w:r w:rsidRPr="00AD7F4D">
        <w:rPr>
          <w:sz w:val="22"/>
          <w:szCs w:val="22"/>
          <w:lang w:val="en-US"/>
        </w:rPr>
        <w:t xml:space="preserve">Table 2. </w:t>
      </w:r>
    </w:p>
    <w:p w14:paraId="1CC9ABF5" w14:textId="787834B8" w:rsidR="00663220" w:rsidRDefault="00663220" w:rsidP="00902543">
      <w:pPr>
        <w:autoSpaceDE w:val="0"/>
        <w:autoSpaceDN w:val="0"/>
        <w:adjustRightInd w:val="0"/>
        <w:jc w:val="center"/>
        <w:rPr>
          <w:sz w:val="22"/>
          <w:szCs w:val="22"/>
          <w:lang w:val="en-US"/>
        </w:rPr>
      </w:pPr>
      <w:r w:rsidRPr="00AD7F4D">
        <w:rPr>
          <w:sz w:val="22"/>
          <w:szCs w:val="22"/>
          <w:lang w:val="en-US"/>
        </w:rPr>
        <w:t>Main Categories of Religious Moderation Implementation Activities by the Banda</w:t>
      </w:r>
      <w:r w:rsidRPr="00902543">
        <w:rPr>
          <w:sz w:val="22"/>
          <w:szCs w:val="22"/>
          <w:lang w:val="en-US"/>
        </w:rPr>
        <w:t xml:space="preserve"> Aceh FKUB</w:t>
      </w:r>
    </w:p>
    <w:p w14:paraId="325AD06F" w14:textId="77777777" w:rsidR="00AD7F4D" w:rsidRPr="00902543" w:rsidRDefault="00AD7F4D" w:rsidP="00902543">
      <w:pPr>
        <w:autoSpaceDE w:val="0"/>
        <w:autoSpaceDN w:val="0"/>
        <w:adjustRightInd w:val="0"/>
        <w:jc w:val="center"/>
        <w:rPr>
          <w:sz w:val="22"/>
          <w:szCs w:val="22"/>
          <w:lang w:val="en-US"/>
        </w:rPr>
      </w:pPr>
    </w:p>
    <w:tbl>
      <w:tblPr>
        <w:tblStyle w:val="PlainTable2"/>
        <w:tblW w:w="0" w:type="auto"/>
        <w:tblLook w:val="04A0" w:firstRow="1" w:lastRow="0" w:firstColumn="1" w:lastColumn="0" w:noHBand="0" w:noVBand="1"/>
      </w:tblPr>
      <w:tblGrid>
        <w:gridCol w:w="1985"/>
        <w:gridCol w:w="6520"/>
      </w:tblGrid>
      <w:tr w:rsidR="00663220" w:rsidRPr="00902543" w14:paraId="610D3624" w14:textId="77777777" w:rsidTr="00902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7F7F7F" w:themeColor="text1" w:themeTint="80"/>
            </w:tcBorders>
            <w:hideMark/>
          </w:tcPr>
          <w:p w14:paraId="7FD693F7" w14:textId="77777777" w:rsidR="00663220" w:rsidRPr="00902543" w:rsidRDefault="00663220" w:rsidP="00902543">
            <w:pPr>
              <w:autoSpaceDE w:val="0"/>
              <w:autoSpaceDN w:val="0"/>
              <w:adjustRightInd w:val="0"/>
              <w:jc w:val="both"/>
              <w:rPr>
                <w:sz w:val="22"/>
                <w:szCs w:val="22"/>
                <w:lang w:val="en-US"/>
              </w:rPr>
            </w:pPr>
            <w:r w:rsidRPr="00902543">
              <w:rPr>
                <w:sz w:val="22"/>
                <w:szCs w:val="22"/>
                <w:lang w:val="en-US"/>
              </w:rPr>
              <w:t>Activity Category</w:t>
            </w:r>
          </w:p>
        </w:tc>
        <w:tc>
          <w:tcPr>
            <w:tcW w:w="6520" w:type="dxa"/>
            <w:tcBorders>
              <w:top w:val="single" w:sz="4" w:space="0" w:color="7F7F7F" w:themeColor="text1" w:themeTint="80"/>
            </w:tcBorders>
            <w:hideMark/>
          </w:tcPr>
          <w:p w14:paraId="65F7733F" w14:textId="77777777" w:rsidR="00663220" w:rsidRPr="00902543" w:rsidRDefault="00663220" w:rsidP="0090254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Description / Key Examples (Based on Research Data)</w:t>
            </w:r>
          </w:p>
        </w:tc>
      </w:tr>
      <w:tr w:rsidR="00663220" w:rsidRPr="00902543" w14:paraId="087626C8" w14:textId="77777777" w:rsidTr="00902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52E2DF64" w14:textId="77777777" w:rsidR="00663220" w:rsidRPr="00902543" w:rsidRDefault="00663220" w:rsidP="00902543">
            <w:pPr>
              <w:autoSpaceDE w:val="0"/>
              <w:autoSpaceDN w:val="0"/>
              <w:adjustRightInd w:val="0"/>
              <w:jc w:val="both"/>
              <w:rPr>
                <w:b w:val="0"/>
                <w:bCs w:val="0"/>
                <w:sz w:val="22"/>
                <w:szCs w:val="22"/>
                <w:lang w:val="en-US"/>
              </w:rPr>
            </w:pPr>
            <w:r w:rsidRPr="00902543">
              <w:rPr>
                <w:b w:val="0"/>
                <w:bCs w:val="0"/>
                <w:sz w:val="22"/>
                <w:szCs w:val="22"/>
                <w:lang w:val="en-US"/>
              </w:rPr>
              <w:t>Dialogue and Deliberation</w:t>
            </w:r>
          </w:p>
        </w:tc>
        <w:tc>
          <w:tcPr>
            <w:tcW w:w="6520" w:type="dxa"/>
            <w:hideMark/>
          </w:tcPr>
          <w:p w14:paraId="64A0D0C6" w14:textId="77777777" w:rsidR="00663220" w:rsidRPr="00902543" w:rsidRDefault="00663220" w:rsidP="009025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Regular or ad hoc interfaith meetings, thematic discussions, and outreach visits to other religious communities to foster mutual understanding.</w:t>
            </w:r>
          </w:p>
        </w:tc>
      </w:tr>
      <w:tr w:rsidR="00663220" w:rsidRPr="00902543" w14:paraId="5B87AE79" w14:textId="77777777" w:rsidTr="00902543">
        <w:tc>
          <w:tcPr>
            <w:cnfStyle w:val="001000000000" w:firstRow="0" w:lastRow="0" w:firstColumn="1" w:lastColumn="0" w:oddVBand="0" w:evenVBand="0" w:oddHBand="0" w:evenHBand="0" w:firstRowFirstColumn="0" w:firstRowLastColumn="0" w:lastRowFirstColumn="0" w:lastRowLastColumn="0"/>
            <w:tcW w:w="1985" w:type="dxa"/>
            <w:hideMark/>
          </w:tcPr>
          <w:p w14:paraId="37BA7AE2" w14:textId="77777777" w:rsidR="00663220" w:rsidRPr="00902543" w:rsidRDefault="00663220" w:rsidP="00902543">
            <w:pPr>
              <w:autoSpaceDE w:val="0"/>
              <w:autoSpaceDN w:val="0"/>
              <w:adjustRightInd w:val="0"/>
              <w:jc w:val="both"/>
              <w:rPr>
                <w:b w:val="0"/>
                <w:bCs w:val="0"/>
                <w:sz w:val="22"/>
                <w:szCs w:val="22"/>
                <w:lang w:val="en-US"/>
              </w:rPr>
            </w:pPr>
            <w:r w:rsidRPr="00902543">
              <w:rPr>
                <w:b w:val="0"/>
                <w:bCs w:val="0"/>
                <w:sz w:val="22"/>
                <w:szCs w:val="22"/>
                <w:lang w:val="en-US"/>
              </w:rPr>
              <w:t>Public Outreach and Education</w:t>
            </w:r>
          </w:p>
        </w:tc>
        <w:tc>
          <w:tcPr>
            <w:tcW w:w="6520" w:type="dxa"/>
            <w:hideMark/>
          </w:tcPr>
          <w:p w14:paraId="0808FABC" w14:textId="77777777" w:rsidR="00663220" w:rsidRPr="00902543" w:rsidRDefault="00663220" w:rsidP="009025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Conducting awareness campaigns, seminars, workshops, and public discussions with government institutions, community leaders, youth, and students on religious moderation, harmony, and the 2006 Joint Regulation (PBM No. 9 &amp; 8).</w:t>
            </w:r>
          </w:p>
        </w:tc>
      </w:tr>
      <w:tr w:rsidR="00663220" w:rsidRPr="00902543" w14:paraId="5FCA9B9E" w14:textId="77777777" w:rsidTr="00902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7F3D504A" w14:textId="77777777" w:rsidR="00663220" w:rsidRPr="00902543" w:rsidRDefault="00663220" w:rsidP="00902543">
            <w:pPr>
              <w:autoSpaceDE w:val="0"/>
              <w:autoSpaceDN w:val="0"/>
              <w:adjustRightInd w:val="0"/>
              <w:jc w:val="both"/>
              <w:rPr>
                <w:b w:val="0"/>
                <w:bCs w:val="0"/>
                <w:sz w:val="22"/>
                <w:szCs w:val="22"/>
                <w:lang w:val="en-US"/>
              </w:rPr>
            </w:pPr>
            <w:r w:rsidRPr="00902543">
              <w:rPr>
                <w:b w:val="0"/>
                <w:bCs w:val="0"/>
                <w:sz w:val="22"/>
                <w:szCs w:val="22"/>
                <w:lang w:val="en-US"/>
              </w:rPr>
              <w:lastRenderedPageBreak/>
              <w:t>Mediation, Advocacy, and Recommendations</w:t>
            </w:r>
          </w:p>
        </w:tc>
        <w:tc>
          <w:tcPr>
            <w:tcW w:w="6520" w:type="dxa"/>
            <w:hideMark/>
          </w:tcPr>
          <w:p w14:paraId="6E3E1C25" w14:textId="77777777" w:rsidR="00663220" w:rsidRPr="00902543" w:rsidRDefault="00663220" w:rsidP="009025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Acting as a mediator in cases of potential conflict or misunderstanding, providing input to local authorities, and issuing recommendations for the establishment of houses of worship.</w:t>
            </w:r>
          </w:p>
        </w:tc>
      </w:tr>
      <w:tr w:rsidR="00663220" w:rsidRPr="00902543" w14:paraId="4A63F7E1" w14:textId="77777777" w:rsidTr="00902543">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7F7F7F" w:themeColor="text1" w:themeTint="80"/>
            </w:tcBorders>
            <w:hideMark/>
          </w:tcPr>
          <w:p w14:paraId="7AC0F70E" w14:textId="77777777" w:rsidR="00663220" w:rsidRPr="00902543" w:rsidRDefault="00663220" w:rsidP="00902543">
            <w:pPr>
              <w:autoSpaceDE w:val="0"/>
              <w:autoSpaceDN w:val="0"/>
              <w:adjustRightInd w:val="0"/>
              <w:jc w:val="both"/>
              <w:rPr>
                <w:b w:val="0"/>
                <w:bCs w:val="0"/>
                <w:sz w:val="22"/>
                <w:szCs w:val="22"/>
                <w:lang w:val="en-US"/>
              </w:rPr>
            </w:pPr>
            <w:r w:rsidRPr="00902543">
              <w:rPr>
                <w:b w:val="0"/>
                <w:bCs w:val="0"/>
                <w:sz w:val="22"/>
                <w:szCs w:val="22"/>
                <w:lang w:val="en-US"/>
              </w:rPr>
              <w:t>Interfaith Collaboration</w:t>
            </w:r>
          </w:p>
        </w:tc>
        <w:tc>
          <w:tcPr>
            <w:tcW w:w="6520" w:type="dxa"/>
            <w:tcBorders>
              <w:bottom w:val="single" w:sz="4" w:space="0" w:color="7F7F7F" w:themeColor="text1" w:themeTint="80"/>
            </w:tcBorders>
            <w:hideMark/>
          </w:tcPr>
          <w:p w14:paraId="57D2BB30" w14:textId="77777777" w:rsidR="00663220" w:rsidRPr="00902543" w:rsidRDefault="00663220" w:rsidP="009025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Initiating or participating in joint interreligious activities such as community service, national holiday celebrations, or collective responses to natural disasters.</w:t>
            </w:r>
          </w:p>
        </w:tc>
      </w:tr>
    </w:tbl>
    <w:p w14:paraId="78294B9A" w14:textId="77777777" w:rsidR="00663220" w:rsidRPr="00902543" w:rsidRDefault="00663220" w:rsidP="00C74E13">
      <w:pPr>
        <w:autoSpaceDE w:val="0"/>
        <w:autoSpaceDN w:val="0"/>
        <w:adjustRightInd w:val="0"/>
        <w:spacing w:line="480" w:lineRule="auto"/>
        <w:jc w:val="both"/>
        <w:rPr>
          <w:sz w:val="22"/>
          <w:szCs w:val="22"/>
          <w:lang w:val="en-US"/>
        </w:rPr>
      </w:pPr>
      <w:r w:rsidRPr="00902543">
        <w:rPr>
          <w:i/>
          <w:iCs/>
          <w:sz w:val="22"/>
          <w:szCs w:val="22"/>
          <w:lang w:val="en-US"/>
        </w:rPr>
        <w:t>Source: Processed from field data, 2024</w:t>
      </w:r>
    </w:p>
    <w:p w14:paraId="63463D1E" w14:textId="0E966DBD"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Among these, dialogue and deliberation are identified as the central strategies in FKUB Banda Aceh’s approach to religious moderation. These forums are regarded as the primary space for building communication, reducing prejudice, and finding common ground among diverse religious communities. The FKUB Chair emphasized that dialogue is the heart of FKUB, as it enables members to get to know one another, reduce suspicion, and find shared solutions through regular meetings, both formal and informal. This sentiment was echoed by a Christian religious leader, who highlighted the importance of FKUB meetings—even informal gatherings over coffee—as meaningful spaces for discussing harmony.</w:t>
      </w:r>
    </w:p>
    <w:p w14:paraId="18A39093"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 xml:space="preserve">Interestingly, this approach extends beyond official forums and utilizes Aceh’s distinctive social spaces, such as </w:t>
      </w:r>
      <w:proofErr w:type="spellStart"/>
      <w:r w:rsidRPr="00902543">
        <w:rPr>
          <w:i/>
          <w:iCs/>
          <w:sz w:val="22"/>
          <w:szCs w:val="22"/>
        </w:rPr>
        <w:t>warung</w:t>
      </w:r>
      <w:proofErr w:type="spellEnd"/>
      <w:r w:rsidRPr="00902543">
        <w:rPr>
          <w:i/>
          <w:iCs/>
          <w:sz w:val="22"/>
          <w:szCs w:val="22"/>
        </w:rPr>
        <w:t xml:space="preserve"> kopi</w:t>
      </w:r>
      <w:r w:rsidRPr="00902543">
        <w:rPr>
          <w:sz w:val="22"/>
          <w:szCs w:val="22"/>
        </w:rPr>
        <w:t xml:space="preserve"> (coffee stalls/shop), for informal interfaith dialogues. One FKUB member explained that these coffee shops serve as places where religious leaders engage in discussions to address suspicions, dismantle stigmas, and foster trust.</w:t>
      </w:r>
    </w:p>
    <w:p w14:paraId="55EE27B9" w14:textId="7B7A52BB" w:rsidR="00663220" w:rsidRDefault="00663220" w:rsidP="00AD7F4D">
      <w:pPr>
        <w:autoSpaceDE w:val="0"/>
        <w:autoSpaceDN w:val="0"/>
        <w:adjustRightInd w:val="0"/>
        <w:ind w:left="567"/>
        <w:jc w:val="both"/>
        <w:rPr>
          <w:sz w:val="22"/>
          <w:szCs w:val="22"/>
        </w:rPr>
      </w:pPr>
      <w:r w:rsidRPr="00902543">
        <w:rPr>
          <w:sz w:val="22"/>
          <w:szCs w:val="22"/>
        </w:rPr>
        <w:t>“FKUB uses coffee shops as informal spaces to engage in dialogue with religious leaders—discussing suspicions, breaking down stigmas, and building trust.”</w:t>
      </w:r>
      <w:r w:rsidR="00AD7F4D">
        <w:rPr>
          <w:sz w:val="22"/>
          <w:szCs w:val="22"/>
        </w:rPr>
        <w:t xml:space="preserve"> (</w:t>
      </w:r>
      <w:r w:rsidR="00AD7F4D" w:rsidRPr="00AD7F4D">
        <w:rPr>
          <w:sz w:val="22"/>
          <w:szCs w:val="22"/>
        </w:rPr>
        <w:t>Interview, FKUB Member, April 2024</w:t>
      </w:r>
      <w:r w:rsidR="00AD7F4D">
        <w:rPr>
          <w:sz w:val="22"/>
          <w:szCs w:val="22"/>
        </w:rPr>
        <w:t>)</w:t>
      </w:r>
    </w:p>
    <w:p w14:paraId="0D0076D2" w14:textId="77777777" w:rsidR="00AD7F4D" w:rsidRPr="00902543" w:rsidRDefault="00AD7F4D" w:rsidP="00AD7F4D">
      <w:pPr>
        <w:autoSpaceDE w:val="0"/>
        <w:autoSpaceDN w:val="0"/>
        <w:adjustRightInd w:val="0"/>
        <w:ind w:left="567"/>
        <w:jc w:val="both"/>
        <w:rPr>
          <w:sz w:val="22"/>
          <w:szCs w:val="22"/>
        </w:rPr>
      </w:pPr>
    </w:p>
    <w:p w14:paraId="2C76D99F"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Outreach and education efforts also constitute a significant portion of FKUB’s programmatic work. The forum actively disseminates information and promotes understanding about the importance of religious moderation and interfaith harmony across various societal layers. Target audiences include government officials, traditional leaders, civil society figures, youth organizations, and students in Banda Aceh. A range of methods is employed—from seminars and workshops to public discussions addressing current issues surrounding interfaith relations and regulatory frameworks such as the 2006 Joint Regulation. One informant explained that FKUB encourages equal participation among members from all represented religions, where each representative takes turns sharing about their own faith tradition.</w:t>
      </w:r>
    </w:p>
    <w:p w14:paraId="66877470" w14:textId="20B76607" w:rsidR="00663220" w:rsidRDefault="00663220" w:rsidP="00AD7F4D">
      <w:pPr>
        <w:autoSpaceDE w:val="0"/>
        <w:autoSpaceDN w:val="0"/>
        <w:adjustRightInd w:val="0"/>
        <w:ind w:left="567"/>
        <w:jc w:val="both"/>
        <w:rPr>
          <w:sz w:val="22"/>
          <w:szCs w:val="22"/>
        </w:rPr>
      </w:pPr>
      <w:r w:rsidRPr="00902543">
        <w:rPr>
          <w:sz w:val="22"/>
          <w:szCs w:val="22"/>
        </w:rPr>
        <w:lastRenderedPageBreak/>
        <w:t>“Each FKUB member is given an equal opportunity to speak, and they take turns—for example, the representative of the Christian community explains about Christianity, and others do the same for their faiths.”</w:t>
      </w:r>
      <w:r w:rsidR="00AD7F4D">
        <w:rPr>
          <w:sz w:val="22"/>
          <w:szCs w:val="22"/>
        </w:rPr>
        <w:t>(</w:t>
      </w:r>
      <w:r w:rsidR="00AD7F4D" w:rsidRPr="00AD7F4D">
        <w:t xml:space="preserve"> </w:t>
      </w:r>
      <w:r w:rsidR="00AD7F4D" w:rsidRPr="00AD7F4D">
        <w:rPr>
          <w:sz w:val="22"/>
          <w:szCs w:val="22"/>
        </w:rPr>
        <w:t>Interview, FKUB Member, April 2024</w:t>
      </w:r>
      <w:r w:rsidR="00AD7F4D">
        <w:rPr>
          <w:sz w:val="22"/>
          <w:szCs w:val="22"/>
        </w:rPr>
        <w:t>)</w:t>
      </w:r>
    </w:p>
    <w:p w14:paraId="2A40E2D6" w14:textId="77777777" w:rsidR="00AD7F4D" w:rsidRPr="00902543" w:rsidRDefault="00AD7F4D" w:rsidP="00AD7F4D">
      <w:pPr>
        <w:autoSpaceDE w:val="0"/>
        <w:autoSpaceDN w:val="0"/>
        <w:adjustRightInd w:val="0"/>
        <w:ind w:left="567"/>
        <w:jc w:val="both"/>
        <w:rPr>
          <w:sz w:val="22"/>
          <w:szCs w:val="22"/>
        </w:rPr>
      </w:pPr>
    </w:p>
    <w:p w14:paraId="758AD80F"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In its institutional capacity, FKUB Banda Aceh also undertakes mediation and advocacy functions, though these efforts face particular challenges. The forum strives to serve as an impartial mediator during interreligious disputes or misunderstandings. Additionally, it provides recommendations to local authorities on policies affecting religious harmony. One of its most concrete and sensitive tasks is issuing official recommendations for the establishment of houses of worship.</w:t>
      </w:r>
    </w:p>
    <w:p w14:paraId="6A8F9C73" w14:textId="00E3DDDB" w:rsidR="00663220" w:rsidRDefault="00663220" w:rsidP="00AD7F4D">
      <w:pPr>
        <w:autoSpaceDE w:val="0"/>
        <w:autoSpaceDN w:val="0"/>
        <w:adjustRightInd w:val="0"/>
        <w:ind w:left="567"/>
        <w:jc w:val="both"/>
        <w:rPr>
          <w:sz w:val="22"/>
          <w:szCs w:val="22"/>
        </w:rPr>
      </w:pPr>
      <w:r w:rsidRPr="00902543">
        <w:rPr>
          <w:sz w:val="22"/>
          <w:szCs w:val="22"/>
        </w:rPr>
        <w:t>“Every recommendation for a house of worship results from consensus-based deliberation within the FKUB and is documented in writing.”</w:t>
      </w:r>
      <w:r w:rsidR="00AD7F4D">
        <w:rPr>
          <w:sz w:val="22"/>
          <w:szCs w:val="22"/>
        </w:rPr>
        <w:t>(</w:t>
      </w:r>
      <w:r w:rsidR="00AD7F4D" w:rsidRPr="00AD7F4D">
        <w:rPr>
          <w:sz w:val="22"/>
          <w:szCs w:val="22"/>
        </w:rPr>
        <w:t>Interview, FKUB Secretary, April 202</w:t>
      </w:r>
      <w:r w:rsidR="00AD7F4D">
        <w:rPr>
          <w:sz w:val="22"/>
          <w:szCs w:val="22"/>
        </w:rPr>
        <w:t xml:space="preserve">4) </w:t>
      </w:r>
    </w:p>
    <w:p w14:paraId="0B0570DA" w14:textId="77777777" w:rsidR="00AD7F4D" w:rsidRPr="00902543" w:rsidRDefault="00AD7F4D" w:rsidP="00AD7F4D">
      <w:pPr>
        <w:autoSpaceDE w:val="0"/>
        <w:autoSpaceDN w:val="0"/>
        <w:adjustRightInd w:val="0"/>
        <w:ind w:left="567"/>
        <w:jc w:val="both"/>
        <w:rPr>
          <w:sz w:val="22"/>
          <w:szCs w:val="22"/>
        </w:rPr>
      </w:pPr>
    </w:p>
    <w:p w14:paraId="37E59042" w14:textId="36B1F1EE" w:rsidR="00663220" w:rsidRPr="00902543" w:rsidRDefault="00663220" w:rsidP="00AD7F4D">
      <w:pPr>
        <w:autoSpaceDE w:val="0"/>
        <w:autoSpaceDN w:val="0"/>
        <w:adjustRightInd w:val="0"/>
        <w:spacing w:line="480" w:lineRule="auto"/>
        <w:ind w:firstLine="567"/>
        <w:jc w:val="both"/>
        <w:rPr>
          <w:sz w:val="22"/>
          <w:szCs w:val="22"/>
        </w:rPr>
      </w:pPr>
      <w:r w:rsidRPr="00902543">
        <w:rPr>
          <w:sz w:val="22"/>
          <w:szCs w:val="22"/>
        </w:rPr>
        <w:t>Finally, the FKUB implements moderation values through tangible interfaith cooperation. It initiates or supports joint activities that bring together followers of different religions—such as collaborative community service projects, inclusive celebrations of national holidays, and joint disaster relief efforts. According to one member, these activities are seen as effective demonstrations of interfaith solidarity.</w:t>
      </w:r>
      <w:r w:rsidR="00AD7F4D">
        <w:rPr>
          <w:sz w:val="22"/>
          <w:szCs w:val="22"/>
        </w:rPr>
        <w:t xml:space="preserve"> </w:t>
      </w:r>
      <w:r w:rsidRPr="00902543">
        <w:rPr>
          <w:sz w:val="22"/>
          <w:szCs w:val="22"/>
        </w:rPr>
        <w:t>Moreover, the FKUB utilizes mass media platforms such as Radio Republik Indonesia (RRI) to broadcast messages of religious moderation to a broader and more diverse audience.</w:t>
      </w:r>
    </w:p>
    <w:p w14:paraId="7CDC0C17" w14:textId="77777777" w:rsidR="00663220" w:rsidRPr="00902543" w:rsidRDefault="00663220" w:rsidP="00C74E13">
      <w:pPr>
        <w:autoSpaceDE w:val="0"/>
        <w:autoSpaceDN w:val="0"/>
        <w:adjustRightInd w:val="0"/>
        <w:spacing w:line="480" w:lineRule="auto"/>
        <w:jc w:val="both"/>
        <w:rPr>
          <w:sz w:val="22"/>
          <w:szCs w:val="22"/>
        </w:rPr>
      </w:pPr>
      <w:r w:rsidRPr="00902543">
        <w:rPr>
          <w:b/>
          <w:bCs/>
          <w:sz w:val="22"/>
          <w:szCs w:val="22"/>
          <w:lang w:val="en-US"/>
        </w:rPr>
        <w:t>Opportunities and Challenges in the Implementation of Religious Moderation by the Banda Aceh FKUB</w:t>
      </w:r>
    </w:p>
    <w:p w14:paraId="20C8BF93" w14:textId="77777777" w:rsidR="00663220" w:rsidRPr="00902543" w:rsidRDefault="00663220" w:rsidP="00C74E13">
      <w:pPr>
        <w:autoSpaceDE w:val="0"/>
        <w:autoSpaceDN w:val="0"/>
        <w:adjustRightInd w:val="0"/>
        <w:spacing w:line="480" w:lineRule="auto"/>
        <w:ind w:firstLine="567"/>
        <w:jc w:val="both"/>
        <w:rPr>
          <w:b/>
          <w:bCs/>
          <w:sz w:val="22"/>
          <w:szCs w:val="22"/>
          <w:lang w:val="en-US"/>
        </w:rPr>
      </w:pPr>
      <w:r w:rsidRPr="00902543">
        <w:rPr>
          <w:sz w:val="22"/>
          <w:szCs w:val="22"/>
          <w:lang w:val="en-US"/>
        </w:rPr>
        <w:t>In fulfilling its mandate to implement the values of religious moderation, the Banda Aceh FKUB encounters a range of enabling factors (opportunities) as well as notable obstacles (challenges). The research identifies several key opportunities and challenges as perceived by informants and reflected in supporting documents. A summary of these factors is presented in Table 3.</w:t>
      </w:r>
    </w:p>
    <w:p w14:paraId="506A2F8F" w14:textId="640DC5D8" w:rsidR="00663220" w:rsidRPr="00902543" w:rsidRDefault="00663220" w:rsidP="00AD7F4D">
      <w:pPr>
        <w:autoSpaceDE w:val="0"/>
        <w:autoSpaceDN w:val="0"/>
        <w:adjustRightInd w:val="0"/>
        <w:jc w:val="center"/>
        <w:rPr>
          <w:sz w:val="22"/>
          <w:szCs w:val="22"/>
          <w:lang w:val="en-US"/>
        </w:rPr>
      </w:pPr>
      <w:r w:rsidRPr="00AD7F4D">
        <w:rPr>
          <w:sz w:val="22"/>
          <w:szCs w:val="22"/>
          <w:lang w:val="en-US"/>
        </w:rPr>
        <w:t>Table 3.</w:t>
      </w:r>
      <w:r w:rsidR="00AD7F4D">
        <w:rPr>
          <w:sz w:val="22"/>
          <w:szCs w:val="22"/>
          <w:lang w:val="en-US"/>
        </w:rPr>
        <w:br/>
      </w:r>
      <w:r w:rsidRPr="00AD7F4D">
        <w:rPr>
          <w:sz w:val="22"/>
          <w:szCs w:val="22"/>
          <w:lang w:val="en-US"/>
        </w:rPr>
        <w:t xml:space="preserve"> Key Opportunities and Challenges in the Implementation of Religious Moderation by</w:t>
      </w:r>
      <w:r w:rsidRPr="00902543">
        <w:rPr>
          <w:sz w:val="22"/>
          <w:szCs w:val="22"/>
          <w:lang w:val="en-US"/>
        </w:rPr>
        <w:t xml:space="preserve"> the Banda Aceh FKUB</w:t>
      </w:r>
    </w:p>
    <w:tbl>
      <w:tblPr>
        <w:tblStyle w:val="PlainTable2"/>
        <w:tblW w:w="0" w:type="auto"/>
        <w:tblLook w:val="04A0" w:firstRow="1" w:lastRow="0" w:firstColumn="1" w:lastColumn="0" w:noHBand="0" w:noVBand="1"/>
      </w:tblPr>
      <w:tblGrid>
        <w:gridCol w:w="1537"/>
        <w:gridCol w:w="6968"/>
      </w:tblGrid>
      <w:tr w:rsidR="00663220" w:rsidRPr="00902543" w14:paraId="066488DA" w14:textId="77777777" w:rsidTr="00466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tcBorders>
            <w:hideMark/>
          </w:tcPr>
          <w:p w14:paraId="14AF73E4" w14:textId="77777777" w:rsidR="00663220" w:rsidRPr="00902543" w:rsidRDefault="00663220" w:rsidP="00AD7F4D">
            <w:pPr>
              <w:autoSpaceDE w:val="0"/>
              <w:autoSpaceDN w:val="0"/>
              <w:adjustRightInd w:val="0"/>
              <w:jc w:val="both"/>
              <w:rPr>
                <w:sz w:val="22"/>
                <w:szCs w:val="22"/>
                <w:lang w:val="en-US"/>
              </w:rPr>
            </w:pPr>
            <w:r w:rsidRPr="00902543">
              <w:rPr>
                <w:sz w:val="22"/>
                <w:szCs w:val="22"/>
                <w:lang w:val="en-US"/>
              </w:rPr>
              <w:t>Category</w:t>
            </w:r>
          </w:p>
        </w:tc>
        <w:tc>
          <w:tcPr>
            <w:tcW w:w="0" w:type="auto"/>
            <w:tcBorders>
              <w:top w:val="single" w:sz="4" w:space="0" w:color="7F7F7F" w:themeColor="text1" w:themeTint="80"/>
            </w:tcBorders>
            <w:hideMark/>
          </w:tcPr>
          <w:p w14:paraId="29FDBDBB" w14:textId="77777777" w:rsidR="00663220" w:rsidRPr="00902543" w:rsidRDefault="00663220" w:rsidP="00AD7F4D">
            <w:pPr>
              <w:autoSpaceDE w:val="0"/>
              <w:autoSpaceDN w:val="0"/>
              <w:adjustRightInd w:val="0"/>
              <w:ind w:left="284" w:hanging="284"/>
              <w:jc w:val="both"/>
              <w:cnfStyle w:val="100000000000" w:firstRow="1"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Key Factors (Based on Research Findings)</w:t>
            </w:r>
          </w:p>
        </w:tc>
      </w:tr>
      <w:tr w:rsidR="00663220" w:rsidRPr="00902543" w14:paraId="21DD1F17" w14:textId="77777777" w:rsidTr="00466959">
        <w:trPr>
          <w:cnfStyle w:val="000000100000" w:firstRow="0" w:lastRow="0" w:firstColumn="0" w:lastColumn="0" w:oddVBand="0" w:evenVBand="0" w:oddHBand="1" w:evenHBand="0" w:firstRowFirstColumn="0" w:firstRowLastColumn="0" w:lastRowFirstColumn="0" w:lastRowLastColumn="0"/>
          <w:trHeight w:val="21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E2C579" w14:textId="77777777" w:rsidR="00663220" w:rsidRPr="00902543" w:rsidRDefault="00663220" w:rsidP="00AD7F4D">
            <w:pPr>
              <w:autoSpaceDE w:val="0"/>
              <w:autoSpaceDN w:val="0"/>
              <w:adjustRightInd w:val="0"/>
              <w:jc w:val="both"/>
              <w:rPr>
                <w:sz w:val="22"/>
                <w:szCs w:val="22"/>
                <w:lang w:val="en-US"/>
              </w:rPr>
            </w:pPr>
            <w:r w:rsidRPr="00902543">
              <w:rPr>
                <w:sz w:val="22"/>
                <w:szCs w:val="22"/>
                <w:lang w:val="en-US"/>
              </w:rPr>
              <w:lastRenderedPageBreak/>
              <w:t>Opportunities</w:t>
            </w:r>
          </w:p>
        </w:tc>
        <w:tc>
          <w:tcPr>
            <w:tcW w:w="0" w:type="auto"/>
            <w:hideMark/>
          </w:tcPr>
          <w:p w14:paraId="6BBE8839" w14:textId="77777777" w:rsidR="00663220" w:rsidRPr="00902543" w:rsidRDefault="00663220" w:rsidP="00AD7F4D">
            <w:pPr>
              <w:numPr>
                <w:ilvl w:val="0"/>
                <w:numId w:val="1"/>
              </w:numPr>
              <w:autoSpaceDE w:val="0"/>
              <w:autoSpaceDN w:val="0"/>
              <w:adjustRightInd w:val="0"/>
              <w:ind w:left="284" w:hanging="284"/>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Government support (both central and local), including legitimacy and funding (albeit limited)</w:t>
            </w:r>
          </w:p>
          <w:p w14:paraId="077CE7AD" w14:textId="77777777" w:rsidR="00663220" w:rsidRPr="00902543" w:rsidRDefault="00663220" w:rsidP="00AD7F4D">
            <w:pPr>
              <w:numPr>
                <w:ilvl w:val="0"/>
                <w:numId w:val="1"/>
              </w:numPr>
              <w:autoSpaceDE w:val="0"/>
              <w:autoSpaceDN w:val="0"/>
              <w:adjustRightInd w:val="0"/>
              <w:ind w:left="284" w:hanging="284"/>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Strong commitment from religious and traditional leaders involved in FKUB</w:t>
            </w:r>
          </w:p>
          <w:p w14:paraId="5DD079CA" w14:textId="77777777" w:rsidR="00663220" w:rsidRPr="00902543" w:rsidRDefault="00663220" w:rsidP="00AD7F4D">
            <w:pPr>
              <w:numPr>
                <w:ilvl w:val="0"/>
                <w:numId w:val="1"/>
              </w:numPr>
              <w:autoSpaceDE w:val="0"/>
              <w:autoSpaceDN w:val="0"/>
              <w:adjustRightInd w:val="0"/>
              <w:ind w:left="284" w:hanging="284"/>
              <w:jc w:val="both"/>
              <w:cnfStyle w:val="000000100000" w:firstRow="0" w:lastRow="0" w:firstColumn="0" w:lastColumn="0" w:oddVBand="0" w:evenVBand="0" w:oddHBand="1" w:evenHBand="0" w:firstRowFirstColumn="0" w:firstRowLastColumn="0" w:lastRowFirstColumn="0" w:lastRowLastColumn="0"/>
              <w:rPr>
                <w:sz w:val="22"/>
                <w:szCs w:val="22"/>
                <w:lang w:val="en-US"/>
              </w:rPr>
            </w:pPr>
            <w:r w:rsidRPr="00902543">
              <w:rPr>
                <w:sz w:val="22"/>
                <w:szCs w:val="22"/>
                <w:lang w:val="en-US"/>
              </w:rPr>
              <w:t>Clear regulatory framework (Joint Regulation No. 9 &amp; 8 of 2006) as the basis for FKUB’s work– Relatively stable post-conflict security conditions in the region</w:t>
            </w:r>
          </w:p>
        </w:tc>
      </w:tr>
      <w:tr w:rsidR="00663220" w:rsidRPr="00902543" w14:paraId="08112DA6" w14:textId="77777777" w:rsidTr="00466959">
        <w:trPr>
          <w:trHeight w:val="306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7F7F7F" w:themeColor="text1" w:themeTint="80"/>
            </w:tcBorders>
            <w:vAlign w:val="center"/>
          </w:tcPr>
          <w:p w14:paraId="3AFE6DA1" w14:textId="77777777" w:rsidR="00663220" w:rsidRPr="00902543" w:rsidRDefault="00663220" w:rsidP="00AD7F4D">
            <w:pPr>
              <w:autoSpaceDE w:val="0"/>
              <w:autoSpaceDN w:val="0"/>
              <w:adjustRightInd w:val="0"/>
              <w:jc w:val="both"/>
              <w:rPr>
                <w:sz w:val="22"/>
                <w:szCs w:val="22"/>
                <w:lang w:val="en-US"/>
              </w:rPr>
            </w:pPr>
            <w:r w:rsidRPr="00902543">
              <w:rPr>
                <w:sz w:val="22"/>
                <w:szCs w:val="22"/>
                <w:lang w:val="en-US"/>
              </w:rPr>
              <w:t>Challenges</w:t>
            </w:r>
          </w:p>
        </w:tc>
        <w:tc>
          <w:tcPr>
            <w:tcW w:w="0" w:type="auto"/>
            <w:tcBorders>
              <w:bottom w:val="single" w:sz="4" w:space="0" w:color="7F7F7F" w:themeColor="text1" w:themeTint="80"/>
            </w:tcBorders>
          </w:tcPr>
          <w:p w14:paraId="4DC07CC6"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Limited operational funding for optimal program implementation</w:t>
            </w:r>
          </w:p>
          <w:p w14:paraId="6C7F961D"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Divergent public perceptions and misunderstandings about the concept of religious moderation</w:t>
            </w:r>
          </w:p>
          <w:p w14:paraId="75AEBCBC"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Resistance from exclusive/conservative religious groups</w:t>
            </w:r>
          </w:p>
          <w:p w14:paraId="4B8B6F35"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Potential interference from external parties with particular interests</w:t>
            </w:r>
          </w:p>
          <w:p w14:paraId="3F362849"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Complexity and sensitivity in issuing recommendations for houses of worship</w:t>
            </w:r>
          </w:p>
          <w:p w14:paraId="1BB43ECE"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Limited program reaches and difficulty in engaging all societal layers</w:t>
            </w:r>
          </w:p>
          <w:p w14:paraId="6CDA26D8" w14:textId="77777777" w:rsidR="00663220" w:rsidRPr="00902543" w:rsidRDefault="00663220" w:rsidP="00AD7F4D">
            <w:pPr>
              <w:numPr>
                <w:ilvl w:val="0"/>
                <w:numId w:val="2"/>
              </w:numPr>
              <w:autoSpaceDE w:val="0"/>
              <w:autoSpaceDN w:val="0"/>
              <w:adjustRightInd w:val="0"/>
              <w:ind w:left="284" w:hanging="284"/>
              <w:jc w:val="both"/>
              <w:cnfStyle w:val="000000000000" w:firstRow="0" w:lastRow="0" w:firstColumn="0" w:lastColumn="0" w:oddVBand="0" w:evenVBand="0" w:oddHBand="0" w:evenHBand="0" w:firstRowFirstColumn="0" w:firstRowLastColumn="0" w:lastRowFirstColumn="0" w:lastRowLastColumn="0"/>
              <w:rPr>
                <w:sz w:val="22"/>
                <w:szCs w:val="22"/>
                <w:lang w:val="en-US"/>
              </w:rPr>
            </w:pPr>
            <w:r w:rsidRPr="00902543">
              <w:rPr>
                <w:sz w:val="22"/>
                <w:szCs w:val="22"/>
                <w:lang w:val="en-US"/>
              </w:rPr>
              <w:t>FKUB’s limited mandate, which is more facilitative and advisory rather than executive in nature</w:t>
            </w:r>
          </w:p>
        </w:tc>
      </w:tr>
    </w:tbl>
    <w:p w14:paraId="1610F27A" w14:textId="7777777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i/>
          <w:iCs/>
          <w:sz w:val="22"/>
          <w:szCs w:val="22"/>
          <w:lang w:val="en-US"/>
        </w:rPr>
        <w:t>Source: Processed from field data, 2024</w:t>
      </w:r>
    </w:p>
    <w:p w14:paraId="2332FC80" w14:textId="77777777" w:rsidR="00663220" w:rsidRPr="00902543" w:rsidRDefault="00663220" w:rsidP="00C74E13">
      <w:pPr>
        <w:autoSpaceDE w:val="0"/>
        <w:autoSpaceDN w:val="0"/>
        <w:adjustRightInd w:val="0"/>
        <w:spacing w:line="480" w:lineRule="auto"/>
        <w:ind w:firstLine="567"/>
        <w:jc w:val="both"/>
        <w:rPr>
          <w:sz w:val="22"/>
          <w:szCs w:val="22"/>
        </w:rPr>
      </w:pPr>
      <w:r w:rsidRPr="00902543">
        <w:rPr>
          <w:sz w:val="22"/>
          <w:szCs w:val="22"/>
        </w:rPr>
        <w:t>Regarding opportunities, government support—both from the Ministry of Religious Affairs at the national level and from the Banda Aceh municipal government through the Agency for National Unity and Politics (</w:t>
      </w:r>
      <w:proofErr w:type="spellStart"/>
      <w:r w:rsidRPr="00902543">
        <w:rPr>
          <w:sz w:val="22"/>
          <w:szCs w:val="22"/>
        </w:rPr>
        <w:t>Kesbangpol</w:t>
      </w:r>
      <w:proofErr w:type="spellEnd"/>
      <w:r w:rsidRPr="00902543">
        <w:rPr>
          <w:sz w:val="22"/>
          <w:szCs w:val="22"/>
        </w:rPr>
        <w:t xml:space="preserve">)—is acknowledged as a crucial factor enabling FKUB to carry out its programs. This support includes institutional legitimacy as well as financial assistance. Although the funding is modest, it provides a basic operational platform. One FKUB member described that each year, the forum receives operational support through the Ministry of Religious Affairs’ budget allocation, amounting to IDR 60 million, and that they once received additional funding for office construction </w:t>
      </w:r>
      <w:proofErr w:type="spellStart"/>
      <w:r w:rsidRPr="00902543">
        <w:rPr>
          <w:sz w:val="22"/>
          <w:szCs w:val="22"/>
        </w:rPr>
        <w:t>totaling</w:t>
      </w:r>
      <w:proofErr w:type="spellEnd"/>
      <w:r w:rsidRPr="00902543">
        <w:rPr>
          <w:sz w:val="22"/>
          <w:szCs w:val="22"/>
        </w:rPr>
        <w:t xml:space="preserve"> IDR 50 million.</w:t>
      </w:r>
    </w:p>
    <w:p w14:paraId="760D8D98" w14:textId="20586286" w:rsidR="00663220" w:rsidRDefault="00663220" w:rsidP="00AD7F4D">
      <w:pPr>
        <w:autoSpaceDE w:val="0"/>
        <w:autoSpaceDN w:val="0"/>
        <w:adjustRightInd w:val="0"/>
        <w:ind w:left="567"/>
        <w:jc w:val="both"/>
        <w:rPr>
          <w:sz w:val="22"/>
          <w:szCs w:val="22"/>
        </w:rPr>
      </w:pPr>
      <w:r w:rsidRPr="00902543">
        <w:rPr>
          <w:sz w:val="22"/>
          <w:szCs w:val="22"/>
        </w:rPr>
        <w:t xml:space="preserve">“Each year, the FKUB receives operational support through the Ministry of Religious Affairs’ budget allocation, amounting to IDR 60 million. In addition, we once received funding from the Ministry for office construction </w:t>
      </w:r>
      <w:proofErr w:type="spellStart"/>
      <w:r w:rsidRPr="00902543">
        <w:rPr>
          <w:sz w:val="22"/>
          <w:szCs w:val="22"/>
        </w:rPr>
        <w:t>totaling</w:t>
      </w:r>
      <w:proofErr w:type="spellEnd"/>
      <w:r w:rsidRPr="00902543">
        <w:rPr>
          <w:sz w:val="22"/>
          <w:szCs w:val="22"/>
        </w:rPr>
        <w:t xml:space="preserve"> IDR 50 million.”</w:t>
      </w:r>
      <w:r w:rsidR="00AD7F4D">
        <w:rPr>
          <w:sz w:val="22"/>
          <w:szCs w:val="22"/>
        </w:rPr>
        <w:t xml:space="preserve"> (</w:t>
      </w:r>
      <w:r w:rsidR="00AD7F4D" w:rsidRPr="00AD7F4D">
        <w:rPr>
          <w:sz w:val="22"/>
          <w:szCs w:val="22"/>
        </w:rPr>
        <w:t>Interview, FKUB Member, March 2024</w:t>
      </w:r>
      <w:r w:rsidR="00AD7F4D">
        <w:rPr>
          <w:sz w:val="22"/>
          <w:szCs w:val="22"/>
        </w:rPr>
        <w:t>)</w:t>
      </w:r>
    </w:p>
    <w:p w14:paraId="19C8EEEB" w14:textId="77777777" w:rsidR="00AD7F4D" w:rsidRPr="00902543" w:rsidRDefault="00AD7F4D" w:rsidP="00AD7F4D">
      <w:pPr>
        <w:autoSpaceDE w:val="0"/>
        <w:autoSpaceDN w:val="0"/>
        <w:adjustRightInd w:val="0"/>
        <w:ind w:left="567"/>
        <w:jc w:val="both"/>
        <w:rPr>
          <w:sz w:val="22"/>
          <w:szCs w:val="22"/>
        </w:rPr>
      </w:pPr>
    </w:p>
    <w:p w14:paraId="282A0606" w14:textId="42A76109" w:rsidR="00663220" w:rsidRPr="00902543" w:rsidRDefault="00663220" w:rsidP="00AD7F4D">
      <w:pPr>
        <w:autoSpaceDE w:val="0"/>
        <w:autoSpaceDN w:val="0"/>
        <w:adjustRightInd w:val="0"/>
        <w:spacing w:line="480" w:lineRule="auto"/>
        <w:ind w:firstLine="567"/>
        <w:jc w:val="both"/>
        <w:rPr>
          <w:sz w:val="22"/>
          <w:szCs w:val="22"/>
          <w:lang w:val="en-US"/>
        </w:rPr>
      </w:pPr>
      <w:r w:rsidRPr="00902543">
        <w:rPr>
          <w:sz w:val="22"/>
          <w:szCs w:val="22"/>
          <w:lang w:val="en-US"/>
        </w:rPr>
        <w:t xml:space="preserve">Aside from government backing, the strong commitment of religious and traditional leaders is recognized as an internal strength supporting FKUB’s continuity. These figures often serve as key relational actors within their respective communities, thus playing a vital role in extending the influence of moderation values to broader society. Another contributing factor is the presence of a clear regulatory framework—specifically, the 2006 Joint Regulation—which provides a legal </w:t>
      </w:r>
      <w:r w:rsidRPr="00902543">
        <w:rPr>
          <w:sz w:val="22"/>
          <w:szCs w:val="22"/>
          <w:lang w:val="en-US"/>
        </w:rPr>
        <w:lastRenderedPageBreak/>
        <w:t xml:space="preserve">foundation for FKUB’s institutional functions. The relatively stable security situation in Banda Aceh since the post-conflict period also serves as an important prerequisite for interfaith engagement. </w:t>
      </w:r>
    </w:p>
    <w:p w14:paraId="18C5E415" w14:textId="5FB55070"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On the other hand, the FKUB also faces considerable challenges. Limited operational funding remains a persistent constraint, affecting the quantity, quality, and outreach of its programs. Furthermore, since most FKUB members serve on a voluntary basis, not all are able to participate actively.</w:t>
      </w:r>
      <w:r w:rsidR="00AD7F4D">
        <w:rPr>
          <w:sz w:val="22"/>
          <w:szCs w:val="22"/>
          <w:lang w:val="en-US"/>
        </w:rPr>
        <w:t xml:space="preserve"> </w:t>
      </w:r>
      <w:r w:rsidRPr="00902543">
        <w:rPr>
          <w:sz w:val="22"/>
          <w:szCs w:val="22"/>
          <w:lang w:val="en-US"/>
        </w:rPr>
        <w:t>Another significant challenge stems from the public’s diverse understandings—and sometimes misperceptions—of religious moderation. Some groups perceive it as a compromise on theological principles or as a Western-influenced agenda, which results in resistance or skepticism toward FKUB’s initiatives. This rejection is especially pronounced among groups with exclusive or conservative religious orientations. Moreover, the reach of FKUB’s programs is still considered limited, having yet to fully penetrate grassroots communities. This lack of broad engagement poses an obstacle in cultivating a collective understanding of the value and urgency of moderation.</w:t>
      </w:r>
    </w:p>
    <w:p w14:paraId="7ACBB51F" w14:textId="7777777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One of the most sensitive challenges lies in issuing recommendations for houses of worship—a task fraught with socio-political tension and overlapping interests. Nevertheless, the FKUB adheres to the principle of consensus in handling such matters. As emphasized by an FKUB officer:</w:t>
      </w:r>
    </w:p>
    <w:p w14:paraId="73F05FA5" w14:textId="4724C953" w:rsidR="00663220" w:rsidRDefault="00663220" w:rsidP="00AD7F4D">
      <w:pPr>
        <w:autoSpaceDE w:val="0"/>
        <w:autoSpaceDN w:val="0"/>
        <w:adjustRightInd w:val="0"/>
        <w:ind w:left="567"/>
        <w:jc w:val="both"/>
        <w:rPr>
          <w:sz w:val="22"/>
          <w:szCs w:val="22"/>
          <w:lang w:val="en-US"/>
        </w:rPr>
      </w:pPr>
      <w:r w:rsidRPr="00902543">
        <w:rPr>
          <w:sz w:val="22"/>
          <w:szCs w:val="22"/>
          <w:lang w:val="en-US"/>
        </w:rPr>
        <w:t>“Every recommendation for a house of worship is based on consensus within the FKUB and formally issued in writing.”</w:t>
      </w:r>
      <w:r w:rsidR="00AD7F4D">
        <w:rPr>
          <w:sz w:val="22"/>
          <w:szCs w:val="22"/>
          <w:lang w:val="en-US"/>
        </w:rPr>
        <w:t>(</w:t>
      </w:r>
      <w:r w:rsidR="00AD7F4D" w:rsidRPr="00AD7F4D">
        <w:t xml:space="preserve"> </w:t>
      </w:r>
      <w:r w:rsidR="00AD7F4D" w:rsidRPr="00AD7F4D">
        <w:rPr>
          <w:sz w:val="22"/>
          <w:szCs w:val="22"/>
          <w:lang w:val="en-US"/>
        </w:rPr>
        <w:t>Interview, FKUB Secretary, April 2024</w:t>
      </w:r>
      <w:r w:rsidR="00AD7F4D">
        <w:rPr>
          <w:sz w:val="22"/>
          <w:szCs w:val="22"/>
          <w:lang w:val="en-US"/>
        </w:rPr>
        <w:t>)</w:t>
      </w:r>
    </w:p>
    <w:p w14:paraId="1B9E349B" w14:textId="77777777" w:rsidR="00AD7F4D" w:rsidRPr="00902543" w:rsidRDefault="00AD7F4D" w:rsidP="00AD7F4D">
      <w:pPr>
        <w:autoSpaceDE w:val="0"/>
        <w:autoSpaceDN w:val="0"/>
        <w:adjustRightInd w:val="0"/>
        <w:ind w:left="567"/>
        <w:jc w:val="both"/>
        <w:rPr>
          <w:sz w:val="22"/>
          <w:szCs w:val="22"/>
          <w:lang w:val="en-US"/>
        </w:rPr>
      </w:pPr>
    </w:p>
    <w:p w14:paraId="6BFC3754" w14:textId="1F54DEC0"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Another challenge, implicitly mentioned in several interviews, is the potential for external interference—such as from politically affiliated groups or other actors with vested interests—that could undermine FKUB’s independence. As a non-structural body, FKUB also faces institutional limitations, as its role is primarily facilitative and advisory rather than executive, meaning that its success often depends on local government support and the responsiveness of other institutions.</w:t>
      </w:r>
    </w:p>
    <w:p w14:paraId="45E39158" w14:textId="77777777" w:rsidR="00663220" w:rsidRPr="00902543" w:rsidRDefault="00663220" w:rsidP="00C74E13">
      <w:pPr>
        <w:autoSpaceDE w:val="0"/>
        <w:autoSpaceDN w:val="0"/>
        <w:adjustRightInd w:val="0"/>
        <w:spacing w:line="480" w:lineRule="auto"/>
        <w:jc w:val="both"/>
        <w:rPr>
          <w:sz w:val="22"/>
          <w:szCs w:val="22"/>
          <w:lang w:val="en-US"/>
        </w:rPr>
      </w:pPr>
      <w:r w:rsidRPr="00902543">
        <w:rPr>
          <w:b/>
          <w:bCs/>
          <w:sz w:val="22"/>
          <w:szCs w:val="22"/>
        </w:rPr>
        <w:t>Discussion</w:t>
      </w:r>
    </w:p>
    <w:p w14:paraId="464BB22A" w14:textId="47DB32FB"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lastRenderedPageBreak/>
        <w:t xml:space="preserve">The Banda Aceh FKUB’s conceptualization of religious moderation—articulated through the principles of </w:t>
      </w:r>
      <w:proofErr w:type="spellStart"/>
      <w:r w:rsidRPr="00902543">
        <w:rPr>
          <w:i/>
          <w:iCs/>
          <w:sz w:val="22"/>
          <w:szCs w:val="22"/>
          <w:lang w:val="en-US"/>
        </w:rPr>
        <w:t>Tawassuth</w:t>
      </w:r>
      <w:proofErr w:type="spellEnd"/>
      <w:r w:rsidRPr="00902543">
        <w:rPr>
          <w:sz w:val="22"/>
          <w:szCs w:val="22"/>
          <w:lang w:val="en-US"/>
        </w:rPr>
        <w:t xml:space="preserve">, </w:t>
      </w:r>
      <w:proofErr w:type="spellStart"/>
      <w:r w:rsidRPr="00902543">
        <w:rPr>
          <w:i/>
          <w:iCs/>
          <w:sz w:val="22"/>
          <w:szCs w:val="22"/>
          <w:lang w:val="en-US"/>
        </w:rPr>
        <w:t>Tasamuh</w:t>
      </w:r>
      <w:proofErr w:type="spellEnd"/>
      <w:r w:rsidRPr="00902543">
        <w:rPr>
          <w:sz w:val="22"/>
          <w:szCs w:val="22"/>
          <w:lang w:val="en-US"/>
        </w:rPr>
        <w:t xml:space="preserve">, </w:t>
      </w:r>
      <w:proofErr w:type="spellStart"/>
      <w:r w:rsidRPr="00902543">
        <w:rPr>
          <w:i/>
          <w:iCs/>
          <w:sz w:val="22"/>
          <w:szCs w:val="22"/>
          <w:lang w:val="en-US"/>
        </w:rPr>
        <w:t>Tawazun</w:t>
      </w:r>
      <w:proofErr w:type="spellEnd"/>
      <w:r w:rsidRPr="00902543">
        <w:rPr>
          <w:sz w:val="22"/>
          <w:szCs w:val="22"/>
          <w:lang w:val="en-US"/>
        </w:rPr>
        <w:t xml:space="preserve">, </w:t>
      </w:r>
      <w:r w:rsidRPr="00902543">
        <w:rPr>
          <w:i/>
          <w:iCs/>
          <w:sz w:val="22"/>
          <w:szCs w:val="22"/>
          <w:lang w:val="en-US"/>
        </w:rPr>
        <w:t>I’tidal</w:t>
      </w:r>
      <w:r w:rsidRPr="00902543">
        <w:rPr>
          <w:sz w:val="22"/>
          <w:szCs w:val="22"/>
          <w:lang w:val="en-US"/>
        </w:rPr>
        <w:t xml:space="preserve">, and </w:t>
      </w:r>
      <w:proofErr w:type="spellStart"/>
      <w:r w:rsidRPr="00902543">
        <w:rPr>
          <w:i/>
          <w:iCs/>
          <w:sz w:val="22"/>
          <w:szCs w:val="22"/>
          <w:lang w:val="en-US"/>
        </w:rPr>
        <w:t>Musawah</w:t>
      </w:r>
      <w:proofErr w:type="spellEnd"/>
      <w:r w:rsidRPr="00902543">
        <w:rPr>
          <w:sz w:val="22"/>
          <w:szCs w:val="22"/>
          <w:lang w:val="en-US"/>
        </w:rPr>
        <w:t xml:space="preserve">—clearly echoes the official narrative of the Ministry of Religious Affairs and the broader discourse on </w:t>
      </w:r>
      <w:proofErr w:type="spellStart"/>
      <w:r w:rsidRPr="00902543">
        <w:rPr>
          <w:i/>
          <w:iCs/>
          <w:sz w:val="22"/>
          <w:szCs w:val="22"/>
          <w:lang w:val="en-US"/>
        </w:rPr>
        <w:t>Wasathiyah</w:t>
      </w:r>
      <w:proofErr w:type="spellEnd"/>
      <w:r w:rsidRPr="00902543">
        <w:rPr>
          <w:i/>
          <w:iCs/>
          <w:sz w:val="22"/>
          <w:szCs w:val="22"/>
          <w:lang w:val="en-US"/>
        </w:rPr>
        <w:t xml:space="preserve"> Islam</w:t>
      </w:r>
      <w:r w:rsidRPr="00902543">
        <w:rPr>
          <w:sz w:val="22"/>
          <w:szCs w:val="22"/>
          <w:lang w:val="en-US"/>
        </w:rPr>
        <w:t xml:space="preserve">. However, based on field data, these five principles are not merely reproduced but are reinterpreted in light of Aceh’s unique socio-religious context. This indicates that policy implementation is not a mechanical process, but rather a dynamic one that adapts to local social and cultural realities. From the perspective of </w:t>
      </w:r>
      <w:r w:rsidRPr="00902543">
        <w:rPr>
          <w:i/>
          <w:iCs/>
          <w:sz w:val="22"/>
          <w:szCs w:val="22"/>
          <w:lang w:val="en-US"/>
        </w:rPr>
        <w:t>street-level bureaucracy</w:t>
      </w:r>
      <w:r w:rsidRPr="00902543">
        <w:rPr>
          <w:sz w:val="22"/>
          <w:szCs w:val="22"/>
          <w:lang w:val="en-US"/>
        </w:rPr>
        <w:t xml:space="preserve"> theory</w:t>
      </w:r>
      <w:r w:rsidR="00AD7F4D">
        <w:rPr>
          <w:sz w:val="22"/>
          <w:szCs w:val="22"/>
          <w:lang w:val="en-US"/>
        </w:rPr>
        <w:t xml:space="preserve"> </w:t>
      </w:r>
      <w:r w:rsidRPr="00902543">
        <w:rPr>
          <w:sz w:val="22"/>
          <w:szCs w:val="22"/>
          <w:lang w:val="en-US"/>
        </w:rPr>
        <w:t xml:space="preserve">and </w:t>
      </w:r>
      <w:r w:rsidRPr="00902543">
        <w:rPr>
          <w:i/>
          <w:iCs/>
          <w:sz w:val="22"/>
          <w:szCs w:val="22"/>
          <w:lang w:val="en-US"/>
        </w:rPr>
        <w:t>policy translation</w:t>
      </w:r>
      <w:r w:rsidRPr="00902543">
        <w:rPr>
          <w:sz w:val="22"/>
          <w:szCs w:val="22"/>
          <w:lang w:val="en-US"/>
        </w:rPr>
        <w:t xml:space="preserve"> theory</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{"citationItems":[{"id":"ITEM-1","itemData":{"ISBN":"9781506338781","author":[{"dropping-particle":"","family":"Czarniawska","given":"B","non-dropping-particle":"","parse-names":false,"suffix":""}],"collection-title":"Qualitative Research Methods","id":"ITEM-1","issued":{"date-parts":[["1997"]]},"publisher":"SAGE Publications","title":"A Narrative Approach to Organization Studies","type":"book"},"uris":["http://www.mendeley.com/documents/?uuid=e90df730-5394-4b2f-8aa4-e23654e29edc"]},{"id":"ITEM-2","itemData":{"DOI":"10.4337/9781784717025.00015","author":[{"dropping-particle":"","family":"Drori","given":"Gili S","non-dropping-particle":"","parse-names":false,"suffix":""}],"container-title":"A Research Agenda for Management and Organization Studies","id":"ITEM-2","issued":{"date-parts":[["2016","8","26"]]},"publisher":"Edward Elgar Publishing","title":"Global and comparative studies of organization and management: moving from ‘sameness or difference’ to ‘glocalization and orientation’","type":"chapter"},"uris":["http://www.mendeley.com/documents/?uuid=6c517276-1753-3184-9b81-462563d684d2"]}],"mendeley":{"formattedCitation":"(Czarniawska, 1997; Drori, 2016)","plainTextFormattedCitation":"(Czarniawska, 1997; Drori, 2016)","previouslyFormattedCitation":"(Czarniawska, 1997; Drori, 2016)"},"properties":{"noteIndex":0},"schema":"https://github.com/citation-style-language/schema/raw/master/csl-citation.json"}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(Czarniawska, 1997; Drori, 2016)</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this phenomenon can be viewed as a form of policy “translation” by local implementers. In this sense, the FKUB functions not only as an extension of national policy but also as a mediator that reframes moderation messages to resonate with Aceh’s dominant values. This reflects broader global patterns where local religious actors reinterpret state-promoted religious norms to negotiate legitimacy in their specific socio-political contexts</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{"citationItems":[{"id":"ITEM-1","itemData":{"DOI":"10.1186/s41018-021-00113-8","ISSN":"2364-3412","abstract":"Localisation, as it aims to shift power in the humanitarian system, will involve the increased inclusion of local faith actors, those national and local faith-affiliated groups and organisations that are often first, and last, responders in crises and have been responding in humanitarian contexts for many years, but often in parallel to humanitarian coordination mechanisms. In primary research in South Sudan with local faith actors and international humanitarian actors, this article aims to examine the inroads and barriers to local faith actor involvement in the humanitarian system and the realisation of localisation with local actors such as these. The research is based on an ethnographic study in which researchers were imbedded in a humanitarian project that aimed to help bridge divides between local faith actors and the international humanitarian system. The findings are based on one-on-one and group interviews with 89 participants from a range of international and local, and faith and secular, organisations. Findings indicate that local faith actors are active in responding to crises and want to be linked to the humanitarian system, but they feel distanced from it and pigeonholed as local faith actors. Formalisation through the appropriate registration systems and then training and networking with the humanitarian system helped them build legitimacy and feel confident to participate in humanitarian coordination. International humanitarian actors can help bridge barriers by understanding and connecting with the local faith actors and challenging their own assumptions about who local faith actors are.","author":[{"dropping-particle":"","family":"Wilkinson","given":"Olivia","non-dropping-particle":"","parse-names":false,"suffix":""},{"dropping-particle":"","family":"Logo","given":"Kuyang Harriet","non-dropping-particle":"","parse-names":false,"suffix":""},{"dropping-particle":"","family":"Tomalin","given":"Emma","non-dropping-particle":"","parse-names":false,"suffix":""},{"dropping-particle":"","family":"Anthony","given":"Wani Laki","non-dropping-particle":"","parse-names":false,"suffix":""},{"dropping-particle":"","family":"Wolf","given":"Florine","non-dropping-particle":"De","parse-names":false,"suffix":""},{"dropping-particle":"","family":"Kurien","given":"Asha","non-dropping-particle":"","parse-names":false,"suffix":""}],"container-title":"Journal of International Humanitarian Action","id":"ITEM-1","issue":"1","issued":{"date-parts":[["2022","12","11"]]},"page":"4","title":"Faith in localisation? The experiences of local faith actors engaging with the international humanitarian system in South Sudan","type":"article-journal","volume":"7"},"uris":["http://www.mendeley.com/documents/?uuid=c55d7b66-92ef-4a82-a783-22b5b1d9c039"]},{"id":"ITEM-2","itemData":{"DOI":"10.24260/alalbab.v4i2.292","ISSN":"2502-8340","abstract":"This paper, in general, discusses the relation between the state and local religions in Indonesia. There is no doubt that Indonesia is one of the countries which has local religions or beliefs with a considerable number of followers, so that the state needs to protect of the followers of these religions. However, after the passing of the government regulation on the recognition of particular official religions in the country, various issues related to formally unrecognized religions began to emerge, including discrimination by the government, especially in administrative matters, as well as social discrimination by the community that denies their existence. Various methods are used by the state to minimize the discriminatory attitudes by issuing multiple regulations and policies, but still it is not considered satisfactory to satisfy all parties, especially those who have been discriminated.","author":[{"dropping-particle":"","family":"Fasya","given":"Adib ‘Aunillah","non-dropping-particle":"","parse-names":false,"suffix":""},{"dropping-particle":"","family":"Ahmad","given":"Alif Al Hilal","non-dropping-particle":"","parse-names":false,"suffix":""},{"dropping-particle":"","family":"Arifianto","given":"Muhammad Lukman","non-dropping-particle":"","parse-names":false,"suffix":""},{"dropping-particle":"","family":"Zainurrakhmah","given":"Zainurrakhmah","non-dropping-particle":"","parse-names":false,"suffix":""}],"container-title":"Al-Albab","id":"ITEM-2","issue":"2","issued":{"date-parts":[["2015","12","1"]]},"title":"The Dynamics of Relation Between The State and Local Religions in Indonesia: Between Idealism and Reality","type":"article-journal","volume":"4"},"uris":["http://www.mendeley.com/documents/?uuid=19f0231d-1fe7-44a0-b583-dced11d12a2f"]},{"id":"ITEM-3","itemData":{"DOI":"10.1163/18710328-BJA10003","ISSN":"1871-031X","abstract":"The landscape of freedom of religion or belief (FoRB) in Indonesia has been shaped by two elements: first, the progressive adoption of human rights in the new laws and amended constitution, as a result of the democratization which started in 1998; second, the old governance of religion which acknowledges limited religious pluralism and emphasizes harmony over freedom. A striking feature resulting from this combination is the addition of “religious values” as a ground of FoRB limitation in the new chapter on human rights in the amended Constitution, which otherwise draws its inspiration from the ICCPR and other international human rights covenants. Indonesian “public order” and “public morals” are understood to consist of, among other things, respect and protection of religious values. While the emphasis on religious values and public order produces most restrictions, when it comes to limitations to FoRB on grounds of public health, the government seems reluctant to impose necessary restrictions.","author":[{"dropping-particle":"","family":"Bagir","given":"Zainal Abidin","non-dropping-particle":"","parse-names":false,"suffix":""},{"dropping-particle":"","family":"Asfinawati","given":"","non-dropping-particle":"","parse-names":false,"suffix":""},{"dropping-particle":"","family":"Suhadi","given":"","non-dropping-particle":"","parse-names":false,"suffix":""},{"dropping-particle":"","family":"Arianingtyas","given":"Renata","non-dropping-particle":"","parse-names":false,"suffix":""}],"container-title":"Religion &amp; Human Rights","id":"ITEM-3","issue":"1-2","issued":{"date-parts":[["2020","4","23"]]},"page":"39-56","title":"Limitations to Freedom of Religion or Belief in Indonesia: Norms and Practices","type":"article-journal","volume":"15"},"uris":["http://www.mendeley.com/documents/?uuid=82852813-219c-4879-97c3-eea8e779c969"]}],"mendeley":{"formattedCitation":"(Bagir et al., 2020; Fasya et al., 2015; Wilkinson et al., 2022)","plainTextFormattedCitation":"(Bagir et al., 2020; Fasya et al., 2015; Wilkinson et al., 2022)","previouslyFormattedCitation":"(Bagir et al., 2020; Fasya et al., 2015; Wilkinson et al., 2022)"},"properties":{"noteIndex":0},"schema":"https://github.com/citation-style-language/schema/raw/master/csl-citation.json"}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(Bagir et al., 2020; Fasya et al., 2015; Wilkinson et al., 2022)</w:t>
      </w:r>
      <w:r w:rsidR="00876B52" w:rsidRPr="00902543">
        <w:rPr>
          <w:sz w:val="22"/>
          <w:szCs w:val="22"/>
          <w:vertAlign w:val="superscript"/>
        </w:rPr>
        <w:fldChar w:fldCharType="end"/>
      </w:r>
      <w:r w:rsidR="00AD7F4D">
        <w:rPr>
          <w:sz w:val="22"/>
          <w:szCs w:val="22"/>
          <w:lang w:val="en-US"/>
        </w:rPr>
        <w:t xml:space="preserve">. </w:t>
      </w:r>
    </w:p>
    <w:p w14:paraId="60FEBCE3" w14:textId="28FD2B13"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 xml:space="preserve">The use of classical Islamic terminology—and more importantly, the framing of moderation as something intrinsic and compatible with Sharia (as </w:t>
      </w:r>
      <w:proofErr w:type="spellStart"/>
      <w:r w:rsidRPr="00902543">
        <w:rPr>
          <w:i/>
          <w:iCs/>
          <w:sz w:val="22"/>
          <w:szCs w:val="22"/>
          <w:lang w:val="en-US"/>
        </w:rPr>
        <w:t>rahmatan</w:t>
      </w:r>
      <w:proofErr w:type="spellEnd"/>
      <w:r w:rsidRPr="00902543">
        <w:rPr>
          <w:i/>
          <w:iCs/>
          <w:sz w:val="22"/>
          <w:szCs w:val="22"/>
          <w:lang w:val="en-US"/>
        </w:rPr>
        <w:t xml:space="preserve"> </w:t>
      </w:r>
      <w:proofErr w:type="spellStart"/>
      <w:r w:rsidRPr="00902543">
        <w:rPr>
          <w:i/>
          <w:iCs/>
          <w:sz w:val="22"/>
          <w:szCs w:val="22"/>
          <w:lang w:val="en-US"/>
        </w:rPr>
        <w:t>lil</w:t>
      </w:r>
      <w:proofErr w:type="spellEnd"/>
      <w:r w:rsidRPr="00902543">
        <w:rPr>
          <w:i/>
          <w:iCs/>
          <w:sz w:val="22"/>
          <w:szCs w:val="22"/>
          <w:lang w:val="en-US"/>
        </w:rPr>
        <w:t xml:space="preserve"> ‘</w:t>
      </w:r>
      <w:proofErr w:type="spellStart"/>
      <w:r w:rsidRPr="00902543">
        <w:rPr>
          <w:i/>
          <w:iCs/>
          <w:sz w:val="22"/>
          <w:szCs w:val="22"/>
          <w:lang w:val="en-US"/>
        </w:rPr>
        <w:t>alamin</w:t>
      </w:r>
      <w:proofErr w:type="spellEnd"/>
      <w:r w:rsidRPr="00902543">
        <w:rPr>
          <w:sz w:val="22"/>
          <w:szCs w:val="22"/>
          <w:lang w:val="en-US"/>
        </w:rPr>
        <w:t xml:space="preserve">, or a mercy to all creation)—can be seen as a key strategy in this process of translation. It is a discursive effort to gain local legitimacy and counter potential resistance that might view moderation as a threat to Aceh’s strong Islamic identity. Nevertheless, the depth of this synthesis deserves further scrutiny. There remains a question as to whether this framing of moderation can fully resolve tensions between the universal principle of </w:t>
      </w:r>
      <w:proofErr w:type="spellStart"/>
      <w:r w:rsidRPr="00902543">
        <w:rPr>
          <w:i/>
          <w:iCs/>
          <w:sz w:val="22"/>
          <w:szCs w:val="22"/>
          <w:lang w:val="en-US"/>
        </w:rPr>
        <w:t>Musawah</w:t>
      </w:r>
      <w:proofErr w:type="spellEnd"/>
      <w:r w:rsidRPr="00902543">
        <w:rPr>
          <w:sz w:val="22"/>
          <w:szCs w:val="22"/>
          <w:lang w:val="en-US"/>
        </w:rPr>
        <w:t xml:space="preserve"> (equality) and certain interpretations or implementations of Sharia that may be perceived differently by minority groups. For instance, some studies showed that the integration of Sharia law into Aceh's legal framework has led to tensions with human rights principles, particularly concerning non-Muslim communities</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{"citationItems":[{"id":"ITEM-1","itemData":{"DOI":"10.15575/IJNI.V12I2.44815","ISSN":"2355-651X","abstract":"The integration of Islamic law into Indonesia's national legal system continues to provoke significant constitutional and institutional discourse, particularly in the case of Aceh's Sharia Court (Mahkamah Syariah). Established under the special autonomy granted by Article 18 B of the 1945 Constitution, the court implemented Qanun Jinayat, an Islamic criminal code that operates within the national legal framework. This unique judicial structure highlights Indonesia's commitment to legal pluralism, while simultaneously exposing tensions between Islamic norms, human rights principles, and national legislative coherence. This study examined the legal status, institutional authority, and normative functions of the Syaria Court through the lens of constitutional law and legal pluralism. It adopts a normative legal research methodology that combines deductive reasoning, historical analysis, and case studies, and is supported by statutory documents, judicial rulings, and relevant literature. By framing the court as a hybrid institution shaped by regional autonomy and national oversight, this article offers a conceptual model of functional recognition, rather than hierarchical subordination. The findings reveal that Mahkamah Syaria exercises jurisdiction over both civil and criminal matters based on Islamic law. However, challenges remain in harmonising procedural standards, ensuring legal certainty, and accommodating plural citizenship, particularly in cases involving non-Muslim minorities. Despite these tensions, courts play a growing role in mediating religious legal traditions and constitutional imperatives. This article contributes to the broader academic discourse on judicial hybridity in decentralised states. It provides a new perspective on the adaptive function of religious courts within democratic legal systems, and proposes pathways for strengthening integration without eroding institutional pluralism.","author":[{"dropping-particle":"","family":"Ulum","given":"Miftahul","non-dropping-particle":"","parse-names":false,"suffix":""},{"dropping-particle":"","family":"Muazzaroh","given":"Faizatul","non-dropping-particle":"","parse-names":false,"suffix":""},{"dropping-particle":"","family":"Mahmudah","given":"Mahmudah","non-dropping-particle":"","parse-names":false,"suffix":""},{"dropping-particle":"","family":"Maghfur","given":"Ifdlolul","non-dropping-particle":"","parse-names":false,"suffix":""},{"dropping-particle":"","family":"Ahmad","given":"Ahmad","non-dropping-particle":"","parse-names":false,"suffix":""}],"container-title":"International Journal of Nusantara Islam","id":"ITEM-1","issue":"2","issued":{"date-parts":[["2024"]]},"page":"276-285","title":"Islamic Studies Update: Examining the Sharia Court in Aceh in the Perspective of Legislation in Indonesia","type":"article-journal","volume":"12"},"uris":["http://www.mendeley.com/documents/?uuid=cf13c508-a2be-37e9-991a-c739bf002eb9"]}],"mendeley":{"formattedCitation":"(Ulum et al., 2024)","plainTextFormattedCitation":"(Ulum et al., 2024)","previouslyFormattedCitation":"(Ulum et al.,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(Ulum et al., 2024)</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Other research highlighted controversies surrounding the legislative process, indicating that the implementation of Qanun often has uneven impacts across societal segments</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{"citationItems":[{"id":"ITEM-1","itemData":{"DOI":"10.22373/petita.v9i1.224","ISSN":"2549-8274","abstract":"The purpose of this study is to reveal the sharia compliance of the halal tourism business in Bandung Regency, where halal tourism in its implementation must be carried out by prioritizing the principles of Islamic business ethics (Professional Ethics), meaning it must submissive (obedient) in a syar'i, by prioritizing Islamic services with the aim of providing comfort for Muslim tourists in particular. In addition, the principles of Islamic service are expected to be able to realize professional ethics in doing business in an Islamic way, especially in carrying out halal tourism activities, especially for tourism industry players in Bandung Regency. This literature review uses the theory of Islamic business ethics as coined by Hamid Salam and Abdalla Hanafi including: a) Ethics to always convey the truth; b) Ethics to be trusted; c) Ethics to do something sincerely; d) Brotherhood ethics; e) Mastery of science; f) Ethics of Justice. The findings of this study are the principles of Islamic business ethics (professional ethics) in the implementation of the halal tourism business in Bandung Regency referring to the Bandung Regency Regional Regulation (Perda) Number 6 of 2020 concerning Halal Tourism, where there are several principles that must be met in running tourism. Halal in Bandung district which includes: a). set as needed; b). facilitate; c). according to ability; d). gradually; e). priority scale; and f). Inclusive. In addition, there is the concept of the Code of Ethics for Tourism (GCET) or the Global Tourism Code of Ethics as a reference for sustainable tourism development in Bandung Regency which includes economic, social, cultural, and environmental components. This is because Indonesia is not an Islamic country but a country where the majority of the population is Muslim, so it is necessary to prioritize the values of Rahmatan lil 'Alamin in business (muamalah), especially in terms of additional service activities in halal tourism in Bandung Regency. In addition, indicators of sharia compliance in halal tourism in Bandung district are referring to 2 regulations, namely local regulations (perda) Bandung district number 6 of 2020 concerning halal tourism, and DSN-MUI fatwa No: 108/DSN-MUI/2016 concerning guidelines for tourism implementation based on sharia principles.","author":[{"dropping-particle":"","family":"Solehudin","given":"Ending","non-dropping-particle":"","parse-names":false,"suffix":""},{"dropping-particle":"","family":"Ahyani","given":"Hisam","non-dropping-particle":"","parse-names":false,"suffix":""}],"container-title":"PETITA: JURNAL KAJIAN ILMU HUKUM DAN SYARIAH","id":"ITEM-1","issue":"1","issued":{"date-parts":[["2024","1","29"]]},"title":"Legal Compliance on Sharia Economics in Halal Tourism Regulations","type":"article-journal","volume":"9"},"uris":["http://www.mendeley.com/documents/?uuid=c01d9b10-c0b9-4a7e-9283-12178aa691a8"]}],"mendeley":{"formattedCitation":"(Solehudin &amp; Ahyani, 2024)","plainTextFormattedCitation":"(Solehudin &amp; Ahyani, 2024)","previouslyFormattedCitation":"(Solehudin &amp; Ahyani,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(Solehudin &amp; Ahyani, 2024)</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 xml:space="preserve">Additionally, findings on the constitutionality of Islamic law underscore the persistent need for equitable mechanisms to ensure fairness for all citizens, </w:t>
      </w:r>
      <w:r w:rsidRPr="00902543">
        <w:rPr>
          <w:sz w:val="22"/>
          <w:szCs w:val="22"/>
          <w:lang w:val="en-US"/>
        </w:rPr>
        <w:lastRenderedPageBreak/>
        <w:t>including minorities</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{"citationItems":[{"id":"ITEM-1","itemData":{"DOI":"10.31078/jk1638","ISSN":"2548-1657","abstract":"Salah satu point penting yang diatur dalam perjanjian Helsinki terkait dengan penegakan hukum di Aceh adalah diberlakukannya Qanun dengan tujuan untuk menghormati tradisi sejarah Islam dan adat istiadat rakyat Aceh yang mayoritas muslim. Selain itu, untuk mensinergikan antara Qanun dengan pengadilan, maka di Provinsi Aceh dibentuk suatu sistem peradilan Syar’iyah yang tidak memihak dan independen, termasuk pengadilan tinggi yang tetap merupakan bagian dari sistem peradilan Republik Indonesia. Pembentukan Pengadilan Syar’iyah di Provinsi Aceh merupakan salah satu upaya untuk membuat kekhususan sebagaimana diatur dalam perjanjian Helsinki pada tahun 2005. Namun, dalam dataran teknis pengaturan manajemen pengadilan Syar’iyah juga masih terkendala khususnya oleh karena adanya dua aturan hukum yang berlaku yaitu Qanun yang dibuat oleh Dewan Perwakilam Rakyat Daerah Provinsi Aceh dan undang-undang yang dibuat oleh Dewan Perwakilan Rakyat beserta Presiden. Hal tersebut berakibat Undang-Undang Pemerintahan Aceh yang mengatur tentang teknis pengaturan pengadilan Syar’iyah dan pembuatan Qanun juga banyak di lakukan judicial review ke Mahkamah Konstitusi. Tulisan ini bertujuan untuk melakukan analisa tentang efektifitas pemberlakukan Qanun dan pengadilan Syar’iyah di Provinsi Aceh pasca di undangkannya Undang-Undang Pemerintahan Aceh. Adapun tulisan ini dibuat dengan menggunakan metode penulisan normatif dengan pendekatan studi historis dan pendekatan studi kasus. Hasil penelitian menunjukkan bahwa pengadilan Syar’iyah yang telah dibentuk di Provinsi Aceh meski pada awalnya mengalami kendala namun dapat berjalan baik. Adanya kekhususan yang diberikan kepada Provinsi Aceh merupakan bagian dari upaya untuk menjalankan amanat konstitusi khususnya Pasal 18B UUD 1945.Kata kunci: Qanun, Pemerintahan Aceh, Mahkamah Syar’iyah, Mahkamah Konstitusi. Abstract One crucial point stipulated in the Helsinki agreement related to law enforcement in Aceh is the enactment of the Qanun with the aim of respecting Islamic historical traditions and the customs of the Acehnese people who are predominantly Muslim. Besides, to synergise between the Qanun and the court, in the Province of Aceh a Syar'iyah justice system was formed which was impartial and independent, including a high court which remained part of the judicial system of the Republic of Indonesia. The establishment of the Shariah Law in Aceh Province was one of the efforts to make it specific as stipulated in the Helsinki agre…","author":[{"dropping-particle":"","family":"Adhani","given":"Hani","non-dropping-particle":"","parse-names":false,"suffix":""}],"container-title":"Jurnal Konstitusi","id":"ITEM-1","issue":"3","issued":{"date-parts":[["2019","10","8"]]},"page":"606","title":"Menakar Konstitusionalitas Syari’at Islam dan Mahkamah Syar’iyah di Provinsi Aceh","type":"article-journal","volume":"16"},"uris":["http://www.mendeley.com/documents/?uuid=0eabfe11-6d0e-42e4-8eb0-8401ef90cff9"]}],"mendeley":{"formattedCitation":"(Adhani, 2019)","plainTextFormattedCitation":"(Adhani, 2019)","previouslyFormattedCitation":"(Adhani, 2019)"},"properties":{"noteIndex":0},"schema":"https://github.com/citation-style-language/schema/raw/master/csl-citation.json"}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(Adhani, 2019)</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This condition points to the need to critically assess whether the current framing strategy is sufficient to achieve substantive equality.</w:t>
      </w:r>
    </w:p>
    <w:p w14:paraId="27A1432F" w14:textId="050BACE8"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Moreover, recent studies on the politics of religious moderation in Indonesia highlight how the concept of moderation itself has become a contested space of meaning and political interest</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{"citationItems":[{"id":"ITEM-1","itemData":{"DOI":"10.24260/alalbab.v12i1.2619","ISSN":"2502-8340","abstract":"This paper aims to explore the concept of religious moderation across Islamic history within Indonesian context. The method used is qualitative with a historical approach. The historical approach is used to reformulate the concept of religious moderation in modern times and classical times. The results showed that religious moderation in modern times correlates with religious moderation in classical times. Although the term religious moderation was only promoted by the Ministry of Religious Affairs of Indonesia in 2019, in terms of practice it has been carried out by the Prophet who was then continued by the companions and the people after him. Classical and modern religious moderation both focus on establishing harmonious and peaceful social relations with people of different religions. However, there are some differences between modern and classical moderation, namely: First, in modern times religious moderation is focused on improving and maintaining relations between Muslims and people of other religions by providing several indicators related to this. Whereas in the classical period, this religious moderation focused on their freedom to embrace their religion without any coercion to convert to Islam. Second, in modern times the term moderation is used in the hope of being an antidote to the many conflicts, while in classical times religious moderation was practiced by the Prophet to serve as an example for the companions and subsequent people. Third, the practice of religious moderation in terms of tolerance towards people of other religions in modern times looks very tolerant by congratulating each other on the holidays of other religions, while in classical times religious moderation only centred on giving them the freedom to choose their religion and carry out their religious worship.","author":[{"dropping-particle":"","family":"Hakim","given":"Lukmanul","non-dropping-particle":"","parse-names":false,"suffix":""},{"dropping-particle":"","family":"Meria","given":"Aziza","non-dropping-particle":"","parse-names":false,"suffix":""},{"dropping-particle":"","family":"Suryadinata","given":"Sartika","non-dropping-particle":"","parse-names":false,"suffix":""}],"container-title":"Al-Albab","id":"ITEM-1","issue":"1","issued":{"date-parts":[["2023","6","27"]]},"page":"95-112","title":"Religious Moderation in Indonesian Context","type":"article-journal","volume":"12"},"uris":["http://www.mendeley.com/documents/?uuid=582c47cd-dd90-4d9b-b89a-43bfd9712025"]},{"id":"ITEM-2","itemData":{"DOI":"10.32729/edukasi.v22i1.1832","ISSN":"2580-247X","abstract":"Religious moderation has been a government policy since 2015, aimed at countering radicalism and extremism. However, the hierarchical implementation of the program has led to the labeling of \"moderate\" and \"conservative\", and the policy's understanding remains unclear among the community, especially the middle class and youth. Despite the government's campaign, intolerance persists. This research aims to review the religious moderation policy and explore how urban Muslim youths could contribute to religious moderation education. The method involves in-depth interviews with urban Muslim youths in Manado and Semarang and critical analysis of relevant documents. The findings suggest that urban Muslim youths prioritize religious moderation through intensive dialogue and gatherings. Current educational practices should incorporate these informal approaches to be more effective. The inclusion of urban Muslim youths in religious moderation education appears to be a promising way to encourage religious moderation in Indonesia. This highlights the need for religious moderation implementation to be responsive to public aspirations.","author":[{"dropping-particle":"","family":"Jati","given":"Wasisto","non-dropping-particle":"","parse-names":false,"suffix":""},{"dropping-particle":"","family":"Bachtiar","given":"Hasnan","non-dropping-particle":"","parse-names":false,"suffix":""}],"container-title":"EDUKASI: Jurnal Penelitian Pendidikan Agama dan Keagamaan","id":"ITEM-2","issue":"1","issued":{"date-parts":[["2024","4","30"]]},"page":"153-166","title":"Redefining Religious Moderation Education for Urban Muslim Youth","type":"article-journal","volume":"22"},"uris":["http://www.mendeley.com/documents/?uuid=74b2961f-5c65-4f12-a4f5-3fedc8cfa11e"]}],"mendeley":{"formattedCitation":"(Hakim et al., 2023; Jati &amp; Bachtiar, 2024)","plainTextFormattedCitation":"(Hakim et al., 2023; Jati &amp; Bachtiar, 2024)","previouslyFormattedCitation":"(Hakim et al., 2023; Jati &amp; Bachtiar,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(Hakim et al., 2023; Jati &amp; Bachtiar, 2024)</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 xml:space="preserve">In this regard, the Banda Aceh FKUB’s position—aligned with national narratives yet adapted to local norms—reflects the dual institutional role it plays as both a state-affiliated body and a local actor. This positioning may limit the FKUB’s critical capacity when compared to more independent civil society actors. The transition from national discourse to local adaptation illustrates not only the challenges of contextualizing policy but also the lack of space for free deliberation—suggesting a need for deeper and more context-sensitive adaptation strategies. </w:t>
      </w:r>
      <w:r w:rsidRPr="00902543">
        <w:rPr>
          <w:sz w:val="22"/>
          <w:szCs w:val="22"/>
        </w:rPr>
        <w:t>When compared to other Muslim-majority countries such as Malaysia, FKUB faces similar tensions in balancing moderate narratives with conservative pressures and minority rights. For instance, Muhamad Ali</w:t>
      </w:r>
      <w:r w:rsidR="00AD7F4D">
        <w:rPr>
          <w:sz w:val="22"/>
          <w:szCs w:val="22"/>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{"citationItems":[{"id":"ITEM-1","itemData":{"DOI":"10.1007/978-1-137-49932-5_9","author":[{"dropping-particle":"","family":"Ali","given":"Muhamad","non-dropping-particle":"","parse-names":false,"suffix":""}],"container-title":"Islam and International Relations","id":"ITEM-1","issued":{"date-parts":[["2016"]]},"page":"207-228","publisher":"Palgrave Macmillan UK","publisher-place":"London","title":"Malaysia’s Islam Hadhari and the Role of the Nation-State in International Relations","type":"chapter"},"uris":["http://www.mendeley.com/documents/?uuid=0f6442f6-4d4c-4d42-92d1-a3a6d83807ca"]}],"mendeley":{"formattedCitation":"(Ali, 2016)","manualFormatting":"2016)","plainTextFormattedCitation":"(Ali, 2016)","previouslyFormattedCitation":"(Ali, 2016)"},"properties":{"noteIndex":0},"schema":"https://github.com/citation-style-language/schema/raw/master/csl-citation.json"}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2016)</w:t>
      </w:r>
      <w:r w:rsidR="00876B52" w:rsidRPr="00902543">
        <w:rPr>
          <w:sz w:val="22"/>
          <w:szCs w:val="22"/>
          <w:vertAlign w:val="superscript"/>
        </w:rPr>
        <w:fldChar w:fldCharType="end"/>
      </w:r>
      <w:r w:rsidRPr="00902543">
        <w:rPr>
          <w:sz w:val="22"/>
          <w:szCs w:val="22"/>
        </w:rPr>
        <w:t xml:space="preserve"> in his studies</w:t>
      </w:r>
      <w:r w:rsidRPr="00902543">
        <w:rPr>
          <w:i/>
          <w:iCs/>
          <w:sz w:val="22"/>
          <w:szCs w:val="22"/>
        </w:rPr>
        <w:t xml:space="preserve"> </w:t>
      </w:r>
      <w:r w:rsidRPr="00902543">
        <w:rPr>
          <w:sz w:val="22"/>
          <w:szCs w:val="22"/>
        </w:rPr>
        <w:t xml:space="preserve">highlights how "Islam </w:t>
      </w:r>
      <w:proofErr w:type="spellStart"/>
      <w:r w:rsidRPr="00902543">
        <w:rPr>
          <w:sz w:val="22"/>
          <w:szCs w:val="22"/>
        </w:rPr>
        <w:t>Hadhari</w:t>
      </w:r>
      <w:proofErr w:type="spellEnd"/>
      <w:r w:rsidRPr="00902543">
        <w:rPr>
          <w:sz w:val="22"/>
          <w:szCs w:val="22"/>
        </w:rPr>
        <w:t>" was promoted as a progressive approach to Islam but encountered significant challenges in reconciling modernization aspirations with entrenched religious traditions. Similarly, Ratna Roshida Abd Razak et al.,</w:t>
      </w:r>
      <w:r w:rsidR="00AD7F4D">
        <w:rPr>
          <w:sz w:val="22"/>
          <w:szCs w:val="22"/>
        </w:rPr>
        <w:t xml:space="preserve"> </w:t>
      </w:r>
      <w:r w:rsidR="00876B52" w:rsidRPr="00902543">
        <w:rPr>
          <w:sz w:val="22"/>
          <w:szCs w:val="22"/>
          <w:vertAlign w:val="superscript"/>
        </w:rPr>
        <w:fldChar w:fldCharType="begin" w:fldLock="1"/>
      </w:r>
      <w:r w:rsidR="00AD7F4D">
        <w:rPr>
          <w:sz w:val="22"/>
          <w:szCs w:val="22"/>
        </w:rPr>
        <w:instrText>ADDIN CSL_CITATION {"citationItems":[{"id":"ITEM-1","itemData":{"ISSN":"1985-6830","author":[{"dropping-particle":"","family":"Ratna Roshida Abd Razak","given":"","non-dropping-particle":"","parse-names":false,"suffix":""},{"dropping-particle":"","family":"Muhammad Hasrul Zakariah","given":"","non-dropping-particle":"","parse-names":false,"suffix":""}],"container-title":"Jurnal Hadhari","id":"ITEM-1","issue":"1","issued":{"date-parts":[["2010"]]},"page":"1-21","title":"Islam Hadhari : Apa Dan Kenapa","type":"article-journal","volume":"2"},"uris":["http://www.mendeley.com/documents/?uuid=9368a946-d426-32bd-b12b-c0eb334030a4"]}],"mendeley":{"formattedCitation":"(Ratna Roshida Abd Razak &amp; Muhammad Hasrul Zakariah, 2010)","manualFormatting":"(2010)","plainTextFormattedCitation":"(Ratna Roshida Abd Razak &amp; Muhammad Hasrul Zakariah, 2010)","previouslyFormattedCitation":"(Ratna Roshida Abd Razak &amp; Muhammad Hasrul Zakariah, 2010)"},"properties":{"noteIndex":0},"schema":"https://github.com/citation-style-language/schema/raw/master/csl-citation.json"}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(2010)</w:t>
      </w:r>
      <w:r w:rsidR="00876B52" w:rsidRPr="00902543">
        <w:rPr>
          <w:sz w:val="22"/>
          <w:szCs w:val="22"/>
          <w:vertAlign w:val="superscript"/>
        </w:rPr>
        <w:fldChar w:fldCharType="end"/>
      </w:r>
      <w:r w:rsidRPr="00902543">
        <w:rPr>
          <w:sz w:val="22"/>
          <w:szCs w:val="22"/>
        </w:rPr>
        <w:t xml:space="preserve"> emphasize the societal reactions and ambiguities surrounding its implementation, reflecting broader struggles in achieving inclusivity. These examples underscore the need for FKUB’s moderation strategies to remain sensitive to local identity while aligning with broader national policy frameworks.</w:t>
      </w:r>
    </w:p>
    <w:p w14:paraId="709B1912" w14:textId="7621BB8B"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At the level of implementation, the finding that elite-level religious dialogue serves as the “heart” of FKUB’s efforts (as described by the Chairperson) deserves closer analysis. While dialogue is a standard peacebuilding strategy, its effectiveness often hinges on the quality of interaction. According to intergroup contact theory</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{"citationItems":[{"id":"ITEM-1","itemData":{"abstract":"Without the sacrifice of scientific accuracy, the author has attempted to present in a readable form the literature on group prejudice. The 31 chapters of this book are organized around 8 main topics: preferential thinking, group differences, perceiving and thinking about group differences, sociocultural factors, acquiring prejudice, dynamics of prejudice, character structure, and reducing group tensions. (PsycINFO Database Record (c) 2016 APA, all rights reserved)","author":[{"dropping-particle":"","family":"Allport","given":"Gordon W","non-dropping-particle":"","parse-names":false,"suffix":""}],"container-title":"The nature of prejudice.","id":"ITEM-1","issued":{"date-parts":[["1954"]]},"number-of-pages":"xviii, 537-xviii, 537","publisher":"Addison-Wesley","publisher-place":"Oxford,  England","title":"The nature of prejudice.","type":"book"},"uris":["http://www.mendeley.com/documents/?uuid=26cecd4d-7d22-4ff2-af7d-fe6e4fb27314"]},{"id":"ITEM-2","itemData":{"DOI":"10.1037/0022-3514.90.5.751","ISSN":"1939-1315","author":[{"dropping-particle":"","family":"Pettigrew","given":"Thomas F.","non-dropping-particle":"","parse-names":false,"suffix":""},{"dropping-particle":"","family":"Tropp","given":"Linda R.","non-dropping-particle":"","parse-names":false,"suffix":""}],"container-title":"Journal of Personality and Social Psychology","id":"ITEM-2","issue":"5","issued":{"date-parts":[["2006"]]},"page":"751-783","title":"A meta-analytic test of intergroup contact theory.","type":"article-journal","volume":"90"},"uris":["http://www.mendeley.com/documents/?uuid=9838648e-a6b1-4f1f-8f52-48e02601f15a"]}],"mendeley":{"formattedCitation":"(Allport, 1954; Pettigrew &amp; Tropp, 2006)","plainTextFormattedCitation":"(Allport, 1954; Pettigrew &amp; Tropp, 2006)","previouslyFormattedCitation":"(Allport, 1954; Pettigrew &amp; Tropp, 2006)"},"properties":{"noteIndex":0},"schema":"https://github.com/citation-style-language/schema/raw/master/csl-citation.json"}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(Allport, 1954; Pettigrew &amp; Tropp, 2006)</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 xml:space="preserve">ideal outcomes require equal status, shared goals, active cooperation, and institutional support. In this light, one might ask whether informal interactions such as “sitting together over coffee” are sufficient to address core issues—such as tensions around places of worship—or whether they </w:t>
      </w:r>
      <w:r w:rsidRPr="00902543">
        <w:rPr>
          <w:sz w:val="22"/>
          <w:szCs w:val="22"/>
          <w:lang w:val="en-US"/>
        </w:rPr>
        <w:lastRenderedPageBreak/>
        <w:t>merely result in symbolic, surface-level engagement. This highlights the need for a more critical evaluation of the quality and impact of the dialogues conducted.</w:t>
      </w:r>
    </w:p>
    <w:p w14:paraId="091DADD2" w14:textId="0F0BD7C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The limited reach of FKUB’s outreach programs to grassroots communities, as acknowledged in the findings, can be further examined through the lens of social identity theory. The tendency to prioritize in-group identity can hinder the reception of messages from institutions perceived as “outsiders”</w:t>
      </w:r>
      <w:r w:rsidR="00876B52" w:rsidRPr="00902543">
        <w:rPr>
          <w:sz w:val="22"/>
          <w:szCs w:val="22"/>
          <w:vertAlign w:val="superscript"/>
        </w:rPr>
        <w:fldChar w:fldCharType="begin" w:fldLock="1"/>
      </w:r>
      <w:r w:rsidR="00AD7F4D">
        <w:rPr>
          <w:sz w:val="22"/>
          <w:szCs w:val="22"/>
        </w:rPr>
        <w:instrText>ADDIN CSL_CITATION {"citationItems":[{"id":"ITEM-1","itemData":{"author":[{"dropping-particle":"","family":"Tajfel","given":"H","non-dropping-particle":"","parse-names":false,"suffix":""},{"dropping-particle":"","family":"Turner","given":"J","non-dropping-particle":"","parse-names":false,"suffix":""}],"container-title":"The social psychology of intergroup relations. Monterey, CA: Brooks/Cole","id":"ITEM-1","issued":{"date-parts":[["1979"]]},"title":"An integrative theory of multigroup conflict","type":"article-journal"},"uris":["http://www.mendeley.com/documents/?uuid=3d6d87f3-7ea9-4ca1-9549-7c35d8f0f5fe"]}],"mendeley":{"formattedCitation":"(Tajfel &amp; Turner, 1979)","plainTextFormattedCitation":"(Tajfel &amp; Turner, 1979)","previouslyFormattedCitation":"(Tajfel &amp; Turner, 1979)"},"properties":{"noteIndex":0},"schema":"https://github.com/citation-style-language/schema/raw/master/csl-citation.json"}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(Tajfel &amp; Turner, 1979)</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In a society where religious identity is strong, “moderate” messaging from a government-affiliated body like FKUB may be subject to in-group/out-group bias, making it harder for such messages to be accepted by groups who feel their identity is being challenged. Although joint interfaith social activities are reported to be effective as “concrete examples,” questions remain as to whether these initiatives are capable of fundamentally transforming rigid social identities—or merely generating brief moments of positive contact. This persistent disconnect between programmatic ideals and measurable outcomes remains a critical challenge in assessing the actual effectiveness of FKUB’s outreach.</w:t>
      </w:r>
    </w:p>
    <w:p w14:paraId="52A20284" w14:textId="5D06F6BB"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One of the most critical limitations in implementation is FKUB Banda Aceh’s constrained capacity to mediate and provide recommendations for the establishment of houses of worship. This issue frequently becomes a flashpoint where majority-minority power dynamics, social pressure, and political interests converge—far beyond what dialogue alone can resolve. The analysis of opportunities and challenges further underscores the precarious position of the Banda Aceh FKUB. Through the lens of resource dependency theory</w:t>
      </w:r>
      <w:r w:rsidR="00AD7F4D">
        <w:rPr>
          <w:sz w:val="22"/>
          <w:szCs w:val="22"/>
          <w:lang w:val="en-US"/>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{"citationItems":[{"id":"ITEM-1","itemData":{"DOI":"10.2307/257794","ISSN":"03637425","abstract":"This article presents a review of the book \"The External Control of Organizations: A Resource Dependence Perspective,\" by Jeffrey Pfeffer and Gerald R. Salancik.","author":[{"dropping-particle":"","family":"Reitz","given":"H. Joseph","non-dropping-particle":"","parse-names":false,"suffix":""},{"dropping-particle":"","family":"Pfeffer","given":"Jeffrey","non-dropping-particle":"","parse-names":false,"suffix":""},{"dropping-particle":"","family":"Salancik","given":"Gerald R.","non-dropping-particle":"","parse-names":false,"suffix":""}],"container-title":"The Academy of Management Review","id":"ITEM-1","issue":"2","issued":{"date-parts":[["1979","4"]]},"page":"309","title":"The External Control of Organizations: A Resource Dependence Perspective","type":"article-journal","volume":"4"},"uris":["http://www.mendeley.com/documents/?uuid=b3f2385e-268c-374b-bda8-6f3ecc5422d1"]}],"mendeley":{"formattedCitation":"(Reitz et al., 1979)","plainTextFormattedCitation":"(Reitz et al., 1979)","previouslyFormattedCitation":"(Reitz et al., 1979)"},"properties":{"noteIndex":0},"schema":"https://github.com/citation-style-language/schema/raw/master/csl-citation.json"}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(Reitz et al., 1979)</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we can understand how reliance on government support—both financial and institutional—acts as a double-edged sword. On the one hand, such support enables program implementation; on the other, fluctuations in funding or shifts in political priorities can quickly undermine the institution’s autonomy. This dependency inherently limits FKUB’s ability to critique discriminatory policies or challenge dominant local groups with political influence.</w:t>
      </w:r>
    </w:p>
    <w:p w14:paraId="2C4768C2" w14:textId="5F862AF2"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 xml:space="preserve">Additionally, the resistance from conservative or exclusive groups should not be seen merely as “misunderstanding.” From a political sociology perspective, this resistance reflects broader ideological contestation over religious authority and the future of Aceh’s post-conflict </w:t>
      </w:r>
      <w:r w:rsidRPr="00902543">
        <w:rPr>
          <w:sz w:val="22"/>
          <w:szCs w:val="22"/>
          <w:lang w:val="en-US"/>
        </w:rPr>
        <w:lastRenderedPageBreak/>
        <w:t xml:space="preserve">society under Sharia-based system. </w:t>
      </w:r>
      <w:r w:rsidRPr="00902543">
        <w:rPr>
          <w:sz w:val="22"/>
          <w:szCs w:val="22"/>
        </w:rPr>
        <w:t>Research on Islamic conservatism in Indonesia highlights how conservative religious movements actively seek to preserve traditional narratives amidst ongoing modernization</w:t>
      </w:r>
      <w:r w:rsidR="00AD7F4D">
        <w:rPr>
          <w:sz w:val="22"/>
          <w:szCs w:val="22"/>
        </w:rPr>
        <w:t xml:space="preserve"> </w:t>
      </w:r>
      <w:r w:rsidR="00876B52" w:rsidRPr="00902543">
        <w:rPr>
          <w:sz w:val="22"/>
          <w:szCs w:val="22"/>
          <w:vertAlign w:val="superscript"/>
        </w:rPr>
        <w:fldChar w:fldCharType="begin" w:fldLock="1"/>
      </w:r>
      <w:r w:rsidR="00AD7F4D">
        <w:rPr>
          <w:sz w:val="22"/>
          <w:szCs w:val="22"/>
        </w:rPr>
        <w:instrText>ADDIN CSL_CITATION {"citationItems":[{"id":"ITEM-1","itemData":{"DOI":"10.1080/23311886.2024.2406297","ISSN":"2331-1886","author":[{"dropping-particle":"","family":"Makruf","given":"Jamhari","non-dropping-particle":"","parse-names":false,"suffix":""},{"dropping-particle":"","family":"Jahroni","given":"Jajang","non-dropping-particle":"","parse-names":false,"suffix":""}],"container-title":"Cogent Social Sciences","id":"ITEM-1","issue":"1","issued":{"date-parts":[["2024","12","31"]]},"title":"From Islamic modernism to Islamic conservatism: the case of West Sumatra Provinces, Indonesia","type":"article-journal","volume":"10"},"uris":["http://www.mendeley.com/documents/?uuid=f009457f-02af-4673-b024-dacb464d4440"]},{"id":"ITEM-2","itemData":{"DOI":"10.1080/23311886.2024.2392293","ISSN":"2331-1886","author":[{"dropping-particle":"","family":"Yahya","given":"Imam","non-dropping-particle":"","parse-names":false,"suffix":""},{"dropping-particle":"","family":"Susilo","given":"Sulistiyono","non-dropping-particle":"","parse-names":false,"suffix":""}],"container-title":"Cogent Social Sciences","id":"ITEM-2","issue":"1","issued":{"date-parts":[["2024","7","8"]]},"title":"Conservative Muslims in Indonesia’s religious and political landscapes: Ahok’s blasphemy case as a political leverage","type":"article-journal","volume":"10"},"uris":["http://www.mendeley.com/documents/?uuid=7c2753a7-3d8a-41f8-ad66-ff411109b127"]}],"mendeley":{"formattedCitation":"(Makruf &amp; Jahroni, 2024; Yahya &amp; Susilo, 2024)","plainTextFormattedCitation":"(Makruf &amp; Jahroni, 2024; Yahya &amp; Susilo, 2024)","previouslyFormattedCitation":"(Makruf &amp; Jahroni, 2024; Yahya &amp; Susilo,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(Makruf &amp; Jahroni, 2024; Yahya &amp; Susilo, 2024)</w:t>
      </w:r>
      <w:r w:rsidR="00876B52" w:rsidRPr="00902543">
        <w:rPr>
          <w:sz w:val="22"/>
          <w:szCs w:val="22"/>
          <w:vertAlign w:val="superscript"/>
        </w:rPr>
        <w:fldChar w:fldCharType="end"/>
      </w:r>
      <w:r w:rsidR="00AD7F4D">
        <w:rPr>
          <w:sz w:val="22"/>
          <w:szCs w:val="22"/>
          <w:lang w:val="en-US"/>
        </w:rPr>
        <w:t xml:space="preserve">. </w:t>
      </w:r>
      <w:r w:rsidRPr="00902543">
        <w:rPr>
          <w:sz w:val="22"/>
          <w:szCs w:val="22"/>
          <w:lang w:val="en-US"/>
        </w:rPr>
        <w:t xml:space="preserve">These groups may perceive FKUB’s moderation discourse as a threat to their vision of Islamic order. With limited resources and authority, FKUB struggles to counter these narratives and their public mobilization. This condition reflects a broader challenge faced by quasi-governmental or civil society organizations working on sensitive issues in Indonesia—where space for promoting pluralism is narrowing due to political and social pressures. </w:t>
      </w:r>
    </w:p>
    <w:p w14:paraId="5A2BD1A4" w14:textId="29908D75" w:rsidR="00C54188" w:rsidRPr="00902543" w:rsidRDefault="00AD7F4D" w:rsidP="00C74E13">
      <w:pPr>
        <w:autoSpaceDE w:val="0"/>
        <w:autoSpaceDN w:val="0"/>
        <w:adjustRightInd w:val="0"/>
        <w:spacing w:line="480" w:lineRule="auto"/>
        <w:ind w:firstLine="567"/>
        <w:jc w:val="both"/>
        <w:rPr>
          <w:sz w:val="22"/>
          <w:szCs w:val="22"/>
        </w:rPr>
      </w:pPr>
      <w:r>
        <w:rPr>
          <w:sz w:val="22"/>
          <w:szCs w:val="22"/>
        </w:rPr>
        <w:t>Thus,</w:t>
      </w:r>
      <w:r w:rsidR="00663220" w:rsidRPr="00902543">
        <w:rPr>
          <w:sz w:val="22"/>
          <w:szCs w:val="22"/>
        </w:rPr>
        <w:t xml:space="preserve"> this study illustrates that the Banda Aceh FKUB operates in a constant state of negotiation—between national mandates and local religious norms, between institutional idealism and structural limitations, and between dialogical aspirations and ideological resistance. Amri et al.</w:t>
      </w:r>
      <w:r>
        <w:rPr>
          <w:sz w:val="22"/>
          <w:szCs w:val="22"/>
        </w:rPr>
        <w:t xml:space="preserve">, </w:t>
      </w:r>
      <w:r w:rsidR="00876B52" w:rsidRPr="00902543">
        <w:rPr>
          <w:sz w:val="22"/>
          <w:szCs w:val="22"/>
          <w:vertAlign w:val="superscript"/>
        </w:rPr>
        <w:fldChar w:fldCharType="begin" w:fldLock="1"/>
      </w:r>
      <w:r>
        <w:rPr>
          <w:sz w:val="22"/>
          <w:szCs w:val="22"/>
        </w:rPr>
        <w:instrText>ADDIN CSL_CITATION {"citationItems":[{"id":"ITEM-1","itemData":{"DOI":"10.30821/miqot.v48i1.1207","ISSN":"2502-3616","abstract":"This article examines the concept of religious moderation using an intersectional approach to illustrate the disparity in its interpretation between state policies and societal practice. Prior literature has explored religious moderation from doctrinal and security viewpoints. This study proposes a new perspective to enhance the understanding of religious moderation in the Indonesian context by presenting its interpretation through two distinct lenses. First, it examines the concept of religious moderation within the context of daily interactions among religious communities. Second, this article criticizes the state's intervention in religious moderation campaigns. This article argues that religious moderation is inherently intricate, a complexity that finds resonance in the stance adopted by the state and everyday civil practice. The contention here is that the multifaceted nature of religious moderation is not confined to theoretical discourse; it reverberates through the policies enacted by the state and is interwoven with the actions and routines of individuals within the society.","author":[{"dropping-particle":"","family":"Amri","given":"Yaser","non-dropping-particle":"","parse-names":false,"suffix":""},{"dropping-particle":"","family":"Febriandi","given":"Yogi","non-dropping-particle":"","parse-names":false,"suffix":""},{"dropping-particle":"","family":"Da-Oh","given":"Phaison","non-dropping-particle":"","parse-names":false,"suffix":""}],"container-title":"MIQOT: Jurnal Ilmu-ilmu Keislaman","id":"ITEM-1","issue":"1","issued":{"date-parts":[["2024","6","29"]]},"title":"RELIGIOUS MODERATION UNVEILED: The Intersection of Textual and Contextual Approaches to Understanding Indonesian Muslims","type":"article-journal","volume":"48"},"uris":["http://www.mendeley.com/documents/?uuid=f25d7528-5370-4b53-87fc-51ebda807094"]}],"mendeley":{"formattedCitation":"(Amri et al., 2024)","manualFormatting":"(2024)","plainTextFormattedCitation":"(Amri et al., 2024)","previouslyFormattedCitation":"(Amri et al., 2024)"},"properties":{"noteIndex":0},"schema":"https://github.com/citation-style-language/schema/raw/master/csl-citation.json"}</w:instrText>
      </w:r>
      <w:r w:rsidR="00876B52" w:rsidRPr="00902543">
        <w:rPr>
          <w:sz w:val="22"/>
          <w:szCs w:val="22"/>
          <w:vertAlign w:val="superscript"/>
        </w:rPr>
        <w:fldChar w:fldCharType="separate"/>
      </w:r>
      <w:r w:rsidR="00876B52" w:rsidRPr="00902543">
        <w:rPr>
          <w:noProof/>
          <w:sz w:val="22"/>
          <w:szCs w:val="22"/>
        </w:rPr>
        <w:t>(2024)</w:t>
      </w:r>
      <w:r w:rsidR="00876B52" w:rsidRPr="00902543">
        <w:rPr>
          <w:sz w:val="22"/>
          <w:szCs w:val="22"/>
          <w:vertAlign w:val="superscript"/>
        </w:rPr>
        <w:fldChar w:fldCharType="end"/>
      </w:r>
      <w:r w:rsidR="00663220" w:rsidRPr="00902543">
        <w:rPr>
          <w:sz w:val="22"/>
          <w:szCs w:val="22"/>
        </w:rPr>
        <w:t xml:space="preserve"> argue that religious moderation is inherently intricate, a complexity that finds resonance in the stance adopted by the state and everyday civil practice. The contention here is that the multifaceted nature of religious moderation is not confined to theoretical discourse; it reverberates through the policies enacted by the state and is interwoven with the actions and routines of individuals within the society. Similarly, the forum’s adaptive conceptualization of moderation reflects one dimension of this negotiation. The implementation of elite-focused programs with limited grassroots reach also indicates that FKUB may be choosing the “most feasible” strategies within the constraints of its environment. This analysis highlights that the effectiveness of institutions like FKUB cannot be measured solely by their formal programs but must be understood within the broader interaction between structure (regulations, resources, political context), agency (FKUB actors’ interpretations and strategies), and culture (dominant values, social resistance) in the area where they operate. By unpacking these layered practices of interreligious harmony, this study aims to make a meaningful contribution to understanding the dynamics of religious moderation policy implementation in Indonesia.</w:t>
      </w:r>
      <w:r w:rsidR="00EB0DE5" w:rsidRPr="00902543">
        <w:rPr>
          <w:sz w:val="22"/>
          <w:szCs w:val="22"/>
        </w:rPr>
        <w:t xml:space="preserve">  </w:t>
      </w:r>
      <w:r w:rsidR="00C54188" w:rsidRPr="00902543">
        <w:rPr>
          <w:sz w:val="22"/>
          <w:szCs w:val="22"/>
        </w:rPr>
        <w:t xml:space="preserve"> </w:t>
      </w:r>
    </w:p>
    <w:p w14:paraId="5E167743" w14:textId="77777777" w:rsidR="00EB0DE5" w:rsidRPr="00902543" w:rsidRDefault="00FE5B36" w:rsidP="00C74E13">
      <w:pPr>
        <w:autoSpaceDE w:val="0"/>
        <w:autoSpaceDN w:val="0"/>
        <w:adjustRightInd w:val="0"/>
        <w:spacing w:line="480" w:lineRule="auto"/>
        <w:rPr>
          <w:sz w:val="22"/>
          <w:szCs w:val="22"/>
        </w:rPr>
      </w:pPr>
      <w:r w:rsidRPr="00902543">
        <w:rPr>
          <w:b/>
          <w:bCs/>
          <w:sz w:val="22"/>
          <w:szCs w:val="22"/>
        </w:rPr>
        <w:t xml:space="preserve">Conclusion </w:t>
      </w:r>
    </w:p>
    <w:p w14:paraId="1EEA3AC1" w14:textId="77777777" w:rsidR="00663220"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lastRenderedPageBreak/>
        <w:t>This study argues that the FKUB of Banda Aceh does not merely implement religious moderation as prescribed by national policy, but actively reinterprets it to navigate the complexities of Aceh’s post-conflict, Sharia-based legal system. Through a process of local adaptation, FKUB strategically frames core principles—</w:t>
      </w:r>
      <w:proofErr w:type="spellStart"/>
      <w:r w:rsidRPr="00902543">
        <w:rPr>
          <w:i/>
          <w:iCs/>
          <w:sz w:val="22"/>
          <w:szCs w:val="22"/>
          <w:lang w:val="en-US"/>
        </w:rPr>
        <w:t>Tawassuth</w:t>
      </w:r>
      <w:proofErr w:type="spellEnd"/>
      <w:r w:rsidRPr="00902543">
        <w:rPr>
          <w:sz w:val="22"/>
          <w:szCs w:val="22"/>
          <w:lang w:val="en-US"/>
        </w:rPr>
        <w:t xml:space="preserve">, </w:t>
      </w:r>
      <w:proofErr w:type="spellStart"/>
      <w:r w:rsidRPr="00902543">
        <w:rPr>
          <w:i/>
          <w:iCs/>
          <w:sz w:val="22"/>
          <w:szCs w:val="22"/>
          <w:lang w:val="en-US"/>
        </w:rPr>
        <w:t>Tasamuh</w:t>
      </w:r>
      <w:proofErr w:type="spellEnd"/>
      <w:r w:rsidRPr="00902543">
        <w:rPr>
          <w:sz w:val="22"/>
          <w:szCs w:val="22"/>
          <w:lang w:val="en-US"/>
        </w:rPr>
        <w:t xml:space="preserve">, </w:t>
      </w:r>
      <w:proofErr w:type="spellStart"/>
      <w:r w:rsidRPr="00902543">
        <w:rPr>
          <w:i/>
          <w:iCs/>
          <w:sz w:val="22"/>
          <w:szCs w:val="22"/>
          <w:lang w:val="en-US"/>
        </w:rPr>
        <w:t>Tawazun</w:t>
      </w:r>
      <w:proofErr w:type="spellEnd"/>
      <w:r w:rsidRPr="00902543">
        <w:rPr>
          <w:sz w:val="22"/>
          <w:szCs w:val="22"/>
          <w:lang w:val="en-US"/>
        </w:rPr>
        <w:t xml:space="preserve">, </w:t>
      </w:r>
      <w:r w:rsidRPr="00902543">
        <w:rPr>
          <w:i/>
          <w:iCs/>
          <w:sz w:val="22"/>
          <w:szCs w:val="22"/>
          <w:lang w:val="en-US"/>
        </w:rPr>
        <w:t>I’tidal</w:t>
      </w:r>
      <w:r w:rsidRPr="00902543">
        <w:rPr>
          <w:sz w:val="22"/>
          <w:szCs w:val="22"/>
          <w:lang w:val="en-US"/>
        </w:rPr>
        <w:t xml:space="preserve">, and </w:t>
      </w:r>
      <w:proofErr w:type="spellStart"/>
      <w:r w:rsidRPr="00902543">
        <w:rPr>
          <w:i/>
          <w:iCs/>
          <w:sz w:val="22"/>
          <w:szCs w:val="22"/>
          <w:lang w:val="en-US"/>
        </w:rPr>
        <w:t>Musawah</w:t>
      </w:r>
      <w:proofErr w:type="spellEnd"/>
      <w:r w:rsidRPr="00902543">
        <w:rPr>
          <w:sz w:val="22"/>
          <w:szCs w:val="22"/>
          <w:lang w:val="en-US"/>
        </w:rPr>
        <w:t>—in ways that resonate with the region’s distinct socio-religious context. Rather than functioning solely as a top-down extension of the Ministry of Religious Affairs, the FKUB emerges as a mediating institution that balances national mandates with the normative realities of local Islamic governance. In practice, FKUB’s efforts are centered around elite-level dialogue, public outreach, and interfaith cooperation. These activities illustrate a model of moderation that is both grounded in Islamic values and responsive to Indonesia’s pluralistic national identity. However, the study also highlights structural limitations—such as inadequate resources, resistance from conservative groups, and limited institutional authority—that constrain FKUB’s ability to engage grassroots communities and address sensitive issues like the construction of houses of worship.</w:t>
      </w:r>
    </w:p>
    <w:p w14:paraId="1ADCC9CB" w14:textId="77777777" w:rsidR="00EB0DE5" w:rsidRPr="00902543" w:rsidRDefault="00663220" w:rsidP="00C74E13">
      <w:pPr>
        <w:autoSpaceDE w:val="0"/>
        <w:autoSpaceDN w:val="0"/>
        <w:adjustRightInd w:val="0"/>
        <w:spacing w:line="480" w:lineRule="auto"/>
        <w:ind w:firstLine="567"/>
        <w:jc w:val="both"/>
        <w:rPr>
          <w:sz w:val="22"/>
          <w:szCs w:val="22"/>
          <w:lang w:val="en-US"/>
        </w:rPr>
      </w:pPr>
      <w:r w:rsidRPr="00902543">
        <w:rPr>
          <w:sz w:val="22"/>
          <w:szCs w:val="22"/>
          <w:lang w:val="en-US"/>
        </w:rPr>
        <w:t xml:space="preserve">The promotion of religious moderation at the local level, especially in regions governed by a Sharia-based system, is shown to be a negotiated and context-bound process, not a linear implementation of national policy. By shedding light on how local actors reinterpret moderation, this study contributes to a broader understanding of how state-endorsed religious policies are filtered through cultural, institutional, and ideological lenses. The findings also affirm that institutional effectiveness is shaped not only by formal mandates but also by actors’ agency and their capacity to navigate competing pressures on the ground. From a practical standpoint, this study underscores the need to strengthen FKUB’s strategic capacity and resource base, while ensuring sustained local government support and broader public engagement. The national discourse on moderation must also be refined to account for regional diversity and sensitivities. Future research is urgently needed to examine grassroots perceptions, particularly among minority and conservative communities, and to conduct longitudinal and comparative studies across regions. Such efforts are essential for assessing the sustainability and replicability of </w:t>
      </w:r>
      <w:r w:rsidRPr="00902543">
        <w:rPr>
          <w:sz w:val="22"/>
          <w:szCs w:val="22"/>
          <w:lang w:val="en-US"/>
        </w:rPr>
        <w:lastRenderedPageBreak/>
        <w:t>FKUB’s strategies in navigating religious harmony within complex legal and cultural environments like Aceh.</w:t>
      </w:r>
    </w:p>
    <w:p w14:paraId="233635C2" w14:textId="77777777" w:rsidR="00EB0DE5" w:rsidRPr="00902543" w:rsidRDefault="00EB0DE5" w:rsidP="00C74E13">
      <w:pPr>
        <w:tabs>
          <w:tab w:val="left" w:pos="720"/>
        </w:tabs>
        <w:autoSpaceDE w:val="0"/>
        <w:autoSpaceDN w:val="0"/>
        <w:adjustRightInd w:val="0"/>
        <w:spacing w:line="480" w:lineRule="auto"/>
        <w:ind w:left="720" w:hanging="360"/>
        <w:jc w:val="both"/>
        <w:rPr>
          <w:sz w:val="22"/>
          <w:szCs w:val="22"/>
        </w:rPr>
      </w:pPr>
    </w:p>
    <w:p w14:paraId="71B9121D" w14:textId="77777777" w:rsidR="00663220" w:rsidRPr="00902543" w:rsidRDefault="00FE5B36" w:rsidP="00C74E13">
      <w:pPr>
        <w:autoSpaceDE w:val="0"/>
        <w:autoSpaceDN w:val="0"/>
        <w:adjustRightInd w:val="0"/>
        <w:spacing w:line="480" w:lineRule="auto"/>
        <w:rPr>
          <w:b/>
          <w:bCs/>
          <w:sz w:val="22"/>
          <w:szCs w:val="22"/>
        </w:rPr>
      </w:pPr>
      <w:r w:rsidRPr="00902543">
        <w:rPr>
          <w:b/>
          <w:bCs/>
          <w:sz w:val="22"/>
          <w:szCs w:val="22"/>
        </w:rPr>
        <w:t>References</w:t>
      </w:r>
    </w:p>
    <w:p w14:paraId="5BAF9FC4" w14:textId="57FC2455" w:rsidR="00AD7F4D" w:rsidRPr="00AD7F4D" w:rsidRDefault="00C728BD" w:rsidP="00AD7F4D">
      <w:pPr>
        <w:widowControl w:val="0"/>
        <w:autoSpaceDE w:val="0"/>
        <w:autoSpaceDN w:val="0"/>
        <w:adjustRightInd w:val="0"/>
        <w:ind w:left="480" w:hanging="480"/>
        <w:jc w:val="both"/>
        <w:rPr>
          <w:noProof/>
          <w:sz w:val="22"/>
          <w:lang w:val="en-US"/>
        </w:rPr>
      </w:pPr>
      <w:r w:rsidRPr="00902543">
        <w:rPr>
          <w:sz w:val="22"/>
          <w:szCs w:val="22"/>
          <w:lang w:val="en-US"/>
        </w:rPr>
        <w:fldChar w:fldCharType="begin" w:fldLock="1"/>
      </w:r>
      <w:r w:rsidRPr="00902543">
        <w:rPr>
          <w:sz w:val="22"/>
          <w:szCs w:val="22"/>
          <w:lang w:val="en-US"/>
        </w:rPr>
        <w:instrText xml:space="preserve">ADDIN Mendeley Bibliography CSL_BIBLIOGRAPHY </w:instrText>
      </w:r>
      <w:r w:rsidRPr="00902543">
        <w:rPr>
          <w:sz w:val="22"/>
          <w:szCs w:val="22"/>
          <w:lang w:val="en-US"/>
        </w:rPr>
        <w:fldChar w:fldCharType="separate"/>
      </w:r>
      <w:r w:rsidR="00AD7F4D" w:rsidRPr="00AD7F4D">
        <w:rPr>
          <w:noProof/>
          <w:sz w:val="22"/>
          <w:lang w:val="en-US"/>
        </w:rPr>
        <w:t xml:space="preserve">Adhani, H. (2019). Menakar Konstitusionalitas Syari’at Islam dan Mahkamah Syar’iyah di Provinsi Aceh. </w:t>
      </w:r>
      <w:r w:rsidR="00AD7F4D" w:rsidRPr="00AD7F4D">
        <w:rPr>
          <w:i/>
          <w:iCs/>
          <w:noProof/>
          <w:sz w:val="22"/>
          <w:lang w:val="en-US"/>
        </w:rPr>
        <w:t>Jurnal Konstitusi</w:t>
      </w:r>
      <w:r w:rsidR="00AD7F4D" w:rsidRPr="00AD7F4D">
        <w:rPr>
          <w:noProof/>
          <w:sz w:val="22"/>
          <w:lang w:val="en-US"/>
        </w:rPr>
        <w:t xml:space="preserve">, </w:t>
      </w:r>
      <w:r w:rsidR="00AD7F4D" w:rsidRPr="00AD7F4D">
        <w:rPr>
          <w:i/>
          <w:iCs/>
          <w:noProof/>
          <w:sz w:val="22"/>
          <w:lang w:val="en-US"/>
        </w:rPr>
        <w:t>16</w:t>
      </w:r>
      <w:r w:rsidR="00AD7F4D" w:rsidRPr="00AD7F4D">
        <w:rPr>
          <w:noProof/>
          <w:sz w:val="22"/>
          <w:lang w:val="en-US"/>
        </w:rPr>
        <w:t>(3), 606. https://doi.org/10.31078/jk1638</w:t>
      </w:r>
    </w:p>
    <w:p w14:paraId="7B9112E4"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Aditya, R., &amp; Mayasari, I. (2022). The Implementation Religious Moderation In Serang Municipial: Religious Harmony Forum Perspectiv. </w:t>
      </w:r>
      <w:r w:rsidRPr="00AD7F4D">
        <w:rPr>
          <w:i/>
          <w:iCs/>
          <w:noProof/>
          <w:sz w:val="22"/>
          <w:lang w:val="en-US"/>
        </w:rPr>
        <w:t>Penamas</w:t>
      </w:r>
      <w:r w:rsidRPr="00AD7F4D">
        <w:rPr>
          <w:noProof/>
          <w:sz w:val="22"/>
          <w:lang w:val="en-US"/>
        </w:rPr>
        <w:t xml:space="preserve">, </w:t>
      </w:r>
      <w:r w:rsidRPr="00AD7F4D">
        <w:rPr>
          <w:i/>
          <w:iCs/>
          <w:noProof/>
          <w:sz w:val="22"/>
          <w:lang w:val="en-US"/>
        </w:rPr>
        <w:t>35</w:t>
      </w:r>
      <w:r w:rsidRPr="00AD7F4D">
        <w:rPr>
          <w:noProof/>
          <w:sz w:val="22"/>
          <w:lang w:val="en-US"/>
        </w:rPr>
        <w:t>(2), 253–266. https://doi.org/10.31330/penamas.v35i2.626</w:t>
      </w:r>
    </w:p>
    <w:p w14:paraId="078EBC3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Admin. (2023). </w:t>
      </w:r>
      <w:r w:rsidRPr="00AD7F4D">
        <w:rPr>
          <w:i/>
          <w:iCs/>
          <w:noProof/>
          <w:sz w:val="22"/>
          <w:lang w:val="en-US"/>
        </w:rPr>
        <w:t>Wahid Foundation Diskusikan Laporan Kemerdekaan Beragama dan Berkeyakinan di Indonesia Tahun 2020-2022</w:t>
      </w:r>
      <w:r w:rsidRPr="00AD7F4D">
        <w:rPr>
          <w:noProof/>
          <w:sz w:val="22"/>
          <w:lang w:val="en-US"/>
        </w:rPr>
        <w:t>. Wahid Foundation. https://wahidfoundation.org/news/detail/Wahid-Foundation-Diskusikan-Laporan-Kemerdekaan-Beragama-dan-Berkeyakinan-di-Indonesia-Tahun-2020-2022</w:t>
      </w:r>
    </w:p>
    <w:p w14:paraId="09D7B93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Ahmad, J., Wafi, M. H., Mushkalamzai, Z., &amp; Hadi, A. A. (2023). Multiculturalism and identity politics: Reading on the Religious Harmony Forum. </w:t>
      </w:r>
      <w:r w:rsidRPr="00AD7F4D">
        <w:rPr>
          <w:i/>
          <w:iCs/>
          <w:noProof/>
          <w:sz w:val="22"/>
          <w:lang w:val="en-US"/>
        </w:rPr>
        <w:t>IBDA` : Jurnal Kajian Islam Dan Budaya</w:t>
      </w:r>
      <w:r w:rsidRPr="00AD7F4D">
        <w:rPr>
          <w:noProof/>
          <w:sz w:val="22"/>
          <w:lang w:val="en-US"/>
        </w:rPr>
        <w:t xml:space="preserve">, </w:t>
      </w:r>
      <w:r w:rsidRPr="00AD7F4D">
        <w:rPr>
          <w:i/>
          <w:iCs/>
          <w:noProof/>
          <w:sz w:val="22"/>
          <w:lang w:val="en-US"/>
        </w:rPr>
        <w:t>21</w:t>
      </w:r>
      <w:r w:rsidRPr="00AD7F4D">
        <w:rPr>
          <w:noProof/>
          <w:sz w:val="22"/>
          <w:lang w:val="en-US"/>
        </w:rPr>
        <w:t>(2). https://doi.org/10.24090/ibda.v21i2.7885</w:t>
      </w:r>
    </w:p>
    <w:p w14:paraId="33EA2D88"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Ahmed, I., Ahmed, Z. S., Brasted, H., &amp; Akbarzadeh, S. (Eds.). (2022). </w:t>
      </w:r>
      <w:r w:rsidRPr="00AD7F4D">
        <w:rPr>
          <w:i/>
          <w:iCs/>
          <w:noProof/>
          <w:sz w:val="22"/>
          <w:lang w:val="en-US"/>
        </w:rPr>
        <w:t>Religion, Extremism and Violence in South Asia</w:t>
      </w:r>
      <w:r w:rsidRPr="00AD7F4D">
        <w:rPr>
          <w:noProof/>
          <w:sz w:val="22"/>
          <w:lang w:val="en-US"/>
        </w:rPr>
        <w:t>. Springer Nature Singapore. https://doi.org/10.1007/978-981-16-6847-0</w:t>
      </w:r>
    </w:p>
    <w:p w14:paraId="39E1821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Ali, M. (2016). Malaysia’s Islam Hadhari and the Role of the Nation-State in International Relations. In </w:t>
      </w:r>
      <w:r w:rsidRPr="00AD7F4D">
        <w:rPr>
          <w:i/>
          <w:iCs/>
          <w:noProof/>
          <w:sz w:val="22"/>
          <w:lang w:val="en-US"/>
        </w:rPr>
        <w:t>Islam and International Relations</w:t>
      </w:r>
      <w:r w:rsidRPr="00AD7F4D">
        <w:rPr>
          <w:noProof/>
          <w:sz w:val="22"/>
          <w:lang w:val="en-US"/>
        </w:rPr>
        <w:t xml:space="preserve"> (pp. 207–228). Palgrave Macmillan UK. https://doi.org/10.1007/978-1-137-49932-5_9</w:t>
      </w:r>
    </w:p>
    <w:p w14:paraId="1B4965DC"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Allport, G. W. (1954). The nature of prejudice. In </w:t>
      </w:r>
      <w:r w:rsidRPr="00AD7F4D">
        <w:rPr>
          <w:i/>
          <w:iCs/>
          <w:noProof/>
          <w:sz w:val="22"/>
          <w:lang w:val="en-US"/>
        </w:rPr>
        <w:t>The nature of prejudice.</w:t>
      </w:r>
      <w:r w:rsidRPr="00AD7F4D">
        <w:rPr>
          <w:noProof/>
          <w:sz w:val="22"/>
          <w:lang w:val="en-US"/>
        </w:rPr>
        <w:t xml:space="preserve"> Addison-Wesley.</w:t>
      </w:r>
    </w:p>
    <w:p w14:paraId="69D55BCC"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Amran, L. (2022). </w:t>
      </w:r>
      <w:r w:rsidRPr="00AD7F4D">
        <w:rPr>
          <w:i/>
          <w:iCs/>
          <w:noProof/>
          <w:sz w:val="22"/>
          <w:lang w:val="en-US"/>
        </w:rPr>
        <w:t>In Indonesia, a Rising Tide of Religious Intolerance</w:t>
      </w:r>
      <w:r w:rsidRPr="00AD7F4D">
        <w:rPr>
          <w:noProof/>
          <w:sz w:val="22"/>
          <w:lang w:val="en-US"/>
        </w:rPr>
        <w:t>. The Diplomat. https://thediplomat.com/2022/10/in-indonesia-a-rising-tide-of-religious-intolerance/</w:t>
      </w:r>
    </w:p>
    <w:p w14:paraId="392F87C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Amri, Y., Febriandi, Y., &amp; Da-Oh, P. (2024). RELIGIOUS MODERATION UNVEILED: The Intersection of Textual and Contextual Approaches to Understanding Indonesian Muslims. </w:t>
      </w:r>
      <w:r w:rsidRPr="00AD7F4D">
        <w:rPr>
          <w:i/>
          <w:iCs/>
          <w:noProof/>
          <w:sz w:val="22"/>
          <w:lang w:val="en-US"/>
        </w:rPr>
        <w:t>MIQOT: Jurnal Ilmu-Ilmu Keislaman</w:t>
      </w:r>
      <w:r w:rsidRPr="00AD7F4D">
        <w:rPr>
          <w:noProof/>
          <w:sz w:val="22"/>
          <w:lang w:val="en-US"/>
        </w:rPr>
        <w:t xml:space="preserve">, </w:t>
      </w:r>
      <w:r w:rsidRPr="00AD7F4D">
        <w:rPr>
          <w:i/>
          <w:iCs/>
          <w:noProof/>
          <w:sz w:val="22"/>
          <w:lang w:val="en-US"/>
        </w:rPr>
        <w:t>48</w:t>
      </w:r>
      <w:r w:rsidRPr="00AD7F4D">
        <w:rPr>
          <w:noProof/>
          <w:sz w:val="22"/>
          <w:lang w:val="en-US"/>
        </w:rPr>
        <w:t>(1). https://doi.org/10.30821/miqot.v48i1.1207</w:t>
      </w:r>
    </w:p>
    <w:p w14:paraId="6F7817D5"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AR, N., Yusnaini, S., Widyanto, A., Walidin, W., &amp; Sulaiman, S. (2021). The Interfaith Harmony in Aceh Province (The Analysis of the Strategies, Roles of FKUB, and Barriers). </w:t>
      </w:r>
      <w:r w:rsidRPr="00AD7F4D">
        <w:rPr>
          <w:i/>
          <w:iCs/>
          <w:noProof/>
          <w:sz w:val="22"/>
          <w:lang w:val="en-US"/>
        </w:rPr>
        <w:t>Ulumuna</w:t>
      </w:r>
      <w:r w:rsidRPr="00AD7F4D">
        <w:rPr>
          <w:noProof/>
          <w:sz w:val="22"/>
          <w:lang w:val="en-US"/>
        </w:rPr>
        <w:t xml:space="preserve">, </w:t>
      </w:r>
      <w:r w:rsidRPr="00AD7F4D">
        <w:rPr>
          <w:i/>
          <w:iCs/>
          <w:noProof/>
          <w:sz w:val="22"/>
          <w:lang w:val="en-US"/>
        </w:rPr>
        <w:t>25</w:t>
      </w:r>
      <w:r w:rsidRPr="00AD7F4D">
        <w:rPr>
          <w:noProof/>
          <w:sz w:val="22"/>
          <w:lang w:val="en-US"/>
        </w:rPr>
        <w:t>(2), 306–328. https://doi.org/10.20414/ujis.v25i2.457</w:t>
      </w:r>
    </w:p>
    <w:p w14:paraId="6D3737F8"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Arif, S. (2020). Moderasi Beragama dalam Diskursus Negara Islam: Pemikiran KH Abdurrahman Wahid. </w:t>
      </w:r>
      <w:r w:rsidRPr="00AD7F4D">
        <w:rPr>
          <w:i/>
          <w:iCs/>
          <w:noProof/>
          <w:sz w:val="22"/>
          <w:lang w:val="en-US"/>
        </w:rPr>
        <w:t>Jurnal Bimas Islam</w:t>
      </w:r>
      <w:r w:rsidRPr="00AD7F4D">
        <w:rPr>
          <w:noProof/>
          <w:sz w:val="22"/>
          <w:lang w:val="en-US"/>
        </w:rPr>
        <w:t xml:space="preserve">, </w:t>
      </w:r>
      <w:r w:rsidRPr="00AD7F4D">
        <w:rPr>
          <w:i/>
          <w:iCs/>
          <w:noProof/>
          <w:sz w:val="22"/>
          <w:lang w:val="en-US"/>
        </w:rPr>
        <w:t>13</w:t>
      </w:r>
      <w:r w:rsidRPr="00AD7F4D">
        <w:rPr>
          <w:noProof/>
          <w:sz w:val="22"/>
          <w:lang w:val="en-US"/>
        </w:rPr>
        <w:t>(1), 73–104. https://doi.org/10.37302/jbi.v13i1.189</w:t>
      </w:r>
    </w:p>
    <w:p w14:paraId="7A6B0D04"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Ashadi, A., Martalia, M., &amp; Susilawati, S. (2024). Wacana Moderasi Beragama Kementerian Agama: Analisis Wacana Kritis Norman Fairclough. </w:t>
      </w:r>
      <w:r w:rsidRPr="00AD7F4D">
        <w:rPr>
          <w:i/>
          <w:iCs/>
          <w:noProof/>
          <w:sz w:val="22"/>
          <w:lang w:val="en-US"/>
        </w:rPr>
        <w:t>Jurnal Sosiologi Agama Indonesia</w:t>
      </w:r>
      <w:r w:rsidRPr="00AD7F4D">
        <w:rPr>
          <w:noProof/>
          <w:sz w:val="22"/>
          <w:lang w:val="en-US"/>
        </w:rPr>
        <w:t xml:space="preserve">, </w:t>
      </w:r>
      <w:r w:rsidRPr="00AD7F4D">
        <w:rPr>
          <w:i/>
          <w:iCs/>
          <w:noProof/>
          <w:sz w:val="22"/>
          <w:lang w:val="en-US"/>
        </w:rPr>
        <w:t>5</w:t>
      </w:r>
      <w:r w:rsidRPr="00AD7F4D">
        <w:rPr>
          <w:noProof/>
          <w:sz w:val="22"/>
          <w:lang w:val="en-US"/>
        </w:rPr>
        <w:t>(1). https://doi.org/10.22373/jsai.v5i1.4312</w:t>
      </w:r>
    </w:p>
    <w:p w14:paraId="77DF5041"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Asnawati, A. (2012). Peranan Forum Kerukunan Umat Beragama (FKUB): Studi Kasus Pelaksanaan PBM No.9 dan No.8 Tahun 2006 di Jakarta Utara. </w:t>
      </w:r>
      <w:r w:rsidRPr="00AD7F4D">
        <w:rPr>
          <w:i/>
          <w:iCs/>
          <w:noProof/>
          <w:sz w:val="22"/>
          <w:lang w:val="en-US"/>
        </w:rPr>
        <w:t>Harmoni</w:t>
      </w:r>
      <w:r w:rsidRPr="00AD7F4D">
        <w:rPr>
          <w:noProof/>
          <w:sz w:val="22"/>
          <w:lang w:val="en-US"/>
        </w:rPr>
        <w:t xml:space="preserve">, </w:t>
      </w:r>
      <w:r w:rsidRPr="00AD7F4D">
        <w:rPr>
          <w:i/>
          <w:iCs/>
          <w:noProof/>
          <w:sz w:val="22"/>
          <w:lang w:val="en-US"/>
        </w:rPr>
        <w:t>11</w:t>
      </w:r>
      <w:r w:rsidRPr="00AD7F4D">
        <w:rPr>
          <w:noProof/>
          <w:sz w:val="22"/>
          <w:lang w:val="en-US"/>
        </w:rPr>
        <w:t>(1), 129–137. https://doi.org/10.32488/harmoni.v11i1.236</w:t>
      </w:r>
    </w:p>
    <w:p w14:paraId="4D16CCE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Bagir, Z. A., Asfinawati, Suhadi, &amp; Arianingtyas, R. (2020). Limitations to Freedom of Religion or Belief in Indonesia: Norms and Practices. </w:t>
      </w:r>
      <w:r w:rsidRPr="00AD7F4D">
        <w:rPr>
          <w:i/>
          <w:iCs/>
          <w:noProof/>
          <w:sz w:val="22"/>
          <w:lang w:val="en-US"/>
        </w:rPr>
        <w:t>Religion &amp; Human Rights</w:t>
      </w:r>
      <w:r w:rsidRPr="00AD7F4D">
        <w:rPr>
          <w:noProof/>
          <w:sz w:val="22"/>
          <w:lang w:val="en-US"/>
        </w:rPr>
        <w:t xml:space="preserve">, </w:t>
      </w:r>
      <w:r w:rsidRPr="00AD7F4D">
        <w:rPr>
          <w:i/>
          <w:iCs/>
          <w:noProof/>
          <w:sz w:val="22"/>
          <w:lang w:val="en-US"/>
        </w:rPr>
        <w:t>15</w:t>
      </w:r>
      <w:r w:rsidRPr="00AD7F4D">
        <w:rPr>
          <w:noProof/>
          <w:sz w:val="22"/>
          <w:lang w:val="en-US"/>
        </w:rPr>
        <w:t>(1–2), 39–56. https://doi.org/10.1163/18710328-BJA10003</w:t>
      </w:r>
    </w:p>
    <w:p w14:paraId="7EC01E39"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Betty Tresnawaty, Enok Risdayah, &amp; Rohmanur Aziz. (2025). Spiritual Communication: Implementation of Religious Moderation in Cirebon, Indonesia. </w:t>
      </w:r>
      <w:r w:rsidRPr="00AD7F4D">
        <w:rPr>
          <w:i/>
          <w:iCs/>
          <w:noProof/>
          <w:sz w:val="22"/>
          <w:lang w:val="en-US"/>
        </w:rPr>
        <w:t>Sociology Study</w:t>
      </w:r>
      <w:r w:rsidRPr="00AD7F4D">
        <w:rPr>
          <w:noProof/>
          <w:sz w:val="22"/>
          <w:lang w:val="en-US"/>
        </w:rPr>
        <w:t xml:space="preserve">, </w:t>
      </w:r>
      <w:r w:rsidRPr="00AD7F4D">
        <w:rPr>
          <w:i/>
          <w:iCs/>
          <w:noProof/>
          <w:sz w:val="22"/>
          <w:lang w:val="en-US"/>
        </w:rPr>
        <w:t>15</w:t>
      </w:r>
      <w:r w:rsidRPr="00AD7F4D">
        <w:rPr>
          <w:noProof/>
          <w:sz w:val="22"/>
          <w:lang w:val="en-US"/>
        </w:rPr>
        <w:t>(1). https://doi.org/10.17265/2159-5526/2025.01.002</w:t>
      </w:r>
    </w:p>
    <w:p w14:paraId="2B545C28"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Braun, V., &amp; Clarke, V. (2019). Reflecting on reflexive thematic analysis. </w:t>
      </w:r>
      <w:r w:rsidRPr="00AD7F4D">
        <w:rPr>
          <w:i/>
          <w:iCs/>
          <w:noProof/>
          <w:sz w:val="22"/>
          <w:lang w:val="en-US"/>
        </w:rPr>
        <w:t>Qualitative Research in Sport, Exercise and Health</w:t>
      </w:r>
      <w:r w:rsidRPr="00AD7F4D">
        <w:rPr>
          <w:noProof/>
          <w:sz w:val="22"/>
          <w:lang w:val="en-US"/>
        </w:rPr>
        <w:t xml:space="preserve">, </w:t>
      </w:r>
      <w:r w:rsidRPr="00AD7F4D">
        <w:rPr>
          <w:i/>
          <w:iCs/>
          <w:noProof/>
          <w:sz w:val="22"/>
          <w:lang w:val="en-US"/>
        </w:rPr>
        <w:t>11</w:t>
      </w:r>
      <w:r w:rsidRPr="00AD7F4D">
        <w:rPr>
          <w:noProof/>
          <w:sz w:val="22"/>
          <w:lang w:val="en-US"/>
        </w:rPr>
        <w:t>(4), 589–597. https://doi.org/10.1080/2159676X.2019.1628806</w:t>
      </w:r>
    </w:p>
    <w:p w14:paraId="5E60302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Budiman, A., Taufiq, O. H., &amp; Nurholis, E. (2022). Ancaman Intoleransi Terhadap Dasar Negara </w:t>
      </w:r>
      <w:r w:rsidRPr="00AD7F4D">
        <w:rPr>
          <w:noProof/>
          <w:sz w:val="22"/>
          <w:lang w:val="en-US"/>
        </w:rPr>
        <w:lastRenderedPageBreak/>
        <w:t xml:space="preserve">Pancasila Dan Implikasinya Terhadap Ketahanan Ideologi Wilayah (Studi Di Kabupaten Tasikmalaya, Jawa Barat, Periode 2019-2020). </w:t>
      </w:r>
      <w:r w:rsidRPr="00AD7F4D">
        <w:rPr>
          <w:i/>
          <w:iCs/>
          <w:noProof/>
          <w:sz w:val="22"/>
          <w:lang w:val="en-US"/>
        </w:rPr>
        <w:t>Jurnal Ketahanan Nasional</w:t>
      </w:r>
      <w:r w:rsidRPr="00AD7F4D">
        <w:rPr>
          <w:noProof/>
          <w:sz w:val="22"/>
          <w:lang w:val="en-US"/>
        </w:rPr>
        <w:t xml:space="preserve">, </w:t>
      </w:r>
      <w:r w:rsidRPr="00AD7F4D">
        <w:rPr>
          <w:i/>
          <w:iCs/>
          <w:noProof/>
          <w:sz w:val="22"/>
          <w:lang w:val="en-US"/>
        </w:rPr>
        <w:t>28</w:t>
      </w:r>
      <w:r w:rsidRPr="00AD7F4D">
        <w:rPr>
          <w:noProof/>
          <w:sz w:val="22"/>
          <w:lang w:val="en-US"/>
        </w:rPr>
        <w:t>(3), 372–391. https://doi.org/10.22146/jkn.61332</w:t>
      </w:r>
    </w:p>
    <w:p w14:paraId="2B23A51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Czarniawska, B. (1997). </w:t>
      </w:r>
      <w:r w:rsidRPr="00AD7F4D">
        <w:rPr>
          <w:i/>
          <w:iCs/>
          <w:noProof/>
          <w:sz w:val="22"/>
          <w:lang w:val="en-US"/>
        </w:rPr>
        <w:t>A Narrative Approach to Organization Studies</w:t>
      </w:r>
      <w:r w:rsidRPr="00AD7F4D">
        <w:rPr>
          <w:noProof/>
          <w:sz w:val="22"/>
          <w:lang w:val="en-US"/>
        </w:rPr>
        <w:t>. SAGE Publications.</w:t>
      </w:r>
    </w:p>
    <w:p w14:paraId="1181AFF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Drori, G. S. (2016). Global and comparative studies of organization and management: moving from ‘sameness or difference’ to ‘glocalization and orientation.’ In </w:t>
      </w:r>
      <w:r w:rsidRPr="00AD7F4D">
        <w:rPr>
          <w:i/>
          <w:iCs/>
          <w:noProof/>
          <w:sz w:val="22"/>
          <w:lang w:val="en-US"/>
        </w:rPr>
        <w:t>A Research Agenda for Management and Organization Studies</w:t>
      </w:r>
      <w:r w:rsidRPr="00AD7F4D">
        <w:rPr>
          <w:noProof/>
          <w:sz w:val="22"/>
          <w:lang w:val="en-US"/>
        </w:rPr>
        <w:t>. Edward Elgar Publishing. https://doi.org/10.4337/9781784717025.00015</w:t>
      </w:r>
    </w:p>
    <w:p w14:paraId="374932B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Faqih, A. (2021). The Role of Forum Kerukunan Umat Beragama (FKUB) for Religious Harmony and the Rights of Freedom of Religion or Belief (Forb). </w:t>
      </w:r>
      <w:r w:rsidRPr="00AD7F4D">
        <w:rPr>
          <w:i/>
          <w:iCs/>
          <w:noProof/>
          <w:sz w:val="22"/>
          <w:lang w:val="en-US"/>
        </w:rPr>
        <w:t>Religió: Jurnal Studi Agama-Agama</w:t>
      </w:r>
      <w:r w:rsidRPr="00AD7F4D">
        <w:rPr>
          <w:noProof/>
          <w:sz w:val="22"/>
          <w:lang w:val="en-US"/>
        </w:rPr>
        <w:t xml:space="preserve">, </w:t>
      </w:r>
      <w:r w:rsidRPr="00AD7F4D">
        <w:rPr>
          <w:i/>
          <w:iCs/>
          <w:noProof/>
          <w:sz w:val="22"/>
          <w:lang w:val="en-US"/>
        </w:rPr>
        <w:t>11</w:t>
      </w:r>
      <w:r w:rsidRPr="00AD7F4D">
        <w:rPr>
          <w:noProof/>
          <w:sz w:val="22"/>
          <w:lang w:val="en-US"/>
        </w:rPr>
        <w:t>(1), 75–93. https://doi.org/10.15642/religio.v11i1.1662</w:t>
      </w:r>
    </w:p>
    <w:p w14:paraId="0E2B33A2"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Fasya, A. ‘Aunillah, Ahmad, A. A. H., Arifianto, M. L., &amp; Zainurrakhmah, Z. (2015). The Dynamics of Relation Between The State and Local Religions in Indonesia: Between Idealism and Reality. </w:t>
      </w:r>
      <w:r w:rsidRPr="00AD7F4D">
        <w:rPr>
          <w:i/>
          <w:iCs/>
          <w:noProof/>
          <w:sz w:val="22"/>
          <w:lang w:val="en-US"/>
        </w:rPr>
        <w:t>Al-Albab</w:t>
      </w:r>
      <w:r w:rsidRPr="00AD7F4D">
        <w:rPr>
          <w:noProof/>
          <w:sz w:val="22"/>
          <w:lang w:val="en-US"/>
        </w:rPr>
        <w:t xml:space="preserve">, </w:t>
      </w:r>
      <w:r w:rsidRPr="00AD7F4D">
        <w:rPr>
          <w:i/>
          <w:iCs/>
          <w:noProof/>
          <w:sz w:val="22"/>
          <w:lang w:val="en-US"/>
        </w:rPr>
        <w:t>4</w:t>
      </w:r>
      <w:r w:rsidRPr="00AD7F4D">
        <w:rPr>
          <w:noProof/>
          <w:sz w:val="22"/>
          <w:lang w:val="en-US"/>
        </w:rPr>
        <w:t>(2). https://doi.org/10.24260/alalbab.v4i2.292</w:t>
      </w:r>
    </w:p>
    <w:p w14:paraId="2A687437"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Flyvbjerg, B. (2006). Five Misunderstandings About Case-Study Research. </w:t>
      </w:r>
      <w:r w:rsidRPr="00AD7F4D">
        <w:rPr>
          <w:i/>
          <w:iCs/>
          <w:noProof/>
          <w:sz w:val="22"/>
          <w:lang w:val="en-US"/>
        </w:rPr>
        <w:t>Qualitative Inquiry</w:t>
      </w:r>
      <w:r w:rsidRPr="00AD7F4D">
        <w:rPr>
          <w:noProof/>
          <w:sz w:val="22"/>
          <w:lang w:val="en-US"/>
        </w:rPr>
        <w:t xml:space="preserve">, </w:t>
      </w:r>
      <w:r w:rsidRPr="00AD7F4D">
        <w:rPr>
          <w:i/>
          <w:iCs/>
          <w:noProof/>
          <w:sz w:val="22"/>
          <w:lang w:val="en-US"/>
        </w:rPr>
        <w:t>12</w:t>
      </w:r>
      <w:r w:rsidRPr="00AD7F4D">
        <w:rPr>
          <w:noProof/>
          <w:sz w:val="22"/>
          <w:lang w:val="en-US"/>
        </w:rPr>
        <w:t>(2), 219–245. https://doi.org/10.1177/1077800405284363</w:t>
      </w:r>
    </w:p>
    <w:p w14:paraId="043F3BD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Foundation, W. (2023). </w:t>
      </w:r>
      <w:r w:rsidRPr="00AD7F4D">
        <w:rPr>
          <w:i/>
          <w:iCs/>
          <w:noProof/>
          <w:sz w:val="22"/>
          <w:lang w:val="en-US"/>
        </w:rPr>
        <w:t>Laporan Tahunan: Kemerdekaan Beragama/Berkeyakinan 2022</w:t>
      </w:r>
      <w:r w:rsidRPr="00AD7F4D">
        <w:rPr>
          <w:noProof/>
          <w:sz w:val="22"/>
          <w:lang w:val="en-US"/>
        </w:rPr>
        <w:t>. https://wahidfoundation.org/index.php/publikasi/laporan-kbb</w:t>
      </w:r>
    </w:p>
    <w:p w14:paraId="08E6B8F7"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Friday, E., &amp; Friday, S. S. (2003). Managing diversity using a strategic planned change approach. </w:t>
      </w:r>
      <w:r w:rsidRPr="00AD7F4D">
        <w:rPr>
          <w:i/>
          <w:iCs/>
          <w:noProof/>
          <w:sz w:val="22"/>
          <w:lang w:val="en-US"/>
        </w:rPr>
        <w:t>Journal of Management Development</w:t>
      </w:r>
      <w:r w:rsidRPr="00AD7F4D">
        <w:rPr>
          <w:noProof/>
          <w:sz w:val="22"/>
          <w:lang w:val="en-US"/>
        </w:rPr>
        <w:t xml:space="preserve">, </w:t>
      </w:r>
      <w:r w:rsidRPr="00AD7F4D">
        <w:rPr>
          <w:i/>
          <w:iCs/>
          <w:noProof/>
          <w:sz w:val="22"/>
          <w:lang w:val="en-US"/>
        </w:rPr>
        <w:t>22</w:t>
      </w:r>
      <w:r w:rsidRPr="00AD7F4D">
        <w:rPr>
          <w:noProof/>
          <w:sz w:val="22"/>
          <w:lang w:val="en-US"/>
        </w:rPr>
        <w:t>(10), 863–880. https://doi.org/10.1108/02621710310505467</w:t>
      </w:r>
    </w:p>
    <w:p w14:paraId="16528EC2"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Hakim, L., Meria, A., &amp; Suryadinata, S. (2023). Religious Moderation in Indonesian Context. </w:t>
      </w:r>
      <w:r w:rsidRPr="00AD7F4D">
        <w:rPr>
          <w:i/>
          <w:iCs/>
          <w:noProof/>
          <w:sz w:val="22"/>
          <w:lang w:val="en-US"/>
        </w:rPr>
        <w:t>Al-Albab</w:t>
      </w:r>
      <w:r w:rsidRPr="00AD7F4D">
        <w:rPr>
          <w:noProof/>
          <w:sz w:val="22"/>
          <w:lang w:val="en-US"/>
        </w:rPr>
        <w:t xml:space="preserve">, </w:t>
      </w:r>
      <w:r w:rsidRPr="00AD7F4D">
        <w:rPr>
          <w:i/>
          <w:iCs/>
          <w:noProof/>
          <w:sz w:val="22"/>
          <w:lang w:val="en-US"/>
        </w:rPr>
        <w:t>12</w:t>
      </w:r>
      <w:r w:rsidRPr="00AD7F4D">
        <w:rPr>
          <w:noProof/>
          <w:sz w:val="22"/>
          <w:lang w:val="en-US"/>
        </w:rPr>
        <w:t>(1), 95–112. https://doi.org/10.24260/alalbab.v12i1.2619</w:t>
      </w:r>
    </w:p>
    <w:p w14:paraId="783B76B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Hedges, P. (2020). </w:t>
      </w:r>
      <w:r w:rsidRPr="00AD7F4D">
        <w:rPr>
          <w:i/>
          <w:iCs/>
          <w:noProof/>
          <w:sz w:val="22"/>
          <w:lang w:val="en-US"/>
        </w:rPr>
        <w:t>Conceptualising Social Cohesion in Relation to Religious Diversity: Sketching a Pathway in a Globalised World</w:t>
      </w:r>
      <w:r w:rsidRPr="00AD7F4D">
        <w:rPr>
          <w:noProof/>
          <w:sz w:val="22"/>
          <w:lang w:val="en-US"/>
        </w:rPr>
        <w:t>. Interreligious Relations.</w:t>
      </w:r>
    </w:p>
    <w:p w14:paraId="1C45A325"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Huda, Y. (2020). Islamic Sharia in Aceh and Its Implications in other Regions in Indonesia. </w:t>
      </w:r>
      <w:r w:rsidRPr="00AD7F4D">
        <w:rPr>
          <w:i/>
          <w:iCs/>
          <w:noProof/>
          <w:sz w:val="22"/>
          <w:lang w:val="en-US"/>
        </w:rPr>
        <w:t>PETITA: JURNAL KAJIAN ILMU HUKUM DAN SYARIAH</w:t>
      </w:r>
      <w:r w:rsidRPr="00AD7F4D">
        <w:rPr>
          <w:noProof/>
          <w:sz w:val="22"/>
          <w:lang w:val="en-US"/>
        </w:rPr>
        <w:t xml:space="preserve">, </w:t>
      </w:r>
      <w:r w:rsidRPr="00AD7F4D">
        <w:rPr>
          <w:i/>
          <w:iCs/>
          <w:noProof/>
          <w:sz w:val="22"/>
          <w:lang w:val="en-US"/>
        </w:rPr>
        <w:t>5</w:t>
      </w:r>
      <w:r w:rsidRPr="00AD7F4D">
        <w:rPr>
          <w:noProof/>
          <w:sz w:val="22"/>
          <w:lang w:val="en-US"/>
        </w:rPr>
        <w:t>(2). https://doi.org/10.22373/petita.v5i2.98</w:t>
      </w:r>
    </w:p>
    <w:p w14:paraId="36908E7F"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Huliselan, B. (2020). Sebuah Catatan Tentang Revisi PBM No 9 dan No 8 Tahun 2006. </w:t>
      </w:r>
      <w:r w:rsidRPr="00AD7F4D">
        <w:rPr>
          <w:i/>
          <w:iCs/>
          <w:noProof/>
          <w:sz w:val="22"/>
          <w:lang w:val="en-US"/>
        </w:rPr>
        <w:t>Majalah SAMA - Semper Reformanda - (KNLWF) Edisi April 2020</w:t>
      </w:r>
      <w:r w:rsidRPr="00AD7F4D">
        <w:rPr>
          <w:noProof/>
          <w:sz w:val="22"/>
          <w:lang w:val="en-US"/>
        </w:rPr>
        <w:t>. https://www.academia.edu/50961810/Sebuah_Catatan_Tentang_Revisi_PBM_No_9_dan_No_8_Tahun_2006</w:t>
      </w:r>
    </w:p>
    <w:p w14:paraId="62B75F9F"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Humaizi, H., Nik Hasan, N. N., Dalimunthe, M. A., &amp; Ramadhani, E. (2024). Harmony in virtual space: Forum Kerukunan Umat Beragama (FKUB) development communication in creating digital literacy based on religious moderation Pusat Pengajian Komunikasi, Universiti Sains Malaysia. </w:t>
      </w:r>
      <w:r w:rsidRPr="00AD7F4D">
        <w:rPr>
          <w:i/>
          <w:iCs/>
          <w:noProof/>
          <w:sz w:val="22"/>
          <w:lang w:val="en-US"/>
        </w:rPr>
        <w:t>Journal of Infrastructure, Policy and Development</w:t>
      </w:r>
      <w:r w:rsidRPr="00AD7F4D">
        <w:rPr>
          <w:noProof/>
          <w:sz w:val="22"/>
          <w:lang w:val="en-US"/>
        </w:rPr>
        <w:t xml:space="preserve">, </w:t>
      </w:r>
      <w:r w:rsidRPr="00AD7F4D">
        <w:rPr>
          <w:i/>
          <w:iCs/>
          <w:noProof/>
          <w:sz w:val="22"/>
          <w:lang w:val="en-US"/>
        </w:rPr>
        <w:t>8</w:t>
      </w:r>
      <w:r w:rsidRPr="00AD7F4D">
        <w:rPr>
          <w:noProof/>
          <w:sz w:val="22"/>
          <w:lang w:val="en-US"/>
        </w:rPr>
        <w:t>(7), 4299. https://doi.org/10.24294/jipd.v8i7.4299</w:t>
      </w:r>
    </w:p>
    <w:p w14:paraId="2FDC4D8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Humas. (2020). </w:t>
      </w:r>
      <w:r w:rsidRPr="00AD7F4D">
        <w:rPr>
          <w:i/>
          <w:iCs/>
          <w:noProof/>
          <w:sz w:val="22"/>
          <w:lang w:val="en-US"/>
        </w:rPr>
        <w:t>Rakornas FKUB Rekomendasikan Penguatan PBM No. 9 dan 8 Tahun 2006 Jadi Perpres</w:t>
      </w:r>
      <w:r w:rsidRPr="00AD7F4D">
        <w:rPr>
          <w:noProof/>
          <w:sz w:val="22"/>
          <w:lang w:val="en-US"/>
        </w:rPr>
        <w:t>. Kementerian Agama Republik Indonesia. https://balitbangdiklat.kemenag.go.id/berita/rakornas-fkub-rekomendasikan-penguatan-pbm-no-9-dan-8-tahun-2006-jadi-perpres</w:t>
      </w:r>
    </w:p>
    <w:p w14:paraId="3196E3B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Ichwanuddin, A., &amp; Widyaningrum, T. (2021). Implikasi Normatif Peraturan Bersama Menteri Nomor 9 dan 8 Tahun 2006 Terhadap Perlindungan Kelompok Minroritas Di Wilayah Provinsi DKI Jakarta. In </w:t>
      </w:r>
      <w:r w:rsidRPr="00AD7F4D">
        <w:rPr>
          <w:i/>
          <w:iCs/>
          <w:noProof/>
          <w:sz w:val="22"/>
          <w:lang w:val="en-US"/>
        </w:rPr>
        <w:t>Staatrechts</w:t>
      </w:r>
      <w:r w:rsidRPr="00AD7F4D">
        <w:rPr>
          <w:noProof/>
          <w:sz w:val="22"/>
          <w:lang w:val="en-US"/>
        </w:rPr>
        <w:t xml:space="preserve"> (Vol. 4, Issue 1). https://journal.uta45jakarta.ac.id/index.php/STAATRECHTS/article/view/4900</w:t>
      </w:r>
    </w:p>
    <w:p w14:paraId="04AA119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Isa, A. G. (2014). Implementation of Islamic Sharia in the Framework of Special Autonomy: Assessment Study in the Province of Aceh. </w:t>
      </w:r>
      <w:r w:rsidRPr="00AD7F4D">
        <w:rPr>
          <w:i/>
          <w:iCs/>
          <w:noProof/>
          <w:sz w:val="22"/>
          <w:lang w:val="en-US"/>
        </w:rPr>
        <w:t>MIQOT: Jurnal Ilmu-Ilmu Keislaman</w:t>
      </w:r>
      <w:r w:rsidRPr="00AD7F4D">
        <w:rPr>
          <w:noProof/>
          <w:sz w:val="22"/>
          <w:lang w:val="en-US"/>
        </w:rPr>
        <w:t xml:space="preserve">, </w:t>
      </w:r>
      <w:r w:rsidRPr="00AD7F4D">
        <w:rPr>
          <w:i/>
          <w:iCs/>
          <w:noProof/>
          <w:sz w:val="22"/>
          <w:lang w:val="en-US"/>
        </w:rPr>
        <w:t>38</w:t>
      </w:r>
      <w:r w:rsidRPr="00AD7F4D">
        <w:rPr>
          <w:noProof/>
          <w:sz w:val="22"/>
          <w:lang w:val="en-US"/>
        </w:rPr>
        <w:t>(1), 103–120. https://jurnalmiqotojs.uinsu.ac.id/index.php/jurnalmiqot/article/view/55</w:t>
      </w:r>
    </w:p>
    <w:p w14:paraId="0B716CE1"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Islam, G. (2014). Social Identity Theory. In </w:t>
      </w:r>
      <w:r w:rsidRPr="00AD7F4D">
        <w:rPr>
          <w:i/>
          <w:iCs/>
          <w:noProof/>
          <w:sz w:val="22"/>
          <w:lang w:val="en-US"/>
        </w:rPr>
        <w:t>Encyclopedia of Critical Psychology</w:t>
      </w:r>
      <w:r w:rsidRPr="00AD7F4D">
        <w:rPr>
          <w:noProof/>
          <w:sz w:val="22"/>
          <w:lang w:val="en-US"/>
        </w:rPr>
        <w:t xml:space="preserve"> (pp. 1781–1783). Springer New York. https://doi.org/10.1007/978-1-4614-5583-7_289</w:t>
      </w:r>
    </w:p>
    <w:p w14:paraId="196AAEDC"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Islamy, A. (2022). Moderasi Beragama Dalam Ideologi Pancasila. </w:t>
      </w:r>
      <w:r w:rsidRPr="00AD7F4D">
        <w:rPr>
          <w:i/>
          <w:iCs/>
          <w:noProof/>
          <w:sz w:val="22"/>
          <w:lang w:val="en-US"/>
        </w:rPr>
        <w:t>POROS ONIM: Jurnal Sosial Keagamaan</w:t>
      </w:r>
      <w:r w:rsidRPr="00AD7F4D">
        <w:rPr>
          <w:noProof/>
          <w:sz w:val="22"/>
          <w:lang w:val="en-US"/>
        </w:rPr>
        <w:t xml:space="preserve">, </w:t>
      </w:r>
      <w:r w:rsidRPr="00AD7F4D">
        <w:rPr>
          <w:i/>
          <w:iCs/>
          <w:noProof/>
          <w:sz w:val="22"/>
          <w:lang w:val="en-US"/>
        </w:rPr>
        <w:t>3</w:t>
      </w:r>
      <w:r w:rsidRPr="00AD7F4D">
        <w:rPr>
          <w:noProof/>
          <w:sz w:val="22"/>
          <w:lang w:val="en-US"/>
        </w:rPr>
        <w:t>(1), 18–30. https://doi.org/10.53491/porosonim.v3i1.333</w:t>
      </w:r>
    </w:p>
    <w:p w14:paraId="2CC2ED7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Jati, W., &amp; Bachtiar, H. (2024). Redefining Religious Moderation Education for Urban Muslim </w:t>
      </w:r>
      <w:r w:rsidRPr="00AD7F4D">
        <w:rPr>
          <w:noProof/>
          <w:sz w:val="22"/>
          <w:lang w:val="en-US"/>
        </w:rPr>
        <w:lastRenderedPageBreak/>
        <w:t xml:space="preserve">Youth. </w:t>
      </w:r>
      <w:r w:rsidRPr="00AD7F4D">
        <w:rPr>
          <w:i/>
          <w:iCs/>
          <w:noProof/>
          <w:sz w:val="22"/>
          <w:lang w:val="en-US"/>
        </w:rPr>
        <w:t>EDUKASI: Jurnal Penelitian Pendidikan Agama Dan Keagamaan</w:t>
      </w:r>
      <w:r w:rsidRPr="00AD7F4D">
        <w:rPr>
          <w:noProof/>
          <w:sz w:val="22"/>
          <w:lang w:val="en-US"/>
        </w:rPr>
        <w:t xml:space="preserve">, </w:t>
      </w:r>
      <w:r w:rsidRPr="00AD7F4D">
        <w:rPr>
          <w:i/>
          <w:iCs/>
          <w:noProof/>
          <w:sz w:val="22"/>
          <w:lang w:val="en-US"/>
        </w:rPr>
        <w:t>22</w:t>
      </w:r>
      <w:r w:rsidRPr="00AD7F4D">
        <w:rPr>
          <w:noProof/>
          <w:sz w:val="22"/>
          <w:lang w:val="en-US"/>
        </w:rPr>
        <w:t>(1), 153–166. https://doi.org/10.32729/edukasi.v22i1.1832</w:t>
      </w:r>
    </w:p>
    <w:p w14:paraId="4D1CA2E8"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John W. Creswell, &amp; Vicki L. Plano Clark. (2018). Designing and conducting mixed methods research. In </w:t>
      </w:r>
      <w:r w:rsidRPr="00AD7F4D">
        <w:rPr>
          <w:i/>
          <w:iCs/>
          <w:noProof/>
          <w:sz w:val="22"/>
          <w:lang w:val="en-US"/>
        </w:rPr>
        <w:t>Organizational Research Methods</w:t>
      </w:r>
      <w:r w:rsidRPr="00AD7F4D">
        <w:rPr>
          <w:noProof/>
          <w:sz w:val="22"/>
          <w:lang w:val="en-US"/>
        </w:rPr>
        <w:t xml:space="preserve"> (Vol. 12, Issue 4). https://study.sagepub.com/creswell3e</w:t>
      </w:r>
    </w:p>
    <w:p w14:paraId="5EA26C5B"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Jubba, H., Awang, J., Qodir, Z., Hannani, &amp; Pabbajah, M. (2022). The contestation between conservative and moderate Muslims in promoting Islamic moderatism in Indonesia. </w:t>
      </w:r>
      <w:r w:rsidRPr="00AD7F4D">
        <w:rPr>
          <w:i/>
          <w:iCs/>
          <w:noProof/>
          <w:sz w:val="22"/>
          <w:lang w:val="en-US"/>
        </w:rPr>
        <w:t>Cogent Social Sciences</w:t>
      </w:r>
      <w:r w:rsidRPr="00AD7F4D">
        <w:rPr>
          <w:noProof/>
          <w:sz w:val="22"/>
          <w:lang w:val="en-US"/>
        </w:rPr>
        <w:t xml:space="preserve">, </w:t>
      </w:r>
      <w:r w:rsidRPr="00AD7F4D">
        <w:rPr>
          <w:i/>
          <w:iCs/>
          <w:noProof/>
          <w:sz w:val="22"/>
          <w:lang w:val="en-US"/>
        </w:rPr>
        <w:t>8</w:t>
      </w:r>
      <w:r w:rsidRPr="00AD7F4D">
        <w:rPr>
          <w:noProof/>
          <w:sz w:val="22"/>
          <w:lang w:val="en-US"/>
        </w:rPr>
        <w:t>(1). https://doi.org/10.1080/23311886.2022.2116162</w:t>
      </w:r>
    </w:p>
    <w:p w14:paraId="1823C33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Kamaliah, N., Fitriany, A., Mubarok, M. K., &amp; Widodo, J. P. (2024). The History of FKUB in The Development of Character Education for Religious Communities in Sidoarjo. </w:t>
      </w:r>
      <w:r w:rsidRPr="00AD7F4D">
        <w:rPr>
          <w:i/>
          <w:iCs/>
          <w:noProof/>
          <w:sz w:val="22"/>
          <w:lang w:val="en-US"/>
        </w:rPr>
        <w:t>Entita: Jurnal Pendidikan Ilmu Pengetahuan Sosial Dan Ilmu-Ilmu Sosial</w:t>
      </w:r>
      <w:r w:rsidRPr="00AD7F4D">
        <w:rPr>
          <w:noProof/>
          <w:sz w:val="22"/>
          <w:lang w:val="en-US"/>
        </w:rPr>
        <w:t xml:space="preserve">, </w:t>
      </w:r>
      <w:r w:rsidRPr="00AD7F4D">
        <w:rPr>
          <w:i/>
          <w:iCs/>
          <w:noProof/>
          <w:sz w:val="22"/>
          <w:lang w:val="en-US"/>
        </w:rPr>
        <w:t>6</w:t>
      </w:r>
      <w:r w:rsidRPr="00AD7F4D">
        <w:rPr>
          <w:noProof/>
          <w:sz w:val="22"/>
          <w:lang w:val="en-US"/>
        </w:rPr>
        <w:t>(2). https://doi.org/10.19105/ejpis.v6i2.14772</w:t>
      </w:r>
    </w:p>
    <w:p w14:paraId="2F05CF62"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Kementerian Agama RI. (2019a). </w:t>
      </w:r>
      <w:r w:rsidRPr="00AD7F4D">
        <w:rPr>
          <w:i/>
          <w:iCs/>
          <w:noProof/>
          <w:sz w:val="22"/>
          <w:lang w:val="en-US"/>
        </w:rPr>
        <w:t>Moderasi Beragama</w:t>
      </w:r>
      <w:r w:rsidRPr="00AD7F4D">
        <w:rPr>
          <w:noProof/>
          <w:sz w:val="22"/>
          <w:lang w:val="en-US"/>
        </w:rPr>
        <w:t>. Badan Litbang dan Diklat Kementerian Agama RI.</w:t>
      </w:r>
    </w:p>
    <w:p w14:paraId="0CF19C60"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Kementerian Agama RI. (2019b). </w:t>
      </w:r>
      <w:r w:rsidRPr="00AD7F4D">
        <w:rPr>
          <w:i/>
          <w:iCs/>
          <w:noProof/>
          <w:sz w:val="22"/>
          <w:lang w:val="en-US"/>
        </w:rPr>
        <w:t>Tanya Jawab Moderasi Beragama</w:t>
      </w:r>
      <w:r w:rsidRPr="00AD7F4D">
        <w:rPr>
          <w:noProof/>
          <w:sz w:val="22"/>
          <w:lang w:val="en-US"/>
        </w:rPr>
        <w:t>. Badan Litbang dan Diklat Kementerian Agama RI.</w:t>
      </w:r>
    </w:p>
    <w:p w14:paraId="2C08C41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Kompas.com. (2012). </w:t>
      </w:r>
      <w:r w:rsidRPr="00AD7F4D">
        <w:rPr>
          <w:i/>
          <w:iCs/>
          <w:noProof/>
          <w:sz w:val="22"/>
          <w:lang w:val="en-US"/>
        </w:rPr>
        <w:t>Penutupan Gereja dan Wihara di Aceh Tindakan Subversif</w:t>
      </w:r>
      <w:r w:rsidRPr="00AD7F4D">
        <w:rPr>
          <w:noProof/>
          <w:sz w:val="22"/>
          <w:lang w:val="en-US"/>
        </w:rPr>
        <w:t>. https://nasional.kompas.com/read/2012/10/24/16041587/penutupan.gereja.dan.vihara.di.aceh.tindakan.subversif</w:t>
      </w:r>
    </w:p>
    <w:p w14:paraId="6756E564"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Makruf, J., &amp; Jahroni, J. (2024). From Islamic modernism to Islamic conservatism: the case of West Sumatra Provinces, Indonesia. </w:t>
      </w:r>
      <w:r w:rsidRPr="00AD7F4D">
        <w:rPr>
          <w:i/>
          <w:iCs/>
          <w:noProof/>
          <w:sz w:val="22"/>
          <w:lang w:val="en-US"/>
        </w:rPr>
        <w:t>Cogent Social Sciences</w:t>
      </w:r>
      <w:r w:rsidRPr="00AD7F4D">
        <w:rPr>
          <w:noProof/>
          <w:sz w:val="22"/>
          <w:lang w:val="en-US"/>
        </w:rPr>
        <w:t xml:space="preserve">, </w:t>
      </w:r>
      <w:r w:rsidRPr="00AD7F4D">
        <w:rPr>
          <w:i/>
          <w:iCs/>
          <w:noProof/>
          <w:sz w:val="22"/>
          <w:lang w:val="en-US"/>
        </w:rPr>
        <w:t>10</w:t>
      </w:r>
      <w:r w:rsidRPr="00AD7F4D">
        <w:rPr>
          <w:noProof/>
          <w:sz w:val="22"/>
          <w:lang w:val="en-US"/>
        </w:rPr>
        <w:t>(1). https://doi.org/10.1080/23311886.2024.2406297</w:t>
      </w:r>
    </w:p>
    <w:p w14:paraId="0BAB1B07"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Manshuruddin, M. (2017). Pola Kerukunan Antar Umat Beragama dalam Perspektif Forum Kerukunan Umat Beragama (FKUB) Sumatera Utara. </w:t>
      </w:r>
      <w:r w:rsidRPr="00AD7F4D">
        <w:rPr>
          <w:i/>
          <w:iCs/>
          <w:noProof/>
          <w:sz w:val="22"/>
          <w:lang w:val="en-US"/>
        </w:rPr>
        <w:t>MIQOT: Jurnal Ilmu-Ilmu Keislaman</w:t>
      </w:r>
      <w:r w:rsidRPr="00AD7F4D">
        <w:rPr>
          <w:noProof/>
          <w:sz w:val="22"/>
          <w:lang w:val="en-US"/>
        </w:rPr>
        <w:t xml:space="preserve">, </w:t>
      </w:r>
      <w:r w:rsidRPr="00AD7F4D">
        <w:rPr>
          <w:i/>
          <w:iCs/>
          <w:noProof/>
          <w:sz w:val="22"/>
          <w:lang w:val="en-US"/>
        </w:rPr>
        <w:t>41</w:t>
      </w:r>
      <w:r w:rsidRPr="00AD7F4D">
        <w:rPr>
          <w:noProof/>
          <w:sz w:val="22"/>
          <w:lang w:val="en-US"/>
        </w:rPr>
        <w:t>(2). https://doi.org/10.30821/miqot.v41i2.400</w:t>
      </w:r>
    </w:p>
    <w:p w14:paraId="3E388C0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Muhammad, I. (n.d.). Peran FKUB dalam mediasi konflik komunal di Banda Aceh: Pendekatan kearifan lokal. </w:t>
      </w:r>
      <w:r w:rsidRPr="00AD7F4D">
        <w:rPr>
          <w:i/>
          <w:iCs/>
          <w:noProof/>
          <w:sz w:val="22"/>
          <w:lang w:val="en-US"/>
        </w:rPr>
        <w:t>Jurnal Konflik Sosial</w:t>
      </w:r>
      <w:r w:rsidRPr="00AD7F4D">
        <w:rPr>
          <w:noProof/>
          <w:sz w:val="22"/>
          <w:lang w:val="en-US"/>
        </w:rPr>
        <w:t xml:space="preserve">, </w:t>
      </w:r>
      <w:r w:rsidRPr="00AD7F4D">
        <w:rPr>
          <w:i/>
          <w:iCs/>
          <w:noProof/>
          <w:sz w:val="22"/>
          <w:lang w:val="en-US"/>
        </w:rPr>
        <w:t>X</w:t>
      </w:r>
      <w:r w:rsidRPr="00AD7F4D">
        <w:rPr>
          <w:noProof/>
          <w:sz w:val="22"/>
          <w:lang w:val="en-US"/>
        </w:rPr>
        <w:t>(X).</w:t>
      </w:r>
    </w:p>
    <w:p w14:paraId="1A6089A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Muhammad, I. (2022). Fenomenologis Moderasi Beragama pada Madrasah di Aceh. </w:t>
      </w:r>
      <w:r w:rsidRPr="00AD7F4D">
        <w:rPr>
          <w:i/>
          <w:iCs/>
          <w:noProof/>
          <w:sz w:val="22"/>
          <w:lang w:val="en-US"/>
        </w:rPr>
        <w:t>Jurnal MUDARRISUNA: Media Kajian Pendidikan Agama Islam</w:t>
      </w:r>
      <w:r w:rsidRPr="00AD7F4D">
        <w:rPr>
          <w:noProof/>
          <w:sz w:val="22"/>
          <w:lang w:val="en-US"/>
        </w:rPr>
        <w:t xml:space="preserve">, </w:t>
      </w:r>
      <w:r w:rsidRPr="00AD7F4D">
        <w:rPr>
          <w:i/>
          <w:iCs/>
          <w:noProof/>
          <w:sz w:val="22"/>
          <w:lang w:val="en-US"/>
        </w:rPr>
        <w:t>12</w:t>
      </w:r>
      <w:r w:rsidRPr="00AD7F4D">
        <w:rPr>
          <w:noProof/>
          <w:sz w:val="22"/>
          <w:lang w:val="en-US"/>
        </w:rPr>
        <w:t>(4), 980. https://doi.org/10.22373/jm.v12i4.17289</w:t>
      </w:r>
    </w:p>
    <w:p w14:paraId="048DFD2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Muslim, B. (2022). </w:t>
      </w:r>
      <w:r w:rsidRPr="00AD7F4D">
        <w:rPr>
          <w:i/>
          <w:iCs/>
          <w:noProof/>
          <w:sz w:val="22"/>
          <w:lang w:val="en-US"/>
        </w:rPr>
        <w:t>Nilai-Nilai Moderasi Beragama dalam Buku Ajar Al-Qur’an Hadist di Madrasah Aliyah</w:t>
      </w:r>
      <w:r w:rsidRPr="00AD7F4D">
        <w:rPr>
          <w:noProof/>
          <w:sz w:val="22"/>
          <w:lang w:val="en-US"/>
        </w:rPr>
        <w:t xml:space="preserve"> (Nurulllah (Ed.)). Bandar Publishing.</w:t>
      </w:r>
    </w:p>
    <w:p w14:paraId="5636669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Muwahidah, S. (2008). Interfaith Dialogue at the Grassroots Level: A Case Study of an Interfaith Empowerment Program in East Java, Indonesia. </w:t>
      </w:r>
      <w:r w:rsidRPr="00AD7F4D">
        <w:rPr>
          <w:i/>
          <w:iCs/>
          <w:noProof/>
          <w:sz w:val="22"/>
          <w:lang w:val="en-US"/>
        </w:rPr>
        <w:t>Political Theology</w:t>
      </w:r>
      <w:r w:rsidRPr="00AD7F4D">
        <w:rPr>
          <w:noProof/>
          <w:sz w:val="22"/>
          <w:lang w:val="en-US"/>
        </w:rPr>
        <w:t xml:space="preserve">, </w:t>
      </w:r>
      <w:r w:rsidRPr="00AD7F4D">
        <w:rPr>
          <w:i/>
          <w:iCs/>
          <w:noProof/>
          <w:sz w:val="22"/>
          <w:lang w:val="en-US"/>
        </w:rPr>
        <w:t>9</w:t>
      </w:r>
      <w:r w:rsidRPr="00AD7F4D">
        <w:rPr>
          <w:noProof/>
          <w:sz w:val="22"/>
          <w:lang w:val="en-US"/>
        </w:rPr>
        <w:t>(1), 79–92. https://doi.org/10.1558/poth.v9i1.79</w:t>
      </w:r>
    </w:p>
    <w:p w14:paraId="000A6E0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Nasution, F. A., Irmayani, T., &amp; Sazali, H. (2024). The Reality of Spirituality and the Challenge of Religious Freedom in Indonesia: Theological and Social Perspectives. </w:t>
      </w:r>
      <w:r w:rsidRPr="00AD7F4D">
        <w:rPr>
          <w:i/>
          <w:iCs/>
          <w:noProof/>
          <w:sz w:val="22"/>
          <w:lang w:val="en-US"/>
        </w:rPr>
        <w:t>Pharos Journal of Theology</w:t>
      </w:r>
      <w:r w:rsidRPr="00AD7F4D">
        <w:rPr>
          <w:noProof/>
          <w:sz w:val="22"/>
          <w:lang w:val="en-US"/>
        </w:rPr>
        <w:t xml:space="preserve">, </w:t>
      </w:r>
      <w:r w:rsidRPr="00AD7F4D">
        <w:rPr>
          <w:i/>
          <w:iCs/>
          <w:noProof/>
          <w:sz w:val="22"/>
          <w:lang w:val="en-US"/>
        </w:rPr>
        <w:t>105(5)</w:t>
      </w:r>
      <w:r w:rsidRPr="00AD7F4D">
        <w:rPr>
          <w:noProof/>
          <w:sz w:val="22"/>
          <w:lang w:val="en-US"/>
        </w:rPr>
        <w:t>. https://doi.org/10.46222/pharosjot.105.517</w:t>
      </w:r>
    </w:p>
    <w:p w14:paraId="2B2B9461"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Nendissa, J. E., Simamora, R. H., Rotua, D. M., Baringbing, P. G. W., &amp; Farneyanan, S. (2024). Pluralisme agama-agama: Tantangan, peluang, dan perspektif teologis dalam membangun kerukunan umat beragama di Indonesia. </w:t>
      </w:r>
      <w:r w:rsidRPr="00AD7F4D">
        <w:rPr>
          <w:i/>
          <w:iCs/>
          <w:noProof/>
          <w:sz w:val="22"/>
          <w:lang w:val="en-US"/>
        </w:rPr>
        <w:t>Jurnal Sosiologi Agama Dan Teologi Indonesia (SAMI)</w:t>
      </w:r>
      <w:r w:rsidRPr="00AD7F4D">
        <w:rPr>
          <w:noProof/>
          <w:sz w:val="22"/>
          <w:lang w:val="en-US"/>
        </w:rPr>
        <w:t xml:space="preserve">, </w:t>
      </w:r>
      <w:r w:rsidRPr="00AD7F4D">
        <w:rPr>
          <w:i/>
          <w:iCs/>
          <w:noProof/>
          <w:sz w:val="22"/>
          <w:lang w:val="en-US"/>
        </w:rPr>
        <w:t>2</w:t>
      </w:r>
      <w:r w:rsidRPr="00AD7F4D">
        <w:rPr>
          <w:noProof/>
          <w:sz w:val="22"/>
          <w:lang w:val="en-US"/>
        </w:rPr>
        <w:t>(2), 155–184. https://doi.org/10.24246/sami.vol2i2pp155-184</w:t>
      </w:r>
    </w:p>
    <w:p w14:paraId="41E8098F"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Neuman, W. L. (2014). Social Research Methods: Qualitative and Quantitative Approaches. In </w:t>
      </w:r>
      <w:r w:rsidRPr="00AD7F4D">
        <w:rPr>
          <w:i/>
          <w:iCs/>
          <w:noProof/>
          <w:sz w:val="22"/>
          <w:lang w:val="en-US"/>
        </w:rPr>
        <w:t>Pearson Education Limited</w:t>
      </w:r>
      <w:r w:rsidRPr="00AD7F4D">
        <w:rPr>
          <w:noProof/>
          <w:sz w:val="22"/>
          <w:lang w:val="en-US"/>
        </w:rPr>
        <w:t>. Pearson.</w:t>
      </w:r>
    </w:p>
    <w:p w14:paraId="7DC37C8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Pettigrew, T. F., &amp; Tropp, L. R. (2006). A meta-analytic test of intergroup contact theory. </w:t>
      </w:r>
      <w:r w:rsidRPr="00AD7F4D">
        <w:rPr>
          <w:i/>
          <w:iCs/>
          <w:noProof/>
          <w:sz w:val="22"/>
          <w:lang w:val="en-US"/>
        </w:rPr>
        <w:t>Journal of Personality and Social Psychology</w:t>
      </w:r>
      <w:r w:rsidRPr="00AD7F4D">
        <w:rPr>
          <w:noProof/>
          <w:sz w:val="22"/>
          <w:lang w:val="en-US"/>
        </w:rPr>
        <w:t xml:space="preserve">, </w:t>
      </w:r>
      <w:r w:rsidRPr="00AD7F4D">
        <w:rPr>
          <w:i/>
          <w:iCs/>
          <w:noProof/>
          <w:sz w:val="22"/>
          <w:lang w:val="en-US"/>
        </w:rPr>
        <w:t>90</w:t>
      </w:r>
      <w:r w:rsidRPr="00AD7F4D">
        <w:rPr>
          <w:noProof/>
          <w:sz w:val="22"/>
          <w:lang w:val="en-US"/>
        </w:rPr>
        <w:t>(5), 751–783. https://doi.org/10.1037/0022-3514.90.5.751</w:t>
      </w:r>
    </w:p>
    <w:p w14:paraId="4F8D2F1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Priyono, P. (2016). Pluralisme Agama dan Konflik. </w:t>
      </w:r>
      <w:r w:rsidRPr="00AD7F4D">
        <w:rPr>
          <w:i/>
          <w:iCs/>
          <w:noProof/>
          <w:sz w:val="22"/>
          <w:lang w:val="en-US"/>
        </w:rPr>
        <w:t>Analisa</w:t>
      </w:r>
      <w:r w:rsidRPr="00AD7F4D">
        <w:rPr>
          <w:noProof/>
          <w:sz w:val="22"/>
          <w:lang w:val="en-US"/>
        </w:rPr>
        <w:t xml:space="preserve">, </w:t>
      </w:r>
      <w:r w:rsidRPr="00AD7F4D">
        <w:rPr>
          <w:i/>
          <w:iCs/>
          <w:noProof/>
          <w:sz w:val="22"/>
          <w:lang w:val="en-US"/>
        </w:rPr>
        <w:t>15</w:t>
      </w:r>
      <w:r w:rsidRPr="00AD7F4D">
        <w:rPr>
          <w:noProof/>
          <w:sz w:val="22"/>
          <w:lang w:val="en-US"/>
        </w:rPr>
        <w:t>(02), 161. https://doi.org/10.18784/analisa.v15i02.339</w:t>
      </w:r>
    </w:p>
    <w:p w14:paraId="7655774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Putra, J., Frimayanti, A. I., Saputri, R. Y., &amp; BR, A. D. M. (2023). </w:t>
      </w:r>
      <w:r w:rsidRPr="00AD7F4D">
        <w:rPr>
          <w:i/>
          <w:iCs/>
          <w:noProof/>
          <w:sz w:val="22"/>
          <w:lang w:val="en-US"/>
        </w:rPr>
        <w:t>Fostering Harmony Between Religious People: Study on FKUB Bandar Lampung</w:t>
      </w:r>
      <w:r w:rsidRPr="00AD7F4D">
        <w:rPr>
          <w:noProof/>
          <w:sz w:val="22"/>
          <w:lang w:val="en-US"/>
        </w:rPr>
        <w:t xml:space="preserve"> (pp. 511–523). https://doi.org/10.2991/978-2-38476-046-6_51</w:t>
      </w:r>
    </w:p>
    <w:p w14:paraId="47CDAF6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Ratna Roshida Abd Razak, &amp; Muhammad Hasrul Zakariah. (2010). Islam Hadhari : Apa Dan </w:t>
      </w:r>
      <w:r w:rsidRPr="00AD7F4D">
        <w:rPr>
          <w:noProof/>
          <w:sz w:val="22"/>
          <w:lang w:val="en-US"/>
        </w:rPr>
        <w:lastRenderedPageBreak/>
        <w:t xml:space="preserve">Kenapa. </w:t>
      </w:r>
      <w:r w:rsidRPr="00AD7F4D">
        <w:rPr>
          <w:i/>
          <w:iCs/>
          <w:noProof/>
          <w:sz w:val="22"/>
          <w:lang w:val="en-US"/>
        </w:rPr>
        <w:t>Jurnal Hadhari</w:t>
      </w:r>
      <w:r w:rsidRPr="00AD7F4D">
        <w:rPr>
          <w:noProof/>
          <w:sz w:val="22"/>
          <w:lang w:val="en-US"/>
        </w:rPr>
        <w:t xml:space="preserve">, </w:t>
      </w:r>
      <w:r w:rsidRPr="00AD7F4D">
        <w:rPr>
          <w:i/>
          <w:iCs/>
          <w:noProof/>
          <w:sz w:val="22"/>
          <w:lang w:val="en-US"/>
        </w:rPr>
        <w:t>2</w:t>
      </w:r>
      <w:r w:rsidRPr="00AD7F4D">
        <w:rPr>
          <w:noProof/>
          <w:sz w:val="22"/>
          <w:lang w:val="en-US"/>
        </w:rPr>
        <w:t>(1), 1–21. https://ejournals.ukm.my/jhadhari/article/view/12228</w:t>
      </w:r>
    </w:p>
    <w:p w14:paraId="38CF606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Reitz, H. J., Pfeffer, J., &amp; Salancik, G. R. (1979). The External Control of Organizations: A Resource Dependence Perspective. </w:t>
      </w:r>
      <w:r w:rsidRPr="00AD7F4D">
        <w:rPr>
          <w:i/>
          <w:iCs/>
          <w:noProof/>
          <w:sz w:val="22"/>
          <w:lang w:val="en-US"/>
        </w:rPr>
        <w:t>The Academy of Management Review</w:t>
      </w:r>
      <w:r w:rsidRPr="00AD7F4D">
        <w:rPr>
          <w:noProof/>
          <w:sz w:val="22"/>
          <w:lang w:val="en-US"/>
        </w:rPr>
        <w:t xml:space="preserve">, </w:t>
      </w:r>
      <w:r w:rsidRPr="00AD7F4D">
        <w:rPr>
          <w:i/>
          <w:iCs/>
          <w:noProof/>
          <w:sz w:val="22"/>
          <w:lang w:val="en-US"/>
        </w:rPr>
        <w:t>4</w:t>
      </w:r>
      <w:r w:rsidRPr="00AD7F4D">
        <w:rPr>
          <w:noProof/>
          <w:sz w:val="22"/>
          <w:lang w:val="en-US"/>
        </w:rPr>
        <w:t>(2), 309. https://doi.org/10.2307/257794</w:t>
      </w:r>
    </w:p>
    <w:p w14:paraId="06B33D85"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Ridwan, &amp; Khotimah, H. (2024). Examining Islamism, Peacebuilding, and Interfaith Dialogue in Papua, Indonesia. </w:t>
      </w:r>
      <w:r w:rsidRPr="00AD7F4D">
        <w:rPr>
          <w:i/>
          <w:iCs/>
          <w:noProof/>
          <w:sz w:val="22"/>
          <w:lang w:val="en-US"/>
        </w:rPr>
        <w:t>Societas Dei: Jurnal Agama Dan Masyarakat</w:t>
      </w:r>
      <w:r w:rsidRPr="00AD7F4D">
        <w:rPr>
          <w:noProof/>
          <w:sz w:val="22"/>
          <w:lang w:val="en-US"/>
        </w:rPr>
        <w:t xml:space="preserve">, </w:t>
      </w:r>
      <w:r w:rsidRPr="00AD7F4D">
        <w:rPr>
          <w:i/>
          <w:iCs/>
          <w:noProof/>
          <w:sz w:val="22"/>
          <w:lang w:val="en-US"/>
        </w:rPr>
        <w:t>11</w:t>
      </w:r>
      <w:r w:rsidRPr="00AD7F4D">
        <w:rPr>
          <w:noProof/>
          <w:sz w:val="22"/>
          <w:lang w:val="en-US"/>
        </w:rPr>
        <w:t>(1), 24–38. https://doi.org/10.33550/sd.v11i1.397</w:t>
      </w:r>
    </w:p>
    <w:p w14:paraId="254BDDD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Ritonga, A. D., Hadita, C., Mawardi, Attas, S. M. Al, Wicaksono, B., &amp; Masril, M. (2023). Political and Legal Improvisation on the Issue of Religious Politicization: A Study of the Forum for Religious Harmony in Indonesia. </w:t>
      </w:r>
      <w:r w:rsidRPr="00AD7F4D">
        <w:rPr>
          <w:i/>
          <w:iCs/>
          <w:noProof/>
          <w:sz w:val="22"/>
          <w:lang w:val="en-US"/>
        </w:rPr>
        <w:t>Pharos Journal of Theology</w:t>
      </w:r>
      <w:r w:rsidRPr="00AD7F4D">
        <w:rPr>
          <w:noProof/>
          <w:sz w:val="22"/>
          <w:lang w:val="en-US"/>
        </w:rPr>
        <w:t xml:space="preserve">, </w:t>
      </w:r>
      <w:r w:rsidRPr="00AD7F4D">
        <w:rPr>
          <w:i/>
          <w:iCs/>
          <w:noProof/>
          <w:sz w:val="22"/>
          <w:lang w:val="en-US"/>
        </w:rPr>
        <w:t>105(1)</w:t>
      </w:r>
      <w:r w:rsidRPr="00AD7F4D">
        <w:rPr>
          <w:noProof/>
          <w:sz w:val="22"/>
          <w:lang w:val="en-US"/>
        </w:rPr>
        <w:t>. https://doi.org/10.46222/pharosjot.1056</w:t>
      </w:r>
    </w:p>
    <w:p w14:paraId="6A89BE91"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Rosidah, A. (2020). </w:t>
      </w:r>
      <w:r w:rsidRPr="00AD7F4D">
        <w:rPr>
          <w:i/>
          <w:iCs/>
          <w:noProof/>
          <w:sz w:val="22"/>
          <w:lang w:val="en-US"/>
        </w:rPr>
        <w:t>Interfaith Dialogue in Indonesia</w:t>
      </w:r>
      <w:r w:rsidRPr="00AD7F4D">
        <w:rPr>
          <w:noProof/>
          <w:sz w:val="22"/>
          <w:lang w:val="en-US"/>
        </w:rPr>
        <w:t>. Ronggo.Id. https://ronggo.id/interfaith-dialogue-in-indonesia/</w:t>
      </w:r>
    </w:p>
    <w:p w14:paraId="4160B57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Sahrul, S., &amp; Fadhila Daulai, A. (2019). Kearifan Lokal Dalihan Na Tolu, Ninik Mamak dan Kerapatan Adat Nagari dalam Menjaga Kerukunan Antarumat Beragama di Sumatera Barat dan Sumatera Utara. </w:t>
      </w:r>
      <w:r w:rsidRPr="00AD7F4D">
        <w:rPr>
          <w:i/>
          <w:iCs/>
          <w:noProof/>
          <w:sz w:val="22"/>
          <w:lang w:val="en-US"/>
        </w:rPr>
        <w:t>MIQOT: Jurnal Ilmu-Ilmu Keislaman</w:t>
      </w:r>
      <w:r w:rsidRPr="00AD7F4D">
        <w:rPr>
          <w:noProof/>
          <w:sz w:val="22"/>
          <w:lang w:val="en-US"/>
        </w:rPr>
        <w:t xml:space="preserve">, </w:t>
      </w:r>
      <w:r w:rsidRPr="00AD7F4D">
        <w:rPr>
          <w:i/>
          <w:iCs/>
          <w:noProof/>
          <w:sz w:val="22"/>
          <w:lang w:val="en-US"/>
        </w:rPr>
        <w:t>43</w:t>
      </w:r>
      <w:r w:rsidRPr="00AD7F4D">
        <w:rPr>
          <w:noProof/>
          <w:sz w:val="22"/>
          <w:lang w:val="en-US"/>
        </w:rPr>
        <w:t>(2), 300. https://doi.org/10.30821/miqot.v43i2.606</w:t>
      </w:r>
    </w:p>
    <w:p w14:paraId="361F5D12"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Sambo, U. (2023). Tensions between Religion and Policy: Navigating the Public Sphere. </w:t>
      </w:r>
      <w:r w:rsidRPr="00AD7F4D">
        <w:rPr>
          <w:i/>
          <w:iCs/>
          <w:noProof/>
          <w:sz w:val="22"/>
          <w:lang w:val="en-US"/>
        </w:rPr>
        <w:t>Religion and Policy Journal</w:t>
      </w:r>
      <w:r w:rsidRPr="00AD7F4D">
        <w:rPr>
          <w:noProof/>
          <w:sz w:val="22"/>
          <w:lang w:val="en-US"/>
        </w:rPr>
        <w:t xml:space="preserve">, </w:t>
      </w:r>
      <w:r w:rsidRPr="00AD7F4D">
        <w:rPr>
          <w:i/>
          <w:iCs/>
          <w:noProof/>
          <w:sz w:val="22"/>
          <w:lang w:val="en-US"/>
        </w:rPr>
        <w:t>1</w:t>
      </w:r>
      <w:r w:rsidRPr="00AD7F4D">
        <w:rPr>
          <w:noProof/>
          <w:sz w:val="22"/>
          <w:lang w:val="en-US"/>
        </w:rPr>
        <w:t>(1), 16–21. https://doi.org/10.15575/rpj.v1i1.432</w:t>
      </w:r>
    </w:p>
    <w:p w14:paraId="6C423B27"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Setara Institut. (2023). </w:t>
      </w:r>
      <w:r w:rsidRPr="00AD7F4D">
        <w:rPr>
          <w:i/>
          <w:iCs/>
          <w:noProof/>
          <w:sz w:val="22"/>
          <w:lang w:val="en-US"/>
        </w:rPr>
        <w:t>Rilis Data: Kondisi Kebebasan Beragama dan Berkeyakinan 2023</w:t>
      </w:r>
      <w:r w:rsidRPr="00AD7F4D">
        <w:rPr>
          <w:noProof/>
          <w:sz w:val="22"/>
          <w:lang w:val="en-US"/>
        </w:rPr>
        <w:t>. Setara Institut. https://setara-institute.org/rilis-data-kondisi-kebebasan-beragama-dan-berkeyakinan-2023/</w:t>
      </w:r>
    </w:p>
    <w:p w14:paraId="43E4292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Setinawati, Jeniva, I., Tanyid, M., &amp; Merilyn. (2025). The framework of religious moderation: A socio-theological study on the role of religion and culture from Indonesia’s perspective. </w:t>
      </w:r>
      <w:r w:rsidRPr="00AD7F4D">
        <w:rPr>
          <w:i/>
          <w:iCs/>
          <w:noProof/>
          <w:sz w:val="22"/>
          <w:lang w:val="en-US"/>
        </w:rPr>
        <w:t>Social Sciences &amp; Humanities Open</w:t>
      </w:r>
      <w:r w:rsidRPr="00AD7F4D">
        <w:rPr>
          <w:noProof/>
          <w:sz w:val="22"/>
          <w:lang w:val="en-US"/>
        </w:rPr>
        <w:t xml:space="preserve">, </w:t>
      </w:r>
      <w:r w:rsidRPr="00AD7F4D">
        <w:rPr>
          <w:i/>
          <w:iCs/>
          <w:noProof/>
          <w:sz w:val="22"/>
          <w:lang w:val="en-US"/>
        </w:rPr>
        <w:t>11</w:t>
      </w:r>
      <w:r w:rsidRPr="00AD7F4D">
        <w:rPr>
          <w:noProof/>
          <w:sz w:val="22"/>
          <w:lang w:val="en-US"/>
        </w:rPr>
        <w:t>, 101271. https://doi.org/10.1016/j.ssaho.2024.101271</w:t>
      </w:r>
    </w:p>
    <w:p w14:paraId="230C6D4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Sihombing, I., Kholil, S., &amp; Yusnadi, Y. (2023). Mapping Communication Strategies of the Interfaith Dialogue Forum in North Labuhan Batu for Strengthening Religious Moderation. </w:t>
      </w:r>
      <w:r w:rsidRPr="00AD7F4D">
        <w:rPr>
          <w:i/>
          <w:iCs/>
          <w:noProof/>
          <w:sz w:val="22"/>
          <w:lang w:val="en-US"/>
        </w:rPr>
        <w:t>MUHARRIK: Jurnal Dakwah Dan Sosial</w:t>
      </w:r>
      <w:r w:rsidRPr="00AD7F4D">
        <w:rPr>
          <w:noProof/>
          <w:sz w:val="22"/>
          <w:lang w:val="en-US"/>
        </w:rPr>
        <w:t xml:space="preserve">, </w:t>
      </w:r>
      <w:r w:rsidRPr="00AD7F4D">
        <w:rPr>
          <w:i/>
          <w:iCs/>
          <w:noProof/>
          <w:sz w:val="22"/>
          <w:lang w:val="en-US"/>
        </w:rPr>
        <w:t>6</w:t>
      </w:r>
      <w:r w:rsidRPr="00AD7F4D">
        <w:rPr>
          <w:noProof/>
          <w:sz w:val="22"/>
          <w:lang w:val="en-US"/>
        </w:rPr>
        <w:t>(1), 213–227. https://ejournal.insuriponorogo.ac.id/index.php/muharrik/article/view/5062</w:t>
      </w:r>
    </w:p>
    <w:p w14:paraId="2ECA0787"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Skeie, G. (2023). Global Education Policy on Religion and Education. In </w:t>
      </w:r>
      <w:r w:rsidRPr="00AD7F4D">
        <w:rPr>
          <w:i/>
          <w:iCs/>
          <w:noProof/>
          <w:sz w:val="22"/>
          <w:lang w:val="en-US"/>
        </w:rPr>
        <w:t>Religion and Worldviews in Education</w:t>
      </w:r>
      <w:r w:rsidRPr="00AD7F4D">
        <w:rPr>
          <w:noProof/>
          <w:sz w:val="22"/>
          <w:lang w:val="en-US"/>
        </w:rPr>
        <w:t xml:space="preserve"> (pp. 71–90). Routledge. https://doi.org/10.4324/9781003265696-7</w:t>
      </w:r>
    </w:p>
    <w:p w14:paraId="178F96B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Sofjan, D. (Ed.). (2016). </w:t>
      </w:r>
      <w:r w:rsidRPr="00AD7F4D">
        <w:rPr>
          <w:i/>
          <w:iCs/>
          <w:noProof/>
          <w:sz w:val="22"/>
          <w:lang w:val="en-US"/>
        </w:rPr>
        <w:t>Religion, public policy and social transformation in Southeast Asia. Vol. 1, Managing religious diversity</w:t>
      </w:r>
      <w:r w:rsidRPr="00AD7F4D">
        <w:rPr>
          <w:noProof/>
          <w:sz w:val="22"/>
          <w:lang w:val="en-US"/>
        </w:rPr>
        <w:t>. Globethics.net. https://doi.org/10.58863/20.500.12424/166523</w:t>
      </w:r>
    </w:p>
    <w:p w14:paraId="7A96C28C"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Solehudin, E., &amp; Ahyani, H. (2024). Legal Compliance on Sharia Economics in Halal Tourism Regulations. </w:t>
      </w:r>
      <w:r w:rsidRPr="00AD7F4D">
        <w:rPr>
          <w:i/>
          <w:iCs/>
          <w:noProof/>
          <w:sz w:val="22"/>
          <w:lang w:val="en-US"/>
        </w:rPr>
        <w:t>PETITA: JURNAL KAJIAN ILMU HUKUM DAN SYARIAH</w:t>
      </w:r>
      <w:r w:rsidRPr="00AD7F4D">
        <w:rPr>
          <w:noProof/>
          <w:sz w:val="22"/>
          <w:lang w:val="en-US"/>
        </w:rPr>
        <w:t xml:space="preserve">, </w:t>
      </w:r>
      <w:r w:rsidRPr="00AD7F4D">
        <w:rPr>
          <w:i/>
          <w:iCs/>
          <w:noProof/>
          <w:sz w:val="22"/>
          <w:lang w:val="en-US"/>
        </w:rPr>
        <w:t>9</w:t>
      </w:r>
      <w:r w:rsidRPr="00AD7F4D">
        <w:rPr>
          <w:noProof/>
          <w:sz w:val="22"/>
          <w:lang w:val="en-US"/>
        </w:rPr>
        <w:t>(1). https://doi.org/10.22373/petita.v9i1.224</w:t>
      </w:r>
    </w:p>
    <w:p w14:paraId="04B278A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Sopyan, I., Fauzan, P. I., &amp; Fata, A. K. (2021). Religious Harmony, Godly Nationalism, and the Limits of State-sponsored Interreligious Dialogue Agenda in Indonesia. </w:t>
      </w:r>
      <w:r w:rsidRPr="00AD7F4D">
        <w:rPr>
          <w:i/>
          <w:iCs/>
          <w:noProof/>
          <w:sz w:val="22"/>
          <w:lang w:val="en-US"/>
        </w:rPr>
        <w:t>Islamika Inside: Jurnal Keislaman Dan Humaniora</w:t>
      </w:r>
      <w:r w:rsidRPr="00AD7F4D">
        <w:rPr>
          <w:noProof/>
          <w:sz w:val="22"/>
          <w:lang w:val="en-US"/>
        </w:rPr>
        <w:t xml:space="preserve">, </w:t>
      </w:r>
      <w:r w:rsidRPr="00AD7F4D">
        <w:rPr>
          <w:i/>
          <w:iCs/>
          <w:noProof/>
          <w:sz w:val="22"/>
          <w:lang w:val="en-US"/>
        </w:rPr>
        <w:t>6</w:t>
      </w:r>
      <w:r w:rsidRPr="00AD7F4D">
        <w:rPr>
          <w:noProof/>
          <w:sz w:val="22"/>
          <w:lang w:val="en-US"/>
        </w:rPr>
        <w:t>(2), 31–53. https://doi.org/10.35719/islamikainside.v6i2.113</w:t>
      </w:r>
    </w:p>
    <w:p w14:paraId="4DCBB25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Sugiyono. (2020). </w:t>
      </w:r>
      <w:r w:rsidRPr="00AD7F4D">
        <w:rPr>
          <w:i/>
          <w:iCs/>
          <w:noProof/>
          <w:sz w:val="22"/>
          <w:lang w:val="en-US"/>
        </w:rPr>
        <w:t>Metode Penelitian Kualitatif</w:t>
      </w:r>
      <w:r w:rsidRPr="00AD7F4D">
        <w:rPr>
          <w:noProof/>
          <w:sz w:val="22"/>
          <w:lang w:val="en-US"/>
        </w:rPr>
        <w:t>. Alfabeta.</w:t>
      </w:r>
    </w:p>
    <w:p w14:paraId="1A860110"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Sulvinajayanti, S., Nisa, A. K., Bahfiarti, T., Sultan, M. I., Fitriana, A. D., &amp; Hilmiyah, M. (2024). Interfaith Harmony: Optimizing Digital Media and Stakeholder Collaboration in Communicating the Message of Moderation. </w:t>
      </w:r>
      <w:r w:rsidRPr="00AD7F4D">
        <w:rPr>
          <w:i/>
          <w:iCs/>
          <w:noProof/>
          <w:sz w:val="22"/>
          <w:lang w:val="en-US"/>
        </w:rPr>
        <w:t>International Journal of Religion</w:t>
      </w:r>
      <w:r w:rsidRPr="00AD7F4D">
        <w:rPr>
          <w:noProof/>
          <w:sz w:val="22"/>
          <w:lang w:val="en-US"/>
        </w:rPr>
        <w:t xml:space="preserve">, </w:t>
      </w:r>
      <w:r w:rsidRPr="00AD7F4D">
        <w:rPr>
          <w:i/>
          <w:iCs/>
          <w:noProof/>
          <w:sz w:val="22"/>
          <w:lang w:val="en-US"/>
        </w:rPr>
        <w:t>5</w:t>
      </w:r>
      <w:r w:rsidRPr="00AD7F4D">
        <w:rPr>
          <w:noProof/>
          <w:sz w:val="22"/>
          <w:lang w:val="en-US"/>
        </w:rPr>
        <w:t>(10), 4757–4765. https://doi.org/10.61707/frs7yn36</w:t>
      </w:r>
    </w:p>
    <w:p w14:paraId="21E3788A"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Sutamaji, S., &amp; Hakim, L. (2024). Communication Strategies of FKUB in Managing Conflicts Among Religious Communities in Nganjuk and Kediri. </w:t>
      </w:r>
      <w:r w:rsidRPr="00AD7F4D">
        <w:rPr>
          <w:i/>
          <w:iCs/>
          <w:noProof/>
          <w:sz w:val="22"/>
          <w:lang w:val="en-US"/>
        </w:rPr>
        <w:t>Tribakti: Jurnal Pemikiran Keislaman</w:t>
      </w:r>
      <w:r w:rsidRPr="00AD7F4D">
        <w:rPr>
          <w:noProof/>
          <w:sz w:val="22"/>
          <w:lang w:val="en-US"/>
        </w:rPr>
        <w:t xml:space="preserve">, </w:t>
      </w:r>
      <w:r w:rsidRPr="00AD7F4D">
        <w:rPr>
          <w:i/>
          <w:iCs/>
          <w:noProof/>
          <w:sz w:val="22"/>
          <w:lang w:val="en-US"/>
        </w:rPr>
        <w:t>35</w:t>
      </w:r>
      <w:r w:rsidRPr="00AD7F4D">
        <w:rPr>
          <w:noProof/>
          <w:sz w:val="22"/>
          <w:lang w:val="en-US"/>
        </w:rPr>
        <w:t>(2), 225–242. https://doi.org/10.33367/tribakti.v35i2.5423</w:t>
      </w:r>
    </w:p>
    <w:p w14:paraId="2E9402AD"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Syed, J., &amp; Ozbilgin, M. (2019). </w:t>
      </w:r>
      <w:r w:rsidRPr="00AD7F4D">
        <w:rPr>
          <w:i/>
          <w:iCs/>
          <w:noProof/>
          <w:sz w:val="22"/>
          <w:lang w:val="en-US"/>
        </w:rPr>
        <w:t>Managing Diversity and Inclusion: An International Perspective</w:t>
      </w:r>
      <w:r w:rsidRPr="00AD7F4D">
        <w:rPr>
          <w:noProof/>
          <w:sz w:val="22"/>
          <w:lang w:val="en-US"/>
        </w:rPr>
        <w:t>. SAGE Publications.</w:t>
      </w:r>
    </w:p>
    <w:p w14:paraId="7F3777B1"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lastRenderedPageBreak/>
        <w:t xml:space="preserve">Tajfel, H., &amp; Turner, J. (1979). An integrative theory of multigroup conflict. </w:t>
      </w:r>
      <w:r w:rsidRPr="00AD7F4D">
        <w:rPr>
          <w:i/>
          <w:iCs/>
          <w:noProof/>
          <w:sz w:val="22"/>
          <w:lang w:val="en-US"/>
        </w:rPr>
        <w:t>The Social Psychology of Intergroup Relations. Monterey, CA: Brooks/Cole</w:t>
      </w:r>
      <w:r w:rsidRPr="00AD7F4D">
        <w:rPr>
          <w:noProof/>
          <w:sz w:val="22"/>
          <w:lang w:val="en-US"/>
        </w:rPr>
        <w:t>.</w:t>
      </w:r>
    </w:p>
    <w:p w14:paraId="0DF7C122"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Taufiq, O. H., Budiman, A., &amp; Nurholis, E. (2024). Kebijakan dalam Menanggulangi Ancaman Intoleransi Beragama terhadap Ketahanan Ideologi Pancasila di Kabupaten Ciamis Jawa Barat. </w:t>
      </w:r>
      <w:r w:rsidRPr="00AD7F4D">
        <w:rPr>
          <w:i/>
          <w:iCs/>
          <w:noProof/>
          <w:sz w:val="22"/>
          <w:lang w:val="en-US"/>
        </w:rPr>
        <w:t>Jurnal Ketahanan Nasional</w:t>
      </w:r>
      <w:r w:rsidRPr="00AD7F4D">
        <w:rPr>
          <w:noProof/>
          <w:sz w:val="22"/>
          <w:lang w:val="en-US"/>
        </w:rPr>
        <w:t xml:space="preserve">, </w:t>
      </w:r>
      <w:r w:rsidRPr="00AD7F4D">
        <w:rPr>
          <w:i/>
          <w:iCs/>
          <w:noProof/>
          <w:sz w:val="22"/>
          <w:lang w:val="en-US"/>
        </w:rPr>
        <w:t>30</w:t>
      </w:r>
      <w:r w:rsidRPr="00AD7F4D">
        <w:rPr>
          <w:noProof/>
          <w:sz w:val="22"/>
          <w:lang w:val="en-US"/>
        </w:rPr>
        <w:t>(2), 161. https://doi.org/10.22146/jkn.98566</w:t>
      </w:r>
    </w:p>
    <w:p w14:paraId="74B8E42E"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The Jakarta Post. (2012). </w:t>
      </w:r>
      <w:r w:rsidRPr="00AD7F4D">
        <w:rPr>
          <w:i/>
          <w:iCs/>
          <w:noProof/>
          <w:sz w:val="22"/>
          <w:lang w:val="en-US"/>
        </w:rPr>
        <w:t>Christians in Aceh live in fear after church closures</w:t>
      </w:r>
      <w:r w:rsidRPr="00AD7F4D">
        <w:rPr>
          <w:noProof/>
          <w:sz w:val="22"/>
          <w:lang w:val="en-US"/>
        </w:rPr>
        <w:t>. https://www.thejakartapost.com/news/2012/10/23/christians-aceh-live-fear-after-church-closures.html</w:t>
      </w:r>
    </w:p>
    <w:p w14:paraId="7416A6B4"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Tobroni, F. (2021). Local-Sharia Regulations and Religious Expression in Aceh: Criticism of the Qanun about Establishing Places of Worship. </w:t>
      </w:r>
      <w:r w:rsidRPr="00AD7F4D">
        <w:rPr>
          <w:i/>
          <w:iCs/>
          <w:noProof/>
          <w:sz w:val="22"/>
          <w:lang w:val="en-US"/>
        </w:rPr>
        <w:t>Asy-Syir’ah: Jurnal Ilmu Syari’ah Dan Hukum</w:t>
      </w:r>
      <w:r w:rsidRPr="00AD7F4D">
        <w:rPr>
          <w:noProof/>
          <w:sz w:val="22"/>
          <w:lang w:val="en-US"/>
        </w:rPr>
        <w:t xml:space="preserve">, </w:t>
      </w:r>
      <w:r w:rsidRPr="00AD7F4D">
        <w:rPr>
          <w:i/>
          <w:iCs/>
          <w:noProof/>
          <w:sz w:val="22"/>
          <w:lang w:val="en-US"/>
        </w:rPr>
        <w:t>55</w:t>
      </w:r>
      <w:r w:rsidRPr="00AD7F4D">
        <w:rPr>
          <w:noProof/>
          <w:sz w:val="22"/>
          <w:lang w:val="en-US"/>
        </w:rPr>
        <w:t>(1), 209. https://doi.org/10.14421/ajish.v55i1.1012</w:t>
      </w:r>
    </w:p>
    <w:p w14:paraId="24063A1C"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U.S. Embassy Jakarta. (2021). </w:t>
      </w:r>
      <w:r w:rsidRPr="00AD7F4D">
        <w:rPr>
          <w:i/>
          <w:iCs/>
          <w:noProof/>
          <w:sz w:val="22"/>
          <w:lang w:val="en-US"/>
        </w:rPr>
        <w:t>2021 Report on International Religious Freedom in Indonesia</w:t>
      </w:r>
      <w:r w:rsidRPr="00AD7F4D">
        <w:rPr>
          <w:noProof/>
          <w:sz w:val="22"/>
          <w:lang w:val="en-US"/>
        </w:rPr>
        <w:t>. https://id.usembassy.gov/2021-report-on-international-religious-freedom/</w:t>
      </w:r>
    </w:p>
    <w:p w14:paraId="1DEFFB3F"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Ulum, M., Muazzaroh, F., Mahmudah, M., Maghfur, I., &amp; Ahmad, A. (2024). Islamic Studies Update: Examining the Sharia Court in Aceh in the Perspective of Legislation in Indonesia. </w:t>
      </w:r>
      <w:r w:rsidRPr="00AD7F4D">
        <w:rPr>
          <w:i/>
          <w:iCs/>
          <w:noProof/>
          <w:sz w:val="22"/>
          <w:lang w:val="en-US"/>
        </w:rPr>
        <w:t>International Journal of Nusantara Islam</w:t>
      </w:r>
      <w:r w:rsidRPr="00AD7F4D">
        <w:rPr>
          <w:noProof/>
          <w:sz w:val="22"/>
          <w:lang w:val="en-US"/>
        </w:rPr>
        <w:t xml:space="preserve">, </w:t>
      </w:r>
      <w:r w:rsidRPr="00AD7F4D">
        <w:rPr>
          <w:i/>
          <w:iCs/>
          <w:noProof/>
          <w:sz w:val="22"/>
          <w:lang w:val="en-US"/>
        </w:rPr>
        <w:t>12</w:t>
      </w:r>
      <w:r w:rsidRPr="00AD7F4D">
        <w:rPr>
          <w:noProof/>
          <w:sz w:val="22"/>
          <w:lang w:val="en-US"/>
        </w:rPr>
        <w:t>(2), 276–285. https://doi.org/10.15575/IJNI.V12I2.44815</w:t>
      </w:r>
    </w:p>
    <w:p w14:paraId="1A8666C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Wikanda, F., Hatta, M., &amp; Abdullah, A. (2020). FKUB’s Communication Strategy in Mantaining Religious Harmony in Medan. </w:t>
      </w:r>
      <w:r w:rsidRPr="00AD7F4D">
        <w:rPr>
          <w:i/>
          <w:iCs/>
          <w:noProof/>
          <w:sz w:val="22"/>
          <w:lang w:val="en-US"/>
        </w:rPr>
        <w:t>Budapest International Research and Critics Institute (BIRCI-Journal): Humanities and Social Sciences</w:t>
      </w:r>
      <w:r w:rsidRPr="00AD7F4D">
        <w:rPr>
          <w:noProof/>
          <w:sz w:val="22"/>
          <w:lang w:val="en-US"/>
        </w:rPr>
        <w:t xml:space="preserve">, </w:t>
      </w:r>
      <w:r w:rsidRPr="00AD7F4D">
        <w:rPr>
          <w:i/>
          <w:iCs/>
          <w:noProof/>
          <w:sz w:val="22"/>
          <w:lang w:val="en-US"/>
        </w:rPr>
        <w:t>3</w:t>
      </w:r>
      <w:r w:rsidRPr="00AD7F4D">
        <w:rPr>
          <w:noProof/>
          <w:sz w:val="22"/>
          <w:lang w:val="en-US"/>
        </w:rPr>
        <w:t>(3), 1541–1551. https://doi.org/10.33258/birci.v3i3.1083</w:t>
      </w:r>
    </w:p>
    <w:p w14:paraId="312166F6"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Wilkinson, O., Logo, K. H., Tomalin, E., Anthony, W. L., De Wolf, F., &amp; Kurien, A. (2022). Faith in localisation? The experiences of local faith actors engaging with the international humanitarian system in South Sudan. </w:t>
      </w:r>
      <w:r w:rsidRPr="00AD7F4D">
        <w:rPr>
          <w:i/>
          <w:iCs/>
          <w:noProof/>
          <w:sz w:val="22"/>
          <w:lang w:val="en-US"/>
        </w:rPr>
        <w:t>Journal of International Humanitarian Action</w:t>
      </w:r>
      <w:r w:rsidRPr="00AD7F4D">
        <w:rPr>
          <w:noProof/>
          <w:sz w:val="22"/>
          <w:lang w:val="en-US"/>
        </w:rPr>
        <w:t xml:space="preserve">, </w:t>
      </w:r>
      <w:r w:rsidRPr="00AD7F4D">
        <w:rPr>
          <w:i/>
          <w:iCs/>
          <w:noProof/>
          <w:sz w:val="22"/>
          <w:lang w:val="en-US"/>
        </w:rPr>
        <w:t>7</w:t>
      </w:r>
      <w:r w:rsidRPr="00AD7F4D">
        <w:rPr>
          <w:noProof/>
          <w:sz w:val="22"/>
          <w:lang w:val="en-US"/>
        </w:rPr>
        <w:t>(1), 4. https://doi.org/10.1186/s41018-021-00113-8</w:t>
      </w:r>
    </w:p>
    <w:p w14:paraId="6977CB93"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Yadav, S., &amp; Lenka, U. (2020). Diversity management: a systematic review. </w:t>
      </w:r>
      <w:r w:rsidRPr="00AD7F4D">
        <w:rPr>
          <w:i/>
          <w:iCs/>
          <w:noProof/>
          <w:sz w:val="22"/>
          <w:lang w:val="en-US"/>
        </w:rPr>
        <w:t>Equality, Diversity and Inclusion: An International Journal</w:t>
      </w:r>
      <w:r w:rsidRPr="00AD7F4D">
        <w:rPr>
          <w:noProof/>
          <w:sz w:val="22"/>
          <w:lang w:val="en-US"/>
        </w:rPr>
        <w:t xml:space="preserve">, </w:t>
      </w:r>
      <w:r w:rsidRPr="00AD7F4D">
        <w:rPr>
          <w:i/>
          <w:iCs/>
          <w:noProof/>
          <w:sz w:val="22"/>
          <w:lang w:val="en-US"/>
        </w:rPr>
        <w:t>39</w:t>
      </w:r>
      <w:r w:rsidRPr="00AD7F4D">
        <w:rPr>
          <w:noProof/>
          <w:sz w:val="22"/>
          <w:lang w:val="en-US"/>
        </w:rPr>
        <w:t>(8), 901–929. https://doi.org/10.1108/EDI-07-2019-0197</w:t>
      </w:r>
    </w:p>
    <w:p w14:paraId="33C9A8EF" w14:textId="77777777" w:rsidR="00AD7F4D" w:rsidRPr="00AD7F4D" w:rsidRDefault="00AD7F4D" w:rsidP="00AD7F4D">
      <w:pPr>
        <w:widowControl w:val="0"/>
        <w:autoSpaceDE w:val="0"/>
        <w:autoSpaceDN w:val="0"/>
        <w:adjustRightInd w:val="0"/>
        <w:ind w:left="480" w:hanging="480"/>
        <w:jc w:val="both"/>
        <w:rPr>
          <w:noProof/>
          <w:sz w:val="22"/>
          <w:lang w:val="en-US"/>
        </w:rPr>
      </w:pPr>
      <w:r w:rsidRPr="00AD7F4D">
        <w:rPr>
          <w:noProof/>
          <w:sz w:val="22"/>
          <w:lang w:val="en-US"/>
        </w:rPr>
        <w:t xml:space="preserve">Yahya, I., &amp; Susilo, S. (2024). Conservative Muslims in Indonesia’s religious and political landscapes: Ahok’s blasphemy case as a political leverage. </w:t>
      </w:r>
      <w:r w:rsidRPr="00AD7F4D">
        <w:rPr>
          <w:i/>
          <w:iCs/>
          <w:noProof/>
          <w:sz w:val="22"/>
          <w:lang w:val="en-US"/>
        </w:rPr>
        <w:t>Cogent Social Sciences</w:t>
      </w:r>
      <w:r w:rsidRPr="00AD7F4D">
        <w:rPr>
          <w:noProof/>
          <w:sz w:val="22"/>
          <w:lang w:val="en-US"/>
        </w:rPr>
        <w:t xml:space="preserve">, </w:t>
      </w:r>
      <w:r w:rsidRPr="00AD7F4D">
        <w:rPr>
          <w:i/>
          <w:iCs/>
          <w:noProof/>
          <w:sz w:val="22"/>
          <w:lang w:val="en-US"/>
        </w:rPr>
        <w:t>10</w:t>
      </w:r>
      <w:r w:rsidRPr="00AD7F4D">
        <w:rPr>
          <w:noProof/>
          <w:sz w:val="22"/>
          <w:lang w:val="en-US"/>
        </w:rPr>
        <w:t>(1). https://doi.org/10.1080/23311886.2024.2392293</w:t>
      </w:r>
    </w:p>
    <w:p w14:paraId="5A62AD31" w14:textId="77777777" w:rsidR="00AD7F4D" w:rsidRPr="00AD7F4D" w:rsidRDefault="00AD7F4D" w:rsidP="00AD7F4D">
      <w:pPr>
        <w:widowControl w:val="0"/>
        <w:autoSpaceDE w:val="0"/>
        <w:autoSpaceDN w:val="0"/>
        <w:adjustRightInd w:val="0"/>
        <w:ind w:left="480" w:hanging="480"/>
        <w:jc w:val="both"/>
        <w:rPr>
          <w:noProof/>
          <w:sz w:val="22"/>
        </w:rPr>
      </w:pPr>
      <w:r w:rsidRPr="00AD7F4D">
        <w:rPr>
          <w:noProof/>
          <w:sz w:val="22"/>
          <w:lang w:val="en-US"/>
        </w:rPr>
        <w:t xml:space="preserve">Yin, R. K. (2018). </w:t>
      </w:r>
      <w:r w:rsidRPr="00AD7F4D">
        <w:rPr>
          <w:i/>
          <w:iCs/>
          <w:noProof/>
          <w:sz w:val="22"/>
          <w:lang w:val="en-US"/>
        </w:rPr>
        <w:t>Case Study Research and Applications: Design and Methods</w:t>
      </w:r>
      <w:r w:rsidRPr="00AD7F4D">
        <w:rPr>
          <w:noProof/>
          <w:sz w:val="22"/>
          <w:lang w:val="en-US"/>
        </w:rPr>
        <w:t xml:space="preserve"> (6th Editio). SAGE Publications Ltd.</w:t>
      </w:r>
    </w:p>
    <w:p w14:paraId="70988D33" w14:textId="169B1EE0" w:rsidR="00C728BD" w:rsidRPr="00902543" w:rsidRDefault="00C728BD" w:rsidP="00AD7F4D">
      <w:pPr>
        <w:widowControl w:val="0"/>
        <w:autoSpaceDE w:val="0"/>
        <w:autoSpaceDN w:val="0"/>
        <w:adjustRightInd w:val="0"/>
        <w:ind w:left="480" w:hanging="480"/>
        <w:jc w:val="both"/>
        <w:rPr>
          <w:sz w:val="22"/>
          <w:szCs w:val="22"/>
          <w:lang w:val="en-US"/>
        </w:rPr>
      </w:pPr>
      <w:r w:rsidRPr="00902543">
        <w:rPr>
          <w:sz w:val="22"/>
          <w:szCs w:val="22"/>
          <w:lang w:val="en-US"/>
        </w:rPr>
        <w:fldChar w:fldCharType="end"/>
      </w:r>
    </w:p>
    <w:sectPr w:rsidR="00C728BD" w:rsidRPr="00902543" w:rsidSect="00E9439C">
      <w:headerReference w:type="default" r:id="rId8"/>
      <w:footerReference w:type="default" r:id="rId9"/>
      <w:pgSz w:w="11907" w:h="16840"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43A4" w14:textId="77777777" w:rsidR="00600E51" w:rsidRDefault="00600E51" w:rsidP="004651E1">
      <w:r>
        <w:separator/>
      </w:r>
    </w:p>
  </w:endnote>
  <w:endnote w:type="continuationSeparator" w:id="0">
    <w:p w14:paraId="7F1FD3A4" w14:textId="77777777" w:rsidR="00600E51" w:rsidRDefault="00600E51" w:rsidP="004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harter">
    <w:panose1 w:val="02040503050506020203"/>
    <w:charset w:val="00"/>
    <w:family w:val="roman"/>
    <w:pitch w:val="variable"/>
    <w:sig w:usb0="800000AF" w:usb1="1000204A" w:usb2="00000000" w:usb3="00000000" w:csb0="00000011" w:csb1="00000000"/>
  </w:font>
  <w:font w:name="Univers Condensed">
    <w:panose1 w:val="020B0506020202050204"/>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621C" w14:textId="77777777" w:rsidR="00C95B50" w:rsidRPr="00B61EAD" w:rsidRDefault="00C95B50" w:rsidP="00C95B50">
    <w:pPr>
      <w:pStyle w:val="Footer"/>
      <w:ind w:left="415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4BE1" w14:textId="77777777" w:rsidR="00600E51" w:rsidRDefault="00600E51" w:rsidP="004651E1">
      <w:r>
        <w:separator/>
      </w:r>
    </w:p>
  </w:footnote>
  <w:footnote w:type="continuationSeparator" w:id="0">
    <w:p w14:paraId="397AB3D6" w14:textId="77777777" w:rsidR="00600E51" w:rsidRDefault="00600E51" w:rsidP="0046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BC41" w14:textId="77777777" w:rsidR="00E05DCD" w:rsidRPr="00E05DCD" w:rsidRDefault="00E05DCD" w:rsidP="00175213">
    <w:pPr>
      <w:pStyle w:val="Header"/>
      <w:tabs>
        <w:tab w:val="clear" w:pos="4153"/>
        <w:tab w:val="clear" w:pos="8306"/>
      </w:tabs>
      <w:rPr>
        <w:rFonts w:ascii="Charter" w:hAnsi="Chart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25897"/>
    <w:multiLevelType w:val="hybridMultilevel"/>
    <w:tmpl w:val="FFFFFFFF"/>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7E0B4541"/>
    <w:multiLevelType w:val="hybridMultilevel"/>
    <w:tmpl w:val="FFFFFFFF"/>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83397689">
    <w:abstractNumId w:val="0"/>
  </w:num>
  <w:num w:numId="2" w16cid:durableId="88953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E5"/>
    <w:rsid w:val="000009F5"/>
    <w:rsid w:val="00001C98"/>
    <w:rsid w:val="0000655D"/>
    <w:rsid w:val="0001276C"/>
    <w:rsid w:val="00014713"/>
    <w:rsid w:val="00015C01"/>
    <w:rsid w:val="000176CD"/>
    <w:rsid w:val="000427E9"/>
    <w:rsid w:val="00043517"/>
    <w:rsid w:val="00050940"/>
    <w:rsid w:val="000535BC"/>
    <w:rsid w:val="00071B31"/>
    <w:rsid w:val="0007277B"/>
    <w:rsid w:val="00083EB9"/>
    <w:rsid w:val="00086E96"/>
    <w:rsid w:val="00090356"/>
    <w:rsid w:val="0009372C"/>
    <w:rsid w:val="000A3B07"/>
    <w:rsid w:val="000B00A8"/>
    <w:rsid w:val="000B5CA6"/>
    <w:rsid w:val="000D55A1"/>
    <w:rsid w:val="000D60FD"/>
    <w:rsid w:val="00100713"/>
    <w:rsid w:val="00102C0C"/>
    <w:rsid w:val="00103826"/>
    <w:rsid w:val="00111369"/>
    <w:rsid w:val="00116387"/>
    <w:rsid w:val="00120280"/>
    <w:rsid w:val="00125090"/>
    <w:rsid w:val="00126966"/>
    <w:rsid w:val="00127CFD"/>
    <w:rsid w:val="00131CED"/>
    <w:rsid w:val="00131DA2"/>
    <w:rsid w:val="001337E4"/>
    <w:rsid w:val="00134519"/>
    <w:rsid w:val="00145803"/>
    <w:rsid w:val="0014625B"/>
    <w:rsid w:val="00150815"/>
    <w:rsid w:val="0015714E"/>
    <w:rsid w:val="00161768"/>
    <w:rsid w:val="00164D21"/>
    <w:rsid w:val="0017157D"/>
    <w:rsid w:val="00175213"/>
    <w:rsid w:val="001758BD"/>
    <w:rsid w:val="00177731"/>
    <w:rsid w:val="00181B8A"/>
    <w:rsid w:val="00183EF8"/>
    <w:rsid w:val="001845E5"/>
    <w:rsid w:val="00186895"/>
    <w:rsid w:val="001967CE"/>
    <w:rsid w:val="001A323A"/>
    <w:rsid w:val="001A5DDA"/>
    <w:rsid w:val="001B041C"/>
    <w:rsid w:val="001B3687"/>
    <w:rsid w:val="001B5F09"/>
    <w:rsid w:val="001C18E5"/>
    <w:rsid w:val="001C4F45"/>
    <w:rsid w:val="001C69E1"/>
    <w:rsid w:val="001D4616"/>
    <w:rsid w:val="001F31C3"/>
    <w:rsid w:val="001F4AAF"/>
    <w:rsid w:val="001F79FD"/>
    <w:rsid w:val="00207970"/>
    <w:rsid w:val="00207EC5"/>
    <w:rsid w:val="00224E4C"/>
    <w:rsid w:val="002303D2"/>
    <w:rsid w:val="002311A6"/>
    <w:rsid w:val="00231AE0"/>
    <w:rsid w:val="0024192B"/>
    <w:rsid w:val="002454DC"/>
    <w:rsid w:val="0025071A"/>
    <w:rsid w:val="002524AE"/>
    <w:rsid w:val="002541F8"/>
    <w:rsid w:val="0026264E"/>
    <w:rsid w:val="0027031D"/>
    <w:rsid w:val="00270385"/>
    <w:rsid w:val="00272FC3"/>
    <w:rsid w:val="002749E7"/>
    <w:rsid w:val="0028466D"/>
    <w:rsid w:val="002867B2"/>
    <w:rsid w:val="002A7C9E"/>
    <w:rsid w:val="002B544B"/>
    <w:rsid w:val="002C2A2A"/>
    <w:rsid w:val="002C4210"/>
    <w:rsid w:val="002D63E2"/>
    <w:rsid w:val="002E26A5"/>
    <w:rsid w:val="002E7028"/>
    <w:rsid w:val="002F1DC5"/>
    <w:rsid w:val="00302B27"/>
    <w:rsid w:val="00306504"/>
    <w:rsid w:val="00307C80"/>
    <w:rsid w:val="00310053"/>
    <w:rsid w:val="00311DAB"/>
    <w:rsid w:val="00313C01"/>
    <w:rsid w:val="00317169"/>
    <w:rsid w:val="0033226C"/>
    <w:rsid w:val="00332436"/>
    <w:rsid w:val="003426C9"/>
    <w:rsid w:val="00343EC8"/>
    <w:rsid w:val="00344A6E"/>
    <w:rsid w:val="003476C0"/>
    <w:rsid w:val="00353644"/>
    <w:rsid w:val="0035618A"/>
    <w:rsid w:val="00362772"/>
    <w:rsid w:val="003637F3"/>
    <w:rsid w:val="00365D19"/>
    <w:rsid w:val="00373C30"/>
    <w:rsid w:val="00374BFA"/>
    <w:rsid w:val="00381433"/>
    <w:rsid w:val="0039163F"/>
    <w:rsid w:val="00396923"/>
    <w:rsid w:val="003A20BF"/>
    <w:rsid w:val="003A3ADE"/>
    <w:rsid w:val="003A6763"/>
    <w:rsid w:val="003B1B60"/>
    <w:rsid w:val="003C3883"/>
    <w:rsid w:val="003C732C"/>
    <w:rsid w:val="003D1A18"/>
    <w:rsid w:val="003E55DA"/>
    <w:rsid w:val="003E736F"/>
    <w:rsid w:val="00400F74"/>
    <w:rsid w:val="0041101F"/>
    <w:rsid w:val="00411118"/>
    <w:rsid w:val="004139C2"/>
    <w:rsid w:val="004155C7"/>
    <w:rsid w:val="00420712"/>
    <w:rsid w:val="00437E4A"/>
    <w:rsid w:val="00440317"/>
    <w:rsid w:val="00441101"/>
    <w:rsid w:val="0045046F"/>
    <w:rsid w:val="00453081"/>
    <w:rsid w:val="00461BCD"/>
    <w:rsid w:val="004651E1"/>
    <w:rsid w:val="00466959"/>
    <w:rsid w:val="00477BEA"/>
    <w:rsid w:val="00496F35"/>
    <w:rsid w:val="004A4AA8"/>
    <w:rsid w:val="004A4C02"/>
    <w:rsid w:val="004B0800"/>
    <w:rsid w:val="004B507A"/>
    <w:rsid w:val="004B737B"/>
    <w:rsid w:val="004C1AD5"/>
    <w:rsid w:val="004C7B59"/>
    <w:rsid w:val="004C7B5F"/>
    <w:rsid w:val="004D721E"/>
    <w:rsid w:val="004E3961"/>
    <w:rsid w:val="004F1516"/>
    <w:rsid w:val="004F1538"/>
    <w:rsid w:val="0050085B"/>
    <w:rsid w:val="00501DA2"/>
    <w:rsid w:val="00503D3C"/>
    <w:rsid w:val="00510975"/>
    <w:rsid w:val="00511A9F"/>
    <w:rsid w:val="005149CA"/>
    <w:rsid w:val="00521BE4"/>
    <w:rsid w:val="0053553F"/>
    <w:rsid w:val="005374F5"/>
    <w:rsid w:val="00546ADE"/>
    <w:rsid w:val="005734B7"/>
    <w:rsid w:val="005736AA"/>
    <w:rsid w:val="00573C04"/>
    <w:rsid w:val="00574741"/>
    <w:rsid w:val="00575DC9"/>
    <w:rsid w:val="00580688"/>
    <w:rsid w:val="005849B3"/>
    <w:rsid w:val="00592F3C"/>
    <w:rsid w:val="005972F2"/>
    <w:rsid w:val="005A18FF"/>
    <w:rsid w:val="005A73CA"/>
    <w:rsid w:val="005B695E"/>
    <w:rsid w:val="005C1F1B"/>
    <w:rsid w:val="005E4392"/>
    <w:rsid w:val="005E760D"/>
    <w:rsid w:val="005F265B"/>
    <w:rsid w:val="005F4F17"/>
    <w:rsid w:val="005F63F5"/>
    <w:rsid w:val="00600E51"/>
    <w:rsid w:val="006021E4"/>
    <w:rsid w:val="00604E15"/>
    <w:rsid w:val="00607DE9"/>
    <w:rsid w:val="00610BA9"/>
    <w:rsid w:val="00610CC7"/>
    <w:rsid w:val="0061354D"/>
    <w:rsid w:val="00614C16"/>
    <w:rsid w:val="00632700"/>
    <w:rsid w:val="00635AFE"/>
    <w:rsid w:val="006361A8"/>
    <w:rsid w:val="00644D51"/>
    <w:rsid w:val="00653110"/>
    <w:rsid w:val="006533B1"/>
    <w:rsid w:val="006563E5"/>
    <w:rsid w:val="0065705C"/>
    <w:rsid w:val="00662D9A"/>
    <w:rsid w:val="00663220"/>
    <w:rsid w:val="006653CB"/>
    <w:rsid w:val="00665B35"/>
    <w:rsid w:val="00666D76"/>
    <w:rsid w:val="00666F4A"/>
    <w:rsid w:val="00671285"/>
    <w:rsid w:val="006743F5"/>
    <w:rsid w:val="00676567"/>
    <w:rsid w:val="0068206F"/>
    <w:rsid w:val="00694D0B"/>
    <w:rsid w:val="006A7F97"/>
    <w:rsid w:val="006B2555"/>
    <w:rsid w:val="006B2688"/>
    <w:rsid w:val="006C185E"/>
    <w:rsid w:val="006C7F5E"/>
    <w:rsid w:val="006D594B"/>
    <w:rsid w:val="006E0984"/>
    <w:rsid w:val="006E1C2F"/>
    <w:rsid w:val="006F12C0"/>
    <w:rsid w:val="006F53A9"/>
    <w:rsid w:val="007026EE"/>
    <w:rsid w:val="00702A5E"/>
    <w:rsid w:val="00705750"/>
    <w:rsid w:val="00705A31"/>
    <w:rsid w:val="00706A6A"/>
    <w:rsid w:val="00711909"/>
    <w:rsid w:val="00716734"/>
    <w:rsid w:val="00716A85"/>
    <w:rsid w:val="007230BD"/>
    <w:rsid w:val="00723210"/>
    <w:rsid w:val="00730023"/>
    <w:rsid w:val="0073643D"/>
    <w:rsid w:val="007376D2"/>
    <w:rsid w:val="007405B2"/>
    <w:rsid w:val="0074094B"/>
    <w:rsid w:val="00747A4C"/>
    <w:rsid w:val="00750D38"/>
    <w:rsid w:val="00753DCF"/>
    <w:rsid w:val="00757A38"/>
    <w:rsid w:val="0076285C"/>
    <w:rsid w:val="00763AE8"/>
    <w:rsid w:val="00764ACC"/>
    <w:rsid w:val="00764FB2"/>
    <w:rsid w:val="007650A1"/>
    <w:rsid w:val="00777BC6"/>
    <w:rsid w:val="0078265A"/>
    <w:rsid w:val="00784416"/>
    <w:rsid w:val="00793FF8"/>
    <w:rsid w:val="0079519B"/>
    <w:rsid w:val="0079600F"/>
    <w:rsid w:val="007977C3"/>
    <w:rsid w:val="007A01A5"/>
    <w:rsid w:val="007A160F"/>
    <w:rsid w:val="007A3CFC"/>
    <w:rsid w:val="007B030D"/>
    <w:rsid w:val="007B240C"/>
    <w:rsid w:val="007B3D93"/>
    <w:rsid w:val="007B5F33"/>
    <w:rsid w:val="007C0C37"/>
    <w:rsid w:val="007C366C"/>
    <w:rsid w:val="007D12D8"/>
    <w:rsid w:val="007D1ABD"/>
    <w:rsid w:val="007D2226"/>
    <w:rsid w:val="007E77CA"/>
    <w:rsid w:val="007F0746"/>
    <w:rsid w:val="007F0A34"/>
    <w:rsid w:val="007F10A8"/>
    <w:rsid w:val="0081031E"/>
    <w:rsid w:val="00811B95"/>
    <w:rsid w:val="00814962"/>
    <w:rsid w:val="00827194"/>
    <w:rsid w:val="00827D53"/>
    <w:rsid w:val="00852108"/>
    <w:rsid w:val="00854801"/>
    <w:rsid w:val="00854AA0"/>
    <w:rsid w:val="0086542C"/>
    <w:rsid w:val="00865CF8"/>
    <w:rsid w:val="008678F4"/>
    <w:rsid w:val="00872934"/>
    <w:rsid w:val="00876B52"/>
    <w:rsid w:val="00876C16"/>
    <w:rsid w:val="00877350"/>
    <w:rsid w:val="00890DB7"/>
    <w:rsid w:val="00894603"/>
    <w:rsid w:val="00895373"/>
    <w:rsid w:val="008A2D24"/>
    <w:rsid w:val="008A3AD8"/>
    <w:rsid w:val="008B1F24"/>
    <w:rsid w:val="008B2466"/>
    <w:rsid w:val="008B2E26"/>
    <w:rsid w:val="008B7F86"/>
    <w:rsid w:val="008C35E2"/>
    <w:rsid w:val="008C47A7"/>
    <w:rsid w:val="008D0F91"/>
    <w:rsid w:val="008E151D"/>
    <w:rsid w:val="008E2C90"/>
    <w:rsid w:val="008F2B46"/>
    <w:rsid w:val="008F5C63"/>
    <w:rsid w:val="00902543"/>
    <w:rsid w:val="00911C78"/>
    <w:rsid w:val="009256B5"/>
    <w:rsid w:val="00925FAB"/>
    <w:rsid w:val="009303DF"/>
    <w:rsid w:val="00937B5B"/>
    <w:rsid w:val="00943799"/>
    <w:rsid w:val="00943C21"/>
    <w:rsid w:val="00944EE9"/>
    <w:rsid w:val="00946180"/>
    <w:rsid w:val="00952C1D"/>
    <w:rsid w:val="00954B03"/>
    <w:rsid w:val="00960C97"/>
    <w:rsid w:val="00961DE2"/>
    <w:rsid w:val="009626CB"/>
    <w:rsid w:val="00970277"/>
    <w:rsid w:val="00982C86"/>
    <w:rsid w:val="00985CDB"/>
    <w:rsid w:val="0099076D"/>
    <w:rsid w:val="00996B65"/>
    <w:rsid w:val="009A09A5"/>
    <w:rsid w:val="009B5FCE"/>
    <w:rsid w:val="009B63BC"/>
    <w:rsid w:val="009B7EC7"/>
    <w:rsid w:val="009C0D85"/>
    <w:rsid w:val="009C43E7"/>
    <w:rsid w:val="009C5069"/>
    <w:rsid w:val="009D20B7"/>
    <w:rsid w:val="009D2407"/>
    <w:rsid w:val="009D3A40"/>
    <w:rsid w:val="009E0007"/>
    <w:rsid w:val="009E397D"/>
    <w:rsid w:val="00A00476"/>
    <w:rsid w:val="00A03B28"/>
    <w:rsid w:val="00A0739B"/>
    <w:rsid w:val="00A105DB"/>
    <w:rsid w:val="00A22B1E"/>
    <w:rsid w:val="00A26B80"/>
    <w:rsid w:val="00A26BD0"/>
    <w:rsid w:val="00A27481"/>
    <w:rsid w:val="00A3792C"/>
    <w:rsid w:val="00A442FF"/>
    <w:rsid w:val="00A51787"/>
    <w:rsid w:val="00A61994"/>
    <w:rsid w:val="00A651E3"/>
    <w:rsid w:val="00A656FD"/>
    <w:rsid w:val="00A72E5B"/>
    <w:rsid w:val="00A74B0C"/>
    <w:rsid w:val="00A75DE9"/>
    <w:rsid w:val="00A7620E"/>
    <w:rsid w:val="00A845BE"/>
    <w:rsid w:val="00A85F5F"/>
    <w:rsid w:val="00AA2328"/>
    <w:rsid w:val="00AA5550"/>
    <w:rsid w:val="00AA6B85"/>
    <w:rsid w:val="00AA775A"/>
    <w:rsid w:val="00AB28AF"/>
    <w:rsid w:val="00AB3950"/>
    <w:rsid w:val="00AC10E4"/>
    <w:rsid w:val="00AC3B52"/>
    <w:rsid w:val="00AC4B84"/>
    <w:rsid w:val="00AD42D8"/>
    <w:rsid w:val="00AD433C"/>
    <w:rsid w:val="00AD4D64"/>
    <w:rsid w:val="00AD7AD1"/>
    <w:rsid w:val="00AD7F4D"/>
    <w:rsid w:val="00AE3B04"/>
    <w:rsid w:val="00AE40C7"/>
    <w:rsid w:val="00AE4534"/>
    <w:rsid w:val="00B000A5"/>
    <w:rsid w:val="00B04009"/>
    <w:rsid w:val="00B06140"/>
    <w:rsid w:val="00B2233A"/>
    <w:rsid w:val="00B23450"/>
    <w:rsid w:val="00B25A96"/>
    <w:rsid w:val="00B25BFF"/>
    <w:rsid w:val="00B32940"/>
    <w:rsid w:val="00B34F2C"/>
    <w:rsid w:val="00B3672B"/>
    <w:rsid w:val="00B44C0E"/>
    <w:rsid w:val="00B466B7"/>
    <w:rsid w:val="00B52368"/>
    <w:rsid w:val="00B5461A"/>
    <w:rsid w:val="00B55E58"/>
    <w:rsid w:val="00B569BB"/>
    <w:rsid w:val="00B57110"/>
    <w:rsid w:val="00B61EAD"/>
    <w:rsid w:val="00B63794"/>
    <w:rsid w:val="00B643C7"/>
    <w:rsid w:val="00B701A8"/>
    <w:rsid w:val="00B726EF"/>
    <w:rsid w:val="00B800CD"/>
    <w:rsid w:val="00B85E28"/>
    <w:rsid w:val="00B90250"/>
    <w:rsid w:val="00B95F07"/>
    <w:rsid w:val="00BA6A20"/>
    <w:rsid w:val="00BB0156"/>
    <w:rsid w:val="00BB539C"/>
    <w:rsid w:val="00BB53FD"/>
    <w:rsid w:val="00BB546A"/>
    <w:rsid w:val="00BB5FEF"/>
    <w:rsid w:val="00BC01DA"/>
    <w:rsid w:val="00BC21BA"/>
    <w:rsid w:val="00BC3288"/>
    <w:rsid w:val="00BD4124"/>
    <w:rsid w:val="00BD7826"/>
    <w:rsid w:val="00BE0037"/>
    <w:rsid w:val="00BE03F9"/>
    <w:rsid w:val="00BE09EE"/>
    <w:rsid w:val="00BE48D0"/>
    <w:rsid w:val="00BF7578"/>
    <w:rsid w:val="00C029AD"/>
    <w:rsid w:val="00C045D7"/>
    <w:rsid w:val="00C06291"/>
    <w:rsid w:val="00C10696"/>
    <w:rsid w:val="00C11269"/>
    <w:rsid w:val="00C11CB5"/>
    <w:rsid w:val="00C24460"/>
    <w:rsid w:val="00C27BBF"/>
    <w:rsid w:val="00C31561"/>
    <w:rsid w:val="00C34209"/>
    <w:rsid w:val="00C378B0"/>
    <w:rsid w:val="00C403E5"/>
    <w:rsid w:val="00C442AF"/>
    <w:rsid w:val="00C54188"/>
    <w:rsid w:val="00C55B16"/>
    <w:rsid w:val="00C61259"/>
    <w:rsid w:val="00C65C6C"/>
    <w:rsid w:val="00C672E9"/>
    <w:rsid w:val="00C728BD"/>
    <w:rsid w:val="00C74E13"/>
    <w:rsid w:val="00C81696"/>
    <w:rsid w:val="00C87F49"/>
    <w:rsid w:val="00C9166A"/>
    <w:rsid w:val="00C929AE"/>
    <w:rsid w:val="00C94FD2"/>
    <w:rsid w:val="00C95B50"/>
    <w:rsid w:val="00C96B83"/>
    <w:rsid w:val="00C976D3"/>
    <w:rsid w:val="00CA37CD"/>
    <w:rsid w:val="00CA6023"/>
    <w:rsid w:val="00CA6533"/>
    <w:rsid w:val="00CB3F8C"/>
    <w:rsid w:val="00CB67F1"/>
    <w:rsid w:val="00CC3C57"/>
    <w:rsid w:val="00CC586A"/>
    <w:rsid w:val="00CD41AE"/>
    <w:rsid w:val="00CD4DCA"/>
    <w:rsid w:val="00CD6965"/>
    <w:rsid w:val="00CE31E0"/>
    <w:rsid w:val="00D013EB"/>
    <w:rsid w:val="00D03C32"/>
    <w:rsid w:val="00D04503"/>
    <w:rsid w:val="00D04B9E"/>
    <w:rsid w:val="00D06270"/>
    <w:rsid w:val="00D2089F"/>
    <w:rsid w:val="00D20BDA"/>
    <w:rsid w:val="00D242CD"/>
    <w:rsid w:val="00D25B21"/>
    <w:rsid w:val="00D27C87"/>
    <w:rsid w:val="00D36E2A"/>
    <w:rsid w:val="00D41E98"/>
    <w:rsid w:val="00D43AE9"/>
    <w:rsid w:val="00D5455B"/>
    <w:rsid w:val="00D62840"/>
    <w:rsid w:val="00D639C7"/>
    <w:rsid w:val="00D659BC"/>
    <w:rsid w:val="00D75744"/>
    <w:rsid w:val="00D75C8E"/>
    <w:rsid w:val="00D810F0"/>
    <w:rsid w:val="00D82C8F"/>
    <w:rsid w:val="00D87F98"/>
    <w:rsid w:val="00D92F06"/>
    <w:rsid w:val="00DA3878"/>
    <w:rsid w:val="00DA6A9B"/>
    <w:rsid w:val="00DA7547"/>
    <w:rsid w:val="00DB323E"/>
    <w:rsid w:val="00DC1BC1"/>
    <w:rsid w:val="00DC1D7D"/>
    <w:rsid w:val="00DD0280"/>
    <w:rsid w:val="00DD047C"/>
    <w:rsid w:val="00DD2A67"/>
    <w:rsid w:val="00DD4633"/>
    <w:rsid w:val="00DE7D14"/>
    <w:rsid w:val="00DF70C0"/>
    <w:rsid w:val="00DF775F"/>
    <w:rsid w:val="00E00C39"/>
    <w:rsid w:val="00E0229C"/>
    <w:rsid w:val="00E03B09"/>
    <w:rsid w:val="00E05DCD"/>
    <w:rsid w:val="00E0621D"/>
    <w:rsid w:val="00E10A68"/>
    <w:rsid w:val="00E162F0"/>
    <w:rsid w:val="00E208BB"/>
    <w:rsid w:val="00E2170C"/>
    <w:rsid w:val="00E27545"/>
    <w:rsid w:val="00E27B7A"/>
    <w:rsid w:val="00E30C85"/>
    <w:rsid w:val="00E335A7"/>
    <w:rsid w:val="00E40A4C"/>
    <w:rsid w:val="00E40B16"/>
    <w:rsid w:val="00E41498"/>
    <w:rsid w:val="00E420FB"/>
    <w:rsid w:val="00E521FB"/>
    <w:rsid w:val="00E56C4C"/>
    <w:rsid w:val="00E56E38"/>
    <w:rsid w:val="00E57C5B"/>
    <w:rsid w:val="00E634CC"/>
    <w:rsid w:val="00E64562"/>
    <w:rsid w:val="00E65D98"/>
    <w:rsid w:val="00E66B6E"/>
    <w:rsid w:val="00E67784"/>
    <w:rsid w:val="00E7100F"/>
    <w:rsid w:val="00E71B72"/>
    <w:rsid w:val="00E75F5E"/>
    <w:rsid w:val="00E763F7"/>
    <w:rsid w:val="00E7677C"/>
    <w:rsid w:val="00E7796E"/>
    <w:rsid w:val="00E82931"/>
    <w:rsid w:val="00E861B0"/>
    <w:rsid w:val="00E877C1"/>
    <w:rsid w:val="00E90E4A"/>
    <w:rsid w:val="00E9439C"/>
    <w:rsid w:val="00E95283"/>
    <w:rsid w:val="00EA2DFC"/>
    <w:rsid w:val="00EA6C13"/>
    <w:rsid w:val="00EB0DE5"/>
    <w:rsid w:val="00EB22D4"/>
    <w:rsid w:val="00EB2AAD"/>
    <w:rsid w:val="00EC1492"/>
    <w:rsid w:val="00EC55F9"/>
    <w:rsid w:val="00EC6A88"/>
    <w:rsid w:val="00ED41AF"/>
    <w:rsid w:val="00EE13C9"/>
    <w:rsid w:val="00EE42ED"/>
    <w:rsid w:val="00EE57CE"/>
    <w:rsid w:val="00EE679F"/>
    <w:rsid w:val="00EF1586"/>
    <w:rsid w:val="00EF1EA0"/>
    <w:rsid w:val="00F05660"/>
    <w:rsid w:val="00F06246"/>
    <w:rsid w:val="00F07992"/>
    <w:rsid w:val="00F07A56"/>
    <w:rsid w:val="00F20BBC"/>
    <w:rsid w:val="00F22777"/>
    <w:rsid w:val="00F22E00"/>
    <w:rsid w:val="00F257D9"/>
    <w:rsid w:val="00F25FA4"/>
    <w:rsid w:val="00F30C01"/>
    <w:rsid w:val="00F30CD3"/>
    <w:rsid w:val="00F319E1"/>
    <w:rsid w:val="00F37E41"/>
    <w:rsid w:val="00F40688"/>
    <w:rsid w:val="00F44B53"/>
    <w:rsid w:val="00F5170F"/>
    <w:rsid w:val="00F5386F"/>
    <w:rsid w:val="00F543B0"/>
    <w:rsid w:val="00F604A0"/>
    <w:rsid w:val="00F60504"/>
    <w:rsid w:val="00F730C6"/>
    <w:rsid w:val="00F75BCF"/>
    <w:rsid w:val="00F77B72"/>
    <w:rsid w:val="00F806DF"/>
    <w:rsid w:val="00F80DD6"/>
    <w:rsid w:val="00F90334"/>
    <w:rsid w:val="00F922A7"/>
    <w:rsid w:val="00F93D9B"/>
    <w:rsid w:val="00F970AE"/>
    <w:rsid w:val="00FA66A8"/>
    <w:rsid w:val="00FB4C04"/>
    <w:rsid w:val="00FB4EE6"/>
    <w:rsid w:val="00FC17C8"/>
    <w:rsid w:val="00FC1998"/>
    <w:rsid w:val="00FC3276"/>
    <w:rsid w:val="00FC6538"/>
    <w:rsid w:val="00FD0657"/>
    <w:rsid w:val="00FD2697"/>
    <w:rsid w:val="00FD3B37"/>
    <w:rsid w:val="00FD67CF"/>
    <w:rsid w:val="00FD6FC0"/>
    <w:rsid w:val="00FE4716"/>
    <w:rsid w:val="00FE5B36"/>
    <w:rsid w:val="00FE7311"/>
    <w:rsid w:val="00FF39F3"/>
    <w:rsid w:val="00FF403A"/>
    <w:rsid w:val="00FF58D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A5ACB8"/>
  <w14:defaultImageDpi w14:val="0"/>
  <w15:docId w15:val="{2D0FC26D-CA82-2C42-8A55-A91C0B69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88"/>
    <w:pPr>
      <w:spacing w:after="0" w:line="240" w:lineRule="auto"/>
    </w:pPr>
    <w:rPr>
      <w:rFonts w:ascii="Times New Roman" w:hAnsi="Times New Roman" w:cs="Times New Roman"/>
      <w:sz w:val="24"/>
      <w:szCs w:val="24"/>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MUMKOSONG">
    <w:name w:val="UMUM KOSONG"/>
    <w:basedOn w:val="UMUM"/>
    <w:rsid w:val="00EB0DE5"/>
    <w:pPr>
      <w:spacing w:before="0"/>
      <w:ind w:firstLine="0"/>
    </w:pPr>
  </w:style>
  <w:style w:type="paragraph" w:customStyle="1" w:styleId="UMUMAWAL">
    <w:name w:val="UMUM AWAL"/>
    <w:basedOn w:val="UMUM"/>
    <w:uiPriority w:val="99"/>
    <w:rsid w:val="00EB0DE5"/>
    <w:pPr>
      <w:ind w:firstLine="0"/>
    </w:pPr>
    <w:rPr>
      <w:color w:val="auto"/>
    </w:rPr>
  </w:style>
  <w:style w:type="paragraph" w:customStyle="1" w:styleId="CATATAKAKIBEFORE12">
    <w:name w:val="CATATA KAKI BEFORE 1.2"/>
    <w:basedOn w:val="CATATANKAKI"/>
    <w:uiPriority w:val="99"/>
    <w:rsid w:val="00EB0DE5"/>
    <w:pPr>
      <w:spacing w:before="68"/>
    </w:pPr>
    <w:rPr>
      <w:color w:val="000000"/>
    </w:rPr>
  </w:style>
  <w:style w:type="paragraph" w:customStyle="1" w:styleId="BABJUDUL">
    <w:name w:val="BAB JUDUL"/>
    <w:uiPriority w:val="99"/>
    <w:rsid w:val="00EB0DE5"/>
    <w:pPr>
      <w:autoSpaceDE w:val="0"/>
      <w:autoSpaceDN w:val="0"/>
      <w:adjustRightInd w:val="0"/>
      <w:spacing w:after="0" w:line="240" w:lineRule="auto"/>
      <w:jc w:val="center"/>
    </w:pPr>
    <w:rPr>
      <w:rFonts w:ascii="Univers Condensed" w:hAnsi="Univers Condensed" w:cs="Univers Condensed"/>
      <w:b/>
      <w:bCs/>
      <w:color w:val="000000"/>
      <w:sz w:val="40"/>
      <w:szCs w:val="40"/>
    </w:rPr>
  </w:style>
  <w:style w:type="paragraph" w:customStyle="1" w:styleId="CATATANKAKI">
    <w:name w:val="CATATAN KAKI"/>
    <w:basedOn w:val="UMUM"/>
    <w:uiPriority w:val="99"/>
    <w:rsid w:val="00EB0DE5"/>
    <w:pPr>
      <w:spacing w:before="28" w:line="250" w:lineRule="atLeast"/>
    </w:pPr>
    <w:rPr>
      <w:color w:val="auto"/>
      <w:sz w:val="21"/>
      <w:szCs w:val="21"/>
    </w:rPr>
  </w:style>
  <w:style w:type="paragraph" w:customStyle="1" w:styleId="PUSTAKAACUANISI">
    <w:name w:val="PUSTAKA ACUAN ISI"/>
    <w:basedOn w:val="UMUM"/>
    <w:uiPriority w:val="99"/>
    <w:rsid w:val="00EB0DE5"/>
    <w:pPr>
      <w:spacing w:line="300" w:lineRule="atLeast"/>
      <w:ind w:left="567" w:hanging="567"/>
    </w:pPr>
    <w:rPr>
      <w:color w:val="auto"/>
    </w:rPr>
  </w:style>
  <w:style w:type="paragraph" w:customStyle="1" w:styleId="UMUMKUTIPLANSUNG">
    <w:name w:val="UMUM KUTIP LANSUNG"/>
    <w:basedOn w:val="UMUM"/>
    <w:uiPriority w:val="99"/>
    <w:rsid w:val="00EB0DE5"/>
    <w:pPr>
      <w:spacing w:before="113" w:after="113" w:line="300" w:lineRule="atLeast"/>
      <w:ind w:left="340" w:firstLine="0"/>
    </w:pPr>
  </w:style>
  <w:style w:type="paragraph" w:customStyle="1" w:styleId="BABA">
    <w:name w:val="BAB A"/>
    <w:uiPriority w:val="99"/>
    <w:rsid w:val="00EB0DE5"/>
    <w:pPr>
      <w:autoSpaceDE w:val="0"/>
      <w:autoSpaceDN w:val="0"/>
      <w:adjustRightInd w:val="0"/>
      <w:spacing w:before="85" w:after="0" w:line="240" w:lineRule="auto"/>
    </w:pPr>
    <w:rPr>
      <w:rFonts w:ascii="Univers Condensed" w:hAnsi="Univers Condensed" w:cs="Univers Condensed"/>
      <w:b/>
      <w:bCs/>
      <w:color w:val="000000"/>
      <w:sz w:val="32"/>
      <w:szCs w:val="32"/>
    </w:rPr>
  </w:style>
  <w:style w:type="paragraph" w:customStyle="1" w:styleId="PENULISADALAH">
    <w:name w:val="PENULIS ADALAH"/>
    <w:uiPriority w:val="99"/>
    <w:rsid w:val="00EB0DE5"/>
    <w:pPr>
      <w:autoSpaceDE w:val="0"/>
      <w:autoSpaceDN w:val="0"/>
      <w:adjustRightInd w:val="0"/>
      <w:spacing w:after="0" w:line="240" w:lineRule="auto"/>
      <w:jc w:val="center"/>
    </w:pPr>
    <w:rPr>
      <w:rFonts w:ascii="Charter" w:hAnsi="Charter" w:cs="Charter"/>
      <w:color w:val="000000"/>
      <w:sz w:val="18"/>
      <w:szCs w:val="18"/>
    </w:rPr>
  </w:style>
  <w:style w:type="paragraph" w:customStyle="1" w:styleId="PENULIS">
    <w:name w:val="PENULIS"/>
    <w:uiPriority w:val="99"/>
    <w:rsid w:val="00EB0DE5"/>
    <w:pPr>
      <w:autoSpaceDE w:val="0"/>
      <w:autoSpaceDN w:val="0"/>
      <w:adjustRightInd w:val="0"/>
      <w:spacing w:after="113" w:line="240" w:lineRule="auto"/>
      <w:jc w:val="center"/>
    </w:pPr>
    <w:rPr>
      <w:rFonts w:ascii="Garamond" w:hAnsi="Garamond" w:cs="Garamond"/>
      <w:b/>
      <w:bCs/>
      <w:color w:val="000000"/>
      <w:sz w:val="28"/>
      <w:szCs w:val="28"/>
    </w:rPr>
  </w:style>
  <w:style w:type="paragraph" w:customStyle="1" w:styleId="ABSTRAKISI">
    <w:name w:val="ABSTRAK ISI"/>
    <w:basedOn w:val="UMUM"/>
    <w:uiPriority w:val="99"/>
    <w:rsid w:val="00EB0DE5"/>
    <w:pPr>
      <w:spacing w:line="280" w:lineRule="atLeast"/>
      <w:ind w:left="567" w:right="567" w:firstLine="0"/>
    </w:pPr>
    <w:rPr>
      <w:color w:val="auto"/>
      <w:sz w:val="21"/>
      <w:szCs w:val="21"/>
    </w:rPr>
  </w:style>
  <w:style w:type="paragraph" w:customStyle="1" w:styleId="INDEN1">
    <w:name w:val="INDEN 1"/>
    <w:basedOn w:val="UMUM"/>
    <w:uiPriority w:val="99"/>
    <w:rsid w:val="00EB0DE5"/>
    <w:pPr>
      <w:tabs>
        <w:tab w:val="left" w:pos="340"/>
      </w:tabs>
      <w:ind w:left="340" w:hanging="340"/>
    </w:pPr>
    <w:rPr>
      <w:color w:val="auto"/>
    </w:rPr>
  </w:style>
  <w:style w:type="paragraph" w:customStyle="1" w:styleId="UMUM">
    <w:name w:val="UMUM"/>
    <w:uiPriority w:val="99"/>
    <w:rsid w:val="00EB0DE5"/>
    <w:pPr>
      <w:autoSpaceDE w:val="0"/>
      <w:autoSpaceDN w:val="0"/>
      <w:adjustRightInd w:val="0"/>
      <w:spacing w:before="96" w:after="0" w:line="330" w:lineRule="atLeast"/>
      <w:ind w:firstLine="567"/>
      <w:jc w:val="both"/>
    </w:pPr>
    <w:rPr>
      <w:rFonts w:ascii="Charter" w:hAnsi="Charter" w:cs="Charter"/>
      <w:color w:val="000000"/>
      <w:sz w:val="23"/>
      <w:szCs w:val="23"/>
    </w:rPr>
  </w:style>
  <w:style w:type="paragraph" w:styleId="Header">
    <w:name w:val="header"/>
    <w:basedOn w:val="Normal"/>
    <w:link w:val="HeaderChar"/>
    <w:uiPriority w:val="99"/>
    <w:unhideWhenUsed/>
    <w:rsid w:val="004651E1"/>
    <w:pPr>
      <w:tabs>
        <w:tab w:val="center" w:pos="4153"/>
        <w:tab w:val="right" w:pos="8306"/>
      </w:tabs>
    </w:pPr>
    <w:rPr>
      <w:rFonts w:asciiTheme="minorHAnsi" w:hAnsiTheme="minorHAnsi" w:cs="Arial"/>
      <w:sz w:val="22"/>
      <w:szCs w:val="22"/>
      <w:lang w:val="id-ID"/>
    </w:rPr>
  </w:style>
  <w:style w:type="character" w:customStyle="1" w:styleId="HeaderChar">
    <w:name w:val="Header Char"/>
    <w:basedOn w:val="DefaultParagraphFont"/>
    <w:link w:val="Header"/>
    <w:uiPriority w:val="99"/>
    <w:locked/>
    <w:rsid w:val="004651E1"/>
    <w:rPr>
      <w:rFonts w:cs="Times New Roman"/>
    </w:rPr>
  </w:style>
  <w:style w:type="paragraph" w:styleId="Footer">
    <w:name w:val="footer"/>
    <w:basedOn w:val="Normal"/>
    <w:link w:val="FooterChar"/>
    <w:uiPriority w:val="99"/>
    <w:unhideWhenUsed/>
    <w:rsid w:val="004651E1"/>
    <w:pPr>
      <w:tabs>
        <w:tab w:val="center" w:pos="4153"/>
        <w:tab w:val="right" w:pos="8306"/>
      </w:tabs>
    </w:pPr>
    <w:rPr>
      <w:rFonts w:asciiTheme="minorHAnsi" w:hAnsiTheme="minorHAnsi" w:cs="Arial"/>
      <w:sz w:val="22"/>
      <w:szCs w:val="22"/>
      <w:lang w:val="id-ID"/>
    </w:rPr>
  </w:style>
  <w:style w:type="character" w:customStyle="1" w:styleId="FooterChar">
    <w:name w:val="Footer Char"/>
    <w:basedOn w:val="DefaultParagraphFont"/>
    <w:link w:val="Footer"/>
    <w:uiPriority w:val="99"/>
    <w:locked/>
    <w:rsid w:val="004651E1"/>
    <w:rPr>
      <w:rFonts w:cs="Times New Roman"/>
    </w:rPr>
  </w:style>
  <w:style w:type="paragraph" w:styleId="BalloonText">
    <w:name w:val="Balloon Text"/>
    <w:basedOn w:val="Normal"/>
    <w:link w:val="BalloonTextChar"/>
    <w:uiPriority w:val="99"/>
    <w:semiHidden/>
    <w:unhideWhenUsed/>
    <w:rsid w:val="004651E1"/>
    <w:rPr>
      <w:rFonts w:ascii="Tahoma" w:hAnsi="Tahoma" w:cs="Tahoma"/>
      <w:sz w:val="16"/>
      <w:szCs w:val="16"/>
      <w:lang w:val="id-ID"/>
    </w:rPr>
  </w:style>
  <w:style w:type="character" w:customStyle="1" w:styleId="BalloonTextChar">
    <w:name w:val="Balloon Text Char"/>
    <w:basedOn w:val="DefaultParagraphFont"/>
    <w:link w:val="BalloonText"/>
    <w:uiPriority w:val="99"/>
    <w:semiHidden/>
    <w:locked/>
    <w:rsid w:val="004651E1"/>
    <w:rPr>
      <w:rFonts w:ascii="Tahoma" w:hAnsi="Tahoma" w:cs="Tahoma"/>
      <w:sz w:val="16"/>
      <w:szCs w:val="16"/>
    </w:rPr>
  </w:style>
  <w:style w:type="paragraph" w:customStyle="1" w:styleId="INDEN2">
    <w:name w:val="INDEN 2"/>
    <w:basedOn w:val="INDEN1"/>
    <w:uiPriority w:val="99"/>
    <w:rsid w:val="002303D2"/>
    <w:pPr>
      <w:tabs>
        <w:tab w:val="clear" w:pos="340"/>
        <w:tab w:val="left" w:pos="680"/>
      </w:tabs>
      <w:ind w:left="680"/>
    </w:pPr>
    <w:rPr>
      <w:rFonts w:ascii="Garamond" w:hAnsi="Garamond" w:cs="Garamond"/>
      <w:sz w:val="30"/>
      <w:szCs w:val="30"/>
    </w:rPr>
  </w:style>
  <w:style w:type="paragraph" w:styleId="NormalWeb">
    <w:name w:val="Normal (Web)"/>
    <w:basedOn w:val="Normal"/>
    <w:uiPriority w:val="99"/>
    <w:semiHidden/>
    <w:unhideWhenUsed/>
    <w:rsid w:val="001C18E5"/>
    <w:pPr>
      <w:spacing w:before="100" w:beforeAutospacing="1" w:after="100" w:afterAutospacing="1"/>
    </w:pPr>
    <w:rPr>
      <w:lang w:val="en-US"/>
    </w:rPr>
  </w:style>
  <w:style w:type="character" w:styleId="Emphasis">
    <w:name w:val="Emphasis"/>
    <w:basedOn w:val="DefaultParagraphFont"/>
    <w:uiPriority w:val="20"/>
    <w:qFormat/>
    <w:rsid w:val="001C18E5"/>
    <w:rPr>
      <w:rFonts w:cs="Times New Roman"/>
      <w:i/>
      <w:iCs/>
    </w:rPr>
  </w:style>
  <w:style w:type="paragraph" w:styleId="FootnoteText">
    <w:name w:val="footnote text"/>
    <w:basedOn w:val="Normal"/>
    <w:link w:val="FootnoteTextChar"/>
    <w:uiPriority w:val="99"/>
    <w:unhideWhenUsed/>
    <w:rsid w:val="00E335A7"/>
    <w:rPr>
      <w:rFonts w:asciiTheme="minorHAnsi" w:hAnsiTheme="minorHAnsi"/>
      <w:kern w:val="2"/>
      <w:sz w:val="20"/>
      <w:szCs w:val="20"/>
    </w:rPr>
  </w:style>
  <w:style w:type="character" w:customStyle="1" w:styleId="FootnoteTextChar">
    <w:name w:val="Footnote Text Char"/>
    <w:basedOn w:val="DefaultParagraphFont"/>
    <w:link w:val="FootnoteText"/>
    <w:uiPriority w:val="99"/>
    <w:locked/>
    <w:rsid w:val="00E335A7"/>
    <w:rPr>
      <w:rFonts w:eastAsia="Times New Roman" w:cs="Times New Roman"/>
      <w:kern w:val="2"/>
      <w:sz w:val="20"/>
      <w:szCs w:val="20"/>
      <w:lang w:val="en-ID" w:eastAsia="x-none"/>
    </w:rPr>
  </w:style>
  <w:style w:type="character" w:styleId="FootnoteReference">
    <w:name w:val="footnote reference"/>
    <w:basedOn w:val="DefaultParagraphFont"/>
    <w:uiPriority w:val="99"/>
    <w:unhideWhenUsed/>
    <w:rsid w:val="00E335A7"/>
    <w:rPr>
      <w:rFonts w:cs="Times New Roman"/>
      <w:vertAlign w:val="superscript"/>
    </w:rPr>
  </w:style>
  <w:style w:type="table" w:styleId="PlainTable2">
    <w:name w:val="Plain Table 2"/>
    <w:basedOn w:val="TableNormal"/>
    <w:uiPriority w:val="42"/>
    <w:rsid w:val="00663220"/>
    <w:pPr>
      <w:spacing w:after="0" w:line="240" w:lineRule="auto"/>
    </w:pPr>
    <w:rPr>
      <w:rFonts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rsid w:val="00925FAB"/>
    <w:rPr>
      <w:rFonts w:cs="Times New Roman"/>
      <w:sz w:val="16"/>
      <w:szCs w:val="16"/>
    </w:rPr>
  </w:style>
  <w:style w:type="paragraph" w:styleId="CommentText">
    <w:name w:val="annotation text"/>
    <w:basedOn w:val="Normal"/>
    <w:link w:val="CommentTextChar"/>
    <w:uiPriority w:val="99"/>
    <w:rsid w:val="00925FAB"/>
    <w:pPr>
      <w:spacing w:after="200"/>
    </w:pPr>
    <w:rPr>
      <w:rFonts w:asciiTheme="minorHAnsi" w:hAnsiTheme="minorHAnsi" w:cs="Arial"/>
      <w:sz w:val="20"/>
      <w:szCs w:val="20"/>
      <w:lang w:val="id-ID"/>
    </w:rPr>
  </w:style>
  <w:style w:type="character" w:customStyle="1" w:styleId="CommentTextChar">
    <w:name w:val="Comment Text Char"/>
    <w:basedOn w:val="DefaultParagraphFont"/>
    <w:link w:val="CommentText"/>
    <w:uiPriority w:val="99"/>
    <w:locked/>
    <w:rsid w:val="00925FAB"/>
    <w:rPr>
      <w:rFonts w:cs="Arial"/>
      <w:sz w:val="20"/>
      <w:szCs w:val="20"/>
    </w:rPr>
  </w:style>
  <w:style w:type="paragraph" w:styleId="CommentSubject">
    <w:name w:val="annotation subject"/>
    <w:basedOn w:val="CommentText"/>
    <w:next w:val="CommentText"/>
    <w:link w:val="CommentSubjectChar"/>
    <w:uiPriority w:val="99"/>
    <w:rsid w:val="00925FAB"/>
    <w:rPr>
      <w:b/>
      <w:bCs/>
    </w:rPr>
  </w:style>
  <w:style w:type="character" w:customStyle="1" w:styleId="CommentSubjectChar">
    <w:name w:val="Comment Subject Char"/>
    <w:basedOn w:val="CommentTextChar"/>
    <w:link w:val="CommentSubject"/>
    <w:uiPriority w:val="99"/>
    <w:locked/>
    <w:rsid w:val="00925FAB"/>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0318">
      <w:marLeft w:val="0"/>
      <w:marRight w:val="0"/>
      <w:marTop w:val="0"/>
      <w:marBottom w:val="0"/>
      <w:divBdr>
        <w:top w:val="none" w:sz="0" w:space="0" w:color="auto"/>
        <w:left w:val="none" w:sz="0" w:space="0" w:color="auto"/>
        <w:bottom w:val="none" w:sz="0" w:space="0" w:color="auto"/>
        <w:right w:val="none" w:sz="0" w:space="0" w:color="auto"/>
      </w:divBdr>
      <w:divsChild>
        <w:div w:id="522280320">
          <w:marLeft w:val="0"/>
          <w:marRight w:val="0"/>
          <w:marTop w:val="64"/>
          <w:marBottom w:val="64"/>
          <w:divBdr>
            <w:top w:val="none" w:sz="0" w:space="0" w:color="auto"/>
            <w:left w:val="none" w:sz="0" w:space="0" w:color="auto"/>
            <w:bottom w:val="none" w:sz="0" w:space="0" w:color="auto"/>
            <w:right w:val="none" w:sz="0" w:space="0" w:color="auto"/>
          </w:divBdr>
        </w:div>
      </w:divsChild>
    </w:div>
    <w:div w:id="522280319">
      <w:marLeft w:val="0"/>
      <w:marRight w:val="0"/>
      <w:marTop w:val="0"/>
      <w:marBottom w:val="0"/>
      <w:divBdr>
        <w:top w:val="none" w:sz="0" w:space="0" w:color="auto"/>
        <w:left w:val="none" w:sz="0" w:space="0" w:color="auto"/>
        <w:bottom w:val="none" w:sz="0" w:space="0" w:color="auto"/>
        <w:right w:val="none" w:sz="0" w:space="0" w:color="auto"/>
      </w:divBdr>
    </w:div>
    <w:div w:id="522280321">
      <w:marLeft w:val="0"/>
      <w:marRight w:val="0"/>
      <w:marTop w:val="0"/>
      <w:marBottom w:val="0"/>
      <w:divBdr>
        <w:top w:val="none" w:sz="0" w:space="0" w:color="auto"/>
        <w:left w:val="none" w:sz="0" w:space="0" w:color="auto"/>
        <w:bottom w:val="none" w:sz="0" w:space="0" w:color="auto"/>
        <w:right w:val="none" w:sz="0" w:space="0" w:color="auto"/>
      </w:divBdr>
    </w:div>
    <w:div w:id="522280322">
      <w:marLeft w:val="0"/>
      <w:marRight w:val="0"/>
      <w:marTop w:val="0"/>
      <w:marBottom w:val="0"/>
      <w:divBdr>
        <w:top w:val="none" w:sz="0" w:space="0" w:color="auto"/>
        <w:left w:val="none" w:sz="0" w:space="0" w:color="auto"/>
        <w:bottom w:val="none" w:sz="0" w:space="0" w:color="auto"/>
        <w:right w:val="none" w:sz="0" w:space="0" w:color="auto"/>
      </w:divBdr>
    </w:div>
    <w:div w:id="522280323">
      <w:marLeft w:val="0"/>
      <w:marRight w:val="0"/>
      <w:marTop w:val="0"/>
      <w:marBottom w:val="0"/>
      <w:divBdr>
        <w:top w:val="none" w:sz="0" w:space="0" w:color="auto"/>
        <w:left w:val="none" w:sz="0" w:space="0" w:color="auto"/>
        <w:bottom w:val="none" w:sz="0" w:space="0" w:color="auto"/>
        <w:right w:val="none" w:sz="0" w:space="0" w:color="auto"/>
      </w:divBdr>
      <w:divsChild>
        <w:div w:id="522280317">
          <w:marLeft w:val="720"/>
          <w:marRight w:val="720"/>
          <w:marTop w:val="100"/>
          <w:marBottom w:val="100"/>
          <w:divBdr>
            <w:top w:val="none" w:sz="0" w:space="0" w:color="auto"/>
            <w:left w:val="none" w:sz="0" w:space="0" w:color="auto"/>
            <w:bottom w:val="none" w:sz="0" w:space="0" w:color="auto"/>
            <w:right w:val="none" w:sz="0" w:space="0" w:color="auto"/>
          </w:divBdr>
        </w:div>
      </w:divsChild>
    </w:div>
    <w:div w:id="522280324">
      <w:marLeft w:val="0"/>
      <w:marRight w:val="0"/>
      <w:marTop w:val="0"/>
      <w:marBottom w:val="0"/>
      <w:divBdr>
        <w:top w:val="none" w:sz="0" w:space="0" w:color="auto"/>
        <w:left w:val="none" w:sz="0" w:space="0" w:color="auto"/>
        <w:bottom w:val="none" w:sz="0" w:space="0" w:color="auto"/>
        <w:right w:val="none" w:sz="0" w:space="0" w:color="auto"/>
      </w:divBdr>
    </w:div>
    <w:div w:id="52228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09A1-D314-1A41-A5BA-E97C656F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28509</Words>
  <Characters>162504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Miqot</dc:creator>
  <cp:keywords/>
  <dc:description/>
  <cp:lastModifiedBy>Macbook Air</cp:lastModifiedBy>
  <cp:revision>2</cp:revision>
  <dcterms:created xsi:type="dcterms:W3CDTF">2025-08-18T17:11:00Z</dcterms:created>
  <dcterms:modified xsi:type="dcterms:W3CDTF">2025-08-18T17:11:00Z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943fc254-2408-3794-9c64-641a7b268b6b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