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01BFA" w14:textId="77777777" w:rsidR="00F90EBB" w:rsidRPr="00F90EBB" w:rsidRDefault="00F90EBB" w:rsidP="00F90EBB">
      <w:pPr>
        <w:spacing w:line="360" w:lineRule="auto"/>
        <w:ind w:left="-567" w:firstLine="993"/>
        <w:jc w:val="center"/>
        <w:rPr>
          <w:b/>
          <w:bCs/>
          <w:sz w:val="28"/>
          <w:szCs w:val="28"/>
          <w:lang w:val="az-Latn-AZ"/>
        </w:rPr>
      </w:pPr>
    </w:p>
    <w:p w14:paraId="1229C442" w14:textId="1CA6F94D" w:rsidR="0046176A" w:rsidRPr="001F1A53" w:rsidRDefault="0046176A" w:rsidP="00F90EBB">
      <w:pPr>
        <w:spacing w:line="360" w:lineRule="auto"/>
        <w:ind w:left="-567" w:firstLine="993"/>
        <w:jc w:val="center"/>
        <w:rPr>
          <w:b/>
          <w:bCs/>
          <w:sz w:val="28"/>
          <w:szCs w:val="28"/>
          <w:lang w:val="en-US"/>
        </w:rPr>
      </w:pPr>
      <w:r w:rsidRPr="00F90EBB">
        <w:rPr>
          <w:b/>
          <w:bCs/>
          <w:sz w:val="28"/>
          <w:szCs w:val="28"/>
        </w:rPr>
        <w:t xml:space="preserve">The Position of Great Britain and the United States on </w:t>
      </w:r>
      <w:r w:rsidR="00724128" w:rsidRPr="00F90EBB">
        <w:rPr>
          <w:b/>
          <w:bCs/>
          <w:sz w:val="28"/>
          <w:szCs w:val="28"/>
        </w:rPr>
        <w:t xml:space="preserve">the </w:t>
      </w:r>
      <w:r w:rsidRPr="00F90EBB">
        <w:rPr>
          <w:b/>
          <w:bCs/>
          <w:sz w:val="28"/>
          <w:szCs w:val="28"/>
        </w:rPr>
        <w:t>Azerbaijan Democratic Republic-Armenia Relations in 1918-1920</w:t>
      </w:r>
    </w:p>
    <w:p w14:paraId="706CF22A" w14:textId="310576C0" w:rsidR="0046176A" w:rsidRPr="00F90EBB" w:rsidRDefault="0046176A" w:rsidP="00F90EBB">
      <w:pPr>
        <w:spacing w:line="360" w:lineRule="auto"/>
        <w:ind w:left="-567" w:firstLine="993"/>
        <w:jc w:val="center"/>
        <w:rPr>
          <w:b/>
          <w:bCs/>
          <w:sz w:val="28"/>
          <w:szCs w:val="28"/>
        </w:rPr>
      </w:pPr>
      <w:r w:rsidRPr="00F90EBB">
        <w:rPr>
          <w:b/>
          <w:bCs/>
          <w:sz w:val="28"/>
          <w:szCs w:val="28"/>
        </w:rPr>
        <w:t>Sanubar Jabbarova</w:t>
      </w:r>
    </w:p>
    <w:p w14:paraId="054374D3" w14:textId="77777777" w:rsidR="00F90EBB" w:rsidRPr="001F1A53" w:rsidRDefault="00F90EBB" w:rsidP="00F90EBB">
      <w:pPr>
        <w:spacing w:line="360" w:lineRule="auto"/>
        <w:ind w:left="-567" w:firstLine="993"/>
        <w:jc w:val="center"/>
        <w:rPr>
          <w:sz w:val="28"/>
          <w:szCs w:val="28"/>
          <w:lang w:val="en-US"/>
        </w:rPr>
      </w:pPr>
      <w:r w:rsidRPr="00F90EBB">
        <w:rPr>
          <w:sz w:val="28"/>
          <w:szCs w:val="28"/>
        </w:rPr>
        <w:t>Candidate of Historical Sciences, Senior Lecturer at the Department of Humanities and Social Sciences, Azerbaijan Tourism and Management University, Baku, Azerbaijan</w:t>
      </w:r>
    </w:p>
    <w:p w14:paraId="01FD1C6A" w14:textId="6A276B12" w:rsidR="0046176A" w:rsidRPr="00F90EBB" w:rsidRDefault="00105A54" w:rsidP="00F90EBB">
      <w:pPr>
        <w:spacing w:line="360" w:lineRule="auto"/>
        <w:ind w:left="-567" w:firstLine="993"/>
        <w:jc w:val="center"/>
        <w:rPr>
          <w:b/>
          <w:bCs/>
          <w:sz w:val="28"/>
          <w:szCs w:val="28"/>
        </w:rPr>
      </w:pPr>
      <w:r w:rsidRPr="00F90EBB">
        <w:rPr>
          <w:sz w:val="28"/>
          <w:szCs w:val="28"/>
          <w:lang w:val="az-Latn-AZ"/>
        </w:rPr>
        <w:t xml:space="preserve">Email: </w:t>
      </w:r>
      <w:hyperlink r:id="rId7" w:history="1">
        <w:r w:rsidRPr="00F90EBB">
          <w:rPr>
            <w:rStyle w:val="ae"/>
            <w:b/>
            <w:bCs/>
            <w:iCs/>
            <w:sz w:val="28"/>
            <w:szCs w:val="28"/>
          </w:rPr>
          <w:t>gsanubar9@gmail.com</w:t>
        </w:r>
      </w:hyperlink>
    </w:p>
    <w:p w14:paraId="6637AD27" w14:textId="4527D648" w:rsidR="0046176A" w:rsidRPr="001F1A53" w:rsidRDefault="00105A54" w:rsidP="00F90EBB">
      <w:pPr>
        <w:spacing w:line="360" w:lineRule="auto"/>
        <w:ind w:left="-567" w:firstLine="993"/>
        <w:jc w:val="center"/>
        <w:rPr>
          <w:sz w:val="28"/>
          <w:szCs w:val="28"/>
          <w:lang w:val="en-US"/>
        </w:rPr>
      </w:pPr>
      <w:r w:rsidRPr="00F90EBB">
        <w:rPr>
          <w:sz w:val="28"/>
          <w:szCs w:val="28"/>
        </w:rPr>
        <w:t>ORCID:</w:t>
      </w:r>
      <w:hyperlink r:id="rId8" w:history="1">
        <w:r w:rsidR="0046176A" w:rsidRPr="00F90EBB">
          <w:rPr>
            <w:rStyle w:val="ae"/>
            <w:b/>
            <w:bCs/>
            <w:iCs/>
            <w:sz w:val="28"/>
            <w:szCs w:val="28"/>
          </w:rPr>
          <w:t>https://orcid.org/0009-0008-4434-387X</w:t>
        </w:r>
      </w:hyperlink>
    </w:p>
    <w:p w14:paraId="1C1BDE16" w14:textId="77777777" w:rsidR="00F90EBB" w:rsidRPr="001F1A53" w:rsidRDefault="00F90EBB" w:rsidP="00F90EBB">
      <w:pPr>
        <w:spacing w:line="360" w:lineRule="auto"/>
        <w:ind w:left="-567" w:firstLine="993"/>
        <w:jc w:val="center"/>
        <w:rPr>
          <w:sz w:val="28"/>
          <w:szCs w:val="28"/>
          <w:lang w:val="en-US"/>
        </w:rPr>
      </w:pPr>
    </w:p>
    <w:p w14:paraId="3D8018F6" w14:textId="42F2891E" w:rsidR="0046176A" w:rsidRPr="00F90EBB" w:rsidRDefault="0046176A" w:rsidP="00F90EBB">
      <w:pPr>
        <w:spacing w:line="360" w:lineRule="auto"/>
        <w:ind w:left="-567" w:firstLine="993"/>
        <w:jc w:val="both"/>
        <w:rPr>
          <w:sz w:val="28"/>
          <w:szCs w:val="28"/>
          <w:shd w:val="clear" w:color="auto" w:fill="FFFFFF"/>
          <w:lang w:val="az-Latn-AZ"/>
        </w:rPr>
      </w:pPr>
      <w:r w:rsidRPr="00F90EBB">
        <w:rPr>
          <w:b/>
          <w:bCs/>
          <w:sz w:val="28"/>
          <w:szCs w:val="28"/>
        </w:rPr>
        <w:t>Abstract:</w:t>
      </w:r>
      <w:r w:rsidRPr="00F90EBB">
        <w:rPr>
          <w:sz w:val="28"/>
          <w:szCs w:val="28"/>
        </w:rPr>
        <w:t xml:space="preserve"> </w:t>
      </w:r>
      <w:r w:rsidR="00C16D76" w:rsidRPr="00F90EBB">
        <w:rPr>
          <w:sz w:val="28"/>
          <w:szCs w:val="28"/>
          <w:shd w:val="clear" w:color="auto" w:fill="FFFFFF"/>
          <w:lang w:val="az-Latn-AZ"/>
        </w:rPr>
        <w:t>At the beginning of the 20th century, favorable conditions were created for Azerbaijan to exist as an independent state. The Azerbaijani people achieved this difficult historical independence in just 23 months in 1918-1920, and began to take the first steps on the path to independence, freeing themselves from the captivity of the Russian Empire. The government of the Azerbaijan</w:t>
      </w:r>
      <w:r w:rsidR="00724128" w:rsidRPr="00F90EBB">
        <w:rPr>
          <w:sz w:val="28"/>
          <w:szCs w:val="28"/>
          <w:shd w:val="clear" w:color="auto" w:fill="FFFFFF"/>
          <w:lang w:val="az-Latn-AZ"/>
        </w:rPr>
        <w:t xml:space="preserve"> Democratic</w:t>
      </w:r>
      <w:r w:rsidR="00C16D76" w:rsidRPr="00F90EBB">
        <w:rPr>
          <w:sz w:val="28"/>
          <w:szCs w:val="28"/>
          <w:shd w:val="clear" w:color="auto" w:fill="FFFFFF"/>
          <w:lang w:val="az-Latn-AZ"/>
        </w:rPr>
        <w:t xml:space="preserve"> Republic played a special role in protecting the territorial integrity of Azerbaijan state, and steadfastly and adequately responded to the Armenian provocations directed against Nakhchivan, Zangezur and Nagorno-Karabakh. </w:t>
      </w:r>
      <w:r w:rsidR="00C16D76" w:rsidRPr="00F90EBB">
        <w:rPr>
          <w:b/>
          <w:bCs/>
          <w:sz w:val="28"/>
          <w:szCs w:val="28"/>
          <w:shd w:val="clear" w:color="auto" w:fill="FFFFFF"/>
          <w:lang w:val="az-Latn-AZ"/>
        </w:rPr>
        <w:t>The main purpose</w:t>
      </w:r>
      <w:r w:rsidR="00C16D76" w:rsidRPr="00F90EBB">
        <w:rPr>
          <w:sz w:val="28"/>
          <w:szCs w:val="28"/>
          <w:shd w:val="clear" w:color="auto" w:fill="FFFFFF"/>
          <w:lang w:val="az-Latn-AZ"/>
        </w:rPr>
        <w:t xml:space="preserve"> of the study in the article is to investigate the position of Great Britain and the United States on the relations between the Azerbaijan Democratic Republic and Armenia</w:t>
      </w:r>
      <w:r w:rsidR="00576509" w:rsidRPr="00F90EBB">
        <w:rPr>
          <w:sz w:val="28"/>
          <w:szCs w:val="28"/>
          <w:shd w:val="clear" w:color="auto" w:fill="FFFFFF"/>
          <w:lang w:val="az-Latn-AZ"/>
        </w:rPr>
        <w:t>.</w:t>
      </w:r>
      <w:r w:rsidR="00C16D76" w:rsidRPr="00F90EBB">
        <w:rPr>
          <w:sz w:val="28"/>
          <w:szCs w:val="28"/>
          <w:shd w:val="clear" w:color="auto" w:fill="FFFFFF"/>
          <w:lang w:val="az-Latn-AZ"/>
        </w:rPr>
        <w:t xml:space="preserve">During the research, the historical principle, factual interpretation, and </w:t>
      </w:r>
      <w:r w:rsidR="00C16D76" w:rsidRPr="00F90EBB">
        <w:rPr>
          <w:b/>
          <w:bCs/>
          <w:sz w:val="28"/>
          <w:szCs w:val="28"/>
          <w:shd w:val="clear" w:color="auto" w:fill="FFFFFF"/>
          <w:lang w:val="az-Latn-AZ"/>
        </w:rPr>
        <w:t xml:space="preserve">methods </w:t>
      </w:r>
      <w:r w:rsidR="00C16D76" w:rsidRPr="00F90EBB">
        <w:rPr>
          <w:sz w:val="28"/>
          <w:szCs w:val="28"/>
          <w:shd w:val="clear" w:color="auto" w:fill="FFFFFF"/>
          <w:lang w:val="az-Latn-AZ"/>
        </w:rPr>
        <w:t xml:space="preserve">of complex approach to the problem were used in the study of the problem. </w:t>
      </w:r>
      <w:r w:rsidR="00C16D76" w:rsidRPr="00F90EBB">
        <w:rPr>
          <w:b/>
          <w:bCs/>
          <w:sz w:val="28"/>
          <w:szCs w:val="28"/>
          <w:shd w:val="clear" w:color="auto" w:fill="FFFFFF"/>
          <w:lang w:val="az-Latn-AZ"/>
        </w:rPr>
        <w:t>As a result</w:t>
      </w:r>
      <w:r w:rsidR="00C16D76" w:rsidRPr="00F90EBB">
        <w:rPr>
          <w:sz w:val="28"/>
          <w:szCs w:val="28"/>
          <w:shd w:val="clear" w:color="auto" w:fill="FFFFFF"/>
          <w:lang w:val="az-Latn-AZ"/>
        </w:rPr>
        <w:t xml:space="preserve">, it is noted that the conflicts between Armenia and the Azerbaijan Democratic Republic due to the chauvinistic policy of the Armenians seriously hindered the preservation of security and future development in the region. One of the main reasons for the lack of security and stability in the region was the approach of the major powers to the region based on their own economic, military and political interests. Thus, the goal of the leading powers of the world, the USA and </w:t>
      </w:r>
      <w:r w:rsidR="00576509" w:rsidRPr="00F90EBB">
        <w:rPr>
          <w:sz w:val="28"/>
          <w:szCs w:val="28"/>
          <w:shd w:val="clear" w:color="auto" w:fill="FFFFFF"/>
          <w:lang w:val="az-Latn-AZ"/>
        </w:rPr>
        <w:t>Great Britain</w:t>
      </w:r>
      <w:r w:rsidR="00C16D76" w:rsidRPr="00F90EBB">
        <w:rPr>
          <w:sz w:val="28"/>
          <w:szCs w:val="28"/>
          <w:shd w:val="clear" w:color="auto" w:fill="FFFFFF"/>
          <w:lang w:val="az-Latn-AZ"/>
        </w:rPr>
        <w:t xml:space="preserve">, was to create a security system in the region that suited their interests. </w:t>
      </w:r>
    </w:p>
    <w:p w14:paraId="094C5CC0" w14:textId="77777777" w:rsidR="00C16D76" w:rsidRPr="00F90EBB" w:rsidRDefault="00C16D76" w:rsidP="00F90EBB">
      <w:pPr>
        <w:spacing w:line="360" w:lineRule="auto"/>
        <w:ind w:left="-567" w:firstLine="993"/>
        <w:jc w:val="both"/>
        <w:rPr>
          <w:sz w:val="28"/>
          <w:szCs w:val="28"/>
          <w:lang w:val="az-Latn-AZ"/>
        </w:rPr>
      </w:pPr>
    </w:p>
    <w:p w14:paraId="3F201ED5" w14:textId="4F1AE60B" w:rsidR="0046176A" w:rsidRPr="00F90EBB" w:rsidRDefault="0046176A" w:rsidP="00F90EBB">
      <w:pPr>
        <w:spacing w:line="360" w:lineRule="auto"/>
        <w:ind w:left="-567" w:firstLine="993"/>
        <w:rPr>
          <w:b/>
          <w:bCs/>
          <w:sz w:val="28"/>
          <w:szCs w:val="28"/>
        </w:rPr>
      </w:pPr>
      <w:r w:rsidRPr="00F90EBB">
        <w:rPr>
          <w:b/>
          <w:bCs/>
          <w:sz w:val="28"/>
          <w:szCs w:val="28"/>
        </w:rPr>
        <w:t>Keywords:</w:t>
      </w:r>
      <w:r w:rsidRPr="00F90EBB">
        <w:rPr>
          <w:sz w:val="28"/>
          <w:szCs w:val="28"/>
        </w:rPr>
        <w:t xml:space="preserve"> Azerbaijan Democratic Republic, Armenia, USA, Great Britain, </w:t>
      </w:r>
      <w:r w:rsidRPr="00F90EBB">
        <w:rPr>
          <w:sz w:val="28"/>
          <w:szCs w:val="28"/>
        </w:rPr>
        <w:lastRenderedPageBreak/>
        <w:t>relations</w:t>
      </w:r>
    </w:p>
    <w:p w14:paraId="4ED8DB96" w14:textId="77777777" w:rsidR="0046176A" w:rsidRPr="00392935" w:rsidRDefault="0046176A" w:rsidP="00F90EBB">
      <w:pPr>
        <w:pStyle w:val="ac"/>
        <w:spacing w:line="360" w:lineRule="auto"/>
        <w:ind w:left="-567" w:right="163" w:firstLine="993"/>
        <w:jc w:val="center"/>
        <w:rPr>
          <w:b/>
          <w:bCs/>
          <w:lang w:val="ru-RU"/>
        </w:rPr>
      </w:pPr>
    </w:p>
    <w:p w14:paraId="127F3C17" w14:textId="1863E636" w:rsidR="00310C0A" w:rsidRPr="00F90EBB" w:rsidRDefault="00554662" w:rsidP="00F90EBB">
      <w:pPr>
        <w:pStyle w:val="ac"/>
        <w:spacing w:line="360" w:lineRule="auto"/>
        <w:ind w:left="-567" w:right="163" w:firstLine="993"/>
        <w:rPr>
          <w:b/>
          <w:bCs/>
        </w:rPr>
      </w:pPr>
      <w:r w:rsidRPr="00F90EBB">
        <w:rPr>
          <w:b/>
          <w:bCs/>
        </w:rPr>
        <w:t>Introduction</w:t>
      </w:r>
    </w:p>
    <w:p w14:paraId="1A0DC269" w14:textId="6D8321B5" w:rsidR="00C16D76" w:rsidRPr="00F90EBB" w:rsidRDefault="00C16D76" w:rsidP="00F90EBB">
      <w:pPr>
        <w:pStyle w:val="ac"/>
        <w:spacing w:line="360" w:lineRule="auto"/>
        <w:ind w:left="-567" w:right="161" w:firstLine="993"/>
        <w:rPr>
          <w:iCs/>
        </w:rPr>
      </w:pPr>
      <w:r w:rsidRPr="00F90EBB">
        <w:rPr>
          <w:iCs/>
        </w:rPr>
        <w:t xml:space="preserve">The global changes that took place at the beginning of the 20th century radically changed the nature of the international system and brought the development of the world community to a completely new stage. These changes put an end to the existing “alignment of forces” in the international system and led to the entry of new actors into the world arena. One of these actors was the South Caucasus region, which, as a result of the collapse of Tsarist Russia, had new independent states in this region - the Azerbaijan Democratic Republic, the Democratic Republic of Georgia and the Republic of Armenia. </w:t>
      </w:r>
    </w:p>
    <w:p w14:paraId="1CE7F071" w14:textId="77777777" w:rsidR="00C16D76" w:rsidRPr="00F90EBB" w:rsidRDefault="00C16D76" w:rsidP="00F90EBB">
      <w:pPr>
        <w:pStyle w:val="ac"/>
        <w:spacing w:line="360" w:lineRule="auto"/>
        <w:ind w:left="-567" w:right="161" w:firstLine="993"/>
        <w:rPr>
          <w:iCs/>
        </w:rPr>
      </w:pPr>
      <w:r w:rsidRPr="00F90EBB">
        <w:rPr>
          <w:iCs/>
        </w:rPr>
        <w:t>The fact that the countries of the South Caucasus were part of the Russian Empire limited the interest of other states in the region. As a result of the collapse of Tsarist Russia, new perspectives opened up for the realization of the renewed interests of traditional rivals, and the South Caucasus region became an object of interest not only for strong neighbors, but also for leading states, and the opportunity for new actors to actively join the processes taking place in the region and create results arose.</w:t>
      </w:r>
    </w:p>
    <w:p w14:paraId="43668628" w14:textId="77777777" w:rsidR="00C16D76" w:rsidRPr="00F90EBB" w:rsidRDefault="00C16D76" w:rsidP="00F90EBB">
      <w:pPr>
        <w:pStyle w:val="ac"/>
        <w:spacing w:line="360" w:lineRule="auto"/>
        <w:ind w:left="-567" w:right="161" w:firstLine="993"/>
        <w:rPr>
          <w:iCs/>
        </w:rPr>
      </w:pPr>
      <w:r w:rsidRPr="00F90EBB">
        <w:rPr>
          <w:iCs/>
        </w:rPr>
        <w:t>Armenians have always skillfully used such situations to direct the clash of interests of great powers to their advantage. The main guide, driving force and motivator of the Armenian movement were the Armenian Church and the Dashnak party. This situation remains the same today.</w:t>
      </w:r>
    </w:p>
    <w:p w14:paraId="292CADB0" w14:textId="22C8D374" w:rsidR="00C16D76" w:rsidRPr="00F90EBB" w:rsidRDefault="00C16D76" w:rsidP="00F90EBB">
      <w:pPr>
        <w:pStyle w:val="ac"/>
        <w:spacing w:line="360" w:lineRule="auto"/>
        <w:ind w:left="-567" w:right="161" w:firstLine="993"/>
      </w:pPr>
      <w:r w:rsidRPr="00F90EBB">
        <w:rPr>
          <w:iCs/>
        </w:rPr>
        <w:t xml:space="preserve">The South Caucasus region, which American political scientist Zbigniew Brzezinski called the "Balkans of Eurasia", has become a battleground for leading powers since the beginning of the 20th century. The region had an important strategic position, and the collapse of the Russian Empire led to the emergence of a new geopolitical situation in the region. The region's location between the Black and Caspian Seas, at the intersection of energy and communication lines, made it even more important, further increasing its strategic importance. </w:t>
      </w:r>
    </w:p>
    <w:p w14:paraId="7F009042" w14:textId="77777777" w:rsidR="00C16D76" w:rsidRPr="00F90EBB" w:rsidRDefault="00C16D76" w:rsidP="00F90EBB">
      <w:pPr>
        <w:pStyle w:val="ac"/>
        <w:spacing w:line="360" w:lineRule="auto"/>
        <w:ind w:left="-567" w:right="189" w:firstLine="993"/>
      </w:pPr>
      <w:r w:rsidRPr="00F90EBB">
        <w:t xml:space="preserve">If we pay attention to modern transport corridors, we can see that Nakhchivan and Zangezur are an important passage connecting the Far East with Europe, one of </w:t>
      </w:r>
      <w:r w:rsidRPr="00F90EBB">
        <w:lastRenderedPageBreak/>
        <w:t>the convenient branches of the historical Silk Road. Therefore, it is not surprising that even the hegemons of the international trade sphere, such as the USA and Britain, far from the Caucasus, have such a serious interest in the western part of Azerbaijan.</w:t>
      </w:r>
    </w:p>
    <w:p w14:paraId="4711DEDD" w14:textId="77777777" w:rsidR="00951F62" w:rsidRPr="00F90EBB" w:rsidRDefault="00C16D76" w:rsidP="00F90EBB">
      <w:pPr>
        <w:pStyle w:val="ac"/>
        <w:spacing w:line="360" w:lineRule="auto"/>
        <w:ind w:left="-567" w:right="189" w:firstLine="993"/>
      </w:pPr>
      <w:r w:rsidRPr="00F90EBB">
        <w:t>The collapse of the Russian Empire created wide opportunities for the newly independent South Caucasus states to integrate into the international world. The foreign policy course chosen by the regional states at that stage would play a decisive role in the process in question. In this context, Azerbaijan and Georgia would choose the course of integration with the West, while Armenia, the other state of the South Caucasus, despite presenting itself as an independent state, would accept political dependence and control by Russia, becoming one of the main threats to the security of the region, and also forming a clear threat to the development and security of the South Caucasus, which is located in an important geostrategic position.</w:t>
      </w:r>
    </w:p>
    <w:p w14:paraId="443E5289" w14:textId="77777777" w:rsidR="00554662" w:rsidRPr="00F90EBB" w:rsidRDefault="00554662" w:rsidP="00F90EBB">
      <w:pPr>
        <w:pStyle w:val="ac"/>
        <w:spacing w:line="360" w:lineRule="auto"/>
        <w:ind w:left="-567" w:right="189" w:firstLine="993"/>
      </w:pPr>
    </w:p>
    <w:p w14:paraId="328435EE" w14:textId="75188F29" w:rsidR="00554662" w:rsidRPr="00F90EBB" w:rsidRDefault="00554662" w:rsidP="00F90EBB">
      <w:pPr>
        <w:pStyle w:val="ac"/>
        <w:spacing w:line="360" w:lineRule="auto"/>
        <w:ind w:left="-567" w:right="189" w:firstLine="993"/>
        <w:rPr>
          <w:b/>
          <w:bCs/>
        </w:rPr>
      </w:pPr>
      <w:r w:rsidRPr="00F90EBB">
        <w:rPr>
          <w:b/>
          <w:bCs/>
        </w:rPr>
        <w:t xml:space="preserve">     Methods</w:t>
      </w:r>
    </w:p>
    <w:p w14:paraId="7BE28338" w14:textId="12AEBF3B" w:rsidR="00C16D76" w:rsidRPr="00F90EBB" w:rsidRDefault="00C16D76" w:rsidP="00F90EBB">
      <w:pPr>
        <w:spacing w:line="360" w:lineRule="auto"/>
        <w:ind w:left="-567" w:firstLine="993"/>
        <w:jc w:val="both"/>
        <w:rPr>
          <w:rStyle w:val="af"/>
          <w:rFonts w:eastAsiaTheme="majorEastAsia"/>
          <w:b w:val="0"/>
          <w:bCs w:val="0"/>
          <w:sz w:val="28"/>
          <w:szCs w:val="28"/>
          <w:shd w:val="clear" w:color="auto" w:fill="FFFFFF"/>
        </w:rPr>
      </w:pPr>
      <w:r w:rsidRPr="00F90EBB">
        <w:rPr>
          <w:rStyle w:val="af"/>
          <w:rFonts w:eastAsiaTheme="majorEastAsia"/>
          <w:b w:val="0"/>
          <w:bCs w:val="0"/>
          <w:sz w:val="28"/>
          <w:szCs w:val="28"/>
          <w:shd w:val="clear" w:color="auto" w:fill="FFFFFF"/>
        </w:rPr>
        <w:t xml:space="preserve">During the research, the historical principle, factual interpretation, and methods of complex approach to the problem were used in the study of the problem. At the same time, conceptual approaches derived from the speeches, decrees, and orders of the heads of state were reflected. The methodological basis of the research is the historical description, comparative, systematic political and historical analysis adopted in the field of history and political sciences, chronological analysis of objective events, synchronous and diachronic analysis of periodization, analysis and synthesis common to all social sciences, retrospective, content analysis, generalization, process analysis methods, explanatory methods, induction and deduction. </w:t>
      </w:r>
    </w:p>
    <w:p w14:paraId="1F29724A" w14:textId="77777777" w:rsidR="00C16D76" w:rsidRPr="00F90EBB" w:rsidRDefault="00C16D76" w:rsidP="00F90EBB">
      <w:pPr>
        <w:spacing w:line="360" w:lineRule="auto"/>
        <w:ind w:left="-567" w:firstLine="993"/>
        <w:jc w:val="both"/>
        <w:rPr>
          <w:sz w:val="28"/>
          <w:szCs w:val="28"/>
          <w:lang w:val="az-Latn-AZ"/>
        </w:rPr>
      </w:pPr>
    </w:p>
    <w:p w14:paraId="3ADCDE44" w14:textId="40929FC4" w:rsidR="00C16D76" w:rsidRPr="00F90EBB" w:rsidRDefault="00554662" w:rsidP="00F90EBB">
      <w:pPr>
        <w:pStyle w:val="ac"/>
        <w:spacing w:line="360" w:lineRule="auto"/>
        <w:ind w:left="-567" w:right="189" w:firstLine="993"/>
        <w:rPr>
          <w:b/>
          <w:bCs/>
          <w:lang w:val="az-Latn-AZ"/>
        </w:rPr>
      </w:pPr>
      <w:r w:rsidRPr="00F90EBB">
        <w:rPr>
          <w:b/>
          <w:bCs/>
          <w:lang w:val="az-Latn-AZ"/>
        </w:rPr>
        <w:t>Results</w:t>
      </w:r>
      <w:r w:rsidR="00C16D76" w:rsidRPr="00F90EBB">
        <w:rPr>
          <w:b/>
          <w:bCs/>
          <w:lang w:val="en-US"/>
        </w:rPr>
        <w:br/>
      </w:r>
    </w:p>
    <w:p w14:paraId="36E9EC2F" w14:textId="77777777" w:rsidR="00C16D76" w:rsidRPr="00F90EBB" w:rsidRDefault="00C16D76" w:rsidP="00F90EBB">
      <w:pPr>
        <w:pStyle w:val="ac"/>
        <w:spacing w:line="360" w:lineRule="auto"/>
        <w:ind w:left="-567" w:right="189" w:firstLine="993"/>
        <w:rPr>
          <w:lang w:val="en"/>
        </w:rPr>
      </w:pPr>
      <w:r w:rsidRPr="00F90EBB">
        <w:rPr>
          <w:lang w:val="en"/>
        </w:rPr>
        <w:sym w:font="Symbol" w:char="F02D"/>
      </w:r>
      <w:r w:rsidRPr="00F90EBB">
        <w:rPr>
          <w:lang w:val="en"/>
        </w:rPr>
        <w:t xml:space="preserve"> The priority of the foreign policy of the Azerbaijan Democratic Republic has been to establish friendly relations with neighboring states and to establish cooperation at the bilateral and multilateral levels;</w:t>
      </w:r>
    </w:p>
    <w:p w14:paraId="37CF8460" w14:textId="77777777" w:rsidR="00C16D76" w:rsidRPr="00F90EBB" w:rsidRDefault="00C16D76" w:rsidP="00F90EBB">
      <w:pPr>
        <w:pStyle w:val="ac"/>
        <w:spacing w:line="360" w:lineRule="auto"/>
        <w:ind w:left="-567" w:right="189" w:firstLine="993"/>
        <w:rPr>
          <w:lang w:val="en"/>
        </w:rPr>
      </w:pPr>
      <w:r w:rsidRPr="00F90EBB">
        <w:rPr>
          <w:lang w:val="en"/>
        </w:rPr>
        <w:t xml:space="preserve"> </w:t>
      </w:r>
      <w:r w:rsidRPr="00F90EBB">
        <w:rPr>
          <w:lang w:val="en"/>
        </w:rPr>
        <w:sym w:font="Symbol" w:char="F02D"/>
      </w:r>
      <w:r w:rsidRPr="00F90EBB">
        <w:rPr>
          <w:lang w:val="en"/>
        </w:rPr>
        <w:t xml:space="preserve"> Armenia, against the background of the tolerant policy of the Azerbaijan </w:t>
      </w:r>
      <w:r w:rsidRPr="00F90EBB">
        <w:rPr>
          <w:lang w:val="en"/>
        </w:rPr>
        <w:lastRenderedPageBreak/>
        <w:t xml:space="preserve">Democratic Republic, has constantly made groundless claims to Azerbaijani lands, and the growing influence of leading powers, especially Russia, the United States, Great Britain and France, has played a major role in the aggravation of these relations; </w:t>
      </w:r>
    </w:p>
    <w:p w14:paraId="3415BA23" w14:textId="77777777" w:rsidR="00C16D76" w:rsidRPr="00F90EBB" w:rsidRDefault="00C16D76" w:rsidP="00F90EBB">
      <w:pPr>
        <w:pStyle w:val="ac"/>
        <w:spacing w:line="360" w:lineRule="auto"/>
        <w:ind w:left="-567" w:right="189" w:firstLine="993"/>
        <w:rPr>
          <w:lang w:val="en"/>
        </w:rPr>
      </w:pPr>
      <w:r w:rsidRPr="00F90EBB">
        <w:rPr>
          <w:lang w:val="en"/>
        </w:rPr>
        <w:sym w:font="Symbol" w:char="F02D"/>
      </w:r>
      <w:r w:rsidRPr="00F90EBB">
        <w:rPr>
          <w:lang w:val="en"/>
        </w:rPr>
        <w:t xml:space="preserve"> After Azerbaijan restored its state independence, it became possible to assess the legal and political relations between the Azerbaijan Democratic Republic and Armenia on a new level; </w:t>
      </w:r>
    </w:p>
    <w:p w14:paraId="7E3E51D8" w14:textId="74066320" w:rsidR="00C16D76" w:rsidRPr="00F90EBB" w:rsidRDefault="00C16D76" w:rsidP="00F90EBB">
      <w:pPr>
        <w:pStyle w:val="ac"/>
        <w:spacing w:line="360" w:lineRule="auto"/>
        <w:ind w:left="-567" w:right="189" w:firstLine="993"/>
        <w:rPr>
          <w:lang w:val="en"/>
        </w:rPr>
      </w:pPr>
      <w:r w:rsidRPr="00F90EBB">
        <w:rPr>
          <w:lang w:val="en"/>
        </w:rPr>
        <w:sym w:font="Symbol" w:char="F02D"/>
      </w:r>
      <w:r w:rsidRPr="00F90EBB">
        <w:rPr>
          <w:lang w:val="en"/>
        </w:rPr>
        <w:t xml:space="preserve"> Armenia has always demonstrated a contradictory position towards the establishment of peace and stability that Azerbaijan strives to create in the Caucasus region; </w:t>
      </w:r>
    </w:p>
    <w:p w14:paraId="6A643CDE" w14:textId="77777777" w:rsidR="00A71C00" w:rsidRPr="00F90EBB" w:rsidRDefault="00C16D76" w:rsidP="00F90EBB">
      <w:pPr>
        <w:pStyle w:val="ac"/>
        <w:spacing w:line="360" w:lineRule="auto"/>
        <w:ind w:left="-567" w:right="189" w:firstLine="993"/>
        <w:rPr>
          <w:lang w:val="en"/>
        </w:rPr>
      </w:pPr>
      <w:r w:rsidRPr="00F90EBB">
        <w:rPr>
          <w:lang w:val="en"/>
        </w:rPr>
        <w:sym w:font="Symbol" w:char="F02D"/>
      </w:r>
      <w:r w:rsidRPr="00F90EBB">
        <w:rPr>
          <w:lang w:val="en"/>
        </w:rPr>
        <w:t xml:space="preserve"> Armenia has been the only state among the South Caucasus states that has made groundless territorial claims; </w:t>
      </w:r>
    </w:p>
    <w:p w14:paraId="4439AF49" w14:textId="749745F8" w:rsidR="00C16D76" w:rsidRPr="00F90EBB" w:rsidRDefault="00C16D76" w:rsidP="00F90EBB">
      <w:pPr>
        <w:pStyle w:val="ac"/>
        <w:spacing w:line="360" w:lineRule="auto"/>
        <w:ind w:left="-567" w:right="189" w:firstLine="993"/>
        <w:rPr>
          <w:lang w:val="en"/>
        </w:rPr>
      </w:pPr>
      <w:r w:rsidRPr="00F90EBB">
        <w:rPr>
          <w:lang w:val="en"/>
        </w:rPr>
        <w:sym w:font="Symbol" w:char="F02D"/>
      </w:r>
      <w:r w:rsidRPr="00F90EBB">
        <w:rPr>
          <w:lang w:val="en"/>
        </w:rPr>
        <w:t xml:space="preserve"> From the very beginning, only the Ottoman state provided all-round support in preserving the territorial integrity and independence of Azerbaijan, as well as in countering the Armenian and Bolshevik threats;</w:t>
      </w:r>
    </w:p>
    <w:p w14:paraId="464799B0" w14:textId="37D6BDBC" w:rsidR="00C16D76" w:rsidRPr="00F90EBB" w:rsidRDefault="00C16D76" w:rsidP="00F90EBB">
      <w:pPr>
        <w:pStyle w:val="ac"/>
        <w:spacing w:line="360" w:lineRule="auto"/>
        <w:ind w:left="-567" w:right="189" w:firstLine="993"/>
        <w:rPr>
          <w:lang w:val="en-US"/>
        </w:rPr>
      </w:pPr>
      <w:r w:rsidRPr="00F90EBB">
        <w:rPr>
          <w:lang w:val="en"/>
        </w:rPr>
        <w:t xml:space="preserve"> </w:t>
      </w:r>
      <w:r w:rsidRPr="00F90EBB">
        <w:rPr>
          <w:lang w:val="en"/>
        </w:rPr>
        <w:sym w:font="Symbol" w:char="F02D"/>
      </w:r>
      <w:r w:rsidRPr="00F90EBB">
        <w:rPr>
          <w:lang w:val="en"/>
        </w:rPr>
        <w:t xml:space="preserve"> The aggressive policy of Armenia, which resurfaced at the end of the 20th century and was the main factor of instability in the South Caucasus, was put to an end with the Second Karabakh War, and a new geopolitical and geoeconomic situation was formed in the region.</w:t>
      </w:r>
    </w:p>
    <w:p w14:paraId="30542732" w14:textId="77777777" w:rsidR="00754B87" w:rsidRPr="00F90EBB" w:rsidRDefault="00754B87" w:rsidP="00F90EBB">
      <w:pPr>
        <w:pStyle w:val="ac"/>
        <w:spacing w:line="360" w:lineRule="auto"/>
        <w:ind w:left="-567" w:right="189" w:firstLine="993"/>
        <w:rPr>
          <w:b/>
          <w:bCs/>
          <w:lang w:val="en-US"/>
        </w:rPr>
      </w:pPr>
    </w:p>
    <w:p w14:paraId="00173A62" w14:textId="320D612B" w:rsidR="00754B87" w:rsidRPr="00F90EBB" w:rsidRDefault="00754B87" w:rsidP="00F90EBB">
      <w:pPr>
        <w:pStyle w:val="ac"/>
        <w:spacing w:line="360" w:lineRule="auto"/>
        <w:ind w:left="-567" w:right="189" w:firstLine="993"/>
        <w:rPr>
          <w:b/>
          <w:bCs/>
          <w:lang w:val="az-Latn-AZ"/>
        </w:rPr>
      </w:pPr>
      <w:r w:rsidRPr="00F90EBB">
        <w:rPr>
          <w:b/>
          <w:bCs/>
        </w:rPr>
        <w:t>Discussion</w:t>
      </w:r>
    </w:p>
    <w:p w14:paraId="72C4EDE1" w14:textId="4EAAF8D9" w:rsidR="004E58BE" w:rsidRPr="00F90EBB" w:rsidRDefault="00C16D76" w:rsidP="00F90EBB">
      <w:pPr>
        <w:pStyle w:val="ac"/>
        <w:spacing w:line="360" w:lineRule="auto"/>
        <w:ind w:left="-567" w:right="170" w:firstLine="993"/>
        <w:rPr>
          <w:w w:val="150"/>
        </w:rPr>
      </w:pPr>
      <w:r w:rsidRPr="00F90EBB">
        <w:t xml:space="preserve">One of the political actors operating in the South Caucasus at the beginning of the 20th century was Great Britain. The Armenian nation relied heavily on the British, who patronized them to carry out their evil intentions. Thus, the British army entered the South Caucasus under the guise of protecting the security of the Caucasian peoples. On November 17, 1918, as the victors of the First World War, British troops led by General William Thomson set foot in Baku. Colonel F.P. Cockerell was appointed as the commissioner of the victorious powers in Azerbaijan. </w:t>
      </w:r>
      <w:r w:rsidR="000F08CF" w:rsidRPr="00F90EBB">
        <w:t>(Tokarzhevsky, 1957).</w:t>
      </w:r>
    </w:p>
    <w:p w14:paraId="3B3CF1AF" w14:textId="35A93FA2" w:rsidR="00C16D76" w:rsidRPr="00F90EBB" w:rsidRDefault="00C16D76" w:rsidP="00F90EBB">
      <w:pPr>
        <w:pStyle w:val="ac"/>
        <w:spacing w:line="360" w:lineRule="auto"/>
        <w:ind w:left="-567" w:right="159" w:firstLine="993"/>
        <w:rPr>
          <w:iCs/>
        </w:rPr>
      </w:pPr>
      <w:r w:rsidRPr="00F90EBB">
        <w:rPr>
          <w:iCs/>
        </w:rPr>
        <w:t xml:space="preserve">The Allied commander, General William Thomson, announced on the day he arrived in Baku that they would replace the Ottoman army. Taking into account the </w:t>
      </w:r>
      <w:r w:rsidRPr="00F90EBB">
        <w:rPr>
          <w:iCs/>
        </w:rPr>
        <w:lastRenderedPageBreak/>
        <w:t>words of General Thomson, the government of the Azerbaijan Democratic Republic regularly informed him about the atrocities committed by the Armenian armed forces against the Azerbaijani people.</w:t>
      </w:r>
    </w:p>
    <w:p w14:paraId="71180F7A" w14:textId="47A8811E" w:rsidR="00DD07B3" w:rsidRPr="00F90EBB" w:rsidRDefault="00C16D76" w:rsidP="00F90EBB">
      <w:pPr>
        <w:pStyle w:val="ac"/>
        <w:spacing w:line="360" w:lineRule="auto"/>
        <w:ind w:left="-567" w:right="159" w:firstLine="993"/>
        <w:rPr>
          <w:i/>
        </w:rPr>
      </w:pPr>
      <w:r w:rsidRPr="00F90EBB">
        <w:rPr>
          <w:iCs/>
        </w:rPr>
        <w:t>All processes in the region took place under the control of the Allies, and in all the unpleasant events that occurred in the newly formed republics, the British handprint could be felt. In this regard, the British Minister of War, W. Churchill, said at one of the events: “There is no doubt that the Russians will return to these lands at some point. However, the long stay of British troops in these lands will create conditions for our claws to work even deeper.”</w:t>
      </w:r>
      <w:r w:rsidRPr="00F90EBB">
        <w:rPr>
          <w:i/>
        </w:rPr>
        <w:t xml:space="preserve"> </w:t>
      </w:r>
      <w:r w:rsidR="00554D37" w:rsidRPr="00F90EBB">
        <w:t xml:space="preserve">(Narimanoglu, 2014). </w:t>
      </w:r>
      <w:r w:rsidR="00DD07B3" w:rsidRPr="00F90EBB">
        <w:t xml:space="preserve"> </w:t>
      </w:r>
      <w:r w:rsidRPr="00F90EBB">
        <w:t>The Armenians, in turn, took appropriate measures to gain favor in the eyes of the British.</w:t>
      </w:r>
    </w:p>
    <w:p w14:paraId="570B672E" w14:textId="0147F812" w:rsidR="00C16D76" w:rsidRPr="00F90EBB" w:rsidRDefault="00C16D76" w:rsidP="00F90EBB">
      <w:pPr>
        <w:pStyle w:val="ac"/>
        <w:spacing w:line="360" w:lineRule="auto"/>
        <w:ind w:left="-567" w:right="159" w:firstLine="993"/>
      </w:pPr>
      <w:r w:rsidRPr="00F90EBB">
        <w:t>In order to portray the Azerbaijani government as a nationalist state, the Armenian authorities regularly presented the unfounded claims and demands of the Armenians living in Karabakh and Zangezur to the Azerbaijani government to the British general. However, General Thomson considered these claims of the Armenians unfounded and stated that Karabakh and Zangezur belonged to Azerbaijan. From the first days of December 1918, General Thomson demanded that the Armenian leaders of the Ganja, Gazakh, and Javanshir districts put an end to lawlessness and robbery against Azerbaijanis. The official position of the so-called British command in the South Caucasus was to establish peace in the region and prevent Armenian aggression.</w:t>
      </w:r>
    </w:p>
    <w:p w14:paraId="6B822A39" w14:textId="41047CBE" w:rsidR="00C16D76" w:rsidRPr="00F90EBB" w:rsidRDefault="00C16D76" w:rsidP="00F90EBB">
      <w:pPr>
        <w:pStyle w:val="ac"/>
        <w:spacing w:line="360" w:lineRule="auto"/>
        <w:ind w:left="-567" w:right="159" w:firstLine="993"/>
      </w:pPr>
      <w:r w:rsidRPr="00F90EBB">
        <w:t>After the government of the Azerbaijan Democratic Republic received information about the atrocities committed by Andranik in Azerbaijan, General Thomson sent a mixed British-Muslim-Armenian delegation to Karabakh and warned all Armenian groups to end their acts of aggression. A similar letter was also presented to Andranik himself, but the measures taken by the British command did not show their effect, only stopping the Armenian atrocities in the short term. The reason for this was the double game played by the British. It was the British who provided the bulk of the arms aid to the Armenians.</w:t>
      </w:r>
    </w:p>
    <w:p w14:paraId="2DCF1A5A" w14:textId="77777777" w:rsidR="00A71C00" w:rsidRPr="00F90EBB" w:rsidRDefault="00512CE8" w:rsidP="00F90EBB">
      <w:pPr>
        <w:pStyle w:val="ac"/>
        <w:spacing w:line="360" w:lineRule="auto"/>
        <w:ind w:left="-567" w:right="159" w:firstLine="993"/>
      </w:pPr>
      <w:r w:rsidRPr="00F90EBB">
        <w:t xml:space="preserve">Great Britain's interests in the South Caucasus and its position on ethnic conflicts in the region were reflected in a report prepared for the Armenian Foreign Minister on November 25, 1918. That report speaks with concern about the fact that it </w:t>
      </w:r>
      <w:r w:rsidRPr="00F90EBB">
        <w:lastRenderedPageBreak/>
        <w:t>was the Armenians who caused the arrival of British troops in Baku after the fall of the Baku Commune and the establishment of the Centrocaspian Dictatorship, the fact that the British, acting politically, accepted the offer late, violated this declaration despite Russia's declaration of non-interference in its internal affairs, and brought its own officers and agents to the leadership of Baku.</w:t>
      </w:r>
      <w:r w:rsidR="00DD07B3" w:rsidRPr="00F90EBB">
        <w:t xml:space="preserve"> </w:t>
      </w:r>
      <w:r w:rsidR="00554D37" w:rsidRPr="00F90EBB">
        <w:t>(Nagorno-Karabakh in international law and world politics. Documents and comments, 2008).</w:t>
      </w:r>
    </w:p>
    <w:p w14:paraId="2DCD1F4F" w14:textId="4FD40154" w:rsidR="00A71C00" w:rsidRPr="00F90EBB" w:rsidRDefault="00512CE8" w:rsidP="00F90EBB">
      <w:pPr>
        <w:pStyle w:val="ac"/>
        <w:spacing w:line="360" w:lineRule="auto"/>
        <w:ind w:left="-567" w:right="159" w:firstLine="993"/>
      </w:pPr>
      <w:r w:rsidRPr="00F90EBB">
        <w:t xml:space="preserve">The Dashnaks, without any basis, considered Karabakh their land and, relying on the British troops, wanted to incorporate Karabakh into the Armenian state. On this path, they were even willing to keep Karabakh under the control of the British command with an autonomous administration. Therefore, they appealed to the British troops in the Caucasus to at least establish a British governor-generalship in Karabakh. </w:t>
      </w:r>
      <w:r w:rsidR="00554D37" w:rsidRPr="00F90EBB">
        <w:t xml:space="preserve">(Gasymly, 2014). </w:t>
      </w:r>
      <w:r w:rsidR="00DD07B3" w:rsidRPr="00F90EBB">
        <w:t xml:space="preserve"> </w:t>
      </w:r>
      <w:r w:rsidRPr="00F90EBB">
        <w:t xml:space="preserve">Against the backdrop of these appeals, under pressure from the British military mission, the Azerbaijan Democratic Republic established a governor-generalship in the Zangezur and Karabakh regions of Azerbaijan on January 15, 1919. </w:t>
      </w:r>
    </w:p>
    <w:p w14:paraId="4F04AEF9" w14:textId="77777777" w:rsidR="00A71C00" w:rsidRPr="00F90EBB" w:rsidRDefault="00512CE8" w:rsidP="00F90EBB">
      <w:pPr>
        <w:pStyle w:val="ac"/>
        <w:spacing w:line="360" w:lineRule="auto"/>
        <w:ind w:left="-567" w:right="159" w:firstLine="993"/>
      </w:pPr>
      <w:r w:rsidRPr="00F90EBB">
        <w:t>The official statement issued by the British military mission in this regard is proof that the British were active players in the South Caucasus. The text of the statement reveals the British intentions to keep the region under full control, and the requirements for each step to be coordinated with the British command. From this information, it is clear that the influence of Great Britain in the South Caucasus extended beyond the borders of the Centrocaspian Dictatorship</w:t>
      </w:r>
      <w:r w:rsidR="00DD07B3" w:rsidRPr="00F90EBB">
        <w:t xml:space="preserve"> </w:t>
      </w:r>
      <w:r w:rsidR="00554D37" w:rsidRPr="00F90EBB">
        <w:t>(Nagorno-Karabakh in international law and world politics. Documents and comments, 2008).</w:t>
      </w:r>
    </w:p>
    <w:p w14:paraId="297A5546" w14:textId="26CAD972" w:rsidR="00DD07B3" w:rsidRPr="00F90EBB" w:rsidRDefault="00512CE8" w:rsidP="00F90EBB">
      <w:pPr>
        <w:pStyle w:val="ac"/>
        <w:spacing w:line="360" w:lineRule="auto"/>
        <w:ind w:left="-567" w:right="159" w:firstLine="993"/>
      </w:pPr>
      <w:r w:rsidRPr="00F90EBB">
        <w:t xml:space="preserve">The tension between the Azerbaijan Democratic Republic and the Armenian side went beyond the borders of the Republic and manifested itself in the entire Caucasus region. In this regard, the factor that seriously hindered peace and security in both the Caucasus and the South Caucasus regions was Armenian terrorism. This factor became a tool in the hands of the forces opposed to Azerbaijani statehood. If we look at the official notification of the British military mission on the appointment of Dr. Sultanov as the temporary governor-general for civil affairs by the Azerbaijan Democratic Republic for the Zangezur and Karabakh regions of Azerbaijan from January 15, 1919, it is noted that a council consisting of “six experienced Armenians” </w:t>
      </w:r>
      <w:r w:rsidRPr="00F90EBB">
        <w:lastRenderedPageBreak/>
        <w:t>was formed, chaired by the governor-general, “to satisfy all the needs of all nations.” Paragraph 7 of the notification required that any movement of troops within the governor-general be reported to the British mission</w:t>
      </w:r>
      <w:r w:rsidR="00DD07B3" w:rsidRPr="00F90EBB">
        <w:t xml:space="preserve"> </w:t>
      </w:r>
      <w:r w:rsidR="00554D37" w:rsidRPr="00F90EBB">
        <w:t>(Nagorno-Karabakh in international law and world politics. Documents and comments, 2008).</w:t>
      </w:r>
    </w:p>
    <w:p w14:paraId="1DA2EEF7" w14:textId="408B0969" w:rsidR="00512CE8" w:rsidRPr="00F90EBB" w:rsidRDefault="00512CE8" w:rsidP="00F90EBB">
      <w:pPr>
        <w:pStyle w:val="ac"/>
        <w:spacing w:line="360" w:lineRule="auto"/>
        <w:ind w:left="-567" w:right="159" w:firstLine="993"/>
      </w:pPr>
      <w:r w:rsidRPr="00F90EBB">
        <w:t xml:space="preserve">Although the statement is written in a language with a double meaning, on the one hand, it creates the impression that the various ethnic groups living in the region live in safe and peaceful conditions and solve the required civil and social problems, upon careful examination, it is possible to see the desire of the Armenian terrorists to appease Britain and to ensure the interests of Britain with bloody Armenian hands. Thus, the “experienced Armenian” concept sounds especially suspicious. Considering that Britain, like other imperialist powers active in the region at the beginning of the 20th century, also intended to use Armenian units and had already done so in Baku through the Setro-Caspian Dictatorship, we can understand the concept of “experience” in the text of the statement as “the leaders of the Armenian-Dashnak terrorists”. Special attention should also be paid to the concept of “all nations” in paragraph 3 of the statement. Because, as a rule, in documents intended to prevent ethnic clashes in a specific area and create peace between people, in order to satisfy all ethnic and national groups in that region, prevent new conflicts and ensure equality, terms such as “local population”, “local ethnic group”, “local peoples” and so on are used in relation to the conflict parties, thereby emphasizing that each of the conflict parties has actually been the local people of that area for many centuries and has equal rights in that region. </w:t>
      </w:r>
    </w:p>
    <w:p w14:paraId="6C64DF5F" w14:textId="0F678964" w:rsidR="00BC4926" w:rsidRPr="00F90EBB" w:rsidRDefault="00BC4926" w:rsidP="00F90EBB">
      <w:pPr>
        <w:tabs>
          <w:tab w:val="left" w:pos="1435"/>
        </w:tabs>
        <w:spacing w:line="360" w:lineRule="auto"/>
        <w:ind w:left="-567" w:right="159" w:firstLine="993"/>
        <w:jc w:val="both"/>
        <w:rPr>
          <w:sz w:val="28"/>
          <w:szCs w:val="28"/>
        </w:rPr>
      </w:pPr>
      <w:r w:rsidRPr="00F90EBB">
        <w:rPr>
          <w:sz w:val="28"/>
          <w:szCs w:val="28"/>
        </w:rPr>
        <w:tab/>
      </w:r>
      <w:r w:rsidR="00512CE8" w:rsidRPr="00F90EBB">
        <w:rPr>
          <w:sz w:val="28"/>
          <w:szCs w:val="28"/>
        </w:rPr>
        <w:t xml:space="preserve">The order of the former traitor and deserter Major General of the Ottoman Army, Andranik, issued on January 28, 1919, 13 calendar days after the aforementioned dispute and the official notification of the British military mission dated January 15, 1919, regarding the cessation of military operations against the Turkish and Tatar population in Karabakh, and the threats by the British and French representatives that the “Armenian question” would not be resolved, was published. This order reveals the actual control capabilities of the British military mission over the Armenians, as well as the points that were tried to be hidden by diplomatic methods </w:t>
      </w:r>
      <w:r w:rsidR="00512CE8" w:rsidRPr="00F90EBB">
        <w:rPr>
          <w:sz w:val="28"/>
          <w:szCs w:val="28"/>
        </w:rPr>
        <w:lastRenderedPageBreak/>
        <w:t xml:space="preserve">without mentioning specific names in the official notification dated January 15, 1919, and Britain’s attitude towards the South Caucasus at the beginning of the 20th century, as well as the Armenian terror faced by the Azerbaijan Democratic Republic. </w:t>
      </w:r>
      <w:r w:rsidR="00554D37" w:rsidRPr="00F90EBB">
        <w:rPr>
          <w:sz w:val="28"/>
          <w:szCs w:val="28"/>
        </w:rPr>
        <w:t>(Nagorno-Karabakh in international law and world politics. Documents and comments, 2008).</w:t>
      </w:r>
    </w:p>
    <w:p w14:paraId="4E9D7352" w14:textId="30F4E241" w:rsidR="00512CE8" w:rsidRPr="00F90EBB" w:rsidRDefault="00BC4926" w:rsidP="00F90EBB">
      <w:pPr>
        <w:tabs>
          <w:tab w:val="left" w:pos="1435"/>
        </w:tabs>
        <w:spacing w:line="360" w:lineRule="auto"/>
        <w:ind w:left="-567" w:right="159" w:firstLine="993"/>
        <w:jc w:val="both"/>
        <w:rPr>
          <w:sz w:val="28"/>
          <w:szCs w:val="28"/>
        </w:rPr>
      </w:pPr>
      <w:r w:rsidRPr="00F90EBB">
        <w:rPr>
          <w:sz w:val="28"/>
          <w:szCs w:val="28"/>
        </w:rPr>
        <w:tab/>
      </w:r>
      <w:r w:rsidR="00512CE8" w:rsidRPr="00F90EBB">
        <w:rPr>
          <w:sz w:val="28"/>
          <w:szCs w:val="28"/>
        </w:rPr>
        <w:t xml:space="preserve">At the same time, the British did not hesitate to provide financial assistance to the Armenian militants. A letter sent to the British command on March 18, 1919, noted that Andranik's detachment in Gorus had 1,600 armed men and thirty thousand refugees. When the Armenians asked for help, the British provided Andranik's detachment with 1 million 600 thousand rubles on condition that they be returned. The Allies had previously financed Armenian terrorists. Andranik's detachment was paid 200 thousand rubles a month until it ceased its activities and was released. </w:t>
      </w:r>
      <w:r w:rsidR="00554D37" w:rsidRPr="00F90EBB">
        <w:rPr>
          <w:sz w:val="28"/>
          <w:szCs w:val="28"/>
        </w:rPr>
        <w:t>(Gasymly, 2014)</w:t>
      </w:r>
      <w:r w:rsidR="00DD07B3" w:rsidRPr="00F90EBB">
        <w:rPr>
          <w:sz w:val="28"/>
          <w:szCs w:val="28"/>
        </w:rPr>
        <w:t xml:space="preserve">. </w:t>
      </w:r>
    </w:p>
    <w:p w14:paraId="192DF3E7" w14:textId="70D922AD" w:rsidR="00512CE8" w:rsidRPr="00F90EBB" w:rsidRDefault="00A71C00" w:rsidP="00F90EBB">
      <w:pPr>
        <w:pStyle w:val="ac"/>
        <w:tabs>
          <w:tab w:val="left" w:pos="1984"/>
          <w:tab w:val="left" w:pos="3084"/>
          <w:tab w:val="left" w:pos="4664"/>
          <w:tab w:val="left" w:pos="5172"/>
          <w:tab w:val="left" w:pos="6365"/>
          <w:tab w:val="left" w:pos="7699"/>
          <w:tab w:val="left" w:pos="8923"/>
        </w:tabs>
        <w:spacing w:line="360" w:lineRule="auto"/>
        <w:ind w:left="-567" w:right="159" w:firstLine="993"/>
      </w:pPr>
      <w:r w:rsidRPr="00F90EBB">
        <w:t>Great Britain</w:t>
      </w:r>
      <w:r w:rsidR="00512CE8" w:rsidRPr="00F90EBB">
        <w:t xml:space="preserve"> was categorically against the strengthening of the positions of the United States and France in the region. Therefore, Great Britain, conducting diplomatic negotiations with Italy, wanted to strengthen its position in the Caucasus.</w:t>
      </w:r>
    </w:p>
    <w:p w14:paraId="17E2798A" w14:textId="77777777" w:rsidR="00A71C00" w:rsidRPr="00F90EBB" w:rsidRDefault="00512CE8" w:rsidP="00F90EBB">
      <w:pPr>
        <w:pStyle w:val="ac"/>
        <w:tabs>
          <w:tab w:val="left" w:pos="1984"/>
          <w:tab w:val="left" w:pos="3084"/>
          <w:tab w:val="left" w:pos="4664"/>
          <w:tab w:val="left" w:pos="5172"/>
          <w:tab w:val="left" w:pos="6365"/>
          <w:tab w:val="left" w:pos="7699"/>
          <w:tab w:val="left" w:pos="8923"/>
        </w:tabs>
        <w:spacing w:line="360" w:lineRule="auto"/>
        <w:ind w:left="-567" w:right="159" w:firstLine="993"/>
      </w:pPr>
      <w:r w:rsidRPr="00F90EBB">
        <w:t>After the withdrawal of British troops from the Caucasus, a British delegation led by Oliver Wardrop arrived in Tiflis. O. Wardrop was appointed British High Commissioner. Thus, a new page in British policy in the Caucasus was opened.</w:t>
      </w:r>
    </w:p>
    <w:p w14:paraId="5427823E" w14:textId="06BCE67A" w:rsidR="00DD07B3" w:rsidRPr="00F90EBB" w:rsidRDefault="00512CE8" w:rsidP="00F90EBB">
      <w:pPr>
        <w:pStyle w:val="ac"/>
        <w:tabs>
          <w:tab w:val="left" w:pos="1984"/>
          <w:tab w:val="left" w:pos="3084"/>
          <w:tab w:val="left" w:pos="4664"/>
          <w:tab w:val="left" w:pos="5172"/>
          <w:tab w:val="left" w:pos="6365"/>
          <w:tab w:val="left" w:pos="7699"/>
          <w:tab w:val="left" w:pos="8923"/>
        </w:tabs>
        <w:spacing w:line="360" w:lineRule="auto"/>
        <w:ind w:left="-567" w:right="159" w:firstLine="993"/>
      </w:pPr>
      <w:r w:rsidRPr="00F90EBB">
        <w:t xml:space="preserve">Oliver Wardrop was informed about the atrocities committed by Armenians in Azerbaijan and the entire South Caucasus during his stay in Baku. He wrote in his report: “Azerbaijanis say that Armenians, together with the Bolsheviks, are killing a large number of Muslim people. In their opinion, “S.Shaumyan is a fake Bolshevik.” The report also noted that a few days ago, Armenians had razed 60 Muslim villages in and around Yerevan. </w:t>
      </w:r>
      <w:r w:rsidR="00554D37" w:rsidRPr="00F90EBB">
        <w:t>(Azerbaijan Democratic Republic , 1998)</w:t>
      </w:r>
    </w:p>
    <w:p w14:paraId="5E31ECC7" w14:textId="3D989AAD" w:rsidR="00512CE8" w:rsidRPr="00F90EBB" w:rsidRDefault="00512CE8" w:rsidP="00F90EBB">
      <w:pPr>
        <w:pStyle w:val="ac"/>
        <w:spacing w:line="360" w:lineRule="auto"/>
        <w:ind w:left="-567" w:right="158" w:firstLine="993"/>
      </w:pPr>
      <w:r w:rsidRPr="00F90EBB">
        <w:t xml:space="preserve">Great Britain, Germany and Soviet Russia were in fierce competition for control of Azerbaijan and Baku oil. Great Britain, which had a large military force in the Middle East, was trying to take Baku from Russia and prevent Germany from approaching it. This mission was to be carried out by General Charles Denstreville, the commander of the British military unit in Anzali. He was also assisted by the Dashnaks, </w:t>
      </w:r>
      <w:r w:rsidRPr="00F90EBB">
        <w:lastRenderedPageBreak/>
        <w:t>Socialist Revolutionaries and Mensheviks in Baku. General Charles Denstreville, in turn, wrote about the Armenian-Azerbaijani conflict in the South Caucasus: “They should have continued to kill each other until they were exhausted, but then we could establish order here.”</w:t>
      </w:r>
      <w:r w:rsidR="00DD07B3" w:rsidRPr="00F90EBB">
        <w:t xml:space="preserve"> </w:t>
      </w:r>
      <w:r w:rsidR="00554D37" w:rsidRPr="00F90EBB">
        <w:t>( Denstervil, 1925).</w:t>
      </w:r>
      <w:r w:rsidR="00DD07B3" w:rsidRPr="00F90EBB">
        <w:t xml:space="preserve"> </w:t>
      </w:r>
      <w:r w:rsidRPr="00F90EBB">
        <w:t>In fact, this approach was not only the approach of Dunsterville, but also the approach of Western states in general. Even the French colonel Galan believed that the main solution to the disputed issues in Transcaucasia was to create conditions for the Caucasians to kill each other.</w:t>
      </w:r>
    </w:p>
    <w:p w14:paraId="57DBD28C" w14:textId="23C4367B" w:rsidR="00CA3458" w:rsidRPr="00F90EBB" w:rsidRDefault="00512CE8" w:rsidP="00F90EBB">
      <w:pPr>
        <w:pStyle w:val="ac"/>
        <w:spacing w:line="360" w:lineRule="auto"/>
        <w:ind w:left="-567" w:right="158" w:firstLine="993"/>
      </w:pPr>
      <w:r w:rsidRPr="00F90EBB">
        <w:t xml:space="preserve">In January 1919, the English general J. Milne, who was in Azerbaijan, wrote in a letter to the Chief of Staff H. Wilson: “The withdrawal of British military forces from the Caucasus will lead to anarchy. But the world will not lose much from the local population fighting each other. All of them are not worth a single British soldier.” </w:t>
      </w:r>
      <w:r w:rsidR="00554D37" w:rsidRPr="00F90EBB">
        <w:t>(Shukurov, 2006)</w:t>
      </w:r>
      <w:r w:rsidR="00DD07B3" w:rsidRPr="00F90EBB">
        <w:t xml:space="preserve">. </w:t>
      </w:r>
      <w:r w:rsidRPr="00F90EBB">
        <w:t>From all these facts, it is clear that the British were not at all interested in the lives of the local inhabitants of the region.</w:t>
      </w:r>
    </w:p>
    <w:p w14:paraId="30AAE5BB" w14:textId="795698AD" w:rsidR="00DD07B3" w:rsidRPr="00F90EBB" w:rsidRDefault="00512CE8" w:rsidP="00F90EBB">
      <w:pPr>
        <w:pStyle w:val="ac"/>
        <w:spacing w:line="360" w:lineRule="auto"/>
        <w:ind w:left="-567" w:right="159" w:firstLine="993"/>
      </w:pPr>
      <w:r w:rsidRPr="00F90EBB">
        <w:t xml:space="preserve">British Foreign Minister J. Curzon wrote: “Just as Arabism was a response to Turkish Islamism, so the “Armenian question” is a truly powerful measure against Turanism. With the departure of the Russians from the scene, the Armenians began to attract all attention to themselves. The British “war cabinet” was trying to bring Armenian soldiers to the Caucasian front and for this purpose asked the American government to mediate in sending Armenian volunteers from this country to the Caucasus. It itself was re-equipping the Armenian volunteer regiments in the Caucasus and making them fight against the Turkish troops. Despite all this, </w:t>
      </w:r>
      <w:r w:rsidR="00951F62" w:rsidRPr="00F90EBB">
        <w:t>Great Britain</w:t>
      </w:r>
      <w:r w:rsidRPr="00F90EBB">
        <w:t xml:space="preserve"> was hesitant to do anything concrete to the Armenians.” </w:t>
      </w:r>
      <w:r w:rsidR="00554D37" w:rsidRPr="00F90EBB">
        <w:t>(</w:t>
      </w:r>
      <w:r w:rsidR="00CA3458" w:rsidRPr="00F90EBB">
        <w:t>Uras,</w:t>
      </w:r>
      <w:r w:rsidR="00554D37" w:rsidRPr="00F90EBB">
        <w:t>1976)</w:t>
      </w:r>
      <w:r w:rsidR="00DD301F" w:rsidRPr="00F90EBB">
        <w:t xml:space="preserve"> </w:t>
      </w:r>
      <w:r w:rsidRPr="00F90EBB">
        <w:t>Naturally, no leading state, especially Great Britain, had any special sympathy for the Armenians, considering them merely a convenient means to thwart the Ottoman Empire's expansion plans, to disintegrate it from within, and to wipe it off the world map. British diplomacy, turning London into a propaganda center, spared no effort to create nationalist sentiment among the Armenians and incited them to make groundless territorial claims to neighboring states.</w:t>
      </w:r>
      <w:r w:rsidR="00DD07B3" w:rsidRPr="00F90EBB">
        <w:t xml:space="preserve"> </w:t>
      </w:r>
      <w:r w:rsidR="00554D37" w:rsidRPr="00F90EBB">
        <w:t>(Najafov, 2007)</w:t>
      </w:r>
    </w:p>
    <w:p w14:paraId="30316E9E" w14:textId="7E4A2F69" w:rsidR="00512CE8" w:rsidRPr="00F90EBB" w:rsidRDefault="00512CE8" w:rsidP="00F90EBB">
      <w:pPr>
        <w:pStyle w:val="ac"/>
        <w:spacing w:line="360" w:lineRule="auto"/>
        <w:ind w:left="-567" w:right="160" w:firstLine="993"/>
      </w:pPr>
      <w:r w:rsidRPr="00F90EBB">
        <w:t xml:space="preserve">Thus, </w:t>
      </w:r>
      <w:r w:rsidR="00951F62" w:rsidRPr="00F90EBB">
        <w:t>Great Britain</w:t>
      </w:r>
      <w:r w:rsidRPr="00F90EBB">
        <w:t xml:space="preserve">, which had huge colonies in the East, was trying to maintain its hegemony there, and also insisted on strengthening itself in Asia Minor, </w:t>
      </w:r>
      <w:r w:rsidRPr="00F90EBB">
        <w:lastRenderedPageBreak/>
        <w:t>was interested in using the “Armenian question”. Russia’s advance towards the Dardanelles had to be prevented. Therefore, England did everything in its power to raise the “Armenian question”.</w:t>
      </w:r>
    </w:p>
    <w:p w14:paraId="736D748B" w14:textId="59C01D89" w:rsidR="00512CE8" w:rsidRPr="00F90EBB" w:rsidRDefault="00512CE8" w:rsidP="00F90EBB">
      <w:pPr>
        <w:pStyle w:val="ac"/>
        <w:spacing w:line="360" w:lineRule="auto"/>
        <w:ind w:left="-567" w:right="160" w:firstLine="993"/>
      </w:pPr>
      <w:r w:rsidRPr="00F90EBB">
        <w:t xml:space="preserve">Although </w:t>
      </w:r>
      <w:r w:rsidR="00951F62" w:rsidRPr="00F90EBB">
        <w:t>Great Britain</w:t>
      </w:r>
      <w:r w:rsidRPr="00F90EBB">
        <w:t xml:space="preserve"> diplomats perceived the Armenians as a nation that was cowardly and achieved its goals only through intrigue, mutual interests were seen in Baku as a new source of British expansion. The Armenians were known as great intriguers, and the Dashnaks as “specialists in secret affairs”. The British also considered the Armenians to be an unreliable element in Transcaucasia, calling them Russophiles. Despite all this, the British were among the regular supporters of Armenian aggression.</w:t>
      </w:r>
    </w:p>
    <w:p w14:paraId="0CECC833" w14:textId="4E1D6B86" w:rsidR="00554D37" w:rsidRPr="00F90EBB" w:rsidRDefault="00512CE8" w:rsidP="00F90EBB">
      <w:pPr>
        <w:pStyle w:val="ac"/>
        <w:spacing w:line="360" w:lineRule="auto"/>
        <w:ind w:left="-567" w:right="160" w:firstLine="993"/>
        <w:rPr>
          <w:i/>
        </w:rPr>
      </w:pPr>
      <w:r w:rsidRPr="00F90EBB">
        <w:t xml:space="preserve">While pursuing a large-scale policy of aggression in the South Caucasus, which has a diverse national composition, Great Britain artificially exacerbated the contradictions between the nations in the region by making deliberate political maneuvers. In this regard, the governor of Ganja, Ibrahim Agha Vakilov, noted: “Although the sending of a special mission of the British command to Transcaucasia was intended to calm and stop Tatar-Armenian relations, the Armenians continued to mobilize, and this situation was supported by the British.” </w:t>
      </w:r>
      <w:r w:rsidR="00554D37" w:rsidRPr="00F90EBB">
        <w:rPr>
          <w:i/>
        </w:rPr>
        <w:t>(</w:t>
      </w:r>
      <w:r w:rsidR="00554D37" w:rsidRPr="00F90EBB">
        <w:t xml:space="preserve"> Letter from Ganja Governor Ibrahim aga Vakilov to the Minister of Internal Affairs</w:t>
      </w:r>
      <w:r w:rsidR="00DD07B3" w:rsidRPr="00F90EBB">
        <w:rPr>
          <w:i/>
        </w:rPr>
        <w:t xml:space="preserve"> </w:t>
      </w:r>
      <w:r w:rsidR="00554D37" w:rsidRPr="00F90EBB">
        <w:rPr>
          <w:i/>
        </w:rPr>
        <w:t>, 2019)</w:t>
      </w:r>
    </w:p>
    <w:p w14:paraId="751D0AD2" w14:textId="4E157CE1" w:rsidR="00DD07B3" w:rsidRPr="00F90EBB" w:rsidRDefault="00512CE8" w:rsidP="00F90EBB">
      <w:pPr>
        <w:pStyle w:val="ac"/>
        <w:spacing w:line="360" w:lineRule="auto"/>
        <w:ind w:left="-567" w:right="160" w:firstLine="993"/>
      </w:pPr>
      <w:r w:rsidRPr="00F90EBB">
        <w:t xml:space="preserve">It should be noted that the Dashnaks coordinated their every action with the British. In turn, England implemented its aggressive policy through the Dashnaks. The actions of the Dashnaks in Transcaucasia were carried out according to the scenario drawn up by the British in London. Thus, all the contradictions that occurred in Transcaucasia both met the interests of the British and were controlled by them. The British command, which played the role of an arbitrator in the South Caucasus, did not let the Dashnak leaders lose sight of their point of view, but gave them the role of initiators of the conflict and executors of bloody confrontations. </w:t>
      </w:r>
      <w:r w:rsidR="00554D37" w:rsidRPr="00F90EBB">
        <w:t>(</w:t>
      </w:r>
      <w:r w:rsidR="00A94B26" w:rsidRPr="00F90EBB">
        <w:t>Ya</w:t>
      </w:r>
      <w:r w:rsidR="00554D37" w:rsidRPr="00F90EBB">
        <w:t>g</w:t>
      </w:r>
      <w:r w:rsidR="00A94B26" w:rsidRPr="00F90EBB">
        <w:t>ublu</w:t>
      </w:r>
      <w:r w:rsidR="00554D37" w:rsidRPr="00F90EBB">
        <w:t>, 2015)</w:t>
      </w:r>
    </w:p>
    <w:p w14:paraId="1A371A2C" w14:textId="76DF4A97" w:rsidR="00512CE8" w:rsidRPr="00F90EBB" w:rsidRDefault="00512CE8" w:rsidP="00F90EBB">
      <w:pPr>
        <w:pStyle w:val="ac"/>
        <w:spacing w:line="360" w:lineRule="auto"/>
        <w:ind w:left="-567" w:right="158" w:firstLine="993"/>
      </w:pPr>
      <w:r w:rsidRPr="00F90EBB">
        <w:t xml:space="preserve">The British also used representatives of Armenian organizations and officers of the former tsarist army to carry out their policy in Transcaucasia. Using their combined power, the British opposed the local Muslim people. In fact, </w:t>
      </w:r>
      <w:r w:rsidR="00951F62" w:rsidRPr="00F90EBB">
        <w:t>Great Britain</w:t>
      </w:r>
      <w:r w:rsidRPr="00F90EBB">
        <w:t xml:space="preserve"> did not want any strong independent state to emerge in the region, so it pursued a dual </w:t>
      </w:r>
      <w:r w:rsidRPr="00F90EBB">
        <w:lastRenderedPageBreak/>
        <w:t>policy against Armenia along with Azerbaijan. Thus, maneuvering with its military means and diplomatic methods, Great Britain tried to further exacerbate the contradictions existing between the newly independent states, and at the same time tried to convince these states that they supported the course of independence.</w:t>
      </w:r>
    </w:p>
    <w:p w14:paraId="4EF3BC69" w14:textId="77777777" w:rsidR="00512CE8" w:rsidRPr="00F90EBB" w:rsidRDefault="00512CE8" w:rsidP="00F90EBB">
      <w:pPr>
        <w:pStyle w:val="ac"/>
        <w:spacing w:line="360" w:lineRule="auto"/>
        <w:ind w:left="-567" w:right="158" w:firstLine="993"/>
      </w:pPr>
      <w:r w:rsidRPr="00F90EBB">
        <w:t>It should also be noted that the Armenian diaspora and lobby played a major role in the support of Great Britain and other leading states for the Armenians. During this period, Armenian bureaus operated in England, France, and the USA. Through these bureaus, they carried out propaganda and agitation work. The most favorite and most widely used propaganda method of Armenians was to use the word “Christian”. It was the “Christian” factor that played an important role in the attitude of the leading states towards Armenia.</w:t>
      </w:r>
    </w:p>
    <w:p w14:paraId="683DBD39" w14:textId="778FEB59" w:rsidR="00150690" w:rsidRPr="00F90EBB" w:rsidRDefault="00512CE8" w:rsidP="00F90EBB">
      <w:pPr>
        <w:pStyle w:val="ac"/>
        <w:spacing w:line="360" w:lineRule="auto"/>
        <w:ind w:left="-567" w:right="158" w:firstLine="993"/>
      </w:pPr>
      <w:r w:rsidRPr="00F90EBB">
        <w:t>The English journalist Scotland Liddell, known for his truthfulness, wrote about the Armenians: “Given its geographical position, Karabakh should really belong to Azerbaijan... You will not find a person in Russia or the Caucasus who would say a single good word about the Armenians... The fact is obvious - the Armenians are a hateful race. However, their propaganda abroad is such that Europe, as well as the whole world, is on their side.”</w:t>
      </w:r>
      <w:r w:rsidR="00DD07B3" w:rsidRPr="00F90EBB">
        <w:rPr>
          <w:i/>
        </w:rPr>
        <w:t xml:space="preserve"> </w:t>
      </w:r>
      <w:r w:rsidR="00554D37" w:rsidRPr="00F90EBB">
        <w:t>(Aliyev, 2007).</w:t>
      </w:r>
    </w:p>
    <w:p w14:paraId="5969FB0E" w14:textId="77777777" w:rsidR="00DD301F" w:rsidRPr="00F90EBB" w:rsidRDefault="00512CE8" w:rsidP="00F90EBB">
      <w:pPr>
        <w:pStyle w:val="ac"/>
        <w:spacing w:line="360" w:lineRule="auto"/>
        <w:ind w:left="-567" w:right="158" w:firstLine="993"/>
      </w:pPr>
      <w:r w:rsidRPr="00F90EBB">
        <w:t xml:space="preserve">At first, the Armenians relied heavily on the goodwill of the British, and even began publishing an English-language newspaper in Tbilisi. The first issue of the daily newspaper stated: “Today, for the first time, we have the opportunity to address the British people in English. On behalf of our people, we greet the allied powers. For centuries, Armenia’s foreign policy has been Western-oriented. Even during the war, our motto was: “Great Britain, France, America! Justice and freedom.” Armenia, a small but loyal ally of Great Britain, warmly greets the great British people.” The newspaper also tried to acquaint the English reader with the “history and culture” of Armenia. Magdasyan's article titled "Armenia, its Culture and Dreams" noted that "Armenians belonged to the Indo-European race of humanity. Objective observations show that they were intellectually, physically and morally superior to neighboring nations. Armenians are the Anglo-Saxons of the East." The front cover of this newspaper even quoted the words of William Gladstone, the former Prime Minister of </w:t>
      </w:r>
      <w:r w:rsidRPr="00F90EBB">
        <w:lastRenderedPageBreak/>
        <w:t xml:space="preserve">Great Britain: "To serve Armenia is to serve civilization." </w:t>
      </w:r>
      <w:r w:rsidR="00554D37" w:rsidRPr="00F90EBB">
        <w:t xml:space="preserve">(Report No. 5 of the head of the Zangezur district Malik Namazaliyev to the Minister of Foreign Affairs of the Azerbaijani People's Republic B. Javanshir , 1918). </w:t>
      </w:r>
      <w:r w:rsidRPr="00F90EBB">
        <w:t>The publication of this sentence by the British Prime Minister and political figure W. Gladstone, known for his hostile stance towards the Turks, in the newspaper's front page was one of the most important features that clearly revealed the main essence of the publication.</w:t>
      </w:r>
      <w:r w:rsidR="00A94B26" w:rsidRPr="00F90EBB">
        <w:tab/>
      </w:r>
      <w:r w:rsidRPr="00F90EBB">
        <w:t xml:space="preserve">In the newspaper, the Armenians described the “difficult situation” of the state to the British, hoping that Great Britain would help them expand the borders of Armenia. However, Baku oil seemed more attractive to the British. The Prime Minister of Armenia, O. Kachaznuni, later commented on the British policy towards Armenia, writing: “The British did not show any difference, as if they did not know or had forgotten that we were their allies. They showed unexpected and inexplicable generosity towards the Azerbaijanis and Georgians. We witnessed the ingratitude of the British, but did not look for the source of the ingratitude.” </w:t>
      </w:r>
      <w:r w:rsidR="00554D37" w:rsidRPr="00F90EBB">
        <w:t>(Kachaznuni</w:t>
      </w:r>
      <w:r w:rsidR="00A94B26" w:rsidRPr="00F90EBB">
        <w:t>,</w:t>
      </w:r>
      <w:r w:rsidR="00554D37" w:rsidRPr="00F90EBB">
        <w:t>1927)</w:t>
      </w:r>
      <w:r w:rsidR="00DD301F" w:rsidRPr="00F90EBB">
        <w:t xml:space="preserve"> </w:t>
      </w:r>
      <w:r w:rsidRPr="00F90EBB">
        <w:t xml:space="preserve">In this regard, the Polish-born Caucasian scholar Tadeusz Svetokhovsky wrote: “Shortly after the arrival of the British troops under the leadership of General Thomson in Baku, they realized that the Azerbaijan Democratic Republic was the only powerful entity in the South Caucasus and began to cooperate with it. They established a governor-general's office in Karabakh and appointed Khosrov bey Sultanov as governor-general. When the Armenians were dissatisfied with this and wanted to start military operations, Thomson told them that if the Armenians started military operations, they would see the British army in front of them. After that, the Armenians calmed down.” </w:t>
      </w:r>
      <w:r w:rsidR="00554D37" w:rsidRPr="00F90EBB">
        <w:t>(</w:t>
      </w:r>
      <w:r w:rsidR="00A94B26" w:rsidRPr="00F90EBB">
        <w:t xml:space="preserve">Swietochowski, </w:t>
      </w:r>
      <w:r w:rsidR="00554D37" w:rsidRPr="00F90EBB">
        <w:t>1985)</w:t>
      </w:r>
    </w:p>
    <w:p w14:paraId="64446CCF" w14:textId="0033AC69" w:rsidR="00DD07B3" w:rsidRPr="00F90EBB" w:rsidRDefault="00512CE8" w:rsidP="00F90EBB">
      <w:pPr>
        <w:pStyle w:val="ac"/>
        <w:spacing w:line="360" w:lineRule="auto"/>
        <w:ind w:left="-567" w:right="158" w:firstLine="993"/>
      </w:pPr>
      <w:r w:rsidRPr="00F90EBB">
        <w:t xml:space="preserve">Britain's policy was generally to restore Russia to its former borders and administration, which had been tsarist. The statement of the British General Thomson of 1918 clearly shows the attitude of the British towards Russia and the Caucasus region. The statement stated that the Allied powers and the new White Guard Russian government established in Ufa would not recognize the newly declared states, that Russian rule and viceroyalties would be restored in the Caucasus and other regions, that the Caucasus would be liberated from the Germans and Bolsheviks, that British troops would temporarily occupy the Caucasus and maintain stability, that local troops </w:t>
      </w:r>
      <w:r w:rsidRPr="00F90EBB">
        <w:lastRenderedPageBreak/>
        <w:t xml:space="preserve">would be considered Russian troops, that economic relations with Iran would be restored, and that Armenian armed forces would be returned. </w:t>
      </w:r>
      <w:r w:rsidR="00554D37" w:rsidRPr="00F90EBB">
        <w:t>(Shafir, 1925)</w:t>
      </w:r>
    </w:p>
    <w:p w14:paraId="6C98DC8B" w14:textId="518EDD58" w:rsidR="00A94B26" w:rsidRPr="00F90EBB" w:rsidRDefault="00512CE8" w:rsidP="00F90EBB">
      <w:pPr>
        <w:pStyle w:val="ac"/>
        <w:spacing w:line="360" w:lineRule="auto"/>
        <w:ind w:left="-567" w:right="161" w:firstLine="993"/>
      </w:pPr>
      <w:r w:rsidRPr="00F90EBB">
        <w:t xml:space="preserve">At the beginning of the 20th century, Western countries knew very little about Azerbaijan and were hesitant about the issue of our state's independence. The same can be said about US officials. An example of this is the effort made by A. Topchubashov to convince the US diplomat Brown on December 23, 1918, that Azerbaijanis were not Armenians. </w:t>
      </w:r>
      <w:r w:rsidR="00C36A94" w:rsidRPr="00F90EBB">
        <w:t>(Diplomatic talks А. A. Topchibashev in Istanbul , 1994).</w:t>
      </w:r>
      <w:r w:rsidR="00DD07B3" w:rsidRPr="00F90EBB">
        <w:t xml:space="preserve"> </w:t>
      </w:r>
      <w:r w:rsidRPr="00F90EBB">
        <w:t xml:space="preserve">In a letter dated November 1, 1919, addressed to A.M. Topchubashov by Walter Chandler, legal advisor to the delegation on the issues of propaganda of the Azerbaijan Democratic Republic in the United States, it was noted: “American Armenians have a negative attitude towards the independence of Azerbaijan. Armenian literature distributed in America is full of accusations against Azerbaijanis. High-ranking American statesmen such as C. Hodges, W. Bryan, A. Parker, who were candidates for the American presidency, are supporters and propagandists of the independence of Armenia. There are many people among the American public who recognize the independence of Armenia.” Chandler also advises in the letter that representatives of Azerbaijan and Georgia should act jointly to “demonstrate friendly relations between Muslim and Christian neighbors. Perhaps this step will help eliminate the stereotype created by Armenians about Azerbaijanis.” </w:t>
      </w:r>
      <w:r w:rsidR="00C36A94" w:rsidRPr="00F90EBB">
        <w:t>(Walter Chandler's letter to A.M. Topchubashov, 1919)</w:t>
      </w:r>
    </w:p>
    <w:p w14:paraId="481A513B" w14:textId="2CCAEB99" w:rsidR="00DD07B3" w:rsidRPr="00F90EBB" w:rsidRDefault="00A94B26" w:rsidP="00F90EBB">
      <w:pPr>
        <w:tabs>
          <w:tab w:val="left" w:pos="1435"/>
        </w:tabs>
        <w:spacing w:line="360" w:lineRule="auto"/>
        <w:ind w:left="-567" w:right="162" w:firstLine="993"/>
        <w:jc w:val="both"/>
        <w:rPr>
          <w:sz w:val="28"/>
          <w:szCs w:val="28"/>
        </w:rPr>
      </w:pPr>
      <w:r w:rsidRPr="00F90EBB">
        <w:rPr>
          <w:sz w:val="28"/>
          <w:szCs w:val="28"/>
        </w:rPr>
        <w:tab/>
      </w:r>
      <w:r w:rsidR="00AC468A" w:rsidRPr="00F90EBB">
        <w:rPr>
          <w:sz w:val="28"/>
          <w:szCs w:val="28"/>
        </w:rPr>
        <w:t xml:space="preserve">After the withdrawal of British troops from the South Caucasus at the end of 1919 and the Armenians did not receive the support they wanted from the British at the Paris Conference, they began to pin their hopes on the United States. The United States, in turn, used this opportunity to enter the South Caucasus and began to help the “suffering Armenian people”. For this, the United States carried out propaganda by exaggerating the “Armenian question”. It should also be noted that Herbert Hoover, who headed the “American Relief Mission” in 1918-1923, regularly sent anti-Turkish and anti-Azerbaijani telegrams to the United States. Armenians also had a hand in preparing these documents. H. Hoover sarcastically noted that “in 1919, Armenia was as popular in the United States as England.” </w:t>
      </w:r>
      <w:r w:rsidR="00C36A94" w:rsidRPr="00F90EBB">
        <w:rPr>
          <w:sz w:val="28"/>
          <w:szCs w:val="28"/>
        </w:rPr>
        <w:t>(Zang, 1918).</w:t>
      </w:r>
    </w:p>
    <w:p w14:paraId="26F07EA6" w14:textId="77777777" w:rsidR="00DD301F" w:rsidRPr="00F90EBB" w:rsidRDefault="00AC468A" w:rsidP="00F90EBB">
      <w:pPr>
        <w:pStyle w:val="a7"/>
        <w:tabs>
          <w:tab w:val="left" w:pos="1294"/>
        </w:tabs>
        <w:spacing w:line="360" w:lineRule="auto"/>
        <w:ind w:left="-567" w:right="162" w:firstLine="993"/>
        <w:contextualSpacing w:val="0"/>
        <w:jc w:val="both"/>
        <w:rPr>
          <w:sz w:val="28"/>
          <w:szCs w:val="28"/>
        </w:rPr>
      </w:pPr>
      <w:r w:rsidRPr="00F90EBB">
        <w:rPr>
          <w:sz w:val="28"/>
          <w:szCs w:val="28"/>
        </w:rPr>
        <w:lastRenderedPageBreak/>
        <w:t xml:space="preserve">The plans of America, which was trying to gain a say in the region by participating in the profitable distribution of the Ottoman legacy, and the Dashnaks, who wanted to create their dream of "Great Armenia from Sea to Sea" by occupying Azerbaijani lands and usurping Nakhchivan, Zangezur and Karabakh, coincided at a certain point and both sides wanted to benefit from each other. Thus, in order to prevent the Ottoman Empire from strengthening again, the plans of the pro-Armenian forces of the United States were to deprive its main leading people, the Turks, of the Mediterranean Sea, the Straits including the Sea of ​​Marmara and the city of Istanbul, and to squeeze them into the North-Western region of Anatolia, to disrupt the connection of the Turkic-speaking peoples stretching from Anatolia to the Caucasus, and to create an Armenian state between them that would encompass the coasts of the Black and Mediterranean Seas, Eastern Anatolia, and the Western Caucasus. This intention was even voiced at the meeting of the Armenian delegation led by Kachaznuni, who was acting as Prime Minister in December 1919-January 1920, in New York City. At the New York meeting, Kachaznuni asked the United States to provide weapons against the Turks, Kurds and Tatars living in the region, stating that in this case there would be peace for the Armenians. At that meeting, direct claims were made to the Nakhchivan, Zangezur and Karabakh regions of the Azerbaijan Democratic Republic, and Gerard, the president of the commission established in America dealing with the Armenian issue, expressed confidence that the seven provinces he attributed to the Armenians would ensure that the connection between the Anatolian and Caucasian Turks would be broken, and in order to implement the plan, he appealed to the US government to create Armenian-Dashnak armed legions, each consisting of ten thousand people, in America and Europe, and send them to help the Armenians. </w:t>
      </w:r>
      <w:r w:rsidR="00C36A94" w:rsidRPr="00F90EBB">
        <w:rPr>
          <w:sz w:val="28"/>
          <w:szCs w:val="28"/>
        </w:rPr>
        <w:t>(Hajiyev, 2010)</w:t>
      </w:r>
    </w:p>
    <w:p w14:paraId="5925E6A5" w14:textId="77777777" w:rsidR="00DD301F" w:rsidRPr="00F90EBB" w:rsidRDefault="00DD301F" w:rsidP="00F90EBB">
      <w:pPr>
        <w:pStyle w:val="a7"/>
        <w:tabs>
          <w:tab w:val="left" w:pos="1294"/>
        </w:tabs>
        <w:spacing w:line="360" w:lineRule="auto"/>
        <w:ind w:left="-567" w:right="162" w:firstLine="993"/>
        <w:contextualSpacing w:val="0"/>
        <w:jc w:val="both"/>
        <w:rPr>
          <w:sz w:val="28"/>
          <w:szCs w:val="28"/>
        </w:rPr>
      </w:pPr>
      <w:r w:rsidRPr="00F90EBB">
        <w:rPr>
          <w:sz w:val="28"/>
          <w:szCs w:val="28"/>
        </w:rPr>
        <w:tab/>
      </w:r>
      <w:r w:rsidR="00AC468A" w:rsidRPr="00F90EBB">
        <w:rPr>
          <w:sz w:val="28"/>
          <w:szCs w:val="28"/>
        </w:rPr>
        <w:t>The US, presenting itself as a friend and protector of the Armenians, created the illusion of creating a “Greater Armenia” among them. On the other hand, the strengthening of England’s position in the South Caucasus also worried the US. Therefore, an “American Assistance Mission” consisting of officers of the US Army’s General Staff Intelligence Division was sent to enter Transcaucasia.</w:t>
      </w:r>
    </w:p>
    <w:p w14:paraId="7E5FD688" w14:textId="58C8F579" w:rsidR="00DD301F" w:rsidRPr="00F90EBB" w:rsidRDefault="00DD301F" w:rsidP="00F90EBB">
      <w:pPr>
        <w:pStyle w:val="a7"/>
        <w:tabs>
          <w:tab w:val="left" w:pos="1294"/>
        </w:tabs>
        <w:spacing w:line="360" w:lineRule="auto"/>
        <w:ind w:left="-567" w:right="162" w:firstLine="993"/>
        <w:contextualSpacing w:val="0"/>
        <w:jc w:val="both"/>
        <w:rPr>
          <w:sz w:val="28"/>
          <w:szCs w:val="28"/>
        </w:rPr>
      </w:pPr>
      <w:r w:rsidRPr="00F90EBB">
        <w:rPr>
          <w:sz w:val="28"/>
          <w:szCs w:val="28"/>
        </w:rPr>
        <w:lastRenderedPageBreak/>
        <w:tab/>
      </w:r>
      <w:r w:rsidR="00AC468A" w:rsidRPr="00F90EBB">
        <w:rPr>
          <w:sz w:val="28"/>
          <w:szCs w:val="28"/>
        </w:rPr>
        <w:t>In 1919, an article titled “The Armenian Affair” published by Armenian activists in America presented a map of “Greater Armenia.” This map showed the names of many cities of the Ottoman Empire, Azerbaijan, and Iran. The regions of Azerbaijan, such as Nakhchivan, Karabakh, Ganja, and Zangezur, were included in that map. Regarding this issue, the American Colonel W. Haskel declared that the Allies recognized Karabakh and Zangezur as an integral part of Azerbaijan, but stated that Nakhchivan and Sharur-Daralayaz were neutral territories.</w:t>
      </w:r>
      <w:r w:rsidR="00DD07B3" w:rsidRPr="00F90EBB">
        <w:rPr>
          <w:sz w:val="28"/>
          <w:szCs w:val="28"/>
        </w:rPr>
        <w:t xml:space="preserve"> </w:t>
      </w:r>
      <w:r w:rsidR="00C36A94" w:rsidRPr="00F90EBB">
        <w:rPr>
          <w:sz w:val="28"/>
          <w:szCs w:val="28"/>
        </w:rPr>
        <w:t>(Aliyev, 2015).</w:t>
      </w:r>
    </w:p>
    <w:p w14:paraId="7304CA71" w14:textId="77777777" w:rsidR="00DD301F" w:rsidRPr="00F90EBB" w:rsidRDefault="00DD301F" w:rsidP="00F90EBB">
      <w:pPr>
        <w:pStyle w:val="a7"/>
        <w:tabs>
          <w:tab w:val="left" w:pos="1294"/>
        </w:tabs>
        <w:spacing w:line="360" w:lineRule="auto"/>
        <w:ind w:left="-567" w:right="162" w:firstLine="993"/>
        <w:contextualSpacing w:val="0"/>
        <w:jc w:val="both"/>
        <w:rPr>
          <w:sz w:val="28"/>
          <w:szCs w:val="28"/>
        </w:rPr>
      </w:pPr>
      <w:r w:rsidRPr="00F90EBB">
        <w:rPr>
          <w:sz w:val="28"/>
          <w:szCs w:val="28"/>
        </w:rPr>
        <w:tab/>
      </w:r>
      <w:r w:rsidR="00AC468A" w:rsidRPr="00F90EBB">
        <w:rPr>
          <w:sz w:val="28"/>
          <w:szCs w:val="28"/>
        </w:rPr>
        <w:t>At the Paris Peace Conference, the United States, like every other party, was very interested in the two giant empires of the Asian continent that had fallen, namely the inexperienced states that had emerged from the remnants of the Ottoman and Russian Empires. In this situation, states that were close to the Christian community and aspired to Europe were especially interested. The Armenians and their leaders, on the other hand, were more obedient in this regard and agreed to any conditions, ready to support the Eastern invasion of the leading Western states with their provocations, and in this way, they would meet the interests of the state that would have the mandate, US President W. Wilson understood, and therefore sent a special mission to the region to study the prospects of using the Armenians. America intended to take on the responsibility of maintaining the Armenian state that would be organized in a large area and to have a say in the region, while the Armenians were eager to benefit from potential American assistance.</w:t>
      </w:r>
      <w:r w:rsidR="00DD07B3" w:rsidRPr="00F90EBB">
        <w:rPr>
          <w:sz w:val="28"/>
          <w:szCs w:val="28"/>
        </w:rPr>
        <w:t xml:space="preserve"> </w:t>
      </w:r>
      <w:r w:rsidR="00C36A94" w:rsidRPr="00F90EBB">
        <w:rPr>
          <w:sz w:val="28"/>
          <w:szCs w:val="28"/>
        </w:rPr>
        <w:t>(Oganesyan, 1991).</w:t>
      </w:r>
      <w:r w:rsidR="00DD07B3" w:rsidRPr="00F90EBB">
        <w:rPr>
          <w:sz w:val="28"/>
          <w:szCs w:val="28"/>
        </w:rPr>
        <w:t xml:space="preserve"> </w:t>
      </w:r>
      <w:r w:rsidR="00AC468A" w:rsidRPr="00F90EBB">
        <w:rPr>
          <w:sz w:val="28"/>
          <w:szCs w:val="28"/>
        </w:rPr>
        <w:t>The Caucasus and Middle East policy of the United States, which was formed at the beginning of the 20th century, can be seen to be realized today.</w:t>
      </w:r>
    </w:p>
    <w:p w14:paraId="7A21D772" w14:textId="4AFC2993" w:rsidR="00DD07B3" w:rsidRPr="00F90EBB" w:rsidRDefault="00AC468A" w:rsidP="00F90EBB">
      <w:pPr>
        <w:pStyle w:val="ac"/>
        <w:spacing w:line="360" w:lineRule="auto"/>
        <w:ind w:left="-567" w:right="157" w:firstLine="993"/>
      </w:pPr>
      <w:r w:rsidRPr="00F90EBB">
        <w:t xml:space="preserve">During World War I, James Guthrie Harbord, a lieutenant general in the American army, who came to the Ottoman Empire and the Caucasus as the head of a fact-finding mission to study the situation in the Middle East and the possibilities of establishing an Armenian state on the basis of Ottoman lands, gave an above-average assessment of the activities of the Relief Administration in Transcaucasia in his “The Situation in the Middle East: Report of the American Military Mission in Armenia,” noting that as a result of its activities, the United States of America gained influence </w:t>
      </w:r>
      <w:r w:rsidRPr="00F90EBB">
        <w:lastRenderedPageBreak/>
        <w:t xml:space="preserve">and respect in the region, and that sympathy for America was felt with equal seriousness among the Kurds, Georgians, Azerbaijanis, Armenians, and Turks in the region. </w:t>
      </w:r>
      <w:r w:rsidR="00310C0A" w:rsidRPr="00F90EBB">
        <w:t xml:space="preserve">(Harbord, </w:t>
      </w:r>
      <w:r w:rsidR="00C36A94" w:rsidRPr="00F90EBB">
        <w:t>1919</w:t>
      </w:r>
      <w:r w:rsidR="00310C0A" w:rsidRPr="00F90EBB">
        <w:t>)</w:t>
      </w:r>
    </w:p>
    <w:p w14:paraId="1CAD3109" w14:textId="306B849C" w:rsidR="00DD301F" w:rsidRPr="00F90EBB" w:rsidRDefault="00AC468A" w:rsidP="00F90EBB">
      <w:pPr>
        <w:pStyle w:val="ac"/>
        <w:spacing w:line="360" w:lineRule="auto"/>
        <w:ind w:left="-567" w:right="157" w:firstLine="993"/>
      </w:pPr>
      <w:r w:rsidRPr="00F90EBB">
        <w:t xml:space="preserve">Harbord emphasized that the Caucasus is one of the most ethnographically complex regions of the world and a major transportation corridor for humanity at all times, and drew attention to local conflicts. In his report, he accused the local population of supporting the Americans for Christianity. He wrote that he had encountered Muslims in the western part of the South Caucasus, which he called Russian Armenia, who claimed to have been fired upon by Kurds and expelled from their villages by Armenians. </w:t>
      </w:r>
      <w:r w:rsidR="00310C0A" w:rsidRPr="00F90EBB">
        <w:t xml:space="preserve">(Harbord, </w:t>
      </w:r>
      <w:r w:rsidR="00C36A94" w:rsidRPr="00F90EBB">
        <w:t>1919</w:t>
      </w:r>
      <w:r w:rsidR="00310C0A" w:rsidRPr="00F90EBB">
        <w:t>)</w:t>
      </w:r>
      <w:r w:rsidR="00DD07B3" w:rsidRPr="00F90EBB">
        <w:br/>
      </w:r>
      <w:r w:rsidR="00DD07B3" w:rsidRPr="00F90EBB">
        <w:tab/>
      </w:r>
      <w:r w:rsidRPr="00F90EBB">
        <w:t>In his report, Harbord, while discussing the difficulties of accepting the Armenian mandate, suggests that if the Armenians were to be settled in the Ottoman lands he claimed, they would be in a minority compared to the local Turks and that there would be contradictions. The general likens the situation of the Armenians to that of usurers and cites an interesting expression that was heard about them in the Middle East: “From a legal point of view, the Armenian never does wrong, but from a moral point of view, he never does right.” Harbord included this expression in his report to demonstrate how skillfully the Armenians hide their insidious plans and present themselves in a favorable position</w:t>
      </w:r>
    </w:p>
    <w:p w14:paraId="18C2565F" w14:textId="376B38C8" w:rsidR="00DD301F" w:rsidRPr="00F90EBB" w:rsidRDefault="00AC468A" w:rsidP="00F90EBB">
      <w:pPr>
        <w:pStyle w:val="ac"/>
        <w:spacing w:line="360" w:lineRule="auto"/>
        <w:ind w:left="-567" w:right="157" w:firstLine="993"/>
      </w:pPr>
      <w:r w:rsidRPr="00F90EBB">
        <w:t xml:space="preserve">In fact, the real goal of the American democracy that joined the war on the European continent was to create a new America in the Middle East and to remain firmly established in the region for a long time. Armenia, as before, was an excuse and a means to enter the region. The Americans criticized the traditional colonial policy of British diplomacy in the region. For this reason, the American mission declared that it had abandoned the traditional mandate policy for the "salvation of the Armenians", that other states were not capable of taking on the mission of a competent state, and that America was the only hope for the Armenians. </w:t>
      </w:r>
    </w:p>
    <w:p w14:paraId="49DF4090" w14:textId="77777777" w:rsidR="00DD301F" w:rsidRPr="00F90EBB" w:rsidRDefault="00AC468A" w:rsidP="00F90EBB">
      <w:pPr>
        <w:pStyle w:val="ac"/>
        <w:spacing w:line="360" w:lineRule="auto"/>
        <w:ind w:left="-567" w:right="157" w:firstLine="993"/>
      </w:pPr>
      <w:r w:rsidRPr="00F90EBB">
        <w:t xml:space="preserve">Wilson's program to strengthen the United States of America in the East did not materialize, and the United States withdrew from European affairs for that period. The United States and England were fighting mercilessly for their interests in the </w:t>
      </w:r>
      <w:r w:rsidRPr="00F90EBB">
        <w:lastRenderedPageBreak/>
        <w:t>region. The United States of America wanted to seize the Caucasus in the name of democratization of Russia.</w:t>
      </w:r>
    </w:p>
    <w:p w14:paraId="0A1A232A" w14:textId="0B54A8E0" w:rsidR="00DD07B3" w:rsidRPr="00F90EBB" w:rsidRDefault="00AC468A" w:rsidP="00F90EBB">
      <w:pPr>
        <w:pStyle w:val="ac"/>
        <w:spacing w:line="360" w:lineRule="auto"/>
        <w:ind w:left="-567" w:right="157" w:firstLine="993"/>
      </w:pPr>
      <w:r w:rsidRPr="00F90EBB">
        <w:t>While W. Wilson was trying to seize the Caucasus by taking over the Armenian mandate, the British, through General Thomson, declared in 1918 to the local population and other states that the deployment of troops to the Caucasus region, located between the Black and Caspian Seas, was to establish law and order in Russian territory</w:t>
      </w:r>
      <w:r w:rsidR="00310C0A" w:rsidRPr="00F90EBB">
        <w:rPr>
          <w:noProof/>
          <w:lang w:val="en-US"/>
        </w:rPr>
        <mc:AlternateContent>
          <mc:Choice Requires="wps">
            <w:drawing>
              <wp:anchor distT="0" distB="0" distL="0" distR="0" simplePos="0" relativeHeight="251659264" behindDoc="1" locked="0" layoutInCell="1" allowOverlap="1" wp14:anchorId="2FB0B30A" wp14:editId="28D15815">
                <wp:simplePos x="0" y="0"/>
                <wp:positionH relativeFrom="page">
                  <wp:posOffset>5522721</wp:posOffset>
                </wp:positionH>
                <wp:positionV relativeFrom="paragraph">
                  <wp:posOffset>660145</wp:posOffset>
                </wp:positionV>
                <wp:extent cx="35560" cy="2044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 cy="204470"/>
                        </a:xfrm>
                        <a:custGeom>
                          <a:avLst/>
                          <a:gdLst/>
                          <a:ahLst/>
                          <a:cxnLst/>
                          <a:rect l="l" t="t" r="r" b="b"/>
                          <a:pathLst>
                            <a:path w="35560" h="204470">
                              <a:moveTo>
                                <a:pt x="35051" y="0"/>
                              </a:moveTo>
                              <a:lnTo>
                                <a:pt x="0" y="0"/>
                              </a:lnTo>
                              <a:lnTo>
                                <a:pt x="0" y="204216"/>
                              </a:lnTo>
                              <a:lnTo>
                                <a:pt x="35051" y="204216"/>
                              </a:lnTo>
                              <a:lnTo>
                                <a:pt x="35051" y="0"/>
                              </a:lnTo>
                              <a:close/>
                            </a:path>
                          </a:pathLst>
                        </a:custGeom>
                        <a:solidFill>
                          <a:srgbClr val="F9F9F9"/>
                        </a:solidFill>
                      </wps:spPr>
                      <wps:bodyPr wrap="square" lIns="0" tIns="0" rIns="0" bIns="0" rtlCol="0">
                        <a:prstTxWarp prst="textNoShape">
                          <a:avLst/>
                        </a:prstTxWarp>
                        <a:noAutofit/>
                      </wps:bodyPr>
                    </wps:wsp>
                  </a:graphicData>
                </a:graphic>
              </wp:anchor>
            </w:drawing>
          </mc:Choice>
          <mc:Fallback>
            <w:pict>
              <v:shape w14:anchorId="18423115" id="Graphic 4" o:spid="_x0000_s1026" style="position:absolute;margin-left:434.85pt;margin-top:52pt;width:2.8pt;height:16.1pt;z-index:-251657216;visibility:visible;mso-wrap-style:square;mso-wrap-distance-left:0;mso-wrap-distance-top:0;mso-wrap-distance-right:0;mso-wrap-distance-bottom:0;mso-position-horizontal:absolute;mso-position-horizontal-relative:page;mso-position-vertical:absolute;mso-position-vertical-relative:text;v-text-anchor:top" coordsize="35560,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9o1JAIAALsEAAAOAAAAZHJzL2Uyb0RvYy54bWysVFFv0zAQfkfiP1h+p0m7tUDUdEKbipCm&#10;MWlFPLuO00Q4PuNzm+zfc3bqtIInEIrknHOfz999d5f13dBpdlIOWzAln89yzpSRULXmUPJvu+27&#10;D5yhF6YSGowq+atCfrd5+2bd20ItoAFdKccoiMGityVvvLdFlqFsVCdwBlYZctbgOuFp6w5Z5URP&#10;0TudLfJ8lfXgKutAKkT6+jA6+SbGr2sl/de6RuWZLjlx83F1cd2HNdusRXFwwjatPNMQ/8CiE62h&#10;S6dQD8ILdnTtH6G6VjpAqP1MQpdBXbdSxRwom3n+WzYvjbAq5kLioJ1kwv8XVj6dXuyzC9TRPoL8&#10;gaRI1lssJk/Y4Bkz1K4LWCLOhqji66SiGjyT9PFmuVyR1JI8i/z29n0UORNFOiuP6D8riHHE6RH9&#10;WIMqWaJJlhxMMh1VMtRQxxp6zqiGjjOq4X6soRU+nAvkgsn6iUgz8QjODk5qBxHmQwo3y3w55yyl&#10;QTwvCG2ukZTTFSr50tvGaCOG0l7MV4EXhUuA9B6Bl2v/Cpy0TMGkBlTjPSHreOGkBF1+rTWCbqtt&#10;q3VIHt1hf68dOwkSdfsxPGe+V7DYB2PpQxPsoXp9dqynaSk5/jwKpzjTXwy1YxitZLhk7JPhvL6H&#10;OIBRd4d+N3wXzjJLZsk9dc4TpGYXRWoK4h8AIzacNPDp6KFuQ8dEbiOj84YmJOZ/nuYwgtf7iLr8&#10;cza/AAAA//8DAFBLAwQUAAYACAAAACEAOq3wMOAAAAALAQAADwAAAGRycy9kb3ducmV2LnhtbEyP&#10;wU7DMBBE70j8g7VI3KjTNqQhxKkQVTlwQNDwAW68xBHxOo3dNv17lhMcd+ZpdqZcT64XJxxD50nB&#10;fJaAQGq86ahV8Flv73IQIWoyuveECi4YYF1dX5W6MP5MH3jaxVZwCIVCK7AxDoWUobHodJj5AYm9&#10;Lz86HfkcW2lGfeZw18tFkmTS6Y74g9UDPltsvndHp2DcpPT69rLdvB9aVx+aeVen9qLU7c309Agi&#10;4hT/YPitz9Wh4k57fyQTRK8gzx5WjLKRpDyKiXx1vwSxZ2WZLUBWpfy/ofoBAAD//wMAUEsBAi0A&#10;FAAGAAgAAAAhALaDOJL+AAAA4QEAABMAAAAAAAAAAAAAAAAAAAAAAFtDb250ZW50X1R5cGVzXS54&#10;bWxQSwECLQAUAAYACAAAACEAOP0h/9YAAACUAQAACwAAAAAAAAAAAAAAAAAvAQAAX3JlbHMvLnJl&#10;bHNQSwECLQAUAAYACAAAACEARqPaNSQCAAC7BAAADgAAAAAAAAAAAAAAAAAuAgAAZHJzL2Uyb0Rv&#10;Yy54bWxQSwECLQAUAAYACAAAACEAOq3wMOAAAAALAQAADwAAAAAAAAAAAAAAAAB+BAAAZHJzL2Rv&#10;d25yZXYueG1sUEsFBgAAAAAEAAQA8wAAAIsFAAAAAA==&#10;" path="m35051,l,,,204216r35051,l35051,xe" fillcolor="#f9f9f9" stroked="f">
                <v:path arrowok="t"/>
                <w10:wrap anchorx="page"/>
              </v:shape>
            </w:pict>
          </mc:Fallback>
        </mc:AlternateContent>
      </w:r>
      <w:r w:rsidRPr="00F90EBB">
        <w:t xml:space="preserve"> </w:t>
      </w:r>
      <w:r w:rsidR="00C36A94" w:rsidRPr="00F90EBB">
        <w:t>(Avalov, 1925).</w:t>
      </w:r>
    </w:p>
    <w:p w14:paraId="27C3ABB2" w14:textId="0A844569" w:rsidR="00DD07B3" w:rsidRPr="00F90EBB" w:rsidRDefault="00AC468A" w:rsidP="00F90EBB">
      <w:pPr>
        <w:pStyle w:val="ac"/>
        <w:spacing w:line="360" w:lineRule="auto"/>
        <w:ind w:left="-567" w:right="157" w:firstLine="993"/>
      </w:pPr>
      <w:r w:rsidRPr="00F90EBB">
        <w:t xml:space="preserve">Thus, the Western states in relation to the newly formed states of the Caucasus were only trying to secure their own economic and political interests, while the Armenians were interested in annexing the territory of other states by seizing as much territory as possible, not on the basis of the “principle of self-determination of nations”. </w:t>
      </w:r>
    </w:p>
    <w:p w14:paraId="0FD3FAAD" w14:textId="77777777" w:rsidR="00CA53D4" w:rsidRPr="00F90EBB" w:rsidRDefault="00CA53D4" w:rsidP="00F90EBB">
      <w:pPr>
        <w:pStyle w:val="ac"/>
        <w:spacing w:line="360" w:lineRule="auto"/>
        <w:ind w:left="-567" w:right="159" w:firstLine="993"/>
      </w:pPr>
      <w:r w:rsidRPr="00F90EBB">
        <w:t>The position of British and French diplomacy was actually aimed at removing America from the region. For this reason, the Americans, on the contrary, refused to recognize the newly formed states, citing the preservation of the territorial integrity of Tsarist Russia.</w:t>
      </w:r>
    </w:p>
    <w:p w14:paraId="52448A26" w14:textId="77777777" w:rsidR="00CA53D4" w:rsidRPr="00F90EBB" w:rsidRDefault="00CA53D4" w:rsidP="00F90EBB">
      <w:pPr>
        <w:pStyle w:val="ac"/>
        <w:spacing w:line="360" w:lineRule="auto"/>
        <w:ind w:left="-567" w:right="159" w:firstLine="993"/>
      </w:pPr>
      <w:r w:rsidRPr="00F90EBB">
        <w:t>Britain's position was supported by other Entente states, and America was prevented from dominating the territories between the Mediterranean, Black and Caspian Seas and was refused a mandate over the Armenians. However, the United States, in turn, did not make any special efforts to "rescue the hungry and distressed Armenians", as it claimed. It is clear that America's activities in the region were not aimed at distributing gratuitous aid at all, but were calculated only to serve its own economic and political interests.</w:t>
      </w:r>
    </w:p>
    <w:p w14:paraId="1AF0F03C" w14:textId="5C5E2045" w:rsidR="00554662" w:rsidRPr="00F90EBB" w:rsidRDefault="00CA53D4" w:rsidP="00F90EBB">
      <w:pPr>
        <w:pStyle w:val="ac"/>
        <w:spacing w:line="360" w:lineRule="auto"/>
        <w:ind w:left="-567" w:right="159" w:firstLine="993"/>
      </w:pPr>
      <w:r w:rsidRPr="00F90EBB">
        <w:t xml:space="preserve">The main target of the United States in the South Caucasus was Baku oil. In fact, Transcaucasia was an integral part of the US expansion into the Middle East. Like other countries, the United States used Armenians in its South Caucasus policy. The authorities of the Azerbaijan Democratic Republic agreed to come under the protection of the United States on the condition that they would not interfere in the internal affairs of the country. In July 1919, American Colonel W. Haskel was appointed High Commissioner of Armenia. At the end of June, W. Haskel, in his first report to Paris, spoke about the “deplorable” situation of the Armenians. In turn, the Armenians, using </w:t>
      </w:r>
      <w:r w:rsidRPr="00F90EBB">
        <w:lastRenderedPageBreak/>
        <w:t xml:space="preserve">W. Haskel’s mission in the Caucasus, began to make territorial claims to neighboring states again. W. Haskel, in turn, spoke in the Armenian parliament and promised to support the territorial claims of the Armenians. Taking advantage of this, the Armenians this time began to raise the issue of Nakhchivan and Sharur-Deralayaz. In this regard, W. Haskel noted that if the Azerbaijani government did not agree to the wishes of the Armenians, then it would bear personal responsibility. </w:t>
      </w:r>
      <w:r w:rsidR="00C36A94" w:rsidRPr="00F90EBB">
        <w:t>(Documents and materials on the foreign policy of Transcaucasia and Georgia, 2019).</w:t>
      </w:r>
    </w:p>
    <w:p w14:paraId="5FBFA99F" w14:textId="6AB4D926" w:rsidR="00554662" w:rsidRPr="00F90EBB" w:rsidRDefault="00310C0A" w:rsidP="00F90EBB">
      <w:pPr>
        <w:pStyle w:val="ac"/>
        <w:spacing w:line="360" w:lineRule="auto"/>
        <w:ind w:left="-567" w:right="159" w:firstLine="993"/>
      </w:pPr>
      <w:r w:rsidRPr="00F90EBB">
        <w:tab/>
      </w:r>
      <w:r w:rsidR="00CA53D4" w:rsidRPr="00F90EBB">
        <w:t>When touching on the situation in Transcaucasia, Haskel noted: "No changes will be achieved here until all three republics are united under a single administration."</w:t>
      </w:r>
      <w:r w:rsidR="00DD07B3" w:rsidRPr="00F90EBB">
        <w:rPr>
          <w:i/>
        </w:rPr>
        <w:t xml:space="preserve"> </w:t>
      </w:r>
      <w:r w:rsidR="00C36A94" w:rsidRPr="00F90EBB">
        <w:t>(Berezkin, 1949).</w:t>
      </w:r>
      <w:r w:rsidR="00DD07B3" w:rsidRPr="00F90EBB">
        <w:t xml:space="preserve"> </w:t>
      </w:r>
      <w:r w:rsidR="00CA53D4" w:rsidRPr="00F90EBB">
        <w:t xml:space="preserve">Haskel stated that Karabakh and Zangezur were recognized by the Allies as an integral part of Azerbaijan. However, by expressing the idea of ​​creating a neutral zone in Nakhchivan and Sharur-Deralayaz, he showed that he was working for the benefit of Armenia and his desire to separate these territories from Azerbaijan. In fact, since the Americans were not able to deploy a large army in the Caucasus, they were content with the Nakhchivan Governor-General for the time being. It is no secret that the strategic importance of Nakhchivan and Sharur-Deralayaz attracted the Americans very much. This idea of ​​ Haskel was also very favorable for the Armenians, because the aforementioned governor-generalship was a transitional stage for these territories to be controlled by Armenia. According to the High Commissioner's project, Azerbaijani and Armenian troops had to leave the neutral zone and could only deploy any armed forces there with the permission of the Americans. The accused in the clashes that took place until September 1919 were to be pardoned by both sides, local authorities were to be appointed by the Americans, both states were to use their influence to calm the local population and ensure their safety. In addition, the railway lines connected to the neutral zone were to be transferred to the Americans, the Azerbaijani government was to ensure the return of Armenian refugees, as well as provide assistance to Armenians, etc. </w:t>
      </w:r>
      <w:r w:rsidR="00C36A94" w:rsidRPr="00F90EBB">
        <w:t>(Gasanli, 2011)</w:t>
      </w:r>
      <w:r w:rsidR="00DD07B3" w:rsidRPr="00F90EBB">
        <w:t xml:space="preserve"> </w:t>
      </w:r>
      <w:r w:rsidR="00CA53D4" w:rsidRPr="00F90EBB">
        <w:t>At first glance, it seems that this project was not only the product of the Americans, but also the special "labor" of the Armenians in its preparation. The aforementioned project of V. Haskel facilitated the future transfer of these lands to Armenia.</w:t>
      </w:r>
    </w:p>
    <w:p w14:paraId="7F9CA9C4" w14:textId="6F8BAA9D" w:rsidR="00DD07B3" w:rsidRPr="00F90EBB" w:rsidRDefault="00CA53D4" w:rsidP="00F90EBB">
      <w:pPr>
        <w:pStyle w:val="ac"/>
        <w:spacing w:line="360" w:lineRule="auto"/>
        <w:ind w:left="-567" w:right="159" w:firstLine="993"/>
      </w:pPr>
      <w:r w:rsidRPr="00F90EBB">
        <w:lastRenderedPageBreak/>
        <w:t xml:space="preserve">Living under the “Armenian administration” organized and supported by the British in the Nakhchivan region was impossible for the Turkish-Muslim population of the region, and such a situation was considered an insult and humiliation for the Azerbaijanis. Since the Azerbaijani government did not accept the said project, Haskel was forced to prepare a second project plan. The new project consisted of 12 points, although the content did not change, lighter conditions were specified. In a letter to Haskel, the Azerbaijani Foreign Minister stated that he was not against the establishment of a governor-generalship in Nakhchivan and Sharur-Deralayaz, but did not agree with many of the conditions. Later, the Azerbaijani government presented its project to Colonel Haskel. According to the project, the governor-generalship was to be temporarily established, an American citizen, Haskell, was to be appointed to the post of governor-general, the districts were to be governed by national councils elected by the people, the basic rights of citizens were to be protected in the governor-generalship, the national currency of Azerbaijan was to be recognized, etc. This time, the American colonel did not like the Azerbaijani project. </w:t>
      </w:r>
      <w:r w:rsidR="00C36A94" w:rsidRPr="00F90EBB">
        <w:t>(Azerbaijan Democratic Republic (1918-1920), 1998)</w:t>
      </w:r>
    </w:p>
    <w:p w14:paraId="3274B540" w14:textId="77777777" w:rsidR="00CA53D4" w:rsidRPr="00F90EBB" w:rsidRDefault="00CA53D4" w:rsidP="00F90EBB">
      <w:pPr>
        <w:pStyle w:val="ac"/>
        <w:spacing w:line="360" w:lineRule="auto"/>
        <w:ind w:left="-567" w:right="164" w:firstLine="993"/>
      </w:pPr>
      <w:r w:rsidRPr="00F90EBB">
        <w:t>However, despite all the pressure, the Azerbaijani government agreed to the creation of a neutral zone in these territories, provided that the sovereign rights of the Azerbaijani people were protected.</w:t>
      </w:r>
    </w:p>
    <w:p w14:paraId="425A1E02" w14:textId="5C1D4A36" w:rsidR="00CA53D4" w:rsidRPr="00F90EBB" w:rsidRDefault="00CA53D4" w:rsidP="00F90EBB">
      <w:pPr>
        <w:pStyle w:val="ac"/>
        <w:spacing w:line="360" w:lineRule="auto"/>
        <w:ind w:left="-567" w:right="164" w:firstLine="993"/>
      </w:pPr>
      <w:r w:rsidRPr="00F90EBB">
        <w:t>Haskell, realizing that the idea of ​​creating a governor-general was unpromising, did not return to this issue again. He already understood that the Caucasus should be a region under the mandate of one state.</w:t>
      </w:r>
    </w:p>
    <w:p w14:paraId="3B1E7D14" w14:textId="163E10B1" w:rsidR="00DD07B3" w:rsidRPr="00F90EBB" w:rsidRDefault="00CA53D4" w:rsidP="00F90EBB">
      <w:pPr>
        <w:pStyle w:val="ac"/>
        <w:spacing w:line="360" w:lineRule="auto"/>
        <w:ind w:left="-567" w:right="164" w:firstLine="993"/>
      </w:pPr>
      <w:r w:rsidRPr="00F90EBB">
        <w:t>As it turns out, both Great Britain and the United States were playing a double game in the South Caucasus, serving their own interests. In fact, behind the diplomats of the leading states stood industrialists who had their eyes on Baku oil. In this regard, the American historian E. Monroe writes that “When the mandates were divided, the United States was seized by the fog of oil psychosis.”</w:t>
      </w:r>
      <w:r w:rsidR="00DD07B3" w:rsidRPr="00F90EBB">
        <w:rPr>
          <w:i/>
        </w:rPr>
        <w:t xml:space="preserve"> </w:t>
      </w:r>
      <w:r w:rsidR="00C36A94" w:rsidRPr="00F90EBB">
        <w:t>(</w:t>
      </w:r>
      <w:r w:rsidR="00310C0A" w:rsidRPr="00F90EBB">
        <w:t xml:space="preserve">Monroe, </w:t>
      </w:r>
      <w:r w:rsidR="00C36A94" w:rsidRPr="00F90EBB">
        <w:t>1963)</w:t>
      </w:r>
    </w:p>
    <w:p w14:paraId="08154912" w14:textId="77777777" w:rsidR="00CA53D4" w:rsidRPr="00F90EBB" w:rsidRDefault="00CA53D4" w:rsidP="00F90EBB">
      <w:pPr>
        <w:spacing w:line="360" w:lineRule="auto"/>
        <w:ind w:left="-567" w:right="160" w:firstLine="993"/>
        <w:jc w:val="both"/>
        <w:rPr>
          <w:b/>
          <w:bCs/>
          <w:sz w:val="28"/>
          <w:szCs w:val="28"/>
        </w:rPr>
      </w:pPr>
    </w:p>
    <w:p w14:paraId="042FA578" w14:textId="458020D9" w:rsidR="00754B87" w:rsidRPr="00F90EBB" w:rsidRDefault="00925935" w:rsidP="00F90EBB">
      <w:pPr>
        <w:spacing w:line="360" w:lineRule="auto"/>
        <w:ind w:left="-567" w:right="160" w:firstLine="993"/>
        <w:jc w:val="both"/>
        <w:rPr>
          <w:sz w:val="28"/>
          <w:szCs w:val="28"/>
        </w:rPr>
      </w:pPr>
      <w:r w:rsidRPr="00F90EBB">
        <w:rPr>
          <w:b/>
          <w:bCs/>
          <w:sz w:val="28"/>
          <w:szCs w:val="28"/>
        </w:rPr>
        <w:t xml:space="preserve">          </w:t>
      </w:r>
      <w:r w:rsidR="00754B87" w:rsidRPr="00F90EBB">
        <w:rPr>
          <w:b/>
          <w:bCs/>
          <w:sz w:val="28"/>
          <w:szCs w:val="28"/>
        </w:rPr>
        <w:t>Conclusion</w:t>
      </w:r>
    </w:p>
    <w:p w14:paraId="5DEEE7A8" w14:textId="70B8FD57" w:rsidR="00CA53D4" w:rsidRPr="00F90EBB" w:rsidRDefault="00CA53D4" w:rsidP="00F90EBB">
      <w:pPr>
        <w:spacing w:line="360" w:lineRule="auto"/>
        <w:ind w:left="-567" w:firstLine="993"/>
        <w:jc w:val="both"/>
        <w:rPr>
          <w:sz w:val="28"/>
          <w:szCs w:val="28"/>
        </w:rPr>
      </w:pPr>
      <w:r w:rsidRPr="00F90EBB">
        <w:rPr>
          <w:sz w:val="28"/>
          <w:szCs w:val="28"/>
        </w:rPr>
        <w:t xml:space="preserve">Regarding the position of the USA and Great Britain on the relations between </w:t>
      </w:r>
      <w:r w:rsidRPr="00F90EBB">
        <w:rPr>
          <w:sz w:val="28"/>
          <w:szCs w:val="28"/>
        </w:rPr>
        <w:lastRenderedPageBreak/>
        <w:t>the Azerbaijan Democratic Republic and Armenia and their interests in the Caucasus, we can draw the following conclusions:</w:t>
      </w:r>
    </w:p>
    <w:p w14:paraId="3139FE76" w14:textId="77777777" w:rsidR="00CA53D4" w:rsidRPr="00F90EBB" w:rsidRDefault="00CA53D4" w:rsidP="00F90EBB">
      <w:pPr>
        <w:spacing w:line="360" w:lineRule="auto"/>
        <w:ind w:left="-567" w:firstLine="993"/>
        <w:jc w:val="both"/>
        <w:rPr>
          <w:sz w:val="28"/>
          <w:szCs w:val="28"/>
        </w:rPr>
      </w:pPr>
      <w:r w:rsidRPr="00F90EBB">
        <w:rPr>
          <w:sz w:val="28"/>
          <w:szCs w:val="28"/>
        </w:rPr>
        <w:t>- The important geostrategic position of the South Caucasus, located at the crossroads of Europe and Asia, further increased the interest of world states in the region. That is why, along with the regional states, other major states were also actors of geopolitical and geoeconomic competition in the South Caucasus;</w:t>
      </w:r>
    </w:p>
    <w:p w14:paraId="18E3B3F6" w14:textId="77777777" w:rsidR="00CA53D4" w:rsidRPr="00F90EBB" w:rsidRDefault="00CA53D4" w:rsidP="00F90EBB">
      <w:pPr>
        <w:spacing w:line="360" w:lineRule="auto"/>
        <w:ind w:left="-567" w:firstLine="993"/>
        <w:jc w:val="both"/>
        <w:rPr>
          <w:sz w:val="28"/>
          <w:szCs w:val="28"/>
        </w:rPr>
      </w:pPr>
      <w:r w:rsidRPr="00F90EBB">
        <w:rPr>
          <w:sz w:val="28"/>
          <w:szCs w:val="28"/>
        </w:rPr>
        <w:t>- The USA and Great Britain had geopolitical and economic interests in the region, veiled by Christian fanaticism;</w:t>
      </w:r>
    </w:p>
    <w:p w14:paraId="727B9598" w14:textId="77777777" w:rsidR="00CA53D4" w:rsidRPr="00F90EBB" w:rsidRDefault="00CA53D4" w:rsidP="00F90EBB">
      <w:pPr>
        <w:spacing w:line="360" w:lineRule="auto"/>
        <w:ind w:left="-567" w:firstLine="993"/>
        <w:jc w:val="both"/>
        <w:rPr>
          <w:sz w:val="28"/>
          <w:szCs w:val="28"/>
        </w:rPr>
      </w:pPr>
      <w:r w:rsidRPr="00F90EBB">
        <w:rPr>
          <w:sz w:val="28"/>
          <w:szCs w:val="28"/>
        </w:rPr>
        <w:t>- The USA and Great Britain did not seek to resolve the conflict, but to remain active in order to become the desired power in the region, stimulating clashes and even openly financing Armenian terrorists;</w:t>
      </w:r>
    </w:p>
    <w:p w14:paraId="0A26CF06" w14:textId="77777777" w:rsidR="00CA53D4" w:rsidRPr="00F90EBB" w:rsidRDefault="00CA53D4" w:rsidP="00F90EBB">
      <w:pPr>
        <w:spacing w:line="360" w:lineRule="auto"/>
        <w:ind w:left="-567" w:firstLine="993"/>
        <w:jc w:val="both"/>
        <w:rPr>
          <w:sz w:val="28"/>
          <w:szCs w:val="28"/>
        </w:rPr>
      </w:pPr>
      <w:r w:rsidRPr="00F90EBB">
        <w:rPr>
          <w:sz w:val="28"/>
          <w:szCs w:val="28"/>
        </w:rPr>
        <w:t>- The USA and Great Britain saw the South Caucasus as the key to the distribution of the Black Sea basin, as well as the Near and Middle East on favorable terms and obtaining profitable shares;</w:t>
      </w:r>
    </w:p>
    <w:p w14:paraId="0DE0D4C0" w14:textId="77777777" w:rsidR="00CA53D4" w:rsidRPr="00F90EBB" w:rsidRDefault="00CA53D4" w:rsidP="00F90EBB">
      <w:pPr>
        <w:spacing w:line="360" w:lineRule="auto"/>
        <w:ind w:left="-567" w:firstLine="993"/>
        <w:jc w:val="both"/>
        <w:rPr>
          <w:sz w:val="28"/>
          <w:szCs w:val="28"/>
        </w:rPr>
      </w:pPr>
      <w:r w:rsidRPr="00F90EBB">
        <w:rPr>
          <w:sz w:val="28"/>
          <w:szCs w:val="28"/>
        </w:rPr>
        <w:t>- The potential of the USA and Great Britain for a long-term stay in the Caucasus</w:t>
      </w:r>
    </w:p>
    <w:p w14:paraId="054E8CBD" w14:textId="77777777" w:rsidR="00CA53D4" w:rsidRPr="00F90EBB" w:rsidRDefault="00CA53D4" w:rsidP="00F90EBB">
      <w:pPr>
        <w:spacing w:line="360" w:lineRule="auto"/>
        <w:ind w:left="-567" w:firstLine="993"/>
        <w:jc w:val="both"/>
        <w:rPr>
          <w:sz w:val="28"/>
          <w:szCs w:val="28"/>
        </w:rPr>
      </w:pPr>
      <w:r w:rsidRPr="00F90EBB">
        <w:rPr>
          <w:sz w:val="28"/>
          <w:szCs w:val="28"/>
        </w:rPr>
        <w:t>was not sufficient;</w:t>
      </w:r>
    </w:p>
    <w:p w14:paraId="5F3F3742" w14:textId="2E1E50C8" w:rsidR="00D3536E" w:rsidRPr="00F90EBB" w:rsidRDefault="00CA53D4" w:rsidP="00F90EBB">
      <w:pPr>
        <w:spacing w:line="360" w:lineRule="auto"/>
        <w:ind w:left="-567" w:firstLine="993"/>
        <w:jc w:val="both"/>
        <w:rPr>
          <w:sz w:val="28"/>
          <w:szCs w:val="28"/>
        </w:rPr>
      </w:pPr>
      <w:r w:rsidRPr="00F90EBB">
        <w:rPr>
          <w:sz w:val="28"/>
          <w:szCs w:val="28"/>
        </w:rPr>
        <w:t>- Although Tsarist Russia collapsed, the pressure of Bolshevik Russia posed a significant threat to the USA and Great Britain, as well as other Western states.</w:t>
      </w:r>
    </w:p>
    <w:p w14:paraId="5A03B857" w14:textId="77777777" w:rsidR="000F08CF" w:rsidRPr="00F90EBB" w:rsidRDefault="000F08CF" w:rsidP="00F90EBB">
      <w:pPr>
        <w:spacing w:line="360" w:lineRule="auto"/>
        <w:ind w:left="-567" w:firstLine="993"/>
        <w:jc w:val="both"/>
        <w:rPr>
          <w:sz w:val="28"/>
          <w:szCs w:val="28"/>
        </w:rPr>
      </w:pPr>
    </w:p>
    <w:p w14:paraId="6F82BE60" w14:textId="389FB23C" w:rsidR="00ED0C56" w:rsidRPr="00F90EBB" w:rsidRDefault="000F08CF" w:rsidP="00F90EBB">
      <w:pPr>
        <w:tabs>
          <w:tab w:val="left" w:pos="2472"/>
        </w:tabs>
        <w:spacing w:line="360" w:lineRule="auto"/>
        <w:ind w:left="-567" w:firstLine="993"/>
        <w:rPr>
          <w:b/>
          <w:bCs/>
          <w:sz w:val="28"/>
          <w:szCs w:val="28"/>
        </w:rPr>
      </w:pPr>
      <w:r w:rsidRPr="00F90EBB">
        <w:rPr>
          <w:sz w:val="28"/>
          <w:szCs w:val="28"/>
        </w:rPr>
        <w:tab/>
      </w:r>
      <w:r w:rsidRPr="00F90EBB">
        <w:rPr>
          <w:b/>
          <w:bCs/>
          <w:sz w:val="28"/>
          <w:szCs w:val="28"/>
        </w:rPr>
        <w:t>Reference</w:t>
      </w:r>
    </w:p>
    <w:p w14:paraId="6F5EBCCC" w14:textId="15595688" w:rsidR="000F08CF" w:rsidRPr="00F90EBB" w:rsidRDefault="000F08CF" w:rsidP="00F90EBB">
      <w:pPr>
        <w:spacing w:line="360" w:lineRule="auto"/>
        <w:ind w:left="-567" w:firstLine="993"/>
        <w:rPr>
          <w:sz w:val="28"/>
          <w:szCs w:val="28"/>
        </w:rPr>
      </w:pPr>
      <w:r w:rsidRPr="00F90EBB">
        <w:rPr>
          <w:sz w:val="28"/>
          <w:szCs w:val="28"/>
        </w:rPr>
        <w:t xml:space="preserve">Aliyev, N.A. ( 2007) Turkic-Muslim </w:t>
      </w:r>
      <w:r w:rsidR="00ED0C56" w:rsidRPr="00F90EBB">
        <w:rPr>
          <w:sz w:val="28"/>
          <w:szCs w:val="28"/>
        </w:rPr>
        <w:t>G</w:t>
      </w:r>
      <w:r w:rsidRPr="00F90EBB">
        <w:rPr>
          <w:sz w:val="28"/>
          <w:szCs w:val="28"/>
        </w:rPr>
        <w:t xml:space="preserve">enocides in Azerbaijan in 1917-1920 in </w:t>
      </w:r>
      <w:r w:rsidR="00ED0C56" w:rsidRPr="00F90EBB">
        <w:rPr>
          <w:sz w:val="28"/>
          <w:szCs w:val="28"/>
        </w:rPr>
        <w:t>P</w:t>
      </w:r>
      <w:r w:rsidRPr="00F90EBB">
        <w:rPr>
          <w:sz w:val="28"/>
          <w:szCs w:val="28"/>
        </w:rPr>
        <w:t xml:space="preserve">rimary </w:t>
      </w:r>
      <w:r w:rsidR="00ED0C56" w:rsidRPr="00F90EBB">
        <w:rPr>
          <w:sz w:val="28"/>
          <w:szCs w:val="28"/>
        </w:rPr>
        <w:t>S</w:t>
      </w:r>
      <w:r w:rsidRPr="00F90EBB">
        <w:rPr>
          <w:sz w:val="28"/>
          <w:szCs w:val="28"/>
        </w:rPr>
        <w:t>ources . Baku, 204 p.</w:t>
      </w:r>
    </w:p>
    <w:p w14:paraId="138B251D" w14:textId="77777777" w:rsidR="00ED0C56" w:rsidRPr="00F90EBB" w:rsidRDefault="00ED0C56" w:rsidP="00F90EBB">
      <w:pPr>
        <w:spacing w:line="360" w:lineRule="auto"/>
        <w:ind w:left="-567" w:firstLine="993"/>
        <w:rPr>
          <w:sz w:val="28"/>
          <w:szCs w:val="28"/>
        </w:rPr>
      </w:pPr>
    </w:p>
    <w:p w14:paraId="274D72A4" w14:textId="07E5699E" w:rsidR="00ED0C56" w:rsidRPr="001F1A53" w:rsidRDefault="000F08CF" w:rsidP="00F90EBB">
      <w:pPr>
        <w:spacing w:line="360" w:lineRule="auto"/>
        <w:ind w:left="-567" w:firstLine="993"/>
        <w:rPr>
          <w:sz w:val="28"/>
          <w:szCs w:val="28"/>
          <w:lang w:val="en-US"/>
        </w:rPr>
      </w:pPr>
      <w:r w:rsidRPr="00F90EBB">
        <w:rPr>
          <w:sz w:val="28"/>
          <w:szCs w:val="28"/>
        </w:rPr>
        <w:t xml:space="preserve">Aliyev, Z.B. (2015) From the </w:t>
      </w:r>
      <w:r w:rsidR="00ED0C56" w:rsidRPr="00F90EBB">
        <w:rPr>
          <w:sz w:val="28"/>
          <w:szCs w:val="28"/>
        </w:rPr>
        <w:t>C</w:t>
      </w:r>
      <w:r w:rsidRPr="00F90EBB">
        <w:rPr>
          <w:sz w:val="28"/>
          <w:szCs w:val="28"/>
        </w:rPr>
        <w:t xml:space="preserve">hest of </w:t>
      </w:r>
      <w:r w:rsidR="00ED0C56" w:rsidRPr="00F90EBB">
        <w:rPr>
          <w:sz w:val="28"/>
          <w:szCs w:val="28"/>
        </w:rPr>
        <w:t>H</w:t>
      </w:r>
      <w:r w:rsidRPr="00F90EBB">
        <w:rPr>
          <w:sz w:val="28"/>
          <w:szCs w:val="28"/>
        </w:rPr>
        <w:t xml:space="preserve">istory: Yerevan's </w:t>
      </w:r>
      <w:r w:rsidR="00ED0C56" w:rsidRPr="00F90EBB">
        <w:rPr>
          <w:sz w:val="28"/>
          <w:szCs w:val="28"/>
        </w:rPr>
        <w:t>C</w:t>
      </w:r>
      <w:r w:rsidRPr="00F90EBB">
        <w:rPr>
          <w:sz w:val="28"/>
          <w:szCs w:val="28"/>
        </w:rPr>
        <w:t xml:space="preserve">oncession to the Armenians and the </w:t>
      </w:r>
      <w:r w:rsidR="00ED0C56" w:rsidRPr="00F90EBB">
        <w:rPr>
          <w:sz w:val="28"/>
          <w:szCs w:val="28"/>
        </w:rPr>
        <w:t>A</w:t>
      </w:r>
      <w:r w:rsidRPr="00F90EBB">
        <w:rPr>
          <w:sz w:val="28"/>
          <w:szCs w:val="28"/>
        </w:rPr>
        <w:t>greement with a 3-year lifespan: [electronic resource]/ URL: http:// m.lent.az/? c=show&amp;id=197627</w:t>
      </w:r>
    </w:p>
    <w:p w14:paraId="55D4A1D4" w14:textId="07119743" w:rsidR="00ED0C56" w:rsidRPr="001F1A53" w:rsidRDefault="000F08CF" w:rsidP="00F90EBB">
      <w:pPr>
        <w:spacing w:line="360" w:lineRule="auto"/>
        <w:ind w:left="-567" w:firstLine="993"/>
        <w:rPr>
          <w:sz w:val="28"/>
          <w:szCs w:val="28"/>
          <w:lang w:val="en-US"/>
        </w:rPr>
      </w:pPr>
      <w:r w:rsidRPr="00F90EBB">
        <w:rPr>
          <w:sz w:val="28"/>
          <w:szCs w:val="28"/>
        </w:rPr>
        <w:t xml:space="preserve">Avalov, P. M. (1925) In the </w:t>
      </w:r>
      <w:r w:rsidR="00ED0C56" w:rsidRPr="00F90EBB">
        <w:rPr>
          <w:sz w:val="28"/>
          <w:szCs w:val="28"/>
        </w:rPr>
        <w:t>F</w:t>
      </w:r>
      <w:r w:rsidRPr="00F90EBB">
        <w:rPr>
          <w:sz w:val="28"/>
          <w:szCs w:val="28"/>
        </w:rPr>
        <w:t xml:space="preserve">ight against Bolshevism. Memories of the </w:t>
      </w:r>
      <w:r w:rsidR="00ED0C56" w:rsidRPr="00F90EBB">
        <w:rPr>
          <w:sz w:val="28"/>
          <w:szCs w:val="28"/>
        </w:rPr>
        <w:t>G</w:t>
      </w:r>
      <w:r w:rsidRPr="00F90EBB">
        <w:rPr>
          <w:sz w:val="28"/>
          <w:szCs w:val="28"/>
        </w:rPr>
        <w:t xml:space="preserve">eneral-major kn. P. Avalov, the </w:t>
      </w:r>
      <w:r w:rsidR="00ED0C56" w:rsidRPr="00F90EBB">
        <w:rPr>
          <w:sz w:val="28"/>
          <w:szCs w:val="28"/>
        </w:rPr>
        <w:t>F</w:t>
      </w:r>
      <w:r w:rsidRPr="00F90EBB">
        <w:rPr>
          <w:sz w:val="28"/>
          <w:szCs w:val="28"/>
        </w:rPr>
        <w:t xml:space="preserve">ormer </w:t>
      </w:r>
      <w:r w:rsidR="00ED0C56" w:rsidRPr="00F90EBB">
        <w:rPr>
          <w:sz w:val="28"/>
          <w:szCs w:val="28"/>
        </w:rPr>
        <w:t>C</w:t>
      </w:r>
      <w:r w:rsidRPr="00F90EBB">
        <w:rPr>
          <w:sz w:val="28"/>
          <w:szCs w:val="28"/>
        </w:rPr>
        <w:t>ommander of the Russian-German Western Army in the Baltic States. Hamburg, 992 p.</w:t>
      </w:r>
    </w:p>
    <w:p w14:paraId="03666FC0" w14:textId="48E4960B" w:rsidR="00ED0C56" w:rsidRPr="001F1A53" w:rsidRDefault="000F08CF" w:rsidP="00F90EBB">
      <w:pPr>
        <w:spacing w:line="360" w:lineRule="auto"/>
        <w:ind w:left="-567" w:firstLine="993"/>
        <w:rPr>
          <w:sz w:val="28"/>
          <w:szCs w:val="28"/>
          <w:lang w:val="en-US"/>
        </w:rPr>
      </w:pPr>
      <w:r w:rsidRPr="00F90EBB">
        <w:rPr>
          <w:sz w:val="28"/>
          <w:szCs w:val="28"/>
        </w:rPr>
        <w:lastRenderedPageBreak/>
        <w:t>Azerbaijan Democratic Republic (1918-1920). (1998) Foreign Policy (</w:t>
      </w:r>
      <w:r w:rsidR="00ED0C56" w:rsidRPr="00F90EBB">
        <w:rPr>
          <w:sz w:val="28"/>
          <w:szCs w:val="28"/>
        </w:rPr>
        <w:t>D</w:t>
      </w:r>
      <w:r w:rsidRPr="00F90EBB">
        <w:rPr>
          <w:sz w:val="28"/>
          <w:szCs w:val="28"/>
        </w:rPr>
        <w:t xml:space="preserve">ocuments and </w:t>
      </w:r>
      <w:r w:rsidR="00ED0C56" w:rsidRPr="00F90EBB">
        <w:rPr>
          <w:sz w:val="28"/>
          <w:szCs w:val="28"/>
        </w:rPr>
        <w:t>M</w:t>
      </w:r>
      <w:r w:rsidRPr="00F90EBB">
        <w:rPr>
          <w:sz w:val="28"/>
          <w:szCs w:val="28"/>
        </w:rPr>
        <w:t>aterials). Baku.  532 p.</w:t>
      </w:r>
    </w:p>
    <w:p w14:paraId="1E05FAD0" w14:textId="045D0063" w:rsidR="00ED0C56" w:rsidRPr="001F1A53" w:rsidRDefault="000F08CF" w:rsidP="00F90EBB">
      <w:pPr>
        <w:spacing w:line="360" w:lineRule="auto"/>
        <w:ind w:left="-567" w:firstLine="993"/>
        <w:rPr>
          <w:sz w:val="28"/>
          <w:szCs w:val="28"/>
          <w:lang w:val="en-US"/>
        </w:rPr>
      </w:pPr>
      <w:r w:rsidRPr="00F90EBB">
        <w:rPr>
          <w:sz w:val="28"/>
          <w:szCs w:val="28"/>
        </w:rPr>
        <w:t xml:space="preserve">Azerbaijan Democratic Republic. Archival </w:t>
      </w:r>
      <w:r w:rsidR="00ED0C56" w:rsidRPr="00F90EBB">
        <w:rPr>
          <w:sz w:val="28"/>
          <w:szCs w:val="28"/>
        </w:rPr>
        <w:t>D</w:t>
      </w:r>
      <w:r w:rsidRPr="00F90EBB">
        <w:rPr>
          <w:sz w:val="28"/>
          <w:szCs w:val="28"/>
        </w:rPr>
        <w:t xml:space="preserve">ocuments of Great Britain (2008)/ Scientific </w:t>
      </w:r>
      <w:r w:rsidR="00ED0C56" w:rsidRPr="00F90EBB">
        <w:rPr>
          <w:sz w:val="28"/>
          <w:szCs w:val="28"/>
        </w:rPr>
        <w:t>E</w:t>
      </w:r>
      <w:r w:rsidRPr="00F90EBB">
        <w:rPr>
          <w:sz w:val="28"/>
          <w:szCs w:val="28"/>
        </w:rPr>
        <w:t xml:space="preserve">ditor and </w:t>
      </w:r>
      <w:r w:rsidR="00ED0C56" w:rsidRPr="00F90EBB">
        <w:rPr>
          <w:sz w:val="28"/>
          <w:szCs w:val="28"/>
        </w:rPr>
        <w:t>A</w:t>
      </w:r>
      <w:r w:rsidRPr="00F90EBB">
        <w:rPr>
          <w:sz w:val="28"/>
          <w:szCs w:val="28"/>
        </w:rPr>
        <w:t xml:space="preserve">uthor of the </w:t>
      </w:r>
      <w:r w:rsidR="00ED0C56" w:rsidRPr="00F90EBB">
        <w:rPr>
          <w:sz w:val="28"/>
          <w:szCs w:val="28"/>
        </w:rPr>
        <w:t>F</w:t>
      </w:r>
      <w:r w:rsidRPr="00F90EBB">
        <w:rPr>
          <w:sz w:val="28"/>
          <w:szCs w:val="28"/>
        </w:rPr>
        <w:t>oreword: Yagub M. Makhmudov. -Baku: Chashioglu, 576 p.</w:t>
      </w:r>
    </w:p>
    <w:p w14:paraId="34200268" w14:textId="7EE48803" w:rsidR="00ED0C56" w:rsidRPr="001F1A53" w:rsidRDefault="000F08CF" w:rsidP="00F90EBB">
      <w:pPr>
        <w:spacing w:line="360" w:lineRule="auto"/>
        <w:ind w:left="-567" w:firstLine="993"/>
        <w:rPr>
          <w:sz w:val="28"/>
          <w:szCs w:val="28"/>
          <w:lang w:val="en-US"/>
        </w:rPr>
      </w:pPr>
      <w:r w:rsidRPr="00F90EBB">
        <w:rPr>
          <w:sz w:val="28"/>
          <w:szCs w:val="28"/>
        </w:rPr>
        <w:t xml:space="preserve">Berezkin, A.D. (1949) USA - </w:t>
      </w:r>
      <w:r w:rsidR="00ED0C56" w:rsidRPr="00F90EBB">
        <w:rPr>
          <w:sz w:val="28"/>
          <w:szCs w:val="28"/>
        </w:rPr>
        <w:t>A</w:t>
      </w:r>
      <w:r w:rsidRPr="00F90EBB">
        <w:rPr>
          <w:sz w:val="28"/>
          <w:szCs w:val="28"/>
        </w:rPr>
        <w:t xml:space="preserve">ctive </w:t>
      </w:r>
      <w:r w:rsidR="00ED0C56" w:rsidRPr="00F90EBB">
        <w:rPr>
          <w:sz w:val="28"/>
          <w:szCs w:val="28"/>
        </w:rPr>
        <w:t>O</w:t>
      </w:r>
      <w:r w:rsidRPr="00F90EBB">
        <w:rPr>
          <w:sz w:val="28"/>
          <w:szCs w:val="28"/>
        </w:rPr>
        <w:t xml:space="preserve">rganizer and </w:t>
      </w:r>
      <w:r w:rsidR="00ED0C56" w:rsidRPr="00F90EBB">
        <w:rPr>
          <w:sz w:val="28"/>
          <w:szCs w:val="28"/>
        </w:rPr>
        <w:t>P</w:t>
      </w:r>
      <w:r w:rsidRPr="00F90EBB">
        <w:rPr>
          <w:sz w:val="28"/>
          <w:szCs w:val="28"/>
        </w:rPr>
        <w:t xml:space="preserve">articipant in the </w:t>
      </w:r>
      <w:r w:rsidR="00ED0C56" w:rsidRPr="00F90EBB">
        <w:rPr>
          <w:sz w:val="28"/>
          <w:szCs w:val="28"/>
        </w:rPr>
        <w:t>M</w:t>
      </w:r>
      <w:r w:rsidRPr="00F90EBB">
        <w:rPr>
          <w:sz w:val="28"/>
          <w:szCs w:val="28"/>
        </w:rPr>
        <w:t xml:space="preserve">ilitary </w:t>
      </w:r>
      <w:r w:rsidR="00ED0C56" w:rsidRPr="00F90EBB">
        <w:rPr>
          <w:sz w:val="28"/>
          <w:szCs w:val="28"/>
        </w:rPr>
        <w:t>I</w:t>
      </w:r>
      <w:r w:rsidRPr="00F90EBB">
        <w:rPr>
          <w:sz w:val="28"/>
          <w:szCs w:val="28"/>
        </w:rPr>
        <w:t>ntervention against Soviet Russia (1918-1920).Moscow: Book on demand, p. 256.</w:t>
      </w:r>
    </w:p>
    <w:p w14:paraId="1537ED18" w14:textId="2042E82F" w:rsidR="00ED0C56" w:rsidRPr="001F1A53" w:rsidRDefault="000F08CF" w:rsidP="00F90EBB">
      <w:pPr>
        <w:spacing w:line="360" w:lineRule="auto"/>
        <w:ind w:left="-567" w:firstLine="993"/>
        <w:rPr>
          <w:sz w:val="28"/>
          <w:szCs w:val="28"/>
          <w:lang w:val="en-US"/>
        </w:rPr>
      </w:pPr>
      <w:r w:rsidRPr="00F90EBB">
        <w:rPr>
          <w:sz w:val="28"/>
          <w:szCs w:val="28"/>
        </w:rPr>
        <w:t xml:space="preserve">Densterville, L.Ch. (1925) British </w:t>
      </w:r>
      <w:r w:rsidR="00ED0C56" w:rsidRPr="00F90EBB">
        <w:rPr>
          <w:sz w:val="28"/>
          <w:szCs w:val="28"/>
        </w:rPr>
        <w:t>I</w:t>
      </w:r>
      <w:r w:rsidRPr="00F90EBB">
        <w:rPr>
          <w:sz w:val="28"/>
          <w:szCs w:val="28"/>
        </w:rPr>
        <w:t>mperialism in Baku and Persia</w:t>
      </w:r>
      <w:r w:rsidR="00ED0C56" w:rsidRPr="00F90EBB">
        <w:rPr>
          <w:sz w:val="28"/>
          <w:szCs w:val="28"/>
        </w:rPr>
        <w:t xml:space="preserve">. </w:t>
      </w:r>
      <w:r w:rsidRPr="00F90EBB">
        <w:rPr>
          <w:sz w:val="28"/>
          <w:szCs w:val="28"/>
        </w:rPr>
        <w:t>Tiflis: Soviet Caucasus, 127 p.</w:t>
      </w:r>
    </w:p>
    <w:p w14:paraId="1B2E7A56" w14:textId="41D207C0" w:rsidR="00ED0C56" w:rsidRPr="001F1A53" w:rsidRDefault="000F08CF" w:rsidP="00F90EBB">
      <w:pPr>
        <w:spacing w:line="360" w:lineRule="auto"/>
        <w:ind w:left="-567" w:firstLine="993"/>
        <w:rPr>
          <w:sz w:val="28"/>
          <w:szCs w:val="28"/>
          <w:lang w:val="en-US"/>
        </w:rPr>
      </w:pPr>
      <w:r w:rsidRPr="00F90EBB">
        <w:rPr>
          <w:sz w:val="28"/>
          <w:szCs w:val="28"/>
        </w:rPr>
        <w:t xml:space="preserve">Diplomatic </w:t>
      </w:r>
      <w:r w:rsidR="00ED0C56" w:rsidRPr="00F90EBB">
        <w:rPr>
          <w:sz w:val="28"/>
          <w:szCs w:val="28"/>
        </w:rPr>
        <w:t>T</w:t>
      </w:r>
      <w:r w:rsidRPr="00F90EBB">
        <w:rPr>
          <w:sz w:val="28"/>
          <w:szCs w:val="28"/>
        </w:rPr>
        <w:t>alks А. A. Topchibasheva in Istanbul (</w:t>
      </w:r>
      <w:r w:rsidR="00ED0C56" w:rsidRPr="00F90EBB">
        <w:rPr>
          <w:sz w:val="28"/>
          <w:szCs w:val="28"/>
        </w:rPr>
        <w:t>R</w:t>
      </w:r>
      <w:r w:rsidRPr="00F90EBB">
        <w:rPr>
          <w:sz w:val="28"/>
          <w:szCs w:val="28"/>
        </w:rPr>
        <w:t xml:space="preserve">ecords of the </w:t>
      </w:r>
      <w:r w:rsidR="00ED0C56" w:rsidRPr="00F90EBB">
        <w:rPr>
          <w:sz w:val="28"/>
          <w:szCs w:val="28"/>
        </w:rPr>
        <w:t>E</w:t>
      </w:r>
      <w:r w:rsidRPr="00F90EBB">
        <w:rPr>
          <w:sz w:val="28"/>
          <w:szCs w:val="28"/>
        </w:rPr>
        <w:t xml:space="preserve">xtraordinary </w:t>
      </w:r>
      <w:r w:rsidR="00ED0C56" w:rsidRPr="00F90EBB">
        <w:rPr>
          <w:sz w:val="28"/>
          <w:szCs w:val="28"/>
        </w:rPr>
        <w:t>A</w:t>
      </w:r>
      <w:r w:rsidRPr="00F90EBB">
        <w:rPr>
          <w:sz w:val="28"/>
          <w:szCs w:val="28"/>
        </w:rPr>
        <w:t xml:space="preserve">mbassador and </w:t>
      </w:r>
      <w:r w:rsidR="00ED0C56" w:rsidRPr="00F90EBB">
        <w:rPr>
          <w:sz w:val="28"/>
          <w:szCs w:val="28"/>
        </w:rPr>
        <w:t>P</w:t>
      </w:r>
      <w:r w:rsidRPr="00F90EBB">
        <w:rPr>
          <w:sz w:val="28"/>
          <w:szCs w:val="28"/>
        </w:rPr>
        <w:t xml:space="preserve">lenipotentiary </w:t>
      </w:r>
      <w:r w:rsidR="00ED0C56" w:rsidRPr="00F90EBB">
        <w:rPr>
          <w:sz w:val="28"/>
          <w:szCs w:val="28"/>
        </w:rPr>
        <w:t>M</w:t>
      </w:r>
      <w:r w:rsidRPr="00F90EBB">
        <w:rPr>
          <w:sz w:val="28"/>
          <w:szCs w:val="28"/>
        </w:rPr>
        <w:t>inister of the Azerbaijan Republic) 1918-1919. (1994) /Sub. ed. G. Gasanova. Baku: Ergun, 160 p.</w:t>
      </w:r>
    </w:p>
    <w:p w14:paraId="56CE2E2A" w14:textId="31801ED4" w:rsidR="00ED0C56" w:rsidRPr="001F1A53" w:rsidRDefault="000F08CF" w:rsidP="00F90EBB">
      <w:pPr>
        <w:spacing w:line="360" w:lineRule="auto"/>
        <w:ind w:left="-567" w:firstLine="993"/>
        <w:rPr>
          <w:sz w:val="28"/>
          <w:szCs w:val="28"/>
          <w:lang w:val="en-US"/>
        </w:rPr>
      </w:pPr>
      <w:r w:rsidRPr="00F90EBB">
        <w:rPr>
          <w:sz w:val="28"/>
          <w:szCs w:val="28"/>
        </w:rPr>
        <w:t xml:space="preserve">Documents and </w:t>
      </w:r>
      <w:r w:rsidR="00ED0C56" w:rsidRPr="00F90EBB">
        <w:rPr>
          <w:sz w:val="28"/>
          <w:szCs w:val="28"/>
        </w:rPr>
        <w:t>M</w:t>
      </w:r>
      <w:r w:rsidRPr="00F90EBB">
        <w:rPr>
          <w:sz w:val="28"/>
          <w:szCs w:val="28"/>
        </w:rPr>
        <w:t xml:space="preserve">aterials on the </w:t>
      </w:r>
      <w:r w:rsidR="00ED0C56" w:rsidRPr="00F90EBB">
        <w:rPr>
          <w:sz w:val="28"/>
          <w:szCs w:val="28"/>
        </w:rPr>
        <w:t>F</w:t>
      </w:r>
      <w:r w:rsidRPr="00F90EBB">
        <w:rPr>
          <w:sz w:val="28"/>
          <w:szCs w:val="28"/>
        </w:rPr>
        <w:t xml:space="preserve">oreign </w:t>
      </w:r>
      <w:r w:rsidR="00ED0C56" w:rsidRPr="00F90EBB">
        <w:rPr>
          <w:sz w:val="28"/>
          <w:szCs w:val="28"/>
        </w:rPr>
        <w:t>P</w:t>
      </w:r>
      <w:r w:rsidRPr="00F90EBB">
        <w:rPr>
          <w:sz w:val="28"/>
          <w:szCs w:val="28"/>
        </w:rPr>
        <w:t>olicy of Transcaucasia and Georgia (1919)/Tiflis: Typography of the Government of Gruzinskoy Respublika, 520 pages.</w:t>
      </w:r>
    </w:p>
    <w:p w14:paraId="57AC4C5E" w14:textId="1B2B68D6" w:rsidR="00ED0C56" w:rsidRPr="001F1A53" w:rsidRDefault="000F08CF" w:rsidP="00F90EBB">
      <w:pPr>
        <w:spacing w:line="360" w:lineRule="auto"/>
        <w:ind w:left="-567" w:firstLine="993"/>
        <w:rPr>
          <w:sz w:val="28"/>
          <w:szCs w:val="28"/>
          <w:lang w:val="en-US"/>
        </w:rPr>
      </w:pPr>
      <w:r w:rsidRPr="00F90EBB">
        <w:rPr>
          <w:sz w:val="28"/>
          <w:szCs w:val="28"/>
        </w:rPr>
        <w:t xml:space="preserve">Gasanly, J.P. (2011) Russian </w:t>
      </w:r>
      <w:r w:rsidR="00ED0C56" w:rsidRPr="00F90EBB">
        <w:rPr>
          <w:sz w:val="28"/>
          <w:szCs w:val="28"/>
        </w:rPr>
        <w:t>R</w:t>
      </w:r>
      <w:r w:rsidRPr="00F90EBB">
        <w:rPr>
          <w:sz w:val="28"/>
          <w:szCs w:val="28"/>
        </w:rPr>
        <w:t xml:space="preserve">evolution and Azerbaijan: the </w:t>
      </w:r>
      <w:r w:rsidR="00ED0C56" w:rsidRPr="00F90EBB">
        <w:rPr>
          <w:sz w:val="28"/>
          <w:szCs w:val="28"/>
        </w:rPr>
        <w:t>D</w:t>
      </w:r>
      <w:r w:rsidRPr="00F90EBB">
        <w:rPr>
          <w:sz w:val="28"/>
          <w:szCs w:val="28"/>
        </w:rPr>
        <w:t xml:space="preserve">ifficult </w:t>
      </w:r>
      <w:r w:rsidR="00ED0C56" w:rsidRPr="00F90EBB">
        <w:rPr>
          <w:sz w:val="28"/>
          <w:szCs w:val="28"/>
        </w:rPr>
        <w:t>P</w:t>
      </w:r>
      <w:r w:rsidRPr="00F90EBB">
        <w:rPr>
          <w:sz w:val="28"/>
          <w:szCs w:val="28"/>
        </w:rPr>
        <w:t xml:space="preserve">ath to </w:t>
      </w:r>
      <w:r w:rsidR="00ED0C56" w:rsidRPr="00F90EBB">
        <w:rPr>
          <w:sz w:val="28"/>
          <w:szCs w:val="28"/>
        </w:rPr>
        <w:t>I</w:t>
      </w:r>
      <w:r w:rsidRPr="00F90EBB">
        <w:rPr>
          <w:sz w:val="28"/>
          <w:szCs w:val="28"/>
        </w:rPr>
        <w:t>ndependence (1917-1920). Moscow: Flinta, 39 p.</w:t>
      </w:r>
    </w:p>
    <w:p w14:paraId="0DDA612F" w14:textId="6B618799" w:rsidR="00ED0C56" w:rsidRPr="001F1A53" w:rsidRDefault="000F08CF" w:rsidP="00F90EBB">
      <w:pPr>
        <w:spacing w:line="360" w:lineRule="auto"/>
        <w:ind w:left="-567" w:firstLine="993"/>
        <w:rPr>
          <w:sz w:val="28"/>
          <w:szCs w:val="28"/>
          <w:lang w:val="en-US"/>
        </w:rPr>
      </w:pPr>
      <w:r w:rsidRPr="00F90EBB">
        <w:rPr>
          <w:sz w:val="28"/>
          <w:szCs w:val="28"/>
        </w:rPr>
        <w:t xml:space="preserve">Gasymly, M. J. (2014) Anatolia and the Southern Caucasus in 1724-1920s: in </w:t>
      </w:r>
      <w:r w:rsidR="00ED0C56" w:rsidRPr="00F90EBB">
        <w:rPr>
          <w:sz w:val="28"/>
          <w:szCs w:val="28"/>
        </w:rPr>
        <w:t>S</w:t>
      </w:r>
      <w:r w:rsidRPr="00F90EBB">
        <w:rPr>
          <w:sz w:val="28"/>
          <w:szCs w:val="28"/>
        </w:rPr>
        <w:t xml:space="preserve">earch of </w:t>
      </w:r>
      <w:r w:rsidR="00ED0C56" w:rsidRPr="00F90EBB">
        <w:rPr>
          <w:sz w:val="28"/>
          <w:szCs w:val="28"/>
        </w:rPr>
        <w:t>H</w:t>
      </w:r>
      <w:r w:rsidRPr="00F90EBB">
        <w:rPr>
          <w:sz w:val="28"/>
          <w:szCs w:val="28"/>
        </w:rPr>
        <w:t xml:space="preserve">istorical </w:t>
      </w:r>
      <w:r w:rsidR="00ED0C56" w:rsidRPr="00F90EBB">
        <w:rPr>
          <w:sz w:val="28"/>
          <w:szCs w:val="28"/>
        </w:rPr>
        <w:t>T</w:t>
      </w:r>
      <w:r w:rsidRPr="00F90EBB">
        <w:rPr>
          <w:sz w:val="28"/>
          <w:szCs w:val="28"/>
        </w:rPr>
        <w:t>ruth.Moscow: Инсан, 529 с.</w:t>
      </w:r>
    </w:p>
    <w:p w14:paraId="7602341C" w14:textId="179BD8B8" w:rsidR="00ED0C56" w:rsidRPr="001F1A53" w:rsidRDefault="000F08CF" w:rsidP="00F90EBB">
      <w:pPr>
        <w:spacing w:line="360" w:lineRule="auto"/>
        <w:ind w:left="-567" w:firstLine="993"/>
        <w:rPr>
          <w:sz w:val="28"/>
          <w:szCs w:val="28"/>
          <w:lang w:val="en-US"/>
        </w:rPr>
      </w:pPr>
      <w:r w:rsidRPr="00F90EBB">
        <w:rPr>
          <w:sz w:val="28"/>
          <w:szCs w:val="28"/>
        </w:rPr>
        <w:t>Hajiyev, I.M. (2010) Azerbaijan Democratic Republic and Nakhchivan . Nakhchivan: "Ajami" Publishing-Polygraphy Union, 384 p.</w:t>
      </w:r>
    </w:p>
    <w:p w14:paraId="014214E6" w14:textId="50D5C01E" w:rsidR="00951F62" w:rsidRPr="001F1A53" w:rsidRDefault="000F08CF" w:rsidP="00F90EBB">
      <w:pPr>
        <w:spacing w:line="360" w:lineRule="auto"/>
        <w:ind w:left="-567" w:firstLine="993"/>
        <w:rPr>
          <w:sz w:val="28"/>
          <w:szCs w:val="28"/>
          <w:lang w:val="en-US"/>
        </w:rPr>
      </w:pPr>
      <w:r w:rsidRPr="00F90EBB">
        <w:rPr>
          <w:sz w:val="28"/>
          <w:szCs w:val="28"/>
        </w:rPr>
        <w:t xml:space="preserve">Harbord, J. G. (1919) Conditions in the Near East. Report of the American Military Mission to Armenia., On Board U.S.S. "Martha Washington". Papers Relating to the Foreign Relations of the United States, 1919, Volume II, Peace Commission files: [electronic resource] /URL: </w:t>
      </w:r>
      <w:hyperlink r:id="rId9" w:history="1">
        <w:r w:rsidR="00951F62" w:rsidRPr="00F90EBB">
          <w:rPr>
            <w:rStyle w:val="ae"/>
            <w:sz w:val="28"/>
            <w:szCs w:val="28"/>
          </w:rPr>
          <w:t>https://history.state.gov/historicaldocuments/frus1919v02/d828</w:t>
        </w:r>
      </w:hyperlink>
    </w:p>
    <w:p w14:paraId="654CBBA6" w14:textId="33381E5C" w:rsidR="00ED0C56" w:rsidRPr="001F1A53" w:rsidRDefault="000F08CF" w:rsidP="00F90EBB">
      <w:pPr>
        <w:spacing w:line="360" w:lineRule="auto"/>
        <w:ind w:left="-567" w:firstLine="993"/>
        <w:rPr>
          <w:sz w:val="28"/>
          <w:szCs w:val="28"/>
          <w:lang w:val="en-US"/>
        </w:rPr>
      </w:pPr>
      <w:r w:rsidRPr="00F90EBB">
        <w:rPr>
          <w:sz w:val="28"/>
          <w:szCs w:val="28"/>
        </w:rPr>
        <w:t xml:space="preserve">Kachaznuni, O. M. (1927) Dashnaktsutyun </w:t>
      </w:r>
      <w:r w:rsidR="00ED0C56" w:rsidRPr="00F90EBB">
        <w:rPr>
          <w:sz w:val="28"/>
          <w:szCs w:val="28"/>
        </w:rPr>
        <w:t>H</w:t>
      </w:r>
      <w:r w:rsidRPr="00F90EBB">
        <w:rPr>
          <w:sz w:val="28"/>
          <w:szCs w:val="28"/>
        </w:rPr>
        <w:t xml:space="preserve">as </w:t>
      </w:r>
      <w:r w:rsidR="00ED0C56" w:rsidRPr="00F90EBB">
        <w:rPr>
          <w:sz w:val="28"/>
          <w:szCs w:val="28"/>
        </w:rPr>
        <w:t>N</w:t>
      </w:r>
      <w:r w:rsidRPr="00F90EBB">
        <w:rPr>
          <w:sz w:val="28"/>
          <w:szCs w:val="28"/>
        </w:rPr>
        <w:t xml:space="preserve">othing </w:t>
      </w:r>
      <w:r w:rsidR="00ED0C56" w:rsidRPr="00F90EBB">
        <w:rPr>
          <w:sz w:val="28"/>
          <w:szCs w:val="28"/>
        </w:rPr>
        <w:t>M</w:t>
      </w:r>
      <w:r w:rsidRPr="00F90EBB">
        <w:rPr>
          <w:sz w:val="28"/>
          <w:szCs w:val="28"/>
        </w:rPr>
        <w:t xml:space="preserve">ore to </w:t>
      </w:r>
      <w:r w:rsidR="00ED0C56" w:rsidRPr="00F90EBB">
        <w:rPr>
          <w:sz w:val="28"/>
          <w:szCs w:val="28"/>
        </w:rPr>
        <w:t>D</w:t>
      </w:r>
      <w:r w:rsidRPr="00F90EBB">
        <w:rPr>
          <w:sz w:val="28"/>
          <w:szCs w:val="28"/>
        </w:rPr>
        <w:t>o! Tiflis: Zakkniga, 92 p.</w:t>
      </w:r>
    </w:p>
    <w:p w14:paraId="4930D983" w14:textId="06BEEB12" w:rsidR="000F08CF" w:rsidRPr="00F90EBB" w:rsidRDefault="000F08CF" w:rsidP="00F90EBB">
      <w:pPr>
        <w:spacing w:line="360" w:lineRule="auto"/>
        <w:ind w:left="-567" w:firstLine="993"/>
        <w:rPr>
          <w:sz w:val="28"/>
          <w:szCs w:val="28"/>
        </w:rPr>
      </w:pPr>
      <w:r w:rsidRPr="00F90EBB">
        <w:rPr>
          <w:sz w:val="28"/>
          <w:szCs w:val="28"/>
        </w:rPr>
        <w:t>Letter from Ganja Governor Ibrahim aga Vakilov to the Minister of Internal Affairs (Ganja: March 19, 1919) //State Archive of the Republic of Azerbaijan, fund No. 894, list No. 10, case No. 104, sheet 2</w:t>
      </w:r>
    </w:p>
    <w:p w14:paraId="09A47F93" w14:textId="77777777" w:rsidR="00ED0C56" w:rsidRPr="00F90EBB" w:rsidRDefault="00ED0C56" w:rsidP="00F90EBB">
      <w:pPr>
        <w:spacing w:line="360" w:lineRule="auto"/>
        <w:ind w:left="-567" w:firstLine="993"/>
        <w:rPr>
          <w:sz w:val="28"/>
          <w:szCs w:val="28"/>
        </w:rPr>
      </w:pPr>
    </w:p>
    <w:p w14:paraId="64245712" w14:textId="0AF172A3" w:rsidR="00ED0C56" w:rsidRPr="001F1A53" w:rsidRDefault="000F08CF" w:rsidP="00F90EBB">
      <w:pPr>
        <w:spacing w:line="360" w:lineRule="auto"/>
        <w:ind w:left="-567" w:firstLine="993"/>
        <w:rPr>
          <w:sz w:val="28"/>
          <w:szCs w:val="28"/>
          <w:lang w:val="en-US"/>
        </w:rPr>
      </w:pPr>
      <w:r w:rsidRPr="00F90EBB">
        <w:rPr>
          <w:sz w:val="28"/>
          <w:szCs w:val="28"/>
        </w:rPr>
        <w:t>Monroe, E. (1963) Britain's Moment in the Middle East. 1914–1956. London: Johns Hopkins Press, 254 p.</w:t>
      </w:r>
    </w:p>
    <w:p w14:paraId="6836183F" w14:textId="6BC78811" w:rsidR="00ED0C56" w:rsidRPr="001F1A53" w:rsidRDefault="000F08CF" w:rsidP="00F90EBB">
      <w:pPr>
        <w:spacing w:line="360" w:lineRule="auto"/>
        <w:ind w:left="-567" w:firstLine="993"/>
        <w:rPr>
          <w:sz w:val="28"/>
          <w:szCs w:val="28"/>
          <w:lang w:val="en-US"/>
        </w:rPr>
      </w:pPr>
      <w:r w:rsidRPr="00F90EBB">
        <w:rPr>
          <w:sz w:val="28"/>
          <w:szCs w:val="28"/>
        </w:rPr>
        <w:t xml:space="preserve">Nagorno-Karabakh in </w:t>
      </w:r>
      <w:r w:rsidR="00ED0C56" w:rsidRPr="00F90EBB">
        <w:rPr>
          <w:sz w:val="28"/>
          <w:szCs w:val="28"/>
        </w:rPr>
        <w:t>I</w:t>
      </w:r>
      <w:r w:rsidRPr="00F90EBB">
        <w:rPr>
          <w:sz w:val="28"/>
          <w:szCs w:val="28"/>
        </w:rPr>
        <w:t xml:space="preserve">nternational </w:t>
      </w:r>
      <w:r w:rsidR="00ED0C56" w:rsidRPr="00F90EBB">
        <w:rPr>
          <w:sz w:val="28"/>
          <w:szCs w:val="28"/>
        </w:rPr>
        <w:t>L</w:t>
      </w:r>
      <w:r w:rsidRPr="00F90EBB">
        <w:rPr>
          <w:sz w:val="28"/>
          <w:szCs w:val="28"/>
        </w:rPr>
        <w:t xml:space="preserve">aw and </w:t>
      </w:r>
      <w:r w:rsidR="00ED0C56" w:rsidRPr="00F90EBB">
        <w:rPr>
          <w:sz w:val="28"/>
          <w:szCs w:val="28"/>
        </w:rPr>
        <w:t>W</w:t>
      </w:r>
      <w:r w:rsidRPr="00F90EBB">
        <w:rPr>
          <w:sz w:val="28"/>
          <w:szCs w:val="28"/>
        </w:rPr>
        <w:t xml:space="preserve">orld </w:t>
      </w:r>
      <w:r w:rsidR="00ED0C56" w:rsidRPr="00F90EBB">
        <w:rPr>
          <w:sz w:val="28"/>
          <w:szCs w:val="28"/>
        </w:rPr>
        <w:t>P</w:t>
      </w:r>
      <w:r w:rsidRPr="00F90EBB">
        <w:rPr>
          <w:sz w:val="28"/>
          <w:szCs w:val="28"/>
        </w:rPr>
        <w:t xml:space="preserve">olitics. Documents and </w:t>
      </w:r>
      <w:r w:rsidR="00ED0C56" w:rsidRPr="00F90EBB">
        <w:rPr>
          <w:sz w:val="28"/>
          <w:szCs w:val="28"/>
        </w:rPr>
        <w:t>C</w:t>
      </w:r>
      <w:r w:rsidRPr="00F90EBB">
        <w:rPr>
          <w:sz w:val="28"/>
          <w:szCs w:val="28"/>
        </w:rPr>
        <w:t>omments (2008)  t.1 – Moscow: 944 p.</w:t>
      </w:r>
    </w:p>
    <w:p w14:paraId="2DE083CC" w14:textId="60BBDE7F" w:rsidR="00ED0C56" w:rsidRPr="001F1A53" w:rsidRDefault="000F08CF" w:rsidP="00F90EBB">
      <w:pPr>
        <w:spacing w:line="360" w:lineRule="auto"/>
        <w:ind w:left="-567" w:firstLine="993"/>
        <w:rPr>
          <w:sz w:val="28"/>
          <w:szCs w:val="28"/>
          <w:lang w:val="en-US"/>
        </w:rPr>
      </w:pPr>
      <w:r w:rsidRPr="00F90EBB">
        <w:rPr>
          <w:sz w:val="28"/>
          <w:szCs w:val="28"/>
        </w:rPr>
        <w:t xml:space="preserve">Najafov, B.I. (2007) History of Armenian </w:t>
      </w:r>
      <w:r w:rsidR="00ED0C56" w:rsidRPr="00F90EBB">
        <w:rPr>
          <w:sz w:val="28"/>
          <w:szCs w:val="28"/>
        </w:rPr>
        <w:t>T</w:t>
      </w:r>
      <w:r w:rsidRPr="00F90EBB">
        <w:rPr>
          <w:sz w:val="28"/>
          <w:szCs w:val="28"/>
        </w:rPr>
        <w:t xml:space="preserve">errorism in Turkey and the South Caucasus in the </w:t>
      </w:r>
      <w:r w:rsidR="00ED0C56" w:rsidRPr="00F90EBB">
        <w:rPr>
          <w:sz w:val="28"/>
          <w:szCs w:val="28"/>
        </w:rPr>
        <w:t>L</w:t>
      </w:r>
      <w:r w:rsidRPr="00F90EBB">
        <w:rPr>
          <w:sz w:val="28"/>
          <w:szCs w:val="28"/>
        </w:rPr>
        <w:t xml:space="preserve">ate 19th and </w:t>
      </w:r>
      <w:r w:rsidR="00ED0C56" w:rsidRPr="00F90EBB">
        <w:rPr>
          <w:sz w:val="28"/>
          <w:szCs w:val="28"/>
        </w:rPr>
        <w:t>E</w:t>
      </w:r>
      <w:r w:rsidRPr="00F90EBB">
        <w:rPr>
          <w:sz w:val="28"/>
          <w:szCs w:val="28"/>
        </w:rPr>
        <w:t xml:space="preserve">arly 20th </w:t>
      </w:r>
      <w:r w:rsidR="00ED0C56" w:rsidRPr="00F90EBB">
        <w:rPr>
          <w:sz w:val="28"/>
          <w:szCs w:val="28"/>
        </w:rPr>
        <w:t>C</w:t>
      </w:r>
      <w:r w:rsidRPr="00F90EBB">
        <w:rPr>
          <w:sz w:val="28"/>
          <w:szCs w:val="28"/>
        </w:rPr>
        <w:t>enturies . Baku: Chasioglu,.436 p.</w:t>
      </w:r>
    </w:p>
    <w:p w14:paraId="0E7AB9A1" w14:textId="67E68C94" w:rsidR="000F08CF" w:rsidRPr="00F90EBB" w:rsidRDefault="000F08CF" w:rsidP="00F90EBB">
      <w:pPr>
        <w:spacing w:line="360" w:lineRule="auto"/>
        <w:ind w:left="-567" w:firstLine="993"/>
        <w:rPr>
          <w:sz w:val="28"/>
          <w:szCs w:val="28"/>
        </w:rPr>
      </w:pPr>
      <w:r w:rsidRPr="00F90EBB">
        <w:rPr>
          <w:sz w:val="28"/>
          <w:szCs w:val="28"/>
        </w:rPr>
        <w:t xml:space="preserve">Narimanoglu, H.N. (2014) Massacres </w:t>
      </w:r>
      <w:r w:rsidR="00ED0C56" w:rsidRPr="00F90EBB">
        <w:rPr>
          <w:sz w:val="28"/>
          <w:szCs w:val="28"/>
        </w:rPr>
        <w:t>C</w:t>
      </w:r>
      <w:r w:rsidRPr="00F90EBB">
        <w:rPr>
          <w:sz w:val="28"/>
          <w:szCs w:val="28"/>
        </w:rPr>
        <w:t xml:space="preserve">ommitted by Armenians in Zangezur and Karabakh in Ottoman-Turkish </w:t>
      </w:r>
      <w:r w:rsidR="00ED0C56" w:rsidRPr="00F90EBB">
        <w:rPr>
          <w:sz w:val="28"/>
          <w:szCs w:val="28"/>
        </w:rPr>
        <w:t>S</w:t>
      </w:r>
      <w:r w:rsidRPr="00F90EBB">
        <w:rPr>
          <w:sz w:val="28"/>
          <w:szCs w:val="28"/>
        </w:rPr>
        <w:t>ources. Baku: NGO Publishing House, 88 p.</w:t>
      </w:r>
    </w:p>
    <w:p w14:paraId="49C82D31" w14:textId="2253A4C0" w:rsidR="00ED0C56" w:rsidRPr="001F1A53" w:rsidRDefault="000F08CF" w:rsidP="00F90EBB">
      <w:pPr>
        <w:spacing w:line="360" w:lineRule="auto"/>
        <w:ind w:left="-567" w:firstLine="993"/>
        <w:rPr>
          <w:sz w:val="28"/>
          <w:szCs w:val="28"/>
          <w:lang w:val="en-US"/>
        </w:rPr>
      </w:pPr>
      <w:r w:rsidRPr="00F90EBB">
        <w:rPr>
          <w:sz w:val="28"/>
          <w:szCs w:val="28"/>
        </w:rPr>
        <w:t>Newspaper "Zang" (1918). Yerevan p.3.</w:t>
      </w:r>
    </w:p>
    <w:p w14:paraId="33D079E4" w14:textId="7DE421D4" w:rsidR="00ED0C56" w:rsidRPr="001F1A53" w:rsidRDefault="000F08CF" w:rsidP="00F90EBB">
      <w:pPr>
        <w:spacing w:line="360" w:lineRule="auto"/>
        <w:ind w:left="-567" w:firstLine="993"/>
        <w:rPr>
          <w:sz w:val="28"/>
          <w:szCs w:val="28"/>
          <w:lang w:val="en-US"/>
        </w:rPr>
      </w:pPr>
      <w:r w:rsidRPr="00F90EBB">
        <w:rPr>
          <w:sz w:val="28"/>
          <w:szCs w:val="28"/>
        </w:rPr>
        <w:t>Oganesyan, E. (1991) Age of Struggle. Essay on the 100-</w:t>
      </w:r>
      <w:r w:rsidR="00ED0C56" w:rsidRPr="00F90EBB">
        <w:rPr>
          <w:sz w:val="28"/>
          <w:szCs w:val="28"/>
        </w:rPr>
        <w:t>Y</w:t>
      </w:r>
      <w:r w:rsidRPr="00F90EBB">
        <w:rPr>
          <w:sz w:val="28"/>
          <w:szCs w:val="28"/>
        </w:rPr>
        <w:t xml:space="preserve">ear </w:t>
      </w:r>
      <w:r w:rsidR="00ED0C56" w:rsidRPr="00F90EBB">
        <w:rPr>
          <w:sz w:val="28"/>
          <w:szCs w:val="28"/>
        </w:rPr>
        <w:t>H</w:t>
      </w:r>
      <w:r w:rsidRPr="00F90EBB">
        <w:rPr>
          <w:sz w:val="28"/>
          <w:szCs w:val="28"/>
        </w:rPr>
        <w:t xml:space="preserve">istory of the Dashnak Party and the </w:t>
      </w:r>
      <w:r w:rsidR="00ED0C56" w:rsidRPr="00F90EBB">
        <w:rPr>
          <w:sz w:val="28"/>
          <w:szCs w:val="28"/>
        </w:rPr>
        <w:t>N</w:t>
      </w:r>
      <w:r w:rsidRPr="00F90EBB">
        <w:rPr>
          <w:sz w:val="28"/>
          <w:szCs w:val="28"/>
        </w:rPr>
        <w:t>ational-</w:t>
      </w:r>
      <w:r w:rsidR="00ED0C56" w:rsidRPr="00F90EBB">
        <w:rPr>
          <w:sz w:val="28"/>
          <w:szCs w:val="28"/>
        </w:rPr>
        <w:t>L</w:t>
      </w:r>
      <w:r w:rsidRPr="00F90EBB">
        <w:rPr>
          <w:sz w:val="28"/>
          <w:szCs w:val="28"/>
        </w:rPr>
        <w:t xml:space="preserve">iberation </w:t>
      </w:r>
      <w:r w:rsidR="00ED0C56" w:rsidRPr="00F90EBB">
        <w:rPr>
          <w:sz w:val="28"/>
          <w:szCs w:val="28"/>
        </w:rPr>
        <w:t>S</w:t>
      </w:r>
      <w:r w:rsidRPr="00F90EBB">
        <w:rPr>
          <w:sz w:val="28"/>
          <w:szCs w:val="28"/>
        </w:rPr>
        <w:t xml:space="preserve">truggle of the Armenian </w:t>
      </w:r>
      <w:r w:rsidR="00ED0C56" w:rsidRPr="00F90EBB">
        <w:rPr>
          <w:sz w:val="28"/>
          <w:szCs w:val="28"/>
        </w:rPr>
        <w:t>P</w:t>
      </w:r>
      <w:r w:rsidRPr="00F90EBB">
        <w:rPr>
          <w:sz w:val="28"/>
          <w:szCs w:val="28"/>
        </w:rPr>
        <w:t>eople/ E. Oganesyan.– Munich-Moscow: Feniks,–t.1. 385 p.</w:t>
      </w:r>
    </w:p>
    <w:p w14:paraId="7ACDB49F" w14:textId="33F2B82E" w:rsidR="00ED0C56" w:rsidRPr="001F1A53" w:rsidRDefault="000F08CF" w:rsidP="00F90EBB">
      <w:pPr>
        <w:spacing w:line="360" w:lineRule="auto"/>
        <w:ind w:left="-567" w:firstLine="993"/>
        <w:rPr>
          <w:sz w:val="28"/>
          <w:szCs w:val="28"/>
          <w:lang w:val="en-US"/>
        </w:rPr>
      </w:pPr>
      <w:r w:rsidRPr="00F90EBB">
        <w:rPr>
          <w:sz w:val="28"/>
          <w:szCs w:val="28"/>
        </w:rPr>
        <w:t xml:space="preserve">Report No. 5 of the </w:t>
      </w:r>
      <w:r w:rsidR="00ED0C56" w:rsidRPr="00F90EBB">
        <w:rPr>
          <w:sz w:val="28"/>
          <w:szCs w:val="28"/>
        </w:rPr>
        <w:t>H</w:t>
      </w:r>
      <w:r w:rsidRPr="00F90EBB">
        <w:rPr>
          <w:sz w:val="28"/>
          <w:szCs w:val="28"/>
        </w:rPr>
        <w:t xml:space="preserve">ead of the Zangezur </w:t>
      </w:r>
      <w:r w:rsidR="00ED0C56" w:rsidRPr="00F90EBB">
        <w:rPr>
          <w:sz w:val="28"/>
          <w:szCs w:val="28"/>
        </w:rPr>
        <w:t>D</w:t>
      </w:r>
      <w:r w:rsidRPr="00F90EBB">
        <w:rPr>
          <w:sz w:val="28"/>
          <w:szCs w:val="28"/>
        </w:rPr>
        <w:t>istrict Malik Namazaliyev to the Minister of Foreign Affairs of the Azerbaijani People's Republic B. Javanshir (Baku: September 11, 1918)//State Archives of the Republic of Azerbaijan, fund No. 894, list No. 4, case No. 65, sheet 129</w:t>
      </w:r>
    </w:p>
    <w:p w14:paraId="705B62F9" w14:textId="0190816D" w:rsidR="00ED0C56" w:rsidRPr="001F1A53" w:rsidRDefault="000F08CF" w:rsidP="00F90EBB">
      <w:pPr>
        <w:spacing w:line="360" w:lineRule="auto"/>
        <w:ind w:left="-567" w:firstLine="993"/>
        <w:rPr>
          <w:sz w:val="28"/>
          <w:szCs w:val="28"/>
          <w:lang w:val="en-US"/>
        </w:rPr>
      </w:pPr>
      <w:r w:rsidRPr="00F90EBB">
        <w:rPr>
          <w:sz w:val="28"/>
          <w:szCs w:val="28"/>
        </w:rPr>
        <w:t>Shafir, Y.M. (1925) Essays of the Georgian Gironde</w:t>
      </w:r>
      <w:r w:rsidR="00ED0C56" w:rsidRPr="00F90EBB">
        <w:rPr>
          <w:sz w:val="28"/>
          <w:szCs w:val="28"/>
        </w:rPr>
        <w:t>.</w:t>
      </w:r>
      <w:r w:rsidRPr="00F90EBB">
        <w:rPr>
          <w:sz w:val="28"/>
          <w:szCs w:val="28"/>
        </w:rPr>
        <w:t xml:space="preserve"> Moscow, 216 p.</w:t>
      </w:r>
    </w:p>
    <w:p w14:paraId="3B2E597B" w14:textId="1FC1D55E" w:rsidR="00ED0C56" w:rsidRPr="001F1A53" w:rsidRDefault="000F08CF" w:rsidP="00F90EBB">
      <w:pPr>
        <w:spacing w:line="360" w:lineRule="auto"/>
        <w:ind w:left="-567" w:firstLine="993"/>
        <w:rPr>
          <w:sz w:val="28"/>
          <w:szCs w:val="28"/>
          <w:lang w:val="en-US"/>
        </w:rPr>
      </w:pPr>
      <w:r w:rsidRPr="00F90EBB">
        <w:rPr>
          <w:sz w:val="28"/>
          <w:szCs w:val="28"/>
        </w:rPr>
        <w:t xml:space="preserve">Shukurov, K.K. (2006) Turkmenchay 1828. Historical </w:t>
      </w:r>
      <w:r w:rsidR="00ED0C56" w:rsidRPr="00F90EBB">
        <w:rPr>
          <w:sz w:val="28"/>
          <w:szCs w:val="28"/>
        </w:rPr>
        <w:t>C</w:t>
      </w:r>
      <w:r w:rsidRPr="00F90EBB">
        <w:rPr>
          <w:sz w:val="28"/>
          <w:szCs w:val="28"/>
        </w:rPr>
        <w:t>hronicle. Baku: Chasioglu, 130 p.</w:t>
      </w:r>
    </w:p>
    <w:p w14:paraId="75091DE2" w14:textId="6A23356A" w:rsidR="00ED0C56" w:rsidRPr="001F1A53" w:rsidRDefault="000F08CF" w:rsidP="00F90EBB">
      <w:pPr>
        <w:spacing w:line="360" w:lineRule="auto"/>
        <w:ind w:left="-567" w:firstLine="993"/>
        <w:rPr>
          <w:sz w:val="28"/>
          <w:szCs w:val="28"/>
          <w:lang w:val="en-US"/>
        </w:rPr>
      </w:pPr>
      <w:r w:rsidRPr="00F90EBB">
        <w:rPr>
          <w:sz w:val="28"/>
          <w:szCs w:val="28"/>
        </w:rPr>
        <w:t xml:space="preserve">Swietochowski, T. (1985) Russian Azerbaijan (1905-1920): the </w:t>
      </w:r>
      <w:r w:rsidR="00ED0C56" w:rsidRPr="00F90EBB">
        <w:rPr>
          <w:sz w:val="28"/>
          <w:szCs w:val="28"/>
        </w:rPr>
        <w:t>S</w:t>
      </w:r>
      <w:r w:rsidRPr="00F90EBB">
        <w:rPr>
          <w:sz w:val="28"/>
          <w:szCs w:val="28"/>
        </w:rPr>
        <w:t xml:space="preserve">haping of a </w:t>
      </w:r>
      <w:r w:rsidR="00ED0C56" w:rsidRPr="00F90EBB">
        <w:rPr>
          <w:sz w:val="28"/>
          <w:szCs w:val="28"/>
        </w:rPr>
        <w:t>N</w:t>
      </w:r>
      <w:r w:rsidRPr="00F90EBB">
        <w:rPr>
          <w:sz w:val="28"/>
          <w:szCs w:val="28"/>
        </w:rPr>
        <w:t xml:space="preserve">ational </w:t>
      </w:r>
      <w:r w:rsidR="00ED0C56" w:rsidRPr="00F90EBB">
        <w:rPr>
          <w:sz w:val="28"/>
          <w:szCs w:val="28"/>
        </w:rPr>
        <w:t>I</w:t>
      </w:r>
      <w:r w:rsidRPr="00F90EBB">
        <w:rPr>
          <w:sz w:val="28"/>
          <w:szCs w:val="28"/>
        </w:rPr>
        <w:t xml:space="preserve">dentity in a Muslim </w:t>
      </w:r>
      <w:r w:rsidR="00ED0C56" w:rsidRPr="00F90EBB">
        <w:rPr>
          <w:sz w:val="28"/>
          <w:szCs w:val="28"/>
        </w:rPr>
        <w:t>C</w:t>
      </w:r>
      <w:r w:rsidRPr="00F90EBB">
        <w:rPr>
          <w:sz w:val="28"/>
          <w:szCs w:val="28"/>
        </w:rPr>
        <w:t>ommunity. Boston: Cambridge University Press, 272 p.</w:t>
      </w:r>
    </w:p>
    <w:p w14:paraId="642C192B" w14:textId="63C506AC" w:rsidR="00ED0C56" w:rsidRPr="001F1A53" w:rsidRDefault="000F08CF" w:rsidP="00F90EBB">
      <w:pPr>
        <w:spacing w:line="360" w:lineRule="auto"/>
        <w:ind w:left="-567" w:firstLine="993"/>
        <w:rPr>
          <w:sz w:val="28"/>
          <w:szCs w:val="28"/>
          <w:lang w:val="en-US"/>
        </w:rPr>
      </w:pPr>
      <w:r w:rsidRPr="00F90EBB">
        <w:rPr>
          <w:sz w:val="28"/>
          <w:szCs w:val="28"/>
        </w:rPr>
        <w:t xml:space="preserve">Tokarzhevsky, E.A. (1957) From the </w:t>
      </w:r>
      <w:r w:rsidR="00ED0C56" w:rsidRPr="00F90EBB">
        <w:rPr>
          <w:sz w:val="28"/>
          <w:szCs w:val="28"/>
        </w:rPr>
        <w:t>H</w:t>
      </w:r>
      <w:r w:rsidRPr="00F90EBB">
        <w:rPr>
          <w:sz w:val="28"/>
          <w:szCs w:val="28"/>
        </w:rPr>
        <w:t xml:space="preserve">istory of </w:t>
      </w:r>
      <w:r w:rsidR="00ED0C56" w:rsidRPr="00F90EBB">
        <w:rPr>
          <w:sz w:val="28"/>
          <w:szCs w:val="28"/>
        </w:rPr>
        <w:t>F</w:t>
      </w:r>
      <w:r w:rsidRPr="00F90EBB">
        <w:rPr>
          <w:sz w:val="28"/>
          <w:szCs w:val="28"/>
        </w:rPr>
        <w:t xml:space="preserve">oreign </w:t>
      </w:r>
      <w:r w:rsidR="00ED0C56" w:rsidRPr="00F90EBB">
        <w:rPr>
          <w:sz w:val="28"/>
          <w:szCs w:val="28"/>
        </w:rPr>
        <w:t>I</w:t>
      </w:r>
      <w:r w:rsidRPr="00F90EBB">
        <w:rPr>
          <w:sz w:val="28"/>
          <w:szCs w:val="28"/>
        </w:rPr>
        <w:t xml:space="preserve">ntervention and </w:t>
      </w:r>
      <w:r w:rsidR="00ED0C56" w:rsidRPr="00F90EBB">
        <w:rPr>
          <w:sz w:val="28"/>
          <w:szCs w:val="28"/>
        </w:rPr>
        <w:t>C</w:t>
      </w:r>
      <w:r w:rsidRPr="00F90EBB">
        <w:rPr>
          <w:sz w:val="28"/>
          <w:szCs w:val="28"/>
        </w:rPr>
        <w:t xml:space="preserve">ivil </w:t>
      </w:r>
      <w:r w:rsidR="00ED0C56" w:rsidRPr="00F90EBB">
        <w:rPr>
          <w:sz w:val="28"/>
          <w:szCs w:val="28"/>
        </w:rPr>
        <w:t>W</w:t>
      </w:r>
      <w:r w:rsidRPr="00F90EBB">
        <w:rPr>
          <w:sz w:val="28"/>
          <w:szCs w:val="28"/>
        </w:rPr>
        <w:t>ar in Azerbaijan/ Academy of Sciences of the Azerbaijan SSR. Institute history. Baku, 332 p.</w:t>
      </w:r>
    </w:p>
    <w:p w14:paraId="7A7080A2" w14:textId="189DF0DE" w:rsidR="00ED0C56" w:rsidRPr="001F1A53" w:rsidRDefault="000F08CF" w:rsidP="00F90EBB">
      <w:pPr>
        <w:spacing w:line="360" w:lineRule="auto"/>
        <w:ind w:left="-567" w:firstLine="993"/>
        <w:rPr>
          <w:sz w:val="28"/>
          <w:szCs w:val="28"/>
          <w:lang w:val="en-US"/>
        </w:rPr>
      </w:pPr>
      <w:r w:rsidRPr="00F90EBB">
        <w:rPr>
          <w:sz w:val="28"/>
          <w:szCs w:val="28"/>
        </w:rPr>
        <w:t xml:space="preserve">Uras, E.I. (1976) Armenians and Armenian </w:t>
      </w:r>
      <w:r w:rsidR="00ED0C56" w:rsidRPr="00F90EBB">
        <w:rPr>
          <w:sz w:val="28"/>
          <w:szCs w:val="28"/>
        </w:rPr>
        <w:t>I</w:t>
      </w:r>
      <w:r w:rsidRPr="00F90EBB">
        <w:rPr>
          <w:sz w:val="28"/>
          <w:szCs w:val="28"/>
        </w:rPr>
        <w:t xml:space="preserve">ssue in </w:t>
      </w:r>
      <w:r w:rsidR="00ED0C56" w:rsidRPr="00F90EBB">
        <w:rPr>
          <w:sz w:val="28"/>
          <w:szCs w:val="28"/>
        </w:rPr>
        <w:t>H</w:t>
      </w:r>
      <w:r w:rsidRPr="00F90EBB">
        <w:rPr>
          <w:sz w:val="28"/>
          <w:szCs w:val="28"/>
        </w:rPr>
        <w:t>istory.  Istanbul: Boğaziçi University, 378 p</w:t>
      </w:r>
    </w:p>
    <w:p w14:paraId="5E49BCAE" w14:textId="7E2E3C34" w:rsidR="00ED0C56" w:rsidRPr="001F1A53" w:rsidRDefault="000F08CF" w:rsidP="00F90EBB">
      <w:pPr>
        <w:spacing w:line="360" w:lineRule="auto"/>
        <w:ind w:left="-567" w:firstLine="993"/>
        <w:rPr>
          <w:sz w:val="28"/>
          <w:szCs w:val="28"/>
          <w:lang w:val="en-US"/>
        </w:rPr>
      </w:pPr>
      <w:r w:rsidRPr="00F90EBB">
        <w:rPr>
          <w:sz w:val="28"/>
          <w:szCs w:val="28"/>
        </w:rPr>
        <w:t xml:space="preserve">Walter Chandler's </w:t>
      </w:r>
      <w:r w:rsidR="00ED0C56" w:rsidRPr="00F90EBB">
        <w:rPr>
          <w:sz w:val="28"/>
          <w:szCs w:val="28"/>
        </w:rPr>
        <w:t>L</w:t>
      </w:r>
      <w:r w:rsidRPr="00F90EBB">
        <w:rPr>
          <w:sz w:val="28"/>
          <w:szCs w:val="28"/>
        </w:rPr>
        <w:t xml:space="preserve">etter to A.M. Topchubashov (Washington: November 1, 1919)//State Archives of the Republic of Azerbaijan, fund No. 970, list No. 1, case No. </w:t>
      </w:r>
      <w:r w:rsidRPr="00F90EBB">
        <w:rPr>
          <w:sz w:val="28"/>
          <w:szCs w:val="28"/>
        </w:rPr>
        <w:lastRenderedPageBreak/>
        <w:t>145, sheets 56-59</w:t>
      </w:r>
    </w:p>
    <w:p w14:paraId="64EE3B32" w14:textId="0C8699D9" w:rsidR="000F08CF" w:rsidRPr="00F90EBB" w:rsidRDefault="000F08CF" w:rsidP="00F90EBB">
      <w:pPr>
        <w:spacing w:line="360" w:lineRule="auto"/>
        <w:ind w:left="-567" w:firstLine="993"/>
        <w:rPr>
          <w:sz w:val="28"/>
          <w:szCs w:val="28"/>
        </w:rPr>
      </w:pPr>
      <w:r w:rsidRPr="00F90EBB">
        <w:rPr>
          <w:sz w:val="28"/>
          <w:szCs w:val="28"/>
        </w:rPr>
        <w:t>Yaqublu, N.G. (2015)Traces of the Caucasian Islamic Army in Azerbaijan. Baku: Book Club, 151p.</w:t>
      </w:r>
    </w:p>
    <w:p w14:paraId="422CE3A2" w14:textId="77777777" w:rsidR="000F08CF" w:rsidRPr="00F90EBB" w:rsidRDefault="000F08CF" w:rsidP="00F90EBB">
      <w:pPr>
        <w:tabs>
          <w:tab w:val="left" w:pos="2472"/>
        </w:tabs>
        <w:spacing w:line="360" w:lineRule="auto"/>
        <w:ind w:left="-567" w:firstLine="993"/>
        <w:rPr>
          <w:sz w:val="28"/>
          <w:szCs w:val="28"/>
        </w:rPr>
      </w:pPr>
    </w:p>
    <w:sectPr w:rsidR="000F08CF" w:rsidRPr="00F90EBB" w:rsidSect="00F90EBB">
      <w:pgSz w:w="11906" w:h="16838"/>
      <w:pgMar w:top="1134" w:right="850" w:bottom="1134" w:left="184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7FC23" w14:textId="77777777" w:rsidR="00E31749" w:rsidRDefault="00E31749" w:rsidP="00554662">
      <w:r>
        <w:separator/>
      </w:r>
    </w:p>
  </w:endnote>
  <w:endnote w:type="continuationSeparator" w:id="0">
    <w:p w14:paraId="552614D5" w14:textId="77777777" w:rsidR="00E31749" w:rsidRDefault="00E31749" w:rsidP="00554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759C1" w14:textId="77777777" w:rsidR="00E31749" w:rsidRDefault="00E31749" w:rsidP="00554662">
      <w:r>
        <w:separator/>
      </w:r>
    </w:p>
  </w:footnote>
  <w:footnote w:type="continuationSeparator" w:id="0">
    <w:p w14:paraId="54F6E9ED" w14:textId="77777777" w:rsidR="00E31749" w:rsidRDefault="00E31749" w:rsidP="005546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6670B"/>
    <w:multiLevelType w:val="hybridMultilevel"/>
    <w:tmpl w:val="655843E8"/>
    <w:lvl w:ilvl="0" w:tplc="FFFFFFFF">
      <w:start w:val="1"/>
      <w:numFmt w:val="decimal"/>
      <w:lvlText w:val="%1."/>
      <w:lvlJc w:val="left"/>
      <w:pPr>
        <w:ind w:left="162" w:hanging="428"/>
      </w:pPr>
      <w:rPr>
        <w:rFonts w:ascii="Times New Roman" w:eastAsia="Times New Roman" w:hAnsi="Times New Roman" w:cs="Times New Roman" w:hint="default"/>
        <w:b w:val="0"/>
        <w:bCs w:val="0"/>
        <w:i w:val="0"/>
        <w:iCs w:val="0"/>
        <w:spacing w:val="0"/>
        <w:w w:val="100"/>
        <w:sz w:val="28"/>
        <w:szCs w:val="28"/>
        <w:lang w:val="az" w:eastAsia="en-US" w:bidi="ar-SA"/>
      </w:rPr>
    </w:lvl>
    <w:lvl w:ilvl="1" w:tplc="FFFFFFFF">
      <w:numFmt w:val="bullet"/>
      <w:lvlText w:val="•"/>
      <w:lvlJc w:val="left"/>
      <w:pPr>
        <w:ind w:left="1140" w:hanging="428"/>
      </w:pPr>
      <w:rPr>
        <w:rFonts w:hint="default"/>
        <w:lang w:val="az" w:eastAsia="en-US" w:bidi="ar-SA"/>
      </w:rPr>
    </w:lvl>
    <w:lvl w:ilvl="2" w:tplc="FFFFFFFF">
      <w:numFmt w:val="bullet"/>
      <w:lvlText w:val="•"/>
      <w:lvlJc w:val="left"/>
      <w:pPr>
        <w:ind w:left="2121" w:hanging="428"/>
      </w:pPr>
      <w:rPr>
        <w:rFonts w:hint="default"/>
        <w:lang w:val="az" w:eastAsia="en-US" w:bidi="ar-SA"/>
      </w:rPr>
    </w:lvl>
    <w:lvl w:ilvl="3" w:tplc="FFFFFFFF">
      <w:numFmt w:val="bullet"/>
      <w:lvlText w:val="•"/>
      <w:lvlJc w:val="left"/>
      <w:pPr>
        <w:ind w:left="3101" w:hanging="428"/>
      </w:pPr>
      <w:rPr>
        <w:rFonts w:hint="default"/>
        <w:lang w:val="az" w:eastAsia="en-US" w:bidi="ar-SA"/>
      </w:rPr>
    </w:lvl>
    <w:lvl w:ilvl="4" w:tplc="FFFFFFFF">
      <w:numFmt w:val="bullet"/>
      <w:lvlText w:val="•"/>
      <w:lvlJc w:val="left"/>
      <w:pPr>
        <w:ind w:left="4082" w:hanging="428"/>
      </w:pPr>
      <w:rPr>
        <w:rFonts w:hint="default"/>
        <w:lang w:val="az" w:eastAsia="en-US" w:bidi="ar-SA"/>
      </w:rPr>
    </w:lvl>
    <w:lvl w:ilvl="5" w:tplc="FFFFFFFF">
      <w:numFmt w:val="bullet"/>
      <w:lvlText w:val="•"/>
      <w:lvlJc w:val="left"/>
      <w:pPr>
        <w:ind w:left="5063" w:hanging="428"/>
      </w:pPr>
      <w:rPr>
        <w:rFonts w:hint="default"/>
        <w:lang w:val="az" w:eastAsia="en-US" w:bidi="ar-SA"/>
      </w:rPr>
    </w:lvl>
    <w:lvl w:ilvl="6" w:tplc="FFFFFFFF">
      <w:numFmt w:val="bullet"/>
      <w:lvlText w:val="•"/>
      <w:lvlJc w:val="left"/>
      <w:pPr>
        <w:ind w:left="6043" w:hanging="428"/>
      </w:pPr>
      <w:rPr>
        <w:rFonts w:hint="default"/>
        <w:lang w:val="az" w:eastAsia="en-US" w:bidi="ar-SA"/>
      </w:rPr>
    </w:lvl>
    <w:lvl w:ilvl="7" w:tplc="FFFFFFFF">
      <w:numFmt w:val="bullet"/>
      <w:lvlText w:val="•"/>
      <w:lvlJc w:val="left"/>
      <w:pPr>
        <w:ind w:left="7024" w:hanging="428"/>
      </w:pPr>
      <w:rPr>
        <w:rFonts w:hint="default"/>
        <w:lang w:val="az" w:eastAsia="en-US" w:bidi="ar-SA"/>
      </w:rPr>
    </w:lvl>
    <w:lvl w:ilvl="8" w:tplc="FFFFFFFF">
      <w:numFmt w:val="bullet"/>
      <w:lvlText w:val="•"/>
      <w:lvlJc w:val="left"/>
      <w:pPr>
        <w:ind w:left="8005" w:hanging="428"/>
      </w:pPr>
      <w:rPr>
        <w:rFonts w:hint="default"/>
        <w:lang w:val="az" w:eastAsia="en-US" w:bidi="ar-SA"/>
      </w:rPr>
    </w:lvl>
  </w:abstractNum>
  <w:abstractNum w:abstractNumId="1" w15:restartNumberingAfterBreak="0">
    <w:nsid w:val="0ADD5F5A"/>
    <w:multiLevelType w:val="hybridMultilevel"/>
    <w:tmpl w:val="655843E8"/>
    <w:lvl w:ilvl="0" w:tplc="FFFFFFFF">
      <w:start w:val="1"/>
      <w:numFmt w:val="decimal"/>
      <w:lvlText w:val="%1."/>
      <w:lvlJc w:val="left"/>
      <w:pPr>
        <w:ind w:left="162" w:hanging="428"/>
      </w:pPr>
      <w:rPr>
        <w:rFonts w:ascii="Times New Roman" w:eastAsia="Times New Roman" w:hAnsi="Times New Roman" w:cs="Times New Roman" w:hint="default"/>
        <w:b w:val="0"/>
        <w:bCs w:val="0"/>
        <w:i w:val="0"/>
        <w:iCs w:val="0"/>
        <w:spacing w:val="0"/>
        <w:w w:val="100"/>
        <w:sz w:val="28"/>
        <w:szCs w:val="28"/>
        <w:lang w:val="az" w:eastAsia="en-US" w:bidi="ar-SA"/>
      </w:rPr>
    </w:lvl>
    <w:lvl w:ilvl="1" w:tplc="FFFFFFFF">
      <w:numFmt w:val="bullet"/>
      <w:lvlText w:val="•"/>
      <w:lvlJc w:val="left"/>
      <w:pPr>
        <w:ind w:left="1140" w:hanging="428"/>
      </w:pPr>
      <w:rPr>
        <w:rFonts w:hint="default"/>
        <w:lang w:val="az" w:eastAsia="en-US" w:bidi="ar-SA"/>
      </w:rPr>
    </w:lvl>
    <w:lvl w:ilvl="2" w:tplc="FFFFFFFF">
      <w:numFmt w:val="bullet"/>
      <w:lvlText w:val="•"/>
      <w:lvlJc w:val="left"/>
      <w:pPr>
        <w:ind w:left="2121" w:hanging="428"/>
      </w:pPr>
      <w:rPr>
        <w:rFonts w:hint="default"/>
        <w:lang w:val="az" w:eastAsia="en-US" w:bidi="ar-SA"/>
      </w:rPr>
    </w:lvl>
    <w:lvl w:ilvl="3" w:tplc="FFFFFFFF">
      <w:numFmt w:val="bullet"/>
      <w:lvlText w:val="•"/>
      <w:lvlJc w:val="left"/>
      <w:pPr>
        <w:ind w:left="3101" w:hanging="428"/>
      </w:pPr>
      <w:rPr>
        <w:rFonts w:hint="default"/>
        <w:lang w:val="az" w:eastAsia="en-US" w:bidi="ar-SA"/>
      </w:rPr>
    </w:lvl>
    <w:lvl w:ilvl="4" w:tplc="FFFFFFFF">
      <w:numFmt w:val="bullet"/>
      <w:lvlText w:val="•"/>
      <w:lvlJc w:val="left"/>
      <w:pPr>
        <w:ind w:left="4082" w:hanging="428"/>
      </w:pPr>
      <w:rPr>
        <w:rFonts w:hint="default"/>
        <w:lang w:val="az" w:eastAsia="en-US" w:bidi="ar-SA"/>
      </w:rPr>
    </w:lvl>
    <w:lvl w:ilvl="5" w:tplc="FFFFFFFF">
      <w:numFmt w:val="bullet"/>
      <w:lvlText w:val="•"/>
      <w:lvlJc w:val="left"/>
      <w:pPr>
        <w:ind w:left="5063" w:hanging="428"/>
      </w:pPr>
      <w:rPr>
        <w:rFonts w:hint="default"/>
        <w:lang w:val="az" w:eastAsia="en-US" w:bidi="ar-SA"/>
      </w:rPr>
    </w:lvl>
    <w:lvl w:ilvl="6" w:tplc="FFFFFFFF">
      <w:numFmt w:val="bullet"/>
      <w:lvlText w:val="•"/>
      <w:lvlJc w:val="left"/>
      <w:pPr>
        <w:ind w:left="6043" w:hanging="428"/>
      </w:pPr>
      <w:rPr>
        <w:rFonts w:hint="default"/>
        <w:lang w:val="az" w:eastAsia="en-US" w:bidi="ar-SA"/>
      </w:rPr>
    </w:lvl>
    <w:lvl w:ilvl="7" w:tplc="FFFFFFFF">
      <w:numFmt w:val="bullet"/>
      <w:lvlText w:val="•"/>
      <w:lvlJc w:val="left"/>
      <w:pPr>
        <w:ind w:left="7024" w:hanging="428"/>
      </w:pPr>
      <w:rPr>
        <w:rFonts w:hint="default"/>
        <w:lang w:val="az" w:eastAsia="en-US" w:bidi="ar-SA"/>
      </w:rPr>
    </w:lvl>
    <w:lvl w:ilvl="8" w:tplc="FFFFFFFF">
      <w:numFmt w:val="bullet"/>
      <w:lvlText w:val="•"/>
      <w:lvlJc w:val="left"/>
      <w:pPr>
        <w:ind w:left="8005" w:hanging="428"/>
      </w:pPr>
      <w:rPr>
        <w:rFonts w:hint="default"/>
        <w:lang w:val="az" w:eastAsia="en-US" w:bidi="ar-SA"/>
      </w:rPr>
    </w:lvl>
  </w:abstractNum>
  <w:abstractNum w:abstractNumId="2" w15:restartNumberingAfterBreak="0">
    <w:nsid w:val="111A4D4C"/>
    <w:multiLevelType w:val="hybridMultilevel"/>
    <w:tmpl w:val="655843E8"/>
    <w:lvl w:ilvl="0" w:tplc="FFFFFFFF">
      <w:start w:val="1"/>
      <w:numFmt w:val="decimal"/>
      <w:lvlText w:val="%1."/>
      <w:lvlJc w:val="left"/>
      <w:pPr>
        <w:ind w:left="162" w:hanging="428"/>
      </w:pPr>
      <w:rPr>
        <w:rFonts w:ascii="Times New Roman" w:eastAsia="Times New Roman" w:hAnsi="Times New Roman" w:cs="Times New Roman" w:hint="default"/>
        <w:b w:val="0"/>
        <w:bCs w:val="0"/>
        <w:i w:val="0"/>
        <w:iCs w:val="0"/>
        <w:spacing w:val="0"/>
        <w:w w:val="100"/>
        <w:sz w:val="28"/>
        <w:szCs w:val="28"/>
        <w:lang w:val="az" w:eastAsia="en-US" w:bidi="ar-SA"/>
      </w:rPr>
    </w:lvl>
    <w:lvl w:ilvl="1" w:tplc="FFFFFFFF">
      <w:numFmt w:val="bullet"/>
      <w:lvlText w:val="•"/>
      <w:lvlJc w:val="left"/>
      <w:pPr>
        <w:ind w:left="1140" w:hanging="428"/>
      </w:pPr>
      <w:rPr>
        <w:rFonts w:hint="default"/>
        <w:lang w:val="az" w:eastAsia="en-US" w:bidi="ar-SA"/>
      </w:rPr>
    </w:lvl>
    <w:lvl w:ilvl="2" w:tplc="FFFFFFFF">
      <w:numFmt w:val="bullet"/>
      <w:lvlText w:val="•"/>
      <w:lvlJc w:val="left"/>
      <w:pPr>
        <w:ind w:left="2121" w:hanging="428"/>
      </w:pPr>
      <w:rPr>
        <w:rFonts w:hint="default"/>
        <w:lang w:val="az" w:eastAsia="en-US" w:bidi="ar-SA"/>
      </w:rPr>
    </w:lvl>
    <w:lvl w:ilvl="3" w:tplc="FFFFFFFF">
      <w:numFmt w:val="bullet"/>
      <w:lvlText w:val="•"/>
      <w:lvlJc w:val="left"/>
      <w:pPr>
        <w:ind w:left="3101" w:hanging="428"/>
      </w:pPr>
      <w:rPr>
        <w:rFonts w:hint="default"/>
        <w:lang w:val="az" w:eastAsia="en-US" w:bidi="ar-SA"/>
      </w:rPr>
    </w:lvl>
    <w:lvl w:ilvl="4" w:tplc="FFFFFFFF">
      <w:numFmt w:val="bullet"/>
      <w:lvlText w:val="•"/>
      <w:lvlJc w:val="left"/>
      <w:pPr>
        <w:ind w:left="4082" w:hanging="428"/>
      </w:pPr>
      <w:rPr>
        <w:rFonts w:hint="default"/>
        <w:lang w:val="az" w:eastAsia="en-US" w:bidi="ar-SA"/>
      </w:rPr>
    </w:lvl>
    <w:lvl w:ilvl="5" w:tplc="FFFFFFFF">
      <w:numFmt w:val="bullet"/>
      <w:lvlText w:val="•"/>
      <w:lvlJc w:val="left"/>
      <w:pPr>
        <w:ind w:left="5063" w:hanging="428"/>
      </w:pPr>
      <w:rPr>
        <w:rFonts w:hint="default"/>
        <w:lang w:val="az" w:eastAsia="en-US" w:bidi="ar-SA"/>
      </w:rPr>
    </w:lvl>
    <w:lvl w:ilvl="6" w:tplc="FFFFFFFF">
      <w:numFmt w:val="bullet"/>
      <w:lvlText w:val="•"/>
      <w:lvlJc w:val="left"/>
      <w:pPr>
        <w:ind w:left="6043" w:hanging="428"/>
      </w:pPr>
      <w:rPr>
        <w:rFonts w:hint="default"/>
        <w:lang w:val="az" w:eastAsia="en-US" w:bidi="ar-SA"/>
      </w:rPr>
    </w:lvl>
    <w:lvl w:ilvl="7" w:tplc="FFFFFFFF">
      <w:numFmt w:val="bullet"/>
      <w:lvlText w:val="•"/>
      <w:lvlJc w:val="left"/>
      <w:pPr>
        <w:ind w:left="7024" w:hanging="428"/>
      </w:pPr>
      <w:rPr>
        <w:rFonts w:hint="default"/>
        <w:lang w:val="az" w:eastAsia="en-US" w:bidi="ar-SA"/>
      </w:rPr>
    </w:lvl>
    <w:lvl w:ilvl="8" w:tplc="FFFFFFFF">
      <w:numFmt w:val="bullet"/>
      <w:lvlText w:val="•"/>
      <w:lvlJc w:val="left"/>
      <w:pPr>
        <w:ind w:left="8005" w:hanging="428"/>
      </w:pPr>
      <w:rPr>
        <w:rFonts w:hint="default"/>
        <w:lang w:val="az" w:eastAsia="en-US" w:bidi="ar-SA"/>
      </w:rPr>
    </w:lvl>
  </w:abstractNum>
  <w:abstractNum w:abstractNumId="3" w15:restartNumberingAfterBreak="0">
    <w:nsid w:val="1C05126F"/>
    <w:multiLevelType w:val="hybridMultilevel"/>
    <w:tmpl w:val="655843E8"/>
    <w:lvl w:ilvl="0" w:tplc="FFFFFFFF">
      <w:start w:val="1"/>
      <w:numFmt w:val="decimal"/>
      <w:lvlText w:val="%1."/>
      <w:lvlJc w:val="left"/>
      <w:pPr>
        <w:ind w:left="162" w:hanging="428"/>
      </w:pPr>
      <w:rPr>
        <w:rFonts w:ascii="Times New Roman" w:eastAsia="Times New Roman" w:hAnsi="Times New Roman" w:cs="Times New Roman" w:hint="default"/>
        <w:b w:val="0"/>
        <w:bCs w:val="0"/>
        <w:i w:val="0"/>
        <w:iCs w:val="0"/>
        <w:spacing w:val="0"/>
        <w:w w:val="100"/>
        <w:sz w:val="28"/>
        <w:szCs w:val="28"/>
        <w:lang w:val="az" w:eastAsia="en-US" w:bidi="ar-SA"/>
      </w:rPr>
    </w:lvl>
    <w:lvl w:ilvl="1" w:tplc="FFFFFFFF">
      <w:numFmt w:val="bullet"/>
      <w:lvlText w:val="•"/>
      <w:lvlJc w:val="left"/>
      <w:pPr>
        <w:ind w:left="1140" w:hanging="428"/>
      </w:pPr>
      <w:rPr>
        <w:rFonts w:hint="default"/>
        <w:lang w:val="az" w:eastAsia="en-US" w:bidi="ar-SA"/>
      </w:rPr>
    </w:lvl>
    <w:lvl w:ilvl="2" w:tplc="FFFFFFFF">
      <w:numFmt w:val="bullet"/>
      <w:lvlText w:val="•"/>
      <w:lvlJc w:val="left"/>
      <w:pPr>
        <w:ind w:left="2121" w:hanging="428"/>
      </w:pPr>
      <w:rPr>
        <w:rFonts w:hint="default"/>
        <w:lang w:val="az" w:eastAsia="en-US" w:bidi="ar-SA"/>
      </w:rPr>
    </w:lvl>
    <w:lvl w:ilvl="3" w:tplc="FFFFFFFF">
      <w:numFmt w:val="bullet"/>
      <w:lvlText w:val="•"/>
      <w:lvlJc w:val="left"/>
      <w:pPr>
        <w:ind w:left="3101" w:hanging="428"/>
      </w:pPr>
      <w:rPr>
        <w:rFonts w:hint="default"/>
        <w:lang w:val="az" w:eastAsia="en-US" w:bidi="ar-SA"/>
      </w:rPr>
    </w:lvl>
    <w:lvl w:ilvl="4" w:tplc="FFFFFFFF">
      <w:numFmt w:val="bullet"/>
      <w:lvlText w:val="•"/>
      <w:lvlJc w:val="left"/>
      <w:pPr>
        <w:ind w:left="4082" w:hanging="428"/>
      </w:pPr>
      <w:rPr>
        <w:rFonts w:hint="default"/>
        <w:lang w:val="az" w:eastAsia="en-US" w:bidi="ar-SA"/>
      </w:rPr>
    </w:lvl>
    <w:lvl w:ilvl="5" w:tplc="FFFFFFFF">
      <w:numFmt w:val="bullet"/>
      <w:lvlText w:val="•"/>
      <w:lvlJc w:val="left"/>
      <w:pPr>
        <w:ind w:left="5063" w:hanging="428"/>
      </w:pPr>
      <w:rPr>
        <w:rFonts w:hint="default"/>
        <w:lang w:val="az" w:eastAsia="en-US" w:bidi="ar-SA"/>
      </w:rPr>
    </w:lvl>
    <w:lvl w:ilvl="6" w:tplc="FFFFFFFF">
      <w:numFmt w:val="bullet"/>
      <w:lvlText w:val="•"/>
      <w:lvlJc w:val="left"/>
      <w:pPr>
        <w:ind w:left="6043" w:hanging="428"/>
      </w:pPr>
      <w:rPr>
        <w:rFonts w:hint="default"/>
        <w:lang w:val="az" w:eastAsia="en-US" w:bidi="ar-SA"/>
      </w:rPr>
    </w:lvl>
    <w:lvl w:ilvl="7" w:tplc="FFFFFFFF">
      <w:numFmt w:val="bullet"/>
      <w:lvlText w:val="•"/>
      <w:lvlJc w:val="left"/>
      <w:pPr>
        <w:ind w:left="7024" w:hanging="428"/>
      </w:pPr>
      <w:rPr>
        <w:rFonts w:hint="default"/>
        <w:lang w:val="az" w:eastAsia="en-US" w:bidi="ar-SA"/>
      </w:rPr>
    </w:lvl>
    <w:lvl w:ilvl="8" w:tplc="FFFFFFFF">
      <w:numFmt w:val="bullet"/>
      <w:lvlText w:val="•"/>
      <w:lvlJc w:val="left"/>
      <w:pPr>
        <w:ind w:left="8005" w:hanging="428"/>
      </w:pPr>
      <w:rPr>
        <w:rFonts w:hint="default"/>
        <w:lang w:val="az" w:eastAsia="en-US" w:bidi="ar-SA"/>
      </w:rPr>
    </w:lvl>
  </w:abstractNum>
  <w:abstractNum w:abstractNumId="4" w15:restartNumberingAfterBreak="0">
    <w:nsid w:val="1ED876FF"/>
    <w:multiLevelType w:val="hybridMultilevel"/>
    <w:tmpl w:val="655843E8"/>
    <w:lvl w:ilvl="0" w:tplc="FFFFFFFF">
      <w:start w:val="1"/>
      <w:numFmt w:val="decimal"/>
      <w:lvlText w:val="%1."/>
      <w:lvlJc w:val="left"/>
      <w:pPr>
        <w:ind w:left="162" w:hanging="428"/>
      </w:pPr>
      <w:rPr>
        <w:rFonts w:ascii="Times New Roman" w:eastAsia="Times New Roman" w:hAnsi="Times New Roman" w:cs="Times New Roman" w:hint="default"/>
        <w:b w:val="0"/>
        <w:bCs w:val="0"/>
        <w:i w:val="0"/>
        <w:iCs w:val="0"/>
        <w:spacing w:val="0"/>
        <w:w w:val="100"/>
        <w:sz w:val="28"/>
        <w:szCs w:val="28"/>
        <w:lang w:val="az" w:eastAsia="en-US" w:bidi="ar-SA"/>
      </w:rPr>
    </w:lvl>
    <w:lvl w:ilvl="1" w:tplc="FFFFFFFF">
      <w:numFmt w:val="bullet"/>
      <w:lvlText w:val="•"/>
      <w:lvlJc w:val="left"/>
      <w:pPr>
        <w:ind w:left="1140" w:hanging="428"/>
      </w:pPr>
      <w:rPr>
        <w:rFonts w:hint="default"/>
        <w:lang w:val="az" w:eastAsia="en-US" w:bidi="ar-SA"/>
      </w:rPr>
    </w:lvl>
    <w:lvl w:ilvl="2" w:tplc="FFFFFFFF">
      <w:numFmt w:val="bullet"/>
      <w:lvlText w:val="•"/>
      <w:lvlJc w:val="left"/>
      <w:pPr>
        <w:ind w:left="2121" w:hanging="428"/>
      </w:pPr>
      <w:rPr>
        <w:rFonts w:hint="default"/>
        <w:lang w:val="az" w:eastAsia="en-US" w:bidi="ar-SA"/>
      </w:rPr>
    </w:lvl>
    <w:lvl w:ilvl="3" w:tplc="FFFFFFFF">
      <w:numFmt w:val="bullet"/>
      <w:lvlText w:val="•"/>
      <w:lvlJc w:val="left"/>
      <w:pPr>
        <w:ind w:left="3101" w:hanging="428"/>
      </w:pPr>
      <w:rPr>
        <w:rFonts w:hint="default"/>
        <w:lang w:val="az" w:eastAsia="en-US" w:bidi="ar-SA"/>
      </w:rPr>
    </w:lvl>
    <w:lvl w:ilvl="4" w:tplc="FFFFFFFF">
      <w:numFmt w:val="bullet"/>
      <w:lvlText w:val="•"/>
      <w:lvlJc w:val="left"/>
      <w:pPr>
        <w:ind w:left="4082" w:hanging="428"/>
      </w:pPr>
      <w:rPr>
        <w:rFonts w:hint="default"/>
        <w:lang w:val="az" w:eastAsia="en-US" w:bidi="ar-SA"/>
      </w:rPr>
    </w:lvl>
    <w:lvl w:ilvl="5" w:tplc="FFFFFFFF">
      <w:numFmt w:val="bullet"/>
      <w:lvlText w:val="•"/>
      <w:lvlJc w:val="left"/>
      <w:pPr>
        <w:ind w:left="5063" w:hanging="428"/>
      </w:pPr>
      <w:rPr>
        <w:rFonts w:hint="default"/>
        <w:lang w:val="az" w:eastAsia="en-US" w:bidi="ar-SA"/>
      </w:rPr>
    </w:lvl>
    <w:lvl w:ilvl="6" w:tplc="FFFFFFFF">
      <w:numFmt w:val="bullet"/>
      <w:lvlText w:val="•"/>
      <w:lvlJc w:val="left"/>
      <w:pPr>
        <w:ind w:left="6043" w:hanging="428"/>
      </w:pPr>
      <w:rPr>
        <w:rFonts w:hint="default"/>
        <w:lang w:val="az" w:eastAsia="en-US" w:bidi="ar-SA"/>
      </w:rPr>
    </w:lvl>
    <w:lvl w:ilvl="7" w:tplc="FFFFFFFF">
      <w:numFmt w:val="bullet"/>
      <w:lvlText w:val="•"/>
      <w:lvlJc w:val="left"/>
      <w:pPr>
        <w:ind w:left="7024" w:hanging="428"/>
      </w:pPr>
      <w:rPr>
        <w:rFonts w:hint="default"/>
        <w:lang w:val="az" w:eastAsia="en-US" w:bidi="ar-SA"/>
      </w:rPr>
    </w:lvl>
    <w:lvl w:ilvl="8" w:tplc="FFFFFFFF">
      <w:numFmt w:val="bullet"/>
      <w:lvlText w:val="•"/>
      <w:lvlJc w:val="left"/>
      <w:pPr>
        <w:ind w:left="8005" w:hanging="428"/>
      </w:pPr>
      <w:rPr>
        <w:rFonts w:hint="default"/>
        <w:lang w:val="az" w:eastAsia="en-US" w:bidi="ar-SA"/>
      </w:rPr>
    </w:lvl>
  </w:abstractNum>
  <w:abstractNum w:abstractNumId="5" w15:restartNumberingAfterBreak="0">
    <w:nsid w:val="287E2CC5"/>
    <w:multiLevelType w:val="hybridMultilevel"/>
    <w:tmpl w:val="655843E8"/>
    <w:lvl w:ilvl="0" w:tplc="FFFFFFFF">
      <w:start w:val="1"/>
      <w:numFmt w:val="decimal"/>
      <w:lvlText w:val="%1."/>
      <w:lvlJc w:val="left"/>
      <w:pPr>
        <w:ind w:left="162" w:hanging="428"/>
      </w:pPr>
      <w:rPr>
        <w:rFonts w:ascii="Times New Roman" w:eastAsia="Times New Roman" w:hAnsi="Times New Roman" w:cs="Times New Roman" w:hint="default"/>
        <w:b w:val="0"/>
        <w:bCs w:val="0"/>
        <w:i w:val="0"/>
        <w:iCs w:val="0"/>
        <w:spacing w:val="0"/>
        <w:w w:val="100"/>
        <w:sz w:val="28"/>
        <w:szCs w:val="28"/>
        <w:lang w:val="az" w:eastAsia="en-US" w:bidi="ar-SA"/>
      </w:rPr>
    </w:lvl>
    <w:lvl w:ilvl="1" w:tplc="FFFFFFFF">
      <w:numFmt w:val="bullet"/>
      <w:lvlText w:val="•"/>
      <w:lvlJc w:val="left"/>
      <w:pPr>
        <w:ind w:left="1140" w:hanging="428"/>
      </w:pPr>
      <w:rPr>
        <w:rFonts w:hint="default"/>
        <w:lang w:val="az" w:eastAsia="en-US" w:bidi="ar-SA"/>
      </w:rPr>
    </w:lvl>
    <w:lvl w:ilvl="2" w:tplc="FFFFFFFF">
      <w:numFmt w:val="bullet"/>
      <w:lvlText w:val="•"/>
      <w:lvlJc w:val="left"/>
      <w:pPr>
        <w:ind w:left="2121" w:hanging="428"/>
      </w:pPr>
      <w:rPr>
        <w:rFonts w:hint="default"/>
        <w:lang w:val="az" w:eastAsia="en-US" w:bidi="ar-SA"/>
      </w:rPr>
    </w:lvl>
    <w:lvl w:ilvl="3" w:tplc="FFFFFFFF">
      <w:numFmt w:val="bullet"/>
      <w:lvlText w:val="•"/>
      <w:lvlJc w:val="left"/>
      <w:pPr>
        <w:ind w:left="3101" w:hanging="428"/>
      </w:pPr>
      <w:rPr>
        <w:rFonts w:hint="default"/>
        <w:lang w:val="az" w:eastAsia="en-US" w:bidi="ar-SA"/>
      </w:rPr>
    </w:lvl>
    <w:lvl w:ilvl="4" w:tplc="FFFFFFFF">
      <w:numFmt w:val="bullet"/>
      <w:lvlText w:val="•"/>
      <w:lvlJc w:val="left"/>
      <w:pPr>
        <w:ind w:left="4082" w:hanging="428"/>
      </w:pPr>
      <w:rPr>
        <w:rFonts w:hint="default"/>
        <w:lang w:val="az" w:eastAsia="en-US" w:bidi="ar-SA"/>
      </w:rPr>
    </w:lvl>
    <w:lvl w:ilvl="5" w:tplc="FFFFFFFF">
      <w:numFmt w:val="bullet"/>
      <w:lvlText w:val="•"/>
      <w:lvlJc w:val="left"/>
      <w:pPr>
        <w:ind w:left="5063" w:hanging="428"/>
      </w:pPr>
      <w:rPr>
        <w:rFonts w:hint="default"/>
        <w:lang w:val="az" w:eastAsia="en-US" w:bidi="ar-SA"/>
      </w:rPr>
    </w:lvl>
    <w:lvl w:ilvl="6" w:tplc="FFFFFFFF">
      <w:numFmt w:val="bullet"/>
      <w:lvlText w:val="•"/>
      <w:lvlJc w:val="left"/>
      <w:pPr>
        <w:ind w:left="6043" w:hanging="428"/>
      </w:pPr>
      <w:rPr>
        <w:rFonts w:hint="default"/>
        <w:lang w:val="az" w:eastAsia="en-US" w:bidi="ar-SA"/>
      </w:rPr>
    </w:lvl>
    <w:lvl w:ilvl="7" w:tplc="FFFFFFFF">
      <w:numFmt w:val="bullet"/>
      <w:lvlText w:val="•"/>
      <w:lvlJc w:val="left"/>
      <w:pPr>
        <w:ind w:left="7024" w:hanging="428"/>
      </w:pPr>
      <w:rPr>
        <w:rFonts w:hint="default"/>
        <w:lang w:val="az" w:eastAsia="en-US" w:bidi="ar-SA"/>
      </w:rPr>
    </w:lvl>
    <w:lvl w:ilvl="8" w:tplc="FFFFFFFF">
      <w:numFmt w:val="bullet"/>
      <w:lvlText w:val="•"/>
      <w:lvlJc w:val="left"/>
      <w:pPr>
        <w:ind w:left="8005" w:hanging="428"/>
      </w:pPr>
      <w:rPr>
        <w:rFonts w:hint="default"/>
        <w:lang w:val="az" w:eastAsia="en-US" w:bidi="ar-SA"/>
      </w:rPr>
    </w:lvl>
  </w:abstractNum>
  <w:abstractNum w:abstractNumId="6" w15:restartNumberingAfterBreak="0">
    <w:nsid w:val="2AFC41CB"/>
    <w:multiLevelType w:val="hybridMultilevel"/>
    <w:tmpl w:val="655843E8"/>
    <w:lvl w:ilvl="0" w:tplc="FFFFFFFF">
      <w:start w:val="1"/>
      <w:numFmt w:val="decimal"/>
      <w:lvlText w:val="%1."/>
      <w:lvlJc w:val="left"/>
      <w:pPr>
        <w:ind w:left="162" w:hanging="428"/>
      </w:pPr>
      <w:rPr>
        <w:rFonts w:ascii="Times New Roman" w:eastAsia="Times New Roman" w:hAnsi="Times New Roman" w:cs="Times New Roman" w:hint="default"/>
        <w:b w:val="0"/>
        <w:bCs w:val="0"/>
        <w:i w:val="0"/>
        <w:iCs w:val="0"/>
        <w:spacing w:val="0"/>
        <w:w w:val="100"/>
        <w:sz w:val="28"/>
        <w:szCs w:val="28"/>
        <w:lang w:val="az" w:eastAsia="en-US" w:bidi="ar-SA"/>
      </w:rPr>
    </w:lvl>
    <w:lvl w:ilvl="1" w:tplc="FFFFFFFF">
      <w:numFmt w:val="bullet"/>
      <w:lvlText w:val="•"/>
      <w:lvlJc w:val="left"/>
      <w:pPr>
        <w:ind w:left="1140" w:hanging="428"/>
      </w:pPr>
      <w:rPr>
        <w:rFonts w:hint="default"/>
        <w:lang w:val="az" w:eastAsia="en-US" w:bidi="ar-SA"/>
      </w:rPr>
    </w:lvl>
    <w:lvl w:ilvl="2" w:tplc="FFFFFFFF">
      <w:numFmt w:val="bullet"/>
      <w:lvlText w:val="•"/>
      <w:lvlJc w:val="left"/>
      <w:pPr>
        <w:ind w:left="2121" w:hanging="428"/>
      </w:pPr>
      <w:rPr>
        <w:rFonts w:hint="default"/>
        <w:lang w:val="az" w:eastAsia="en-US" w:bidi="ar-SA"/>
      </w:rPr>
    </w:lvl>
    <w:lvl w:ilvl="3" w:tplc="FFFFFFFF">
      <w:numFmt w:val="bullet"/>
      <w:lvlText w:val="•"/>
      <w:lvlJc w:val="left"/>
      <w:pPr>
        <w:ind w:left="3101" w:hanging="428"/>
      </w:pPr>
      <w:rPr>
        <w:rFonts w:hint="default"/>
        <w:lang w:val="az" w:eastAsia="en-US" w:bidi="ar-SA"/>
      </w:rPr>
    </w:lvl>
    <w:lvl w:ilvl="4" w:tplc="FFFFFFFF">
      <w:numFmt w:val="bullet"/>
      <w:lvlText w:val="•"/>
      <w:lvlJc w:val="left"/>
      <w:pPr>
        <w:ind w:left="4082" w:hanging="428"/>
      </w:pPr>
      <w:rPr>
        <w:rFonts w:hint="default"/>
        <w:lang w:val="az" w:eastAsia="en-US" w:bidi="ar-SA"/>
      </w:rPr>
    </w:lvl>
    <w:lvl w:ilvl="5" w:tplc="FFFFFFFF">
      <w:numFmt w:val="bullet"/>
      <w:lvlText w:val="•"/>
      <w:lvlJc w:val="left"/>
      <w:pPr>
        <w:ind w:left="5063" w:hanging="428"/>
      </w:pPr>
      <w:rPr>
        <w:rFonts w:hint="default"/>
        <w:lang w:val="az" w:eastAsia="en-US" w:bidi="ar-SA"/>
      </w:rPr>
    </w:lvl>
    <w:lvl w:ilvl="6" w:tplc="FFFFFFFF">
      <w:numFmt w:val="bullet"/>
      <w:lvlText w:val="•"/>
      <w:lvlJc w:val="left"/>
      <w:pPr>
        <w:ind w:left="6043" w:hanging="428"/>
      </w:pPr>
      <w:rPr>
        <w:rFonts w:hint="default"/>
        <w:lang w:val="az" w:eastAsia="en-US" w:bidi="ar-SA"/>
      </w:rPr>
    </w:lvl>
    <w:lvl w:ilvl="7" w:tplc="FFFFFFFF">
      <w:numFmt w:val="bullet"/>
      <w:lvlText w:val="•"/>
      <w:lvlJc w:val="left"/>
      <w:pPr>
        <w:ind w:left="7024" w:hanging="428"/>
      </w:pPr>
      <w:rPr>
        <w:rFonts w:hint="default"/>
        <w:lang w:val="az" w:eastAsia="en-US" w:bidi="ar-SA"/>
      </w:rPr>
    </w:lvl>
    <w:lvl w:ilvl="8" w:tplc="FFFFFFFF">
      <w:numFmt w:val="bullet"/>
      <w:lvlText w:val="•"/>
      <w:lvlJc w:val="left"/>
      <w:pPr>
        <w:ind w:left="8005" w:hanging="428"/>
      </w:pPr>
      <w:rPr>
        <w:rFonts w:hint="default"/>
        <w:lang w:val="az" w:eastAsia="en-US" w:bidi="ar-SA"/>
      </w:rPr>
    </w:lvl>
  </w:abstractNum>
  <w:abstractNum w:abstractNumId="7" w15:restartNumberingAfterBreak="0">
    <w:nsid w:val="3187558F"/>
    <w:multiLevelType w:val="hybridMultilevel"/>
    <w:tmpl w:val="655843E8"/>
    <w:lvl w:ilvl="0" w:tplc="FFFFFFFF">
      <w:start w:val="1"/>
      <w:numFmt w:val="decimal"/>
      <w:lvlText w:val="%1."/>
      <w:lvlJc w:val="left"/>
      <w:pPr>
        <w:ind w:left="162" w:hanging="428"/>
      </w:pPr>
      <w:rPr>
        <w:rFonts w:ascii="Times New Roman" w:eastAsia="Times New Roman" w:hAnsi="Times New Roman" w:cs="Times New Roman" w:hint="default"/>
        <w:b w:val="0"/>
        <w:bCs w:val="0"/>
        <w:i w:val="0"/>
        <w:iCs w:val="0"/>
        <w:spacing w:val="0"/>
        <w:w w:val="100"/>
        <w:sz w:val="28"/>
        <w:szCs w:val="28"/>
        <w:lang w:val="az" w:eastAsia="en-US" w:bidi="ar-SA"/>
      </w:rPr>
    </w:lvl>
    <w:lvl w:ilvl="1" w:tplc="FFFFFFFF">
      <w:numFmt w:val="bullet"/>
      <w:lvlText w:val="•"/>
      <w:lvlJc w:val="left"/>
      <w:pPr>
        <w:ind w:left="1140" w:hanging="428"/>
      </w:pPr>
      <w:rPr>
        <w:rFonts w:hint="default"/>
        <w:lang w:val="az" w:eastAsia="en-US" w:bidi="ar-SA"/>
      </w:rPr>
    </w:lvl>
    <w:lvl w:ilvl="2" w:tplc="FFFFFFFF">
      <w:numFmt w:val="bullet"/>
      <w:lvlText w:val="•"/>
      <w:lvlJc w:val="left"/>
      <w:pPr>
        <w:ind w:left="2121" w:hanging="428"/>
      </w:pPr>
      <w:rPr>
        <w:rFonts w:hint="default"/>
        <w:lang w:val="az" w:eastAsia="en-US" w:bidi="ar-SA"/>
      </w:rPr>
    </w:lvl>
    <w:lvl w:ilvl="3" w:tplc="FFFFFFFF">
      <w:numFmt w:val="bullet"/>
      <w:lvlText w:val="•"/>
      <w:lvlJc w:val="left"/>
      <w:pPr>
        <w:ind w:left="3101" w:hanging="428"/>
      </w:pPr>
      <w:rPr>
        <w:rFonts w:hint="default"/>
        <w:lang w:val="az" w:eastAsia="en-US" w:bidi="ar-SA"/>
      </w:rPr>
    </w:lvl>
    <w:lvl w:ilvl="4" w:tplc="FFFFFFFF">
      <w:numFmt w:val="bullet"/>
      <w:lvlText w:val="•"/>
      <w:lvlJc w:val="left"/>
      <w:pPr>
        <w:ind w:left="4082" w:hanging="428"/>
      </w:pPr>
      <w:rPr>
        <w:rFonts w:hint="default"/>
        <w:lang w:val="az" w:eastAsia="en-US" w:bidi="ar-SA"/>
      </w:rPr>
    </w:lvl>
    <w:lvl w:ilvl="5" w:tplc="FFFFFFFF">
      <w:numFmt w:val="bullet"/>
      <w:lvlText w:val="•"/>
      <w:lvlJc w:val="left"/>
      <w:pPr>
        <w:ind w:left="5063" w:hanging="428"/>
      </w:pPr>
      <w:rPr>
        <w:rFonts w:hint="default"/>
        <w:lang w:val="az" w:eastAsia="en-US" w:bidi="ar-SA"/>
      </w:rPr>
    </w:lvl>
    <w:lvl w:ilvl="6" w:tplc="FFFFFFFF">
      <w:numFmt w:val="bullet"/>
      <w:lvlText w:val="•"/>
      <w:lvlJc w:val="left"/>
      <w:pPr>
        <w:ind w:left="6043" w:hanging="428"/>
      </w:pPr>
      <w:rPr>
        <w:rFonts w:hint="default"/>
        <w:lang w:val="az" w:eastAsia="en-US" w:bidi="ar-SA"/>
      </w:rPr>
    </w:lvl>
    <w:lvl w:ilvl="7" w:tplc="FFFFFFFF">
      <w:numFmt w:val="bullet"/>
      <w:lvlText w:val="•"/>
      <w:lvlJc w:val="left"/>
      <w:pPr>
        <w:ind w:left="7024" w:hanging="428"/>
      </w:pPr>
      <w:rPr>
        <w:rFonts w:hint="default"/>
        <w:lang w:val="az" w:eastAsia="en-US" w:bidi="ar-SA"/>
      </w:rPr>
    </w:lvl>
    <w:lvl w:ilvl="8" w:tplc="FFFFFFFF">
      <w:numFmt w:val="bullet"/>
      <w:lvlText w:val="•"/>
      <w:lvlJc w:val="left"/>
      <w:pPr>
        <w:ind w:left="8005" w:hanging="428"/>
      </w:pPr>
      <w:rPr>
        <w:rFonts w:hint="default"/>
        <w:lang w:val="az" w:eastAsia="en-US" w:bidi="ar-SA"/>
      </w:rPr>
    </w:lvl>
  </w:abstractNum>
  <w:abstractNum w:abstractNumId="8" w15:restartNumberingAfterBreak="0">
    <w:nsid w:val="33A0389B"/>
    <w:multiLevelType w:val="hybridMultilevel"/>
    <w:tmpl w:val="655843E8"/>
    <w:lvl w:ilvl="0" w:tplc="FFFFFFFF">
      <w:start w:val="1"/>
      <w:numFmt w:val="decimal"/>
      <w:lvlText w:val="%1."/>
      <w:lvlJc w:val="left"/>
      <w:pPr>
        <w:ind w:left="162" w:hanging="428"/>
      </w:pPr>
      <w:rPr>
        <w:rFonts w:ascii="Times New Roman" w:eastAsia="Times New Roman" w:hAnsi="Times New Roman" w:cs="Times New Roman" w:hint="default"/>
        <w:b w:val="0"/>
        <w:bCs w:val="0"/>
        <w:i w:val="0"/>
        <w:iCs w:val="0"/>
        <w:spacing w:val="0"/>
        <w:w w:val="100"/>
        <w:sz w:val="28"/>
        <w:szCs w:val="28"/>
        <w:lang w:val="az" w:eastAsia="en-US" w:bidi="ar-SA"/>
      </w:rPr>
    </w:lvl>
    <w:lvl w:ilvl="1" w:tplc="FFFFFFFF">
      <w:numFmt w:val="bullet"/>
      <w:lvlText w:val="•"/>
      <w:lvlJc w:val="left"/>
      <w:pPr>
        <w:ind w:left="1140" w:hanging="428"/>
      </w:pPr>
      <w:rPr>
        <w:rFonts w:hint="default"/>
        <w:lang w:val="az" w:eastAsia="en-US" w:bidi="ar-SA"/>
      </w:rPr>
    </w:lvl>
    <w:lvl w:ilvl="2" w:tplc="FFFFFFFF">
      <w:numFmt w:val="bullet"/>
      <w:lvlText w:val="•"/>
      <w:lvlJc w:val="left"/>
      <w:pPr>
        <w:ind w:left="2121" w:hanging="428"/>
      </w:pPr>
      <w:rPr>
        <w:rFonts w:hint="default"/>
        <w:lang w:val="az" w:eastAsia="en-US" w:bidi="ar-SA"/>
      </w:rPr>
    </w:lvl>
    <w:lvl w:ilvl="3" w:tplc="FFFFFFFF">
      <w:numFmt w:val="bullet"/>
      <w:lvlText w:val="•"/>
      <w:lvlJc w:val="left"/>
      <w:pPr>
        <w:ind w:left="3101" w:hanging="428"/>
      </w:pPr>
      <w:rPr>
        <w:rFonts w:hint="default"/>
        <w:lang w:val="az" w:eastAsia="en-US" w:bidi="ar-SA"/>
      </w:rPr>
    </w:lvl>
    <w:lvl w:ilvl="4" w:tplc="FFFFFFFF">
      <w:numFmt w:val="bullet"/>
      <w:lvlText w:val="•"/>
      <w:lvlJc w:val="left"/>
      <w:pPr>
        <w:ind w:left="4082" w:hanging="428"/>
      </w:pPr>
      <w:rPr>
        <w:rFonts w:hint="default"/>
        <w:lang w:val="az" w:eastAsia="en-US" w:bidi="ar-SA"/>
      </w:rPr>
    </w:lvl>
    <w:lvl w:ilvl="5" w:tplc="FFFFFFFF">
      <w:numFmt w:val="bullet"/>
      <w:lvlText w:val="•"/>
      <w:lvlJc w:val="left"/>
      <w:pPr>
        <w:ind w:left="5063" w:hanging="428"/>
      </w:pPr>
      <w:rPr>
        <w:rFonts w:hint="default"/>
        <w:lang w:val="az" w:eastAsia="en-US" w:bidi="ar-SA"/>
      </w:rPr>
    </w:lvl>
    <w:lvl w:ilvl="6" w:tplc="FFFFFFFF">
      <w:numFmt w:val="bullet"/>
      <w:lvlText w:val="•"/>
      <w:lvlJc w:val="left"/>
      <w:pPr>
        <w:ind w:left="6043" w:hanging="428"/>
      </w:pPr>
      <w:rPr>
        <w:rFonts w:hint="default"/>
        <w:lang w:val="az" w:eastAsia="en-US" w:bidi="ar-SA"/>
      </w:rPr>
    </w:lvl>
    <w:lvl w:ilvl="7" w:tplc="FFFFFFFF">
      <w:numFmt w:val="bullet"/>
      <w:lvlText w:val="•"/>
      <w:lvlJc w:val="left"/>
      <w:pPr>
        <w:ind w:left="7024" w:hanging="428"/>
      </w:pPr>
      <w:rPr>
        <w:rFonts w:hint="default"/>
        <w:lang w:val="az" w:eastAsia="en-US" w:bidi="ar-SA"/>
      </w:rPr>
    </w:lvl>
    <w:lvl w:ilvl="8" w:tplc="FFFFFFFF">
      <w:numFmt w:val="bullet"/>
      <w:lvlText w:val="•"/>
      <w:lvlJc w:val="left"/>
      <w:pPr>
        <w:ind w:left="8005" w:hanging="428"/>
      </w:pPr>
      <w:rPr>
        <w:rFonts w:hint="default"/>
        <w:lang w:val="az" w:eastAsia="en-US" w:bidi="ar-SA"/>
      </w:rPr>
    </w:lvl>
  </w:abstractNum>
  <w:abstractNum w:abstractNumId="9" w15:restartNumberingAfterBreak="0">
    <w:nsid w:val="3E7C4FC4"/>
    <w:multiLevelType w:val="hybridMultilevel"/>
    <w:tmpl w:val="BEECED5A"/>
    <w:lvl w:ilvl="0" w:tplc="36884E32">
      <w:numFmt w:val="bullet"/>
      <w:lvlText w:val=""/>
      <w:lvlJc w:val="left"/>
      <w:pPr>
        <w:ind w:left="385" w:hanging="224"/>
      </w:pPr>
      <w:rPr>
        <w:rFonts w:ascii="Symbol" w:eastAsia="Symbol" w:hAnsi="Symbol" w:cs="Symbol" w:hint="default"/>
        <w:b w:val="0"/>
        <w:bCs w:val="0"/>
        <w:i w:val="0"/>
        <w:iCs w:val="0"/>
        <w:spacing w:val="0"/>
        <w:w w:val="100"/>
        <w:sz w:val="28"/>
        <w:szCs w:val="28"/>
        <w:lang w:val="az" w:eastAsia="en-US" w:bidi="ar-SA"/>
      </w:rPr>
    </w:lvl>
    <w:lvl w:ilvl="1" w:tplc="6156A3BE">
      <w:numFmt w:val="bullet"/>
      <w:lvlText w:val="•"/>
      <w:lvlJc w:val="left"/>
      <w:pPr>
        <w:ind w:left="1338" w:hanging="224"/>
      </w:pPr>
      <w:rPr>
        <w:rFonts w:hint="default"/>
        <w:lang w:val="az" w:eastAsia="en-US" w:bidi="ar-SA"/>
      </w:rPr>
    </w:lvl>
    <w:lvl w:ilvl="2" w:tplc="21E01792">
      <w:numFmt w:val="bullet"/>
      <w:lvlText w:val="•"/>
      <w:lvlJc w:val="left"/>
      <w:pPr>
        <w:ind w:left="2297" w:hanging="224"/>
      </w:pPr>
      <w:rPr>
        <w:rFonts w:hint="default"/>
        <w:lang w:val="az" w:eastAsia="en-US" w:bidi="ar-SA"/>
      </w:rPr>
    </w:lvl>
    <w:lvl w:ilvl="3" w:tplc="81FAB5AC">
      <w:numFmt w:val="bullet"/>
      <w:lvlText w:val="•"/>
      <w:lvlJc w:val="left"/>
      <w:pPr>
        <w:ind w:left="3255" w:hanging="224"/>
      </w:pPr>
      <w:rPr>
        <w:rFonts w:hint="default"/>
        <w:lang w:val="az" w:eastAsia="en-US" w:bidi="ar-SA"/>
      </w:rPr>
    </w:lvl>
    <w:lvl w:ilvl="4" w:tplc="3D043F52">
      <w:numFmt w:val="bullet"/>
      <w:lvlText w:val="•"/>
      <w:lvlJc w:val="left"/>
      <w:pPr>
        <w:ind w:left="4214" w:hanging="224"/>
      </w:pPr>
      <w:rPr>
        <w:rFonts w:hint="default"/>
        <w:lang w:val="az" w:eastAsia="en-US" w:bidi="ar-SA"/>
      </w:rPr>
    </w:lvl>
    <w:lvl w:ilvl="5" w:tplc="978A016E">
      <w:numFmt w:val="bullet"/>
      <w:lvlText w:val="•"/>
      <w:lvlJc w:val="left"/>
      <w:pPr>
        <w:ind w:left="5173" w:hanging="224"/>
      </w:pPr>
      <w:rPr>
        <w:rFonts w:hint="default"/>
        <w:lang w:val="az" w:eastAsia="en-US" w:bidi="ar-SA"/>
      </w:rPr>
    </w:lvl>
    <w:lvl w:ilvl="6" w:tplc="49D87442">
      <w:numFmt w:val="bullet"/>
      <w:lvlText w:val="•"/>
      <w:lvlJc w:val="left"/>
      <w:pPr>
        <w:ind w:left="6131" w:hanging="224"/>
      </w:pPr>
      <w:rPr>
        <w:rFonts w:hint="default"/>
        <w:lang w:val="az" w:eastAsia="en-US" w:bidi="ar-SA"/>
      </w:rPr>
    </w:lvl>
    <w:lvl w:ilvl="7" w:tplc="8F509772">
      <w:numFmt w:val="bullet"/>
      <w:lvlText w:val="•"/>
      <w:lvlJc w:val="left"/>
      <w:pPr>
        <w:ind w:left="7090" w:hanging="224"/>
      </w:pPr>
      <w:rPr>
        <w:rFonts w:hint="default"/>
        <w:lang w:val="az" w:eastAsia="en-US" w:bidi="ar-SA"/>
      </w:rPr>
    </w:lvl>
    <w:lvl w:ilvl="8" w:tplc="7B18D646">
      <w:numFmt w:val="bullet"/>
      <w:lvlText w:val="•"/>
      <w:lvlJc w:val="left"/>
      <w:pPr>
        <w:ind w:left="8049" w:hanging="224"/>
      </w:pPr>
      <w:rPr>
        <w:rFonts w:hint="default"/>
        <w:lang w:val="az" w:eastAsia="en-US" w:bidi="ar-SA"/>
      </w:rPr>
    </w:lvl>
  </w:abstractNum>
  <w:abstractNum w:abstractNumId="10" w15:restartNumberingAfterBreak="0">
    <w:nsid w:val="411E6BA1"/>
    <w:multiLevelType w:val="hybridMultilevel"/>
    <w:tmpl w:val="655843E8"/>
    <w:lvl w:ilvl="0" w:tplc="FFFFFFFF">
      <w:start w:val="1"/>
      <w:numFmt w:val="decimal"/>
      <w:lvlText w:val="%1."/>
      <w:lvlJc w:val="left"/>
      <w:pPr>
        <w:ind w:left="162" w:hanging="428"/>
      </w:pPr>
      <w:rPr>
        <w:rFonts w:ascii="Times New Roman" w:eastAsia="Times New Roman" w:hAnsi="Times New Roman" w:cs="Times New Roman" w:hint="default"/>
        <w:b w:val="0"/>
        <w:bCs w:val="0"/>
        <w:i w:val="0"/>
        <w:iCs w:val="0"/>
        <w:spacing w:val="0"/>
        <w:w w:val="100"/>
        <w:sz w:val="28"/>
        <w:szCs w:val="28"/>
        <w:lang w:val="az" w:eastAsia="en-US" w:bidi="ar-SA"/>
      </w:rPr>
    </w:lvl>
    <w:lvl w:ilvl="1" w:tplc="FFFFFFFF">
      <w:numFmt w:val="bullet"/>
      <w:lvlText w:val="•"/>
      <w:lvlJc w:val="left"/>
      <w:pPr>
        <w:ind w:left="1140" w:hanging="428"/>
      </w:pPr>
      <w:rPr>
        <w:rFonts w:hint="default"/>
        <w:lang w:val="az" w:eastAsia="en-US" w:bidi="ar-SA"/>
      </w:rPr>
    </w:lvl>
    <w:lvl w:ilvl="2" w:tplc="FFFFFFFF">
      <w:numFmt w:val="bullet"/>
      <w:lvlText w:val="•"/>
      <w:lvlJc w:val="left"/>
      <w:pPr>
        <w:ind w:left="2121" w:hanging="428"/>
      </w:pPr>
      <w:rPr>
        <w:rFonts w:hint="default"/>
        <w:lang w:val="az" w:eastAsia="en-US" w:bidi="ar-SA"/>
      </w:rPr>
    </w:lvl>
    <w:lvl w:ilvl="3" w:tplc="FFFFFFFF">
      <w:numFmt w:val="bullet"/>
      <w:lvlText w:val="•"/>
      <w:lvlJc w:val="left"/>
      <w:pPr>
        <w:ind w:left="3101" w:hanging="428"/>
      </w:pPr>
      <w:rPr>
        <w:rFonts w:hint="default"/>
        <w:lang w:val="az" w:eastAsia="en-US" w:bidi="ar-SA"/>
      </w:rPr>
    </w:lvl>
    <w:lvl w:ilvl="4" w:tplc="FFFFFFFF">
      <w:numFmt w:val="bullet"/>
      <w:lvlText w:val="•"/>
      <w:lvlJc w:val="left"/>
      <w:pPr>
        <w:ind w:left="4082" w:hanging="428"/>
      </w:pPr>
      <w:rPr>
        <w:rFonts w:hint="default"/>
        <w:lang w:val="az" w:eastAsia="en-US" w:bidi="ar-SA"/>
      </w:rPr>
    </w:lvl>
    <w:lvl w:ilvl="5" w:tplc="FFFFFFFF">
      <w:numFmt w:val="bullet"/>
      <w:lvlText w:val="•"/>
      <w:lvlJc w:val="left"/>
      <w:pPr>
        <w:ind w:left="5063" w:hanging="428"/>
      </w:pPr>
      <w:rPr>
        <w:rFonts w:hint="default"/>
        <w:lang w:val="az" w:eastAsia="en-US" w:bidi="ar-SA"/>
      </w:rPr>
    </w:lvl>
    <w:lvl w:ilvl="6" w:tplc="FFFFFFFF">
      <w:numFmt w:val="bullet"/>
      <w:lvlText w:val="•"/>
      <w:lvlJc w:val="left"/>
      <w:pPr>
        <w:ind w:left="6043" w:hanging="428"/>
      </w:pPr>
      <w:rPr>
        <w:rFonts w:hint="default"/>
        <w:lang w:val="az" w:eastAsia="en-US" w:bidi="ar-SA"/>
      </w:rPr>
    </w:lvl>
    <w:lvl w:ilvl="7" w:tplc="FFFFFFFF">
      <w:numFmt w:val="bullet"/>
      <w:lvlText w:val="•"/>
      <w:lvlJc w:val="left"/>
      <w:pPr>
        <w:ind w:left="7024" w:hanging="428"/>
      </w:pPr>
      <w:rPr>
        <w:rFonts w:hint="default"/>
        <w:lang w:val="az" w:eastAsia="en-US" w:bidi="ar-SA"/>
      </w:rPr>
    </w:lvl>
    <w:lvl w:ilvl="8" w:tplc="FFFFFFFF">
      <w:numFmt w:val="bullet"/>
      <w:lvlText w:val="•"/>
      <w:lvlJc w:val="left"/>
      <w:pPr>
        <w:ind w:left="8005" w:hanging="428"/>
      </w:pPr>
      <w:rPr>
        <w:rFonts w:hint="default"/>
        <w:lang w:val="az" w:eastAsia="en-US" w:bidi="ar-SA"/>
      </w:rPr>
    </w:lvl>
  </w:abstractNum>
  <w:abstractNum w:abstractNumId="11" w15:restartNumberingAfterBreak="0">
    <w:nsid w:val="48163728"/>
    <w:multiLevelType w:val="hybridMultilevel"/>
    <w:tmpl w:val="5240B94E"/>
    <w:lvl w:ilvl="0" w:tplc="8804A88A">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CFD450F"/>
    <w:multiLevelType w:val="hybridMultilevel"/>
    <w:tmpl w:val="655843E8"/>
    <w:lvl w:ilvl="0" w:tplc="FFFFFFFF">
      <w:start w:val="1"/>
      <w:numFmt w:val="decimal"/>
      <w:lvlText w:val="%1."/>
      <w:lvlJc w:val="left"/>
      <w:pPr>
        <w:ind w:left="162" w:hanging="428"/>
      </w:pPr>
      <w:rPr>
        <w:rFonts w:ascii="Times New Roman" w:eastAsia="Times New Roman" w:hAnsi="Times New Roman" w:cs="Times New Roman" w:hint="default"/>
        <w:b w:val="0"/>
        <w:bCs w:val="0"/>
        <w:i w:val="0"/>
        <w:iCs w:val="0"/>
        <w:spacing w:val="0"/>
        <w:w w:val="100"/>
        <w:sz w:val="28"/>
        <w:szCs w:val="28"/>
        <w:lang w:val="az" w:eastAsia="en-US" w:bidi="ar-SA"/>
      </w:rPr>
    </w:lvl>
    <w:lvl w:ilvl="1" w:tplc="FFFFFFFF">
      <w:numFmt w:val="bullet"/>
      <w:lvlText w:val="•"/>
      <w:lvlJc w:val="left"/>
      <w:pPr>
        <w:ind w:left="1140" w:hanging="428"/>
      </w:pPr>
      <w:rPr>
        <w:rFonts w:hint="default"/>
        <w:lang w:val="az" w:eastAsia="en-US" w:bidi="ar-SA"/>
      </w:rPr>
    </w:lvl>
    <w:lvl w:ilvl="2" w:tplc="FFFFFFFF">
      <w:numFmt w:val="bullet"/>
      <w:lvlText w:val="•"/>
      <w:lvlJc w:val="left"/>
      <w:pPr>
        <w:ind w:left="2121" w:hanging="428"/>
      </w:pPr>
      <w:rPr>
        <w:rFonts w:hint="default"/>
        <w:lang w:val="az" w:eastAsia="en-US" w:bidi="ar-SA"/>
      </w:rPr>
    </w:lvl>
    <w:lvl w:ilvl="3" w:tplc="FFFFFFFF">
      <w:numFmt w:val="bullet"/>
      <w:lvlText w:val="•"/>
      <w:lvlJc w:val="left"/>
      <w:pPr>
        <w:ind w:left="3101" w:hanging="428"/>
      </w:pPr>
      <w:rPr>
        <w:rFonts w:hint="default"/>
        <w:lang w:val="az" w:eastAsia="en-US" w:bidi="ar-SA"/>
      </w:rPr>
    </w:lvl>
    <w:lvl w:ilvl="4" w:tplc="FFFFFFFF">
      <w:numFmt w:val="bullet"/>
      <w:lvlText w:val="•"/>
      <w:lvlJc w:val="left"/>
      <w:pPr>
        <w:ind w:left="4082" w:hanging="428"/>
      </w:pPr>
      <w:rPr>
        <w:rFonts w:hint="default"/>
        <w:lang w:val="az" w:eastAsia="en-US" w:bidi="ar-SA"/>
      </w:rPr>
    </w:lvl>
    <w:lvl w:ilvl="5" w:tplc="FFFFFFFF">
      <w:numFmt w:val="bullet"/>
      <w:lvlText w:val="•"/>
      <w:lvlJc w:val="left"/>
      <w:pPr>
        <w:ind w:left="5063" w:hanging="428"/>
      </w:pPr>
      <w:rPr>
        <w:rFonts w:hint="default"/>
        <w:lang w:val="az" w:eastAsia="en-US" w:bidi="ar-SA"/>
      </w:rPr>
    </w:lvl>
    <w:lvl w:ilvl="6" w:tplc="FFFFFFFF">
      <w:numFmt w:val="bullet"/>
      <w:lvlText w:val="•"/>
      <w:lvlJc w:val="left"/>
      <w:pPr>
        <w:ind w:left="6043" w:hanging="428"/>
      </w:pPr>
      <w:rPr>
        <w:rFonts w:hint="default"/>
        <w:lang w:val="az" w:eastAsia="en-US" w:bidi="ar-SA"/>
      </w:rPr>
    </w:lvl>
    <w:lvl w:ilvl="7" w:tplc="FFFFFFFF">
      <w:numFmt w:val="bullet"/>
      <w:lvlText w:val="•"/>
      <w:lvlJc w:val="left"/>
      <w:pPr>
        <w:ind w:left="7024" w:hanging="428"/>
      </w:pPr>
      <w:rPr>
        <w:rFonts w:hint="default"/>
        <w:lang w:val="az" w:eastAsia="en-US" w:bidi="ar-SA"/>
      </w:rPr>
    </w:lvl>
    <w:lvl w:ilvl="8" w:tplc="FFFFFFFF">
      <w:numFmt w:val="bullet"/>
      <w:lvlText w:val="•"/>
      <w:lvlJc w:val="left"/>
      <w:pPr>
        <w:ind w:left="8005" w:hanging="428"/>
      </w:pPr>
      <w:rPr>
        <w:rFonts w:hint="default"/>
        <w:lang w:val="az" w:eastAsia="en-US" w:bidi="ar-SA"/>
      </w:rPr>
    </w:lvl>
  </w:abstractNum>
  <w:abstractNum w:abstractNumId="13" w15:restartNumberingAfterBreak="0">
    <w:nsid w:val="57F50BF1"/>
    <w:multiLevelType w:val="hybridMultilevel"/>
    <w:tmpl w:val="A8D0BFBA"/>
    <w:lvl w:ilvl="0" w:tplc="CA2A4096">
      <w:numFmt w:val="bullet"/>
      <w:lvlText w:val="-"/>
      <w:lvlJc w:val="left"/>
      <w:pPr>
        <w:ind w:left="728" w:hanging="154"/>
      </w:pPr>
      <w:rPr>
        <w:rFonts w:ascii="Times New Roman" w:eastAsia="Times New Roman" w:hAnsi="Times New Roman" w:cs="Times New Roman" w:hint="default"/>
        <w:b w:val="0"/>
        <w:bCs w:val="0"/>
        <w:i w:val="0"/>
        <w:iCs w:val="0"/>
        <w:spacing w:val="0"/>
        <w:w w:val="100"/>
        <w:sz w:val="28"/>
        <w:szCs w:val="28"/>
        <w:lang w:val="az" w:eastAsia="en-US" w:bidi="ar-SA"/>
      </w:rPr>
    </w:lvl>
    <w:lvl w:ilvl="1" w:tplc="0658BFE8">
      <w:numFmt w:val="bullet"/>
      <w:lvlText w:val="•"/>
      <w:lvlJc w:val="left"/>
      <w:pPr>
        <w:ind w:left="1644" w:hanging="154"/>
      </w:pPr>
      <w:rPr>
        <w:rFonts w:hint="default"/>
        <w:lang w:val="az" w:eastAsia="en-US" w:bidi="ar-SA"/>
      </w:rPr>
    </w:lvl>
    <w:lvl w:ilvl="2" w:tplc="9D1CC728">
      <w:numFmt w:val="bullet"/>
      <w:lvlText w:val="•"/>
      <w:lvlJc w:val="left"/>
      <w:pPr>
        <w:ind w:left="2569" w:hanging="154"/>
      </w:pPr>
      <w:rPr>
        <w:rFonts w:hint="default"/>
        <w:lang w:val="az" w:eastAsia="en-US" w:bidi="ar-SA"/>
      </w:rPr>
    </w:lvl>
    <w:lvl w:ilvl="3" w:tplc="C8A85634">
      <w:numFmt w:val="bullet"/>
      <w:lvlText w:val="•"/>
      <w:lvlJc w:val="left"/>
      <w:pPr>
        <w:ind w:left="3493" w:hanging="154"/>
      </w:pPr>
      <w:rPr>
        <w:rFonts w:hint="default"/>
        <w:lang w:val="az" w:eastAsia="en-US" w:bidi="ar-SA"/>
      </w:rPr>
    </w:lvl>
    <w:lvl w:ilvl="4" w:tplc="8F38F48C">
      <w:numFmt w:val="bullet"/>
      <w:lvlText w:val="•"/>
      <w:lvlJc w:val="left"/>
      <w:pPr>
        <w:ind w:left="4418" w:hanging="154"/>
      </w:pPr>
      <w:rPr>
        <w:rFonts w:hint="default"/>
        <w:lang w:val="az" w:eastAsia="en-US" w:bidi="ar-SA"/>
      </w:rPr>
    </w:lvl>
    <w:lvl w:ilvl="5" w:tplc="5EDC9B06">
      <w:numFmt w:val="bullet"/>
      <w:lvlText w:val="•"/>
      <w:lvlJc w:val="left"/>
      <w:pPr>
        <w:ind w:left="5343" w:hanging="154"/>
      </w:pPr>
      <w:rPr>
        <w:rFonts w:hint="default"/>
        <w:lang w:val="az" w:eastAsia="en-US" w:bidi="ar-SA"/>
      </w:rPr>
    </w:lvl>
    <w:lvl w:ilvl="6" w:tplc="B5E47578">
      <w:numFmt w:val="bullet"/>
      <w:lvlText w:val="•"/>
      <w:lvlJc w:val="left"/>
      <w:pPr>
        <w:ind w:left="6267" w:hanging="154"/>
      </w:pPr>
      <w:rPr>
        <w:rFonts w:hint="default"/>
        <w:lang w:val="az" w:eastAsia="en-US" w:bidi="ar-SA"/>
      </w:rPr>
    </w:lvl>
    <w:lvl w:ilvl="7" w:tplc="0756C254">
      <w:numFmt w:val="bullet"/>
      <w:lvlText w:val="•"/>
      <w:lvlJc w:val="left"/>
      <w:pPr>
        <w:ind w:left="7192" w:hanging="154"/>
      </w:pPr>
      <w:rPr>
        <w:rFonts w:hint="default"/>
        <w:lang w:val="az" w:eastAsia="en-US" w:bidi="ar-SA"/>
      </w:rPr>
    </w:lvl>
    <w:lvl w:ilvl="8" w:tplc="8A2081A2">
      <w:numFmt w:val="bullet"/>
      <w:lvlText w:val="•"/>
      <w:lvlJc w:val="left"/>
      <w:pPr>
        <w:ind w:left="8117" w:hanging="154"/>
      </w:pPr>
      <w:rPr>
        <w:rFonts w:hint="default"/>
        <w:lang w:val="az" w:eastAsia="en-US" w:bidi="ar-SA"/>
      </w:rPr>
    </w:lvl>
  </w:abstractNum>
  <w:abstractNum w:abstractNumId="14" w15:restartNumberingAfterBreak="0">
    <w:nsid w:val="5ED558C5"/>
    <w:multiLevelType w:val="hybridMultilevel"/>
    <w:tmpl w:val="AD1A455E"/>
    <w:lvl w:ilvl="0" w:tplc="97DC38CE">
      <w:start w:val="20"/>
      <w:numFmt w:val="upperRoman"/>
      <w:lvlText w:val="%1"/>
      <w:lvlJc w:val="left"/>
      <w:pPr>
        <w:ind w:left="162" w:hanging="488"/>
      </w:pPr>
      <w:rPr>
        <w:rFonts w:ascii="Times New Roman" w:eastAsia="Times New Roman" w:hAnsi="Times New Roman" w:cs="Times New Roman" w:hint="default"/>
        <w:b w:val="0"/>
        <w:bCs w:val="0"/>
        <w:i w:val="0"/>
        <w:iCs w:val="0"/>
        <w:spacing w:val="0"/>
        <w:w w:val="100"/>
        <w:sz w:val="28"/>
        <w:szCs w:val="28"/>
        <w:lang w:val="az" w:eastAsia="en-US" w:bidi="ar-SA"/>
      </w:rPr>
    </w:lvl>
    <w:lvl w:ilvl="1" w:tplc="92FEA268">
      <w:numFmt w:val="bullet"/>
      <w:lvlText w:val="•"/>
      <w:lvlJc w:val="left"/>
      <w:pPr>
        <w:ind w:left="1140" w:hanging="488"/>
      </w:pPr>
      <w:rPr>
        <w:rFonts w:hint="default"/>
        <w:lang w:val="az" w:eastAsia="en-US" w:bidi="ar-SA"/>
      </w:rPr>
    </w:lvl>
    <w:lvl w:ilvl="2" w:tplc="1E46A928">
      <w:numFmt w:val="bullet"/>
      <w:lvlText w:val="•"/>
      <w:lvlJc w:val="left"/>
      <w:pPr>
        <w:ind w:left="2121" w:hanging="488"/>
      </w:pPr>
      <w:rPr>
        <w:rFonts w:hint="default"/>
        <w:lang w:val="az" w:eastAsia="en-US" w:bidi="ar-SA"/>
      </w:rPr>
    </w:lvl>
    <w:lvl w:ilvl="3" w:tplc="106C7E36">
      <w:numFmt w:val="bullet"/>
      <w:lvlText w:val="•"/>
      <w:lvlJc w:val="left"/>
      <w:pPr>
        <w:ind w:left="3101" w:hanging="488"/>
      </w:pPr>
      <w:rPr>
        <w:rFonts w:hint="default"/>
        <w:lang w:val="az" w:eastAsia="en-US" w:bidi="ar-SA"/>
      </w:rPr>
    </w:lvl>
    <w:lvl w:ilvl="4" w:tplc="54221216">
      <w:numFmt w:val="bullet"/>
      <w:lvlText w:val="•"/>
      <w:lvlJc w:val="left"/>
      <w:pPr>
        <w:ind w:left="4082" w:hanging="488"/>
      </w:pPr>
      <w:rPr>
        <w:rFonts w:hint="default"/>
        <w:lang w:val="az" w:eastAsia="en-US" w:bidi="ar-SA"/>
      </w:rPr>
    </w:lvl>
    <w:lvl w:ilvl="5" w:tplc="43B6038A">
      <w:numFmt w:val="bullet"/>
      <w:lvlText w:val="•"/>
      <w:lvlJc w:val="left"/>
      <w:pPr>
        <w:ind w:left="5063" w:hanging="488"/>
      </w:pPr>
      <w:rPr>
        <w:rFonts w:hint="default"/>
        <w:lang w:val="az" w:eastAsia="en-US" w:bidi="ar-SA"/>
      </w:rPr>
    </w:lvl>
    <w:lvl w:ilvl="6" w:tplc="118097CE">
      <w:numFmt w:val="bullet"/>
      <w:lvlText w:val="•"/>
      <w:lvlJc w:val="left"/>
      <w:pPr>
        <w:ind w:left="6043" w:hanging="488"/>
      </w:pPr>
      <w:rPr>
        <w:rFonts w:hint="default"/>
        <w:lang w:val="az" w:eastAsia="en-US" w:bidi="ar-SA"/>
      </w:rPr>
    </w:lvl>
    <w:lvl w:ilvl="7" w:tplc="50B82C32">
      <w:numFmt w:val="bullet"/>
      <w:lvlText w:val="•"/>
      <w:lvlJc w:val="left"/>
      <w:pPr>
        <w:ind w:left="7024" w:hanging="488"/>
      </w:pPr>
      <w:rPr>
        <w:rFonts w:hint="default"/>
        <w:lang w:val="az" w:eastAsia="en-US" w:bidi="ar-SA"/>
      </w:rPr>
    </w:lvl>
    <w:lvl w:ilvl="8" w:tplc="FD065638">
      <w:numFmt w:val="bullet"/>
      <w:lvlText w:val="•"/>
      <w:lvlJc w:val="left"/>
      <w:pPr>
        <w:ind w:left="8005" w:hanging="488"/>
      </w:pPr>
      <w:rPr>
        <w:rFonts w:hint="default"/>
        <w:lang w:val="az" w:eastAsia="en-US" w:bidi="ar-SA"/>
      </w:rPr>
    </w:lvl>
  </w:abstractNum>
  <w:abstractNum w:abstractNumId="15" w15:restartNumberingAfterBreak="0">
    <w:nsid w:val="66B443E8"/>
    <w:multiLevelType w:val="hybridMultilevel"/>
    <w:tmpl w:val="655843E8"/>
    <w:lvl w:ilvl="0" w:tplc="FFFFFFFF">
      <w:start w:val="1"/>
      <w:numFmt w:val="decimal"/>
      <w:lvlText w:val="%1."/>
      <w:lvlJc w:val="left"/>
      <w:pPr>
        <w:ind w:left="162" w:hanging="428"/>
      </w:pPr>
      <w:rPr>
        <w:rFonts w:ascii="Times New Roman" w:eastAsia="Times New Roman" w:hAnsi="Times New Roman" w:cs="Times New Roman" w:hint="default"/>
        <w:b w:val="0"/>
        <w:bCs w:val="0"/>
        <w:i w:val="0"/>
        <w:iCs w:val="0"/>
        <w:spacing w:val="0"/>
        <w:w w:val="100"/>
        <w:sz w:val="28"/>
        <w:szCs w:val="28"/>
        <w:lang w:val="az" w:eastAsia="en-US" w:bidi="ar-SA"/>
      </w:rPr>
    </w:lvl>
    <w:lvl w:ilvl="1" w:tplc="FFFFFFFF">
      <w:numFmt w:val="bullet"/>
      <w:lvlText w:val="•"/>
      <w:lvlJc w:val="left"/>
      <w:pPr>
        <w:ind w:left="1140" w:hanging="428"/>
      </w:pPr>
      <w:rPr>
        <w:rFonts w:hint="default"/>
        <w:lang w:val="az" w:eastAsia="en-US" w:bidi="ar-SA"/>
      </w:rPr>
    </w:lvl>
    <w:lvl w:ilvl="2" w:tplc="FFFFFFFF">
      <w:numFmt w:val="bullet"/>
      <w:lvlText w:val="•"/>
      <w:lvlJc w:val="left"/>
      <w:pPr>
        <w:ind w:left="2121" w:hanging="428"/>
      </w:pPr>
      <w:rPr>
        <w:rFonts w:hint="default"/>
        <w:lang w:val="az" w:eastAsia="en-US" w:bidi="ar-SA"/>
      </w:rPr>
    </w:lvl>
    <w:lvl w:ilvl="3" w:tplc="FFFFFFFF">
      <w:numFmt w:val="bullet"/>
      <w:lvlText w:val="•"/>
      <w:lvlJc w:val="left"/>
      <w:pPr>
        <w:ind w:left="3101" w:hanging="428"/>
      </w:pPr>
      <w:rPr>
        <w:rFonts w:hint="default"/>
        <w:lang w:val="az" w:eastAsia="en-US" w:bidi="ar-SA"/>
      </w:rPr>
    </w:lvl>
    <w:lvl w:ilvl="4" w:tplc="FFFFFFFF">
      <w:numFmt w:val="bullet"/>
      <w:lvlText w:val="•"/>
      <w:lvlJc w:val="left"/>
      <w:pPr>
        <w:ind w:left="4082" w:hanging="428"/>
      </w:pPr>
      <w:rPr>
        <w:rFonts w:hint="default"/>
        <w:lang w:val="az" w:eastAsia="en-US" w:bidi="ar-SA"/>
      </w:rPr>
    </w:lvl>
    <w:lvl w:ilvl="5" w:tplc="FFFFFFFF">
      <w:numFmt w:val="bullet"/>
      <w:lvlText w:val="•"/>
      <w:lvlJc w:val="left"/>
      <w:pPr>
        <w:ind w:left="5063" w:hanging="428"/>
      </w:pPr>
      <w:rPr>
        <w:rFonts w:hint="default"/>
        <w:lang w:val="az" w:eastAsia="en-US" w:bidi="ar-SA"/>
      </w:rPr>
    </w:lvl>
    <w:lvl w:ilvl="6" w:tplc="FFFFFFFF">
      <w:numFmt w:val="bullet"/>
      <w:lvlText w:val="•"/>
      <w:lvlJc w:val="left"/>
      <w:pPr>
        <w:ind w:left="6043" w:hanging="428"/>
      </w:pPr>
      <w:rPr>
        <w:rFonts w:hint="default"/>
        <w:lang w:val="az" w:eastAsia="en-US" w:bidi="ar-SA"/>
      </w:rPr>
    </w:lvl>
    <w:lvl w:ilvl="7" w:tplc="FFFFFFFF">
      <w:numFmt w:val="bullet"/>
      <w:lvlText w:val="•"/>
      <w:lvlJc w:val="left"/>
      <w:pPr>
        <w:ind w:left="7024" w:hanging="428"/>
      </w:pPr>
      <w:rPr>
        <w:rFonts w:hint="default"/>
        <w:lang w:val="az" w:eastAsia="en-US" w:bidi="ar-SA"/>
      </w:rPr>
    </w:lvl>
    <w:lvl w:ilvl="8" w:tplc="FFFFFFFF">
      <w:numFmt w:val="bullet"/>
      <w:lvlText w:val="•"/>
      <w:lvlJc w:val="left"/>
      <w:pPr>
        <w:ind w:left="8005" w:hanging="428"/>
      </w:pPr>
      <w:rPr>
        <w:rFonts w:hint="default"/>
        <w:lang w:val="az" w:eastAsia="en-US" w:bidi="ar-SA"/>
      </w:rPr>
    </w:lvl>
  </w:abstractNum>
  <w:abstractNum w:abstractNumId="16" w15:restartNumberingAfterBreak="0">
    <w:nsid w:val="69581664"/>
    <w:multiLevelType w:val="hybridMultilevel"/>
    <w:tmpl w:val="655843E8"/>
    <w:lvl w:ilvl="0" w:tplc="FFFFFFFF">
      <w:start w:val="1"/>
      <w:numFmt w:val="decimal"/>
      <w:lvlText w:val="%1."/>
      <w:lvlJc w:val="left"/>
      <w:pPr>
        <w:ind w:left="162" w:hanging="428"/>
      </w:pPr>
      <w:rPr>
        <w:rFonts w:ascii="Times New Roman" w:eastAsia="Times New Roman" w:hAnsi="Times New Roman" w:cs="Times New Roman" w:hint="default"/>
        <w:b w:val="0"/>
        <w:bCs w:val="0"/>
        <w:i w:val="0"/>
        <w:iCs w:val="0"/>
        <w:spacing w:val="0"/>
        <w:w w:val="100"/>
        <w:sz w:val="28"/>
        <w:szCs w:val="28"/>
        <w:lang w:val="az" w:eastAsia="en-US" w:bidi="ar-SA"/>
      </w:rPr>
    </w:lvl>
    <w:lvl w:ilvl="1" w:tplc="FFFFFFFF">
      <w:numFmt w:val="bullet"/>
      <w:lvlText w:val="•"/>
      <w:lvlJc w:val="left"/>
      <w:pPr>
        <w:ind w:left="1140" w:hanging="428"/>
      </w:pPr>
      <w:rPr>
        <w:rFonts w:hint="default"/>
        <w:lang w:val="az" w:eastAsia="en-US" w:bidi="ar-SA"/>
      </w:rPr>
    </w:lvl>
    <w:lvl w:ilvl="2" w:tplc="FFFFFFFF">
      <w:numFmt w:val="bullet"/>
      <w:lvlText w:val="•"/>
      <w:lvlJc w:val="left"/>
      <w:pPr>
        <w:ind w:left="2121" w:hanging="428"/>
      </w:pPr>
      <w:rPr>
        <w:rFonts w:hint="default"/>
        <w:lang w:val="az" w:eastAsia="en-US" w:bidi="ar-SA"/>
      </w:rPr>
    </w:lvl>
    <w:lvl w:ilvl="3" w:tplc="FFFFFFFF">
      <w:numFmt w:val="bullet"/>
      <w:lvlText w:val="•"/>
      <w:lvlJc w:val="left"/>
      <w:pPr>
        <w:ind w:left="3101" w:hanging="428"/>
      </w:pPr>
      <w:rPr>
        <w:rFonts w:hint="default"/>
        <w:lang w:val="az" w:eastAsia="en-US" w:bidi="ar-SA"/>
      </w:rPr>
    </w:lvl>
    <w:lvl w:ilvl="4" w:tplc="FFFFFFFF">
      <w:numFmt w:val="bullet"/>
      <w:lvlText w:val="•"/>
      <w:lvlJc w:val="left"/>
      <w:pPr>
        <w:ind w:left="4082" w:hanging="428"/>
      </w:pPr>
      <w:rPr>
        <w:rFonts w:hint="default"/>
        <w:lang w:val="az" w:eastAsia="en-US" w:bidi="ar-SA"/>
      </w:rPr>
    </w:lvl>
    <w:lvl w:ilvl="5" w:tplc="FFFFFFFF">
      <w:numFmt w:val="bullet"/>
      <w:lvlText w:val="•"/>
      <w:lvlJc w:val="left"/>
      <w:pPr>
        <w:ind w:left="5063" w:hanging="428"/>
      </w:pPr>
      <w:rPr>
        <w:rFonts w:hint="default"/>
        <w:lang w:val="az" w:eastAsia="en-US" w:bidi="ar-SA"/>
      </w:rPr>
    </w:lvl>
    <w:lvl w:ilvl="6" w:tplc="FFFFFFFF">
      <w:numFmt w:val="bullet"/>
      <w:lvlText w:val="•"/>
      <w:lvlJc w:val="left"/>
      <w:pPr>
        <w:ind w:left="6043" w:hanging="428"/>
      </w:pPr>
      <w:rPr>
        <w:rFonts w:hint="default"/>
        <w:lang w:val="az" w:eastAsia="en-US" w:bidi="ar-SA"/>
      </w:rPr>
    </w:lvl>
    <w:lvl w:ilvl="7" w:tplc="FFFFFFFF">
      <w:numFmt w:val="bullet"/>
      <w:lvlText w:val="•"/>
      <w:lvlJc w:val="left"/>
      <w:pPr>
        <w:ind w:left="7024" w:hanging="428"/>
      </w:pPr>
      <w:rPr>
        <w:rFonts w:hint="default"/>
        <w:lang w:val="az" w:eastAsia="en-US" w:bidi="ar-SA"/>
      </w:rPr>
    </w:lvl>
    <w:lvl w:ilvl="8" w:tplc="FFFFFFFF">
      <w:numFmt w:val="bullet"/>
      <w:lvlText w:val="•"/>
      <w:lvlJc w:val="left"/>
      <w:pPr>
        <w:ind w:left="8005" w:hanging="428"/>
      </w:pPr>
      <w:rPr>
        <w:rFonts w:hint="default"/>
        <w:lang w:val="az" w:eastAsia="en-US" w:bidi="ar-SA"/>
      </w:rPr>
    </w:lvl>
  </w:abstractNum>
  <w:abstractNum w:abstractNumId="17" w15:restartNumberingAfterBreak="0">
    <w:nsid w:val="69C44FBF"/>
    <w:multiLevelType w:val="hybridMultilevel"/>
    <w:tmpl w:val="655843E8"/>
    <w:lvl w:ilvl="0" w:tplc="FFFFFFFF">
      <w:start w:val="1"/>
      <w:numFmt w:val="decimal"/>
      <w:lvlText w:val="%1."/>
      <w:lvlJc w:val="left"/>
      <w:pPr>
        <w:ind w:left="162" w:hanging="428"/>
      </w:pPr>
      <w:rPr>
        <w:rFonts w:ascii="Times New Roman" w:eastAsia="Times New Roman" w:hAnsi="Times New Roman" w:cs="Times New Roman" w:hint="default"/>
        <w:b w:val="0"/>
        <w:bCs w:val="0"/>
        <w:i w:val="0"/>
        <w:iCs w:val="0"/>
        <w:spacing w:val="0"/>
        <w:w w:val="100"/>
        <w:sz w:val="28"/>
        <w:szCs w:val="28"/>
        <w:lang w:val="az" w:eastAsia="en-US" w:bidi="ar-SA"/>
      </w:rPr>
    </w:lvl>
    <w:lvl w:ilvl="1" w:tplc="FFFFFFFF">
      <w:numFmt w:val="bullet"/>
      <w:lvlText w:val="•"/>
      <w:lvlJc w:val="left"/>
      <w:pPr>
        <w:ind w:left="1140" w:hanging="428"/>
      </w:pPr>
      <w:rPr>
        <w:rFonts w:hint="default"/>
        <w:lang w:val="az" w:eastAsia="en-US" w:bidi="ar-SA"/>
      </w:rPr>
    </w:lvl>
    <w:lvl w:ilvl="2" w:tplc="FFFFFFFF">
      <w:numFmt w:val="bullet"/>
      <w:lvlText w:val="•"/>
      <w:lvlJc w:val="left"/>
      <w:pPr>
        <w:ind w:left="2121" w:hanging="428"/>
      </w:pPr>
      <w:rPr>
        <w:rFonts w:hint="default"/>
        <w:lang w:val="az" w:eastAsia="en-US" w:bidi="ar-SA"/>
      </w:rPr>
    </w:lvl>
    <w:lvl w:ilvl="3" w:tplc="FFFFFFFF">
      <w:numFmt w:val="bullet"/>
      <w:lvlText w:val="•"/>
      <w:lvlJc w:val="left"/>
      <w:pPr>
        <w:ind w:left="3101" w:hanging="428"/>
      </w:pPr>
      <w:rPr>
        <w:rFonts w:hint="default"/>
        <w:lang w:val="az" w:eastAsia="en-US" w:bidi="ar-SA"/>
      </w:rPr>
    </w:lvl>
    <w:lvl w:ilvl="4" w:tplc="FFFFFFFF">
      <w:numFmt w:val="bullet"/>
      <w:lvlText w:val="•"/>
      <w:lvlJc w:val="left"/>
      <w:pPr>
        <w:ind w:left="4082" w:hanging="428"/>
      </w:pPr>
      <w:rPr>
        <w:rFonts w:hint="default"/>
        <w:lang w:val="az" w:eastAsia="en-US" w:bidi="ar-SA"/>
      </w:rPr>
    </w:lvl>
    <w:lvl w:ilvl="5" w:tplc="FFFFFFFF">
      <w:numFmt w:val="bullet"/>
      <w:lvlText w:val="•"/>
      <w:lvlJc w:val="left"/>
      <w:pPr>
        <w:ind w:left="5063" w:hanging="428"/>
      </w:pPr>
      <w:rPr>
        <w:rFonts w:hint="default"/>
        <w:lang w:val="az" w:eastAsia="en-US" w:bidi="ar-SA"/>
      </w:rPr>
    </w:lvl>
    <w:lvl w:ilvl="6" w:tplc="FFFFFFFF">
      <w:numFmt w:val="bullet"/>
      <w:lvlText w:val="•"/>
      <w:lvlJc w:val="left"/>
      <w:pPr>
        <w:ind w:left="6043" w:hanging="428"/>
      </w:pPr>
      <w:rPr>
        <w:rFonts w:hint="default"/>
        <w:lang w:val="az" w:eastAsia="en-US" w:bidi="ar-SA"/>
      </w:rPr>
    </w:lvl>
    <w:lvl w:ilvl="7" w:tplc="FFFFFFFF">
      <w:numFmt w:val="bullet"/>
      <w:lvlText w:val="•"/>
      <w:lvlJc w:val="left"/>
      <w:pPr>
        <w:ind w:left="7024" w:hanging="428"/>
      </w:pPr>
      <w:rPr>
        <w:rFonts w:hint="default"/>
        <w:lang w:val="az" w:eastAsia="en-US" w:bidi="ar-SA"/>
      </w:rPr>
    </w:lvl>
    <w:lvl w:ilvl="8" w:tplc="FFFFFFFF">
      <w:numFmt w:val="bullet"/>
      <w:lvlText w:val="•"/>
      <w:lvlJc w:val="left"/>
      <w:pPr>
        <w:ind w:left="8005" w:hanging="428"/>
      </w:pPr>
      <w:rPr>
        <w:rFonts w:hint="default"/>
        <w:lang w:val="az" w:eastAsia="en-US" w:bidi="ar-SA"/>
      </w:rPr>
    </w:lvl>
  </w:abstractNum>
  <w:abstractNum w:abstractNumId="18" w15:restartNumberingAfterBreak="0">
    <w:nsid w:val="723653AF"/>
    <w:multiLevelType w:val="hybridMultilevel"/>
    <w:tmpl w:val="655843E8"/>
    <w:lvl w:ilvl="0" w:tplc="D0D62D04">
      <w:start w:val="1"/>
      <w:numFmt w:val="decimal"/>
      <w:lvlText w:val="%1."/>
      <w:lvlJc w:val="left"/>
      <w:pPr>
        <w:ind w:left="162" w:hanging="428"/>
      </w:pPr>
      <w:rPr>
        <w:rFonts w:ascii="Times New Roman" w:eastAsia="Times New Roman" w:hAnsi="Times New Roman" w:cs="Times New Roman" w:hint="default"/>
        <w:b w:val="0"/>
        <w:bCs w:val="0"/>
        <w:i w:val="0"/>
        <w:iCs w:val="0"/>
        <w:spacing w:val="0"/>
        <w:w w:val="100"/>
        <w:sz w:val="28"/>
        <w:szCs w:val="28"/>
        <w:lang w:val="az" w:eastAsia="en-US" w:bidi="ar-SA"/>
      </w:rPr>
    </w:lvl>
    <w:lvl w:ilvl="1" w:tplc="71984738">
      <w:numFmt w:val="bullet"/>
      <w:lvlText w:val="•"/>
      <w:lvlJc w:val="left"/>
      <w:pPr>
        <w:ind w:left="1140" w:hanging="428"/>
      </w:pPr>
      <w:rPr>
        <w:rFonts w:hint="default"/>
        <w:lang w:val="az" w:eastAsia="en-US" w:bidi="ar-SA"/>
      </w:rPr>
    </w:lvl>
    <w:lvl w:ilvl="2" w:tplc="98486EC8">
      <w:numFmt w:val="bullet"/>
      <w:lvlText w:val="•"/>
      <w:lvlJc w:val="left"/>
      <w:pPr>
        <w:ind w:left="2121" w:hanging="428"/>
      </w:pPr>
      <w:rPr>
        <w:rFonts w:hint="default"/>
        <w:lang w:val="az" w:eastAsia="en-US" w:bidi="ar-SA"/>
      </w:rPr>
    </w:lvl>
    <w:lvl w:ilvl="3" w:tplc="64CC4864">
      <w:numFmt w:val="bullet"/>
      <w:lvlText w:val="•"/>
      <w:lvlJc w:val="left"/>
      <w:pPr>
        <w:ind w:left="3101" w:hanging="428"/>
      </w:pPr>
      <w:rPr>
        <w:rFonts w:hint="default"/>
        <w:lang w:val="az" w:eastAsia="en-US" w:bidi="ar-SA"/>
      </w:rPr>
    </w:lvl>
    <w:lvl w:ilvl="4" w:tplc="9E583BCE">
      <w:numFmt w:val="bullet"/>
      <w:lvlText w:val="•"/>
      <w:lvlJc w:val="left"/>
      <w:pPr>
        <w:ind w:left="4082" w:hanging="428"/>
      </w:pPr>
      <w:rPr>
        <w:rFonts w:hint="default"/>
        <w:lang w:val="az" w:eastAsia="en-US" w:bidi="ar-SA"/>
      </w:rPr>
    </w:lvl>
    <w:lvl w:ilvl="5" w:tplc="D256C63E">
      <w:numFmt w:val="bullet"/>
      <w:lvlText w:val="•"/>
      <w:lvlJc w:val="left"/>
      <w:pPr>
        <w:ind w:left="5063" w:hanging="428"/>
      </w:pPr>
      <w:rPr>
        <w:rFonts w:hint="default"/>
        <w:lang w:val="az" w:eastAsia="en-US" w:bidi="ar-SA"/>
      </w:rPr>
    </w:lvl>
    <w:lvl w:ilvl="6" w:tplc="AA14593A">
      <w:numFmt w:val="bullet"/>
      <w:lvlText w:val="•"/>
      <w:lvlJc w:val="left"/>
      <w:pPr>
        <w:ind w:left="6043" w:hanging="428"/>
      </w:pPr>
      <w:rPr>
        <w:rFonts w:hint="default"/>
        <w:lang w:val="az" w:eastAsia="en-US" w:bidi="ar-SA"/>
      </w:rPr>
    </w:lvl>
    <w:lvl w:ilvl="7" w:tplc="8F900D8C">
      <w:numFmt w:val="bullet"/>
      <w:lvlText w:val="•"/>
      <w:lvlJc w:val="left"/>
      <w:pPr>
        <w:ind w:left="7024" w:hanging="428"/>
      </w:pPr>
      <w:rPr>
        <w:rFonts w:hint="default"/>
        <w:lang w:val="az" w:eastAsia="en-US" w:bidi="ar-SA"/>
      </w:rPr>
    </w:lvl>
    <w:lvl w:ilvl="8" w:tplc="2646AF56">
      <w:numFmt w:val="bullet"/>
      <w:lvlText w:val="•"/>
      <w:lvlJc w:val="left"/>
      <w:pPr>
        <w:ind w:left="8005" w:hanging="428"/>
      </w:pPr>
      <w:rPr>
        <w:rFonts w:hint="default"/>
        <w:lang w:val="az" w:eastAsia="en-US" w:bidi="ar-SA"/>
      </w:rPr>
    </w:lvl>
  </w:abstractNum>
  <w:num w:numId="1" w16cid:durableId="805006922">
    <w:abstractNumId w:val="13"/>
  </w:num>
  <w:num w:numId="2" w16cid:durableId="906186040">
    <w:abstractNumId w:val="14"/>
  </w:num>
  <w:num w:numId="3" w16cid:durableId="730540404">
    <w:abstractNumId w:val="18"/>
  </w:num>
  <w:num w:numId="4" w16cid:durableId="1496334555">
    <w:abstractNumId w:val="15"/>
  </w:num>
  <w:num w:numId="5" w16cid:durableId="1500806095">
    <w:abstractNumId w:val="8"/>
  </w:num>
  <w:num w:numId="6" w16cid:durableId="1463495631">
    <w:abstractNumId w:val="6"/>
  </w:num>
  <w:num w:numId="7" w16cid:durableId="504904717">
    <w:abstractNumId w:val="16"/>
  </w:num>
  <w:num w:numId="8" w16cid:durableId="1560820742">
    <w:abstractNumId w:val="3"/>
  </w:num>
  <w:num w:numId="9" w16cid:durableId="1573585387">
    <w:abstractNumId w:val="4"/>
  </w:num>
  <w:num w:numId="10" w16cid:durableId="523785669">
    <w:abstractNumId w:val="2"/>
  </w:num>
  <w:num w:numId="11" w16cid:durableId="1456824372">
    <w:abstractNumId w:val="0"/>
  </w:num>
  <w:num w:numId="12" w16cid:durableId="1242329789">
    <w:abstractNumId w:val="10"/>
  </w:num>
  <w:num w:numId="13" w16cid:durableId="1061711751">
    <w:abstractNumId w:val="5"/>
  </w:num>
  <w:num w:numId="14" w16cid:durableId="468401828">
    <w:abstractNumId w:val="9"/>
  </w:num>
  <w:num w:numId="15" w16cid:durableId="1548688060">
    <w:abstractNumId w:val="1"/>
  </w:num>
  <w:num w:numId="16" w16cid:durableId="523518077">
    <w:abstractNumId w:val="12"/>
  </w:num>
  <w:num w:numId="17" w16cid:durableId="445081565">
    <w:abstractNumId w:val="17"/>
  </w:num>
  <w:num w:numId="18" w16cid:durableId="572548422">
    <w:abstractNumId w:val="7"/>
  </w:num>
  <w:num w:numId="19" w16cid:durableId="5641411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7B3"/>
    <w:rsid w:val="00047369"/>
    <w:rsid w:val="000F08CF"/>
    <w:rsid w:val="00105A54"/>
    <w:rsid w:val="00150690"/>
    <w:rsid w:val="00181C7A"/>
    <w:rsid w:val="001F1A53"/>
    <w:rsid w:val="002D5F9F"/>
    <w:rsid w:val="00310C0A"/>
    <w:rsid w:val="00392935"/>
    <w:rsid w:val="003B5A0D"/>
    <w:rsid w:val="003D7C22"/>
    <w:rsid w:val="003E6420"/>
    <w:rsid w:val="0046176A"/>
    <w:rsid w:val="004E58BE"/>
    <w:rsid w:val="00512CE8"/>
    <w:rsid w:val="00554662"/>
    <w:rsid w:val="00554D37"/>
    <w:rsid w:val="00574A66"/>
    <w:rsid w:val="00576509"/>
    <w:rsid w:val="005C0F17"/>
    <w:rsid w:val="005F10F6"/>
    <w:rsid w:val="00630754"/>
    <w:rsid w:val="0064065A"/>
    <w:rsid w:val="006640B9"/>
    <w:rsid w:val="00724128"/>
    <w:rsid w:val="00736E6A"/>
    <w:rsid w:val="00754B87"/>
    <w:rsid w:val="008753EE"/>
    <w:rsid w:val="008B45BF"/>
    <w:rsid w:val="00925935"/>
    <w:rsid w:val="00951F62"/>
    <w:rsid w:val="009E008F"/>
    <w:rsid w:val="00A71C00"/>
    <w:rsid w:val="00A94B26"/>
    <w:rsid w:val="00AC468A"/>
    <w:rsid w:val="00AD4114"/>
    <w:rsid w:val="00AE7381"/>
    <w:rsid w:val="00AF10CB"/>
    <w:rsid w:val="00BC4926"/>
    <w:rsid w:val="00C15D9D"/>
    <w:rsid w:val="00C16D76"/>
    <w:rsid w:val="00C2191B"/>
    <w:rsid w:val="00C36A94"/>
    <w:rsid w:val="00CA3458"/>
    <w:rsid w:val="00CA53D4"/>
    <w:rsid w:val="00D3536E"/>
    <w:rsid w:val="00D7242B"/>
    <w:rsid w:val="00DD07B3"/>
    <w:rsid w:val="00DD301F"/>
    <w:rsid w:val="00DD6CCD"/>
    <w:rsid w:val="00E31749"/>
    <w:rsid w:val="00E46C97"/>
    <w:rsid w:val="00ED0C56"/>
    <w:rsid w:val="00EF2256"/>
    <w:rsid w:val="00F30C4A"/>
    <w:rsid w:val="00F70B28"/>
    <w:rsid w:val="00F776CF"/>
    <w:rsid w:val="00F90E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DCB7B"/>
  <w15:chartTrackingRefBased/>
  <w15:docId w15:val="{B5CAC1D0-A5CC-4334-BA94-A1866858C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DD07B3"/>
    <w:pPr>
      <w:widowControl w:val="0"/>
      <w:autoSpaceDE w:val="0"/>
      <w:autoSpaceDN w:val="0"/>
      <w:spacing w:after="0" w:line="240" w:lineRule="auto"/>
    </w:pPr>
    <w:rPr>
      <w:rFonts w:ascii="Times New Roman" w:eastAsia="Times New Roman" w:hAnsi="Times New Roman" w:cs="Times New Roman"/>
      <w:kern w:val="0"/>
      <w:lang w:val="az"/>
      <w14:ligatures w14:val="none"/>
    </w:rPr>
  </w:style>
  <w:style w:type="paragraph" w:styleId="1">
    <w:name w:val="heading 1"/>
    <w:basedOn w:val="a"/>
    <w:next w:val="a"/>
    <w:link w:val="10"/>
    <w:uiPriority w:val="9"/>
    <w:qFormat/>
    <w:rsid w:val="00DD07B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DD07B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DD07B3"/>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DD07B3"/>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semiHidden/>
    <w:unhideWhenUsed/>
    <w:qFormat/>
    <w:rsid w:val="00DD07B3"/>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DD07B3"/>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D07B3"/>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D07B3"/>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D07B3"/>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D07B3"/>
    <w:rPr>
      <w:rFonts w:asciiTheme="majorHAnsi" w:eastAsiaTheme="majorEastAsia" w:hAnsiTheme="majorHAnsi" w:cstheme="majorBidi"/>
      <w:color w:val="2E74B5" w:themeColor="accent1" w:themeShade="BF"/>
      <w:sz w:val="40"/>
      <w:szCs w:val="40"/>
      <w:lang w:val="az-Latn-AZ"/>
    </w:rPr>
  </w:style>
  <w:style w:type="character" w:customStyle="1" w:styleId="20">
    <w:name w:val="Заголовок 2 Знак"/>
    <w:basedOn w:val="a0"/>
    <w:link w:val="2"/>
    <w:uiPriority w:val="9"/>
    <w:semiHidden/>
    <w:rsid w:val="00DD07B3"/>
    <w:rPr>
      <w:rFonts w:asciiTheme="majorHAnsi" w:eastAsiaTheme="majorEastAsia" w:hAnsiTheme="majorHAnsi" w:cstheme="majorBidi"/>
      <w:color w:val="2E74B5" w:themeColor="accent1" w:themeShade="BF"/>
      <w:sz w:val="32"/>
      <w:szCs w:val="32"/>
      <w:lang w:val="az-Latn-AZ"/>
    </w:rPr>
  </w:style>
  <w:style w:type="character" w:customStyle="1" w:styleId="30">
    <w:name w:val="Заголовок 3 Знак"/>
    <w:basedOn w:val="a0"/>
    <w:link w:val="3"/>
    <w:uiPriority w:val="9"/>
    <w:semiHidden/>
    <w:rsid w:val="00DD07B3"/>
    <w:rPr>
      <w:rFonts w:eastAsiaTheme="majorEastAsia" w:cstheme="majorBidi"/>
      <w:color w:val="2E74B5" w:themeColor="accent1" w:themeShade="BF"/>
      <w:sz w:val="28"/>
      <w:szCs w:val="28"/>
      <w:lang w:val="az-Latn-AZ"/>
    </w:rPr>
  </w:style>
  <w:style w:type="character" w:customStyle="1" w:styleId="40">
    <w:name w:val="Заголовок 4 Знак"/>
    <w:basedOn w:val="a0"/>
    <w:link w:val="4"/>
    <w:uiPriority w:val="9"/>
    <w:semiHidden/>
    <w:rsid w:val="00DD07B3"/>
    <w:rPr>
      <w:rFonts w:eastAsiaTheme="majorEastAsia" w:cstheme="majorBidi"/>
      <w:i/>
      <w:iCs/>
      <w:color w:val="2E74B5" w:themeColor="accent1" w:themeShade="BF"/>
      <w:lang w:val="az-Latn-AZ"/>
    </w:rPr>
  </w:style>
  <w:style w:type="character" w:customStyle="1" w:styleId="50">
    <w:name w:val="Заголовок 5 Знак"/>
    <w:basedOn w:val="a0"/>
    <w:link w:val="5"/>
    <w:uiPriority w:val="9"/>
    <w:semiHidden/>
    <w:rsid w:val="00DD07B3"/>
    <w:rPr>
      <w:rFonts w:eastAsiaTheme="majorEastAsia" w:cstheme="majorBidi"/>
      <w:color w:val="2E74B5" w:themeColor="accent1" w:themeShade="BF"/>
      <w:lang w:val="az-Latn-AZ"/>
    </w:rPr>
  </w:style>
  <w:style w:type="character" w:customStyle="1" w:styleId="60">
    <w:name w:val="Заголовок 6 Знак"/>
    <w:basedOn w:val="a0"/>
    <w:link w:val="6"/>
    <w:uiPriority w:val="9"/>
    <w:semiHidden/>
    <w:rsid w:val="00DD07B3"/>
    <w:rPr>
      <w:rFonts w:eastAsiaTheme="majorEastAsia" w:cstheme="majorBidi"/>
      <w:i/>
      <w:iCs/>
      <w:color w:val="595959" w:themeColor="text1" w:themeTint="A6"/>
      <w:lang w:val="az-Latn-AZ"/>
    </w:rPr>
  </w:style>
  <w:style w:type="character" w:customStyle="1" w:styleId="70">
    <w:name w:val="Заголовок 7 Знак"/>
    <w:basedOn w:val="a0"/>
    <w:link w:val="7"/>
    <w:uiPriority w:val="9"/>
    <w:semiHidden/>
    <w:rsid w:val="00DD07B3"/>
    <w:rPr>
      <w:rFonts w:eastAsiaTheme="majorEastAsia" w:cstheme="majorBidi"/>
      <w:color w:val="595959" w:themeColor="text1" w:themeTint="A6"/>
      <w:lang w:val="az-Latn-AZ"/>
    </w:rPr>
  </w:style>
  <w:style w:type="character" w:customStyle="1" w:styleId="80">
    <w:name w:val="Заголовок 8 Знак"/>
    <w:basedOn w:val="a0"/>
    <w:link w:val="8"/>
    <w:uiPriority w:val="9"/>
    <w:semiHidden/>
    <w:rsid w:val="00DD07B3"/>
    <w:rPr>
      <w:rFonts w:eastAsiaTheme="majorEastAsia" w:cstheme="majorBidi"/>
      <w:i/>
      <w:iCs/>
      <w:color w:val="272727" w:themeColor="text1" w:themeTint="D8"/>
      <w:lang w:val="az-Latn-AZ"/>
    </w:rPr>
  </w:style>
  <w:style w:type="character" w:customStyle="1" w:styleId="90">
    <w:name w:val="Заголовок 9 Знак"/>
    <w:basedOn w:val="a0"/>
    <w:link w:val="9"/>
    <w:uiPriority w:val="9"/>
    <w:semiHidden/>
    <w:rsid w:val="00DD07B3"/>
    <w:rPr>
      <w:rFonts w:eastAsiaTheme="majorEastAsia" w:cstheme="majorBidi"/>
      <w:color w:val="272727" w:themeColor="text1" w:themeTint="D8"/>
      <w:lang w:val="az-Latn-AZ"/>
    </w:rPr>
  </w:style>
  <w:style w:type="paragraph" w:styleId="a3">
    <w:name w:val="Title"/>
    <w:basedOn w:val="a"/>
    <w:next w:val="a"/>
    <w:link w:val="a4"/>
    <w:uiPriority w:val="10"/>
    <w:qFormat/>
    <w:rsid w:val="00DD07B3"/>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D07B3"/>
    <w:rPr>
      <w:rFonts w:asciiTheme="majorHAnsi" w:eastAsiaTheme="majorEastAsia" w:hAnsiTheme="majorHAnsi" w:cstheme="majorBidi"/>
      <w:spacing w:val="-10"/>
      <w:kern w:val="28"/>
      <w:sz w:val="56"/>
      <w:szCs w:val="56"/>
      <w:lang w:val="az-Latn-AZ"/>
    </w:rPr>
  </w:style>
  <w:style w:type="paragraph" w:styleId="a5">
    <w:name w:val="Subtitle"/>
    <w:basedOn w:val="a"/>
    <w:next w:val="a"/>
    <w:link w:val="a6"/>
    <w:uiPriority w:val="11"/>
    <w:qFormat/>
    <w:rsid w:val="00DD07B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D07B3"/>
    <w:rPr>
      <w:rFonts w:eastAsiaTheme="majorEastAsia" w:cstheme="majorBidi"/>
      <w:color w:val="595959" w:themeColor="text1" w:themeTint="A6"/>
      <w:spacing w:val="15"/>
      <w:sz w:val="28"/>
      <w:szCs w:val="28"/>
      <w:lang w:val="az-Latn-AZ"/>
    </w:rPr>
  </w:style>
  <w:style w:type="paragraph" w:styleId="21">
    <w:name w:val="Quote"/>
    <w:basedOn w:val="a"/>
    <w:next w:val="a"/>
    <w:link w:val="22"/>
    <w:uiPriority w:val="29"/>
    <w:qFormat/>
    <w:rsid w:val="00DD07B3"/>
    <w:pPr>
      <w:spacing w:before="160"/>
      <w:jc w:val="center"/>
    </w:pPr>
    <w:rPr>
      <w:i/>
      <w:iCs/>
      <w:color w:val="404040" w:themeColor="text1" w:themeTint="BF"/>
    </w:rPr>
  </w:style>
  <w:style w:type="character" w:customStyle="1" w:styleId="22">
    <w:name w:val="Цитата 2 Знак"/>
    <w:basedOn w:val="a0"/>
    <w:link w:val="21"/>
    <w:uiPriority w:val="29"/>
    <w:rsid w:val="00DD07B3"/>
    <w:rPr>
      <w:i/>
      <w:iCs/>
      <w:color w:val="404040" w:themeColor="text1" w:themeTint="BF"/>
      <w:lang w:val="az-Latn-AZ"/>
    </w:rPr>
  </w:style>
  <w:style w:type="paragraph" w:styleId="a7">
    <w:name w:val="List Paragraph"/>
    <w:basedOn w:val="a"/>
    <w:uiPriority w:val="34"/>
    <w:qFormat/>
    <w:rsid w:val="00DD07B3"/>
    <w:pPr>
      <w:ind w:left="720"/>
      <w:contextualSpacing/>
    </w:pPr>
  </w:style>
  <w:style w:type="character" w:styleId="a8">
    <w:name w:val="Intense Emphasis"/>
    <w:basedOn w:val="a0"/>
    <w:uiPriority w:val="21"/>
    <w:qFormat/>
    <w:rsid w:val="00DD07B3"/>
    <w:rPr>
      <w:i/>
      <w:iCs/>
      <w:color w:val="2E74B5" w:themeColor="accent1" w:themeShade="BF"/>
    </w:rPr>
  </w:style>
  <w:style w:type="paragraph" w:styleId="a9">
    <w:name w:val="Intense Quote"/>
    <w:basedOn w:val="a"/>
    <w:next w:val="a"/>
    <w:link w:val="aa"/>
    <w:uiPriority w:val="30"/>
    <w:qFormat/>
    <w:rsid w:val="00DD07B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DD07B3"/>
    <w:rPr>
      <w:i/>
      <w:iCs/>
      <w:color w:val="2E74B5" w:themeColor="accent1" w:themeShade="BF"/>
      <w:lang w:val="az-Latn-AZ"/>
    </w:rPr>
  </w:style>
  <w:style w:type="character" w:styleId="ab">
    <w:name w:val="Intense Reference"/>
    <w:basedOn w:val="a0"/>
    <w:uiPriority w:val="32"/>
    <w:qFormat/>
    <w:rsid w:val="00DD07B3"/>
    <w:rPr>
      <w:b/>
      <w:bCs/>
      <w:smallCaps/>
      <w:color w:val="2E74B5" w:themeColor="accent1" w:themeShade="BF"/>
      <w:spacing w:val="5"/>
    </w:rPr>
  </w:style>
  <w:style w:type="paragraph" w:styleId="ac">
    <w:name w:val="Body Text"/>
    <w:basedOn w:val="a"/>
    <w:link w:val="ad"/>
    <w:uiPriority w:val="1"/>
    <w:qFormat/>
    <w:rsid w:val="00DD07B3"/>
    <w:pPr>
      <w:ind w:left="162" w:firstLine="566"/>
      <w:jc w:val="both"/>
    </w:pPr>
    <w:rPr>
      <w:sz w:val="28"/>
      <w:szCs w:val="28"/>
    </w:rPr>
  </w:style>
  <w:style w:type="character" w:customStyle="1" w:styleId="ad">
    <w:name w:val="Основной текст Знак"/>
    <w:basedOn w:val="a0"/>
    <w:link w:val="ac"/>
    <w:uiPriority w:val="1"/>
    <w:rsid w:val="00DD07B3"/>
    <w:rPr>
      <w:rFonts w:ascii="Times New Roman" w:eastAsia="Times New Roman" w:hAnsi="Times New Roman" w:cs="Times New Roman"/>
      <w:kern w:val="0"/>
      <w:sz w:val="28"/>
      <w:szCs w:val="28"/>
      <w:lang w:val="az"/>
      <w14:ligatures w14:val="none"/>
    </w:rPr>
  </w:style>
  <w:style w:type="character" w:styleId="ae">
    <w:name w:val="Hyperlink"/>
    <w:basedOn w:val="a0"/>
    <w:uiPriority w:val="99"/>
    <w:unhideWhenUsed/>
    <w:rsid w:val="0046176A"/>
    <w:rPr>
      <w:color w:val="0563C1" w:themeColor="hyperlink"/>
      <w:u w:val="single"/>
    </w:rPr>
  </w:style>
  <w:style w:type="character" w:styleId="af">
    <w:name w:val="Strong"/>
    <w:basedOn w:val="a0"/>
    <w:uiPriority w:val="22"/>
    <w:qFormat/>
    <w:rsid w:val="0046176A"/>
    <w:rPr>
      <w:b/>
      <w:bCs/>
    </w:rPr>
  </w:style>
  <w:style w:type="paragraph" w:styleId="af0">
    <w:name w:val="footnote text"/>
    <w:basedOn w:val="a"/>
    <w:link w:val="af1"/>
    <w:unhideWhenUsed/>
    <w:rsid w:val="00554662"/>
    <w:pPr>
      <w:widowControl/>
      <w:autoSpaceDE/>
      <w:autoSpaceDN/>
    </w:pPr>
    <w:rPr>
      <w:rFonts w:eastAsia="MS Mincho"/>
      <w:sz w:val="20"/>
      <w:szCs w:val="20"/>
      <w:lang w:val="ru-RU" w:eastAsia="tr-TR"/>
    </w:rPr>
  </w:style>
  <w:style w:type="character" w:customStyle="1" w:styleId="af1">
    <w:name w:val="Текст сноски Знак"/>
    <w:basedOn w:val="a0"/>
    <w:link w:val="af0"/>
    <w:rsid w:val="00554662"/>
    <w:rPr>
      <w:rFonts w:ascii="Times New Roman" w:eastAsia="MS Mincho" w:hAnsi="Times New Roman" w:cs="Times New Roman"/>
      <w:kern w:val="0"/>
      <w:sz w:val="20"/>
      <w:szCs w:val="20"/>
      <w:lang w:eastAsia="tr-TR"/>
      <w14:ligatures w14:val="none"/>
    </w:rPr>
  </w:style>
  <w:style w:type="character" w:styleId="af2">
    <w:name w:val="footnote reference"/>
    <w:uiPriority w:val="99"/>
    <w:semiHidden/>
    <w:unhideWhenUsed/>
    <w:rsid w:val="00554662"/>
    <w:rPr>
      <w:vertAlign w:val="superscript"/>
    </w:rPr>
  </w:style>
  <w:style w:type="character" w:styleId="af3">
    <w:name w:val="Unresolved Mention"/>
    <w:basedOn w:val="a0"/>
    <w:uiPriority w:val="99"/>
    <w:semiHidden/>
    <w:unhideWhenUsed/>
    <w:rsid w:val="00754B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9-0008-4434-387X" TargetMode="External"/><Relationship Id="rId3" Type="http://schemas.openxmlformats.org/officeDocument/2006/relationships/settings" Target="settings.xml"/><Relationship Id="rId7" Type="http://schemas.openxmlformats.org/officeDocument/2006/relationships/hyperlink" Target="mailto:gsanubar9@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history.state.gov/historicaldocuments/frus1919v02/d82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260</TotalTime>
  <Pages>23</Pages>
  <Words>7360</Words>
  <Characters>41954</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15</cp:revision>
  <dcterms:created xsi:type="dcterms:W3CDTF">2026-02-24T17:53:00Z</dcterms:created>
  <dcterms:modified xsi:type="dcterms:W3CDTF">2026-06-03T09:06:00Z</dcterms:modified>
</cp:coreProperties>
</file>