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5D8E" w:rsidRDefault="00B15D8E" w:rsidP="00B15D8E">
      <w:pPr>
        <w:rPr>
          <w:b/>
          <w:bCs/>
        </w:rPr>
      </w:pPr>
      <w:r w:rsidRPr="00B04BFF">
        <w:rPr>
          <w:b/>
          <w:bCs/>
        </w:rPr>
        <w:t>Evaluating the Effectiveness of the Flexible Education with Soul (</w:t>
      </w:r>
      <w:proofErr w:type="spellStart"/>
      <w:r w:rsidRPr="00B04BFF">
        <w:rPr>
          <w:b/>
          <w:bCs/>
        </w:rPr>
        <w:t>FlexS</w:t>
      </w:r>
      <w:proofErr w:type="spellEnd"/>
      <w:r w:rsidRPr="00B04BFF">
        <w:rPr>
          <w:b/>
          <w:bCs/>
        </w:rPr>
        <w:t xml:space="preserve">) Model in Enhancing Staff Engagement at </w:t>
      </w:r>
      <w:proofErr w:type="spellStart"/>
      <w:r w:rsidRPr="00B04BFF">
        <w:rPr>
          <w:b/>
          <w:bCs/>
        </w:rPr>
        <w:t>Universiti</w:t>
      </w:r>
      <w:proofErr w:type="spellEnd"/>
      <w:r w:rsidRPr="00B04BFF">
        <w:rPr>
          <w:b/>
          <w:bCs/>
        </w:rPr>
        <w:t xml:space="preserve"> Sultan Zainal Abidin (UniSZA) </w:t>
      </w:r>
    </w:p>
    <w:p w:rsidR="00B15D8E" w:rsidRPr="00AC328A" w:rsidRDefault="00B15D8E" w:rsidP="00B15D8E">
      <w:pPr>
        <w:spacing w:after="0" w:line="240" w:lineRule="auto"/>
        <w:jc w:val="both"/>
      </w:pPr>
      <w:r w:rsidRPr="00AC328A">
        <w:t>Tengku Fatimah Muliana Tengku Muda</w:t>
      </w:r>
      <w:r w:rsidRPr="00AC328A">
        <w:rPr>
          <w:vertAlign w:val="superscript"/>
        </w:rPr>
        <w:t>1</w:t>
      </w:r>
      <w:r w:rsidRPr="00AC328A">
        <w:t>*, Siti Khatijah Ismail</w:t>
      </w:r>
      <w:r w:rsidRPr="00AC328A">
        <w:rPr>
          <w:vertAlign w:val="superscript"/>
        </w:rPr>
        <w:t>2</w:t>
      </w:r>
      <w:r w:rsidRPr="00AC328A">
        <w:t xml:space="preserve">, Wan </w:t>
      </w:r>
      <w:proofErr w:type="gramStart"/>
      <w:r w:rsidRPr="00AC328A">
        <w:t>Nor</w:t>
      </w:r>
      <w:proofErr w:type="gramEnd"/>
      <w:r w:rsidRPr="00AC328A">
        <w:t xml:space="preserve"> Jazmina Wan</w:t>
      </w:r>
      <w:r>
        <w:t xml:space="preserve"> </w:t>
      </w:r>
      <w:r w:rsidRPr="00AC328A">
        <w:t>Ariffin</w:t>
      </w:r>
      <w:r w:rsidRPr="00AC328A">
        <w:rPr>
          <w:vertAlign w:val="superscript"/>
        </w:rPr>
        <w:t>3</w:t>
      </w:r>
      <w:r w:rsidRPr="00AC328A">
        <w:t xml:space="preserve">, Wan </w:t>
      </w:r>
      <w:proofErr w:type="gramStart"/>
      <w:r w:rsidRPr="00AC328A">
        <w:t>Nor</w:t>
      </w:r>
      <w:proofErr w:type="gramEnd"/>
      <w:r w:rsidRPr="00AC328A">
        <w:t xml:space="preserve"> </w:t>
      </w:r>
      <w:proofErr w:type="spellStart"/>
      <w:r w:rsidRPr="00AC328A">
        <w:t>Azilawanie</w:t>
      </w:r>
      <w:proofErr w:type="spellEnd"/>
      <w:r w:rsidRPr="00AC328A">
        <w:t xml:space="preserve"> binti Tun Ismail</w:t>
      </w:r>
      <w:r w:rsidRPr="00AC328A">
        <w:rPr>
          <w:vertAlign w:val="superscript"/>
        </w:rPr>
        <w:t>4</w:t>
      </w:r>
      <w:r w:rsidRPr="00AC328A">
        <w:t xml:space="preserve">, </w:t>
      </w:r>
      <w:proofErr w:type="spellStart"/>
      <w:r w:rsidRPr="00AC328A">
        <w:t>Norlia</w:t>
      </w:r>
      <w:proofErr w:type="spellEnd"/>
      <w:r w:rsidRPr="00AC328A">
        <w:t xml:space="preserve"> binti Muhamad</w:t>
      </w:r>
      <w:proofErr w:type="gramStart"/>
      <w:r w:rsidRPr="00AC328A">
        <w:rPr>
          <w:vertAlign w:val="superscript"/>
        </w:rPr>
        <w:t>5</w:t>
      </w:r>
      <w:r>
        <w:t>,W</w:t>
      </w:r>
      <w:proofErr w:type="gramEnd"/>
      <w:r>
        <w:t xml:space="preserve"> Omar Ali Saifuddin Wan Ismail</w:t>
      </w:r>
      <w:r w:rsidRPr="00AC328A">
        <w:rPr>
          <w:vertAlign w:val="superscript"/>
        </w:rPr>
        <w:t>6</w:t>
      </w:r>
      <w:r w:rsidR="00E30FD6">
        <w:t>.</w:t>
      </w:r>
    </w:p>
    <w:p w:rsidR="00B15D8E" w:rsidRPr="00AC328A" w:rsidRDefault="00B15D8E" w:rsidP="00B15D8E">
      <w:pPr>
        <w:spacing w:after="0" w:line="240" w:lineRule="auto"/>
        <w:ind w:left="567" w:hanging="567"/>
      </w:pPr>
    </w:p>
    <w:p w:rsidR="00B15D8E" w:rsidRPr="00AC328A" w:rsidRDefault="00B15D8E" w:rsidP="00B15D8E">
      <w:pPr>
        <w:spacing w:after="0" w:line="240" w:lineRule="auto"/>
        <w:ind w:left="567" w:hanging="567"/>
      </w:pPr>
    </w:p>
    <w:p w:rsidR="00B15D8E" w:rsidRPr="00AC328A" w:rsidRDefault="00B15D8E" w:rsidP="00B15D8E">
      <w:pPr>
        <w:spacing w:after="0" w:line="240" w:lineRule="auto"/>
        <w:ind w:left="567" w:hanging="567"/>
      </w:pPr>
      <w:r w:rsidRPr="00AC328A">
        <w:t>1</w:t>
      </w:r>
      <w:r w:rsidRPr="00AC328A">
        <w:tab/>
        <w:t xml:space="preserve">Faculty of Islamic Contemporary Studies, </w:t>
      </w:r>
      <w:proofErr w:type="spellStart"/>
      <w:r w:rsidRPr="00AC328A">
        <w:t>Universiti</w:t>
      </w:r>
      <w:proofErr w:type="spellEnd"/>
      <w:r w:rsidRPr="00AC328A">
        <w:t xml:space="preserve"> Sultan Zainal Abidin, 21300 Kuala </w:t>
      </w:r>
      <w:proofErr w:type="spellStart"/>
      <w:r w:rsidRPr="00AC328A">
        <w:t>Nerus</w:t>
      </w:r>
      <w:proofErr w:type="spellEnd"/>
      <w:r w:rsidRPr="00AC328A">
        <w:t xml:space="preserve">, Terengganu, Malaysia </w:t>
      </w:r>
    </w:p>
    <w:p w:rsidR="00B15D8E" w:rsidRPr="00AC328A" w:rsidRDefault="00B15D8E" w:rsidP="00B15D8E">
      <w:pPr>
        <w:spacing w:after="0" w:line="240" w:lineRule="auto"/>
        <w:ind w:left="567" w:hanging="567"/>
      </w:pPr>
      <w:r w:rsidRPr="00AC328A">
        <w:t>2</w:t>
      </w:r>
      <w:r w:rsidRPr="00AC328A">
        <w:tab/>
        <w:t xml:space="preserve">Faculty of Islamic Contemporary Studies, </w:t>
      </w:r>
      <w:proofErr w:type="spellStart"/>
      <w:r w:rsidRPr="00AC328A">
        <w:t>Universiti</w:t>
      </w:r>
      <w:proofErr w:type="spellEnd"/>
      <w:r w:rsidRPr="00AC328A">
        <w:t xml:space="preserve"> Sultan Zainal Abidin, 21300 Kuala </w:t>
      </w:r>
      <w:proofErr w:type="spellStart"/>
      <w:r w:rsidRPr="00AC328A">
        <w:t>Nerus</w:t>
      </w:r>
      <w:proofErr w:type="spellEnd"/>
      <w:r w:rsidRPr="00AC328A">
        <w:t>, Terengganu, Malaysia</w:t>
      </w:r>
    </w:p>
    <w:p w:rsidR="00B15D8E" w:rsidRPr="00AC328A" w:rsidRDefault="00B15D8E" w:rsidP="00B15D8E">
      <w:pPr>
        <w:spacing w:after="0" w:line="240" w:lineRule="auto"/>
        <w:ind w:left="567" w:hanging="567"/>
      </w:pPr>
      <w:r w:rsidRPr="00AC328A">
        <w:t>3</w:t>
      </w:r>
      <w:r w:rsidRPr="00AC328A">
        <w:tab/>
        <w:t xml:space="preserve">Faculty of Applied Social Sciences, </w:t>
      </w:r>
      <w:proofErr w:type="spellStart"/>
      <w:r w:rsidRPr="00AC328A">
        <w:t>Universiti</w:t>
      </w:r>
      <w:proofErr w:type="spellEnd"/>
      <w:r w:rsidRPr="00AC328A">
        <w:t xml:space="preserve"> Sultan Zainal Abidin, 21300 Kuala </w:t>
      </w:r>
      <w:proofErr w:type="spellStart"/>
      <w:r w:rsidRPr="00AC328A">
        <w:t>Nerus</w:t>
      </w:r>
      <w:proofErr w:type="spellEnd"/>
      <w:r w:rsidRPr="00AC328A">
        <w:t>, Terengganu, Malaysia</w:t>
      </w:r>
    </w:p>
    <w:p w:rsidR="00B15D8E" w:rsidRPr="00AC328A" w:rsidRDefault="00B15D8E" w:rsidP="00B15D8E">
      <w:pPr>
        <w:spacing w:after="0" w:line="240" w:lineRule="auto"/>
        <w:ind w:left="567" w:hanging="567"/>
      </w:pPr>
      <w:r w:rsidRPr="00AC328A">
        <w:t>4</w:t>
      </w:r>
      <w:r w:rsidRPr="00AC328A">
        <w:tab/>
        <w:t xml:space="preserve">Faculty of Applied Social Sciences, </w:t>
      </w:r>
      <w:proofErr w:type="spellStart"/>
      <w:r w:rsidRPr="00AC328A">
        <w:t>Universiti</w:t>
      </w:r>
      <w:proofErr w:type="spellEnd"/>
      <w:r w:rsidRPr="00AC328A">
        <w:t xml:space="preserve"> Sultan Zainal Abidin, 21300 Kuala </w:t>
      </w:r>
      <w:proofErr w:type="spellStart"/>
      <w:r w:rsidRPr="00AC328A">
        <w:t>Nerus</w:t>
      </w:r>
      <w:proofErr w:type="spellEnd"/>
      <w:r w:rsidRPr="00AC328A">
        <w:t>, Terengganu, Malaysia</w:t>
      </w:r>
    </w:p>
    <w:p w:rsidR="00B15D8E" w:rsidRPr="00AC328A" w:rsidRDefault="00B15D8E" w:rsidP="00B15D8E">
      <w:pPr>
        <w:spacing w:after="0" w:line="240" w:lineRule="auto"/>
        <w:ind w:left="567" w:hanging="567"/>
      </w:pPr>
      <w:r w:rsidRPr="00AC328A">
        <w:t>5</w:t>
      </w:r>
      <w:r w:rsidRPr="00AC328A">
        <w:tab/>
        <w:t xml:space="preserve">Centre for Management of Academic Excellence &amp; Innovation, </w:t>
      </w:r>
      <w:proofErr w:type="spellStart"/>
      <w:r w:rsidRPr="00AC328A">
        <w:t>Universiti</w:t>
      </w:r>
      <w:proofErr w:type="spellEnd"/>
      <w:r w:rsidRPr="00AC328A">
        <w:t xml:space="preserve"> Sultan Zainal Abidin, 21300 Kuala </w:t>
      </w:r>
      <w:proofErr w:type="spellStart"/>
      <w:r w:rsidRPr="00AC328A">
        <w:t>Nerus</w:t>
      </w:r>
      <w:proofErr w:type="spellEnd"/>
      <w:r w:rsidRPr="00AC328A">
        <w:t>, Terengganu, Malaysia</w:t>
      </w:r>
    </w:p>
    <w:p w:rsidR="00B15D8E" w:rsidRDefault="00B15D8E" w:rsidP="00B15D8E">
      <w:pPr>
        <w:spacing w:after="0" w:line="240" w:lineRule="auto"/>
        <w:ind w:left="567" w:hanging="567"/>
      </w:pPr>
      <w:r>
        <w:t>6</w:t>
      </w:r>
      <w:r>
        <w:tab/>
      </w:r>
      <w:r w:rsidRPr="00AC328A">
        <w:t xml:space="preserve">Faculty of Islamic Contemporary Studies, </w:t>
      </w:r>
      <w:proofErr w:type="spellStart"/>
      <w:r w:rsidRPr="00AC328A">
        <w:t>Universiti</w:t>
      </w:r>
      <w:proofErr w:type="spellEnd"/>
      <w:r w:rsidRPr="00AC328A">
        <w:t xml:space="preserve"> Sultan Zainal Abidin, 21300 Kuala </w:t>
      </w:r>
      <w:proofErr w:type="spellStart"/>
      <w:r w:rsidRPr="00AC328A">
        <w:t>Nerus</w:t>
      </w:r>
      <w:proofErr w:type="spellEnd"/>
      <w:r w:rsidRPr="00AC328A">
        <w:t>, Terengganu, Malaysia</w:t>
      </w:r>
    </w:p>
    <w:p w:rsidR="00B15D8E" w:rsidRDefault="00B15D8E" w:rsidP="00B15D8E">
      <w:pPr>
        <w:spacing w:after="0" w:line="240" w:lineRule="auto"/>
        <w:ind w:left="567" w:hanging="567"/>
      </w:pPr>
    </w:p>
    <w:p w:rsidR="00B15D8E" w:rsidRPr="00AC328A" w:rsidRDefault="00B15D8E" w:rsidP="00B15D8E">
      <w:pPr>
        <w:spacing w:after="0" w:line="240" w:lineRule="auto"/>
        <w:ind w:left="567" w:hanging="567"/>
      </w:pPr>
      <w:r>
        <w:t>*Corresponding Author: tg_fatimah@unisza.edu.my</w:t>
      </w:r>
    </w:p>
    <w:p w:rsidR="00AC328A" w:rsidRDefault="00B15D8E" w:rsidP="00B04BFF">
      <w:pPr>
        <w:rPr>
          <w:b/>
          <w:bCs/>
        </w:rPr>
      </w:pPr>
      <w:r>
        <w:rPr>
          <w:b/>
          <w:bCs/>
        </w:rPr>
        <w:br w:type="column"/>
      </w:r>
      <w:r w:rsidR="00B04BFF" w:rsidRPr="00B04BFF">
        <w:rPr>
          <w:b/>
          <w:bCs/>
        </w:rPr>
        <w:lastRenderedPageBreak/>
        <w:t>Evaluating the Effectiveness of the Flexible Education with Soul (</w:t>
      </w:r>
      <w:proofErr w:type="spellStart"/>
      <w:r w:rsidR="00B04BFF" w:rsidRPr="00B04BFF">
        <w:rPr>
          <w:b/>
          <w:bCs/>
        </w:rPr>
        <w:t>FlexS</w:t>
      </w:r>
      <w:proofErr w:type="spellEnd"/>
      <w:r w:rsidR="00B04BFF" w:rsidRPr="00B04BFF">
        <w:rPr>
          <w:b/>
          <w:bCs/>
        </w:rPr>
        <w:t xml:space="preserve">) Model in Enhancing Staff Engagement at </w:t>
      </w:r>
      <w:proofErr w:type="spellStart"/>
      <w:r w:rsidR="00B04BFF" w:rsidRPr="00B04BFF">
        <w:rPr>
          <w:b/>
          <w:bCs/>
        </w:rPr>
        <w:t>Universiti</w:t>
      </w:r>
      <w:proofErr w:type="spellEnd"/>
      <w:r w:rsidR="00B04BFF" w:rsidRPr="00B04BFF">
        <w:rPr>
          <w:b/>
          <w:bCs/>
        </w:rPr>
        <w:t xml:space="preserve"> Sultan Zainal Abidin (UniSZA) </w:t>
      </w:r>
    </w:p>
    <w:p w:rsidR="00AC328A" w:rsidRPr="00AC328A" w:rsidRDefault="00AC328A" w:rsidP="00AC328A">
      <w:pPr>
        <w:spacing w:after="0" w:line="240" w:lineRule="auto"/>
        <w:jc w:val="both"/>
      </w:pPr>
      <w:r w:rsidRPr="00AC328A">
        <w:t>Tengku Fatimah Muliana Tengku Muda</w:t>
      </w:r>
      <w:r w:rsidRPr="00AC328A">
        <w:rPr>
          <w:vertAlign w:val="superscript"/>
        </w:rPr>
        <w:t>1</w:t>
      </w:r>
      <w:r w:rsidRPr="00AC328A">
        <w:t>*, Siti Khatijah Ismail</w:t>
      </w:r>
      <w:r w:rsidRPr="00AC328A">
        <w:rPr>
          <w:vertAlign w:val="superscript"/>
        </w:rPr>
        <w:t>2</w:t>
      </w:r>
      <w:r w:rsidRPr="00AC328A">
        <w:t xml:space="preserve">, Wan </w:t>
      </w:r>
      <w:proofErr w:type="gramStart"/>
      <w:r w:rsidRPr="00AC328A">
        <w:t>Nor</w:t>
      </w:r>
      <w:proofErr w:type="gramEnd"/>
      <w:r w:rsidRPr="00AC328A">
        <w:t xml:space="preserve"> Jazmina Wan</w:t>
      </w:r>
      <w:r>
        <w:t xml:space="preserve"> </w:t>
      </w:r>
      <w:r w:rsidRPr="00AC328A">
        <w:t>Ariffin</w:t>
      </w:r>
      <w:r w:rsidRPr="00AC328A">
        <w:rPr>
          <w:vertAlign w:val="superscript"/>
        </w:rPr>
        <w:t>3</w:t>
      </w:r>
      <w:r w:rsidRPr="00AC328A">
        <w:t xml:space="preserve">, Wan </w:t>
      </w:r>
      <w:proofErr w:type="gramStart"/>
      <w:r w:rsidRPr="00AC328A">
        <w:t>Nor</w:t>
      </w:r>
      <w:proofErr w:type="gramEnd"/>
      <w:r w:rsidRPr="00AC328A">
        <w:t xml:space="preserve"> </w:t>
      </w:r>
      <w:proofErr w:type="spellStart"/>
      <w:r w:rsidRPr="00AC328A">
        <w:t>Azilawanie</w:t>
      </w:r>
      <w:proofErr w:type="spellEnd"/>
      <w:r w:rsidRPr="00AC328A">
        <w:t xml:space="preserve"> binti Tun Ismail</w:t>
      </w:r>
      <w:r w:rsidRPr="00AC328A">
        <w:rPr>
          <w:vertAlign w:val="superscript"/>
        </w:rPr>
        <w:t>4</w:t>
      </w:r>
      <w:r w:rsidRPr="00AC328A">
        <w:t xml:space="preserve">, </w:t>
      </w:r>
      <w:proofErr w:type="spellStart"/>
      <w:r w:rsidRPr="00AC328A">
        <w:t>Norlia</w:t>
      </w:r>
      <w:proofErr w:type="spellEnd"/>
      <w:r w:rsidRPr="00AC328A">
        <w:t xml:space="preserve"> binti Muhamad</w:t>
      </w:r>
      <w:proofErr w:type="gramStart"/>
      <w:r w:rsidRPr="00AC328A">
        <w:rPr>
          <w:vertAlign w:val="superscript"/>
        </w:rPr>
        <w:t>5</w:t>
      </w:r>
      <w:r>
        <w:t>,W</w:t>
      </w:r>
      <w:proofErr w:type="gramEnd"/>
      <w:r>
        <w:t xml:space="preserve"> Omar Ali Saifuddin Wan Ismail</w:t>
      </w:r>
      <w:r w:rsidRPr="00AC328A">
        <w:rPr>
          <w:vertAlign w:val="superscript"/>
        </w:rPr>
        <w:t>6</w:t>
      </w:r>
      <w:r>
        <w:t>, Ouarda Gacem</w:t>
      </w:r>
      <w:r w:rsidRPr="00AC328A">
        <w:rPr>
          <w:vertAlign w:val="superscript"/>
        </w:rPr>
        <w:t>7</w:t>
      </w:r>
    </w:p>
    <w:p w:rsidR="00AC328A" w:rsidRPr="00AC328A" w:rsidRDefault="00AC328A" w:rsidP="0034566B">
      <w:pPr>
        <w:spacing w:after="0" w:line="240" w:lineRule="auto"/>
      </w:pPr>
    </w:p>
    <w:p w:rsidR="00AC328A" w:rsidRPr="00AC328A" w:rsidRDefault="00AC328A" w:rsidP="00AC328A">
      <w:pPr>
        <w:spacing w:after="0" w:line="240" w:lineRule="auto"/>
        <w:ind w:left="567" w:hanging="567"/>
      </w:pPr>
      <w:r w:rsidRPr="00AC328A">
        <w:t>1</w:t>
      </w:r>
      <w:r w:rsidRPr="00AC328A">
        <w:tab/>
        <w:t xml:space="preserve">Faculty of Islamic Contemporary Studies, </w:t>
      </w:r>
      <w:proofErr w:type="spellStart"/>
      <w:r w:rsidRPr="00AC328A">
        <w:t>Universiti</w:t>
      </w:r>
      <w:proofErr w:type="spellEnd"/>
      <w:r w:rsidRPr="00AC328A">
        <w:t xml:space="preserve"> Sultan Zainal Abidin, 21300 Kuala </w:t>
      </w:r>
      <w:proofErr w:type="spellStart"/>
      <w:r w:rsidRPr="00AC328A">
        <w:t>Nerus</w:t>
      </w:r>
      <w:proofErr w:type="spellEnd"/>
      <w:r w:rsidRPr="00AC328A">
        <w:t xml:space="preserve">, Terengganu, Malaysia </w:t>
      </w:r>
    </w:p>
    <w:p w:rsidR="00AC328A" w:rsidRPr="00AC328A" w:rsidRDefault="00AC328A" w:rsidP="00AC328A">
      <w:pPr>
        <w:spacing w:after="0" w:line="240" w:lineRule="auto"/>
        <w:ind w:left="567" w:hanging="567"/>
      </w:pPr>
      <w:r w:rsidRPr="00AC328A">
        <w:t>2</w:t>
      </w:r>
      <w:r w:rsidRPr="00AC328A">
        <w:tab/>
        <w:t xml:space="preserve">Faculty of Islamic Contemporary Studies, </w:t>
      </w:r>
      <w:proofErr w:type="spellStart"/>
      <w:r w:rsidRPr="00AC328A">
        <w:t>Universiti</w:t>
      </w:r>
      <w:proofErr w:type="spellEnd"/>
      <w:r w:rsidRPr="00AC328A">
        <w:t xml:space="preserve"> Sultan Zainal Abidin, 21300 Kuala </w:t>
      </w:r>
      <w:proofErr w:type="spellStart"/>
      <w:r w:rsidRPr="00AC328A">
        <w:t>Nerus</w:t>
      </w:r>
      <w:proofErr w:type="spellEnd"/>
      <w:r w:rsidRPr="00AC328A">
        <w:t>, Terengganu, Malaysia</w:t>
      </w:r>
    </w:p>
    <w:p w:rsidR="00AC328A" w:rsidRPr="00AC328A" w:rsidRDefault="00AC328A" w:rsidP="00AC328A">
      <w:pPr>
        <w:spacing w:after="0" w:line="240" w:lineRule="auto"/>
        <w:ind w:left="567" w:hanging="567"/>
      </w:pPr>
      <w:r w:rsidRPr="00AC328A">
        <w:t>3</w:t>
      </w:r>
      <w:r w:rsidRPr="00AC328A">
        <w:tab/>
        <w:t xml:space="preserve">Faculty of Applied Social Sciences, </w:t>
      </w:r>
      <w:proofErr w:type="spellStart"/>
      <w:r w:rsidRPr="00AC328A">
        <w:t>Universiti</w:t>
      </w:r>
      <w:proofErr w:type="spellEnd"/>
      <w:r w:rsidRPr="00AC328A">
        <w:t xml:space="preserve"> Sultan Zainal Abidin, 21300 Kuala </w:t>
      </w:r>
      <w:proofErr w:type="spellStart"/>
      <w:r w:rsidRPr="00AC328A">
        <w:t>Nerus</w:t>
      </w:r>
      <w:proofErr w:type="spellEnd"/>
      <w:r w:rsidRPr="00AC328A">
        <w:t>, Terengganu, Malaysia</w:t>
      </w:r>
    </w:p>
    <w:p w:rsidR="00AC328A" w:rsidRPr="00AC328A" w:rsidRDefault="00AC328A" w:rsidP="00AC328A">
      <w:pPr>
        <w:spacing w:after="0" w:line="240" w:lineRule="auto"/>
        <w:ind w:left="567" w:hanging="567"/>
      </w:pPr>
      <w:r w:rsidRPr="00AC328A">
        <w:t>4</w:t>
      </w:r>
      <w:r w:rsidRPr="00AC328A">
        <w:tab/>
        <w:t xml:space="preserve">Faculty of Applied Social Sciences, </w:t>
      </w:r>
      <w:proofErr w:type="spellStart"/>
      <w:r w:rsidRPr="00AC328A">
        <w:t>Universiti</w:t>
      </w:r>
      <w:proofErr w:type="spellEnd"/>
      <w:r w:rsidRPr="00AC328A">
        <w:t xml:space="preserve"> Sultan Zainal Abidin, 21300 Kuala </w:t>
      </w:r>
      <w:proofErr w:type="spellStart"/>
      <w:r w:rsidRPr="00AC328A">
        <w:t>Nerus</w:t>
      </w:r>
      <w:proofErr w:type="spellEnd"/>
      <w:r w:rsidRPr="00AC328A">
        <w:t>, Terengganu, Malaysia</w:t>
      </w:r>
    </w:p>
    <w:p w:rsidR="00AC328A" w:rsidRPr="00AC328A" w:rsidRDefault="00AC328A" w:rsidP="00AC328A">
      <w:pPr>
        <w:spacing w:after="0" w:line="240" w:lineRule="auto"/>
        <w:ind w:left="567" w:hanging="567"/>
      </w:pPr>
      <w:r w:rsidRPr="00AC328A">
        <w:t>5</w:t>
      </w:r>
      <w:r w:rsidRPr="00AC328A">
        <w:tab/>
        <w:t xml:space="preserve">Centre for Management of Academic Excellence &amp; Innovation, </w:t>
      </w:r>
      <w:proofErr w:type="spellStart"/>
      <w:r w:rsidRPr="00AC328A">
        <w:t>Universiti</w:t>
      </w:r>
      <w:proofErr w:type="spellEnd"/>
      <w:r w:rsidRPr="00AC328A">
        <w:t xml:space="preserve"> Sultan Zainal Abidin, 21300 Kuala </w:t>
      </w:r>
      <w:proofErr w:type="spellStart"/>
      <w:r w:rsidRPr="00AC328A">
        <w:t>Nerus</w:t>
      </w:r>
      <w:proofErr w:type="spellEnd"/>
      <w:r w:rsidRPr="00AC328A">
        <w:t>, Terengganu, Malaysia</w:t>
      </w:r>
    </w:p>
    <w:p w:rsidR="00AC328A" w:rsidRDefault="00AC328A" w:rsidP="00AC328A">
      <w:pPr>
        <w:spacing w:after="0" w:line="240" w:lineRule="auto"/>
        <w:ind w:left="567" w:hanging="567"/>
      </w:pPr>
      <w:r>
        <w:t>6</w:t>
      </w:r>
      <w:r>
        <w:tab/>
      </w:r>
      <w:r w:rsidRPr="00AC328A">
        <w:t xml:space="preserve">Faculty of Islamic Contemporary Studies, </w:t>
      </w:r>
      <w:proofErr w:type="spellStart"/>
      <w:r w:rsidRPr="00AC328A">
        <w:t>Universiti</w:t>
      </w:r>
      <w:proofErr w:type="spellEnd"/>
      <w:r w:rsidRPr="00AC328A">
        <w:t xml:space="preserve"> Sultan Zainal Abidin, 21300 Kuala </w:t>
      </w:r>
      <w:proofErr w:type="spellStart"/>
      <w:r w:rsidRPr="00AC328A">
        <w:t>Nerus</w:t>
      </w:r>
      <w:proofErr w:type="spellEnd"/>
      <w:r w:rsidRPr="00AC328A">
        <w:t>, Terengganu, Malaysia</w:t>
      </w:r>
    </w:p>
    <w:p w:rsidR="00AC328A" w:rsidRDefault="00AC328A" w:rsidP="00AC328A">
      <w:pPr>
        <w:spacing w:after="0" w:line="240" w:lineRule="auto"/>
        <w:ind w:left="567" w:hanging="567"/>
      </w:pPr>
    </w:p>
    <w:p w:rsidR="00AC328A" w:rsidRDefault="00AC328A" w:rsidP="00AC328A">
      <w:pPr>
        <w:spacing w:after="0" w:line="240" w:lineRule="auto"/>
        <w:ind w:left="567" w:hanging="567"/>
      </w:pPr>
    </w:p>
    <w:p w:rsidR="00AC328A" w:rsidRPr="00AC328A" w:rsidRDefault="00AC328A" w:rsidP="00AC328A">
      <w:pPr>
        <w:spacing w:after="0" w:line="240" w:lineRule="auto"/>
        <w:ind w:left="567" w:hanging="567"/>
      </w:pPr>
      <w:r>
        <w:t>*Corresponding Author: tg_fatimah@unisza.edu.my</w:t>
      </w:r>
    </w:p>
    <w:p w:rsidR="00AC328A" w:rsidRPr="00AC328A" w:rsidRDefault="00AC328A" w:rsidP="00AC328A">
      <w:pPr>
        <w:spacing w:after="0" w:line="240" w:lineRule="auto"/>
      </w:pPr>
    </w:p>
    <w:p w:rsidR="00B04BFF" w:rsidRPr="00B15D8E" w:rsidRDefault="00B04BFF" w:rsidP="00B04BFF">
      <w:pPr>
        <w:rPr>
          <w:b/>
          <w:bCs/>
        </w:rPr>
      </w:pPr>
      <w:r w:rsidRPr="00B04BFF">
        <w:rPr>
          <w:b/>
          <w:bCs/>
        </w:rPr>
        <w:t xml:space="preserve"> </w:t>
      </w:r>
    </w:p>
    <w:p w:rsidR="00B04BFF" w:rsidRPr="00B15D8E" w:rsidRDefault="00B04BFF" w:rsidP="00B04BFF">
      <w:pPr>
        <w:rPr>
          <w:b/>
          <w:bCs/>
        </w:rPr>
      </w:pPr>
      <w:r>
        <w:t xml:space="preserve"> </w:t>
      </w:r>
      <w:r w:rsidRPr="00B15D8E">
        <w:rPr>
          <w:b/>
          <w:bCs/>
        </w:rPr>
        <w:t xml:space="preserve">Abstract  </w:t>
      </w:r>
    </w:p>
    <w:p w:rsidR="00B04BFF" w:rsidRDefault="00B04BFF" w:rsidP="002974F1">
      <w:pPr>
        <w:jc w:val="both"/>
      </w:pPr>
      <w:r>
        <w:t>The Flexible Education with Soul (</w:t>
      </w:r>
      <w:proofErr w:type="spellStart"/>
      <w:r>
        <w:t>FlexS</w:t>
      </w:r>
      <w:proofErr w:type="spellEnd"/>
      <w:r>
        <w:t xml:space="preserve">) model introduced at </w:t>
      </w:r>
      <w:proofErr w:type="spellStart"/>
      <w:r>
        <w:t>Universiti</w:t>
      </w:r>
      <w:proofErr w:type="spellEnd"/>
      <w:r>
        <w:t xml:space="preserve"> Sultan Zainal Abidin (UniSZA) represents a transformative approach to higher education by integrating lifelong learning, spiritual values, and professional ethics. This study comprehensively evaluates the effectiveness of </w:t>
      </w:r>
      <w:proofErr w:type="spellStart"/>
      <w:r>
        <w:t>FlexS</w:t>
      </w:r>
      <w:proofErr w:type="spellEnd"/>
      <w:r>
        <w:t xml:space="preserve"> programs in enhancing staff knowledge, practice, and internalization of its four core pillars: (1) sound faith/metaphysics, (2) scientific reasoning, (3) noble character, and (4) professional work ethics. Employing a mixed-methods design, the research collected quantitative data from 320 staff members through structured surveys and qualitative insights from in-depth interviews.  Quantitative findings revealed high mean scores for knowledge (M = 4.10, SD = 0.69), practice (M = 4.47, SD = 0.47), and internalization (M = 4.24, SD = 0.71), indicating strong engagement with </w:t>
      </w:r>
      <w:proofErr w:type="spellStart"/>
      <w:r>
        <w:t>FlexS</w:t>
      </w:r>
      <w:proofErr w:type="spellEnd"/>
      <w:r>
        <w:t xml:space="preserve"> principles. Regression analysis demonstrated that knowledge was the most significant predictor of internalization (β = 0.513, p &lt; 0.001), accounting for 36.8% of the variance. Qualitative themes highlighted enhanced value internalization, improved workplace well-being, and identified challenges such as inconsistent implementation and the need for clearer guidelines. The study underscores the importance of structured, value-based training programs in higher education and provides actionable recommendations for optimizing the </w:t>
      </w:r>
      <w:proofErr w:type="spellStart"/>
      <w:r>
        <w:t>FlexS</w:t>
      </w:r>
      <w:proofErr w:type="spellEnd"/>
      <w:r>
        <w:t xml:space="preserve"> model. These findings contribute to the broader discourse on holistic education frameworks and offer a replicable model for institutions aiming to balance academic excellence with moral and spiritual development.  </w:t>
      </w:r>
    </w:p>
    <w:p w:rsidR="0034566B" w:rsidRDefault="00B04BFF" w:rsidP="002974F1">
      <w:pPr>
        <w:jc w:val="both"/>
      </w:pPr>
      <w:r>
        <w:t xml:space="preserve">Keywords: Flexible education, spiritual integration, staff development, higher education, Malaysia, value-based learning  </w:t>
      </w:r>
    </w:p>
    <w:p w:rsidR="00B04BFF" w:rsidRDefault="00B04BFF" w:rsidP="00B04BFF">
      <w:r>
        <w:t xml:space="preserve"> </w:t>
      </w:r>
      <w:r w:rsidR="00B15D8E" w:rsidRPr="00B15D8E">
        <w:rPr>
          <w:b/>
          <w:bCs/>
        </w:rPr>
        <w:t xml:space="preserve">INTRODUCTION </w:t>
      </w:r>
      <w:r>
        <w:t xml:space="preserve"> </w:t>
      </w:r>
    </w:p>
    <w:p w:rsidR="00B15D8E" w:rsidRDefault="00B04BFF" w:rsidP="00B15D8E">
      <w:pPr>
        <w:jc w:val="both"/>
      </w:pPr>
      <w:r>
        <w:lastRenderedPageBreak/>
        <w:t xml:space="preserve">The global higher education landscape is increasingly recognizing the need to integrate moral and spiritual values alongside academic </w:t>
      </w:r>
      <w:r w:rsidR="002974F1">
        <w:t>excellence</w:t>
      </w:r>
      <w:r>
        <w:t xml:space="preserve">. In response to this paradigm shift, </w:t>
      </w:r>
      <w:proofErr w:type="spellStart"/>
      <w:r>
        <w:t>Universiti</w:t>
      </w:r>
      <w:proofErr w:type="spellEnd"/>
      <w:r>
        <w:t xml:space="preserve"> Sultan Zainal Abidin (UniSZA) introduced the Flexible Education with Soul (</w:t>
      </w:r>
      <w:proofErr w:type="spellStart"/>
      <w:r>
        <w:t>FlexS</w:t>
      </w:r>
      <w:proofErr w:type="spellEnd"/>
      <w:r>
        <w:t>) model in 2017. This innovative framework seeks to cultivate a knowledge-driven workforce grounded in Islamic principles, lifelong learning, and professional ethics.</w:t>
      </w:r>
      <w:r w:rsidR="00B15D8E">
        <w:t xml:space="preserve"> </w:t>
      </w:r>
      <w:r w:rsidR="005659EE" w:rsidRPr="005659EE">
        <w:t xml:space="preserve">The </w:t>
      </w:r>
      <w:proofErr w:type="spellStart"/>
      <w:r w:rsidR="005659EE" w:rsidRPr="005659EE">
        <w:t>FlexS</w:t>
      </w:r>
      <w:proofErr w:type="spellEnd"/>
      <w:r w:rsidR="005659EE" w:rsidRPr="005659EE">
        <w:t xml:space="preserve"> model is built upon three main components: foundation, orientation, and pillars. Its foundational component represents the integration of knowledge and faith, guided by the orientation of </w:t>
      </w:r>
      <w:proofErr w:type="spellStart"/>
      <w:r w:rsidR="005659EE" w:rsidRPr="005659EE">
        <w:rPr>
          <w:i/>
          <w:iCs/>
        </w:rPr>
        <w:t>ta’lim</w:t>
      </w:r>
      <w:proofErr w:type="spellEnd"/>
      <w:r w:rsidR="005659EE" w:rsidRPr="005659EE">
        <w:t xml:space="preserve"> (instruction) and </w:t>
      </w:r>
      <w:proofErr w:type="spellStart"/>
      <w:r w:rsidR="005659EE" w:rsidRPr="005659EE">
        <w:rPr>
          <w:i/>
          <w:iCs/>
        </w:rPr>
        <w:t>tarbiyah</w:t>
      </w:r>
      <w:proofErr w:type="spellEnd"/>
      <w:r w:rsidR="005659EE" w:rsidRPr="005659EE">
        <w:t xml:space="preserve"> (holistic education). This foundation is further strengthened by four core pillars: sound faith/metaphysics (</w:t>
      </w:r>
      <w:proofErr w:type="spellStart"/>
      <w:r w:rsidR="005659EE" w:rsidRPr="005659EE">
        <w:rPr>
          <w:i/>
          <w:iCs/>
        </w:rPr>
        <w:t>akidah</w:t>
      </w:r>
      <w:proofErr w:type="spellEnd"/>
      <w:r w:rsidR="005659EE" w:rsidRPr="005659EE">
        <w:rPr>
          <w:i/>
          <w:iCs/>
        </w:rPr>
        <w:t xml:space="preserve"> sahih</w:t>
      </w:r>
      <w:r w:rsidR="005659EE" w:rsidRPr="005659EE">
        <w:t>), sound/scientific reasoning (</w:t>
      </w:r>
      <w:proofErr w:type="spellStart"/>
      <w:r w:rsidR="005659EE" w:rsidRPr="005659EE">
        <w:rPr>
          <w:i/>
          <w:iCs/>
        </w:rPr>
        <w:t>pemikiran</w:t>
      </w:r>
      <w:proofErr w:type="spellEnd"/>
      <w:r w:rsidR="005659EE" w:rsidRPr="005659EE">
        <w:rPr>
          <w:i/>
          <w:iCs/>
        </w:rPr>
        <w:t xml:space="preserve"> sahih</w:t>
      </w:r>
      <w:r w:rsidR="005659EE" w:rsidRPr="005659EE">
        <w:t>), noble character (</w:t>
      </w:r>
      <w:proofErr w:type="spellStart"/>
      <w:r w:rsidR="005659EE" w:rsidRPr="005659EE">
        <w:rPr>
          <w:i/>
          <w:iCs/>
        </w:rPr>
        <w:t>sahsiah</w:t>
      </w:r>
      <w:proofErr w:type="spellEnd"/>
      <w:r w:rsidR="005659EE" w:rsidRPr="005659EE">
        <w:rPr>
          <w:i/>
          <w:iCs/>
        </w:rPr>
        <w:t xml:space="preserve"> </w:t>
      </w:r>
      <w:proofErr w:type="spellStart"/>
      <w:r w:rsidR="005659EE" w:rsidRPr="005659EE">
        <w:rPr>
          <w:i/>
          <w:iCs/>
        </w:rPr>
        <w:t>mulia</w:t>
      </w:r>
      <w:proofErr w:type="spellEnd"/>
      <w:r w:rsidR="005659EE" w:rsidRPr="005659EE">
        <w:t>), and professional work ethics (</w:t>
      </w:r>
      <w:proofErr w:type="spellStart"/>
      <w:r w:rsidR="005659EE" w:rsidRPr="005659EE">
        <w:rPr>
          <w:i/>
          <w:iCs/>
        </w:rPr>
        <w:t>budaya</w:t>
      </w:r>
      <w:proofErr w:type="spellEnd"/>
      <w:r w:rsidR="005659EE" w:rsidRPr="005659EE">
        <w:rPr>
          <w:i/>
          <w:iCs/>
        </w:rPr>
        <w:t xml:space="preserve"> </w:t>
      </w:r>
      <w:proofErr w:type="spellStart"/>
      <w:r w:rsidR="005659EE" w:rsidRPr="005659EE">
        <w:rPr>
          <w:i/>
          <w:iCs/>
        </w:rPr>
        <w:t>kerja</w:t>
      </w:r>
      <w:proofErr w:type="spellEnd"/>
      <w:r w:rsidR="005659EE" w:rsidRPr="005659EE">
        <w:rPr>
          <w:i/>
          <w:iCs/>
        </w:rPr>
        <w:t xml:space="preserve"> </w:t>
      </w:r>
      <w:proofErr w:type="spellStart"/>
      <w:r w:rsidR="005659EE" w:rsidRPr="005659EE">
        <w:rPr>
          <w:i/>
          <w:iCs/>
        </w:rPr>
        <w:t>profesional</w:t>
      </w:r>
      <w:proofErr w:type="spellEnd"/>
      <w:r w:rsidR="005659EE" w:rsidRPr="005659EE">
        <w:t>).</w:t>
      </w:r>
      <w:r w:rsidR="005659EE">
        <w:t xml:space="preserve"> T</w:t>
      </w:r>
      <w:r w:rsidR="005659EE" w:rsidRPr="005659EE">
        <w:t>he four foundational pillars emphasize spiritual grounding and ethical clarity, promote critical thinking and evidence-based decision-making, nurture integrity, empathy, and social responsibility, and uphold excellence, accountability, and adaptability in the workplace.</w:t>
      </w:r>
    </w:p>
    <w:p w:rsidR="00B15D8E" w:rsidRDefault="00B15D8E" w:rsidP="00B15D8E">
      <w:pPr>
        <w:jc w:val="both"/>
      </w:pPr>
      <w:r w:rsidRPr="00B15D8E">
        <w:t xml:space="preserve">Together, these pillars form a holistic framework that aims to produce well-rounded individuals equipped to thrive in both personal and professional spheres. By integrating spiritual consciousness with intellectual rigor, </w:t>
      </w:r>
      <w:proofErr w:type="spellStart"/>
      <w:r w:rsidRPr="00B15D8E">
        <w:t>FlexS</w:t>
      </w:r>
      <w:proofErr w:type="spellEnd"/>
      <w:r w:rsidRPr="00B15D8E">
        <w:t xml:space="preserve"> encourages learners to navigate complex challenges with moral clarity and analytical precision. The cultivation of noble character ensures that individuals act with compassion and uphold social harmony, while the emphasis on professional ethics prepares them to contribute meaningfully to the workforce with a strong sense of responsibility and adaptability. This synergy of values reflects the vision of </w:t>
      </w:r>
      <w:proofErr w:type="spellStart"/>
      <w:r w:rsidRPr="00B15D8E">
        <w:t>FlexS</w:t>
      </w:r>
      <w:proofErr w:type="spellEnd"/>
      <w:r w:rsidRPr="00B15D8E">
        <w:t xml:space="preserve"> to nurture graduates who embody excellence with soul.</w:t>
      </w:r>
    </w:p>
    <w:p w:rsidR="00B04BFF" w:rsidRDefault="00B04BFF" w:rsidP="00BD0D85">
      <w:pPr>
        <w:jc w:val="both"/>
      </w:pPr>
      <w:r>
        <w:t xml:space="preserve">Despite the growing adoption of value-based education models, empirical research on their effectiveness remains limited. This study addresses this gap by evaluating the impact of </w:t>
      </w:r>
      <w:proofErr w:type="spellStart"/>
      <w:r>
        <w:t>FlexS</w:t>
      </w:r>
      <w:proofErr w:type="spellEnd"/>
      <w:r>
        <w:t xml:space="preserve"> programs on staff engagement, focusing on three key dimensions: </w:t>
      </w:r>
      <w:r w:rsidR="00B15D8E">
        <w:t>(</w:t>
      </w:r>
      <w:proofErr w:type="spellStart"/>
      <w:r w:rsidR="00B15D8E">
        <w:t>i</w:t>
      </w:r>
      <w:proofErr w:type="spellEnd"/>
      <w:r w:rsidR="00B15D8E">
        <w:t xml:space="preserve">) </w:t>
      </w:r>
      <w:r>
        <w:t xml:space="preserve">Knowledge: Understanding of </w:t>
      </w:r>
      <w:proofErr w:type="spellStart"/>
      <w:r>
        <w:t>FlexS</w:t>
      </w:r>
      <w:proofErr w:type="spellEnd"/>
      <w:r>
        <w:t xml:space="preserve"> principles</w:t>
      </w:r>
      <w:r w:rsidR="00B15D8E">
        <w:t>;</w:t>
      </w:r>
      <w:r>
        <w:t xml:space="preserve"> </w:t>
      </w:r>
      <w:r w:rsidR="00B15D8E">
        <w:t xml:space="preserve">(ii) </w:t>
      </w:r>
      <w:r>
        <w:t>Practice: Application of these principles in daily work</w:t>
      </w:r>
      <w:r w:rsidR="00B15D8E">
        <w:t xml:space="preserve">; and (iii) </w:t>
      </w:r>
      <w:r>
        <w:t xml:space="preserve">Internalization: Personal and professional alignment with </w:t>
      </w:r>
      <w:proofErr w:type="spellStart"/>
      <w:r>
        <w:t>FlexS</w:t>
      </w:r>
      <w:proofErr w:type="spellEnd"/>
      <w:r>
        <w:t xml:space="preserve"> values. The findings provide insights for educators, and administrators seeking to implement similar frameworks in higher education institutions.  </w:t>
      </w:r>
    </w:p>
    <w:p w:rsidR="00BD0D85" w:rsidRDefault="00B04BFF" w:rsidP="00B04BFF">
      <w:r>
        <w:t xml:space="preserve"> </w:t>
      </w:r>
    </w:p>
    <w:p w:rsidR="00B04BFF" w:rsidRPr="002974F1" w:rsidRDefault="00BD0D85" w:rsidP="00B04BFF">
      <w:pPr>
        <w:rPr>
          <w:b/>
          <w:bCs/>
        </w:rPr>
      </w:pPr>
      <w:r w:rsidRPr="00BD0D85">
        <w:rPr>
          <w:b/>
          <w:bCs/>
        </w:rPr>
        <w:t>LITERATURE REVIEW</w:t>
      </w:r>
      <w:r w:rsidR="00B04BFF" w:rsidRPr="00BD0D85">
        <w:rPr>
          <w:b/>
          <w:bCs/>
        </w:rPr>
        <w:t xml:space="preserve">  </w:t>
      </w:r>
    </w:p>
    <w:p w:rsidR="002974F1" w:rsidRDefault="002974F1" w:rsidP="00BD0D85">
      <w:pPr>
        <w:jc w:val="both"/>
      </w:pPr>
      <w:r w:rsidRPr="002974F1">
        <w:t>The integration of core values within educational institutions has garnered increasing attention, particularly in the context of value-based education. As universities strive to produce graduates with both intellectual competence and ethical integrity, scholarly attention has turned toward understanding how knowledge, practical application, and internalization of values inter</w:t>
      </w:r>
      <w:r>
        <w:t>relate</w:t>
      </w:r>
      <w:r w:rsidRPr="002974F1">
        <w:t xml:space="preserve"> in shaping academic and professional </w:t>
      </w:r>
      <w:proofErr w:type="spellStart"/>
      <w:r w:rsidRPr="002974F1">
        <w:t>behavior</w:t>
      </w:r>
      <w:proofErr w:type="spellEnd"/>
      <w:r w:rsidRPr="002974F1">
        <w:t xml:space="preserve">. </w:t>
      </w:r>
    </w:p>
    <w:p w:rsidR="005659EE" w:rsidRDefault="002974F1" w:rsidP="00BD0D85">
      <w:pPr>
        <w:jc w:val="both"/>
      </w:pPr>
      <w:r>
        <w:t xml:space="preserve">According to </w:t>
      </w:r>
      <w:r w:rsidR="005659EE" w:rsidRPr="005659EE">
        <w:t xml:space="preserve">Kamarul </w:t>
      </w:r>
      <w:proofErr w:type="spellStart"/>
      <w:r w:rsidR="005659EE" w:rsidRPr="005659EE">
        <w:t>Syukri</w:t>
      </w:r>
      <w:proofErr w:type="spellEnd"/>
      <w:r w:rsidR="005659EE" w:rsidRPr="005659EE">
        <w:t xml:space="preserve"> (2023)</w:t>
      </w:r>
      <w:r>
        <w:t xml:space="preserve">, </w:t>
      </w:r>
      <w:r w:rsidR="005659EE" w:rsidRPr="005659EE">
        <w:t xml:space="preserve">the concept of </w:t>
      </w:r>
      <w:r w:rsidR="005659EE" w:rsidRPr="005659EE">
        <w:rPr>
          <w:i/>
          <w:iCs/>
        </w:rPr>
        <w:t>Flexible Education with Soul</w:t>
      </w:r>
      <w:r w:rsidR="005659EE" w:rsidRPr="005659EE">
        <w:t xml:space="preserve"> as a strategic framework that not only embraces structural and pedagogical flexibility but also re-</w:t>
      </w:r>
      <w:proofErr w:type="spellStart"/>
      <w:r w:rsidR="005659EE" w:rsidRPr="005659EE">
        <w:t>centers</w:t>
      </w:r>
      <w:proofErr w:type="spellEnd"/>
      <w:r w:rsidR="005659EE" w:rsidRPr="005659EE">
        <w:t xml:space="preserve"> education on moral values, intellectual tradition, and the human-divine relationship. This framework underscores the importance of preserving the spirit and essence of education amid rapid technological and societal changes. The work also articulates the evolving role of the academician</w:t>
      </w:r>
      <w:r w:rsidR="002334FF">
        <w:t xml:space="preserve"> </w:t>
      </w:r>
      <w:r w:rsidR="005659EE" w:rsidRPr="005659EE">
        <w:t>as both a knowledge cultivator and a moral guide</w:t>
      </w:r>
      <w:r w:rsidR="005659EE">
        <w:t xml:space="preserve"> </w:t>
      </w:r>
      <w:r w:rsidR="005659EE" w:rsidRPr="005659EE">
        <w:t>within the 21st-century educational agenda. Kamarul's analysis offers valuable insights for reimagining higher education in a manner that is both adaptable and anchored in enduring humanistic values.</w:t>
      </w:r>
    </w:p>
    <w:p w:rsidR="005659EE" w:rsidRDefault="005659EE" w:rsidP="00BD0D85">
      <w:pPr>
        <w:jc w:val="both"/>
      </w:pPr>
      <w:r>
        <w:lastRenderedPageBreak/>
        <w:t xml:space="preserve">Prior studies also highlight the role of training in </w:t>
      </w:r>
      <w:proofErr w:type="spellStart"/>
      <w:r>
        <w:t>behavioral</w:t>
      </w:r>
      <w:proofErr w:type="spellEnd"/>
      <w:r>
        <w:t xml:space="preserve"> change and organizational performance (</w:t>
      </w:r>
      <w:proofErr w:type="spellStart"/>
      <w:r>
        <w:t>Chiaburu</w:t>
      </w:r>
      <w:proofErr w:type="spellEnd"/>
      <w:r>
        <w:t xml:space="preserve"> &amp; Marinova, 2005; Gabr, 2000). However, few examine spiritual-integrated models in higher education. </w:t>
      </w:r>
    </w:p>
    <w:p w:rsidR="002F2209" w:rsidRDefault="00B04BFF" w:rsidP="00BD0D85">
      <w:pPr>
        <w:jc w:val="both"/>
      </w:pPr>
      <w:r>
        <w:t>Bandura</w:t>
      </w:r>
      <w:r w:rsidR="008104AB">
        <w:t xml:space="preserve"> (</w:t>
      </w:r>
      <w:r>
        <w:t xml:space="preserve">1986), posits that individuals learn through observation, imitation, and reinforcement. This theoretical foundation aligns with </w:t>
      </w:r>
      <w:proofErr w:type="spellStart"/>
      <w:r>
        <w:t>FlexS’s</w:t>
      </w:r>
      <w:proofErr w:type="spellEnd"/>
      <w:r>
        <w:t xml:space="preserve"> emphasis on role </w:t>
      </w:r>
      <w:proofErr w:type="spellStart"/>
      <w:r>
        <w:t>modeling</w:t>
      </w:r>
      <w:proofErr w:type="spellEnd"/>
      <w:r>
        <w:t xml:space="preserve"> and experiential learning. </w:t>
      </w:r>
      <w:r w:rsidR="002F2209" w:rsidRPr="002F2209">
        <w:t xml:space="preserve">Additionally, Kirkpatrick’s Four-Level Training Evaluation Model (2016) provides a comprehensive framework for assessing the effectiveness of the </w:t>
      </w:r>
      <w:proofErr w:type="spellStart"/>
      <w:r w:rsidR="002F2209" w:rsidRPr="002F2209">
        <w:t>FlexS</w:t>
      </w:r>
      <w:proofErr w:type="spellEnd"/>
      <w:r w:rsidR="002F2209" w:rsidRPr="002F2209">
        <w:t xml:space="preserve"> program. The first level, reaction, focuses on participants’ satisfaction and engagement with the program. The second level, learning, evaluates the extent to which participants have acquired the intended knowledge and skills. The third level, </w:t>
      </w:r>
      <w:proofErr w:type="spellStart"/>
      <w:r w:rsidR="002F2209" w:rsidRPr="002F2209">
        <w:t>behavior</w:t>
      </w:r>
      <w:proofErr w:type="spellEnd"/>
      <w:r w:rsidR="002F2209" w:rsidRPr="002F2209">
        <w:t>, examines how well participants apply what they have learned in their actual work settings. The final level, results, assesses the overall impact of the program on organizational outcomes, such as productivity, workplace culture, and performance improvements.</w:t>
      </w:r>
    </w:p>
    <w:p w:rsidR="00BD0D85" w:rsidRPr="00BD0D85" w:rsidRDefault="00BD0D85" w:rsidP="00BD0D85">
      <w:pPr>
        <w:jc w:val="both"/>
      </w:pPr>
      <w:r w:rsidRPr="00BD0D85">
        <w:t xml:space="preserve">The necessity of evidence-based research is paramount in assessing the extent to which success is achieved through the various programs and training initiatives conducted by an organization. Training is regarded as a strategic investment made by institutions to develop a workforce that is competitive, competent, and of high quality. Therefore, every investment made in the form of organized programs, activities, or training must be systematically evaluated to ensure that the resources expended result in measurable impact and align with the intended objectives (Wan </w:t>
      </w:r>
      <w:proofErr w:type="spellStart"/>
      <w:r w:rsidRPr="00BD0D85">
        <w:t>Idros</w:t>
      </w:r>
      <w:proofErr w:type="spellEnd"/>
      <w:r w:rsidRPr="00BD0D85">
        <w:t xml:space="preserve">, 2001; </w:t>
      </w:r>
      <w:proofErr w:type="spellStart"/>
      <w:r w:rsidRPr="00BD0D85">
        <w:t>Maizatul</w:t>
      </w:r>
      <w:proofErr w:type="spellEnd"/>
      <w:r w:rsidRPr="00BD0D85">
        <w:t>, 2002; Aviana &amp; Enrico, 2004). Without such evaluation, organizations risk misallocating resources and missing opportunities for targeted improvement and strategic development.</w:t>
      </w:r>
    </w:p>
    <w:p w:rsidR="00B04BFF" w:rsidRDefault="00BD0D85" w:rsidP="002F2209">
      <w:pPr>
        <w:jc w:val="both"/>
      </w:pPr>
      <w:r w:rsidRPr="00BD0D85">
        <w:t xml:space="preserve">Within this context, it becomes crucial to examine the effectiveness of the programs implemented under the </w:t>
      </w:r>
      <w:proofErr w:type="spellStart"/>
      <w:r w:rsidRPr="00BD0D85">
        <w:t>FlexS</w:t>
      </w:r>
      <w:proofErr w:type="spellEnd"/>
      <w:r w:rsidRPr="00BD0D85">
        <w:t xml:space="preserve"> initiative. Such evaluation allows for the establishment of a structured framework for continuous improvement and the reinforcement of the core values embedded in the </w:t>
      </w:r>
      <w:proofErr w:type="spellStart"/>
      <w:r w:rsidRPr="00BD0D85">
        <w:t>FlexS</w:t>
      </w:r>
      <w:proofErr w:type="spellEnd"/>
      <w:r w:rsidRPr="00BD0D85">
        <w:t xml:space="preserve"> philosophy. Lewin (1993) emphasized that program and training evaluation plays an essential role in enabling the identification of more effective strategies to achieve institutional objectives. In this study, the </w:t>
      </w:r>
      <w:proofErr w:type="spellStart"/>
      <w:r w:rsidRPr="00BD0D85">
        <w:t>FlexS</w:t>
      </w:r>
      <w:proofErr w:type="spellEnd"/>
      <w:r w:rsidRPr="00BD0D85">
        <w:t xml:space="preserve"> initiative includes a series of workshops, activities, and training sessions designed to integrate Islamic values in alignment with its foundational vision. Accordingly, a thorough analysis of program effectiveness is essential not only to validate the impact of these initiatives but also to ensure that the goals of </w:t>
      </w:r>
      <w:proofErr w:type="spellStart"/>
      <w:r w:rsidRPr="00BD0D85">
        <w:t>FlexS</w:t>
      </w:r>
      <w:proofErr w:type="spellEnd"/>
      <w:r w:rsidRPr="00BD0D85">
        <w:t xml:space="preserve"> are being met in a sustainable and meaningful way (Mizan Adilah et al., 2003).</w:t>
      </w:r>
      <w:r w:rsidR="002334FF">
        <w:t xml:space="preserve"> </w:t>
      </w:r>
      <w:r w:rsidR="00B04BFF">
        <w:t xml:space="preserve">This study bridges this gap by providing a data-driven assessment of </w:t>
      </w:r>
      <w:proofErr w:type="spellStart"/>
      <w:r w:rsidR="00B04BFF">
        <w:t>FlexS’s</w:t>
      </w:r>
      <w:proofErr w:type="spellEnd"/>
      <w:r w:rsidR="00B04BFF">
        <w:t xml:space="preserve"> impact, contributing to the broader discourse on holistic education frameworks.  </w:t>
      </w:r>
    </w:p>
    <w:p w:rsidR="00B04BFF" w:rsidRDefault="00B04BFF" w:rsidP="00B04BFF"/>
    <w:p w:rsidR="00B04BFF" w:rsidRPr="002F2209" w:rsidRDefault="00B04BFF" w:rsidP="00B04BFF">
      <w:pPr>
        <w:rPr>
          <w:b/>
          <w:bCs/>
        </w:rPr>
      </w:pPr>
      <w:r>
        <w:t xml:space="preserve"> </w:t>
      </w:r>
      <w:r w:rsidR="002F2209" w:rsidRPr="002F2209">
        <w:rPr>
          <w:b/>
          <w:bCs/>
        </w:rPr>
        <w:t>METHODOLOGY</w:t>
      </w:r>
      <w:r w:rsidRPr="002F2209">
        <w:rPr>
          <w:b/>
          <w:bCs/>
        </w:rPr>
        <w:t xml:space="preserve">  </w:t>
      </w:r>
    </w:p>
    <w:p w:rsidR="00B04BFF" w:rsidRDefault="002F2209" w:rsidP="002F2209">
      <w:pPr>
        <w:jc w:val="both"/>
      </w:pPr>
      <w:r w:rsidRPr="002F2209">
        <w:t xml:space="preserve">This study employed a mixed-methods research design to ensure comprehensive data collection. The quantitative component involved the administration of surveys using Likert scales ranging from 1 to 5 to assess participants’ levels of knowledge, practice, and internalization related to the </w:t>
      </w:r>
      <w:proofErr w:type="spellStart"/>
      <w:r w:rsidRPr="002F2209">
        <w:t>FlexS</w:t>
      </w:r>
      <w:proofErr w:type="spellEnd"/>
      <w:r w:rsidRPr="002F2209">
        <w:t xml:space="preserve"> program. Complementing this, the qualitative component consisted of semi-structured interviews with five selected staff members to gain deeper insights into their experiences and the challenges encountered during program implementation. The sampling strategy was guided by </w:t>
      </w:r>
      <w:proofErr w:type="spellStart"/>
      <w:r w:rsidRPr="002F2209">
        <w:t>Krejcie</w:t>
      </w:r>
      <w:proofErr w:type="spellEnd"/>
      <w:r w:rsidRPr="002F2209">
        <w:t xml:space="preserve"> and Morgan’s (1970) sampling table, through which </w:t>
      </w:r>
      <w:r w:rsidRPr="002F2209">
        <w:lastRenderedPageBreak/>
        <w:t>320 staff members were randomly selected from 40 departments at UniSZA. The sample was designed to ensure adequate representation across gender, age groups, and professional roles, including both academic and administrative staff.</w:t>
      </w:r>
    </w:p>
    <w:p w:rsidR="001A305B" w:rsidRDefault="001A305B" w:rsidP="002F2209">
      <w:pPr>
        <w:jc w:val="both"/>
      </w:pPr>
    </w:p>
    <w:p w:rsidR="002F2209" w:rsidRDefault="001A305B" w:rsidP="001A305B">
      <w:pPr>
        <w:jc w:val="center"/>
      </w:pPr>
      <w:r>
        <w:t>Table 1: Demographic Profile of Respondents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2F2209" w:rsidTr="001A305B">
        <w:tc>
          <w:tcPr>
            <w:tcW w:w="2254" w:type="dxa"/>
            <w:tcBorders>
              <w:top w:val="single" w:sz="4" w:space="0" w:color="auto"/>
              <w:bottom w:val="single" w:sz="4" w:space="0" w:color="auto"/>
            </w:tcBorders>
          </w:tcPr>
          <w:p w:rsidR="002F2209" w:rsidRDefault="002F2209" w:rsidP="002F2209">
            <w:r w:rsidRPr="0049709C">
              <w:t xml:space="preserve">Variable     </w:t>
            </w:r>
          </w:p>
        </w:tc>
        <w:tc>
          <w:tcPr>
            <w:tcW w:w="2254" w:type="dxa"/>
            <w:tcBorders>
              <w:top w:val="single" w:sz="4" w:space="0" w:color="auto"/>
              <w:bottom w:val="single" w:sz="4" w:space="0" w:color="auto"/>
            </w:tcBorders>
          </w:tcPr>
          <w:p w:rsidR="002F2209" w:rsidRDefault="002F2209" w:rsidP="002F2209">
            <w:r w:rsidRPr="0049709C">
              <w:t xml:space="preserve">Category      </w:t>
            </w:r>
          </w:p>
        </w:tc>
        <w:tc>
          <w:tcPr>
            <w:tcW w:w="2254" w:type="dxa"/>
            <w:tcBorders>
              <w:top w:val="single" w:sz="4" w:space="0" w:color="auto"/>
              <w:bottom w:val="single" w:sz="4" w:space="0" w:color="auto"/>
            </w:tcBorders>
          </w:tcPr>
          <w:p w:rsidR="002F2209" w:rsidRDefault="002F2209" w:rsidP="002F2209">
            <w:r w:rsidRPr="0049709C">
              <w:t xml:space="preserve">Frequency  </w:t>
            </w:r>
          </w:p>
        </w:tc>
        <w:tc>
          <w:tcPr>
            <w:tcW w:w="2254" w:type="dxa"/>
            <w:tcBorders>
              <w:top w:val="single" w:sz="4" w:space="0" w:color="auto"/>
              <w:bottom w:val="single" w:sz="4" w:space="0" w:color="auto"/>
            </w:tcBorders>
          </w:tcPr>
          <w:p w:rsidR="002F2209" w:rsidRDefault="002F2209" w:rsidP="002F2209">
            <w:r w:rsidRPr="0049709C">
              <w:t xml:space="preserve">Percentage </w:t>
            </w:r>
          </w:p>
        </w:tc>
      </w:tr>
      <w:tr w:rsidR="002F2209" w:rsidTr="001A305B">
        <w:tc>
          <w:tcPr>
            <w:tcW w:w="2254" w:type="dxa"/>
            <w:tcBorders>
              <w:top w:val="single" w:sz="4" w:space="0" w:color="auto"/>
            </w:tcBorders>
          </w:tcPr>
          <w:p w:rsidR="002F2209" w:rsidRDefault="002F2209" w:rsidP="002F2209">
            <w:pPr>
              <w:jc w:val="both"/>
            </w:pPr>
            <w:r>
              <w:t>Gender</w:t>
            </w:r>
          </w:p>
        </w:tc>
        <w:tc>
          <w:tcPr>
            <w:tcW w:w="2254" w:type="dxa"/>
            <w:tcBorders>
              <w:top w:val="single" w:sz="4" w:space="0" w:color="auto"/>
            </w:tcBorders>
          </w:tcPr>
          <w:p w:rsidR="002F2209" w:rsidRDefault="002F2209" w:rsidP="002F2209">
            <w:pPr>
              <w:jc w:val="both"/>
            </w:pPr>
            <w:r>
              <w:t>Male</w:t>
            </w:r>
          </w:p>
          <w:p w:rsidR="002F2209" w:rsidRDefault="002F2209" w:rsidP="002F2209">
            <w:pPr>
              <w:jc w:val="both"/>
            </w:pPr>
            <w:r>
              <w:t>Female</w:t>
            </w:r>
          </w:p>
        </w:tc>
        <w:tc>
          <w:tcPr>
            <w:tcW w:w="2254" w:type="dxa"/>
            <w:tcBorders>
              <w:top w:val="single" w:sz="4" w:space="0" w:color="auto"/>
            </w:tcBorders>
          </w:tcPr>
          <w:p w:rsidR="002F2209" w:rsidRDefault="002F2209" w:rsidP="002F2209">
            <w:pPr>
              <w:jc w:val="both"/>
            </w:pPr>
            <w:r>
              <w:t>134</w:t>
            </w:r>
          </w:p>
          <w:p w:rsidR="002F2209" w:rsidRDefault="002F2209" w:rsidP="002F2209">
            <w:pPr>
              <w:jc w:val="both"/>
            </w:pPr>
            <w:r>
              <w:t>186</w:t>
            </w:r>
          </w:p>
        </w:tc>
        <w:tc>
          <w:tcPr>
            <w:tcW w:w="2254" w:type="dxa"/>
            <w:tcBorders>
              <w:top w:val="single" w:sz="4" w:space="0" w:color="auto"/>
            </w:tcBorders>
          </w:tcPr>
          <w:p w:rsidR="002F2209" w:rsidRDefault="002F2209" w:rsidP="002F2209">
            <w:pPr>
              <w:jc w:val="both"/>
            </w:pPr>
            <w:r>
              <w:t>41.9%</w:t>
            </w:r>
          </w:p>
          <w:p w:rsidR="002F2209" w:rsidRDefault="002F2209" w:rsidP="002F2209">
            <w:pPr>
              <w:jc w:val="both"/>
            </w:pPr>
            <w:r>
              <w:t>58.1%</w:t>
            </w:r>
          </w:p>
        </w:tc>
      </w:tr>
      <w:tr w:rsidR="002F2209" w:rsidTr="001A305B">
        <w:tc>
          <w:tcPr>
            <w:tcW w:w="2254" w:type="dxa"/>
          </w:tcPr>
          <w:p w:rsidR="002F2209" w:rsidRDefault="001A305B" w:rsidP="002F2209">
            <w:pPr>
              <w:jc w:val="both"/>
            </w:pPr>
            <w:r>
              <w:t>Age</w:t>
            </w:r>
          </w:p>
        </w:tc>
        <w:tc>
          <w:tcPr>
            <w:tcW w:w="2254" w:type="dxa"/>
          </w:tcPr>
          <w:p w:rsidR="002F2209" w:rsidRDefault="002F2209" w:rsidP="002F2209">
            <w:pPr>
              <w:jc w:val="both"/>
            </w:pPr>
            <w:r w:rsidRPr="002F2209">
              <w:t xml:space="preserve">≤ </w:t>
            </w:r>
            <w:r>
              <w:t>25</w:t>
            </w:r>
          </w:p>
          <w:p w:rsidR="002F2209" w:rsidRDefault="002F2209" w:rsidP="002F2209">
            <w:pPr>
              <w:jc w:val="both"/>
            </w:pPr>
            <w:r>
              <w:t>26-35 years</w:t>
            </w:r>
          </w:p>
          <w:p w:rsidR="002F2209" w:rsidRDefault="002F2209" w:rsidP="002F2209">
            <w:pPr>
              <w:jc w:val="both"/>
            </w:pPr>
            <w:r>
              <w:t>36-45 years</w:t>
            </w:r>
          </w:p>
          <w:p w:rsidR="002F2209" w:rsidRDefault="002F2209" w:rsidP="002F2209">
            <w:pPr>
              <w:jc w:val="both"/>
            </w:pPr>
            <w:r>
              <w:t>46 – 55 years</w:t>
            </w:r>
          </w:p>
          <w:p w:rsidR="002F2209" w:rsidRDefault="002F2209" w:rsidP="002F2209">
            <w:pPr>
              <w:jc w:val="both"/>
            </w:pPr>
            <w:r w:rsidRPr="002F2209">
              <w:t xml:space="preserve">≥ </w:t>
            </w:r>
            <w:r>
              <w:t>56</w:t>
            </w:r>
          </w:p>
          <w:p w:rsidR="001A305B" w:rsidRDefault="001A305B" w:rsidP="002F2209">
            <w:pPr>
              <w:jc w:val="both"/>
            </w:pPr>
          </w:p>
        </w:tc>
        <w:tc>
          <w:tcPr>
            <w:tcW w:w="2254" w:type="dxa"/>
          </w:tcPr>
          <w:p w:rsidR="002F2209" w:rsidRDefault="002F2209" w:rsidP="002F2209">
            <w:pPr>
              <w:jc w:val="both"/>
            </w:pPr>
            <w:r>
              <w:t>7</w:t>
            </w:r>
          </w:p>
          <w:p w:rsidR="002F2209" w:rsidRDefault="002F2209" w:rsidP="002F2209">
            <w:pPr>
              <w:jc w:val="both"/>
            </w:pPr>
            <w:r>
              <w:t>101</w:t>
            </w:r>
          </w:p>
          <w:p w:rsidR="002F2209" w:rsidRDefault="002F2209" w:rsidP="002F2209">
            <w:pPr>
              <w:jc w:val="both"/>
            </w:pPr>
            <w:r>
              <w:t>163</w:t>
            </w:r>
          </w:p>
          <w:p w:rsidR="001A305B" w:rsidRDefault="001A305B" w:rsidP="002F2209">
            <w:pPr>
              <w:jc w:val="both"/>
            </w:pPr>
            <w:r>
              <w:t>42</w:t>
            </w:r>
          </w:p>
          <w:p w:rsidR="001A305B" w:rsidRDefault="001A305B" w:rsidP="002F2209">
            <w:pPr>
              <w:jc w:val="both"/>
            </w:pPr>
            <w:r>
              <w:t>7</w:t>
            </w:r>
          </w:p>
        </w:tc>
        <w:tc>
          <w:tcPr>
            <w:tcW w:w="2254" w:type="dxa"/>
          </w:tcPr>
          <w:p w:rsidR="002F2209" w:rsidRDefault="001A305B" w:rsidP="002F2209">
            <w:pPr>
              <w:jc w:val="both"/>
            </w:pPr>
            <w:r>
              <w:t>2.2%</w:t>
            </w:r>
          </w:p>
          <w:p w:rsidR="001A305B" w:rsidRDefault="001A305B" w:rsidP="002F2209">
            <w:pPr>
              <w:jc w:val="both"/>
            </w:pPr>
            <w:r>
              <w:t>31.6%</w:t>
            </w:r>
          </w:p>
          <w:p w:rsidR="001A305B" w:rsidRDefault="001A305B" w:rsidP="002F2209">
            <w:pPr>
              <w:jc w:val="both"/>
            </w:pPr>
            <w:r>
              <w:t>50.9%</w:t>
            </w:r>
          </w:p>
          <w:p w:rsidR="001A305B" w:rsidRDefault="001A305B" w:rsidP="002F2209">
            <w:pPr>
              <w:jc w:val="both"/>
            </w:pPr>
            <w:r>
              <w:t>13.1%</w:t>
            </w:r>
          </w:p>
          <w:p w:rsidR="001A305B" w:rsidRDefault="001A305B" w:rsidP="002F2209">
            <w:pPr>
              <w:jc w:val="both"/>
            </w:pPr>
            <w:r>
              <w:t>2.2%</w:t>
            </w:r>
          </w:p>
        </w:tc>
      </w:tr>
      <w:tr w:rsidR="002F2209" w:rsidTr="001A305B">
        <w:tc>
          <w:tcPr>
            <w:tcW w:w="2254" w:type="dxa"/>
            <w:tcBorders>
              <w:bottom w:val="single" w:sz="4" w:space="0" w:color="auto"/>
            </w:tcBorders>
          </w:tcPr>
          <w:p w:rsidR="002F2209" w:rsidRDefault="002F2209" w:rsidP="002F2209">
            <w:pPr>
              <w:jc w:val="both"/>
            </w:pPr>
            <w:r>
              <w:t>Ethnicity</w:t>
            </w:r>
          </w:p>
        </w:tc>
        <w:tc>
          <w:tcPr>
            <w:tcW w:w="2254" w:type="dxa"/>
            <w:tcBorders>
              <w:bottom w:val="single" w:sz="4" w:space="0" w:color="auto"/>
            </w:tcBorders>
          </w:tcPr>
          <w:p w:rsidR="002F2209" w:rsidRDefault="001A305B" w:rsidP="002F2209">
            <w:pPr>
              <w:jc w:val="both"/>
            </w:pPr>
            <w:r>
              <w:t>Malay</w:t>
            </w:r>
            <w:r>
              <w:br/>
              <w:t>Chinese</w:t>
            </w:r>
            <w:r>
              <w:br/>
              <w:t>Indian</w:t>
            </w:r>
            <w:r>
              <w:br/>
              <w:t>Others</w:t>
            </w:r>
          </w:p>
        </w:tc>
        <w:tc>
          <w:tcPr>
            <w:tcW w:w="2254" w:type="dxa"/>
            <w:tcBorders>
              <w:bottom w:val="single" w:sz="4" w:space="0" w:color="auto"/>
            </w:tcBorders>
          </w:tcPr>
          <w:p w:rsidR="002F2209" w:rsidRDefault="001A305B" w:rsidP="002F2209">
            <w:pPr>
              <w:jc w:val="both"/>
            </w:pPr>
            <w:r>
              <w:t>309</w:t>
            </w:r>
          </w:p>
          <w:p w:rsidR="001A305B" w:rsidRDefault="001A305B" w:rsidP="002F2209">
            <w:pPr>
              <w:jc w:val="both"/>
            </w:pPr>
            <w:r>
              <w:t>1</w:t>
            </w:r>
          </w:p>
          <w:p w:rsidR="001A305B" w:rsidRDefault="001A305B" w:rsidP="002F2209">
            <w:pPr>
              <w:jc w:val="both"/>
            </w:pPr>
            <w:r>
              <w:t>1</w:t>
            </w:r>
          </w:p>
          <w:p w:rsidR="001A305B" w:rsidRDefault="001A305B" w:rsidP="002F2209">
            <w:pPr>
              <w:jc w:val="both"/>
            </w:pPr>
            <w:r>
              <w:t>9</w:t>
            </w:r>
          </w:p>
        </w:tc>
        <w:tc>
          <w:tcPr>
            <w:tcW w:w="2254" w:type="dxa"/>
            <w:tcBorders>
              <w:bottom w:val="single" w:sz="4" w:space="0" w:color="auto"/>
            </w:tcBorders>
          </w:tcPr>
          <w:p w:rsidR="002F2209" w:rsidRDefault="001A305B" w:rsidP="002F2209">
            <w:pPr>
              <w:jc w:val="both"/>
            </w:pPr>
            <w:r>
              <w:t>96.6%</w:t>
            </w:r>
          </w:p>
          <w:p w:rsidR="001A305B" w:rsidRDefault="001A305B" w:rsidP="002F2209">
            <w:pPr>
              <w:jc w:val="both"/>
            </w:pPr>
            <w:r>
              <w:t>0.3%</w:t>
            </w:r>
          </w:p>
          <w:p w:rsidR="001A305B" w:rsidRDefault="001A305B" w:rsidP="002F2209">
            <w:pPr>
              <w:jc w:val="both"/>
            </w:pPr>
            <w:r>
              <w:t>0.3%</w:t>
            </w:r>
          </w:p>
          <w:p w:rsidR="001A305B" w:rsidRDefault="001A305B" w:rsidP="002F2209">
            <w:pPr>
              <w:jc w:val="both"/>
            </w:pPr>
            <w:r>
              <w:t>2.8%</w:t>
            </w:r>
          </w:p>
        </w:tc>
      </w:tr>
    </w:tbl>
    <w:p w:rsidR="002F2209" w:rsidRDefault="002F2209" w:rsidP="002F2209">
      <w:pPr>
        <w:jc w:val="both"/>
      </w:pPr>
    </w:p>
    <w:p w:rsidR="001A305B" w:rsidRDefault="001A305B" w:rsidP="002F2209">
      <w:pPr>
        <w:jc w:val="both"/>
      </w:pPr>
      <w:r w:rsidRPr="001A305B">
        <w:t>The demographic profile of the respondents indicates a higher representation of female staff (58.1%) compared to male staff (41.9%). In terms of age distribution, the majority of participants were within the 36–</w:t>
      </w:r>
      <w:proofErr w:type="gramStart"/>
      <w:r w:rsidRPr="001A305B">
        <w:t>45 year</w:t>
      </w:r>
      <w:proofErr w:type="gramEnd"/>
      <w:r w:rsidRPr="001A305B">
        <w:t xml:space="preserve"> age group (50.9%), followed by those aged 26–35 years (31.6%). Smaller proportions were observed among participants aged 46–55 years (13.1%) and those aged 25 years and below or 56 years and above (each 2.2%). Ethnic composition was predominantly Malay (96.6%), with minimal representation from Chinese </w:t>
      </w:r>
      <w:proofErr w:type="gramStart"/>
      <w:r w:rsidR="00CF06E2">
        <w:t>y</w:t>
      </w:r>
      <w:r w:rsidRPr="001A305B">
        <w:t>(</w:t>
      </w:r>
      <w:proofErr w:type="gramEnd"/>
      <w:r w:rsidRPr="001A305B">
        <w:t>0.3%), Indian (0.3%), and other ethnic groups (2.8%). This distribution suggests that the sample reflects the typical demographic structure of the UniSZA workforce, particularly in terms of gender and ethnicity, with a strong presence of mid-career professionals.</w:t>
      </w:r>
    </w:p>
    <w:p w:rsidR="002F2209" w:rsidRDefault="002F2209" w:rsidP="002F2209">
      <w:pPr>
        <w:jc w:val="both"/>
      </w:pPr>
    </w:p>
    <w:p w:rsidR="00B04BFF" w:rsidRPr="001A305B" w:rsidRDefault="001A305B" w:rsidP="00B04BFF">
      <w:pPr>
        <w:rPr>
          <w:b/>
          <w:bCs/>
        </w:rPr>
      </w:pPr>
      <w:r w:rsidRPr="001A305B">
        <w:rPr>
          <w:b/>
          <w:bCs/>
        </w:rPr>
        <w:t>DATA ANALYSIS</w:t>
      </w:r>
      <w:r w:rsidR="00B04BFF" w:rsidRPr="001A305B">
        <w:rPr>
          <w:b/>
          <w:bCs/>
        </w:rPr>
        <w:t xml:space="preserve">  </w:t>
      </w:r>
    </w:p>
    <w:p w:rsidR="00B04BFF" w:rsidRDefault="00857383" w:rsidP="00D656C8">
      <w:pPr>
        <w:jc w:val="both"/>
      </w:pPr>
      <w:r>
        <w:t>K</w:t>
      </w:r>
      <w:r w:rsidRPr="00D656C8">
        <w:t xml:space="preserve">nowledge, practice and internalization </w:t>
      </w:r>
      <w:r>
        <w:t>are</w:t>
      </w:r>
      <w:r w:rsidR="00D656C8" w:rsidRPr="00D656C8">
        <w:t xml:space="preserve"> three components central to assessing the effectiveness of the </w:t>
      </w:r>
      <w:proofErr w:type="spellStart"/>
      <w:r w:rsidR="00D656C8" w:rsidRPr="00D656C8">
        <w:t>FlexS</w:t>
      </w:r>
      <w:proofErr w:type="spellEnd"/>
      <w:r w:rsidR="00D656C8" w:rsidRPr="00D656C8">
        <w:t xml:space="preserve"> initiative in fostering value-based engagement within the university community. Through descriptive statistical analysis, the study aims to provide an overview of how well staff understand, implement, and internalize the core values promoted by the programme. The analysis draws on mean scores and standard deviations to capture both the central tendencies and variability of responses, thereby offering insight into the overall consistency and depth of </w:t>
      </w:r>
      <w:proofErr w:type="spellStart"/>
      <w:r w:rsidR="00D656C8" w:rsidRPr="00D656C8">
        <w:t>FlexS</w:t>
      </w:r>
      <w:proofErr w:type="spellEnd"/>
      <w:r w:rsidR="00D656C8" w:rsidRPr="00D656C8">
        <w:t xml:space="preserve"> adoption across the institution.</w:t>
      </w:r>
    </w:p>
    <w:p w:rsidR="002974F1" w:rsidRDefault="002974F1" w:rsidP="00B04BFF">
      <w:pPr>
        <w:rPr>
          <w:b/>
          <w:bCs/>
        </w:rPr>
      </w:pPr>
    </w:p>
    <w:p w:rsidR="00857383" w:rsidRDefault="00857383" w:rsidP="00B04BFF">
      <w:pPr>
        <w:rPr>
          <w:b/>
          <w:bCs/>
        </w:rPr>
      </w:pPr>
    </w:p>
    <w:p w:rsidR="00D656C8" w:rsidRDefault="00D656C8" w:rsidP="00B04BFF">
      <w:pPr>
        <w:rPr>
          <w:b/>
          <w:bCs/>
        </w:rPr>
      </w:pPr>
      <w:r w:rsidRPr="00D656C8">
        <w:rPr>
          <w:b/>
          <w:bCs/>
        </w:rPr>
        <w:t xml:space="preserve">Finding 1: The Level of Knowledge, Practice, and Internalization of </w:t>
      </w:r>
      <w:proofErr w:type="spellStart"/>
      <w:r w:rsidRPr="00D656C8">
        <w:rPr>
          <w:b/>
          <w:bCs/>
        </w:rPr>
        <w:t>FlexS</w:t>
      </w:r>
      <w:proofErr w:type="spellEnd"/>
      <w:r w:rsidRPr="00D656C8">
        <w:rPr>
          <w:b/>
          <w:bCs/>
        </w:rPr>
        <w:t xml:space="preserve"> Core Values among UniSZA Staff</w:t>
      </w:r>
    </w:p>
    <w:p w:rsidR="002D009E" w:rsidRDefault="002D009E" w:rsidP="002D009E">
      <w:pPr>
        <w:jc w:val="both"/>
      </w:pPr>
      <w:r w:rsidRPr="002D009E">
        <w:lastRenderedPageBreak/>
        <w:t xml:space="preserve">This section presents the analysis of data related to the level of knowledge, practice, and internalization of </w:t>
      </w:r>
      <w:proofErr w:type="spellStart"/>
      <w:r w:rsidRPr="002D009E">
        <w:t>FlexS</w:t>
      </w:r>
      <w:proofErr w:type="spellEnd"/>
      <w:r w:rsidRPr="002D009E">
        <w:t xml:space="preserve"> core values among UniSZA staff</w:t>
      </w:r>
      <w:r w:rsidR="002974F1">
        <w:t>.</w:t>
      </w:r>
    </w:p>
    <w:p w:rsidR="00857383" w:rsidRPr="002D009E" w:rsidRDefault="00857383" w:rsidP="002D009E">
      <w:pPr>
        <w:jc w:val="both"/>
      </w:pPr>
    </w:p>
    <w:p w:rsidR="00B04BFF" w:rsidRDefault="00B04BFF" w:rsidP="002974F1">
      <w:pPr>
        <w:jc w:val="center"/>
      </w:pPr>
      <w:r>
        <w:t xml:space="preserve">Table 2: Mean Scores of </w:t>
      </w:r>
      <w:proofErr w:type="gramStart"/>
      <w:r>
        <w:t>Knowledge</w:t>
      </w:r>
      <w:proofErr w:type="gramEnd"/>
      <w:r>
        <w:t>, Practice, and Internalization</w:t>
      </w:r>
    </w:p>
    <w:tbl>
      <w:tblPr>
        <w:tblW w:w="8647" w:type="dxa"/>
        <w:jc w:val="center"/>
        <w:tblLayout w:type="fixed"/>
        <w:tblCellMar>
          <w:left w:w="0" w:type="dxa"/>
          <w:right w:w="0" w:type="dxa"/>
        </w:tblCellMar>
        <w:tblLook w:val="04A0" w:firstRow="1" w:lastRow="0" w:firstColumn="1" w:lastColumn="0" w:noHBand="0" w:noVBand="1"/>
      </w:tblPr>
      <w:tblGrid>
        <w:gridCol w:w="3791"/>
        <w:gridCol w:w="1053"/>
        <w:gridCol w:w="1536"/>
        <w:gridCol w:w="2267"/>
      </w:tblGrid>
      <w:tr w:rsidR="00D656C8" w:rsidTr="007701BA">
        <w:trPr>
          <w:cantSplit/>
          <w:trHeight w:val="420"/>
          <w:jc w:val="center"/>
        </w:trPr>
        <w:tc>
          <w:tcPr>
            <w:tcW w:w="3791" w:type="dxa"/>
            <w:tcBorders>
              <w:top w:val="single" w:sz="4" w:space="0" w:color="auto"/>
              <w:bottom w:val="single" w:sz="4" w:space="0" w:color="auto"/>
            </w:tcBorders>
            <w:shd w:val="clear" w:color="auto" w:fill="FFFFFF"/>
          </w:tcPr>
          <w:p w:rsidR="00D656C8" w:rsidRDefault="00D656C8" w:rsidP="007701BA">
            <w:pPr>
              <w:autoSpaceDE w:val="0"/>
              <w:autoSpaceDN w:val="0"/>
              <w:adjustRightInd w:val="0"/>
              <w:spacing w:after="0"/>
              <w:ind w:left="60" w:right="60"/>
              <w:rPr>
                <w:rFonts w:eastAsia="Calibri"/>
                <w:color w:val="000000"/>
              </w:rPr>
            </w:pPr>
          </w:p>
        </w:tc>
        <w:tc>
          <w:tcPr>
            <w:tcW w:w="1053" w:type="dxa"/>
            <w:tcBorders>
              <w:top w:val="single" w:sz="4" w:space="0" w:color="auto"/>
              <w:bottom w:val="single" w:sz="4" w:space="0" w:color="auto"/>
            </w:tcBorders>
            <w:shd w:val="clear" w:color="auto" w:fill="FFFFFF"/>
          </w:tcPr>
          <w:p w:rsidR="00D656C8" w:rsidRDefault="00D656C8" w:rsidP="007701BA">
            <w:pPr>
              <w:autoSpaceDE w:val="0"/>
              <w:autoSpaceDN w:val="0"/>
              <w:adjustRightInd w:val="0"/>
              <w:spacing w:after="0"/>
              <w:ind w:left="60" w:right="60"/>
              <w:jc w:val="center"/>
              <w:rPr>
                <w:rFonts w:eastAsia="Calibri"/>
                <w:color w:val="000000"/>
              </w:rPr>
            </w:pPr>
            <w:r>
              <w:rPr>
                <w:rFonts w:eastAsia="Calibri"/>
                <w:color w:val="000000"/>
              </w:rPr>
              <w:t xml:space="preserve">          N</w:t>
            </w:r>
          </w:p>
        </w:tc>
        <w:tc>
          <w:tcPr>
            <w:tcW w:w="1536" w:type="dxa"/>
            <w:tcBorders>
              <w:top w:val="single" w:sz="4" w:space="0" w:color="auto"/>
              <w:bottom w:val="single" w:sz="4" w:space="0" w:color="auto"/>
            </w:tcBorders>
            <w:shd w:val="clear" w:color="auto" w:fill="FFFFFF"/>
          </w:tcPr>
          <w:p w:rsidR="00D656C8" w:rsidRDefault="00D656C8" w:rsidP="007701BA">
            <w:pPr>
              <w:autoSpaceDE w:val="0"/>
              <w:autoSpaceDN w:val="0"/>
              <w:adjustRightInd w:val="0"/>
              <w:spacing w:after="0"/>
              <w:ind w:left="60" w:right="60"/>
              <w:jc w:val="center"/>
              <w:rPr>
                <w:rFonts w:eastAsia="Calibri"/>
                <w:color w:val="000000"/>
              </w:rPr>
            </w:pPr>
            <w:r>
              <w:rPr>
                <w:rFonts w:eastAsia="Calibri"/>
                <w:color w:val="000000"/>
              </w:rPr>
              <w:t xml:space="preserve">           Mean</w:t>
            </w:r>
          </w:p>
        </w:tc>
        <w:tc>
          <w:tcPr>
            <w:tcW w:w="2267" w:type="dxa"/>
            <w:tcBorders>
              <w:top w:val="single" w:sz="4" w:space="0" w:color="auto"/>
              <w:bottom w:val="single" w:sz="4" w:space="0" w:color="auto"/>
            </w:tcBorders>
            <w:shd w:val="clear" w:color="auto" w:fill="FFFFFF"/>
          </w:tcPr>
          <w:p w:rsidR="00D656C8" w:rsidRDefault="00D656C8" w:rsidP="007701BA">
            <w:pPr>
              <w:autoSpaceDE w:val="0"/>
              <w:autoSpaceDN w:val="0"/>
              <w:adjustRightInd w:val="0"/>
              <w:spacing w:after="0"/>
              <w:ind w:left="60" w:right="60"/>
              <w:jc w:val="center"/>
              <w:rPr>
                <w:rFonts w:eastAsia="Calibri"/>
                <w:color w:val="000000"/>
              </w:rPr>
            </w:pPr>
            <w:r>
              <w:rPr>
                <w:rFonts w:eastAsia="Calibri"/>
                <w:color w:val="000000"/>
              </w:rPr>
              <w:t xml:space="preserve">           Std.</w:t>
            </w:r>
            <w:r w:rsidR="00857383">
              <w:rPr>
                <w:rFonts w:eastAsia="Calibri"/>
                <w:color w:val="000000"/>
              </w:rPr>
              <w:t xml:space="preserve"> Deviation</w:t>
            </w:r>
          </w:p>
        </w:tc>
      </w:tr>
      <w:tr w:rsidR="00D656C8" w:rsidTr="007701BA">
        <w:trPr>
          <w:cantSplit/>
          <w:trHeight w:val="406"/>
          <w:jc w:val="center"/>
        </w:trPr>
        <w:tc>
          <w:tcPr>
            <w:tcW w:w="3791" w:type="dxa"/>
            <w:tcBorders>
              <w:top w:val="single" w:sz="4" w:space="0" w:color="auto"/>
            </w:tcBorders>
            <w:shd w:val="clear" w:color="auto" w:fill="FFFFFF"/>
            <w:vAlign w:val="center"/>
          </w:tcPr>
          <w:p w:rsidR="00D656C8" w:rsidRDefault="00D656C8" w:rsidP="007701BA">
            <w:pPr>
              <w:autoSpaceDE w:val="0"/>
              <w:autoSpaceDN w:val="0"/>
              <w:adjustRightInd w:val="0"/>
              <w:spacing w:after="0"/>
              <w:ind w:left="60" w:right="60"/>
              <w:rPr>
                <w:rFonts w:eastAsia="Calibri"/>
                <w:color w:val="000000"/>
              </w:rPr>
            </w:pPr>
            <w:r>
              <w:rPr>
                <w:rFonts w:eastAsia="Calibri"/>
                <w:color w:val="000000"/>
              </w:rPr>
              <w:t>Knowledge</w:t>
            </w:r>
          </w:p>
        </w:tc>
        <w:tc>
          <w:tcPr>
            <w:tcW w:w="1053" w:type="dxa"/>
            <w:tcBorders>
              <w:top w:val="single" w:sz="4" w:space="0" w:color="auto"/>
            </w:tcBorders>
            <w:shd w:val="clear" w:color="auto" w:fill="FFFFFF"/>
            <w:vAlign w:val="center"/>
          </w:tcPr>
          <w:p w:rsidR="00D656C8" w:rsidRDefault="00D656C8" w:rsidP="007701BA">
            <w:pPr>
              <w:autoSpaceDE w:val="0"/>
              <w:autoSpaceDN w:val="0"/>
              <w:adjustRightInd w:val="0"/>
              <w:spacing w:after="0"/>
              <w:ind w:left="60" w:right="60"/>
              <w:jc w:val="right"/>
              <w:rPr>
                <w:rFonts w:eastAsia="Calibri"/>
                <w:color w:val="000000"/>
              </w:rPr>
            </w:pPr>
            <w:r>
              <w:rPr>
                <w:rFonts w:eastAsia="Calibri"/>
                <w:color w:val="000000"/>
              </w:rPr>
              <w:t>320</w:t>
            </w:r>
          </w:p>
        </w:tc>
        <w:tc>
          <w:tcPr>
            <w:tcW w:w="1536" w:type="dxa"/>
            <w:tcBorders>
              <w:top w:val="single" w:sz="4" w:space="0" w:color="auto"/>
            </w:tcBorders>
            <w:shd w:val="clear" w:color="auto" w:fill="FFFFFF"/>
            <w:vAlign w:val="center"/>
          </w:tcPr>
          <w:p w:rsidR="00D656C8" w:rsidRDefault="00D656C8" w:rsidP="007701BA">
            <w:pPr>
              <w:autoSpaceDE w:val="0"/>
              <w:autoSpaceDN w:val="0"/>
              <w:adjustRightInd w:val="0"/>
              <w:spacing w:after="0"/>
              <w:ind w:left="60" w:right="60"/>
              <w:jc w:val="right"/>
              <w:rPr>
                <w:rFonts w:eastAsia="Calibri"/>
                <w:color w:val="000000"/>
              </w:rPr>
            </w:pPr>
            <w:r>
              <w:rPr>
                <w:rFonts w:eastAsia="Calibri"/>
                <w:color w:val="000000"/>
              </w:rPr>
              <w:t>4.1013</w:t>
            </w:r>
          </w:p>
        </w:tc>
        <w:tc>
          <w:tcPr>
            <w:tcW w:w="2267" w:type="dxa"/>
            <w:tcBorders>
              <w:top w:val="single" w:sz="4" w:space="0" w:color="auto"/>
            </w:tcBorders>
            <w:shd w:val="clear" w:color="auto" w:fill="FFFFFF"/>
            <w:vAlign w:val="center"/>
          </w:tcPr>
          <w:p w:rsidR="00D656C8" w:rsidRDefault="00D656C8" w:rsidP="007701BA">
            <w:pPr>
              <w:autoSpaceDE w:val="0"/>
              <w:autoSpaceDN w:val="0"/>
              <w:adjustRightInd w:val="0"/>
              <w:spacing w:after="0"/>
              <w:ind w:left="60" w:right="60"/>
              <w:jc w:val="right"/>
              <w:rPr>
                <w:rFonts w:eastAsia="Calibri"/>
                <w:color w:val="000000"/>
              </w:rPr>
            </w:pPr>
            <w:r>
              <w:rPr>
                <w:rFonts w:eastAsia="Calibri"/>
                <w:color w:val="000000"/>
              </w:rPr>
              <w:t>.68627</w:t>
            </w:r>
          </w:p>
        </w:tc>
      </w:tr>
      <w:tr w:rsidR="00D656C8" w:rsidTr="007701BA">
        <w:trPr>
          <w:cantSplit/>
          <w:trHeight w:val="406"/>
          <w:jc w:val="center"/>
        </w:trPr>
        <w:tc>
          <w:tcPr>
            <w:tcW w:w="3791" w:type="dxa"/>
            <w:shd w:val="clear" w:color="auto" w:fill="FFFFFF"/>
            <w:vAlign w:val="center"/>
          </w:tcPr>
          <w:p w:rsidR="00D656C8" w:rsidRDefault="00D656C8" w:rsidP="007701BA">
            <w:pPr>
              <w:autoSpaceDE w:val="0"/>
              <w:autoSpaceDN w:val="0"/>
              <w:adjustRightInd w:val="0"/>
              <w:spacing w:after="0"/>
              <w:ind w:left="60" w:right="60"/>
              <w:rPr>
                <w:rFonts w:eastAsia="Calibri"/>
                <w:color w:val="000000"/>
              </w:rPr>
            </w:pPr>
            <w:r>
              <w:rPr>
                <w:rFonts w:eastAsia="Calibri"/>
                <w:color w:val="000000"/>
              </w:rPr>
              <w:t>Practice</w:t>
            </w:r>
          </w:p>
        </w:tc>
        <w:tc>
          <w:tcPr>
            <w:tcW w:w="1053" w:type="dxa"/>
            <w:shd w:val="clear" w:color="auto" w:fill="FFFFFF"/>
            <w:vAlign w:val="center"/>
          </w:tcPr>
          <w:p w:rsidR="00D656C8" w:rsidRDefault="00D656C8" w:rsidP="007701BA">
            <w:pPr>
              <w:autoSpaceDE w:val="0"/>
              <w:autoSpaceDN w:val="0"/>
              <w:adjustRightInd w:val="0"/>
              <w:spacing w:after="0"/>
              <w:ind w:left="60" w:right="60"/>
              <w:jc w:val="right"/>
              <w:rPr>
                <w:rFonts w:eastAsia="Calibri"/>
                <w:color w:val="000000"/>
              </w:rPr>
            </w:pPr>
            <w:r>
              <w:rPr>
                <w:rFonts w:eastAsia="Calibri"/>
                <w:color w:val="000000"/>
              </w:rPr>
              <w:t>320</w:t>
            </w:r>
          </w:p>
        </w:tc>
        <w:tc>
          <w:tcPr>
            <w:tcW w:w="1536" w:type="dxa"/>
            <w:shd w:val="clear" w:color="auto" w:fill="FFFFFF"/>
            <w:vAlign w:val="center"/>
          </w:tcPr>
          <w:p w:rsidR="00D656C8" w:rsidRDefault="00D656C8" w:rsidP="007701BA">
            <w:pPr>
              <w:autoSpaceDE w:val="0"/>
              <w:autoSpaceDN w:val="0"/>
              <w:adjustRightInd w:val="0"/>
              <w:spacing w:after="0"/>
              <w:ind w:left="60" w:right="60"/>
              <w:jc w:val="right"/>
              <w:rPr>
                <w:rFonts w:eastAsia="Calibri"/>
                <w:color w:val="000000"/>
              </w:rPr>
            </w:pPr>
            <w:r>
              <w:rPr>
                <w:rFonts w:eastAsia="Calibri"/>
                <w:color w:val="000000"/>
              </w:rPr>
              <w:t>4.4667</w:t>
            </w:r>
          </w:p>
        </w:tc>
        <w:tc>
          <w:tcPr>
            <w:tcW w:w="2267" w:type="dxa"/>
            <w:shd w:val="clear" w:color="auto" w:fill="FFFFFF"/>
            <w:vAlign w:val="center"/>
          </w:tcPr>
          <w:p w:rsidR="00D656C8" w:rsidRDefault="00D656C8" w:rsidP="007701BA">
            <w:pPr>
              <w:autoSpaceDE w:val="0"/>
              <w:autoSpaceDN w:val="0"/>
              <w:adjustRightInd w:val="0"/>
              <w:spacing w:after="0"/>
              <w:ind w:left="60" w:right="60"/>
              <w:jc w:val="right"/>
              <w:rPr>
                <w:rFonts w:eastAsia="Calibri"/>
                <w:color w:val="000000"/>
              </w:rPr>
            </w:pPr>
            <w:r>
              <w:rPr>
                <w:rFonts w:eastAsia="Calibri"/>
                <w:color w:val="000000"/>
              </w:rPr>
              <w:t>.46739</w:t>
            </w:r>
          </w:p>
        </w:tc>
      </w:tr>
      <w:tr w:rsidR="00D656C8" w:rsidTr="007701BA">
        <w:trPr>
          <w:cantSplit/>
          <w:trHeight w:val="406"/>
          <w:jc w:val="center"/>
        </w:trPr>
        <w:tc>
          <w:tcPr>
            <w:tcW w:w="3791" w:type="dxa"/>
            <w:tcBorders>
              <w:bottom w:val="single" w:sz="4" w:space="0" w:color="auto"/>
            </w:tcBorders>
            <w:shd w:val="clear" w:color="auto" w:fill="FFFFFF"/>
            <w:vAlign w:val="center"/>
          </w:tcPr>
          <w:p w:rsidR="00D656C8" w:rsidRDefault="00D656C8" w:rsidP="007701BA">
            <w:pPr>
              <w:autoSpaceDE w:val="0"/>
              <w:autoSpaceDN w:val="0"/>
              <w:adjustRightInd w:val="0"/>
              <w:spacing w:after="0"/>
              <w:ind w:left="60" w:right="60"/>
              <w:rPr>
                <w:rFonts w:eastAsia="Calibri"/>
                <w:color w:val="000000"/>
              </w:rPr>
            </w:pPr>
            <w:r>
              <w:rPr>
                <w:rFonts w:eastAsia="Calibri"/>
                <w:color w:val="000000"/>
              </w:rPr>
              <w:t>Internalization</w:t>
            </w:r>
          </w:p>
        </w:tc>
        <w:tc>
          <w:tcPr>
            <w:tcW w:w="1053" w:type="dxa"/>
            <w:tcBorders>
              <w:bottom w:val="single" w:sz="4" w:space="0" w:color="auto"/>
            </w:tcBorders>
            <w:shd w:val="clear" w:color="auto" w:fill="FFFFFF"/>
            <w:vAlign w:val="center"/>
          </w:tcPr>
          <w:p w:rsidR="00D656C8" w:rsidRDefault="00D656C8" w:rsidP="007701BA">
            <w:pPr>
              <w:autoSpaceDE w:val="0"/>
              <w:autoSpaceDN w:val="0"/>
              <w:adjustRightInd w:val="0"/>
              <w:spacing w:after="0"/>
              <w:ind w:left="60" w:right="60"/>
              <w:jc w:val="right"/>
              <w:rPr>
                <w:rFonts w:eastAsia="Calibri"/>
                <w:color w:val="000000"/>
              </w:rPr>
            </w:pPr>
            <w:r>
              <w:rPr>
                <w:rFonts w:eastAsia="Calibri"/>
                <w:color w:val="000000"/>
              </w:rPr>
              <w:t>320</w:t>
            </w:r>
          </w:p>
        </w:tc>
        <w:tc>
          <w:tcPr>
            <w:tcW w:w="1536" w:type="dxa"/>
            <w:tcBorders>
              <w:bottom w:val="single" w:sz="4" w:space="0" w:color="auto"/>
            </w:tcBorders>
            <w:shd w:val="clear" w:color="auto" w:fill="FFFFFF"/>
            <w:vAlign w:val="center"/>
          </w:tcPr>
          <w:p w:rsidR="00D656C8" w:rsidRDefault="00D656C8" w:rsidP="007701BA">
            <w:pPr>
              <w:autoSpaceDE w:val="0"/>
              <w:autoSpaceDN w:val="0"/>
              <w:adjustRightInd w:val="0"/>
              <w:spacing w:after="0"/>
              <w:ind w:left="60" w:right="60"/>
              <w:jc w:val="right"/>
              <w:rPr>
                <w:rFonts w:eastAsia="Calibri"/>
                <w:color w:val="000000"/>
              </w:rPr>
            </w:pPr>
            <w:r>
              <w:rPr>
                <w:rFonts w:eastAsia="Calibri"/>
                <w:color w:val="000000"/>
              </w:rPr>
              <w:t>4.2375</w:t>
            </w:r>
          </w:p>
        </w:tc>
        <w:tc>
          <w:tcPr>
            <w:tcW w:w="2267" w:type="dxa"/>
            <w:tcBorders>
              <w:bottom w:val="single" w:sz="4" w:space="0" w:color="auto"/>
            </w:tcBorders>
            <w:shd w:val="clear" w:color="auto" w:fill="FFFFFF"/>
            <w:vAlign w:val="center"/>
          </w:tcPr>
          <w:p w:rsidR="00D656C8" w:rsidRDefault="00D656C8" w:rsidP="007701BA">
            <w:pPr>
              <w:autoSpaceDE w:val="0"/>
              <w:autoSpaceDN w:val="0"/>
              <w:adjustRightInd w:val="0"/>
              <w:spacing w:after="0"/>
              <w:ind w:left="60" w:right="60"/>
              <w:jc w:val="right"/>
              <w:rPr>
                <w:rFonts w:eastAsia="Calibri"/>
                <w:color w:val="000000"/>
              </w:rPr>
            </w:pPr>
            <w:r>
              <w:rPr>
                <w:rFonts w:eastAsia="Calibri"/>
                <w:color w:val="000000"/>
              </w:rPr>
              <w:t>.70987</w:t>
            </w:r>
          </w:p>
        </w:tc>
      </w:tr>
    </w:tbl>
    <w:p w:rsidR="0052589E" w:rsidRDefault="0052589E" w:rsidP="00B04BFF"/>
    <w:p w:rsidR="0079459E" w:rsidRPr="0079459E" w:rsidRDefault="00857383" w:rsidP="00D656C8">
      <w:pPr>
        <w:jc w:val="both"/>
      </w:pPr>
      <w:r>
        <w:t xml:space="preserve">Table 2 shows that the </w:t>
      </w:r>
      <w:r w:rsidR="0079459E" w:rsidRPr="0079459E">
        <w:t>mean score for Knowledge was 4.1013, indicating a level of knowledge that leans toward the maximum value on a 5-point scale. The standard deviation of 0.68627 suggests that the distribution of Knowledge scores falls within a moderate range around the mean, with relatively low variability, implying that most respondents possessed a similar level of knowledge.</w:t>
      </w:r>
    </w:p>
    <w:p w:rsidR="0079459E" w:rsidRPr="0079459E" w:rsidRDefault="0079459E" w:rsidP="00D656C8">
      <w:pPr>
        <w:jc w:val="both"/>
      </w:pPr>
      <w:r w:rsidRPr="0079459E">
        <w:t>For Practice, the mean score was 4.4667, reflecting a very high level of practice, closely approaching the maximum possible score. The standard deviation of 0.46739 indicates a narrow distribution around the mean, demonstrating a high degree of consistency in respondents’ practices.</w:t>
      </w:r>
    </w:p>
    <w:p w:rsidR="0079459E" w:rsidRPr="0079459E" w:rsidRDefault="0079459E" w:rsidP="00D656C8">
      <w:pPr>
        <w:jc w:val="both"/>
      </w:pPr>
      <w:r w:rsidRPr="0079459E">
        <w:t>Meanwhile, the mean score for Internalization was 4.2375, representing a high level of value internalization. The standard deviation of 0.70987, slightly higher compared to Knowledge and Practice, indicates a relatively greater variation among respondents in their level of internalization, although still within a moderate range.</w:t>
      </w:r>
    </w:p>
    <w:p w:rsidR="0079459E" w:rsidRPr="0079459E" w:rsidRDefault="0079459E" w:rsidP="00D656C8">
      <w:pPr>
        <w:jc w:val="both"/>
      </w:pPr>
      <w:r w:rsidRPr="0079459E">
        <w:t xml:space="preserve">Overall, the findings suggest that respondents exhibited a high level of knowledge regarding the </w:t>
      </w:r>
      <w:proofErr w:type="spellStart"/>
      <w:r w:rsidRPr="0079459E">
        <w:t>FlexS</w:t>
      </w:r>
      <w:proofErr w:type="spellEnd"/>
      <w:r w:rsidRPr="0079459E">
        <w:t xml:space="preserve"> initiative. The study also reveals that both the level of practice and the internalization of </w:t>
      </w:r>
      <w:proofErr w:type="spellStart"/>
      <w:r w:rsidRPr="0079459E">
        <w:t>FlexS</w:t>
      </w:r>
      <w:proofErr w:type="spellEnd"/>
      <w:r w:rsidRPr="0079459E">
        <w:t xml:space="preserve"> core values were high among respondents, with Practice registering the highest mean score and the least variability, indicating strong and consistent application of these values in practice.</w:t>
      </w:r>
    </w:p>
    <w:p w:rsidR="0052589E" w:rsidRDefault="0052589E" w:rsidP="00D656C8">
      <w:pPr>
        <w:jc w:val="both"/>
      </w:pPr>
    </w:p>
    <w:p w:rsidR="000F2ABA" w:rsidRPr="00D656C8" w:rsidRDefault="00D84442" w:rsidP="00D656C8">
      <w:pPr>
        <w:jc w:val="both"/>
        <w:rPr>
          <w:b/>
          <w:bCs/>
        </w:rPr>
      </w:pPr>
      <w:r w:rsidRPr="00D656C8">
        <w:rPr>
          <w:b/>
          <w:bCs/>
        </w:rPr>
        <w:t xml:space="preserve">Finding 2: The Effectiveness of the </w:t>
      </w:r>
      <w:proofErr w:type="spellStart"/>
      <w:r w:rsidRPr="00D656C8">
        <w:rPr>
          <w:b/>
          <w:bCs/>
        </w:rPr>
        <w:t>FlexS</w:t>
      </w:r>
      <w:proofErr w:type="spellEnd"/>
      <w:r w:rsidRPr="00D656C8">
        <w:rPr>
          <w:b/>
          <w:bCs/>
        </w:rPr>
        <w:t xml:space="preserve"> Programme in Enhancing the Internalization and Practice of </w:t>
      </w:r>
      <w:proofErr w:type="spellStart"/>
      <w:r w:rsidRPr="00D656C8">
        <w:rPr>
          <w:b/>
          <w:bCs/>
        </w:rPr>
        <w:t>FlexS</w:t>
      </w:r>
      <w:proofErr w:type="spellEnd"/>
      <w:r w:rsidRPr="00D656C8">
        <w:rPr>
          <w:b/>
          <w:bCs/>
        </w:rPr>
        <w:t xml:space="preserve"> Core Values among UniSZA Staf</w:t>
      </w:r>
    </w:p>
    <w:p w:rsidR="000F2ABA" w:rsidRDefault="00D84442" w:rsidP="00D656C8">
      <w:pPr>
        <w:jc w:val="both"/>
      </w:pPr>
      <w:r w:rsidRPr="00D84442">
        <w:t xml:space="preserve">A correlation analysis was conducted to assess the relationships between Knowledge, Practice, and Internalization among the respondents (N = 320). The data were </w:t>
      </w:r>
      <w:proofErr w:type="spellStart"/>
      <w:r w:rsidRPr="00D84442">
        <w:t>analyzed</w:t>
      </w:r>
      <w:proofErr w:type="spellEnd"/>
      <w:r w:rsidRPr="00D84442">
        <w:t xml:space="preserve"> using Spearman’s rank-order correlation to determine the strength and direction of the associations among these three variables. </w:t>
      </w:r>
    </w:p>
    <w:p w:rsidR="000F2ABA" w:rsidRDefault="000F2ABA" w:rsidP="000F2ABA">
      <w:pPr>
        <w:jc w:val="center"/>
      </w:pPr>
    </w:p>
    <w:tbl>
      <w:tblPr>
        <w:tblW w:w="9782" w:type="dxa"/>
        <w:tblInd w:w="-426" w:type="dxa"/>
        <w:tblLayout w:type="fixed"/>
        <w:tblCellMar>
          <w:left w:w="0" w:type="dxa"/>
          <w:right w:w="0" w:type="dxa"/>
        </w:tblCellMar>
        <w:tblLook w:val="04A0" w:firstRow="1" w:lastRow="0" w:firstColumn="1" w:lastColumn="0" w:noHBand="0" w:noVBand="1"/>
      </w:tblPr>
      <w:tblGrid>
        <w:gridCol w:w="1686"/>
        <w:gridCol w:w="1530"/>
        <w:gridCol w:w="1605"/>
        <w:gridCol w:w="1701"/>
        <w:gridCol w:w="1275"/>
        <w:gridCol w:w="1985"/>
      </w:tblGrid>
      <w:tr w:rsidR="000F2ABA" w:rsidTr="000F2ABA">
        <w:trPr>
          <w:cantSplit/>
        </w:trPr>
        <w:tc>
          <w:tcPr>
            <w:tcW w:w="9782" w:type="dxa"/>
            <w:gridSpan w:val="6"/>
            <w:tcBorders>
              <w:bottom w:val="single" w:sz="4" w:space="0" w:color="auto"/>
            </w:tcBorders>
            <w:shd w:val="clear" w:color="auto" w:fill="FFFFFF"/>
          </w:tcPr>
          <w:p w:rsidR="000F2ABA" w:rsidRPr="000F2ABA" w:rsidRDefault="000F2ABA" w:rsidP="000F2ABA">
            <w:pPr>
              <w:jc w:val="center"/>
            </w:pPr>
            <w:r>
              <w:t>Table</w:t>
            </w:r>
            <w:r w:rsidR="002D009E">
              <w:t xml:space="preserve"> 3</w:t>
            </w:r>
            <w:r>
              <w:t xml:space="preserve">: </w:t>
            </w:r>
            <w:r w:rsidRPr="000F2ABA">
              <w:t>Non-Parametric Correlation Analysis</w:t>
            </w:r>
          </w:p>
        </w:tc>
      </w:tr>
      <w:tr w:rsidR="000F2ABA" w:rsidTr="000F2ABA">
        <w:trPr>
          <w:cantSplit/>
        </w:trPr>
        <w:tc>
          <w:tcPr>
            <w:tcW w:w="4821" w:type="dxa"/>
            <w:gridSpan w:val="3"/>
            <w:tcBorders>
              <w:top w:val="single" w:sz="4" w:space="0" w:color="auto"/>
              <w:bottom w:val="single" w:sz="4" w:space="0" w:color="auto"/>
            </w:tcBorders>
            <w:shd w:val="clear" w:color="auto" w:fill="FFFFFF"/>
          </w:tcPr>
          <w:p w:rsidR="000F2ABA" w:rsidRDefault="000F2ABA" w:rsidP="007701BA">
            <w:pPr>
              <w:autoSpaceDE w:val="0"/>
              <w:autoSpaceDN w:val="0"/>
              <w:adjustRightInd w:val="0"/>
              <w:spacing w:after="0" w:line="320" w:lineRule="atLeast"/>
              <w:ind w:left="60" w:right="60"/>
              <w:rPr>
                <w:color w:val="000000"/>
                <w:lang w:val="en-US"/>
              </w:rPr>
            </w:pPr>
          </w:p>
        </w:tc>
        <w:tc>
          <w:tcPr>
            <w:tcW w:w="1701" w:type="dxa"/>
            <w:tcBorders>
              <w:top w:val="single" w:sz="4" w:space="0" w:color="auto"/>
              <w:bottom w:val="single" w:sz="4" w:space="0" w:color="auto"/>
            </w:tcBorders>
            <w:shd w:val="clear" w:color="auto" w:fill="FFFFFF"/>
          </w:tcPr>
          <w:p w:rsidR="000F2ABA" w:rsidRPr="000F2ABA" w:rsidRDefault="000F2ABA" w:rsidP="007701BA">
            <w:pPr>
              <w:autoSpaceDE w:val="0"/>
              <w:autoSpaceDN w:val="0"/>
              <w:adjustRightInd w:val="0"/>
              <w:spacing w:after="0" w:line="320" w:lineRule="atLeast"/>
              <w:ind w:left="60" w:right="60"/>
              <w:jc w:val="center"/>
              <w:rPr>
                <w:color w:val="000000"/>
                <w:lang w:val="en-US"/>
              </w:rPr>
            </w:pPr>
            <w:r w:rsidRPr="000F2ABA">
              <w:rPr>
                <w:color w:val="000000"/>
                <w:lang w:val="en-US"/>
              </w:rPr>
              <w:t>Knowledge</w:t>
            </w:r>
          </w:p>
        </w:tc>
        <w:tc>
          <w:tcPr>
            <w:tcW w:w="1275" w:type="dxa"/>
            <w:tcBorders>
              <w:top w:val="single" w:sz="4" w:space="0" w:color="auto"/>
              <w:bottom w:val="single" w:sz="4" w:space="0" w:color="auto"/>
            </w:tcBorders>
            <w:shd w:val="clear" w:color="auto" w:fill="FFFFFF"/>
          </w:tcPr>
          <w:p w:rsidR="000F2ABA" w:rsidRPr="000F2ABA" w:rsidRDefault="000F2ABA" w:rsidP="007701BA">
            <w:pPr>
              <w:autoSpaceDE w:val="0"/>
              <w:autoSpaceDN w:val="0"/>
              <w:adjustRightInd w:val="0"/>
              <w:spacing w:after="0" w:line="320" w:lineRule="atLeast"/>
              <w:ind w:left="60" w:right="60"/>
              <w:jc w:val="center"/>
              <w:rPr>
                <w:color w:val="000000"/>
                <w:lang w:val="en-US"/>
              </w:rPr>
            </w:pPr>
            <w:r w:rsidRPr="000F2ABA">
              <w:rPr>
                <w:color w:val="000000"/>
                <w:lang w:val="en-US"/>
              </w:rPr>
              <w:t>Practice</w:t>
            </w:r>
          </w:p>
        </w:tc>
        <w:tc>
          <w:tcPr>
            <w:tcW w:w="1985" w:type="dxa"/>
            <w:tcBorders>
              <w:top w:val="single" w:sz="4" w:space="0" w:color="auto"/>
              <w:bottom w:val="single" w:sz="4" w:space="0" w:color="auto"/>
            </w:tcBorders>
            <w:shd w:val="clear" w:color="auto" w:fill="FFFFFF"/>
          </w:tcPr>
          <w:p w:rsidR="000F2ABA" w:rsidRPr="000F2ABA" w:rsidRDefault="000F2ABA" w:rsidP="007701BA">
            <w:pPr>
              <w:autoSpaceDE w:val="0"/>
              <w:autoSpaceDN w:val="0"/>
              <w:adjustRightInd w:val="0"/>
              <w:spacing w:after="0" w:line="320" w:lineRule="atLeast"/>
              <w:ind w:left="60" w:right="60"/>
              <w:jc w:val="center"/>
              <w:rPr>
                <w:color w:val="000000"/>
                <w:lang w:val="en-US"/>
              </w:rPr>
            </w:pPr>
            <w:r w:rsidRPr="000F2ABA">
              <w:rPr>
                <w:color w:val="000000"/>
                <w:lang w:val="en-US"/>
              </w:rPr>
              <w:t>Internalization</w:t>
            </w:r>
          </w:p>
        </w:tc>
      </w:tr>
      <w:tr w:rsidR="000F2ABA" w:rsidTr="000F2ABA">
        <w:trPr>
          <w:cantSplit/>
        </w:trPr>
        <w:tc>
          <w:tcPr>
            <w:tcW w:w="1686" w:type="dxa"/>
            <w:vMerge w:val="restart"/>
            <w:tcBorders>
              <w:top w:val="single" w:sz="4" w:space="0" w:color="auto"/>
            </w:tcBorders>
            <w:shd w:val="clear" w:color="auto" w:fill="FFFFFF"/>
            <w:vAlign w:val="center"/>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lastRenderedPageBreak/>
              <w:t>Spearman's rho</w:t>
            </w:r>
          </w:p>
        </w:tc>
        <w:tc>
          <w:tcPr>
            <w:tcW w:w="1530" w:type="dxa"/>
            <w:vMerge w:val="restart"/>
            <w:tcBorders>
              <w:top w:val="single" w:sz="4" w:space="0" w:color="auto"/>
            </w:tcBorders>
            <w:shd w:val="clear" w:color="auto" w:fill="FFFFFF"/>
            <w:vAlign w:val="center"/>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t>Knowledge</w:t>
            </w:r>
          </w:p>
        </w:tc>
        <w:tc>
          <w:tcPr>
            <w:tcW w:w="1605" w:type="dxa"/>
            <w:tcBorders>
              <w:top w:val="single" w:sz="4" w:space="0" w:color="auto"/>
            </w:tcBorders>
            <w:shd w:val="clear" w:color="auto" w:fill="FFFFFF"/>
            <w:vAlign w:val="center"/>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t>Correlation Coefficient</w:t>
            </w:r>
          </w:p>
        </w:tc>
        <w:tc>
          <w:tcPr>
            <w:tcW w:w="1701" w:type="dxa"/>
            <w:tcBorders>
              <w:top w:val="single" w:sz="4" w:space="0" w:color="auto"/>
            </w:tcBorders>
            <w:shd w:val="clear" w:color="auto" w:fill="FFFFFF"/>
            <w:vAlign w:val="center"/>
          </w:tcPr>
          <w:p w:rsidR="000F2ABA" w:rsidRDefault="000F2ABA" w:rsidP="007701BA">
            <w:pPr>
              <w:autoSpaceDE w:val="0"/>
              <w:autoSpaceDN w:val="0"/>
              <w:adjustRightInd w:val="0"/>
              <w:spacing w:after="0" w:line="320" w:lineRule="atLeast"/>
              <w:ind w:left="60" w:right="430"/>
              <w:jc w:val="right"/>
              <w:rPr>
                <w:color w:val="000000"/>
                <w:lang w:val="en-US"/>
              </w:rPr>
            </w:pPr>
            <w:r>
              <w:rPr>
                <w:color w:val="000000"/>
                <w:lang w:val="en-US"/>
              </w:rPr>
              <w:t>1.000</w:t>
            </w:r>
          </w:p>
        </w:tc>
        <w:tc>
          <w:tcPr>
            <w:tcW w:w="1275" w:type="dxa"/>
            <w:tcBorders>
              <w:top w:val="single" w:sz="4" w:space="0" w:color="auto"/>
            </w:tcBorders>
            <w:shd w:val="clear" w:color="auto" w:fill="FFFFFF"/>
            <w:vAlign w:val="center"/>
          </w:tcPr>
          <w:p w:rsidR="000F2ABA" w:rsidRDefault="000F2ABA" w:rsidP="007701BA">
            <w:pPr>
              <w:autoSpaceDE w:val="0"/>
              <w:autoSpaceDN w:val="0"/>
              <w:adjustRightInd w:val="0"/>
              <w:spacing w:after="0" w:line="320" w:lineRule="atLeast"/>
              <w:ind w:left="60" w:right="277"/>
              <w:jc w:val="right"/>
              <w:rPr>
                <w:color w:val="000000"/>
                <w:lang w:val="en-US"/>
              </w:rPr>
            </w:pPr>
            <w:r>
              <w:rPr>
                <w:color w:val="000000"/>
                <w:lang w:val="en-US"/>
              </w:rPr>
              <w:t>.392</w:t>
            </w:r>
            <w:r>
              <w:rPr>
                <w:color w:val="000000"/>
                <w:vertAlign w:val="superscript"/>
                <w:lang w:val="en-US"/>
              </w:rPr>
              <w:t>**</w:t>
            </w:r>
          </w:p>
        </w:tc>
        <w:tc>
          <w:tcPr>
            <w:tcW w:w="1985" w:type="dxa"/>
            <w:tcBorders>
              <w:top w:val="single" w:sz="4" w:space="0" w:color="auto"/>
            </w:tcBorders>
            <w:shd w:val="clear" w:color="auto" w:fill="FFFFFF"/>
            <w:vAlign w:val="center"/>
          </w:tcPr>
          <w:p w:rsidR="000F2ABA" w:rsidRDefault="000F2ABA" w:rsidP="007701BA">
            <w:pPr>
              <w:autoSpaceDE w:val="0"/>
              <w:autoSpaceDN w:val="0"/>
              <w:adjustRightInd w:val="0"/>
              <w:spacing w:after="0" w:line="320" w:lineRule="atLeast"/>
              <w:ind w:left="60" w:right="60"/>
              <w:jc w:val="right"/>
              <w:rPr>
                <w:color w:val="000000"/>
                <w:lang w:val="en-US"/>
              </w:rPr>
            </w:pPr>
            <w:r>
              <w:rPr>
                <w:color w:val="000000"/>
                <w:lang w:val="en-US"/>
              </w:rPr>
              <w:t>.549</w:t>
            </w:r>
            <w:r>
              <w:rPr>
                <w:color w:val="000000"/>
                <w:vertAlign w:val="superscript"/>
                <w:lang w:val="en-US"/>
              </w:rPr>
              <w:t>**</w:t>
            </w:r>
          </w:p>
        </w:tc>
      </w:tr>
      <w:tr w:rsidR="000F2ABA" w:rsidTr="000F2ABA">
        <w:trPr>
          <w:cantSplit/>
        </w:trPr>
        <w:tc>
          <w:tcPr>
            <w:tcW w:w="1686" w:type="dxa"/>
            <w:vMerge/>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530" w:type="dxa"/>
            <w:vMerge/>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605" w:type="dxa"/>
            <w:shd w:val="clear" w:color="auto" w:fill="FFFFFF"/>
            <w:vAlign w:val="center"/>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t>Sig. (2-tailed)</w:t>
            </w:r>
          </w:p>
        </w:tc>
        <w:tc>
          <w:tcPr>
            <w:tcW w:w="1701" w:type="dxa"/>
            <w:shd w:val="clear" w:color="auto" w:fill="FFFFFF"/>
            <w:vAlign w:val="center"/>
          </w:tcPr>
          <w:p w:rsidR="000F2ABA" w:rsidRDefault="000F2ABA" w:rsidP="007701BA">
            <w:pPr>
              <w:autoSpaceDE w:val="0"/>
              <w:autoSpaceDN w:val="0"/>
              <w:adjustRightInd w:val="0"/>
              <w:spacing w:after="0" w:line="320" w:lineRule="atLeast"/>
              <w:ind w:left="60" w:right="430"/>
              <w:jc w:val="right"/>
              <w:rPr>
                <w:color w:val="000000"/>
                <w:lang w:val="en-US"/>
              </w:rPr>
            </w:pPr>
            <w:r>
              <w:rPr>
                <w:color w:val="000000"/>
                <w:lang w:val="en-US"/>
              </w:rPr>
              <w:t>.</w:t>
            </w:r>
          </w:p>
        </w:tc>
        <w:tc>
          <w:tcPr>
            <w:tcW w:w="1275" w:type="dxa"/>
            <w:shd w:val="clear" w:color="auto" w:fill="FFFFFF"/>
            <w:vAlign w:val="center"/>
          </w:tcPr>
          <w:p w:rsidR="000F2ABA" w:rsidRDefault="000F2ABA" w:rsidP="007701BA">
            <w:pPr>
              <w:autoSpaceDE w:val="0"/>
              <w:autoSpaceDN w:val="0"/>
              <w:adjustRightInd w:val="0"/>
              <w:spacing w:after="0" w:line="320" w:lineRule="atLeast"/>
              <w:ind w:left="60" w:right="277"/>
              <w:jc w:val="right"/>
              <w:rPr>
                <w:color w:val="000000"/>
                <w:lang w:val="en-US"/>
              </w:rPr>
            </w:pPr>
            <w:r>
              <w:rPr>
                <w:color w:val="000000"/>
                <w:lang w:val="en-US"/>
              </w:rPr>
              <w:t>.000</w:t>
            </w:r>
          </w:p>
        </w:tc>
        <w:tc>
          <w:tcPr>
            <w:tcW w:w="1985" w:type="dxa"/>
            <w:shd w:val="clear" w:color="auto" w:fill="FFFFFF"/>
            <w:vAlign w:val="center"/>
          </w:tcPr>
          <w:p w:rsidR="000F2ABA" w:rsidRDefault="000F2ABA" w:rsidP="007701BA">
            <w:pPr>
              <w:autoSpaceDE w:val="0"/>
              <w:autoSpaceDN w:val="0"/>
              <w:adjustRightInd w:val="0"/>
              <w:spacing w:after="0" w:line="320" w:lineRule="atLeast"/>
              <w:ind w:left="60" w:right="60"/>
              <w:jc w:val="right"/>
              <w:rPr>
                <w:color w:val="000000"/>
                <w:lang w:val="en-US"/>
              </w:rPr>
            </w:pPr>
            <w:r>
              <w:rPr>
                <w:color w:val="000000"/>
                <w:lang w:val="en-US"/>
              </w:rPr>
              <w:t>.000</w:t>
            </w:r>
          </w:p>
        </w:tc>
      </w:tr>
      <w:tr w:rsidR="000F2ABA" w:rsidTr="000F2ABA">
        <w:trPr>
          <w:cantSplit/>
        </w:trPr>
        <w:tc>
          <w:tcPr>
            <w:tcW w:w="1686" w:type="dxa"/>
            <w:vMerge/>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530" w:type="dxa"/>
            <w:vMerge/>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605" w:type="dxa"/>
            <w:shd w:val="clear" w:color="auto" w:fill="FFFFFF"/>
            <w:vAlign w:val="center"/>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t>N</w:t>
            </w:r>
          </w:p>
        </w:tc>
        <w:tc>
          <w:tcPr>
            <w:tcW w:w="1701" w:type="dxa"/>
            <w:shd w:val="clear" w:color="auto" w:fill="FFFFFF"/>
            <w:vAlign w:val="center"/>
          </w:tcPr>
          <w:p w:rsidR="000F2ABA" w:rsidRDefault="000F2ABA" w:rsidP="007701BA">
            <w:pPr>
              <w:autoSpaceDE w:val="0"/>
              <w:autoSpaceDN w:val="0"/>
              <w:adjustRightInd w:val="0"/>
              <w:spacing w:after="0" w:line="320" w:lineRule="atLeast"/>
              <w:ind w:left="60" w:right="430"/>
              <w:jc w:val="right"/>
              <w:rPr>
                <w:color w:val="000000"/>
                <w:lang w:val="en-US"/>
              </w:rPr>
            </w:pPr>
            <w:r>
              <w:rPr>
                <w:color w:val="000000"/>
                <w:lang w:val="en-US"/>
              </w:rPr>
              <w:t>320</w:t>
            </w:r>
          </w:p>
        </w:tc>
        <w:tc>
          <w:tcPr>
            <w:tcW w:w="1275" w:type="dxa"/>
            <w:shd w:val="clear" w:color="auto" w:fill="FFFFFF"/>
            <w:vAlign w:val="center"/>
          </w:tcPr>
          <w:p w:rsidR="000F2ABA" w:rsidRDefault="000F2ABA" w:rsidP="007701BA">
            <w:pPr>
              <w:autoSpaceDE w:val="0"/>
              <w:autoSpaceDN w:val="0"/>
              <w:adjustRightInd w:val="0"/>
              <w:spacing w:after="0" w:line="320" w:lineRule="atLeast"/>
              <w:ind w:left="60" w:right="277"/>
              <w:jc w:val="right"/>
              <w:rPr>
                <w:color w:val="000000"/>
                <w:lang w:val="en-US"/>
              </w:rPr>
            </w:pPr>
            <w:r>
              <w:rPr>
                <w:color w:val="000000"/>
                <w:lang w:val="en-US"/>
              </w:rPr>
              <w:t>320</w:t>
            </w:r>
          </w:p>
        </w:tc>
        <w:tc>
          <w:tcPr>
            <w:tcW w:w="1985" w:type="dxa"/>
            <w:shd w:val="clear" w:color="auto" w:fill="FFFFFF"/>
            <w:vAlign w:val="center"/>
          </w:tcPr>
          <w:p w:rsidR="000F2ABA" w:rsidRDefault="000F2ABA" w:rsidP="007701BA">
            <w:pPr>
              <w:autoSpaceDE w:val="0"/>
              <w:autoSpaceDN w:val="0"/>
              <w:adjustRightInd w:val="0"/>
              <w:spacing w:after="0" w:line="320" w:lineRule="atLeast"/>
              <w:ind w:left="60" w:right="60"/>
              <w:jc w:val="right"/>
              <w:rPr>
                <w:color w:val="000000"/>
                <w:lang w:val="en-US"/>
              </w:rPr>
            </w:pPr>
            <w:r>
              <w:rPr>
                <w:color w:val="000000"/>
                <w:lang w:val="en-US"/>
              </w:rPr>
              <w:t>320</w:t>
            </w:r>
          </w:p>
        </w:tc>
      </w:tr>
      <w:tr w:rsidR="000F2ABA" w:rsidTr="000F2ABA">
        <w:trPr>
          <w:cantSplit/>
        </w:trPr>
        <w:tc>
          <w:tcPr>
            <w:tcW w:w="1686" w:type="dxa"/>
            <w:vMerge/>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530" w:type="dxa"/>
            <w:vMerge w:val="restart"/>
            <w:shd w:val="clear" w:color="auto" w:fill="FFFFFF"/>
            <w:vAlign w:val="center"/>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t>Practice</w:t>
            </w:r>
          </w:p>
        </w:tc>
        <w:tc>
          <w:tcPr>
            <w:tcW w:w="1605" w:type="dxa"/>
            <w:shd w:val="clear" w:color="auto" w:fill="FFFFFF"/>
            <w:vAlign w:val="center"/>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t>Correlation Coefficient</w:t>
            </w:r>
          </w:p>
        </w:tc>
        <w:tc>
          <w:tcPr>
            <w:tcW w:w="1701" w:type="dxa"/>
            <w:shd w:val="clear" w:color="auto" w:fill="FFFFFF"/>
            <w:vAlign w:val="center"/>
          </w:tcPr>
          <w:p w:rsidR="000F2ABA" w:rsidRDefault="000F2ABA" w:rsidP="007701BA">
            <w:pPr>
              <w:autoSpaceDE w:val="0"/>
              <w:autoSpaceDN w:val="0"/>
              <w:adjustRightInd w:val="0"/>
              <w:spacing w:after="0" w:line="320" w:lineRule="atLeast"/>
              <w:ind w:left="60" w:right="430"/>
              <w:jc w:val="right"/>
              <w:rPr>
                <w:color w:val="000000"/>
                <w:lang w:val="en-US"/>
              </w:rPr>
            </w:pPr>
            <w:r>
              <w:rPr>
                <w:color w:val="000000"/>
                <w:lang w:val="en-US"/>
              </w:rPr>
              <w:t>.392</w:t>
            </w:r>
            <w:r>
              <w:rPr>
                <w:color w:val="000000"/>
                <w:vertAlign w:val="superscript"/>
                <w:lang w:val="en-US"/>
              </w:rPr>
              <w:t>**</w:t>
            </w:r>
          </w:p>
        </w:tc>
        <w:tc>
          <w:tcPr>
            <w:tcW w:w="1275" w:type="dxa"/>
            <w:shd w:val="clear" w:color="auto" w:fill="FFFFFF"/>
            <w:vAlign w:val="center"/>
          </w:tcPr>
          <w:p w:rsidR="000F2ABA" w:rsidRDefault="000F2ABA" w:rsidP="007701BA">
            <w:pPr>
              <w:autoSpaceDE w:val="0"/>
              <w:autoSpaceDN w:val="0"/>
              <w:adjustRightInd w:val="0"/>
              <w:spacing w:after="0" w:line="320" w:lineRule="atLeast"/>
              <w:ind w:left="60" w:right="277"/>
              <w:jc w:val="right"/>
              <w:rPr>
                <w:color w:val="000000"/>
                <w:lang w:val="en-US"/>
              </w:rPr>
            </w:pPr>
            <w:r>
              <w:rPr>
                <w:color w:val="000000"/>
                <w:lang w:val="en-US"/>
              </w:rPr>
              <w:t>1.000</w:t>
            </w:r>
          </w:p>
        </w:tc>
        <w:tc>
          <w:tcPr>
            <w:tcW w:w="1985" w:type="dxa"/>
            <w:shd w:val="clear" w:color="auto" w:fill="FFFFFF"/>
            <w:vAlign w:val="center"/>
          </w:tcPr>
          <w:p w:rsidR="000F2ABA" w:rsidRDefault="000F2ABA" w:rsidP="007701BA">
            <w:pPr>
              <w:autoSpaceDE w:val="0"/>
              <w:autoSpaceDN w:val="0"/>
              <w:adjustRightInd w:val="0"/>
              <w:spacing w:after="0" w:line="320" w:lineRule="atLeast"/>
              <w:ind w:left="60" w:right="60"/>
              <w:jc w:val="right"/>
              <w:rPr>
                <w:color w:val="000000"/>
                <w:lang w:val="en-US"/>
              </w:rPr>
            </w:pPr>
            <w:r>
              <w:rPr>
                <w:color w:val="000000"/>
                <w:lang w:val="en-US"/>
              </w:rPr>
              <w:t>.408</w:t>
            </w:r>
            <w:r>
              <w:rPr>
                <w:color w:val="000000"/>
                <w:vertAlign w:val="superscript"/>
                <w:lang w:val="en-US"/>
              </w:rPr>
              <w:t>**</w:t>
            </w:r>
          </w:p>
        </w:tc>
      </w:tr>
      <w:tr w:rsidR="000F2ABA" w:rsidTr="000F2ABA">
        <w:trPr>
          <w:cantSplit/>
        </w:trPr>
        <w:tc>
          <w:tcPr>
            <w:tcW w:w="1686" w:type="dxa"/>
            <w:vMerge/>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530" w:type="dxa"/>
            <w:vMerge/>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605" w:type="dxa"/>
            <w:shd w:val="clear" w:color="auto" w:fill="FFFFFF"/>
            <w:vAlign w:val="center"/>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t>Sig. (2-tailed)</w:t>
            </w:r>
          </w:p>
        </w:tc>
        <w:tc>
          <w:tcPr>
            <w:tcW w:w="1701" w:type="dxa"/>
            <w:shd w:val="clear" w:color="auto" w:fill="FFFFFF"/>
            <w:vAlign w:val="center"/>
          </w:tcPr>
          <w:p w:rsidR="000F2ABA" w:rsidRDefault="000F2ABA" w:rsidP="007701BA">
            <w:pPr>
              <w:autoSpaceDE w:val="0"/>
              <w:autoSpaceDN w:val="0"/>
              <w:adjustRightInd w:val="0"/>
              <w:spacing w:after="0" w:line="320" w:lineRule="atLeast"/>
              <w:ind w:left="60" w:right="430"/>
              <w:jc w:val="right"/>
              <w:rPr>
                <w:color w:val="000000"/>
                <w:lang w:val="en-US"/>
              </w:rPr>
            </w:pPr>
            <w:r>
              <w:rPr>
                <w:color w:val="000000"/>
                <w:lang w:val="en-US"/>
              </w:rPr>
              <w:t>.000</w:t>
            </w:r>
          </w:p>
        </w:tc>
        <w:tc>
          <w:tcPr>
            <w:tcW w:w="1275" w:type="dxa"/>
            <w:shd w:val="clear" w:color="auto" w:fill="FFFFFF"/>
            <w:vAlign w:val="center"/>
          </w:tcPr>
          <w:p w:rsidR="000F2ABA" w:rsidRDefault="000F2ABA" w:rsidP="007701BA">
            <w:pPr>
              <w:autoSpaceDE w:val="0"/>
              <w:autoSpaceDN w:val="0"/>
              <w:adjustRightInd w:val="0"/>
              <w:spacing w:after="0" w:line="320" w:lineRule="atLeast"/>
              <w:ind w:left="60" w:right="277"/>
              <w:jc w:val="right"/>
              <w:rPr>
                <w:color w:val="000000"/>
                <w:lang w:val="en-US"/>
              </w:rPr>
            </w:pPr>
            <w:r>
              <w:rPr>
                <w:color w:val="000000"/>
                <w:lang w:val="en-US"/>
              </w:rPr>
              <w:t>.</w:t>
            </w:r>
          </w:p>
        </w:tc>
        <w:tc>
          <w:tcPr>
            <w:tcW w:w="1985" w:type="dxa"/>
            <w:shd w:val="clear" w:color="auto" w:fill="FFFFFF"/>
            <w:vAlign w:val="center"/>
          </w:tcPr>
          <w:p w:rsidR="000F2ABA" w:rsidRDefault="000F2ABA" w:rsidP="007701BA">
            <w:pPr>
              <w:autoSpaceDE w:val="0"/>
              <w:autoSpaceDN w:val="0"/>
              <w:adjustRightInd w:val="0"/>
              <w:spacing w:after="0" w:line="320" w:lineRule="atLeast"/>
              <w:ind w:left="60" w:right="60"/>
              <w:jc w:val="right"/>
              <w:rPr>
                <w:color w:val="000000"/>
                <w:lang w:val="en-US"/>
              </w:rPr>
            </w:pPr>
            <w:r>
              <w:rPr>
                <w:color w:val="000000"/>
                <w:lang w:val="en-US"/>
              </w:rPr>
              <w:t>.000</w:t>
            </w:r>
          </w:p>
        </w:tc>
      </w:tr>
      <w:tr w:rsidR="000F2ABA" w:rsidTr="000F2ABA">
        <w:trPr>
          <w:cantSplit/>
        </w:trPr>
        <w:tc>
          <w:tcPr>
            <w:tcW w:w="1686" w:type="dxa"/>
            <w:vMerge/>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530" w:type="dxa"/>
            <w:vMerge/>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605" w:type="dxa"/>
            <w:shd w:val="clear" w:color="auto" w:fill="FFFFFF"/>
            <w:vAlign w:val="center"/>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t>N</w:t>
            </w:r>
          </w:p>
        </w:tc>
        <w:tc>
          <w:tcPr>
            <w:tcW w:w="1701" w:type="dxa"/>
            <w:shd w:val="clear" w:color="auto" w:fill="FFFFFF"/>
            <w:vAlign w:val="center"/>
          </w:tcPr>
          <w:p w:rsidR="000F2ABA" w:rsidRDefault="000F2ABA" w:rsidP="007701BA">
            <w:pPr>
              <w:autoSpaceDE w:val="0"/>
              <w:autoSpaceDN w:val="0"/>
              <w:adjustRightInd w:val="0"/>
              <w:spacing w:after="0" w:line="320" w:lineRule="atLeast"/>
              <w:ind w:left="60" w:right="430"/>
              <w:jc w:val="right"/>
              <w:rPr>
                <w:color w:val="000000"/>
                <w:lang w:val="en-US"/>
              </w:rPr>
            </w:pPr>
            <w:r>
              <w:rPr>
                <w:color w:val="000000"/>
                <w:lang w:val="en-US"/>
              </w:rPr>
              <w:t>320</w:t>
            </w:r>
          </w:p>
        </w:tc>
        <w:tc>
          <w:tcPr>
            <w:tcW w:w="1275" w:type="dxa"/>
            <w:shd w:val="clear" w:color="auto" w:fill="FFFFFF"/>
            <w:vAlign w:val="center"/>
          </w:tcPr>
          <w:p w:rsidR="000F2ABA" w:rsidRDefault="000F2ABA" w:rsidP="007701BA">
            <w:pPr>
              <w:autoSpaceDE w:val="0"/>
              <w:autoSpaceDN w:val="0"/>
              <w:adjustRightInd w:val="0"/>
              <w:spacing w:after="0" w:line="320" w:lineRule="atLeast"/>
              <w:ind w:left="60" w:right="277"/>
              <w:jc w:val="right"/>
              <w:rPr>
                <w:color w:val="000000"/>
                <w:lang w:val="en-US"/>
              </w:rPr>
            </w:pPr>
            <w:r>
              <w:rPr>
                <w:color w:val="000000"/>
                <w:lang w:val="en-US"/>
              </w:rPr>
              <w:t>320</w:t>
            </w:r>
          </w:p>
        </w:tc>
        <w:tc>
          <w:tcPr>
            <w:tcW w:w="1985" w:type="dxa"/>
            <w:shd w:val="clear" w:color="auto" w:fill="FFFFFF"/>
            <w:vAlign w:val="center"/>
          </w:tcPr>
          <w:p w:rsidR="000F2ABA" w:rsidRDefault="000F2ABA" w:rsidP="007701BA">
            <w:pPr>
              <w:autoSpaceDE w:val="0"/>
              <w:autoSpaceDN w:val="0"/>
              <w:adjustRightInd w:val="0"/>
              <w:spacing w:after="0" w:line="320" w:lineRule="atLeast"/>
              <w:ind w:left="60" w:right="60"/>
              <w:jc w:val="right"/>
              <w:rPr>
                <w:color w:val="000000"/>
                <w:lang w:val="en-US"/>
              </w:rPr>
            </w:pPr>
            <w:r>
              <w:rPr>
                <w:color w:val="000000"/>
                <w:lang w:val="en-US"/>
              </w:rPr>
              <w:t>320</w:t>
            </w:r>
          </w:p>
        </w:tc>
      </w:tr>
      <w:tr w:rsidR="000F2ABA" w:rsidTr="000F2ABA">
        <w:trPr>
          <w:cantSplit/>
        </w:trPr>
        <w:tc>
          <w:tcPr>
            <w:tcW w:w="1686" w:type="dxa"/>
            <w:vMerge/>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530" w:type="dxa"/>
            <w:vMerge w:val="restart"/>
            <w:shd w:val="clear" w:color="auto" w:fill="FFFFFF"/>
            <w:vAlign w:val="center"/>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t>Internalization</w:t>
            </w:r>
          </w:p>
        </w:tc>
        <w:tc>
          <w:tcPr>
            <w:tcW w:w="1605" w:type="dxa"/>
            <w:shd w:val="clear" w:color="auto" w:fill="FFFFFF"/>
            <w:vAlign w:val="center"/>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t>Correlation Coefficient</w:t>
            </w:r>
          </w:p>
        </w:tc>
        <w:tc>
          <w:tcPr>
            <w:tcW w:w="1701" w:type="dxa"/>
            <w:shd w:val="clear" w:color="auto" w:fill="FFFFFF"/>
            <w:vAlign w:val="center"/>
          </w:tcPr>
          <w:p w:rsidR="000F2ABA" w:rsidRDefault="000F2ABA" w:rsidP="007701BA">
            <w:pPr>
              <w:autoSpaceDE w:val="0"/>
              <w:autoSpaceDN w:val="0"/>
              <w:adjustRightInd w:val="0"/>
              <w:spacing w:after="0" w:line="320" w:lineRule="atLeast"/>
              <w:ind w:left="60" w:right="430"/>
              <w:jc w:val="right"/>
              <w:rPr>
                <w:color w:val="000000"/>
                <w:lang w:val="en-US"/>
              </w:rPr>
            </w:pPr>
            <w:r>
              <w:rPr>
                <w:color w:val="000000"/>
                <w:lang w:val="en-US"/>
              </w:rPr>
              <w:t>.549</w:t>
            </w:r>
            <w:r>
              <w:rPr>
                <w:color w:val="000000"/>
                <w:vertAlign w:val="superscript"/>
                <w:lang w:val="en-US"/>
              </w:rPr>
              <w:t>**</w:t>
            </w:r>
          </w:p>
        </w:tc>
        <w:tc>
          <w:tcPr>
            <w:tcW w:w="1275" w:type="dxa"/>
            <w:shd w:val="clear" w:color="auto" w:fill="FFFFFF"/>
            <w:vAlign w:val="center"/>
          </w:tcPr>
          <w:p w:rsidR="000F2ABA" w:rsidRDefault="000F2ABA" w:rsidP="007701BA">
            <w:pPr>
              <w:autoSpaceDE w:val="0"/>
              <w:autoSpaceDN w:val="0"/>
              <w:adjustRightInd w:val="0"/>
              <w:spacing w:after="0" w:line="320" w:lineRule="atLeast"/>
              <w:ind w:left="60" w:right="277"/>
              <w:jc w:val="right"/>
              <w:rPr>
                <w:color w:val="000000"/>
                <w:lang w:val="en-US"/>
              </w:rPr>
            </w:pPr>
            <w:r>
              <w:rPr>
                <w:color w:val="000000"/>
                <w:lang w:val="en-US"/>
              </w:rPr>
              <w:t>.408</w:t>
            </w:r>
            <w:r>
              <w:rPr>
                <w:color w:val="000000"/>
                <w:vertAlign w:val="superscript"/>
                <w:lang w:val="en-US"/>
              </w:rPr>
              <w:t>**</w:t>
            </w:r>
          </w:p>
        </w:tc>
        <w:tc>
          <w:tcPr>
            <w:tcW w:w="1985" w:type="dxa"/>
            <w:shd w:val="clear" w:color="auto" w:fill="FFFFFF"/>
            <w:vAlign w:val="center"/>
          </w:tcPr>
          <w:p w:rsidR="000F2ABA" w:rsidRDefault="000F2ABA" w:rsidP="007701BA">
            <w:pPr>
              <w:autoSpaceDE w:val="0"/>
              <w:autoSpaceDN w:val="0"/>
              <w:adjustRightInd w:val="0"/>
              <w:spacing w:after="0" w:line="320" w:lineRule="atLeast"/>
              <w:ind w:left="60" w:right="60"/>
              <w:jc w:val="right"/>
              <w:rPr>
                <w:color w:val="000000"/>
                <w:lang w:val="en-US"/>
              </w:rPr>
            </w:pPr>
            <w:r>
              <w:rPr>
                <w:color w:val="000000"/>
                <w:lang w:val="en-US"/>
              </w:rPr>
              <w:t>1.000</w:t>
            </w:r>
          </w:p>
        </w:tc>
      </w:tr>
      <w:tr w:rsidR="000F2ABA" w:rsidTr="000F2ABA">
        <w:trPr>
          <w:cantSplit/>
        </w:trPr>
        <w:tc>
          <w:tcPr>
            <w:tcW w:w="1686" w:type="dxa"/>
            <w:vMerge/>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530" w:type="dxa"/>
            <w:vMerge/>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605" w:type="dxa"/>
            <w:shd w:val="clear" w:color="auto" w:fill="FFFFFF"/>
            <w:vAlign w:val="center"/>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t>Sig. (2-tailed)</w:t>
            </w:r>
          </w:p>
        </w:tc>
        <w:tc>
          <w:tcPr>
            <w:tcW w:w="1701" w:type="dxa"/>
            <w:shd w:val="clear" w:color="auto" w:fill="FFFFFF"/>
            <w:vAlign w:val="center"/>
          </w:tcPr>
          <w:p w:rsidR="000F2ABA" w:rsidRDefault="000F2ABA" w:rsidP="007701BA">
            <w:pPr>
              <w:autoSpaceDE w:val="0"/>
              <w:autoSpaceDN w:val="0"/>
              <w:adjustRightInd w:val="0"/>
              <w:spacing w:after="0" w:line="320" w:lineRule="atLeast"/>
              <w:ind w:left="60" w:right="430"/>
              <w:jc w:val="right"/>
              <w:rPr>
                <w:color w:val="000000"/>
                <w:lang w:val="en-US"/>
              </w:rPr>
            </w:pPr>
            <w:r>
              <w:rPr>
                <w:color w:val="000000"/>
                <w:lang w:val="en-US"/>
              </w:rPr>
              <w:t>.000</w:t>
            </w:r>
          </w:p>
        </w:tc>
        <w:tc>
          <w:tcPr>
            <w:tcW w:w="1275" w:type="dxa"/>
            <w:shd w:val="clear" w:color="auto" w:fill="FFFFFF"/>
            <w:vAlign w:val="center"/>
          </w:tcPr>
          <w:p w:rsidR="000F2ABA" w:rsidRDefault="000F2ABA" w:rsidP="007701BA">
            <w:pPr>
              <w:autoSpaceDE w:val="0"/>
              <w:autoSpaceDN w:val="0"/>
              <w:adjustRightInd w:val="0"/>
              <w:spacing w:after="0" w:line="320" w:lineRule="atLeast"/>
              <w:ind w:left="60" w:right="277"/>
              <w:jc w:val="right"/>
              <w:rPr>
                <w:color w:val="000000"/>
                <w:lang w:val="en-US"/>
              </w:rPr>
            </w:pPr>
            <w:r>
              <w:rPr>
                <w:color w:val="000000"/>
                <w:lang w:val="en-US"/>
              </w:rPr>
              <w:t>.000</w:t>
            </w:r>
          </w:p>
        </w:tc>
        <w:tc>
          <w:tcPr>
            <w:tcW w:w="1985" w:type="dxa"/>
            <w:shd w:val="clear" w:color="auto" w:fill="FFFFFF"/>
            <w:vAlign w:val="center"/>
          </w:tcPr>
          <w:p w:rsidR="000F2ABA" w:rsidRDefault="000F2ABA" w:rsidP="007701BA">
            <w:pPr>
              <w:autoSpaceDE w:val="0"/>
              <w:autoSpaceDN w:val="0"/>
              <w:adjustRightInd w:val="0"/>
              <w:spacing w:after="0" w:line="320" w:lineRule="atLeast"/>
              <w:ind w:left="60" w:right="60"/>
              <w:jc w:val="right"/>
              <w:rPr>
                <w:color w:val="000000"/>
                <w:lang w:val="en-US"/>
              </w:rPr>
            </w:pPr>
            <w:r>
              <w:rPr>
                <w:color w:val="000000"/>
                <w:lang w:val="en-US"/>
              </w:rPr>
              <w:t>.</w:t>
            </w:r>
          </w:p>
        </w:tc>
      </w:tr>
      <w:tr w:rsidR="000F2ABA" w:rsidTr="000F2ABA">
        <w:trPr>
          <w:cantSplit/>
        </w:trPr>
        <w:tc>
          <w:tcPr>
            <w:tcW w:w="1686" w:type="dxa"/>
            <w:vMerge/>
            <w:tcBorders>
              <w:bottom w:val="single" w:sz="4" w:space="0" w:color="auto"/>
            </w:tcBorders>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530" w:type="dxa"/>
            <w:vMerge/>
            <w:tcBorders>
              <w:bottom w:val="single" w:sz="4" w:space="0" w:color="auto"/>
            </w:tcBorders>
            <w:shd w:val="clear" w:color="auto" w:fill="FFFFFF"/>
            <w:vAlign w:val="center"/>
          </w:tcPr>
          <w:p w:rsidR="000F2ABA" w:rsidRDefault="000F2ABA" w:rsidP="007701BA">
            <w:pPr>
              <w:autoSpaceDE w:val="0"/>
              <w:autoSpaceDN w:val="0"/>
              <w:adjustRightInd w:val="0"/>
              <w:spacing w:after="0" w:line="240" w:lineRule="auto"/>
              <w:rPr>
                <w:color w:val="000000"/>
                <w:lang w:val="en-US"/>
              </w:rPr>
            </w:pPr>
          </w:p>
        </w:tc>
        <w:tc>
          <w:tcPr>
            <w:tcW w:w="1605" w:type="dxa"/>
            <w:tcBorders>
              <w:bottom w:val="single" w:sz="4" w:space="0" w:color="auto"/>
            </w:tcBorders>
            <w:shd w:val="clear" w:color="auto" w:fill="FFFFFF"/>
            <w:vAlign w:val="center"/>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t>N</w:t>
            </w:r>
          </w:p>
        </w:tc>
        <w:tc>
          <w:tcPr>
            <w:tcW w:w="1701" w:type="dxa"/>
            <w:tcBorders>
              <w:bottom w:val="single" w:sz="4" w:space="0" w:color="auto"/>
            </w:tcBorders>
            <w:shd w:val="clear" w:color="auto" w:fill="FFFFFF"/>
            <w:vAlign w:val="center"/>
          </w:tcPr>
          <w:p w:rsidR="000F2ABA" w:rsidRDefault="000F2ABA" w:rsidP="007701BA">
            <w:pPr>
              <w:autoSpaceDE w:val="0"/>
              <w:autoSpaceDN w:val="0"/>
              <w:adjustRightInd w:val="0"/>
              <w:spacing w:after="0" w:line="320" w:lineRule="atLeast"/>
              <w:ind w:left="60" w:right="430"/>
              <w:jc w:val="right"/>
              <w:rPr>
                <w:color w:val="000000"/>
                <w:lang w:val="en-US"/>
              </w:rPr>
            </w:pPr>
            <w:r>
              <w:rPr>
                <w:color w:val="000000"/>
                <w:lang w:val="en-US"/>
              </w:rPr>
              <w:t>320</w:t>
            </w:r>
          </w:p>
        </w:tc>
        <w:tc>
          <w:tcPr>
            <w:tcW w:w="1275" w:type="dxa"/>
            <w:tcBorders>
              <w:bottom w:val="single" w:sz="4" w:space="0" w:color="auto"/>
            </w:tcBorders>
            <w:shd w:val="clear" w:color="auto" w:fill="FFFFFF"/>
            <w:vAlign w:val="center"/>
          </w:tcPr>
          <w:p w:rsidR="000F2ABA" w:rsidRDefault="000F2ABA" w:rsidP="007701BA">
            <w:pPr>
              <w:autoSpaceDE w:val="0"/>
              <w:autoSpaceDN w:val="0"/>
              <w:adjustRightInd w:val="0"/>
              <w:spacing w:after="0" w:line="320" w:lineRule="atLeast"/>
              <w:ind w:left="60" w:right="277"/>
              <w:jc w:val="right"/>
              <w:rPr>
                <w:color w:val="000000"/>
                <w:lang w:val="en-US"/>
              </w:rPr>
            </w:pPr>
            <w:r>
              <w:rPr>
                <w:color w:val="000000"/>
                <w:lang w:val="en-US"/>
              </w:rPr>
              <w:t>320</w:t>
            </w:r>
          </w:p>
        </w:tc>
        <w:tc>
          <w:tcPr>
            <w:tcW w:w="1985" w:type="dxa"/>
            <w:tcBorders>
              <w:bottom w:val="single" w:sz="4" w:space="0" w:color="auto"/>
            </w:tcBorders>
            <w:shd w:val="clear" w:color="auto" w:fill="FFFFFF"/>
            <w:vAlign w:val="center"/>
          </w:tcPr>
          <w:p w:rsidR="000F2ABA" w:rsidRDefault="000F2ABA" w:rsidP="007701BA">
            <w:pPr>
              <w:autoSpaceDE w:val="0"/>
              <w:autoSpaceDN w:val="0"/>
              <w:adjustRightInd w:val="0"/>
              <w:spacing w:after="0" w:line="320" w:lineRule="atLeast"/>
              <w:ind w:left="60" w:right="60"/>
              <w:jc w:val="right"/>
              <w:rPr>
                <w:color w:val="000000"/>
                <w:lang w:val="en-US"/>
              </w:rPr>
            </w:pPr>
            <w:r>
              <w:rPr>
                <w:color w:val="000000"/>
                <w:lang w:val="en-US"/>
              </w:rPr>
              <w:t>320</w:t>
            </w:r>
          </w:p>
        </w:tc>
      </w:tr>
      <w:tr w:rsidR="000F2ABA" w:rsidTr="000F2ABA">
        <w:trPr>
          <w:cantSplit/>
        </w:trPr>
        <w:tc>
          <w:tcPr>
            <w:tcW w:w="9782" w:type="dxa"/>
            <w:gridSpan w:val="6"/>
            <w:tcBorders>
              <w:top w:val="single" w:sz="4" w:space="0" w:color="auto"/>
            </w:tcBorders>
            <w:shd w:val="clear" w:color="auto" w:fill="FFFFFF"/>
          </w:tcPr>
          <w:p w:rsidR="000F2ABA" w:rsidRDefault="000F2ABA" w:rsidP="007701BA">
            <w:pPr>
              <w:autoSpaceDE w:val="0"/>
              <w:autoSpaceDN w:val="0"/>
              <w:adjustRightInd w:val="0"/>
              <w:spacing w:after="0" w:line="320" w:lineRule="atLeast"/>
              <w:ind w:left="60" w:right="60"/>
              <w:rPr>
                <w:color w:val="000000"/>
                <w:lang w:val="en-US"/>
              </w:rPr>
            </w:pPr>
            <w:r>
              <w:rPr>
                <w:color w:val="000000"/>
                <w:lang w:val="en-US"/>
              </w:rPr>
              <w:t>**. Correlation is significant at the 0.01 level (2-tailed).</w:t>
            </w:r>
          </w:p>
        </w:tc>
      </w:tr>
    </w:tbl>
    <w:p w:rsidR="000F2ABA" w:rsidRDefault="000F2ABA" w:rsidP="00D656C8">
      <w:pPr>
        <w:jc w:val="both"/>
      </w:pPr>
    </w:p>
    <w:p w:rsidR="00C01D8B" w:rsidRPr="00C01D8B" w:rsidRDefault="00C01D8B" w:rsidP="00C01D8B">
      <w:pPr>
        <w:jc w:val="both"/>
      </w:pPr>
      <w:r w:rsidRPr="00C01D8B">
        <w:t xml:space="preserve">The analysis using Spearman’s rho revealed a statistically significant moderate positive correlation between Knowledge and Practice (r = </w:t>
      </w:r>
      <w:r w:rsidR="00DF0CD3">
        <w:t>0</w:t>
      </w:r>
      <w:r w:rsidRPr="00C01D8B">
        <w:t xml:space="preserve">.392, </w:t>
      </w:r>
      <w:r w:rsidRPr="00C01D8B">
        <w:rPr>
          <w:i/>
          <w:iCs/>
        </w:rPr>
        <w:t>p</w:t>
      </w:r>
      <w:r w:rsidRPr="00C01D8B">
        <w:t xml:space="preserve"> &lt; .01), indicating that staff members with higher levels of knowledge of the </w:t>
      </w:r>
      <w:proofErr w:type="spellStart"/>
      <w:r w:rsidRPr="00C01D8B">
        <w:t>FlexS</w:t>
      </w:r>
      <w:proofErr w:type="spellEnd"/>
      <w:r w:rsidRPr="00C01D8B">
        <w:t xml:space="preserve"> core values tend to engage more in related practices.</w:t>
      </w:r>
    </w:p>
    <w:p w:rsidR="00C01D8B" w:rsidRPr="00C01D8B" w:rsidRDefault="00C01D8B" w:rsidP="00C01D8B">
      <w:pPr>
        <w:jc w:val="both"/>
      </w:pPr>
      <w:r w:rsidRPr="00C01D8B">
        <w:t xml:space="preserve">A stronger and statistically significant positive correlation was also found between Knowledge and Internalization (r = </w:t>
      </w:r>
      <w:r w:rsidR="00DF0CD3">
        <w:t>0</w:t>
      </w:r>
      <w:r w:rsidRPr="00C01D8B">
        <w:t xml:space="preserve">.549, </w:t>
      </w:r>
      <w:r w:rsidRPr="00C01D8B">
        <w:rPr>
          <w:i/>
          <w:iCs/>
        </w:rPr>
        <w:t>p</w:t>
      </w:r>
      <w:r w:rsidRPr="00C01D8B">
        <w:t xml:space="preserve"> &lt; .01). This suggests that as staff members’ knowledge increases, their depth of internalizing these core values also improves, pointing to a more meaningful integration of </w:t>
      </w:r>
      <w:proofErr w:type="spellStart"/>
      <w:r w:rsidRPr="00C01D8B">
        <w:t>FlexS</w:t>
      </w:r>
      <w:proofErr w:type="spellEnd"/>
      <w:r w:rsidRPr="00C01D8B">
        <w:t xml:space="preserve"> values in their personal and professional mindset.</w:t>
      </w:r>
    </w:p>
    <w:p w:rsidR="00C01D8B" w:rsidRPr="00C01D8B" w:rsidRDefault="00C01D8B" w:rsidP="00C01D8B">
      <w:pPr>
        <w:jc w:val="both"/>
      </w:pPr>
      <w:r w:rsidRPr="00C01D8B">
        <w:t xml:space="preserve">Additionally, the correlation between Practice and Internalization was also significant and positive (r = </w:t>
      </w:r>
      <w:r w:rsidR="00DF0CD3">
        <w:t>0</w:t>
      </w:r>
      <w:r w:rsidRPr="00C01D8B">
        <w:t xml:space="preserve">.408, </w:t>
      </w:r>
      <w:r w:rsidRPr="00C01D8B">
        <w:rPr>
          <w:i/>
          <w:iCs/>
        </w:rPr>
        <w:t>p</w:t>
      </w:r>
      <w:r w:rsidRPr="00C01D8B">
        <w:t xml:space="preserve"> &lt; .01). This finding implies that increased engagement in practicing the </w:t>
      </w:r>
      <w:proofErr w:type="spellStart"/>
      <w:r w:rsidRPr="00C01D8B">
        <w:t>FlexS</w:t>
      </w:r>
      <w:proofErr w:type="spellEnd"/>
      <w:r w:rsidRPr="00C01D8B">
        <w:t xml:space="preserve"> values contributes positively to their internalization, reinforcing the idea that lived experiences enhance value absorption.</w:t>
      </w:r>
    </w:p>
    <w:p w:rsidR="00C01D8B" w:rsidRPr="00C01D8B" w:rsidRDefault="00C01D8B" w:rsidP="00C01D8B">
      <w:pPr>
        <w:jc w:val="both"/>
      </w:pPr>
      <w:r w:rsidRPr="00C01D8B">
        <w:t>Taken together, all correlations among the three variables</w:t>
      </w:r>
      <w:r w:rsidR="00DF0CD3">
        <w:t xml:space="preserve"> namely </w:t>
      </w:r>
      <w:r w:rsidRPr="00C01D8B">
        <w:t>Knowledge, Practice, and Internalization</w:t>
      </w:r>
      <w:r w:rsidR="00DF0CD3">
        <w:t xml:space="preserve"> </w:t>
      </w:r>
      <w:r w:rsidRPr="00C01D8B">
        <w:t>are statistically significant and positively related. Among these, the strongest association is observed between Knowledge and Internalization, emphasizing the critical role of cognitive understanding in facilitating value adoption and embodiment.</w:t>
      </w:r>
    </w:p>
    <w:p w:rsidR="00C01D8B" w:rsidRDefault="00C01D8B" w:rsidP="000F2ABA">
      <w:pPr>
        <w:jc w:val="center"/>
      </w:pPr>
    </w:p>
    <w:p w:rsidR="00D84442" w:rsidRDefault="000F2ABA" w:rsidP="000F2ABA">
      <w:pPr>
        <w:jc w:val="center"/>
      </w:pPr>
      <w:r>
        <w:t>Table</w:t>
      </w:r>
      <w:r w:rsidR="002D009E">
        <w:t xml:space="preserve"> 4</w:t>
      </w:r>
      <w:r>
        <w:t>: Regression Analysis</w:t>
      </w:r>
    </w:p>
    <w:tbl>
      <w:tblPr>
        <w:tblW w:w="4938" w:type="dxa"/>
        <w:jc w:val="center"/>
        <w:tblLayout w:type="fixed"/>
        <w:tblCellMar>
          <w:left w:w="0" w:type="dxa"/>
          <w:right w:w="0" w:type="dxa"/>
        </w:tblCellMar>
        <w:tblLook w:val="04A0" w:firstRow="1" w:lastRow="0" w:firstColumn="1" w:lastColumn="0" w:noHBand="0" w:noVBand="1"/>
      </w:tblPr>
      <w:tblGrid>
        <w:gridCol w:w="890"/>
        <w:gridCol w:w="1150"/>
        <w:gridCol w:w="1221"/>
        <w:gridCol w:w="1677"/>
      </w:tblGrid>
      <w:tr w:rsidR="00D84442" w:rsidTr="007701BA">
        <w:trPr>
          <w:cantSplit/>
          <w:trHeight w:val="377"/>
          <w:jc w:val="center"/>
        </w:trPr>
        <w:tc>
          <w:tcPr>
            <w:tcW w:w="890" w:type="dxa"/>
            <w:vMerge w:val="restart"/>
            <w:tcBorders>
              <w:top w:val="single" w:sz="4" w:space="0" w:color="auto"/>
              <w:bottom w:val="single" w:sz="4" w:space="0" w:color="auto"/>
            </w:tcBorders>
            <w:shd w:val="clear" w:color="auto" w:fill="FFFFFF"/>
          </w:tcPr>
          <w:p w:rsidR="00D84442" w:rsidRDefault="00D84442" w:rsidP="007701BA">
            <w:pPr>
              <w:autoSpaceDE w:val="0"/>
              <w:autoSpaceDN w:val="0"/>
              <w:adjustRightInd w:val="0"/>
              <w:spacing w:after="0" w:line="320" w:lineRule="atLeast"/>
              <w:ind w:left="60" w:right="60"/>
              <w:rPr>
                <w:rFonts w:eastAsia="Calibri"/>
                <w:color w:val="000000"/>
              </w:rPr>
            </w:pPr>
            <w:r>
              <w:rPr>
                <w:rFonts w:eastAsia="Calibri"/>
                <w:color w:val="000000"/>
              </w:rPr>
              <w:t>Model</w:t>
            </w:r>
          </w:p>
        </w:tc>
        <w:tc>
          <w:tcPr>
            <w:tcW w:w="1150" w:type="dxa"/>
            <w:vMerge w:val="restart"/>
            <w:tcBorders>
              <w:top w:val="single" w:sz="4" w:space="0" w:color="auto"/>
              <w:bottom w:val="single" w:sz="4" w:space="0" w:color="auto"/>
            </w:tcBorders>
            <w:shd w:val="clear" w:color="auto" w:fill="FFFFFF"/>
          </w:tcPr>
          <w:p w:rsidR="00D84442" w:rsidRDefault="00D84442" w:rsidP="007701BA">
            <w:pPr>
              <w:autoSpaceDE w:val="0"/>
              <w:autoSpaceDN w:val="0"/>
              <w:adjustRightInd w:val="0"/>
              <w:spacing w:after="0" w:line="320" w:lineRule="atLeast"/>
              <w:ind w:left="60" w:right="60"/>
              <w:jc w:val="center"/>
              <w:rPr>
                <w:rFonts w:eastAsia="Calibri"/>
                <w:color w:val="000000"/>
              </w:rPr>
            </w:pPr>
            <w:r>
              <w:rPr>
                <w:rFonts w:eastAsia="Calibri"/>
                <w:color w:val="000000"/>
              </w:rPr>
              <w:t>R</w:t>
            </w:r>
          </w:p>
        </w:tc>
        <w:tc>
          <w:tcPr>
            <w:tcW w:w="1221" w:type="dxa"/>
            <w:vMerge w:val="restart"/>
            <w:tcBorders>
              <w:top w:val="single" w:sz="4" w:space="0" w:color="auto"/>
              <w:bottom w:val="single" w:sz="4" w:space="0" w:color="auto"/>
            </w:tcBorders>
            <w:shd w:val="clear" w:color="auto" w:fill="FFFFFF"/>
          </w:tcPr>
          <w:p w:rsidR="00D84442" w:rsidRDefault="00D84442" w:rsidP="007701BA">
            <w:pPr>
              <w:autoSpaceDE w:val="0"/>
              <w:autoSpaceDN w:val="0"/>
              <w:adjustRightInd w:val="0"/>
              <w:spacing w:after="0" w:line="320" w:lineRule="atLeast"/>
              <w:ind w:left="60" w:right="60"/>
              <w:jc w:val="center"/>
              <w:rPr>
                <w:rFonts w:eastAsia="Calibri"/>
                <w:color w:val="000000"/>
              </w:rPr>
            </w:pPr>
            <w:r>
              <w:rPr>
                <w:rFonts w:eastAsia="Calibri"/>
                <w:color w:val="000000"/>
              </w:rPr>
              <w:t>R Square</w:t>
            </w:r>
          </w:p>
        </w:tc>
        <w:tc>
          <w:tcPr>
            <w:tcW w:w="1677" w:type="dxa"/>
            <w:vMerge w:val="restart"/>
            <w:tcBorders>
              <w:top w:val="single" w:sz="4" w:space="0" w:color="auto"/>
              <w:bottom w:val="single" w:sz="4" w:space="0" w:color="auto"/>
            </w:tcBorders>
            <w:shd w:val="clear" w:color="auto" w:fill="FFFFFF"/>
          </w:tcPr>
          <w:p w:rsidR="00D84442" w:rsidRDefault="00D84442" w:rsidP="007701BA">
            <w:pPr>
              <w:autoSpaceDE w:val="0"/>
              <w:autoSpaceDN w:val="0"/>
              <w:adjustRightInd w:val="0"/>
              <w:spacing w:after="0" w:line="320" w:lineRule="atLeast"/>
              <w:ind w:left="60" w:right="60"/>
              <w:jc w:val="center"/>
              <w:rPr>
                <w:rFonts w:eastAsia="Calibri"/>
                <w:color w:val="000000"/>
              </w:rPr>
            </w:pPr>
            <w:r>
              <w:rPr>
                <w:rFonts w:eastAsia="Calibri"/>
                <w:color w:val="000000"/>
              </w:rPr>
              <w:t>Std. Error of the Estimate</w:t>
            </w:r>
          </w:p>
        </w:tc>
      </w:tr>
      <w:tr w:rsidR="00D84442" w:rsidTr="007701BA">
        <w:trPr>
          <w:cantSplit/>
          <w:trHeight w:val="312"/>
          <w:jc w:val="center"/>
        </w:trPr>
        <w:tc>
          <w:tcPr>
            <w:tcW w:w="890" w:type="dxa"/>
            <w:vMerge/>
            <w:tcBorders>
              <w:bottom w:val="single" w:sz="4" w:space="0" w:color="auto"/>
            </w:tcBorders>
            <w:vAlign w:val="center"/>
          </w:tcPr>
          <w:p w:rsidR="00D84442" w:rsidRDefault="00D84442" w:rsidP="007701BA">
            <w:pPr>
              <w:spacing w:after="0" w:line="240" w:lineRule="auto"/>
              <w:rPr>
                <w:rFonts w:eastAsia="Calibri"/>
                <w:color w:val="000000"/>
              </w:rPr>
            </w:pPr>
          </w:p>
        </w:tc>
        <w:tc>
          <w:tcPr>
            <w:tcW w:w="1150" w:type="dxa"/>
            <w:vMerge/>
            <w:tcBorders>
              <w:bottom w:val="single" w:sz="4" w:space="0" w:color="auto"/>
            </w:tcBorders>
            <w:vAlign w:val="center"/>
          </w:tcPr>
          <w:p w:rsidR="00D84442" w:rsidRDefault="00D84442" w:rsidP="007701BA">
            <w:pPr>
              <w:spacing w:after="0" w:line="240" w:lineRule="auto"/>
              <w:rPr>
                <w:rFonts w:eastAsia="Calibri"/>
                <w:color w:val="000000"/>
              </w:rPr>
            </w:pPr>
          </w:p>
        </w:tc>
        <w:tc>
          <w:tcPr>
            <w:tcW w:w="1221" w:type="dxa"/>
            <w:vMerge/>
            <w:tcBorders>
              <w:bottom w:val="single" w:sz="4" w:space="0" w:color="auto"/>
            </w:tcBorders>
            <w:vAlign w:val="center"/>
          </w:tcPr>
          <w:p w:rsidR="00D84442" w:rsidRDefault="00D84442" w:rsidP="007701BA">
            <w:pPr>
              <w:spacing w:after="0" w:line="240" w:lineRule="auto"/>
              <w:rPr>
                <w:rFonts w:eastAsia="Calibri"/>
                <w:color w:val="000000"/>
              </w:rPr>
            </w:pPr>
          </w:p>
        </w:tc>
        <w:tc>
          <w:tcPr>
            <w:tcW w:w="1677" w:type="dxa"/>
            <w:vMerge/>
            <w:tcBorders>
              <w:bottom w:val="single" w:sz="4" w:space="0" w:color="auto"/>
            </w:tcBorders>
            <w:vAlign w:val="center"/>
          </w:tcPr>
          <w:p w:rsidR="00D84442" w:rsidRDefault="00D84442" w:rsidP="007701BA">
            <w:pPr>
              <w:spacing w:after="0" w:line="240" w:lineRule="auto"/>
              <w:rPr>
                <w:rFonts w:eastAsia="Calibri"/>
                <w:color w:val="000000"/>
              </w:rPr>
            </w:pPr>
          </w:p>
        </w:tc>
      </w:tr>
      <w:tr w:rsidR="00D84442" w:rsidTr="007701BA">
        <w:trPr>
          <w:cantSplit/>
          <w:trHeight w:val="421"/>
          <w:jc w:val="center"/>
        </w:trPr>
        <w:tc>
          <w:tcPr>
            <w:tcW w:w="890" w:type="dxa"/>
            <w:tcBorders>
              <w:top w:val="single" w:sz="4" w:space="0" w:color="auto"/>
              <w:bottom w:val="single" w:sz="4" w:space="0" w:color="auto"/>
            </w:tcBorders>
            <w:shd w:val="clear" w:color="auto" w:fill="FFFFFF"/>
            <w:vAlign w:val="center"/>
          </w:tcPr>
          <w:p w:rsidR="00D84442" w:rsidRDefault="00D84442" w:rsidP="007701BA">
            <w:pPr>
              <w:autoSpaceDE w:val="0"/>
              <w:autoSpaceDN w:val="0"/>
              <w:adjustRightInd w:val="0"/>
              <w:spacing w:after="0" w:line="320" w:lineRule="atLeast"/>
              <w:ind w:left="60" w:right="60"/>
              <w:rPr>
                <w:rFonts w:eastAsia="Calibri"/>
                <w:color w:val="000000"/>
              </w:rPr>
            </w:pPr>
          </w:p>
        </w:tc>
        <w:tc>
          <w:tcPr>
            <w:tcW w:w="1150" w:type="dxa"/>
            <w:tcBorders>
              <w:top w:val="single" w:sz="4" w:space="0" w:color="auto"/>
              <w:bottom w:val="single" w:sz="4" w:space="0" w:color="auto"/>
            </w:tcBorders>
            <w:shd w:val="clear" w:color="auto" w:fill="FFFFFF"/>
            <w:vAlign w:val="center"/>
          </w:tcPr>
          <w:p w:rsidR="00D84442" w:rsidRDefault="00D84442" w:rsidP="007701BA">
            <w:pPr>
              <w:autoSpaceDE w:val="0"/>
              <w:autoSpaceDN w:val="0"/>
              <w:adjustRightInd w:val="0"/>
              <w:spacing w:after="0" w:line="320" w:lineRule="atLeast"/>
              <w:ind w:left="60" w:right="60"/>
              <w:jc w:val="right"/>
              <w:rPr>
                <w:rFonts w:eastAsia="Calibri"/>
                <w:color w:val="000000"/>
              </w:rPr>
            </w:pPr>
            <w:r>
              <w:rPr>
                <w:rFonts w:eastAsia="Calibri"/>
                <w:color w:val="000000"/>
              </w:rPr>
              <w:t>.607</w:t>
            </w:r>
            <w:r>
              <w:rPr>
                <w:rFonts w:eastAsia="Calibri"/>
                <w:color w:val="000000"/>
                <w:vertAlign w:val="superscript"/>
              </w:rPr>
              <w:t>a</w:t>
            </w:r>
          </w:p>
        </w:tc>
        <w:tc>
          <w:tcPr>
            <w:tcW w:w="1221" w:type="dxa"/>
            <w:tcBorders>
              <w:top w:val="single" w:sz="4" w:space="0" w:color="auto"/>
              <w:bottom w:val="single" w:sz="4" w:space="0" w:color="auto"/>
            </w:tcBorders>
            <w:shd w:val="clear" w:color="auto" w:fill="FFFFFF"/>
            <w:vAlign w:val="center"/>
          </w:tcPr>
          <w:p w:rsidR="00D84442" w:rsidRDefault="00D84442" w:rsidP="007701BA">
            <w:pPr>
              <w:autoSpaceDE w:val="0"/>
              <w:autoSpaceDN w:val="0"/>
              <w:adjustRightInd w:val="0"/>
              <w:spacing w:after="0" w:line="320" w:lineRule="atLeast"/>
              <w:ind w:left="60" w:right="60"/>
              <w:jc w:val="right"/>
              <w:rPr>
                <w:rFonts w:eastAsia="Calibri"/>
                <w:color w:val="000000"/>
              </w:rPr>
            </w:pPr>
            <w:r>
              <w:rPr>
                <w:rFonts w:eastAsia="Calibri"/>
                <w:color w:val="000000"/>
              </w:rPr>
              <w:t>.368</w:t>
            </w:r>
          </w:p>
        </w:tc>
        <w:tc>
          <w:tcPr>
            <w:tcW w:w="1677" w:type="dxa"/>
            <w:tcBorders>
              <w:top w:val="single" w:sz="4" w:space="0" w:color="auto"/>
              <w:bottom w:val="single" w:sz="4" w:space="0" w:color="auto"/>
            </w:tcBorders>
            <w:shd w:val="clear" w:color="auto" w:fill="FFFFFF"/>
            <w:vAlign w:val="center"/>
          </w:tcPr>
          <w:p w:rsidR="00D84442" w:rsidRDefault="00D84442" w:rsidP="007701BA">
            <w:pPr>
              <w:autoSpaceDE w:val="0"/>
              <w:autoSpaceDN w:val="0"/>
              <w:adjustRightInd w:val="0"/>
              <w:spacing w:after="0" w:line="320" w:lineRule="atLeast"/>
              <w:ind w:left="60" w:right="60"/>
              <w:jc w:val="right"/>
              <w:rPr>
                <w:rFonts w:eastAsia="Calibri"/>
                <w:color w:val="000000"/>
              </w:rPr>
            </w:pPr>
            <w:r>
              <w:rPr>
                <w:rFonts w:eastAsia="Calibri"/>
                <w:color w:val="000000"/>
              </w:rPr>
              <w:t>.56596</w:t>
            </w:r>
          </w:p>
        </w:tc>
      </w:tr>
    </w:tbl>
    <w:p w:rsidR="00D84442" w:rsidRPr="00D84442" w:rsidRDefault="00D84442" w:rsidP="00D84442">
      <w:pPr>
        <w:rPr>
          <w:b/>
          <w:bCs/>
        </w:rPr>
      </w:pPr>
    </w:p>
    <w:p w:rsidR="00D84442" w:rsidRPr="00D84442" w:rsidRDefault="00D84442" w:rsidP="00D84442"/>
    <w:p w:rsidR="00D84442" w:rsidRPr="00D84442" w:rsidRDefault="00D84442" w:rsidP="00AF49BB">
      <w:pPr>
        <w:jc w:val="both"/>
      </w:pPr>
      <w:r w:rsidRPr="00D84442">
        <w:t xml:space="preserve">To examine the strength of the influence of Knowledge and Practice on Internalization, a multiple regression analysis was conducted. As shown in the table below, the R value is 0.607, </w:t>
      </w:r>
      <w:r w:rsidRPr="00D84442">
        <w:lastRenderedPageBreak/>
        <w:t>indicating a moderately strong relationship between the independent variables (Knowledge and Practice) and the dependent variable (Internalization).</w:t>
      </w:r>
    </w:p>
    <w:p w:rsidR="00D84442" w:rsidRPr="00D84442" w:rsidRDefault="00D84442" w:rsidP="00AF49BB">
      <w:pPr>
        <w:jc w:val="both"/>
      </w:pPr>
      <w:r w:rsidRPr="00D84442">
        <w:t xml:space="preserve">The R Square value is 0.368, which suggests that Knowledge and Practice collectively explain 36.8% of the variance in Internalization (R² = 0.368). The remaining 63.2% of the variance is attributed to other factors that may influence the internalization of </w:t>
      </w:r>
      <w:proofErr w:type="spellStart"/>
      <w:r w:rsidRPr="00D84442">
        <w:t>FlexS</w:t>
      </w:r>
      <w:proofErr w:type="spellEnd"/>
      <w:r w:rsidRPr="00D84442">
        <w:t xml:space="preserve"> core values among staff, beyond knowledge and practice.</w:t>
      </w:r>
    </w:p>
    <w:p w:rsidR="00D84442" w:rsidRDefault="00D84442" w:rsidP="00AF49BB">
      <w:pPr>
        <w:jc w:val="both"/>
      </w:pPr>
      <w:r w:rsidRPr="00D84442">
        <w:t xml:space="preserve">Table </w:t>
      </w:r>
      <w:r w:rsidR="002D009E" w:rsidRPr="002D009E">
        <w:t>5</w:t>
      </w:r>
      <w:r w:rsidRPr="00D84442">
        <w:t xml:space="preserve"> further presents the extent to which Knowledge and Practice predict respondents’ Internalization of </w:t>
      </w:r>
      <w:proofErr w:type="spellStart"/>
      <w:r w:rsidRPr="00D84442">
        <w:t>FlexS</w:t>
      </w:r>
      <w:proofErr w:type="spellEnd"/>
      <w:r w:rsidRPr="00D84442">
        <w:t xml:space="preserve"> core values.</w:t>
      </w:r>
    </w:p>
    <w:p w:rsidR="000F2ABA" w:rsidRDefault="000F2ABA" w:rsidP="00AF49BB">
      <w:pPr>
        <w:jc w:val="both"/>
      </w:pPr>
    </w:p>
    <w:p w:rsidR="00D84442" w:rsidRPr="00D84442" w:rsidRDefault="000F2ABA" w:rsidP="002D009E">
      <w:pPr>
        <w:jc w:val="center"/>
      </w:pPr>
      <w:r>
        <w:t>Table</w:t>
      </w:r>
      <w:r w:rsidR="002D009E">
        <w:t xml:space="preserve"> 5</w:t>
      </w:r>
      <w:r>
        <w:t xml:space="preserve">: </w:t>
      </w:r>
      <w:r w:rsidRPr="000F2ABA">
        <w:t>Regression Analysis of the Influence of Knowledge and Practice on Internalization</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4"/>
        <w:gridCol w:w="1985"/>
        <w:gridCol w:w="713"/>
        <w:gridCol w:w="1203"/>
        <w:gridCol w:w="1649"/>
        <w:gridCol w:w="1134"/>
        <w:gridCol w:w="993"/>
      </w:tblGrid>
      <w:tr w:rsidR="00D84442" w:rsidTr="007701BA">
        <w:trPr>
          <w:cantSplit/>
          <w:trHeight w:val="669"/>
          <w:jc w:val="center"/>
        </w:trPr>
        <w:tc>
          <w:tcPr>
            <w:tcW w:w="2649" w:type="dxa"/>
            <w:gridSpan w:val="2"/>
            <w:vMerge w:val="restart"/>
            <w:tcBorders>
              <w:top w:val="single" w:sz="4" w:space="0" w:color="auto"/>
              <w:left w:val="nil"/>
              <w:bottom w:val="nil"/>
              <w:right w:val="nil"/>
            </w:tcBorders>
            <w:shd w:val="clear" w:color="auto" w:fill="FFFFFF"/>
          </w:tcPr>
          <w:p w:rsidR="00D84442" w:rsidRDefault="00D84442" w:rsidP="007701BA">
            <w:pPr>
              <w:autoSpaceDE w:val="0"/>
              <w:autoSpaceDN w:val="0"/>
              <w:adjustRightInd w:val="0"/>
              <w:spacing w:after="0" w:line="320" w:lineRule="atLeast"/>
              <w:ind w:left="60" w:right="60"/>
              <w:rPr>
                <w:rFonts w:eastAsia="Calibri"/>
                <w:color w:val="000000"/>
              </w:rPr>
            </w:pPr>
            <w:r>
              <w:rPr>
                <w:rFonts w:eastAsia="Calibri"/>
                <w:color w:val="000000"/>
              </w:rPr>
              <w:t>Model</w:t>
            </w:r>
          </w:p>
        </w:tc>
        <w:tc>
          <w:tcPr>
            <w:tcW w:w="1916" w:type="dxa"/>
            <w:gridSpan w:val="2"/>
            <w:tcBorders>
              <w:top w:val="single" w:sz="4" w:space="0" w:color="auto"/>
              <w:left w:val="nil"/>
              <w:bottom w:val="nil"/>
              <w:right w:val="nil"/>
            </w:tcBorders>
            <w:shd w:val="clear" w:color="auto" w:fill="FFFFFF"/>
          </w:tcPr>
          <w:p w:rsidR="00D84442" w:rsidRDefault="00D84442" w:rsidP="007701BA">
            <w:pPr>
              <w:autoSpaceDE w:val="0"/>
              <w:autoSpaceDN w:val="0"/>
              <w:adjustRightInd w:val="0"/>
              <w:spacing w:after="0" w:line="320" w:lineRule="atLeast"/>
              <w:ind w:left="60" w:right="60"/>
              <w:jc w:val="center"/>
              <w:rPr>
                <w:rFonts w:eastAsia="Calibri"/>
                <w:color w:val="000000"/>
              </w:rPr>
            </w:pPr>
            <w:r>
              <w:rPr>
                <w:rFonts w:eastAsia="Calibri"/>
                <w:color w:val="000000"/>
              </w:rPr>
              <w:t>Unstandardized Coefficients</w:t>
            </w:r>
          </w:p>
        </w:tc>
        <w:tc>
          <w:tcPr>
            <w:tcW w:w="1649" w:type="dxa"/>
            <w:tcBorders>
              <w:top w:val="single" w:sz="4" w:space="0" w:color="auto"/>
              <w:left w:val="nil"/>
              <w:bottom w:val="nil"/>
              <w:right w:val="nil"/>
            </w:tcBorders>
            <w:shd w:val="clear" w:color="auto" w:fill="FFFFFF"/>
          </w:tcPr>
          <w:p w:rsidR="00D84442" w:rsidRDefault="00D84442" w:rsidP="007701BA">
            <w:pPr>
              <w:autoSpaceDE w:val="0"/>
              <w:autoSpaceDN w:val="0"/>
              <w:adjustRightInd w:val="0"/>
              <w:spacing w:after="0" w:line="320" w:lineRule="atLeast"/>
              <w:ind w:left="60" w:right="60"/>
              <w:jc w:val="center"/>
              <w:rPr>
                <w:rFonts w:eastAsia="Calibri"/>
                <w:color w:val="000000"/>
              </w:rPr>
            </w:pPr>
            <w:r>
              <w:rPr>
                <w:rFonts w:eastAsia="Calibri"/>
                <w:color w:val="000000"/>
              </w:rPr>
              <w:t>Standardized Coefficients</w:t>
            </w:r>
          </w:p>
        </w:tc>
        <w:tc>
          <w:tcPr>
            <w:tcW w:w="1134" w:type="dxa"/>
            <w:vMerge w:val="restart"/>
            <w:tcBorders>
              <w:top w:val="single" w:sz="4" w:space="0" w:color="auto"/>
              <w:left w:val="nil"/>
              <w:bottom w:val="nil"/>
              <w:right w:val="nil"/>
            </w:tcBorders>
            <w:shd w:val="clear" w:color="auto" w:fill="FFFFFF"/>
          </w:tcPr>
          <w:p w:rsidR="00D84442" w:rsidRDefault="00D84442" w:rsidP="007701BA">
            <w:pPr>
              <w:autoSpaceDE w:val="0"/>
              <w:autoSpaceDN w:val="0"/>
              <w:adjustRightInd w:val="0"/>
              <w:spacing w:after="0" w:line="320" w:lineRule="atLeast"/>
              <w:ind w:left="60" w:right="60"/>
              <w:jc w:val="center"/>
              <w:rPr>
                <w:rFonts w:eastAsia="Calibri"/>
                <w:color w:val="000000"/>
              </w:rPr>
            </w:pPr>
            <w:r>
              <w:rPr>
                <w:rFonts w:eastAsia="Calibri"/>
                <w:color w:val="000000"/>
              </w:rPr>
              <w:t>T</w:t>
            </w:r>
          </w:p>
        </w:tc>
        <w:tc>
          <w:tcPr>
            <w:tcW w:w="993" w:type="dxa"/>
            <w:vMerge w:val="restart"/>
            <w:tcBorders>
              <w:top w:val="single" w:sz="4" w:space="0" w:color="auto"/>
              <w:left w:val="nil"/>
              <w:bottom w:val="nil"/>
              <w:right w:val="nil"/>
            </w:tcBorders>
            <w:shd w:val="clear" w:color="auto" w:fill="FFFFFF"/>
          </w:tcPr>
          <w:p w:rsidR="00D84442" w:rsidRDefault="00D84442" w:rsidP="007701BA">
            <w:pPr>
              <w:autoSpaceDE w:val="0"/>
              <w:autoSpaceDN w:val="0"/>
              <w:adjustRightInd w:val="0"/>
              <w:spacing w:after="0" w:line="320" w:lineRule="atLeast"/>
              <w:ind w:left="60" w:right="60"/>
              <w:jc w:val="center"/>
              <w:rPr>
                <w:rFonts w:eastAsia="Calibri"/>
                <w:color w:val="000000"/>
              </w:rPr>
            </w:pPr>
            <w:r>
              <w:rPr>
                <w:rFonts w:eastAsia="Calibri"/>
                <w:color w:val="000000"/>
              </w:rPr>
              <w:t>Sig.</w:t>
            </w:r>
          </w:p>
        </w:tc>
      </w:tr>
      <w:tr w:rsidR="00D84442" w:rsidTr="007701BA">
        <w:trPr>
          <w:cantSplit/>
          <w:trHeight w:val="376"/>
          <w:jc w:val="center"/>
        </w:trPr>
        <w:tc>
          <w:tcPr>
            <w:tcW w:w="2649" w:type="dxa"/>
            <w:gridSpan w:val="2"/>
            <w:vMerge/>
            <w:tcBorders>
              <w:top w:val="nil"/>
              <w:left w:val="nil"/>
              <w:bottom w:val="single" w:sz="4" w:space="0" w:color="auto"/>
              <w:right w:val="nil"/>
            </w:tcBorders>
            <w:vAlign w:val="center"/>
          </w:tcPr>
          <w:p w:rsidR="00D84442" w:rsidRDefault="00D84442" w:rsidP="007701BA">
            <w:pPr>
              <w:spacing w:after="0" w:line="240" w:lineRule="auto"/>
              <w:rPr>
                <w:rFonts w:eastAsia="Calibri"/>
                <w:color w:val="000000"/>
              </w:rPr>
            </w:pPr>
          </w:p>
        </w:tc>
        <w:tc>
          <w:tcPr>
            <w:tcW w:w="713" w:type="dxa"/>
            <w:tcBorders>
              <w:top w:val="nil"/>
              <w:left w:val="nil"/>
              <w:bottom w:val="single" w:sz="4" w:space="0" w:color="auto"/>
              <w:right w:val="nil"/>
            </w:tcBorders>
            <w:shd w:val="clear" w:color="auto" w:fill="FFFFFF"/>
          </w:tcPr>
          <w:p w:rsidR="00D84442" w:rsidRDefault="00D84442" w:rsidP="007701BA">
            <w:pPr>
              <w:autoSpaceDE w:val="0"/>
              <w:autoSpaceDN w:val="0"/>
              <w:adjustRightInd w:val="0"/>
              <w:spacing w:after="0" w:line="320" w:lineRule="atLeast"/>
              <w:ind w:left="60" w:right="60"/>
              <w:jc w:val="center"/>
              <w:rPr>
                <w:rFonts w:eastAsia="Calibri"/>
                <w:color w:val="000000"/>
              </w:rPr>
            </w:pPr>
            <w:r>
              <w:rPr>
                <w:rFonts w:eastAsia="Calibri"/>
                <w:color w:val="000000"/>
              </w:rPr>
              <w:t>B</w:t>
            </w:r>
          </w:p>
        </w:tc>
        <w:tc>
          <w:tcPr>
            <w:tcW w:w="1203" w:type="dxa"/>
            <w:tcBorders>
              <w:top w:val="nil"/>
              <w:left w:val="nil"/>
              <w:bottom w:val="single" w:sz="4" w:space="0" w:color="auto"/>
              <w:right w:val="nil"/>
            </w:tcBorders>
            <w:shd w:val="clear" w:color="auto" w:fill="FFFFFF"/>
          </w:tcPr>
          <w:p w:rsidR="00D84442" w:rsidRDefault="00D84442" w:rsidP="007701BA">
            <w:pPr>
              <w:autoSpaceDE w:val="0"/>
              <w:autoSpaceDN w:val="0"/>
              <w:adjustRightInd w:val="0"/>
              <w:spacing w:after="0" w:line="320" w:lineRule="atLeast"/>
              <w:ind w:left="60" w:right="60"/>
              <w:jc w:val="center"/>
              <w:rPr>
                <w:rFonts w:eastAsia="Calibri"/>
                <w:color w:val="000000"/>
              </w:rPr>
            </w:pPr>
            <w:r>
              <w:rPr>
                <w:rFonts w:eastAsia="Calibri"/>
                <w:color w:val="000000"/>
              </w:rPr>
              <w:t>Std. Error</w:t>
            </w:r>
          </w:p>
        </w:tc>
        <w:tc>
          <w:tcPr>
            <w:tcW w:w="1649" w:type="dxa"/>
            <w:tcBorders>
              <w:top w:val="nil"/>
              <w:left w:val="nil"/>
              <w:bottom w:val="single" w:sz="4" w:space="0" w:color="auto"/>
              <w:right w:val="nil"/>
            </w:tcBorders>
            <w:shd w:val="clear" w:color="auto" w:fill="FFFFFF"/>
          </w:tcPr>
          <w:p w:rsidR="00D84442" w:rsidRDefault="00D84442" w:rsidP="007701BA">
            <w:pPr>
              <w:autoSpaceDE w:val="0"/>
              <w:autoSpaceDN w:val="0"/>
              <w:adjustRightInd w:val="0"/>
              <w:spacing w:after="0" w:line="320" w:lineRule="atLeast"/>
              <w:ind w:left="60" w:right="60"/>
              <w:jc w:val="center"/>
              <w:rPr>
                <w:rFonts w:eastAsia="Calibri"/>
                <w:color w:val="000000"/>
              </w:rPr>
            </w:pPr>
            <w:r>
              <w:rPr>
                <w:rFonts w:eastAsia="Calibri"/>
                <w:color w:val="000000"/>
              </w:rPr>
              <w:t>Beta</w:t>
            </w:r>
          </w:p>
        </w:tc>
        <w:tc>
          <w:tcPr>
            <w:tcW w:w="1134" w:type="dxa"/>
            <w:vMerge/>
            <w:tcBorders>
              <w:top w:val="nil"/>
              <w:left w:val="nil"/>
              <w:bottom w:val="single" w:sz="4" w:space="0" w:color="auto"/>
              <w:right w:val="nil"/>
            </w:tcBorders>
            <w:vAlign w:val="center"/>
          </w:tcPr>
          <w:p w:rsidR="00D84442" w:rsidRDefault="00D84442" w:rsidP="007701BA">
            <w:pPr>
              <w:spacing w:after="0" w:line="240" w:lineRule="auto"/>
              <w:rPr>
                <w:rFonts w:eastAsia="Calibri"/>
                <w:color w:val="000000"/>
              </w:rPr>
            </w:pPr>
          </w:p>
        </w:tc>
        <w:tc>
          <w:tcPr>
            <w:tcW w:w="993" w:type="dxa"/>
            <w:vMerge/>
            <w:tcBorders>
              <w:top w:val="nil"/>
              <w:left w:val="nil"/>
              <w:bottom w:val="single" w:sz="4" w:space="0" w:color="auto"/>
              <w:right w:val="nil"/>
            </w:tcBorders>
            <w:vAlign w:val="center"/>
          </w:tcPr>
          <w:p w:rsidR="00D84442" w:rsidRDefault="00D84442" w:rsidP="007701BA">
            <w:pPr>
              <w:spacing w:after="0" w:line="240" w:lineRule="auto"/>
              <w:rPr>
                <w:rFonts w:eastAsia="Calibri"/>
                <w:color w:val="000000"/>
              </w:rPr>
            </w:pPr>
          </w:p>
        </w:tc>
      </w:tr>
      <w:tr w:rsidR="00D84442" w:rsidTr="007701BA">
        <w:trPr>
          <w:cantSplit/>
          <w:trHeight w:val="334"/>
          <w:jc w:val="center"/>
        </w:trPr>
        <w:tc>
          <w:tcPr>
            <w:tcW w:w="664" w:type="dxa"/>
            <w:vMerge w:val="restart"/>
            <w:tcBorders>
              <w:top w:val="single" w:sz="4" w:space="0" w:color="auto"/>
              <w:left w:val="nil"/>
              <w:bottom w:val="nil"/>
              <w:right w:val="nil"/>
            </w:tcBorders>
            <w:shd w:val="clear" w:color="auto" w:fill="FFFFFF"/>
            <w:vAlign w:val="center"/>
          </w:tcPr>
          <w:p w:rsidR="00D84442" w:rsidRDefault="00D84442" w:rsidP="007701BA">
            <w:pPr>
              <w:autoSpaceDE w:val="0"/>
              <w:autoSpaceDN w:val="0"/>
              <w:adjustRightInd w:val="0"/>
              <w:spacing w:after="0" w:line="320" w:lineRule="atLeast"/>
              <w:ind w:left="60" w:right="60"/>
              <w:rPr>
                <w:rFonts w:eastAsia="Calibri"/>
                <w:color w:val="000000"/>
              </w:rPr>
            </w:pPr>
          </w:p>
        </w:tc>
        <w:tc>
          <w:tcPr>
            <w:tcW w:w="1985" w:type="dxa"/>
            <w:tcBorders>
              <w:top w:val="single" w:sz="4" w:space="0" w:color="auto"/>
              <w:left w:val="nil"/>
              <w:bottom w:val="nil"/>
              <w:right w:val="nil"/>
            </w:tcBorders>
            <w:shd w:val="clear" w:color="auto" w:fill="FFFFFF"/>
            <w:vAlign w:val="center"/>
          </w:tcPr>
          <w:p w:rsidR="00D84442" w:rsidRDefault="00D84442" w:rsidP="007701BA">
            <w:pPr>
              <w:autoSpaceDE w:val="0"/>
              <w:autoSpaceDN w:val="0"/>
              <w:adjustRightInd w:val="0"/>
              <w:spacing w:after="0" w:line="320" w:lineRule="atLeast"/>
              <w:ind w:left="60" w:right="60"/>
              <w:rPr>
                <w:rFonts w:eastAsia="Calibri"/>
                <w:color w:val="000000"/>
              </w:rPr>
            </w:pPr>
            <w:r>
              <w:rPr>
                <w:rFonts w:eastAsia="Calibri"/>
                <w:color w:val="000000"/>
              </w:rPr>
              <w:t>(Constant)</w:t>
            </w:r>
          </w:p>
        </w:tc>
        <w:tc>
          <w:tcPr>
            <w:tcW w:w="713" w:type="dxa"/>
            <w:tcBorders>
              <w:top w:val="single" w:sz="4" w:space="0" w:color="auto"/>
              <w:left w:val="nil"/>
              <w:bottom w:val="nil"/>
              <w:right w:val="nil"/>
            </w:tcBorders>
            <w:shd w:val="clear" w:color="auto" w:fill="FFFFFF"/>
            <w:vAlign w:val="center"/>
          </w:tcPr>
          <w:p w:rsidR="00D84442" w:rsidRDefault="00D84442" w:rsidP="007701BA">
            <w:pPr>
              <w:autoSpaceDE w:val="0"/>
              <w:autoSpaceDN w:val="0"/>
              <w:adjustRightInd w:val="0"/>
              <w:spacing w:after="0" w:line="320" w:lineRule="atLeast"/>
              <w:ind w:left="60" w:right="60"/>
              <w:jc w:val="right"/>
              <w:rPr>
                <w:rFonts w:eastAsia="Calibri"/>
                <w:color w:val="000000"/>
              </w:rPr>
            </w:pPr>
            <w:r>
              <w:rPr>
                <w:rFonts w:eastAsia="Calibri"/>
                <w:color w:val="000000"/>
              </w:rPr>
              <w:t>.768</w:t>
            </w:r>
          </w:p>
        </w:tc>
        <w:tc>
          <w:tcPr>
            <w:tcW w:w="1203" w:type="dxa"/>
            <w:tcBorders>
              <w:top w:val="single" w:sz="4" w:space="0" w:color="auto"/>
              <w:left w:val="nil"/>
              <w:bottom w:val="nil"/>
              <w:right w:val="nil"/>
            </w:tcBorders>
            <w:shd w:val="clear" w:color="auto" w:fill="FFFFFF"/>
            <w:vAlign w:val="center"/>
          </w:tcPr>
          <w:p w:rsidR="00D84442" w:rsidRDefault="00D84442" w:rsidP="007701BA">
            <w:pPr>
              <w:autoSpaceDE w:val="0"/>
              <w:autoSpaceDN w:val="0"/>
              <w:adjustRightInd w:val="0"/>
              <w:spacing w:after="0" w:line="320" w:lineRule="atLeast"/>
              <w:ind w:left="60" w:right="60"/>
              <w:jc w:val="right"/>
              <w:rPr>
                <w:rFonts w:eastAsia="Calibri"/>
                <w:color w:val="000000"/>
              </w:rPr>
            </w:pPr>
            <w:r>
              <w:rPr>
                <w:rFonts w:eastAsia="Calibri"/>
                <w:color w:val="000000"/>
              </w:rPr>
              <w:t>.317</w:t>
            </w:r>
          </w:p>
        </w:tc>
        <w:tc>
          <w:tcPr>
            <w:tcW w:w="1649" w:type="dxa"/>
            <w:tcBorders>
              <w:top w:val="single" w:sz="4" w:space="0" w:color="auto"/>
              <w:left w:val="nil"/>
              <w:bottom w:val="nil"/>
              <w:right w:val="nil"/>
            </w:tcBorders>
            <w:shd w:val="clear" w:color="auto" w:fill="FFFFFF"/>
          </w:tcPr>
          <w:p w:rsidR="00D84442" w:rsidRDefault="00D84442" w:rsidP="007701BA">
            <w:pPr>
              <w:autoSpaceDE w:val="0"/>
              <w:autoSpaceDN w:val="0"/>
              <w:adjustRightInd w:val="0"/>
              <w:spacing w:after="0"/>
              <w:rPr>
                <w:rFonts w:eastAsia="Calibri"/>
              </w:rPr>
            </w:pPr>
          </w:p>
        </w:tc>
        <w:tc>
          <w:tcPr>
            <w:tcW w:w="1134" w:type="dxa"/>
            <w:tcBorders>
              <w:top w:val="single" w:sz="4" w:space="0" w:color="auto"/>
              <w:left w:val="nil"/>
              <w:bottom w:val="nil"/>
              <w:right w:val="nil"/>
            </w:tcBorders>
            <w:shd w:val="clear" w:color="auto" w:fill="FFFFFF"/>
            <w:vAlign w:val="center"/>
          </w:tcPr>
          <w:p w:rsidR="00D84442" w:rsidRDefault="00D84442" w:rsidP="007701BA">
            <w:pPr>
              <w:autoSpaceDE w:val="0"/>
              <w:autoSpaceDN w:val="0"/>
              <w:adjustRightInd w:val="0"/>
              <w:spacing w:after="0" w:line="320" w:lineRule="atLeast"/>
              <w:ind w:left="60" w:right="60"/>
              <w:jc w:val="right"/>
              <w:rPr>
                <w:rFonts w:eastAsia="Calibri"/>
                <w:color w:val="000000"/>
              </w:rPr>
            </w:pPr>
            <w:r>
              <w:rPr>
                <w:rFonts w:eastAsia="Calibri"/>
                <w:color w:val="000000"/>
              </w:rPr>
              <w:t>2.424</w:t>
            </w:r>
          </w:p>
        </w:tc>
        <w:tc>
          <w:tcPr>
            <w:tcW w:w="993" w:type="dxa"/>
            <w:tcBorders>
              <w:top w:val="single" w:sz="4" w:space="0" w:color="auto"/>
              <w:left w:val="nil"/>
              <w:bottom w:val="nil"/>
              <w:right w:val="nil"/>
            </w:tcBorders>
            <w:shd w:val="clear" w:color="auto" w:fill="FFFFFF"/>
            <w:vAlign w:val="center"/>
          </w:tcPr>
          <w:p w:rsidR="00D84442" w:rsidRDefault="00D84442" w:rsidP="007701BA">
            <w:pPr>
              <w:autoSpaceDE w:val="0"/>
              <w:autoSpaceDN w:val="0"/>
              <w:adjustRightInd w:val="0"/>
              <w:spacing w:after="0" w:line="320" w:lineRule="atLeast"/>
              <w:ind w:left="60" w:right="60"/>
              <w:jc w:val="right"/>
              <w:rPr>
                <w:rFonts w:eastAsia="Calibri"/>
                <w:color w:val="000000"/>
              </w:rPr>
            </w:pPr>
            <w:r>
              <w:rPr>
                <w:rFonts w:eastAsia="Calibri"/>
                <w:color w:val="000000"/>
              </w:rPr>
              <w:t>.016</w:t>
            </w:r>
          </w:p>
        </w:tc>
      </w:tr>
      <w:tr w:rsidR="00D84442" w:rsidTr="007701BA">
        <w:trPr>
          <w:cantSplit/>
          <w:trHeight w:val="376"/>
          <w:jc w:val="center"/>
        </w:trPr>
        <w:tc>
          <w:tcPr>
            <w:tcW w:w="664" w:type="dxa"/>
            <w:vMerge/>
            <w:tcBorders>
              <w:top w:val="nil"/>
              <w:left w:val="nil"/>
              <w:bottom w:val="nil"/>
              <w:right w:val="nil"/>
            </w:tcBorders>
            <w:vAlign w:val="center"/>
          </w:tcPr>
          <w:p w:rsidR="00D84442" w:rsidRDefault="00D84442" w:rsidP="007701BA">
            <w:pPr>
              <w:spacing w:after="0" w:line="240" w:lineRule="auto"/>
              <w:rPr>
                <w:rFonts w:eastAsia="Calibri"/>
                <w:color w:val="000000"/>
              </w:rPr>
            </w:pPr>
          </w:p>
        </w:tc>
        <w:tc>
          <w:tcPr>
            <w:tcW w:w="1985" w:type="dxa"/>
            <w:tcBorders>
              <w:top w:val="nil"/>
              <w:left w:val="nil"/>
              <w:bottom w:val="nil"/>
              <w:right w:val="nil"/>
            </w:tcBorders>
            <w:shd w:val="clear" w:color="auto" w:fill="FFFFFF"/>
            <w:vAlign w:val="center"/>
          </w:tcPr>
          <w:p w:rsidR="00D84442" w:rsidRDefault="00D656C8" w:rsidP="007701BA">
            <w:pPr>
              <w:autoSpaceDE w:val="0"/>
              <w:autoSpaceDN w:val="0"/>
              <w:adjustRightInd w:val="0"/>
              <w:spacing w:after="0" w:line="320" w:lineRule="atLeast"/>
              <w:ind w:left="60" w:right="60"/>
              <w:rPr>
                <w:rFonts w:eastAsia="Calibri"/>
                <w:color w:val="000000"/>
              </w:rPr>
            </w:pPr>
            <w:r>
              <w:rPr>
                <w:rFonts w:eastAsia="Calibri"/>
                <w:color w:val="000000"/>
              </w:rPr>
              <w:t>Knowledge</w:t>
            </w:r>
          </w:p>
        </w:tc>
        <w:tc>
          <w:tcPr>
            <w:tcW w:w="713" w:type="dxa"/>
            <w:tcBorders>
              <w:top w:val="nil"/>
              <w:left w:val="nil"/>
              <w:bottom w:val="nil"/>
              <w:right w:val="nil"/>
            </w:tcBorders>
            <w:shd w:val="clear" w:color="auto" w:fill="FFFFFF"/>
            <w:vAlign w:val="center"/>
          </w:tcPr>
          <w:p w:rsidR="00D84442" w:rsidRDefault="00D84442" w:rsidP="007701BA">
            <w:pPr>
              <w:autoSpaceDE w:val="0"/>
              <w:autoSpaceDN w:val="0"/>
              <w:adjustRightInd w:val="0"/>
              <w:spacing w:after="0" w:line="320" w:lineRule="atLeast"/>
              <w:ind w:left="60" w:right="60"/>
              <w:jc w:val="right"/>
              <w:rPr>
                <w:rFonts w:eastAsia="Calibri"/>
                <w:color w:val="000000"/>
              </w:rPr>
            </w:pPr>
            <w:r>
              <w:rPr>
                <w:rFonts w:eastAsia="Calibri"/>
                <w:color w:val="000000"/>
              </w:rPr>
              <w:t>.530</w:t>
            </w:r>
          </w:p>
        </w:tc>
        <w:tc>
          <w:tcPr>
            <w:tcW w:w="1203" w:type="dxa"/>
            <w:tcBorders>
              <w:top w:val="nil"/>
              <w:left w:val="nil"/>
              <w:bottom w:val="nil"/>
              <w:right w:val="nil"/>
            </w:tcBorders>
            <w:shd w:val="clear" w:color="auto" w:fill="FFFFFF"/>
            <w:vAlign w:val="center"/>
          </w:tcPr>
          <w:p w:rsidR="00D84442" w:rsidRDefault="00D84442" w:rsidP="007701BA">
            <w:pPr>
              <w:autoSpaceDE w:val="0"/>
              <w:autoSpaceDN w:val="0"/>
              <w:adjustRightInd w:val="0"/>
              <w:spacing w:after="0" w:line="320" w:lineRule="atLeast"/>
              <w:ind w:left="60" w:right="60"/>
              <w:jc w:val="right"/>
              <w:rPr>
                <w:rFonts w:eastAsia="Calibri"/>
                <w:color w:val="000000"/>
              </w:rPr>
            </w:pPr>
            <w:r>
              <w:rPr>
                <w:rFonts w:eastAsia="Calibri"/>
                <w:color w:val="000000"/>
              </w:rPr>
              <w:t>.049</w:t>
            </w:r>
          </w:p>
        </w:tc>
        <w:tc>
          <w:tcPr>
            <w:tcW w:w="1649" w:type="dxa"/>
            <w:tcBorders>
              <w:top w:val="nil"/>
              <w:left w:val="nil"/>
              <w:bottom w:val="nil"/>
              <w:right w:val="nil"/>
            </w:tcBorders>
            <w:shd w:val="clear" w:color="auto" w:fill="FFFFFF"/>
            <w:vAlign w:val="center"/>
          </w:tcPr>
          <w:p w:rsidR="00D84442" w:rsidRPr="00D656C8" w:rsidRDefault="00D84442" w:rsidP="007701BA">
            <w:pPr>
              <w:autoSpaceDE w:val="0"/>
              <w:autoSpaceDN w:val="0"/>
              <w:adjustRightInd w:val="0"/>
              <w:spacing w:after="0" w:line="320" w:lineRule="atLeast"/>
              <w:ind w:left="60" w:right="60"/>
              <w:jc w:val="right"/>
              <w:rPr>
                <w:rFonts w:eastAsia="Calibri"/>
                <w:color w:val="000000"/>
              </w:rPr>
            </w:pPr>
            <w:r w:rsidRPr="00D656C8">
              <w:rPr>
                <w:rFonts w:eastAsia="Calibri"/>
                <w:color w:val="000000"/>
              </w:rPr>
              <w:t>.513</w:t>
            </w:r>
          </w:p>
        </w:tc>
        <w:tc>
          <w:tcPr>
            <w:tcW w:w="1134" w:type="dxa"/>
            <w:tcBorders>
              <w:top w:val="nil"/>
              <w:left w:val="nil"/>
              <w:bottom w:val="nil"/>
              <w:right w:val="nil"/>
            </w:tcBorders>
            <w:shd w:val="clear" w:color="auto" w:fill="FFFFFF"/>
            <w:vAlign w:val="center"/>
          </w:tcPr>
          <w:p w:rsidR="00D84442" w:rsidRPr="00D656C8" w:rsidRDefault="00D84442" w:rsidP="007701BA">
            <w:pPr>
              <w:autoSpaceDE w:val="0"/>
              <w:autoSpaceDN w:val="0"/>
              <w:adjustRightInd w:val="0"/>
              <w:spacing w:after="0" w:line="320" w:lineRule="atLeast"/>
              <w:ind w:left="60" w:right="60"/>
              <w:jc w:val="right"/>
              <w:rPr>
                <w:rFonts w:eastAsia="Calibri"/>
                <w:color w:val="000000"/>
              </w:rPr>
            </w:pPr>
            <w:r w:rsidRPr="00D656C8">
              <w:rPr>
                <w:rFonts w:eastAsia="Calibri"/>
                <w:color w:val="000000"/>
              </w:rPr>
              <w:t>10.741</w:t>
            </w:r>
          </w:p>
        </w:tc>
        <w:tc>
          <w:tcPr>
            <w:tcW w:w="993" w:type="dxa"/>
            <w:tcBorders>
              <w:top w:val="nil"/>
              <w:left w:val="nil"/>
              <w:bottom w:val="nil"/>
              <w:right w:val="nil"/>
            </w:tcBorders>
            <w:shd w:val="clear" w:color="auto" w:fill="FFFFFF"/>
            <w:vAlign w:val="center"/>
          </w:tcPr>
          <w:p w:rsidR="00D84442" w:rsidRDefault="00D84442" w:rsidP="007701BA">
            <w:pPr>
              <w:autoSpaceDE w:val="0"/>
              <w:autoSpaceDN w:val="0"/>
              <w:adjustRightInd w:val="0"/>
              <w:spacing w:after="0" w:line="320" w:lineRule="atLeast"/>
              <w:ind w:left="60" w:right="60"/>
              <w:jc w:val="right"/>
              <w:rPr>
                <w:rFonts w:eastAsia="Calibri"/>
                <w:color w:val="000000"/>
              </w:rPr>
            </w:pPr>
            <w:r>
              <w:rPr>
                <w:rFonts w:eastAsia="Calibri"/>
                <w:color w:val="000000"/>
              </w:rPr>
              <w:t>.000</w:t>
            </w:r>
          </w:p>
        </w:tc>
      </w:tr>
      <w:tr w:rsidR="00D84442" w:rsidTr="007701BA">
        <w:trPr>
          <w:cantSplit/>
          <w:trHeight w:val="387"/>
          <w:jc w:val="center"/>
        </w:trPr>
        <w:tc>
          <w:tcPr>
            <w:tcW w:w="664" w:type="dxa"/>
            <w:vMerge/>
            <w:tcBorders>
              <w:top w:val="nil"/>
              <w:left w:val="nil"/>
              <w:bottom w:val="single" w:sz="4" w:space="0" w:color="auto"/>
              <w:right w:val="nil"/>
            </w:tcBorders>
            <w:vAlign w:val="center"/>
          </w:tcPr>
          <w:p w:rsidR="00D84442" w:rsidRDefault="00D84442" w:rsidP="007701BA">
            <w:pPr>
              <w:spacing w:after="0" w:line="240" w:lineRule="auto"/>
              <w:rPr>
                <w:rFonts w:eastAsia="Calibri"/>
                <w:color w:val="000000"/>
              </w:rPr>
            </w:pPr>
          </w:p>
        </w:tc>
        <w:tc>
          <w:tcPr>
            <w:tcW w:w="1985" w:type="dxa"/>
            <w:tcBorders>
              <w:top w:val="nil"/>
              <w:left w:val="nil"/>
              <w:bottom w:val="single" w:sz="4" w:space="0" w:color="auto"/>
              <w:right w:val="nil"/>
            </w:tcBorders>
            <w:shd w:val="clear" w:color="auto" w:fill="FFFFFF"/>
            <w:vAlign w:val="center"/>
          </w:tcPr>
          <w:p w:rsidR="00D84442" w:rsidRDefault="00D84442" w:rsidP="007701BA">
            <w:pPr>
              <w:autoSpaceDE w:val="0"/>
              <w:autoSpaceDN w:val="0"/>
              <w:adjustRightInd w:val="0"/>
              <w:spacing w:after="0" w:line="320" w:lineRule="atLeast"/>
              <w:ind w:left="60" w:right="60"/>
              <w:rPr>
                <w:rFonts w:eastAsia="Calibri"/>
                <w:color w:val="000000"/>
              </w:rPr>
            </w:pPr>
            <w:r>
              <w:rPr>
                <w:rFonts w:eastAsia="Calibri"/>
                <w:color w:val="000000"/>
              </w:rPr>
              <w:t>P</w:t>
            </w:r>
            <w:r w:rsidR="00D656C8">
              <w:rPr>
                <w:rFonts w:eastAsia="Calibri"/>
                <w:color w:val="000000"/>
              </w:rPr>
              <w:t>ractice</w:t>
            </w:r>
          </w:p>
        </w:tc>
        <w:tc>
          <w:tcPr>
            <w:tcW w:w="713" w:type="dxa"/>
            <w:tcBorders>
              <w:top w:val="nil"/>
              <w:left w:val="nil"/>
              <w:bottom w:val="single" w:sz="4" w:space="0" w:color="auto"/>
              <w:right w:val="nil"/>
            </w:tcBorders>
            <w:shd w:val="clear" w:color="auto" w:fill="FFFFFF"/>
            <w:vAlign w:val="center"/>
          </w:tcPr>
          <w:p w:rsidR="00D84442" w:rsidRDefault="00D84442" w:rsidP="007701BA">
            <w:pPr>
              <w:autoSpaceDE w:val="0"/>
              <w:autoSpaceDN w:val="0"/>
              <w:adjustRightInd w:val="0"/>
              <w:spacing w:after="0" w:line="320" w:lineRule="atLeast"/>
              <w:ind w:left="60" w:right="60"/>
              <w:jc w:val="right"/>
              <w:rPr>
                <w:rFonts w:eastAsia="Calibri"/>
                <w:color w:val="000000"/>
              </w:rPr>
            </w:pPr>
            <w:r>
              <w:rPr>
                <w:rFonts w:eastAsia="Calibri"/>
                <w:color w:val="000000"/>
              </w:rPr>
              <w:t>.290</w:t>
            </w:r>
          </w:p>
        </w:tc>
        <w:tc>
          <w:tcPr>
            <w:tcW w:w="1203" w:type="dxa"/>
            <w:tcBorders>
              <w:top w:val="nil"/>
              <w:left w:val="nil"/>
              <w:bottom w:val="single" w:sz="4" w:space="0" w:color="auto"/>
              <w:right w:val="nil"/>
            </w:tcBorders>
            <w:shd w:val="clear" w:color="auto" w:fill="FFFFFF"/>
            <w:vAlign w:val="center"/>
          </w:tcPr>
          <w:p w:rsidR="00D84442" w:rsidRDefault="00D84442" w:rsidP="007701BA">
            <w:pPr>
              <w:autoSpaceDE w:val="0"/>
              <w:autoSpaceDN w:val="0"/>
              <w:adjustRightInd w:val="0"/>
              <w:spacing w:after="0" w:line="320" w:lineRule="atLeast"/>
              <w:ind w:left="60" w:right="60"/>
              <w:jc w:val="right"/>
              <w:rPr>
                <w:rFonts w:eastAsia="Calibri"/>
                <w:color w:val="000000"/>
              </w:rPr>
            </w:pPr>
            <w:r>
              <w:rPr>
                <w:rFonts w:eastAsia="Calibri"/>
                <w:color w:val="000000"/>
              </w:rPr>
              <w:t>.072</w:t>
            </w:r>
          </w:p>
        </w:tc>
        <w:tc>
          <w:tcPr>
            <w:tcW w:w="1649" w:type="dxa"/>
            <w:tcBorders>
              <w:top w:val="nil"/>
              <w:left w:val="nil"/>
              <w:bottom w:val="single" w:sz="4" w:space="0" w:color="auto"/>
              <w:right w:val="nil"/>
            </w:tcBorders>
            <w:shd w:val="clear" w:color="auto" w:fill="FFFFFF"/>
            <w:vAlign w:val="center"/>
          </w:tcPr>
          <w:p w:rsidR="00D84442" w:rsidRPr="00D656C8" w:rsidRDefault="00D84442" w:rsidP="007701BA">
            <w:pPr>
              <w:autoSpaceDE w:val="0"/>
              <w:autoSpaceDN w:val="0"/>
              <w:adjustRightInd w:val="0"/>
              <w:spacing w:after="0" w:line="320" w:lineRule="atLeast"/>
              <w:ind w:left="60" w:right="60"/>
              <w:jc w:val="right"/>
              <w:rPr>
                <w:rFonts w:eastAsia="Calibri"/>
                <w:color w:val="000000"/>
              </w:rPr>
            </w:pPr>
            <w:r w:rsidRPr="00D656C8">
              <w:rPr>
                <w:rFonts w:eastAsia="Calibri"/>
                <w:color w:val="000000"/>
              </w:rPr>
              <w:t>.191</w:t>
            </w:r>
          </w:p>
        </w:tc>
        <w:tc>
          <w:tcPr>
            <w:tcW w:w="1134" w:type="dxa"/>
            <w:tcBorders>
              <w:top w:val="nil"/>
              <w:left w:val="nil"/>
              <w:bottom w:val="single" w:sz="4" w:space="0" w:color="auto"/>
              <w:right w:val="nil"/>
            </w:tcBorders>
            <w:shd w:val="clear" w:color="auto" w:fill="FFFFFF"/>
            <w:vAlign w:val="center"/>
          </w:tcPr>
          <w:p w:rsidR="00D84442" w:rsidRPr="00D656C8" w:rsidRDefault="00D84442" w:rsidP="007701BA">
            <w:pPr>
              <w:autoSpaceDE w:val="0"/>
              <w:autoSpaceDN w:val="0"/>
              <w:adjustRightInd w:val="0"/>
              <w:spacing w:after="0" w:line="320" w:lineRule="atLeast"/>
              <w:ind w:left="60" w:right="60"/>
              <w:jc w:val="right"/>
              <w:rPr>
                <w:rFonts w:eastAsia="Calibri"/>
                <w:color w:val="000000"/>
              </w:rPr>
            </w:pPr>
            <w:r w:rsidRPr="00D656C8">
              <w:rPr>
                <w:rFonts w:eastAsia="Calibri"/>
                <w:color w:val="000000"/>
              </w:rPr>
              <w:t>3.999</w:t>
            </w:r>
          </w:p>
        </w:tc>
        <w:tc>
          <w:tcPr>
            <w:tcW w:w="993" w:type="dxa"/>
            <w:tcBorders>
              <w:top w:val="nil"/>
              <w:left w:val="nil"/>
              <w:bottom w:val="single" w:sz="4" w:space="0" w:color="auto"/>
              <w:right w:val="nil"/>
            </w:tcBorders>
            <w:shd w:val="clear" w:color="auto" w:fill="FFFFFF"/>
            <w:vAlign w:val="center"/>
          </w:tcPr>
          <w:p w:rsidR="00D84442" w:rsidRDefault="00D84442" w:rsidP="007701BA">
            <w:pPr>
              <w:autoSpaceDE w:val="0"/>
              <w:autoSpaceDN w:val="0"/>
              <w:adjustRightInd w:val="0"/>
              <w:spacing w:after="0" w:line="320" w:lineRule="atLeast"/>
              <w:ind w:left="60" w:right="60"/>
              <w:jc w:val="right"/>
              <w:rPr>
                <w:rFonts w:eastAsia="Calibri"/>
                <w:color w:val="000000"/>
              </w:rPr>
            </w:pPr>
            <w:r>
              <w:rPr>
                <w:rFonts w:eastAsia="Calibri"/>
                <w:color w:val="000000"/>
              </w:rPr>
              <w:t>.000</w:t>
            </w:r>
          </w:p>
        </w:tc>
      </w:tr>
    </w:tbl>
    <w:p w:rsidR="00B04BFF" w:rsidRDefault="00B04BFF" w:rsidP="00B04BFF"/>
    <w:p w:rsidR="00D84442" w:rsidRPr="00D84442" w:rsidRDefault="00D84442" w:rsidP="00AF49BB">
      <w:pPr>
        <w:jc w:val="both"/>
      </w:pPr>
      <w:r w:rsidRPr="00D84442">
        <w:t xml:space="preserve">Based on the table above, Knowledge emerged as the most dominant predictor of Internalization (Beta = 0.513, p &lt; 0.001), followed by Practice (Beta = 0.191, p &lt; 0.001). These results indicate that Knowledge contributes more significantly to the internalization of </w:t>
      </w:r>
      <w:proofErr w:type="spellStart"/>
      <w:r w:rsidRPr="00D84442">
        <w:t>FlexS</w:t>
      </w:r>
      <w:proofErr w:type="spellEnd"/>
      <w:r w:rsidRPr="00D84442">
        <w:t xml:space="preserve"> values compared to Practice.</w:t>
      </w:r>
    </w:p>
    <w:p w:rsidR="00D84442" w:rsidRPr="00D84442" w:rsidRDefault="00D84442" w:rsidP="00AF49BB">
      <w:pPr>
        <w:jc w:val="both"/>
      </w:pPr>
      <w:r w:rsidRPr="00D84442">
        <w:t xml:space="preserve">To support the quantitative findings, this study also conducted semi-structured interviews with five respondents comprising both administrative and academic staff to explore their experiences regarding the effectiveness of the </w:t>
      </w:r>
      <w:proofErr w:type="spellStart"/>
      <w:r w:rsidRPr="00D84442">
        <w:t>FlexS</w:t>
      </w:r>
      <w:proofErr w:type="spellEnd"/>
      <w:r w:rsidRPr="00D84442">
        <w:t xml:space="preserve"> programme. Thematic analysis of the interview data identified several key themes, including enhanced internalization of </w:t>
      </w:r>
      <w:proofErr w:type="spellStart"/>
      <w:r w:rsidRPr="00D84442">
        <w:t>FlexS</w:t>
      </w:r>
      <w:proofErr w:type="spellEnd"/>
      <w:r w:rsidRPr="00D84442">
        <w:t xml:space="preserve"> values, positive impacts on staff, as well as challenges and suggestions for improvement.</w:t>
      </w:r>
    </w:p>
    <w:p w:rsidR="00AF49BB" w:rsidRDefault="00D84442" w:rsidP="00AF49BB">
      <w:pPr>
        <w:jc w:val="both"/>
        <w:rPr>
          <w:b/>
          <w:bCs/>
        </w:rPr>
      </w:pPr>
      <w:r w:rsidRPr="00D84442">
        <w:rPr>
          <w:b/>
          <w:bCs/>
        </w:rPr>
        <w:t xml:space="preserve">Theme 1: Enhanced Internalization of </w:t>
      </w:r>
      <w:proofErr w:type="spellStart"/>
      <w:r w:rsidRPr="00D84442">
        <w:rPr>
          <w:b/>
          <w:bCs/>
        </w:rPr>
        <w:t>FlexS</w:t>
      </w:r>
      <w:proofErr w:type="spellEnd"/>
      <w:r w:rsidRPr="00D84442">
        <w:rPr>
          <w:b/>
          <w:bCs/>
        </w:rPr>
        <w:t xml:space="preserve"> Values</w:t>
      </w:r>
    </w:p>
    <w:p w:rsidR="00D84442" w:rsidRPr="00D84442" w:rsidRDefault="00D84442" w:rsidP="00AF49BB">
      <w:pPr>
        <w:jc w:val="both"/>
      </w:pPr>
      <w:r w:rsidRPr="00D84442">
        <w:t xml:space="preserve">Informant 1 expressed that the </w:t>
      </w:r>
      <w:proofErr w:type="spellStart"/>
      <w:r w:rsidRPr="00D84442">
        <w:t>FlexS</w:t>
      </w:r>
      <w:proofErr w:type="spellEnd"/>
      <w:r w:rsidRPr="00D84442">
        <w:t xml:space="preserve"> programme helped in "deeply internalizing the true essence of </w:t>
      </w:r>
      <w:proofErr w:type="spellStart"/>
      <w:r w:rsidRPr="00D84442">
        <w:t>FlexS</w:t>
      </w:r>
      <w:proofErr w:type="spellEnd"/>
      <w:r w:rsidRPr="00D84442">
        <w:t xml:space="preserve"> values" and in practising its core pillars in daily life. Furthermore, the knowledge gained from the programme was viewed as transferable to students, with the aspiration of nurturing exemplary </w:t>
      </w:r>
      <w:proofErr w:type="spellStart"/>
      <w:r w:rsidRPr="00D84442">
        <w:rPr>
          <w:i/>
          <w:iCs/>
        </w:rPr>
        <w:t>murobbi</w:t>
      </w:r>
      <w:proofErr w:type="spellEnd"/>
      <w:r w:rsidRPr="00D84442">
        <w:t xml:space="preserve">, </w:t>
      </w:r>
      <w:proofErr w:type="spellStart"/>
      <w:r w:rsidRPr="00D84442">
        <w:rPr>
          <w:i/>
          <w:iCs/>
        </w:rPr>
        <w:t>muallim</w:t>
      </w:r>
      <w:proofErr w:type="spellEnd"/>
      <w:r w:rsidRPr="00D84442">
        <w:t xml:space="preserve">, and </w:t>
      </w:r>
      <w:proofErr w:type="spellStart"/>
      <w:r w:rsidRPr="00D84442">
        <w:rPr>
          <w:i/>
          <w:iCs/>
        </w:rPr>
        <w:t>muaddib</w:t>
      </w:r>
      <w:proofErr w:type="spellEnd"/>
      <w:r w:rsidRPr="00D84442">
        <w:t>—educators who embody both knowledge and character.</w:t>
      </w:r>
    </w:p>
    <w:p w:rsidR="00AF49BB" w:rsidRDefault="00D84442" w:rsidP="00AF49BB">
      <w:pPr>
        <w:jc w:val="both"/>
        <w:rPr>
          <w:b/>
          <w:bCs/>
        </w:rPr>
      </w:pPr>
      <w:r w:rsidRPr="00D84442">
        <w:rPr>
          <w:b/>
          <w:bCs/>
        </w:rPr>
        <w:t>Theme 2: Positive Impact on Staff</w:t>
      </w:r>
    </w:p>
    <w:p w:rsidR="00D84442" w:rsidRPr="00D84442" w:rsidRDefault="00D84442" w:rsidP="00AF49BB">
      <w:pPr>
        <w:jc w:val="both"/>
      </w:pPr>
      <w:r w:rsidRPr="00D84442">
        <w:t xml:space="preserve">Informant 2 shared that participation in the </w:t>
      </w:r>
      <w:proofErr w:type="spellStart"/>
      <w:r w:rsidRPr="00D84442">
        <w:t>FlexS</w:t>
      </w:r>
      <w:proofErr w:type="spellEnd"/>
      <w:r w:rsidRPr="00D84442">
        <w:t xml:space="preserve"> programme helped reduce stress in carrying out core responsibilities. This suggests that the programme not only </w:t>
      </w:r>
      <w:proofErr w:type="spellStart"/>
      <w:r w:rsidRPr="00D84442">
        <w:t>instills</w:t>
      </w:r>
      <w:proofErr w:type="spellEnd"/>
      <w:r w:rsidRPr="00D84442">
        <w:t xml:space="preserve"> values but also contributes to staff mental well-being</w:t>
      </w:r>
      <w:r w:rsidR="000F2ABA">
        <w:t xml:space="preserve"> (Muda et al., 2021)</w:t>
      </w:r>
      <w:r w:rsidRPr="00D84442">
        <w:t>. Similarly, Informants 4 and 5 noted that the programme facilitated greater balance in self-management and professional responsibilities. They highlighted improvements in work productivity and recognized the programme’s potential to add long-term value to both staff members and the university.</w:t>
      </w:r>
    </w:p>
    <w:p w:rsidR="00AF49BB" w:rsidRDefault="00D84442" w:rsidP="00AF49BB">
      <w:pPr>
        <w:jc w:val="both"/>
        <w:rPr>
          <w:b/>
          <w:bCs/>
        </w:rPr>
      </w:pPr>
      <w:r w:rsidRPr="00D84442">
        <w:rPr>
          <w:b/>
          <w:bCs/>
        </w:rPr>
        <w:lastRenderedPageBreak/>
        <w:t>Theme 3: Challenges and Suggestions for Improvement</w:t>
      </w:r>
    </w:p>
    <w:p w:rsidR="00D84442" w:rsidRPr="00D84442" w:rsidRDefault="00D84442" w:rsidP="00AF49BB">
      <w:pPr>
        <w:jc w:val="both"/>
      </w:pPr>
      <w:r w:rsidRPr="00D84442">
        <w:t xml:space="preserve">Informant 3 recommended that the application of </w:t>
      </w:r>
      <w:proofErr w:type="spellStart"/>
      <w:r w:rsidRPr="00D84442">
        <w:t>FlexS</w:t>
      </w:r>
      <w:proofErr w:type="spellEnd"/>
      <w:r w:rsidRPr="00D84442">
        <w:t xml:space="preserve"> values in professional practice and among students be further strengthened. The informant emphasized the need for clearer guidelines and a more structured implementation approach to ensure more comprehensive and sustained impact.</w:t>
      </w:r>
    </w:p>
    <w:p w:rsidR="0052589E" w:rsidRDefault="0052589E" w:rsidP="00AF49BB">
      <w:pPr>
        <w:jc w:val="both"/>
      </w:pPr>
    </w:p>
    <w:p w:rsidR="00D84442" w:rsidRPr="00D84442" w:rsidRDefault="00D84442" w:rsidP="00AF49BB">
      <w:pPr>
        <w:jc w:val="both"/>
        <w:rPr>
          <w:b/>
          <w:bCs/>
        </w:rPr>
      </w:pPr>
      <w:r w:rsidRPr="00D84442">
        <w:rPr>
          <w:b/>
          <w:bCs/>
        </w:rPr>
        <w:t>DISCUSSION</w:t>
      </w:r>
    </w:p>
    <w:p w:rsidR="00D84442" w:rsidRPr="00D84442" w:rsidRDefault="00D84442" w:rsidP="00AF49BB">
      <w:pPr>
        <w:jc w:val="both"/>
      </w:pPr>
      <w:r w:rsidRPr="00D84442">
        <w:t xml:space="preserve">The findings of this study demonstrate that UniSZA staff possess a high level of knowledge regarding the </w:t>
      </w:r>
      <w:proofErr w:type="spellStart"/>
      <w:r w:rsidRPr="00D84442">
        <w:t>FlexS</w:t>
      </w:r>
      <w:proofErr w:type="spellEnd"/>
      <w:r w:rsidRPr="00D84442">
        <w:t xml:space="preserve"> programme, alongside strong levels of practice and internalization of its core values. The quantitative data clearly show that Knowledge is the most significant predictor of Internalization, as evidenced by a strong and statistically significant beta coefficient. This supports the theoretical perspective that cognitive understanding serves as a foundation for value-based </w:t>
      </w:r>
      <w:proofErr w:type="spellStart"/>
      <w:r w:rsidRPr="00D84442">
        <w:t>behavior</w:t>
      </w:r>
      <w:proofErr w:type="spellEnd"/>
      <w:r w:rsidRPr="00D84442">
        <w:t xml:space="preserve"> change (</w:t>
      </w:r>
      <w:r w:rsidR="00402BA2" w:rsidRPr="00D656C8">
        <w:t>Heimlich &amp; Ardoin: 2008).</w:t>
      </w:r>
      <w:r w:rsidRPr="00D84442">
        <w:t xml:space="preserve"> When individuals have a clear understanding of an initiative’s objectives and principles, they are more likely to incorporate them meaningfully into their attitudes and actions</w:t>
      </w:r>
      <w:r w:rsidR="00402BA2" w:rsidRPr="00D656C8">
        <w:t xml:space="preserve">. </w:t>
      </w:r>
      <w:r w:rsidRPr="00D84442">
        <w:t xml:space="preserve">The qualitative findings complement and enrich the quantitative results. Informants reported that the </w:t>
      </w:r>
      <w:proofErr w:type="spellStart"/>
      <w:r w:rsidRPr="00D84442">
        <w:t>FlexS</w:t>
      </w:r>
      <w:proofErr w:type="spellEnd"/>
      <w:r w:rsidRPr="00D84442">
        <w:t xml:space="preserve"> programme provided them with a deeper understanding of the core values it promotes. This aligns with transformative learning theory, which suggests that knowledge acquisition, when embedded within reflective and contextual learning, can lead to shifts in perspective and </w:t>
      </w:r>
      <w:proofErr w:type="spellStart"/>
      <w:r w:rsidRPr="00D84442">
        <w:t>behavior</w:t>
      </w:r>
      <w:proofErr w:type="spellEnd"/>
      <w:r w:rsidRPr="00D84442">
        <w:t xml:space="preserve"> (</w:t>
      </w:r>
      <w:r w:rsidR="00402BA2" w:rsidRPr="00D656C8">
        <w:t>Trevisan, Leal Filho &amp; Pedrozo: 2024</w:t>
      </w:r>
      <w:r w:rsidRPr="00D84442">
        <w:t xml:space="preserve">). Informant 1, for instance, emphasized the ability to internalize the </w:t>
      </w:r>
      <w:proofErr w:type="spellStart"/>
      <w:r w:rsidRPr="00D84442">
        <w:t>FlexS</w:t>
      </w:r>
      <w:proofErr w:type="spellEnd"/>
      <w:r w:rsidRPr="00D84442">
        <w:t xml:space="preserve"> values more deeply and transfer them into daily practice and student mentorship. This echoes the findings of </w:t>
      </w:r>
      <w:proofErr w:type="spellStart"/>
      <w:r w:rsidR="00402BA2" w:rsidRPr="00402BA2">
        <w:t>Susilawati</w:t>
      </w:r>
      <w:proofErr w:type="spellEnd"/>
      <w:r w:rsidR="007C7073">
        <w:t xml:space="preserve">, </w:t>
      </w:r>
      <w:r w:rsidR="00402BA2" w:rsidRPr="00402BA2">
        <w:t xml:space="preserve">Yasin, </w:t>
      </w:r>
      <w:proofErr w:type="spellStart"/>
      <w:r w:rsidR="00402BA2" w:rsidRPr="00402BA2">
        <w:t>Rahmaniah</w:t>
      </w:r>
      <w:proofErr w:type="spellEnd"/>
      <w:r w:rsidR="00402BA2" w:rsidRPr="00402BA2">
        <w:t xml:space="preserve">, </w:t>
      </w:r>
      <w:proofErr w:type="spellStart"/>
      <w:r w:rsidR="00402BA2" w:rsidRPr="00402BA2">
        <w:t>Chakim</w:t>
      </w:r>
      <w:proofErr w:type="spellEnd"/>
      <w:r w:rsidR="007C7073">
        <w:t xml:space="preserve"> </w:t>
      </w:r>
      <w:r w:rsidR="00402BA2" w:rsidRPr="00402BA2">
        <w:t xml:space="preserve">&amp; </w:t>
      </w:r>
      <w:proofErr w:type="spellStart"/>
      <w:r w:rsidR="00402BA2" w:rsidRPr="00402BA2">
        <w:t>Supriyatno</w:t>
      </w:r>
      <w:proofErr w:type="spellEnd"/>
      <w:r w:rsidR="007C7073">
        <w:t xml:space="preserve"> (</w:t>
      </w:r>
      <w:r w:rsidR="00402BA2" w:rsidRPr="00402BA2">
        <w:t>2022</w:t>
      </w:r>
      <w:r w:rsidRPr="00D84442">
        <w:t>), wh</w:t>
      </w:r>
      <w:r w:rsidR="007C7073">
        <w:t>ich</w:t>
      </w:r>
      <w:r w:rsidRPr="00D84442">
        <w:t xml:space="preserve"> argue that internalization is most effective when values are taught not only cognitively but also </w:t>
      </w:r>
      <w:proofErr w:type="spellStart"/>
      <w:r w:rsidRPr="00D84442">
        <w:t>modeled</w:t>
      </w:r>
      <w:proofErr w:type="spellEnd"/>
      <w:r w:rsidRPr="00D84442">
        <w:t xml:space="preserve"> and lived.</w:t>
      </w:r>
      <w:r w:rsidR="007C7073">
        <w:t xml:space="preserve"> </w:t>
      </w:r>
      <w:proofErr w:type="gramStart"/>
      <w:r w:rsidR="007C7073" w:rsidRPr="007C7073">
        <w:t>Th</w:t>
      </w:r>
      <w:r w:rsidR="007C7073">
        <w:t>us</w:t>
      </w:r>
      <w:proofErr w:type="gramEnd"/>
      <w:r w:rsidR="007C7073">
        <w:t xml:space="preserve"> th</w:t>
      </w:r>
      <w:r w:rsidR="007C7073" w:rsidRPr="007C7073">
        <w:t>e integration of religious moral values should be embedded throughout the entire educational journey, including classroom instruction, co-curricular and extracurricular activities, academic advising sessions, and daily life experiences within and beyond the campus environment.</w:t>
      </w:r>
      <w:r w:rsidR="007C7073">
        <w:t xml:space="preserve"> </w:t>
      </w:r>
      <w:r w:rsidRPr="00D84442">
        <w:t xml:space="preserve">Moreover, </w:t>
      </w:r>
      <w:proofErr w:type="spellStart"/>
      <w:r w:rsidR="007C7073">
        <w:t>FlexS</w:t>
      </w:r>
      <w:proofErr w:type="spellEnd"/>
      <w:r w:rsidR="007C7073">
        <w:t xml:space="preserve"> programme </w:t>
      </w:r>
      <w:r w:rsidRPr="00D84442">
        <w:t xml:space="preserve">appears to contribute positively to staff well-being and job performance. Informants reported that </w:t>
      </w:r>
      <w:proofErr w:type="spellStart"/>
      <w:r w:rsidRPr="00D84442">
        <w:t>FlexS</w:t>
      </w:r>
      <w:proofErr w:type="spellEnd"/>
      <w:r w:rsidRPr="00D84442">
        <w:t xml:space="preserve"> helped them manage work-related stress and maintain personal balance, reinforcing the view that value-based institutional programmes can promote psychological resilience and workplace satisfaction</w:t>
      </w:r>
      <w:r w:rsidR="007C7073">
        <w:t xml:space="preserve">. </w:t>
      </w:r>
      <w:r w:rsidRPr="00D84442">
        <w:t xml:space="preserve">In particular, Informants 4 and 5 linked their improved productivity and work-life harmony to the </w:t>
      </w:r>
      <w:proofErr w:type="spellStart"/>
      <w:r w:rsidRPr="00D84442">
        <w:t>FlexS</w:t>
      </w:r>
      <w:proofErr w:type="spellEnd"/>
      <w:r w:rsidRPr="00D84442">
        <w:t xml:space="preserve"> framework, suggesting that such initiatives may serve dual purposes: instilling organizational values and fostering staff well-being. This supports findings by </w:t>
      </w:r>
      <w:r w:rsidR="007C7073">
        <w:t>Mahmud</w:t>
      </w:r>
      <w:r w:rsidRPr="00D84442">
        <w:t xml:space="preserve"> (20</w:t>
      </w:r>
      <w:r w:rsidR="007C7073">
        <w:t>24</w:t>
      </w:r>
      <w:r w:rsidRPr="00D84442">
        <w:t>), who observed that Islamic value-based interventions in public universities contributed to increased engagement and mental health among staff.</w:t>
      </w:r>
    </w:p>
    <w:p w:rsidR="00D84442" w:rsidRPr="00D84442" w:rsidRDefault="00D84442" w:rsidP="00D84442">
      <w:pPr>
        <w:jc w:val="both"/>
      </w:pPr>
      <w:r w:rsidRPr="00D84442">
        <w:t>Despite these positive outcomes, the study also highlights areas for further development. One key issue raised was the inconsistency in value implementation across staff groups. Informant 3, for example, noted the absence of clear guidelines for value application, which limits the potential for systematic internalization. This concern reflects broader challenges in institutionalizing values in higher education, particularly when implementation lacks operational clarity</w:t>
      </w:r>
      <w:r w:rsidR="007C7073">
        <w:t xml:space="preserve">. </w:t>
      </w:r>
      <w:r w:rsidRPr="00D84442">
        <w:t>The absence of structured reinforcement mechanisms may lead to fragmented practices, reducing the overall effectiveness of such programmes.</w:t>
      </w:r>
    </w:p>
    <w:p w:rsidR="00D84442" w:rsidRDefault="00D84442" w:rsidP="00D84442">
      <w:pPr>
        <w:jc w:val="both"/>
      </w:pPr>
      <w:r w:rsidRPr="00D84442">
        <w:lastRenderedPageBreak/>
        <w:t xml:space="preserve">Furthermore, while knowledge contributes significantly to internalization, the relatively lower influence of Practice in the regression model suggests that </w:t>
      </w:r>
      <w:proofErr w:type="spellStart"/>
      <w:r w:rsidRPr="00D84442">
        <w:t>behavior</w:t>
      </w:r>
      <w:proofErr w:type="spellEnd"/>
      <w:r w:rsidRPr="00D84442">
        <w:t xml:space="preserve"> alone may not guarantee deeper value absorption. This aligns with the distinction made in moral development literature between external compliance and intrinsic commitment (Kohlberg, 1981). Practice must be reinforced through reflective engagement, peer support, and leadership </w:t>
      </w:r>
      <w:proofErr w:type="spellStart"/>
      <w:r w:rsidRPr="00D84442">
        <w:t>modeling</w:t>
      </w:r>
      <w:proofErr w:type="spellEnd"/>
      <w:r w:rsidRPr="00D84442">
        <w:t xml:space="preserve"> to ensure values are not only performed but lived. This insight reinforces the need for an integrated strategy that combines cognitive, </w:t>
      </w:r>
      <w:proofErr w:type="spellStart"/>
      <w:r w:rsidRPr="00D84442">
        <w:t>behavioral</w:t>
      </w:r>
      <w:proofErr w:type="spellEnd"/>
      <w:r w:rsidRPr="00D84442">
        <w:t>, and affective dimensions in staff development programmes.</w:t>
      </w:r>
    </w:p>
    <w:p w:rsidR="00857383" w:rsidRDefault="00857383" w:rsidP="00D84442">
      <w:pPr>
        <w:jc w:val="both"/>
        <w:rPr>
          <w:b/>
          <w:bCs/>
        </w:rPr>
      </w:pPr>
    </w:p>
    <w:p w:rsidR="00D656C8" w:rsidRPr="00D84442" w:rsidRDefault="00D656C8" w:rsidP="00D84442">
      <w:pPr>
        <w:jc w:val="both"/>
        <w:rPr>
          <w:b/>
          <w:bCs/>
        </w:rPr>
      </w:pPr>
      <w:r w:rsidRPr="00D656C8">
        <w:rPr>
          <w:b/>
          <w:bCs/>
        </w:rPr>
        <w:t>CONCLUSION</w:t>
      </w:r>
    </w:p>
    <w:p w:rsidR="00B865AD" w:rsidRPr="00B865AD" w:rsidRDefault="00B865AD" w:rsidP="00B865AD">
      <w:pPr>
        <w:jc w:val="both"/>
      </w:pPr>
      <w:r w:rsidRPr="00B865AD">
        <w:t>The programmes under the Flexible Education with Soul (</w:t>
      </w:r>
      <w:proofErr w:type="spellStart"/>
      <w:r w:rsidRPr="00B865AD">
        <w:t>FlexS</w:t>
      </w:r>
      <w:proofErr w:type="spellEnd"/>
      <w:r w:rsidRPr="00B865AD">
        <w:t xml:space="preserve">) initiative are conducted regularly throughout the year at UniSZA. These programmes include a series of workshops, activities, and reinforcement training sessions aimed at enhancing staff members’ understanding of </w:t>
      </w:r>
      <w:proofErr w:type="spellStart"/>
      <w:r w:rsidRPr="00B865AD">
        <w:t>FlexS</w:t>
      </w:r>
      <w:proofErr w:type="spellEnd"/>
      <w:r w:rsidRPr="00B865AD">
        <w:t xml:space="preserve"> and integrating Islamic values in line with the spirit of the initiative. Overall, the study found that Knowledge of </w:t>
      </w:r>
      <w:proofErr w:type="spellStart"/>
      <w:r w:rsidRPr="00B865AD">
        <w:t>FlexS</w:t>
      </w:r>
      <w:proofErr w:type="spellEnd"/>
      <w:r w:rsidRPr="00B865AD">
        <w:t xml:space="preserve"> and its Practice are key factors influencing staff members' Internalization of the initiative.</w:t>
      </w:r>
      <w:r>
        <w:t xml:space="preserve"> I</w:t>
      </w:r>
      <w:r w:rsidRPr="00B865AD">
        <w:t xml:space="preserve">ncreasing individual knowledge can lead to a significant improvement in internalization. While Practice also contributes to internalization, its influence is comparatively smaller than that of Knowledge. The study further indicates that understanding </w:t>
      </w:r>
      <w:proofErr w:type="spellStart"/>
      <w:r w:rsidRPr="00B865AD">
        <w:t>FlexS</w:t>
      </w:r>
      <w:proofErr w:type="spellEnd"/>
      <w:r>
        <w:t xml:space="preserve"> </w:t>
      </w:r>
      <w:r w:rsidRPr="00B865AD">
        <w:t>facilitated through structured activities and curricular integration</w:t>
      </w:r>
      <w:r>
        <w:t xml:space="preserve"> </w:t>
      </w:r>
      <w:r w:rsidRPr="00B865AD">
        <w:t>is a critical component in fostering internalization of its values, with Practice serving as a supporting mechanism.</w:t>
      </w:r>
      <w:r>
        <w:t xml:space="preserve"> </w:t>
      </w:r>
      <w:r w:rsidRPr="00B865AD">
        <w:t xml:space="preserve">Therefore, to enhance the level of internalization among staff, greater emphasis should be placed on strengthening knowledge acquisition, alongside organising activities that reinforce the practical application of </w:t>
      </w:r>
      <w:proofErr w:type="spellStart"/>
      <w:r w:rsidRPr="00B865AD">
        <w:t>FlexS</w:t>
      </w:r>
      <w:proofErr w:type="spellEnd"/>
      <w:r w:rsidRPr="00B865AD">
        <w:t xml:space="preserve"> principles.</w:t>
      </w:r>
    </w:p>
    <w:p w:rsidR="00D84442" w:rsidRDefault="00B865AD" w:rsidP="00D84442">
      <w:pPr>
        <w:jc w:val="both"/>
      </w:pPr>
      <w:r w:rsidRPr="00D84442">
        <w:t xml:space="preserve">In light of these findings, </w:t>
      </w:r>
      <w:r w:rsidR="00D84442" w:rsidRPr="00D84442">
        <w:t xml:space="preserve">future iterations of the </w:t>
      </w:r>
      <w:proofErr w:type="spellStart"/>
      <w:r w:rsidR="00D84442" w:rsidRPr="00D84442">
        <w:t>FlexS</w:t>
      </w:r>
      <w:proofErr w:type="spellEnd"/>
      <w:r w:rsidR="00D84442" w:rsidRPr="00D84442">
        <w:t xml:space="preserve"> programme should include structured training modules, clear guidelines for implementation, and regular reflective sessions to deepen value internalization. Follow-up support and mentoring mechanisms can further enhance consistent value application. Moreover, integrating feedback loops from staff can help continuously refine programme delivery. In sum, while the </w:t>
      </w:r>
      <w:proofErr w:type="spellStart"/>
      <w:r w:rsidR="00D84442" w:rsidRPr="00D84442">
        <w:t>FlexS</w:t>
      </w:r>
      <w:proofErr w:type="spellEnd"/>
      <w:r w:rsidR="00D84442" w:rsidRPr="00D84442">
        <w:t xml:space="preserve"> programme has demonstrated strong foundational impact, its long-term effectiveness will depend on systematic reinforcement and holistic integration within the university’s academic and administrative culture.</w:t>
      </w:r>
    </w:p>
    <w:p w:rsidR="00B865AD" w:rsidRPr="00D84442" w:rsidRDefault="00B865AD" w:rsidP="00D84442">
      <w:pPr>
        <w:jc w:val="both"/>
      </w:pPr>
    </w:p>
    <w:p w:rsidR="0052589E" w:rsidRDefault="00402BA2" w:rsidP="00B04BFF">
      <w:r>
        <w:t>REFERENCE</w:t>
      </w:r>
    </w:p>
    <w:p w:rsidR="00A47BBC" w:rsidRPr="001F710D" w:rsidRDefault="00A47BBC" w:rsidP="00A47BBC">
      <w:pPr>
        <w:rPr>
          <w:sz w:val="22"/>
          <w:szCs w:val="22"/>
        </w:rPr>
      </w:pPr>
      <w:r w:rsidRPr="001F710D">
        <w:rPr>
          <w:sz w:val="22"/>
          <w:szCs w:val="22"/>
        </w:rPr>
        <w:t>Ada, M. J. &amp; Ada, J. A. (2013). Global Advanced Research. Journal of Management and Business Studies, 2(9), 439-453.</w:t>
      </w:r>
    </w:p>
    <w:p w:rsidR="00A47BBC" w:rsidRPr="001F710D" w:rsidRDefault="00A47BBC" w:rsidP="00A47BBC">
      <w:pPr>
        <w:rPr>
          <w:sz w:val="22"/>
          <w:szCs w:val="22"/>
        </w:rPr>
      </w:pPr>
      <w:r w:rsidRPr="001F710D">
        <w:rPr>
          <w:sz w:val="22"/>
          <w:szCs w:val="22"/>
        </w:rPr>
        <w:t xml:space="preserve">Bandura, A. (1986). Social Foundations of Thought and Action: A Social Cognitive Theory, Prentice-Hall, Englewood Cliffs, Nj. </w:t>
      </w:r>
    </w:p>
    <w:p w:rsidR="00A47BBC" w:rsidRPr="001F710D" w:rsidRDefault="00A47BBC" w:rsidP="00A47BBC">
      <w:pPr>
        <w:rPr>
          <w:sz w:val="22"/>
          <w:szCs w:val="22"/>
        </w:rPr>
      </w:pPr>
      <w:proofErr w:type="spellStart"/>
      <w:r w:rsidRPr="001F710D">
        <w:rPr>
          <w:sz w:val="22"/>
          <w:szCs w:val="22"/>
        </w:rPr>
        <w:t>Billari</w:t>
      </w:r>
      <w:proofErr w:type="spellEnd"/>
      <w:r w:rsidRPr="001F710D">
        <w:rPr>
          <w:sz w:val="22"/>
          <w:szCs w:val="22"/>
        </w:rPr>
        <w:t xml:space="preserve">, F I.C., </w:t>
      </w:r>
      <w:proofErr w:type="spellStart"/>
      <w:r w:rsidRPr="001F710D">
        <w:rPr>
          <w:sz w:val="22"/>
          <w:szCs w:val="22"/>
        </w:rPr>
        <w:t>Philipov</w:t>
      </w:r>
      <w:proofErr w:type="spellEnd"/>
      <w:r w:rsidRPr="001F710D">
        <w:rPr>
          <w:sz w:val="22"/>
          <w:szCs w:val="22"/>
        </w:rPr>
        <w:t xml:space="preserve">, D. &amp; Testa, M.R. (2009). Attitudes, Norms and Perceived </w:t>
      </w:r>
      <w:proofErr w:type="spellStart"/>
      <w:r w:rsidRPr="001F710D">
        <w:rPr>
          <w:sz w:val="22"/>
          <w:szCs w:val="22"/>
        </w:rPr>
        <w:t>Behavioral</w:t>
      </w:r>
      <w:proofErr w:type="spellEnd"/>
      <w:r w:rsidRPr="001F710D">
        <w:rPr>
          <w:sz w:val="22"/>
          <w:szCs w:val="22"/>
        </w:rPr>
        <w:t xml:space="preserve"> Control: Explaining Fertility Intentions </w:t>
      </w:r>
      <w:proofErr w:type="gramStart"/>
      <w:r w:rsidRPr="001F710D">
        <w:rPr>
          <w:sz w:val="22"/>
          <w:szCs w:val="22"/>
        </w:rPr>
        <w:t>In</w:t>
      </w:r>
      <w:proofErr w:type="gramEnd"/>
      <w:r w:rsidRPr="001F710D">
        <w:rPr>
          <w:sz w:val="22"/>
          <w:szCs w:val="22"/>
        </w:rPr>
        <w:t xml:space="preserve"> Bulgaria, European Journal </w:t>
      </w:r>
      <w:proofErr w:type="gramStart"/>
      <w:r w:rsidRPr="001F710D">
        <w:rPr>
          <w:sz w:val="22"/>
          <w:szCs w:val="22"/>
        </w:rPr>
        <w:t>Of</w:t>
      </w:r>
      <w:proofErr w:type="gramEnd"/>
      <w:r w:rsidRPr="001F710D">
        <w:rPr>
          <w:sz w:val="22"/>
          <w:szCs w:val="22"/>
        </w:rPr>
        <w:t xml:space="preserve"> Population 25 (4), 439-465</w:t>
      </w:r>
    </w:p>
    <w:p w:rsidR="00A47BBC" w:rsidRPr="001F710D" w:rsidRDefault="00A47BBC" w:rsidP="00A47BBC">
      <w:pPr>
        <w:rPr>
          <w:sz w:val="22"/>
          <w:szCs w:val="22"/>
        </w:rPr>
      </w:pPr>
      <w:proofErr w:type="spellStart"/>
      <w:r w:rsidRPr="001F710D">
        <w:rPr>
          <w:sz w:val="22"/>
          <w:szCs w:val="22"/>
        </w:rPr>
        <w:t>Chiaburu</w:t>
      </w:r>
      <w:proofErr w:type="spellEnd"/>
      <w:r w:rsidRPr="001F710D">
        <w:rPr>
          <w:sz w:val="22"/>
          <w:szCs w:val="22"/>
        </w:rPr>
        <w:t xml:space="preserve">, D.S. &amp; Marinova, S.V. (2005). What Predicts Skill Transfer? An Exploratory Study of Goal Orientation, Training Self-Efficacy </w:t>
      </w:r>
      <w:proofErr w:type="gramStart"/>
      <w:r w:rsidRPr="001F710D">
        <w:rPr>
          <w:sz w:val="22"/>
          <w:szCs w:val="22"/>
        </w:rPr>
        <w:t>And</w:t>
      </w:r>
      <w:proofErr w:type="gramEnd"/>
      <w:r w:rsidRPr="001F710D">
        <w:rPr>
          <w:sz w:val="22"/>
          <w:szCs w:val="22"/>
        </w:rPr>
        <w:t xml:space="preserve"> Organizational Supports, International Journal of Training </w:t>
      </w:r>
      <w:proofErr w:type="gramStart"/>
      <w:r w:rsidRPr="001F710D">
        <w:rPr>
          <w:sz w:val="22"/>
          <w:szCs w:val="22"/>
        </w:rPr>
        <w:t>And</w:t>
      </w:r>
      <w:proofErr w:type="gramEnd"/>
      <w:r w:rsidRPr="001F710D">
        <w:rPr>
          <w:sz w:val="22"/>
          <w:szCs w:val="22"/>
        </w:rPr>
        <w:t xml:space="preserve"> Development 9(2), 110-23.</w:t>
      </w:r>
    </w:p>
    <w:p w:rsidR="00A47BBC" w:rsidRPr="001F710D" w:rsidRDefault="00A47BBC" w:rsidP="00A47BBC">
      <w:pPr>
        <w:rPr>
          <w:sz w:val="22"/>
          <w:szCs w:val="22"/>
        </w:rPr>
      </w:pPr>
      <w:r w:rsidRPr="001F710D">
        <w:rPr>
          <w:sz w:val="22"/>
          <w:szCs w:val="22"/>
        </w:rPr>
        <w:lastRenderedPageBreak/>
        <w:t xml:space="preserve">Gabr, M. </w:t>
      </w:r>
      <w:r w:rsidR="009B490C">
        <w:rPr>
          <w:sz w:val="22"/>
          <w:szCs w:val="22"/>
        </w:rPr>
        <w:t>(</w:t>
      </w:r>
      <w:r w:rsidRPr="001F710D">
        <w:rPr>
          <w:sz w:val="22"/>
          <w:szCs w:val="22"/>
        </w:rPr>
        <w:t>2000</w:t>
      </w:r>
      <w:r w:rsidR="009B490C">
        <w:rPr>
          <w:sz w:val="22"/>
          <w:szCs w:val="22"/>
        </w:rPr>
        <w:t>)</w:t>
      </w:r>
      <w:r w:rsidRPr="001F710D">
        <w:rPr>
          <w:sz w:val="22"/>
          <w:szCs w:val="22"/>
        </w:rPr>
        <w:t>. Program Evaluation: A Missing Critical Link in Translator Training. Journal of Management 14:205-229</w:t>
      </w:r>
    </w:p>
    <w:p w:rsidR="00A47BBC" w:rsidRPr="001F710D" w:rsidRDefault="00A47BBC" w:rsidP="00A47BBC">
      <w:pPr>
        <w:rPr>
          <w:sz w:val="22"/>
          <w:szCs w:val="22"/>
        </w:rPr>
      </w:pPr>
      <w:r w:rsidRPr="001F710D">
        <w:rPr>
          <w:sz w:val="22"/>
          <w:szCs w:val="22"/>
        </w:rPr>
        <w:t xml:space="preserve">Goldstein, I.L. </w:t>
      </w:r>
      <w:r w:rsidR="009B490C">
        <w:rPr>
          <w:sz w:val="22"/>
          <w:szCs w:val="22"/>
        </w:rPr>
        <w:t>(</w:t>
      </w:r>
      <w:r w:rsidRPr="001F710D">
        <w:rPr>
          <w:sz w:val="22"/>
          <w:szCs w:val="22"/>
        </w:rPr>
        <w:t>1993</w:t>
      </w:r>
      <w:r w:rsidR="009B490C">
        <w:rPr>
          <w:sz w:val="22"/>
          <w:szCs w:val="22"/>
        </w:rPr>
        <w:t>)</w:t>
      </w:r>
      <w:r w:rsidRPr="001F710D">
        <w:rPr>
          <w:sz w:val="22"/>
          <w:szCs w:val="22"/>
        </w:rPr>
        <w:t>. Training In Organization: Needs Assessment, Development and Evaluation. Third Edition. Belmont, California: Brooks Publishing.</w:t>
      </w:r>
    </w:p>
    <w:p w:rsidR="00A47BBC" w:rsidRPr="001F710D" w:rsidRDefault="00A47BBC" w:rsidP="00A47BBC">
      <w:pPr>
        <w:rPr>
          <w:sz w:val="22"/>
          <w:szCs w:val="22"/>
        </w:rPr>
      </w:pPr>
      <w:r w:rsidRPr="001F710D">
        <w:rPr>
          <w:rFonts w:eastAsia="Times New Roman"/>
          <w:iCs/>
          <w:color w:val="000000"/>
          <w:sz w:val="22"/>
          <w:szCs w:val="22"/>
        </w:rPr>
        <w:t xml:space="preserve">Kamarul Shukri Mat </w:t>
      </w:r>
      <w:proofErr w:type="spellStart"/>
      <w:r w:rsidRPr="001F710D">
        <w:rPr>
          <w:rFonts w:eastAsia="Times New Roman"/>
          <w:iCs/>
          <w:color w:val="000000"/>
          <w:sz w:val="22"/>
          <w:szCs w:val="22"/>
        </w:rPr>
        <w:t>Teh</w:t>
      </w:r>
      <w:proofErr w:type="spellEnd"/>
      <w:r w:rsidRPr="001F710D">
        <w:rPr>
          <w:rFonts w:eastAsia="Times New Roman"/>
          <w:iCs/>
          <w:color w:val="000000"/>
          <w:sz w:val="22"/>
          <w:szCs w:val="22"/>
        </w:rPr>
        <w:t xml:space="preserve"> (2023) Citra </w:t>
      </w:r>
      <w:proofErr w:type="spellStart"/>
      <w:r w:rsidRPr="001F710D">
        <w:rPr>
          <w:rFonts w:eastAsia="Times New Roman"/>
          <w:iCs/>
          <w:color w:val="000000"/>
          <w:sz w:val="22"/>
          <w:szCs w:val="22"/>
        </w:rPr>
        <w:t>Akademia</w:t>
      </w:r>
      <w:proofErr w:type="spellEnd"/>
      <w:r w:rsidRPr="001F710D">
        <w:rPr>
          <w:rFonts w:eastAsia="Times New Roman"/>
          <w:iCs/>
          <w:color w:val="000000"/>
          <w:sz w:val="22"/>
          <w:szCs w:val="22"/>
        </w:rPr>
        <w:t xml:space="preserve">. Kuala </w:t>
      </w:r>
      <w:proofErr w:type="spellStart"/>
      <w:r w:rsidRPr="001F710D">
        <w:rPr>
          <w:rFonts w:eastAsia="Times New Roman"/>
          <w:iCs/>
          <w:color w:val="000000"/>
          <w:sz w:val="22"/>
          <w:szCs w:val="22"/>
        </w:rPr>
        <w:t>Nerus</w:t>
      </w:r>
      <w:proofErr w:type="spellEnd"/>
      <w:r w:rsidRPr="001F710D">
        <w:rPr>
          <w:rFonts w:eastAsia="Times New Roman"/>
          <w:iCs/>
          <w:color w:val="000000"/>
          <w:sz w:val="22"/>
          <w:szCs w:val="22"/>
        </w:rPr>
        <w:t xml:space="preserve">: </w:t>
      </w:r>
      <w:proofErr w:type="spellStart"/>
      <w:r w:rsidRPr="001F710D">
        <w:rPr>
          <w:rFonts w:eastAsia="Times New Roman"/>
          <w:iCs/>
          <w:color w:val="000000"/>
          <w:sz w:val="22"/>
          <w:szCs w:val="22"/>
        </w:rPr>
        <w:t>Penerbit</w:t>
      </w:r>
      <w:proofErr w:type="spellEnd"/>
      <w:r w:rsidRPr="001F710D">
        <w:rPr>
          <w:rFonts w:eastAsia="Times New Roman"/>
          <w:iCs/>
          <w:color w:val="000000"/>
          <w:sz w:val="22"/>
          <w:szCs w:val="22"/>
        </w:rPr>
        <w:t xml:space="preserve"> </w:t>
      </w:r>
      <w:proofErr w:type="spellStart"/>
      <w:r w:rsidRPr="001F710D">
        <w:rPr>
          <w:rFonts w:eastAsia="Times New Roman"/>
          <w:iCs/>
          <w:color w:val="000000"/>
          <w:sz w:val="22"/>
          <w:szCs w:val="22"/>
        </w:rPr>
        <w:t>Universiti</w:t>
      </w:r>
      <w:proofErr w:type="spellEnd"/>
      <w:r w:rsidRPr="001F710D">
        <w:rPr>
          <w:rFonts w:eastAsia="Times New Roman"/>
          <w:iCs/>
          <w:color w:val="000000"/>
          <w:sz w:val="22"/>
          <w:szCs w:val="22"/>
        </w:rPr>
        <w:t xml:space="preserve"> Sultan Zainal Abidin.</w:t>
      </w:r>
    </w:p>
    <w:p w:rsidR="00A47BBC" w:rsidRPr="001F710D" w:rsidRDefault="00A47BBC" w:rsidP="00A47BBC">
      <w:pPr>
        <w:rPr>
          <w:sz w:val="22"/>
          <w:szCs w:val="22"/>
        </w:rPr>
      </w:pPr>
      <w:r w:rsidRPr="001F710D">
        <w:rPr>
          <w:sz w:val="22"/>
          <w:szCs w:val="22"/>
        </w:rPr>
        <w:t xml:space="preserve">Kirkpatrick, J. D., &amp; Kirkpatrick, W. K. (2016). Kirkpatrick's Four Levels of Training Evaluation, Alexandria, V.A., </w:t>
      </w:r>
      <w:proofErr w:type="spellStart"/>
      <w:r w:rsidRPr="001F710D">
        <w:rPr>
          <w:sz w:val="22"/>
          <w:szCs w:val="22"/>
        </w:rPr>
        <w:t>Atd</w:t>
      </w:r>
      <w:proofErr w:type="spellEnd"/>
      <w:r w:rsidRPr="001F710D">
        <w:rPr>
          <w:sz w:val="22"/>
          <w:szCs w:val="22"/>
        </w:rPr>
        <w:t xml:space="preserve"> Press.</w:t>
      </w:r>
    </w:p>
    <w:p w:rsidR="00A47BBC" w:rsidRPr="001F710D" w:rsidRDefault="00A47BBC" w:rsidP="00A47BBC">
      <w:pPr>
        <w:rPr>
          <w:sz w:val="22"/>
          <w:szCs w:val="22"/>
        </w:rPr>
      </w:pPr>
      <w:proofErr w:type="spellStart"/>
      <w:r w:rsidRPr="001F710D">
        <w:rPr>
          <w:sz w:val="22"/>
          <w:szCs w:val="22"/>
        </w:rPr>
        <w:t>Krejcie</w:t>
      </w:r>
      <w:proofErr w:type="spellEnd"/>
      <w:r w:rsidRPr="001F710D">
        <w:rPr>
          <w:sz w:val="22"/>
          <w:szCs w:val="22"/>
        </w:rPr>
        <w:t>, R.V. and Morgan, D.W. (1970) Determining Sample Size for Research Activities. Educational and Psychological Measurement, 30, 607-610.</w:t>
      </w:r>
    </w:p>
    <w:p w:rsidR="00A47BBC" w:rsidRPr="001F710D" w:rsidRDefault="00A47BBC" w:rsidP="00A47BBC">
      <w:pPr>
        <w:rPr>
          <w:sz w:val="22"/>
          <w:szCs w:val="22"/>
        </w:rPr>
      </w:pPr>
      <w:r w:rsidRPr="001F710D">
        <w:rPr>
          <w:sz w:val="22"/>
          <w:szCs w:val="22"/>
        </w:rPr>
        <w:t>Lawson, K (2006). The Trainer’s Handbook, Pfeiffer, San Francisco, Ca</w:t>
      </w:r>
    </w:p>
    <w:p w:rsidR="00A47BBC" w:rsidRPr="001F710D" w:rsidRDefault="00A47BBC" w:rsidP="00A47BBC">
      <w:pPr>
        <w:rPr>
          <w:sz w:val="22"/>
          <w:szCs w:val="22"/>
        </w:rPr>
      </w:pPr>
      <w:proofErr w:type="spellStart"/>
      <w:proofErr w:type="gramStart"/>
      <w:r w:rsidRPr="001F710D">
        <w:rPr>
          <w:sz w:val="22"/>
          <w:szCs w:val="22"/>
        </w:rPr>
        <w:t>Lynthon,R.P</w:t>
      </w:r>
      <w:proofErr w:type="spellEnd"/>
      <w:r w:rsidRPr="001F710D">
        <w:rPr>
          <w:sz w:val="22"/>
          <w:szCs w:val="22"/>
        </w:rPr>
        <w:t>.</w:t>
      </w:r>
      <w:proofErr w:type="gramEnd"/>
      <w:r w:rsidRPr="001F710D">
        <w:rPr>
          <w:sz w:val="22"/>
          <w:szCs w:val="22"/>
        </w:rPr>
        <w:t xml:space="preserve"> &amp; Pareek, U. (1994). Training For Development. 2nd Ed. West </w:t>
      </w:r>
      <w:proofErr w:type="spellStart"/>
      <w:r w:rsidRPr="001F710D">
        <w:rPr>
          <w:sz w:val="22"/>
          <w:szCs w:val="22"/>
        </w:rPr>
        <w:t>Hardford</w:t>
      </w:r>
      <w:proofErr w:type="spellEnd"/>
      <w:r w:rsidRPr="001F710D">
        <w:rPr>
          <w:sz w:val="22"/>
          <w:szCs w:val="22"/>
        </w:rPr>
        <w:t xml:space="preserve">, Conn.: </w:t>
      </w:r>
      <w:proofErr w:type="spellStart"/>
      <w:r w:rsidRPr="001F710D">
        <w:rPr>
          <w:sz w:val="22"/>
          <w:szCs w:val="22"/>
        </w:rPr>
        <w:t>Kumarian</w:t>
      </w:r>
      <w:proofErr w:type="spellEnd"/>
      <w:r w:rsidRPr="001F710D">
        <w:rPr>
          <w:sz w:val="22"/>
          <w:szCs w:val="22"/>
        </w:rPr>
        <w:t xml:space="preserve"> Press.</w:t>
      </w:r>
    </w:p>
    <w:p w:rsidR="00A47BBC" w:rsidRPr="001F710D" w:rsidRDefault="00A47BBC" w:rsidP="00A47BBC">
      <w:pPr>
        <w:rPr>
          <w:sz w:val="22"/>
          <w:szCs w:val="22"/>
        </w:rPr>
      </w:pPr>
      <w:proofErr w:type="spellStart"/>
      <w:r w:rsidRPr="001F710D">
        <w:rPr>
          <w:sz w:val="22"/>
          <w:szCs w:val="22"/>
        </w:rPr>
        <w:t>Maizatul</w:t>
      </w:r>
      <w:proofErr w:type="spellEnd"/>
      <w:r w:rsidRPr="001F710D">
        <w:rPr>
          <w:sz w:val="22"/>
          <w:szCs w:val="22"/>
        </w:rPr>
        <w:t xml:space="preserve"> H. M. (2002). </w:t>
      </w:r>
      <w:r w:rsidRPr="00A47BBC">
        <w:rPr>
          <w:sz w:val="22"/>
          <w:szCs w:val="22"/>
        </w:rPr>
        <w:t>The Concept of Japanese Management: Implications on Job Satisfaction and Turnover Intention Among Subordinate Employees</w:t>
      </w:r>
      <w:r w:rsidRPr="001F710D">
        <w:rPr>
          <w:sz w:val="22"/>
          <w:szCs w:val="22"/>
        </w:rPr>
        <w:t xml:space="preserve">, Malaysian Journal </w:t>
      </w:r>
      <w:proofErr w:type="gramStart"/>
      <w:r w:rsidRPr="001F710D">
        <w:rPr>
          <w:sz w:val="22"/>
          <w:szCs w:val="22"/>
        </w:rPr>
        <w:t>Of</w:t>
      </w:r>
      <w:proofErr w:type="gramEnd"/>
      <w:r w:rsidRPr="001F710D">
        <w:rPr>
          <w:sz w:val="22"/>
          <w:szCs w:val="22"/>
        </w:rPr>
        <w:t xml:space="preserve"> Communication,18. Pp.145-163. </w:t>
      </w:r>
    </w:p>
    <w:p w:rsidR="00A47BBC" w:rsidRPr="001F710D" w:rsidRDefault="00A47BBC" w:rsidP="00A47BBC">
      <w:pPr>
        <w:rPr>
          <w:sz w:val="22"/>
          <w:szCs w:val="22"/>
        </w:rPr>
      </w:pPr>
      <w:proofErr w:type="spellStart"/>
      <w:r w:rsidRPr="001F710D">
        <w:rPr>
          <w:sz w:val="22"/>
          <w:szCs w:val="22"/>
        </w:rPr>
        <w:t>Mazanah</w:t>
      </w:r>
      <w:proofErr w:type="spellEnd"/>
      <w:r w:rsidRPr="001F710D">
        <w:rPr>
          <w:sz w:val="22"/>
          <w:szCs w:val="22"/>
        </w:rPr>
        <w:t xml:space="preserve"> M Hamad. &amp; G. L. Carter. 2000. </w:t>
      </w:r>
      <w:r>
        <w:rPr>
          <w:sz w:val="22"/>
          <w:szCs w:val="22"/>
        </w:rPr>
        <w:t>Principles of Adult Learning</w:t>
      </w:r>
      <w:r w:rsidRPr="001F710D">
        <w:rPr>
          <w:sz w:val="22"/>
          <w:szCs w:val="22"/>
        </w:rPr>
        <w:t xml:space="preserve">. Kuala Lumpur. </w:t>
      </w:r>
      <w:proofErr w:type="spellStart"/>
      <w:r w:rsidRPr="001F710D">
        <w:rPr>
          <w:sz w:val="22"/>
          <w:szCs w:val="22"/>
        </w:rPr>
        <w:t>Utusan</w:t>
      </w:r>
      <w:proofErr w:type="spellEnd"/>
      <w:r w:rsidRPr="001F710D">
        <w:rPr>
          <w:sz w:val="22"/>
          <w:szCs w:val="22"/>
        </w:rPr>
        <w:t xml:space="preserve"> Publications and Distributors</w:t>
      </w:r>
    </w:p>
    <w:p w:rsidR="00A47BBC" w:rsidRPr="001F710D" w:rsidRDefault="00A47BBC" w:rsidP="00A47BBC">
      <w:pPr>
        <w:rPr>
          <w:sz w:val="22"/>
          <w:szCs w:val="22"/>
        </w:rPr>
      </w:pPr>
      <w:r w:rsidRPr="001F710D">
        <w:rPr>
          <w:sz w:val="22"/>
          <w:szCs w:val="22"/>
        </w:rPr>
        <w:t>Roger, B. &amp; C. Jim. 1992. The Theory and Practice of Training. 2nd Ed. Great Britain: Kogan Page Ltd.</w:t>
      </w:r>
    </w:p>
    <w:p w:rsidR="00A47BBC" w:rsidRPr="001F710D" w:rsidRDefault="00A47BBC" w:rsidP="00A47BBC">
      <w:pPr>
        <w:rPr>
          <w:sz w:val="22"/>
          <w:szCs w:val="22"/>
        </w:rPr>
      </w:pPr>
      <w:r w:rsidRPr="001F710D">
        <w:rPr>
          <w:sz w:val="22"/>
          <w:szCs w:val="22"/>
        </w:rPr>
        <w:t>Silberman, M. (2006), Active Training: A Handbook of Technique, Design, Case Examples and Tips, Pfeiffer, San Francisco, Ca.</w:t>
      </w:r>
    </w:p>
    <w:p w:rsidR="00A47BBC" w:rsidRPr="001F710D" w:rsidRDefault="00A47BBC" w:rsidP="00A47BBC">
      <w:pPr>
        <w:rPr>
          <w:sz w:val="22"/>
          <w:szCs w:val="22"/>
        </w:rPr>
      </w:pPr>
      <w:r w:rsidRPr="001F710D">
        <w:rPr>
          <w:sz w:val="22"/>
          <w:szCs w:val="22"/>
        </w:rPr>
        <w:t xml:space="preserve">Tennant, C., </w:t>
      </w:r>
      <w:proofErr w:type="spellStart"/>
      <w:r w:rsidRPr="001F710D">
        <w:rPr>
          <w:sz w:val="22"/>
          <w:szCs w:val="22"/>
        </w:rPr>
        <w:t>Boonkrong</w:t>
      </w:r>
      <w:proofErr w:type="spellEnd"/>
      <w:r w:rsidRPr="001F710D">
        <w:rPr>
          <w:sz w:val="22"/>
          <w:szCs w:val="22"/>
        </w:rPr>
        <w:t xml:space="preserve">, R.M., &amp; Paul, R.M (2002). The Design of </w:t>
      </w:r>
      <w:proofErr w:type="gramStart"/>
      <w:r w:rsidRPr="001F710D">
        <w:rPr>
          <w:sz w:val="22"/>
          <w:szCs w:val="22"/>
        </w:rPr>
        <w:t>A</w:t>
      </w:r>
      <w:proofErr w:type="gramEnd"/>
      <w:r w:rsidRPr="001F710D">
        <w:rPr>
          <w:sz w:val="22"/>
          <w:szCs w:val="22"/>
        </w:rPr>
        <w:t xml:space="preserve"> Training Program Measurement Model. Journal Of European Industrial Training, Vol.26, No 5, Pp. 230-240.</w:t>
      </w:r>
    </w:p>
    <w:p w:rsidR="00A47BBC" w:rsidRPr="001F710D" w:rsidRDefault="00A47BBC" w:rsidP="00A47BBC">
      <w:pPr>
        <w:rPr>
          <w:sz w:val="22"/>
          <w:szCs w:val="22"/>
        </w:rPr>
      </w:pPr>
      <w:r w:rsidRPr="001F710D">
        <w:rPr>
          <w:sz w:val="22"/>
          <w:szCs w:val="22"/>
        </w:rPr>
        <w:t xml:space="preserve">Wan Idros W. S. (2001). </w:t>
      </w:r>
      <w:r w:rsidRPr="00A47BBC">
        <w:rPr>
          <w:sz w:val="22"/>
          <w:szCs w:val="22"/>
        </w:rPr>
        <w:t>Personnel Development in the Aspect of Training and Development: Between the Reality and Formality of Task Effectiveness. Journal of Communication</w:t>
      </w:r>
      <w:r w:rsidRPr="001F710D">
        <w:rPr>
          <w:sz w:val="22"/>
          <w:szCs w:val="22"/>
        </w:rPr>
        <w:t xml:space="preserve">, Malaysian Journal of Communication, 17. Pp.81-118. </w:t>
      </w:r>
    </w:p>
    <w:p w:rsidR="00A47BBC" w:rsidRDefault="00A47BBC" w:rsidP="00B04BFF"/>
    <w:p w:rsidR="00402BA2" w:rsidRDefault="00402BA2" w:rsidP="00B04BFF">
      <w:r w:rsidRPr="00402BA2">
        <w:t xml:space="preserve">Heimlich, J. E., &amp; Ardoin, N. M. (2008). Understanding </w:t>
      </w:r>
      <w:proofErr w:type="spellStart"/>
      <w:r w:rsidRPr="00402BA2">
        <w:t>behavior</w:t>
      </w:r>
      <w:proofErr w:type="spellEnd"/>
      <w:r w:rsidRPr="00402BA2">
        <w:t xml:space="preserve"> to understand </w:t>
      </w:r>
      <w:proofErr w:type="spellStart"/>
      <w:r w:rsidRPr="00402BA2">
        <w:t>behavior</w:t>
      </w:r>
      <w:proofErr w:type="spellEnd"/>
      <w:r w:rsidRPr="00402BA2">
        <w:t xml:space="preserve"> change: a literature review. </w:t>
      </w:r>
      <w:r w:rsidRPr="00402BA2">
        <w:rPr>
          <w:i/>
          <w:iCs/>
        </w:rPr>
        <w:t>Environmental Education Research</w:t>
      </w:r>
      <w:r w:rsidRPr="00402BA2">
        <w:t>, </w:t>
      </w:r>
      <w:r w:rsidRPr="00402BA2">
        <w:rPr>
          <w:i/>
          <w:iCs/>
        </w:rPr>
        <w:t>14</w:t>
      </w:r>
      <w:r w:rsidRPr="00402BA2">
        <w:t xml:space="preserve">(3), 215–237. </w:t>
      </w:r>
    </w:p>
    <w:p w:rsidR="000F2ABA" w:rsidRDefault="000F2ABA" w:rsidP="000F2ABA">
      <w:r>
        <w:t xml:space="preserve">Muda, </w:t>
      </w:r>
      <w:r w:rsidRPr="00AD1D21">
        <w:t>T</w:t>
      </w:r>
      <w:r>
        <w:t>.F.M.</w:t>
      </w:r>
      <w:r w:rsidRPr="00AD1D21">
        <w:t>, Yusoff,</w:t>
      </w:r>
      <w:r>
        <w:t xml:space="preserve"> Z.M.,</w:t>
      </w:r>
      <w:r w:rsidRPr="00AD1D21">
        <w:t xml:space="preserve"> Ismail,</w:t>
      </w:r>
      <w:r>
        <w:t xml:space="preserve"> S.T.,</w:t>
      </w:r>
      <w:r w:rsidRPr="00AD1D21">
        <w:t xml:space="preserve"> Daud,</w:t>
      </w:r>
      <w:r>
        <w:t xml:space="preserve"> N.,</w:t>
      </w:r>
      <w:r w:rsidRPr="00AD1D21">
        <w:t xml:space="preserve"> Aziz,</w:t>
      </w:r>
      <w:r>
        <w:t xml:space="preserve"> S.A.,</w:t>
      </w:r>
      <w:r w:rsidRPr="00AD1D21">
        <w:t xml:space="preserve"> Mohd, </w:t>
      </w:r>
      <w:r>
        <w:t xml:space="preserve">A. (2021). </w:t>
      </w:r>
      <w:r w:rsidRPr="00AD1D21">
        <w:t xml:space="preserve">The Impact of Work Life Balance on The Quality of Life Among Women Employees in </w:t>
      </w:r>
      <w:proofErr w:type="spellStart"/>
      <w:r w:rsidRPr="00AD1D21">
        <w:t>Unisza</w:t>
      </w:r>
      <w:proofErr w:type="spellEnd"/>
      <w:r w:rsidRPr="00AD1D21">
        <w:t>, Malaysia, Journal of Legal, Ethical and Regulatory Issues, p. 233</w:t>
      </w:r>
    </w:p>
    <w:p w:rsidR="00402BA2" w:rsidRDefault="00402BA2" w:rsidP="00B04BFF">
      <w:r w:rsidRPr="00402BA2">
        <w:t xml:space="preserve">Trevisan, L. V., Leal Filho, W., &amp; Pedrozo, E. Á. (2024). Transformative organisational learning for sustainability in higher education: A literature review and an international multi-case study. </w:t>
      </w:r>
      <w:r w:rsidRPr="00402BA2">
        <w:rPr>
          <w:i/>
          <w:iCs/>
        </w:rPr>
        <w:t>Journal of Cleaner Production, 447</w:t>
      </w:r>
      <w:r w:rsidRPr="00402BA2">
        <w:t>, 141634</w:t>
      </w:r>
    </w:p>
    <w:p w:rsidR="007C7073" w:rsidRDefault="00402BA2" w:rsidP="00B04BFF">
      <w:proofErr w:type="spellStart"/>
      <w:r w:rsidRPr="00402BA2">
        <w:t>Susilawati</w:t>
      </w:r>
      <w:proofErr w:type="spellEnd"/>
      <w:r w:rsidRPr="00402BA2">
        <w:t xml:space="preserve">, S., Yasin, A. F., </w:t>
      </w:r>
      <w:proofErr w:type="spellStart"/>
      <w:r w:rsidRPr="00402BA2">
        <w:t>Rahmaniah</w:t>
      </w:r>
      <w:proofErr w:type="spellEnd"/>
      <w:r w:rsidRPr="00402BA2">
        <w:t xml:space="preserve">, A., </w:t>
      </w:r>
      <w:proofErr w:type="spellStart"/>
      <w:r w:rsidRPr="00402BA2">
        <w:t>Chakim</w:t>
      </w:r>
      <w:proofErr w:type="spellEnd"/>
      <w:r w:rsidRPr="00402BA2">
        <w:t xml:space="preserve">, A., &amp; </w:t>
      </w:r>
      <w:proofErr w:type="spellStart"/>
      <w:r w:rsidRPr="00402BA2">
        <w:t>Supriyatno</w:t>
      </w:r>
      <w:proofErr w:type="spellEnd"/>
      <w:r w:rsidRPr="00402BA2">
        <w:t xml:space="preserve">, T. (2022). Strategy to internalizing religious moral values in the learning process in higher education. </w:t>
      </w:r>
      <w:r w:rsidRPr="00402BA2">
        <w:rPr>
          <w:i/>
          <w:iCs/>
        </w:rPr>
        <w:t>Al-</w:t>
      </w:r>
      <w:proofErr w:type="spellStart"/>
      <w:r w:rsidRPr="00402BA2">
        <w:rPr>
          <w:i/>
          <w:iCs/>
        </w:rPr>
        <w:t>Ishlah</w:t>
      </w:r>
      <w:proofErr w:type="spellEnd"/>
      <w:r w:rsidRPr="00402BA2">
        <w:rPr>
          <w:i/>
          <w:iCs/>
        </w:rPr>
        <w:t xml:space="preserve">: </w:t>
      </w:r>
      <w:proofErr w:type="spellStart"/>
      <w:r w:rsidRPr="00402BA2">
        <w:rPr>
          <w:i/>
          <w:iCs/>
        </w:rPr>
        <w:t>Jurnal</w:t>
      </w:r>
      <w:proofErr w:type="spellEnd"/>
      <w:r w:rsidRPr="00402BA2">
        <w:rPr>
          <w:i/>
          <w:iCs/>
        </w:rPr>
        <w:t xml:space="preserve"> Pendidikan, 14</w:t>
      </w:r>
      <w:r w:rsidRPr="00402BA2">
        <w:t>(1), 399–408.</w:t>
      </w:r>
    </w:p>
    <w:p w:rsidR="007C7073" w:rsidRDefault="007C7073" w:rsidP="00B04BFF">
      <w:r w:rsidRPr="007C7073">
        <w:lastRenderedPageBreak/>
        <w:t>Mahmud, A. (2024). Addressing inequalities in accessing mental health services for Muslim university students in the United Kingdom: implications for attainment and wellbeing. </w:t>
      </w:r>
      <w:r w:rsidRPr="007C7073">
        <w:rPr>
          <w:i/>
          <w:iCs/>
        </w:rPr>
        <w:t>Journal of Beliefs &amp; Values</w:t>
      </w:r>
      <w:r w:rsidRPr="007C7073">
        <w:t xml:space="preserve">, 1–16. </w:t>
      </w:r>
    </w:p>
    <w:p w:rsidR="007C7073" w:rsidRDefault="007C7073" w:rsidP="00B04BFF">
      <w:r w:rsidRPr="007C7073">
        <w:t xml:space="preserve">Kohlberg, L. (1981). </w:t>
      </w:r>
      <w:r w:rsidRPr="007C7073">
        <w:rPr>
          <w:i/>
          <w:iCs/>
        </w:rPr>
        <w:t>The Philosophy of Moral Development: Moral Stages and the Idea of Justice</w:t>
      </w:r>
      <w:r w:rsidRPr="007C7073">
        <w:t xml:space="preserve">. </w:t>
      </w:r>
      <w:r>
        <w:t xml:space="preserve">New York: </w:t>
      </w:r>
      <w:r w:rsidRPr="007C7073">
        <w:t>Harper &amp; Row</w:t>
      </w:r>
    </w:p>
    <w:sectPr w:rsidR="007C7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FF"/>
    <w:rsid w:val="00056311"/>
    <w:rsid w:val="000F2ABA"/>
    <w:rsid w:val="001A305B"/>
    <w:rsid w:val="001F1169"/>
    <w:rsid w:val="002334FF"/>
    <w:rsid w:val="00290A98"/>
    <w:rsid w:val="002974F1"/>
    <w:rsid w:val="002D009E"/>
    <w:rsid w:val="002F2209"/>
    <w:rsid w:val="0034566B"/>
    <w:rsid w:val="00402BA2"/>
    <w:rsid w:val="0052589E"/>
    <w:rsid w:val="005659EE"/>
    <w:rsid w:val="0079459E"/>
    <w:rsid w:val="007C7073"/>
    <w:rsid w:val="008104AB"/>
    <w:rsid w:val="00857383"/>
    <w:rsid w:val="00913131"/>
    <w:rsid w:val="009B490C"/>
    <w:rsid w:val="00A47BBC"/>
    <w:rsid w:val="00A91F5F"/>
    <w:rsid w:val="00AC328A"/>
    <w:rsid w:val="00AF49BB"/>
    <w:rsid w:val="00B04BFF"/>
    <w:rsid w:val="00B15D8E"/>
    <w:rsid w:val="00B865AD"/>
    <w:rsid w:val="00BD0D85"/>
    <w:rsid w:val="00C01D8B"/>
    <w:rsid w:val="00C05F80"/>
    <w:rsid w:val="00CF06E2"/>
    <w:rsid w:val="00D656C8"/>
    <w:rsid w:val="00D76793"/>
    <w:rsid w:val="00D84442"/>
    <w:rsid w:val="00DF0CD3"/>
    <w:rsid w:val="00E30FD6"/>
    <w:rsid w:val="00E57BDD"/>
    <w:rsid w:val="00ED72D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5C99"/>
  <w15:chartTrackingRefBased/>
  <w15:docId w15:val="{94B8BFA5-CDFA-4CB6-8E56-70690F67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B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4B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4BF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4BF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04BF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04B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4BF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4BF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4BF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B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4B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4BF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4BF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04BF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04B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4B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4B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4B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4B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B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B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4BFF"/>
    <w:pPr>
      <w:spacing w:before="160"/>
      <w:jc w:val="center"/>
    </w:pPr>
    <w:rPr>
      <w:i/>
      <w:iCs/>
      <w:color w:val="404040" w:themeColor="text1" w:themeTint="BF"/>
    </w:rPr>
  </w:style>
  <w:style w:type="character" w:customStyle="1" w:styleId="QuoteChar">
    <w:name w:val="Quote Char"/>
    <w:basedOn w:val="DefaultParagraphFont"/>
    <w:link w:val="Quote"/>
    <w:uiPriority w:val="29"/>
    <w:rsid w:val="00B04BFF"/>
    <w:rPr>
      <w:i/>
      <w:iCs/>
      <w:color w:val="404040" w:themeColor="text1" w:themeTint="BF"/>
    </w:rPr>
  </w:style>
  <w:style w:type="paragraph" w:styleId="ListParagraph">
    <w:name w:val="List Paragraph"/>
    <w:basedOn w:val="Normal"/>
    <w:uiPriority w:val="34"/>
    <w:qFormat/>
    <w:rsid w:val="00B04BFF"/>
    <w:pPr>
      <w:ind w:left="720"/>
      <w:contextualSpacing/>
    </w:pPr>
  </w:style>
  <w:style w:type="character" w:styleId="IntenseEmphasis">
    <w:name w:val="Intense Emphasis"/>
    <w:basedOn w:val="DefaultParagraphFont"/>
    <w:uiPriority w:val="21"/>
    <w:qFormat/>
    <w:rsid w:val="00B04BFF"/>
    <w:rPr>
      <w:i/>
      <w:iCs/>
      <w:color w:val="2F5496" w:themeColor="accent1" w:themeShade="BF"/>
    </w:rPr>
  </w:style>
  <w:style w:type="paragraph" w:styleId="IntenseQuote">
    <w:name w:val="Intense Quote"/>
    <w:basedOn w:val="Normal"/>
    <w:next w:val="Normal"/>
    <w:link w:val="IntenseQuoteChar"/>
    <w:uiPriority w:val="30"/>
    <w:qFormat/>
    <w:rsid w:val="00B04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4BFF"/>
    <w:rPr>
      <w:i/>
      <w:iCs/>
      <w:color w:val="2F5496" w:themeColor="accent1" w:themeShade="BF"/>
    </w:rPr>
  </w:style>
  <w:style w:type="character" w:styleId="IntenseReference">
    <w:name w:val="Intense Reference"/>
    <w:basedOn w:val="DefaultParagraphFont"/>
    <w:uiPriority w:val="32"/>
    <w:qFormat/>
    <w:rsid w:val="00B04BFF"/>
    <w:rPr>
      <w:b/>
      <w:bCs/>
      <w:smallCaps/>
      <w:color w:val="2F5496" w:themeColor="accent1" w:themeShade="BF"/>
      <w:spacing w:val="5"/>
    </w:rPr>
  </w:style>
  <w:style w:type="paragraph" w:styleId="NormalWeb">
    <w:name w:val="Normal (Web)"/>
    <w:basedOn w:val="Normal"/>
    <w:uiPriority w:val="99"/>
    <w:semiHidden/>
    <w:unhideWhenUsed/>
    <w:rsid w:val="00BD0D85"/>
  </w:style>
  <w:style w:type="table" w:styleId="TableGrid">
    <w:name w:val="Table Grid"/>
    <w:basedOn w:val="TableNormal"/>
    <w:uiPriority w:val="39"/>
    <w:rsid w:val="002F2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BA2"/>
    <w:rPr>
      <w:color w:val="0563C1" w:themeColor="hyperlink"/>
      <w:u w:val="single"/>
    </w:rPr>
  </w:style>
  <w:style w:type="character" w:styleId="UnresolvedMention">
    <w:name w:val="Unresolved Mention"/>
    <w:basedOn w:val="DefaultParagraphFont"/>
    <w:uiPriority w:val="99"/>
    <w:semiHidden/>
    <w:unhideWhenUsed/>
    <w:rsid w:val="0040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786">
      <w:bodyDiv w:val="1"/>
      <w:marLeft w:val="0"/>
      <w:marRight w:val="0"/>
      <w:marTop w:val="0"/>
      <w:marBottom w:val="0"/>
      <w:divBdr>
        <w:top w:val="none" w:sz="0" w:space="0" w:color="auto"/>
        <w:left w:val="none" w:sz="0" w:space="0" w:color="auto"/>
        <w:bottom w:val="none" w:sz="0" w:space="0" w:color="auto"/>
        <w:right w:val="none" w:sz="0" w:space="0" w:color="auto"/>
      </w:divBdr>
    </w:div>
    <w:div w:id="30960066">
      <w:bodyDiv w:val="1"/>
      <w:marLeft w:val="0"/>
      <w:marRight w:val="0"/>
      <w:marTop w:val="0"/>
      <w:marBottom w:val="0"/>
      <w:divBdr>
        <w:top w:val="none" w:sz="0" w:space="0" w:color="auto"/>
        <w:left w:val="none" w:sz="0" w:space="0" w:color="auto"/>
        <w:bottom w:val="none" w:sz="0" w:space="0" w:color="auto"/>
        <w:right w:val="none" w:sz="0" w:space="0" w:color="auto"/>
      </w:divBdr>
    </w:div>
    <w:div w:id="127939854">
      <w:bodyDiv w:val="1"/>
      <w:marLeft w:val="0"/>
      <w:marRight w:val="0"/>
      <w:marTop w:val="0"/>
      <w:marBottom w:val="0"/>
      <w:divBdr>
        <w:top w:val="none" w:sz="0" w:space="0" w:color="auto"/>
        <w:left w:val="none" w:sz="0" w:space="0" w:color="auto"/>
        <w:bottom w:val="none" w:sz="0" w:space="0" w:color="auto"/>
        <w:right w:val="none" w:sz="0" w:space="0" w:color="auto"/>
      </w:divBdr>
    </w:div>
    <w:div w:id="151530476">
      <w:bodyDiv w:val="1"/>
      <w:marLeft w:val="0"/>
      <w:marRight w:val="0"/>
      <w:marTop w:val="0"/>
      <w:marBottom w:val="0"/>
      <w:divBdr>
        <w:top w:val="none" w:sz="0" w:space="0" w:color="auto"/>
        <w:left w:val="none" w:sz="0" w:space="0" w:color="auto"/>
        <w:bottom w:val="none" w:sz="0" w:space="0" w:color="auto"/>
        <w:right w:val="none" w:sz="0" w:space="0" w:color="auto"/>
      </w:divBdr>
    </w:div>
    <w:div w:id="204101757">
      <w:bodyDiv w:val="1"/>
      <w:marLeft w:val="0"/>
      <w:marRight w:val="0"/>
      <w:marTop w:val="0"/>
      <w:marBottom w:val="0"/>
      <w:divBdr>
        <w:top w:val="none" w:sz="0" w:space="0" w:color="auto"/>
        <w:left w:val="none" w:sz="0" w:space="0" w:color="auto"/>
        <w:bottom w:val="none" w:sz="0" w:space="0" w:color="auto"/>
        <w:right w:val="none" w:sz="0" w:space="0" w:color="auto"/>
      </w:divBdr>
    </w:div>
    <w:div w:id="723718709">
      <w:bodyDiv w:val="1"/>
      <w:marLeft w:val="0"/>
      <w:marRight w:val="0"/>
      <w:marTop w:val="0"/>
      <w:marBottom w:val="0"/>
      <w:divBdr>
        <w:top w:val="none" w:sz="0" w:space="0" w:color="auto"/>
        <w:left w:val="none" w:sz="0" w:space="0" w:color="auto"/>
        <w:bottom w:val="none" w:sz="0" w:space="0" w:color="auto"/>
        <w:right w:val="none" w:sz="0" w:space="0" w:color="auto"/>
      </w:divBdr>
    </w:div>
    <w:div w:id="746002967">
      <w:bodyDiv w:val="1"/>
      <w:marLeft w:val="0"/>
      <w:marRight w:val="0"/>
      <w:marTop w:val="0"/>
      <w:marBottom w:val="0"/>
      <w:divBdr>
        <w:top w:val="none" w:sz="0" w:space="0" w:color="auto"/>
        <w:left w:val="none" w:sz="0" w:space="0" w:color="auto"/>
        <w:bottom w:val="none" w:sz="0" w:space="0" w:color="auto"/>
        <w:right w:val="none" w:sz="0" w:space="0" w:color="auto"/>
      </w:divBdr>
    </w:div>
    <w:div w:id="800541508">
      <w:bodyDiv w:val="1"/>
      <w:marLeft w:val="0"/>
      <w:marRight w:val="0"/>
      <w:marTop w:val="0"/>
      <w:marBottom w:val="0"/>
      <w:divBdr>
        <w:top w:val="none" w:sz="0" w:space="0" w:color="auto"/>
        <w:left w:val="none" w:sz="0" w:space="0" w:color="auto"/>
        <w:bottom w:val="none" w:sz="0" w:space="0" w:color="auto"/>
        <w:right w:val="none" w:sz="0" w:space="0" w:color="auto"/>
      </w:divBdr>
    </w:div>
    <w:div w:id="814877739">
      <w:bodyDiv w:val="1"/>
      <w:marLeft w:val="0"/>
      <w:marRight w:val="0"/>
      <w:marTop w:val="0"/>
      <w:marBottom w:val="0"/>
      <w:divBdr>
        <w:top w:val="none" w:sz="0" w:space="0" w:color="auto"/>
        <w:left w:val="none" w:sz="0" w:space="0" w:color="auto"/>
        <w:bottom w:val="none" w:sz="0" w:space="0" w:color="auto"/>
        <w:right w:val="none" w:sz="0" w:space="0" w:color="auto"/>
      </w:divBdr>
    </w:div>
    <w:div w:id="907347162">
      <w:bodyDiv w:val="1"/>
      <w:marLeft w:val="0"/>
      <w:marRight w:val="0"/>
      <w:marTop w:val="0"/>
      <w:marBottom w:val="0"/>
      <w:divBdr>
        <w:top w:val="none" w:sz="0" w:space="0" w:color="auto"/>
        <w:left w:val="none" w:sz="0" w:space="0" w:color="auto"/>
        <w:bottom w:val="none" w:sz="0" w:space="0" w:color="auto"/>
        <w:right w:val="none" w:sz="0" w:space="0" w:color="auto"/>
      </w:divBdr>
    </w:div>
    <w:div w:id="996609841">
      <w:bodyDiv w:val="1"/>
      <w:marLeft w:val="0"/>
      <w:marRight w:val="0"/>
      <w:marTop w:val="0"/>
      <w:marBottom w:val="0"/>
      <w:divBdr>
        <w:top w:val="none" w:sz="0" w:space="0" w:color="auto"/>
        <w:left w:val="none" w:sz="0" w:space="0" w:color="auto"/>
        <w:bottom w:val="none" w:sz="0" w:space="0" w:color="auto"/>
        <w:right w:val="none" w:sz="0" w:space="0" w:color="auto"/>
      </w:divBdr>
    </w:div>
    <w:div w:id="1108309290">
      <w:bodyDiv w:val="1"/>
      <w:marLeft w:val="0"/>
      <w:marRight w:val="0"/>
      <w:marTop w:val="0"/>
      <w:marBottom w:val="0"/>
      <w:divBdr>
        <w:top w:val="none" w:sz="0" w:space="0" w:color="auto"/>
        <w:left w:val="none" w:sz="0" w:space="0" w:color="auto"/>
        <w:bottom w:val="none" w:sz="0" w:space="0" w:color="auto"/>
        <w:right w:val="none" w:sz="0" w:space="0" w:color="auto"/>
      </w:divBdr>
    </w:div>
    <w:div w:id="1190148897">
      <w:bodyDiv w:val="1"/>
      <w:marLeft w:val="0"/>
      <w:marRight w:val="0"/>
      <w:marTop w:val="0"/>
      <w:marBottom w:val="0"/>
      <w:divBdr>
        <w:top w:val="none" w:sz="0" w:space="0" w:color="auto"/>
        <w:left w:val="none" w:sz="0" w:space="0" w:color="auto"/>
        <w:bottom w:val="none" w:sz="0" w:space="0" w:color="auto"/>
        <w:right w:val="none" w:sz="0" w:space="0" w:color="auto"/>
      </w:divBdr>
    </w:div>
    <w:div w:id="1417900138">
      <w:bodyDiv w:val="1"/>
      <w:marLeft w:val="0"/>
      <w:marRight w:val="0"/>
      <w:marTop w:val="0"/>
      <w:marBottom w:val="0"/>
      <w:divBdr>
        <w:top w:val="none" w:sz="0" w:space="0" w:color="auto"/>
        <w:left w:val="none" w:sz="0" w:space="0" w:color="auto"/>
        <w:bottom w:val="none" w:sz="0" w:space="0" w:color="auto"/>
        <w:right w:val="none" w:sz="0" w:space="0" w:color="auto"/>
      </w:divBdr>
    </w:div>
    <w:div w:id="1462186853">
      <w:bodyDiv w:val="1"/>
      <w:marLeft w:val="0"/>
      <w:marRight w:val="0"/>
      <w:marTop w:val="0"/>
      <w:marBottom w:val="0"/>
      <w:divBdr>
        <w:top w:val="none" w:sz="0" w:space="0" w:color="auto"/>
        <w:left w:val="none" w:sz="0" w:space="0" w:color="auto"/>
        <w:bottom w:val="none" w:sz="0" w:space="0" w:color="auto"/>
        <w:right w:val="none" w:sz="0" w:space="0" w:color="auto"/>
      </w:divBdr>
    </w:div>
    <w:div w:id="1487428292">
      <w:bodyDiv w:val="1"/>
      <w:marLeft w:val="0"/>
      <w:marRight w:val="0"/>
      <w:marTop w:val="0"/>
      <w:marBottom w:val="0"/>
      <w:divBdr>
        <w:top w:val="none" w:sz="0" w:space="0" w:color="auto"/>
        <w:left w:val="none" w:sz="0" w:space="0" w:color="auto"/>
        <w:bottom w:val="none" w:sz="0" w:space="0" w:color="auto"/>
        <w:right w:val="none" w:sz="0" w:space="0" w:color="auto"/>
      </w:divBdr>
    </w:div>
    <w:div w:id="1612516405">
      <w:bodyDiv w:val="1"/>
      <w:marLeft w:val="0"/>
      <w:marRight w:val="0"/>
      <w:marTop w:val="0"/>
      <w:marBottom w:val="0"/>
      <w:divBdr>
        <w:top w:val="none" w:sz="0" w:space="0" w:color="auto"/>
        <w:left w:val="none" w:sz="0" w:space="0" w:color="auto"/>
        <w:bottom w:val="none" w:sz="0" w:space="0" w:color="auto"/>
        <w:right w:val="none" w:sz="0" w:space="0" w:color="auto"/>
      </w:divBdr>
    </w:div>
    <w:div w:id="213420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4445</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UniSZA</dc:creator>
  <cp:keywords/>
  <dc:description/>
  <cp:lastModifiedBy>UniSZA</cp:lastModifiedBy>
  <cp:revision>4</cp:revision>
  <dcterms:created xsi:type="dcterms:W3CDTF">2025-07-31T14:17:00Z</dcterms:created>
  <dcterms:modified xsi:type="dcterms:W3CDTF">2025-07-31T14:38:00Z</dcterms:modified>
</cp:coreProperties>
</file>