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A5F2D" w14:textId="4DEADA6C" w:rsidR="00CC5C3E" w:rsidRDefault="00E47856">
      <w:pPr>
        <w:spacing w:before="60" w:after="60"/>
      </w:pPr>
      <w:r>
        <w:rPr>
          <w:rFonts w:hint="cs"/>
          <w:rtl/>
        </w:rPr>
        <w:t xml:space="preserve"> </w:t>
      </w:r>
    </w:p>
    <w:p w14:paraId="37A231D1" w14:textId="77777777" w:rsidR="00CC5C3E" w:rsidRDefault="00CC5C3E">
      <w:pPr>
        <w:spacing w:before="60" w:after="60"/>
      </w:pPr>
    </w:p>
    <w:p w14:paraId="645DEB20" w14:textId="77777777" w:rsidR="00CC5C3E" w:rsidRPr="00BC3A9F" w:rsidRDefault="00117A87" w:rsidP="00D12D84">
      <w:pPr>
        <w:bidi w:val="0"/>
        <w:spacing w:before="400" w:after="200"/>
        <w:jc w:val="center"/>
        <w:rPr>
          <w:color w:val="000000" w:themeColor="text1"/>
        </w:rPr>
      </w:pPr>
      <w:r w:rsidRPr="00BC3A9F">
        <w:rPr>
          <w:b/>
          <w:bCs/>
          <w:color w:val="000000" w:themeColor="text1"/>
          <w:sz w:val="32"/>
          <w:szCs w:val="32"/>
        </w:rPr>
        <w:t>Estimating Nonlinear GARCH Models for Financial Volatility in Emerging Markets:</w:t>
      </w:r>
    </w:p>
    <w:p w14:paraId="0212206B" w14:textId="77777777" w:rsidR="00CC5C3E" w:rsidRPr="00BC3A9F" w:rsidRDefault="00117A87" w:rsidP="00D12D84">
      <w:pPr>
        <w:bidi w:val="0"/>
        <w:spacing w:after="300"/>
        <w:jc w:val="center"/>
        <w:rPr>
          <w:color w:val="000000" w:themeColor="text1"/>
        </w:rPr>
      </w:pPr>
      <w:r w:rsidRPr="00BC3A9F">
        <w:rPr>
          <w:b/>
          <w:bCs/>
          <w:color w:val="000000" w:themeColor="text1"/>
          <w:sz w:val="32"/>
          <w:szCs w:val="32"/>
        </w:rPr>
        <w:t>Evidence from GCC Stock Exchanges</w:t>
      </w:r>
    </w:p>
    <w:p w14:paraId="0C724AAB" w14:textId="77777777" w:rsidR="00CC5C3E" w:rsidRDefault="00CC5C3E" w:rsidP="00D12D84">
      <w:pPr>
        <w:bidi w:val="0"/>
        <w:spacing w:before="60" w:after="60"/>
      </w:pPr>
    </w:p>
    <w:p w14:paraId="17A73288" w14:textId="77777777" w:rsidR="00CC5C3E" w:rsidRDefault="00117A87" w:rsidP="00D12D84">
      <w:pPr>
        <w:bidi w:val="0"/>
        <w:spacing w:before="80" w:after="80"/>
        <w:jc w:val="center"/>
      </w:pPr>
      <w:r>
        <w:rPr>
          <w:b/>
          <w:bCs/>
          <w:sz w:val="24"/>
          <w:szCs w:val="24"/>
        </w:rPr>
        <w:t>Abstract</w:t>
      </w:r>
    </w:p>
    <w:p w14:paraId="044A3C8E" w14:textId="77777777" w:rsidR="00CC5C3E" w:rsidRDefault="00CC5C3E" w:rsidP="00D12D84">
      <w:pPr>
        <w:bidi w:val="0"/>
        <w:spacing w:before="60" w:after="60"/>
      </w:pPr>
    </w:p>
    <w:p w14:paraId="2F01BDCF" w14:textId="77777777" w:rsidR="00CC5C3E" w:rsidRDefault="00117A87" w:rsidP="00D12D84">
      <w:pPr>
        <w:bidi w:val="0"/>
        <w:spacing w:before="60" w:after="60" w:line="360" w:lineRule="auto"/>
        <w:jc w:val="both"/>
      </w:pPr>
      <w:r>
        <w:rPr>
          <w:sz w:val="20"/>
          <w:szCs w:val="20"/>
        </w:rPr>
        <w:t>This paper investigates the volatility dynamics of stock markets in the Gulf Cooperation Council (GCC) region by estimating and comparing a suite of nonlinear Generalized Autoregressive Conditional Heteroskedasticity (GARCH) models. Using daily return data from six major GCC stock exchanges — Saudi Arabia (Tadawul), UAE (ADX and DFM), Kuwait, Qatar, Bahrain, and Oman — over the period January 2010 to December 2023, we estimate and compare the standard GARCH(1,1), EGARCH, GJR-GARCH, APARCH, and MS-GARCH specifications. Our empirical strategy employs maximum likelihood estimation (MLE) under three distributional assumptions: normal, Student-t, and Generalized Error Distribution (GED). The primary objectives are: (i) to identify the presence of leverage effects and asymmetric volatility responses in GCC markets; (ii) to determine which model specification best captures the stylized facts of financial returns — fat tails, volatility clustering, and asymmetry; and (iii) to evaluate out-of-sample forecast accuracy using the Model Confidence Set (MCS) procedure of Hansen, Lunde, and Nason (2011). Our results reveal strong evidence of asymmetric volatility and persistent leverage effects across all GCC markets. The GJR-GARCH and EGARCH models with Student-t innovations consistently outperform symmetric GARCH specifications. The Markov-Switching GARCH model identifies two distinct volatility regimes corresponding to periods of geopolitical stress and oil price shocks, confirming the structural breaks prevalent in GCC equity markets. These findings carry significant implications for portfolio risk management, derivative pricing, and the assessment of market efficiency in resource-rich emerging economies.</w:t>
      </w:r>
    </w:p>
    <w:p w14:paraId="70DB8274" w14:textId="77777777" w:rsidR="00CC5C3E" w:rsidRDefault="00CC5C3E" w:rsidP="00D12D84">
      <w:pPr>
        <w:bidi w:val="0"/>
        <w:spacing w:before="60" w:after="60"/>
      </w:pPr>
    </w:p>
    <w:p w14:paraId="302892F1" w14:textId="77777777" w:rsidR="00CC5C3E" w:rsidRDefault="00117A87" w:rsidP="00D12D84">
      <w:pPr>
        <w:bidi w:val="0"/>
        <w:spacing w:before="60" w:after="60" w:line="360" w:lineRule="auto"/>
        <w:jc w:val="both"/>
      </w:pPr>
      <w:r>
        <w:rPr>
          <w:i/>
          <w:iCs/>
        </w:rPr>
        <w:t>Keywords: GARCH; Asymmetric Volatility; Leverage Effect; Emerging Markets; GCC; Markov-Switching; Model Confidence Set; Volatility Forecasting</w:t>
      </w:r>
    </w:p>
    <w:p w14:paraId="1F99EDE9" w14:textId="77777777" w:rsidR="00CC5C3E" w:rsidRDefault="00CC5C3E" w:rsidP="00D12D84">
      <w:pPr>
        <w:bidi w:val="0"/>
        <w:spacing w:before="60" w:after="60"/>
      </w:pPr>
    </w:p>
    <w:p w14:paraId="6F48CC9F" w14:textId="77777777" w:rsidR="00CC5C3E" w:rsidRDefault="00117A87" w:rsidP="00D12D84">
      <w:pPr>
        <w:bidi w:val="0"/>
        <w:spacing w:before="60" w:after="60" w:line="360" w:lineRule="auto"/>
        <w:ind w:firstLine="720"/>
        <w:jc w:val="both"/>
      </w:pPr>
      <w:r>
        <w:t>JEL Classification: C22, C52, C58, G11, G15, Q43</w:t>
      </w:r>
    </w:p>
    <w:p w14:paraId="56DEECD1" w14:textId="77777777" w:rsidR="00CC5C3E" w:rsidRDefault="00CC5C3E">
      <w:pPr>
        <w:spacing w:before="60" w:after="60"/>
      </w:pPr>
    </w:p>
    <w:p w14:paraId="412FEDE9" w14:textId="77777777" w:rsidR="00CC5C3E" w:rsidRDefault="00117A87">
      <w:pPr>
        <w:rPr>
          <w:rtl/>
        </w:rPr>
      </w:pPr>
      <w:r>
        <w:br w:type="page"/>
      </w:r>
    </w:p>
    <w:p w14:paraId="66C6D145" w14:textId="77777777" w:rsidR="00CC5C3E" w:rsidRDefault="00117A87">
      <w:pPr>
        <w:pStyle w:val="1"/>
      </w:pPr>
      <w:r>
        <w:lastRenderedPageBreak/>
        <w:t>1. Introduction</w:t>
      </w:r>
    </w:p>
    <w:p w14:paraId="745724CC" w14:textId="104CAC0B" w:rsidR="00CC5C3E" w:rsidRDefault="00117A87" w:rsidP="00D12D84">
      <w:pPr>
        <w:bidi w:val="0"/>
        <w:spacing w:before="60" w:after="60" w:line="360" w:lineRule="auto"/>
        <w:ind w:firstLine="720"/>
        <w:jc w:val="both"/>
        <w:rPr>
          <w:rtl/>
        </w:rPr>
      </w:pPr>
      <w:r>
        <w:t>The modeling and forecasting of financial market volatility has remained one of the most fertile research areas in empirical finance and financial econometrics since the seminal contribution of Engle (1982), who introduced the Autoregressive Conditional Heteroskedasticity (ARCH) framework. The subsequent generalization by Bollerslev (1986) into the GARCH(p,q) model provided practitioners and academics with a powerful tool for capturing the time-varying nature of conditional variance — a phenomenon universally observed in high-frequency asset return data. The stylized facts of financial returns — volatility clustering, excess kurtosis, and asymmetric responses to positive and negative shocks — have inspired an extensive family of nonlinear extensions to the standard GARCH framework</w:t>
      </w:r>
      <w:sdt>
        <w:sdtPr>
          <w:rPr>
            <w:color w:val="000000"/>
          </w:rPr>
          <w:tag w:val="MENDELEY_CITATION_v3_eyJjaXRhdGlvbklEIjoiTUVOREVMRVlfQ0lUQVRJT05fMTNkMWE2MDctZGY1Ni00NWVmLTliNjgtMzM3M2JiYjczYzFjIiwicHJvcGVydGllcyI6eyJub3RlSW5kZXgiOjB9LCJpc0VkaXRlZCI6ZmFsc2UsIm1hbnVhbE92ZXJyaWRlIjp7ImlzTWFudWFsbHlPdmVycmlkZGVuIjpmYWxzZSwiY2l0ZXByb2NUZXh0IjoiKEJvbGxlcnNsZXYgJiMzODsgV29vbGRyaWRnZSwgbi5kLjsgQm91cmkgJiMzODsgR3VwdGEsIG4uZC4pIiwibWFudWFsT3ZlcnJpZGVUZXh0IjoiIn0sImNpdGF0aW9uSXRlbXMiOlt7ImlkIjoiOWJmNjgwNjUtY2QzMC0zZmYwLWJjMDMtZGIzZmUwYmM1YmNmIiwiaXRlbURhdGEiOnsidHlwZSI6InJlcG9ydCIsImlkIjoiOWJmNjgwNjUtY2QzMC0zZmYwLWJjMDMtZGIzZmUwYmM1YmNmIiwidGl0bGUiOiJQcmVkaWN0aW5nIEJpdGNvaW4gUmV0dXJuczogQ29tcGFyaW5nIHRoZSBSb2xlcyBvZiBOZXdzcGFwZXItYW5kIEludGVybmV0IFNlYXJjaC1CYXNlZCBNZWFzdXJlcyBvZiBVbmNlcnRhaW50eSAjIiwiYXV0aG9yIjpbeyJmYW1pbHkiOiJCb3VyaSIsImdpdmVuIjoiRWxpZSIsInBhcnNlLW5hbWVzIjpmYWxzZSwiZHJvcHBpbmctcGFydGljbGUiOiIiLCJub24tZHJvcHBpbmctcGFydGljbGUiOiIifSx7ImZhbWlseSI6Ikd1cHRhIiwiZ2l2ZW4iOiJSYW5nYW4iLCJwYXJzZS1uYW1lcyI6ZmFsc2UsImRyb3BwaW5nLXBhcnRpY2xlIjoiIiwibm9uLWRyb3BwaW5nLXBhcnRpY2xlIjoiIn1dLCJVUkwiOiJodHRwOi8vcG9saWN5dW5jZXJ0YWludHkuY29tL3VzX21vbnRobHkuaHRtbCIsImFic3RyYWN0IjoiSGlnaGxpZ2h0cyDigKJTdHVkeSB0aGUgcHJlZGljdGFiaWxpdHkgb2YgQml0Y29pbiByZXR1cm5zIHVzaW5nIG1lYXN1cmVzIG9mIGVjb25vbWljIHVuY2VydGFpbnR5LiDigKJOZXdzcGFwZXItYW5kIGludGVybmV0IHNlYXJjaC1iYXNlZCBtZWFzdXJlcyBvZiBlY29ub21pYyB1bmNlcnRhaW50eSBhcmUgdXNlZC4g4oCiQmFzZWQgb24gbW9udGhseSBkYXRhLCBCaXRjb2luIGlzIGEgaGVkZ2UgYWdhaW5zdCBib3RoIG1lYXN1cmVzLiDigKJQcmVkaWN0aXZlIGFiaWxpdHkgb2YgdGhlIGludGVybmV0LWJhc2VkIG1lYXN1cmUgaXMgc3RhdGlzdGljYWxseSBzdHJvbmdlci4g4oCiVGhpcyByZXN1bHQgaXMgY29uZmlybWVkIGJ5IHZhcmlvdXMgYWRkaXRpb25hbCBhbmFseXNlcy4gQWJzdHJhY3QgV2UgY29tcGFyZSB0aGUgYWJpbGl0eSBvZiBhIG5ld3NwYXBlci1iYXNlZCBtZWFzdXJlIGFuZCBhbiBpbnRlcm5ldCBzZWFyY2gtYmFzZWQgbWVhc3VyZSBvZiB1bmNlcnRhaW50eSBpbiBwcmVkaWN0aW5nIEJpdGNvaW4gcmV0dXJucy4gQmFzZWQgb24gbW9udGhseSBkYXRhLCB3ZSBzaG93IHRoYXQgQml0Y29pbiBpcyBhIGhlZGdlIGFnYWluc3QgYm90aCBtZWFzdXJlcy4gSG93ZXZlciwgdGhlIHByZWRpY3RpdmUgYWJpbGl0eSBvZiB0aGUgaW50ZXJuZXQtYmFzZWQgZWNvbm9taWMgdW5jZXJ0YWludHkgcmVsYXRlZCBxdWVyaWVzIGluZGV4IGlzIHN0YXRpc3RpY2FsbHkgc3Ryb25nZXIgdGhhbiB0aGUgbWVhc3VyZSBvZiB1bmNlcnRhaW50eSBkZXJpdmVkIGZyb20gbmV3c3BhcGVycyBpbiBwcmVkaWN0aW5nIEJpdGNvaW4gcmV0dXJucywgd2hpY2ggaXMgcG9zc2libHkgZHVlIHRvIHRoZSBmYWN0IHRoYXQgdGhlIGZvcm1lciBtZWFzdXJlIG9mIHVuY2VydGFpbnR5IGlzIGRpcmVjdGx5IG9idGFpbmVkIGJ5IHRoZSBpbmRpdmlkdWFsIGludmVzdG9ycywgYmFzZWQgb24gdGhlaXIgc2VhcmNoIG9mIHRoZSBpbnRlcm5ldCBmb3IgdGVybXMgcmVsYXRlZCB0byB1bmNlcnRhaW50eS4gVGhpcyByZXN1bHQgaXMgY29uZmlybWVkIGJ5IHZhcmlvdXMgYWRkaXRpb25hbCBhbmFseXNlcy4uIiwiY29udGFpbmVyLXRpdGxlLXNob3J0IjoiIn0sImlzVGVtcG9yYXJ5IjpmYWxzZX0seyJpZCI6IjBmNWIzNDBkLWU3OGEtMzM2My1hNDczLTg4MzAwOWFiOTFlMCIsIml0ZW1EYXRhIjp7InR5cGUiOiJyZXBvcnQiLCJpZCI6IjBmNWIzNDBkLWU3OGEtMzM2My1hNDczLTg4MzAwOWFiOTFlMCIsInRpdGxlIjoiUVVBU0ktTUFYSU1VTSBMSUtFTElIT09EIEVTVElNQVRJT04gQU5EIElORkVSRU5DRSBJTiBEWU5BTUlDIE1PREVMUyBXSVRIIFRJTUUtVkFSWUlORyBDT1ZBUklBTkNFUyIsImF1dGhvciI6W3siZmFtaWx5IjoiQm9sbGVyc2xldiIsImdpdmVuIjoiVGltIiwicGFyc2UtbmFtZXMiOmZhbHNlLCJkcm9wcGluZy1wYXJ0aWNsZSI6IiIsIm5vbi1kcm9wcGluZy1wYXJ0aWNsZSI6IiJ9LHsiZmFtaWx5IjoiV29vbGRyaWRnZSIsImdpdmVuIjoiSmVmZnJleSBNIiwicGFyc2UtbmFtZXMiOmZhbHNlLCJkcm9wcGluZy1wYXJ0aWNsZSI6IiIsIm5vbi1kcm9wcGluZy1wYXJ0aWNsZSI6IiJ9XSwiYWJzdHJhY3QiOiJXZSBzdHVkeSB0aGUgcHJvcGVydGllcyBvZiB0aGUgcXVhc2ktbWF4aW11bSBsaWtlbGlob29kIGVzdGltYXRvciAoUU1MRSkgYW5kIHJlbGF0ZWQgdGVzdCBzdGF0aXN0aWNzIGluIGR5bmFtaWMgbW9kZWxzIHRoYXQgam9pbnRseSBwYXJhbWV0ZXJpemUgY29uZGl0aW9uYWwgbWVhbnMgYW5kIGNvbmRpdGlvbmFsIGNvdmFyaWFuY2VzLCB3aGVuIGEgbm9ybWFsIGxvZy1saWtlbGlob29kIGlzIG1heGltaXplZCBidXQgdGhlIGFzc3VtcHRpb24gb2Ygbm9ybWFsaXR5IGlzIHZpb2xhdGVkLiBCZWNhdXNlIHRoZSBzY29yZSBvZiB0aGUgbm9ybWFsIGxvZy1saWtlbGlob29kIGhhcyB0aGUgbWFydGluZ2FsZSBkaWZmZXJlbmNlIHByb3BlcnR5IHdoZW4gdGhlIGZpcnN0IHR3byBjb25kaXRpb25hbCBtb21lbnRzIGFyZSBjb3JyZWN0bHkgc3BlY2lmaWVkLCB0aGUgUU1MRSBpcyBnZW5lcmFsbHkgY29uc2lzdGVudCBhbmQgaGFzIGEgbGltaXRpbmcgbm9ybWFsIGRpc3RyaWJ1dGlvbi4gV2UgcHJvdmlkZSBlYXNpbHkgY29tcHV0YWJsZSBmb3JtdWxhcyBmb3IgYXN5bXB0b3RpYyBzdGFuZGFyZCBlcnJvcnMgdGhhdCBhcmUgdmFsaWQgdW5kZXIgbm9ubm9ybWFsaXR5LiBGdXJ0aGVyLCB3ZSBzaG93IGhvdyByb2J1c3QgTE0gdGVzdHMgZm9yIHRoZSBhZGVxdWFjeSBvZiB0aGUgam9pbnRseSBwYXJhbWV0ZXJpemVkIG1lYW4gYW5kIHZhcmlhbmNlIGNhbiBiZSBjb21wdXRlZCBmcm9tIHNpbXBsZSBhdXhpbGlhcnkgcmVncmVzc2lvbnMuIEFuIGFwcGVhbGluZyBmZWF0dXJlIG9mIHRoZXNlIHJvYnVzdCBpbmZlcmVuY2UgcHJvY2VkdXJlcyBpcyB0aGF0IG9ubHkgZmlyc3QgZGVyaXZhdGl2ZXMgb2YgdGhlIGNvbmRpdGlvbmFsIG1lYW4gYW5kIHZhcmlhbmNlIGZ1bmN0aW9ucyBhcmUgbmVlZGVkLiBBIE1vbnRlIENhcmxvIHN0dWR5IGluZGljYXRlcyB0aGF0IHRoZSBhc3ltcHRvdGljIHJlc3VsdHMgY2Fycnkgb3ZlciB0byBmaW5pdGUgc2FtcGxlcy4gRXN0aW1hdGlvbiBvZiBzZXZlcmFsIEFSIGFuZCBBUi1HQVJDSCB0aW1lIHNlcmllcyBtb2RlbHMgcmV2ZWFscyB0aGF0IGluIG1vc3Qgc2l0dWF0aW9ucyB0aGUgcm9idXN0IHRlc3Qgc3RhdGlzdGljcyBjb21wYXJlIGZhdm9yYWJseSB0byB0aGUgdHdvIHN0YW5kYXJkIChub25yb2J1c3QpIGZvcm11bGF0aW9ucyBvZiB0aGUgV2FsZCBhbmQgTE0gdGVzdHMuIEFsc28sIGZvciB0aGUgR0FSQ0ggbW9kZWxzIGFuZCB0aGUgc2FtcGxlIHNpemVzIGFuYWx5emVkIGhlcmUsIHRoZSBiaWFzIGluIHRoZSBRTUxFIGFwcGVhcnMgdG8gYmUgcmVsYXRpdmVseSBzbWFsbC4gQW4gZW1waXJpY2FsIGFwcGxpY2F0aW9uIHRvIHN0b2NrIHJldHVybiB2b2xhdGlsaXR5IGlsbHVzdHJhdGVzIHRoZSBwb3RlbnRpYWwgaW1wb3J0YW5jZSBvZiBjb21wdXRpbmcgcm9idXN0IHN0YXRpc3RpY3MgaW4gcHJhY3RpY2UuIiwiY29udGFpbmVyLXRpdGxlLXNob3J0IjoiIn0sImlzVGVtcG9yYXJ5IjpmYWxzZX1dfQ=="/>
          <w:id w:val="-1916461741"/>
          <w:placeholder>
            <w:docPart w:val="DefaultPlaceholder_-1854013440"/>
          </w:placeholder>
        </w:sdtPr>
        <w:sdtEndPr/>
        <w:sdtContent>
          <w:r w:rsidR="00E47856" w:rsidRPr="00E47856">
            <w:rPr>
              <w:color w:val="000000"/>
            </w:rPr>
            <w:t>(Bollerslev &amp; Wooldridge, n.d.; Bouri &amp; Gupta, n.d.)</w:t>
          </w:r>
        </w:sdtContent>
      </w:sdt>
      <w:r>
        <w:t>.</w:t>
      </w:r>
    </w:p>
    <w:p w14:paraId="4E2B930E" w14:textId="64481F09" w:rsidR="00CC5C3E" w:rsidRDefault="00E47856" w:rsidP="00E47856">
      <w:pPr>
        <w:bidi w:val="0"/>
        <w:spacing w:before="60" w:after="60" w:line="360" w:lineRule="auto"/>
        <w:ind w:firstLine="720"/>
        <w:jc w:val="both"/>
        <w:rPr>
          <w:rtl/>
        </w:rPr>
      </w:pPr>
      <w:r w:rsidRPr="00E47856">
        <w:t>Despite the extensive research on developed markets, the empirical features of volatility in Gulf Cooperation Council (GCC) equities markets are relatively unexplored. The GCC area, which includes Saudi Arabia, the United Arab Emirates, Kuwait, Qatar, Bahrain, and Oman, is a unique economic cluster distinguished by significant oil riches, sovereign wealth fund activities, and a high level of sensitivity to geopolitical shocks. The six GCC stock exchanges have undergone significant structural transformations over the last two decades, including the gradual inclusion of Saudi Arabia's Tadawul in the MSCI Emerging Markets Index in 2019, as well as the proliferation of exchange-traded funds and derivatives instruments throughout the region. These advancements have increased the necessity of correct volatility prediction in risk management, regulatory supervision, and asset pricing</w:t>
      </w:r>
      <w:r>
        <w:t xml:space="preserve"> </w:t>
      </w:r>
      <w:sdt>
        <w:sdtPr>
          <w:rPr>
            <w:color w:val="000000"/>
          </w:rPr>
          <w:tag w:val="MENDELEY_CITATION_v3_eyJjaXRhdGlvbklEIjoiTUVOREVMRVlfQ0lUQVRJT05fOGI1ZThjOTctNWRlOC00ZDdkLTllNDItOGIwZjhkZjI0MzVlIiwicHJvcGVydGllcyI6eyJub3RlSW5kZXgiOjB9LCJpc0VkaXRlZCI6ZmFsc2UsIm1hbnVhbE92ZXJyaWRlIjp7ImlzTWFudWFsbHlPdmVycmlkZGVuIjpmYWxzZSwiY2l0ZXByb2NUZXh0IjoiKEJvbGxlcnNsZXYsIDE5ODYpIiwibWFudWFsT3ZlcnJpZGVUZXh0IjoiIn0sImNpdGF0aW9uSXRlbXMiOlt7ImlkIjoiZGM1MTliMDYtOTZiMS0zYTRhLTk0ODktMWUxYmVjNmMxNDc2IiwiaXRlbURhdGEiOnsidHlwZSI6InJlcG9ydCIsImlkIjoiZGM1MTliMDYtOTZiMS0zYTRhLTk0ODktMWUxYmVjNmMxNDc2IiwidGl0bGUiOiJHRU5FUkFMSVpFRCBBVVRPUkVHUkVTU0lWRSBDT05ESVRJT05BTCBIRVRFUk9TS0VEQVNUSUNJVFkiLCJhdXRob3IiOlt7ImZhbWlseSI6IkJvbGxlcnNsZXYiLCJnaXZlbiI6IlRpbSIsInBhcnNlLW5hbWVzIjpmYWxzZSwiZHJvcHBpbmctcGFydGljbGUiOiIiLCJub24tZHJvcHBpbmctcGFydGljbGUiOiIifV0sImNvbnRhaW5lci10aXRsZSI6IkpvdXJuYWwgb2YgRWNvbm9tZXRyaWNzIiwiY29udGFpbmVyLXRpdGxlLXNob3J0IjoiSi4gRWNvbm9tLiIsImlzc3VlZCI6eyJkYXRlLXBhcnRzIjpbWzE5ODZdXX0sIm51bWJlci1vZi1wYWdlcyI6IjMwNy0zMjciLCJhYnN0cmFjdCI6IkEgbmF0dXJhbCBnZW5lcmFsaXphdGlvbiBvZiB0aGUgQVJDSCAoQXV0b3JlZ3Jlc3NpdmUgQ29uZGl0aW9uYWwgSGV0ZXJvc2tlZGFzdGljKSBwcm9jZXNzIGludHJvZHVjZWQgaW4gRW5nbGUgKDE5ODIpIHRvIGFsbG93IGZvciBwYXN0IGNvbmRpdGlvbmFsIHZhcmlhbmNlcyBpbiB0aGUgY3VycmVudCBjb25kaXRpb25hbCB2YXJpYW5jZSBlcXVhdGlvbiBpcyBwcm9wb3NlZC4gU3RhdGlvbmFyaXR5IGNvbmRpdGlvbnMgYW5kIGF1dG9jb3JyZWxhdGlvbiBzdHJ1Y3R1cmUgZm9yIHRoaXMgbmV3IGNsYXNzIG9mIHBhcmFtZXRyaWMgbW9kZWxzIGFyZSBkZXJpdmVkLiBNYXhpbXVtIGxpa2VsaWhvb2QgZXN0aW1hdGlvbiBhbmQgdGVzdGluZyBhcmUgYWxzbyBjb25zaWRlcmVkLiBGaW5hbGx5IGFuIGVtcGlyaWNhbCBleGFtcGxlIHJlbGF0aW5nIHRvIHRoZSB1bmNlcnRhaW50eSBvZiB0aGUgaW5mbGF0aW9uIHJhdGUgaXMgcHJlc2VudGVkLiIsInZvbHVtZSI6IjMxIn0sImlzVGVtcG9yYXJ5IjpmYWxzZX1dfQ=="/>
          <w:id w:val="509499317"/>
          <w:placeholder>
            <w:docPart w:val="DefaultPlaceholder_-1854013440"/>
          </w:placeholder>
        </w:sdtPr>
        <w:sdtEndPr/>
        <w:sdtContent>
          <w:r w:rsidRPr="00E47856">
            <w:rPr>
              <w:color w:val="000000"/>
            </w:rPr>
            <w:t>(Bollerslev, 1986)</w:t>
          </w:r>
        </w:sdtContent>
      </w:sdt>
      <w:r w:rsidR="00117A87">
        <w:t>.</w:t>
      </w:r>
    </w:p>
    <w:p w14:paraId="78B55E1E" w14:textId="70A55626" w:rsidR="00CC5C3E" w:rsidRDefault="00117A87" w:rsidP="00D12D84">
      <w:pPr>
        <w:bidi w:val="0"/>
        <w:spacing w:before="60" w:after="60" w:line="360" w:lineRule="auto"/>
        <w:ind w:firstLine="720"/>
        <w:jc w:val="both"/>
      </w:pPr>
      <w:r>
        <w:t>The asymmetric response of volatility to positive versus negative market shocks — commonly referred to as the leverage effect, documented by Black (1976) and formalized by Christie (1982) — has been well-established in developed markets. Whether this phenomenon persists in GCC markets, which are structurally distinct due to their oil dependency and geopolitical exposure, is an empirical question that this paper addresses directly</w:t>
      </w:r>
      <w:sdt>
        <w:sdtPr>
          <w:rPr>
            <w:color w:val="000000"/>
          </w:rPr>
          <w:tag w:val="MENDELEY_CITATION_v3_eyJjaXRhdGlvbklEIjoiTUVOREVMRVlfQ0lUQVRJT05fNWZlODVmMzYtNGY5Yy00NGJjLWIzOTAtMWZmYjllMDhjOTAyIiwicHJvcGVydGllcyI6eyJub3RlSW5kZXgiOjB9LCJpc0VkaXRlZCI6ZmFsc2UsIm1hbnVhbE92ZXJyaWRlIjp7ImlzTWFudWFsbHlPdmVycmlkZGVuIjpmYWxzZSwiY2l0ZXByb2NUZXh0IjoiKEFsLUhhamllaCBldCBhbC4sIG4uZC47IEVwYXBocmEsIDIwMTc7IFpoYW5nIGV0IGFsLiwgMjAxOCkiLCJtYW51YWxPdmVycmlkZVRleHQiOiIifSwiY2l0YXRpb25JdGVtcyI6W3siaWQiOiI3N2YyMzhiMS0yMzgxLTMxZWEtYWI4ZC0zM2IwYTQ0YTM4N2IiLCJpdGVtRGF0YSI6eyJ0eXBlIjoiYXJ0aWNsZS1qb3VybmFsIiwiaWQiOiI3N2YyMzhiMS0yMzgxLTMxZWEtYWI4ZC0zM2IwYTQ0YTM4N2IiLCJ0aXRsZSI6IkV2YWx1YXRpbmcgVm9sYXRpbGl0eSBGb3JlY2FzdHMgd2l0aCBVbHRyYS1IaWdoLUZyZXF1ZW5jeSBEYXRh4oCURXZpZGVuY2UgZnJvbSB0aGUgQXVzdHJhbGlhbiBFcXVpdHkgTWFya2V0IiwiYXV0aG9yIjpbeyJmYW1pbHkiOiJaaGFuZyIsImdpdmVuIjoiS2FpIiwicGFyc2UtbmFtZXMiOmZhbHNlLCJkcm9wcGluZy1wYXJ0aWNsZSI6IiIsIm5vbi1kcm9wcGluZy1wYXJ0aWNsZSI6IiJ9LHsiZmFtaWx5IjoiTWVsbG8iLCJnaXZlbiI6Ikx1cmlvbiIsInBhcnNlLW5hbWVzIjpmYWxzZSwiZHJvcHBpbmctcGFydGljbGUiOiIiLCJub24tZHJvcHBpbmctcGFydGljbGUiOiJEZSJ9LHsiZmFtaWx5IjoiU2FkZWdoaSIsImdpdmVuIjoiTWVoZGkiLCJwYXJzZS1uYW1lcyI6ZmFsc2UsImRyb3BwaW5nLXBhcnRpY2xlIjoiIiwibm9uLWRyb3BwaW5nLXBhcnRpY2xlIjoiIn1dLCJjb250YWluZXItdGl0bGUiOiJUaGVvcmV0aWNhbCBFY29ub21pY3MgTGV0dGVycyIsIkRPSSI6IjEwLjQyMzYvdGVsLjIwMTguODEwMDEiLCJJU1NOIjoiMjE2Mi0yMDc4IiwiaXNzdWVkIjp7ImRhdGUtcGFydHMiOltbMjAxOF1dfSwicGFnZSI6IjEtMjciLCJhYnN0cmFjdCI6IkR1ZSB0byB0aGUgdW5vYnNlcnZlZCBuYXR1cmUgb2YgdGhlIHRydWUgcmV0dXJuIHZhcmlhdGlvbiBwcm9jZXNzLCBvbmUgb2YgdGhlIG1vc3QgY2hhbGxlbmdpbmcgcHJvYmxlbXMgaW4gZXZhbHVhdGlvbiBvZiB2b2xhdGlsaXR5IGZvcmVjYXN0cyBpcyB0byBmaW5kIGFuIGFjY3VyYXRlIGJlbmNobWFyayBwcm94eSBmb3IgZXgtcG9zdCB2b2xhdGlsaXR5LiBUaGlzIHBhcGVyIHVzZXMgdGhlIEF1c3RyYWxpYW4gZXF1aXR5IG1hcmtldCB1bHRyYS1oaWdoLWZyZXF1ZW5jeSBkYXRhIHRvIGNvbnN0cnVjdCBhbiB1bmJpYXNlZCBleC1wb3N0IHZvbGF0aWxpdHkgZXN0aW1hdG9yIGFuZCB0aGVuIHVzZSBpdCBhcyBhIGJlbmNobWFyayB0byBldmFsdWF0ZSB2YXJpb3VzIHByYWN0aWNhbCB2b2xhdGlsaXR5IGZvcmVjYXN0aW5nIHN0cmF0ZWdpZXMgKEdBUkNIIGNsYXNzIG1vZGVsIGJhc2VkKS4gVGhlc2UgZm9yZWNhc3Rpbmcgc3RyYXRlZ2llcyBhbGxvdyBmb3IgdGhlIHNrZXdlZCBkaXN0cmlidXRpb24gb2YgaW5ub3ZhdGlvbnMgYW5kIHVzZSB2YXJpb3VzIGVzdGltYXRpb24gd2luZG93cyBpbiBhZGRpdGlvbiB0byB0aGUgc3RhbmRhcmQgR0FSQ0ggdm9sYXRpbGl0eSBtb2RlbHMuIEluIG91dC1vZi1zYW1wbGUgdGVzdHMsIHdlIGZpbmQgdGhhdCBmb3JlY2FzdGluZyBlcnJvcnMgYWNyb3NzIGFsbCBtb2RlbCBzcGVjaWZpY2F0aW9ucyBhcmUgc3lzdGVtYXRpY2FsbHkgcmVkdWNlZCBpZiB1c2luZyB0aGUgdW5iaWFzZWQgZXgtcG9zdCB2b2xhdGlsaXR5IGVzdGltYXRvciBjb21wYXJlZCB3aXRoIHRob3NlIHVzaW5nIHRoZSByZWFsaXplZCB2b2xhdGlsaXR5IGJhc2VkIG9uIHNwYXJzZWx5IHNhbXBsZWQgaW50cmEtZGF5IGRhdGEuIEluIHBhcnRpY3VsYXIsIHdlIHNob3cgdGhhdCB0aGUgdGhyZWUgYmVuY2htYXJrIGZvcmVjYXN0aW5nIG1vZGVscyBvdXRwZXJmb3JtIG1vc3Qgb2YgdGhlIG1vZGlmaWVkIHN0cmF0ZWdpZXMgd2l0aCBkaWZmZXJlbnQgZGlzdHJpYnV0aW9uIG9mIHJldHVybnMgYW5kIGVzdGltYXRpb24gd2luZG93cy4gQ29tcGFyaW5nIHRoZSB0aHJlZSBzdGFuZGFyZCBHQVJDSCBjbGFzcyBtb2RlbHMsIHdlIGZpbmQgdGhhdCB0aGUgYXN5bW1ldHJpYyBwb3dlciBBUkNIIChBUEFSQ0gpIG1vZGVsIGV4aGliaXRzIHRoZSBiZXN0IGZvcmVjYXN0aW5nIHBvd2VyIGluIGJvdGggbm9ybWFsIGFuZCBmaW5hbmNpYWwgdHVybW9pbCBwZXJpb2RzLCB3aGljaCBpbmRpY2F0ZXMgdGhlIGFiaWxpdHkgb2YgQVBBUkNIIG1vZGVsIHRvIGNhcHR1cmUgdGhlIGxlcHRva3VydGljIHJldHVybnMgYW5kIHN0eWxpemVkIGZlYXR1cmVzIG9mIHZvbGF0aWxpdHkgaW4gdGhlIEF1c3RyYWxpYW4gc3RvY2sgbWFya2V0LiIsInB1Ymxpc2hlciI6IlNjaWVudGlmaWMgUmVzZWFyY2ggUHVibGlzaGluZywgSW5jLCIsImlzc3VlIjoiMDEiLCJ2b2x1bWUiOiIwOCIsImNvbnRhaW5lci10aXRsZS1zaG9ydCI6IiJ9LCJpc1RlbXBvcmFyeSI6ZmFsc2V9LHsiaWQiOiJmOTkzMWU5My0xOTFmLTMyNjItODQ1OC0yOTE5MzNlZDU3MTIiLCJpdGVtRGF0YSI6eyJ0eXBlIjoicmVwb3J0IiwiaWQiOiJmOTkzMWU5My0xOTFmLTMyNjItODQ1OC0yOTE5MzNlZDU3MTIiLCJ0aXRsZSI6IkludmVzdG9yIFNlbnRpbWVudCBBbmQgQ2FsZW5kYXIgQW5vbWFseSBFZmZlY3RzOiBBIENhc2UgU3R1ZHkgT2YgVGhlIEltcGFjdCBPZiBSYW1hZGFuIE9uIElzbGFtaWMgTWlkZGxlIEVhc3Rlcm4gTWFya2V0cyIsImF1dGhvciI6W3siZmFtaWx5IjoiQWwtSGFqaWVoIiwiZ2l2ZW4iOiJIZWl0aGFtIiwicGFyc2UtbmFtZXMiOmZhbHNlLCJkcm9wcGluZy1wYXJ0aWNsZSI6IiIsIm5vbi1kcm9wcGluZy1wYXJ0aWNsZSI6IiJ9LHsiZmFtaWx5IjoiUmVkaGVhZCIsImdpdmVuIjoiS2VpdGgiLCJwYXJzZS1uYW1lcyI6ZmFsc2UsImRyb3BwaW5nLXBhcnRpY2xlIjoiIiwibm9uLWRyb3BwaW5nLXBhcnRpY2xlIjoiIn0seyJmYW1pbHkiOiJSb2RnZXJzIiwiZ2l2ZW4iOiJUaW1vdGh5IiwicGFyc2UtbmFtZXMiOmZhbHNlLCJkcm9wcGluZy1wYXJ0aWNsZSI6IiIsIm5vbi1kcm9wcGluZy1wYXJ0aWNsZSI6IiJ9XSwiYWJzdHJhY3QiOiJUaGUgaG9seSBtb250aCBvZiBSYW1hZGFuIGlzIHVzdWFsbHkgYSB0aW1lIG9mIGNlbGVicmF0aW9uIGFuZCByZW5ld2FsIGluIE11c2xpbSBjb3VudHJpZXMuIFRoaXMgcGFwZXIgZXhhbWluZXMgd2hldGhlciBvciBub3QgdGhpcyBpcyByZWZsZWN0ZWQgaW4gcG9zaXRpdmUgY2FsZW5kYXIgYW5vbWFsaWVzIGVmZmVjdHMgaW4gSXNsYW1pYyBNaWRkbGUgRWFzdGVybiBzdG9jayBtYXJrZXRzIGR1cmluZyB0aGUgcGVyaW9kIDE5OTIgdG8gMjAwNy4gU3Ryb25nIGV2aWRlbmNlIGlzIGZvdW5kIG9mIHNpZ25pZmljYW50IGFuZCBwb3NpdGl2ZSBjYWxlbmRhciBlZmZlY3RzIGluIHJlc3BlY3QgdG8gdGhlIHdob2xlIHBlcmlvZCBvZiBSYW1hZGFuIGluIG1vc3QgY291bnRyaWVzIGFuZCBpdCBpcyBhcmd1ZWQgdGhhdCB0aGlzIGNhbiBiZSBhdHRyaWJ1dGVkIHRvIHRoZSBnZW5lcmFsbHkgcG9zaXRpdmUgaW52ZXN0b3IgbW9vZCwgb3Igc2VudGltZW50LiBBbHRob3VnaCBSYW1hZGFuIGlzIGEgdGltZSBvZiBjZWxlYnJhdGlvbiBmb3IgTXVzbGltcyBpdCBhbHNvIGNhbiBiZSBhIHRpbWUgb2YgdW5jZXJ0YWludHkgYW5kIHRoaXMgYXBwZWFycyB0byByZXN1bHQgaW4gdGhlIGltcGFjdCBvZiB0aGUgZmVzdGl2YWwgbm90IGJlaW5nIHVuaWZvcm1seSBwb3NpdGl2ZSB0aHJvdWdob3V0IFJhbWFkYW4uIEl0IGlzIGZvdW5kIHRoYXQgbWFya2V0IHJldHVybnMgaW4gdGhlIGZpcnN0IGFuZCBsYXN0IGRheXMgb2YgUmFtYWRhbiBzaG93IGhpZ2ggbGV2ZWxzIG9mIHN0YXRpc3RpY2FsbHkgc2lnbmlmaWNhbnQgeWVhci1vbi15ZWFyIHZhcmlhdGlvbi4gSXQgaXMgYXJndWVkIHRoYXQgdGhpcyBjYW4gcG9zc2libHkgYmUgYXR0cmlidXRlZCB0byBzeW5jaHJvbml6YXRpb24tcmVsYXRlZCBoZXJkaW5nIGVmZmVjdHMgYW1wbGlmeWluZyB0aGUgaW1wYWN0IG9mIHRoZSBtb29kIHN3aW5ncyBhc3NvY2lhdGVkIHdpdGggdGhpcyBwZXJpb2QuIFRoZSBwYXBlciBhbHNvIGZpbmRzIHRoYXQgYWx0aG91Z2ggdGhlIG92ZXJhbGwgUmFtYWRhbiBlZmZlY3QgaXMgYm90aCBwb3NpdGl2ZSBhbmQgc3RhdGlzdGljYWxseSBzaWduaWZpY2FudCBmb3IgbW9zdCBjb3VudHJpZXMsIHRoZSBhc3NvY2lhdGVkIGdhaW5zIHdlcmUgb25seSBsYXJnZSBlbm91Z2ggdG8gb3V0d2VpZ2ggdHJhbnNhY3Rpb25zIGNvc3RzIGFuZCBwcm92aWRlIHRoZSBiYXNpcyBvZiBhIHByb2ZpdGFibGUgdHJhZGluZyBzdHJhdGVneSBpbiBvbmUgbWFya2V0LiIsImNvbnRhaW5lci10aXRsZS1zaG9ydCI6IiJ9LCJpc1RlbXBvcmFyeSI6ZmFsc2V9LHsiaWQiOiJmMmU1Y2VmZC1hMjdlLTMyN2EtOWMzZS1jMTIzY2MzY2FiOGYiLCJpdGVtRGF0YSI6eyJ0eXBlIjoiYXJ0aWNsZS1qb3VybmFsIiwiaWQiOiJmMmU1Y2VmZC1hMjdlLTMyN2EtOWMzZS1jMTIzY2MzY2FiOGYiLCJ0aXRsZSI6Ik1vZGVsaW5nIEV4Y2hhbmdlIFJhdGUgVm9sYXRpbGl0eTogQXBwbGljYXRpb24gb2YgdGhlIEdBUkNIIGFuZCBFR0FSQ0ggTW9kZWxzIiwiYXV0aG9yIjpbeyJmYW1pbHkiOiJFcGFwaHJhIiwiZ2l2ZW4iOiJNYW5hbWJhIiwicGFyc2UtbmFtZXMiOmZhbHNlLCJkcm9wcGluZy1wYXJ0aWNsZSI6IiIsIm5vbi1kcm9wcGluZy1wYXJ0aWNsZSI6IiJ9XSwiY29udGFpbmVyLXRpdGxlIjoiSm91cm5hbCBvZiBNYXRoZW1hdGljYWwgRmluYW5jZSIsIkRPSSI6IjEwLjQyMzYvam1mLjIwMTcuNzEwMDciLCJJU1NOIjoiMjE2Mi0yNDM0IiwiaXNzdWVkIjp7ImRhdGUtcGFydHMiOltbMjAxN11dfSwicGFnZSI6IjEyMS0xNDMiLCJhYnN0cmFjdCI6IlBvbGljeSBtYWtlcnMgbmVlZCBhY2N1cmF0ZSBmb3JlY2FzdHMgYWJvdXQgZnV0dXJlIHZhbHVlcyBvZiBleGNoYW5nZSByYXRlcy4gVGhpcyBpcyBkdWUgdG8gdGhlIGZhY3QgdGhhdCBleGNoYW5nZSByYXRlIHZvbGF0aWxpdHkgaXMgYSB1c2VmdWwgbWVhc3VyZSBvZiB1bmNlcnRhaW50eSBhYm91dCB0aGUgZWNvbm9taWMgZW52aXJvbm1lbnQgb2YgYSBjb3VudHJ5LiBUaGlzIHBhcGVyIGFwcGxpZXMgdW5pdmFyaWF0ZSBub25saW5lYXIgdGltZSBzZXJpZXMgYW5hbHlzaXMgdG8gdGhlIGRhaWx5IChUWlMvVVNEKSBleGNoYW5nZSByYXRlIGRhdGEgc3Bhbm5pbmcgZnJvbSBKYW51YXJ5IDQsIDIwMDkgdG8gSnVseSAyNywgMjAxNSB0byBleGFtaW5lIHRoZSBiZWhhdmlvciBvZiBleGNoYW5nZSByYXRlIGluIFRhbnphbmlhLiBUbyBjYXB0dXJlIHRoZSBzeW1tZXRyeSBlZmZlY3QgaW4gZXhjaGFuZ2UgcmF0ZSBkYXRhLCB0aGUgcGFwZXIgYXBwbGllcyBib3RoIEFSQ0ggYW5kIEdBUkNIIG1vZGVscy4gQWxzbywgdGhlIHBhcGVyIGVtcGxveXMgZXhwb25lbnRpYWwgR0FSQ0ggKEVHQVJDSCkgbW9kZWwgdG8gY2FwdHVyZSB0aGUgYXN5bW1ldHJ5IGluIHZvbGF0aWxpdHkgY2x1c3RlcmluZyBhbmQgdGhlIGxldmVyYWdlIGVmZmVjdCBpbiBleGNoYW5nZSByYXRlLiBUaGUgcGFwZXIgcmV2ZWFscyB0aGF0IGV4Y2hhbmdlIHJhdGUgc2VyaWVzIGV4aGliaXRzIHRoZSBlbXBpcmljYWwgcmVndWxhcml0aWVzIHN1Y2ggYXMgY2x1c3RlcmluZyB2b2xhdGlsaXR5LCBub25zdGF0aW9uYXJpdHksIG5vbi1ub3JtYWxpdHkgYW5kIHNlcmlhbCBjb3JyZWxhdGlvbiB0aGF0IGp1c3RpZnkgdGhlIGFwcGxpY2F0aW9uIG9mIHRoZSBBUkNIIG1ldGhvZG9sb2d5LiBUaGUgcmVzdWx0cyBhbHNvIHN1Z2dlc3QgdGhhdCBleGNoYW5nZSByYXRlIGJlaGF2aW9yIGlzIGdlbmVyYWxseSBpbmZsdWVuY2VkIGJ5IHByZXZpb3VzIGluZm9ybWF0aW9uIGFib3V0IGV4Y2hhbmdlIHJhdGUuIFRoaXMgYWxzbyBpbXBsaWVzIHRoYXQgcHJldmlvdXMgZGF5J3Mgdm9sYXRpbGl0eSBpbiBleGNoYW5nZSByYXRlIGNhbiBhZmZlY3QgY3VycmVudCB2b2xhdGlsaXR5IG9mIGV4Y2hhbmdlIHJhdGUuIEluIGFkZGl0aW9uLCB0aGUgZXN0aW1hdGUgZm9yIGFzeW1tZXRyaWMgdm9sYXRpbGl0eSBzdWdnZXN0cyB0aGF0IHBvc2l0aXZlIHNob2NrcyBpbXBseSBhIGhpZ2hlciBuZXh0IHBlcmlvZCBjb25kaXRpb25hbCB2YXJpYW5jZSB0aGFuIG5lZ2F0aXZlIHNob2NrcyBvZiB0aGUgc2FtZSBzaWduLiBUaGUgbWFpbiBwb2xpY3kgaW1wbGljYXRpb24gb2YgdGhlc2UgcmVzdWx0cyBpcyB0aGF0IHNpbmNlIGV4Y2hhbmdlIHJhdGUgdm9sYXRpbGl0eSAoZXhjaGFuZ2UtcmF0ZSByaXNrKSBtYXkgaW5jcmVhc2UgdHJhbnNhY3Rpb24gY29zdHMgYW5kIHJlZHVjZSB0aGUgZ2FpbnMgdG8gaW50ZXJuYXRpb25hbCB0cmFkZSwga25vd2xlZGdlIG9mIGV4Y2hhbmdlIHJhdGUgdm9sYXRpbGl0eSBlc3RpbWF0aW9uIGFuZCBmb3JlY2FzdGluZyBpcyBpbXBvcnRhbnQgZm9yIGFzc2V0IHByaWNpbmcgYW5kIHJpc2sgbWFuYWdlbWVudC4iLCJwdWJsaXNoZXIiOiJTY2llbnRpZmljIFJlc2VhcmNoIFB1Ymxpc2hpbmcsIEluYywiLCJpc3N1ZSI6IjAxIiwidm9sdW1lIjoiMDciLCJjb250YWluZXItdGl0bGUtc2hvcnQiOiIifSwiaXNUZW1wb3JhcnkiOmZhbHNlfV19"/>
          <w:id w:val="1292256255"/>
          <w:placeholder>
            <w:docPart w:val="DefaultPlaceholder_-1854013440"/>
          </w:placeholder>
        </w:sdtPr>
        <w:sdtEndPr/>
        <w:sdtContent>
          <w:r w:rsidR="00E47856" w:rsidRPr="00E47856">
            <w:rPr>
              <w:color w:val="000000"/>
            </w:rPr>
            <w:t>(Al-Hajieh et al., n.d.; Epaphra, 2017; Zhang et al., 2018)</w:t>
          </w:r>
        </w:sdtContent>
      </w:sdt>
      <w:r>
        <w:t>. Moreover, the presence of fat-tailed return distributions and structural breaks induced by oil price collapses (e.g., 2014-2016 and 2020) motivates the adoption of non-Gaussian error distributions and regime-switching specifications</w:t>
      </w:r>
      <w:sdt>
        <w:sdtPr>
          <w:rPr>
            <w:color w:val="000000"/>
          </w:rPr>
          <w:tag w:val="MENDELEY_CITATION_v3_eyJjaXRhdGlvbklEIjoiTUVOREVMRVlfQ0lUQVRJT05fNTc1YmIzMjEtNDhmNy00MDRmLWEzOTMtOTg3ODQ0MTE5ZDM2IiwicHJvcGVydGllcyI6eyJub3RlSW5kZXgiOjB9LCJpc0VkaXRlZCI6ZmFsc2UsIm1hbnVhbE92ZXJyaWRlIjp7ImlzTWFudWFsbHlPdmVycmlkZGVuIjpmYWxzZSwiY2l0ZXByb2NUZXh0IjoiKEJvbGxlcnNsZXYsIDE5ODY7IE1hcmlzZXR0eSwgMjAyNDsgUmVobWFuICYjMzg7IEthcmltdWxsYWgsIDIwMjQpIiwibWFudWFsT3ZlcnJpZGVUZXh0IjoiIn0sImNpdGF0aW9uSXRlbXMiOlt7ImlkIjoiZGM1MTliMDYtOTZiMS0zYTRhLTk0ODktMWUxYmVjNmMxNDc2IiwiaXRlbURhdGEiOnsidHlwZSI6InJlcG9ydCIsImlkIjoiZGM1MTliMDYtOTZiMS0zYTRhLTk0ODktMWUxYmVjNmMxNDc2IiwidGl0bGUiOiJHRU5FUkFMSVpFRCBBVVRPUkVHUkVTU0lWRSBDT05ESVRJT05BTCBIRVRFUk9TS0VEQVNUSUNJVFkiLCJhdXRob3IiOlt7ImZhbWlseSI6IkJvbGxlcnNsZXYiLCJnaXZlbiI6IlRpbSIsInBhcnNlLW5hbWVzIjpmYWxzZSwiZHJvcHBpbmctcGFydGljbGUiOiIiLCJub24tZHJvcHBpbmctcGFydGljbGUiOiIifV0sImNvbnRhaW5lci10aXRsZSI6IkpvdXJuYWwgb2YgRWNvbm9tZXRyaWNzIiwiY29udGFpbmVyLXRpdGxlLXNob3J0IjoiSi4gRWNvbm9tLiIsImlzc3VlZCI6eyJkYXRlLXBhcnRzIjpbWzE5ODZdXX0sIm51bWJlci1vZi1wYWdlcyI6IjMwNy0zMjciLCJhYnN0cmFjdCI6IkEgbmF0dXJhbCBnZW5lcmFsaXphdGlvbiBvZiB0aGUgQVJDSCAoQXV0b3JlZ3Jlc3NpdmUgQ29uZGl0aW9uYWwgSGV0ZXJvc2tlZGFzdGljKSBwcm9jZXNzIGludHJvZHVjZWQgaW4gRW5nbGUgKDE5ODIpIHRvIGFsbG93IGZvciBwYXN0IGNvbmRpdGlvbmFsIHZhcmlhbmNlcyBpbiB0aGUgY3VycmVudCBjb25kaXRpb25hbCB2YXJpYW5jZSBlcXVhdGlvbiBpcyBwcm9wb3NlZC4gU3RhdGlvbmFyaXR5IGNvbmRpdGlvbnMgYW5kIGF1dG9jb3JyZWxhdGlvbiBzdHJ1Y3R1cmUgZm9yIHRoaXMgbmV3IGNsYXNzIG9mIHBhcmFtZXRyaWMgbW9kZWxzIGFyZSBkZXJpdmVkLiBNYXhpbXVtIGxpa2VsaWhvb2QgZXN0aW1hdGlvbiBhbmQgdGVzdGluZyBhcmUgYWxzbyBjb25zaWRlcmVkLiBGaW5hbGx5IGFuIGVtcGlyaWNhbCBleGFtcGxlIHJlbGF0aW5nIHRvIHRoZSB1bmNlcnRhaW50eSBvZiB0aGUgaW5mbGF0aW9uIHJhdGUgaXMgcHJlc2VudGVkLiIsInZvbHVtZSI6IjMxIn0sImlzVGVtcG9yYXJ5IjpmYWxzZX0seyJpZCI6IjY1ODVkMDFmLWRiNjctMzQ2My1hODI3LTYwYjUxYjYxMjRkNCIsIml0ZW1EYXRhIjp7InR5cGUiOiJhcnRpY2xlLWpvdXJuYWwiLCJpZCI6IjY1ODVkMDFmLWRiNjctMzQ2My1hODI3LTYwYjUxYjYxMjRkNCIsInRpdGxlIjoiQXBwbGljYXRpb25zIG9mIEdBUkNIIE1vZGVscyBpbiBGb3JlY2FzdGluZyBGaW5hbmNpYWwgTWFya2V0IFZvbGF0aWxpdHk6IEluc2lnaHRzIGZyb20gTGVhZGluZyBHbG9iYWwgU3RvY2sgSW5kZXhlcyIsImF1dGhvciI6W3siZmFtaWx5IjoiTWFyaXNldHR5IiwiZ2l2ZW4iOiJOYWdlbmRyYSIsInBhcnNlLW5hbWVzIjpmYWxzZSwiZHJvcHBpbmctcGFydGljbGUiOiIiLCJub24tZHJvcHBpbmctcGFydGljbGUiOiIifV0sImNvbnRhaW5lci10aXRsZSI6IkFzaWFuIEpvdXJuYWwgb2YgRWNvbm9taWNzLCBCdXNpbmVzcyBhbmQgQWNjb3VudGluZyIsIkRPSSI6IjEwLjk3MzQvYWplYmEvMjAyNC92MjRpOTE0NzciLCJpc3N1ZWQiOnsiZGF0ZS1wYXJ0cyI6W1syMDI0LDgsMjhdXX0sInBhZ2UiOiI2My04NCIsImFic3RyYWN0IjoiVGhpcyBzdHVkeSBpbnZlc3RpZ2F0ZXMgdGhlIHZvbGF0aWxpdHkgZHluYW1pY3Mgb2YgbWFqb3IgZ2xvYmFsIHN0b2NrIGluZGV4ZXMsIGluY2x1ZGluZyB0aGUgRlRTRSAxMDAsIEhhbmcgU2VuZyBJbmRleCwgTklLS0VJIDIyNSwgYW5kIFMmUCA1MDAsIHVzaW5nIGEgcmFuZ2Ugb2YgR2VuZXJhbGl6ZWQgQXV0b3JlZ3Jlc3NpdmUgQ29uZGl0aW9uYWwgSGV0ZXJvc2tlZGFzdGljaXR5IChHQVJDSCkgbW9kZWxzLiBUaGUgYW5hbHlzaXMgc3BhbnMgYSBjb21wcmVoZW5zaXZlIDIwLXllYXIgcGVyaW9kIGZyb20gSmFudWFyeSAxLCAyMDA0LCB0byBEZWNlbWJlciAzMSwgMjAyMywgZW5jb21wYXNzaW5nIGRpdmVyc2UgbWFya2V0IGNvbmRpdGlvbnMgc3VjaCBhcyBidWxsIGFuZCBiZWFyIG1hcmtldHMsIHRoZSAyMDA4IGZpbmFuY2lhbCBjcmlzaXMsIGFuZCB0aGUgQ09WSUQtMTkgcGFuZGVtaWMuIFRoZSBtZXRob2RvbG9neSBpbmNsdWRlcyBwcmVwcm9jZXNzaW5nIHN0ZXBzIHN1Y2ggYXMgY2FsY3VsYXRpbmcgZGFpbHkgbG9nIHJldHVybnMsIHBlcmZvcm1pbmcgZGVzY3JpcHRpdmUgc3RhdGlzdGljcywgYW5kIGNvbmR1Y3Rpbmcgc3RhdGlvbmFyaXR5IGFuZCBBUkNIIGVmZmVjdCB0ZXN0cyB0byBlbnN1cmUgZGF0YSBzdWl0YWJpbGl0eSBmb3Igdm9sYXRpbGl0eSBtb2RlbGxpbmcuXHIgVGhlIHN0dWR5IGV2YWx1YXRlcyBzZXZlcmFsIEdBUkNIIG1vZGVscywgaW5jbHVkaW5nIEdBUkNILCBFR0FSQ0gsIE5HQVJDSCwgQVBBUkNILCBHSlItR0FSQ0gsIGFuZCBUR0FSQ0gsIHRvIGZvcmVjYXN0IHZvbGF0aWxpdHkgYW5kIGFkZHJlc3MgYm90aCBzeW1tZXRyaWMgYW5kIGFzeW1tZXRyaWMgZWZmZWN0cy4gVGhlIFRHQVJDSCBtb2RlbCBleGhpYml0cyBzdHJvbmcgcGVyZm9ybWFuY2UgaW4gY2FwdHVyaW5nIGxldmVyYWdlIGVmZmVjdHMgYW5kIGFzeW1tZXRyaWVzLCBwYXJ0aWN1bGFybHkgZm9yIHRoZSBGVFNFIDEwMCBhbmQgSGFuZyBTZW5nIEluZGV4LiBUaGUgQVBBUkNIIG1vZGVsIHBlcmZvcm1zIHdlbGwgZm9yIHRoZSBTJlAgNTAwLCBkZW1vbnN0cmF0aW5nIHNlbnNpdGl2aXR5IHRvIHBhc3Qgc2hvY2tzLiBPdmVyYWxsLCB0aGUgZmluZGluZ3MgdW5kZXJzY29yZSB0aGUgaW1wb3J0YW5jZSBvZiBhZHZhbmNlZCBHQVJDSCBtb2RlbHMgaW4gYWNjdXJhdGVseSBwcmVkaWN0aW5nIHZvbGF0aWxpdHkgaW4gZ2xvYmFsIGZpbmFuY2lhbCBtYXJrZXRzLCBoaWdobGlnaHRpbmcgdGhlIFRHQVJDSCBtb2RlbCdzIGVmZmVjdGl2ZW5lc3MgaW4gYWRkcmVzc2luZyBhc3ltbWV0cmllcyBhbmQgcHJvdmlkaW5nIGluc2lnaHRzIGludG8gc2VsZWN0aW5nIGFwcHJvcHJpYXRlIG1vZGVscyBmb3IgZW5oYW5jZWQgZmluYW5jaWFsIGFuYWx5c2lzIGFuZCByaXNrIG1hbmFnZW1lbnQuIiwicHVibGlzaGVyIjoiU2NpZW5jZWRvbWFpbiBJbnRlcm5hdGlvbmFsIiwiaXNzdWUiOiI5Iiwidm9sdW1lIjoiMjQiLCJjb250YWluZXItdGl0bGUtc2hvcnQiOiIifSwiaXNUZW1wb3JhcnkiOmZhbHNlfSx7ImlkIjoiMWIwZWU5ZjQtNDkyYS0zYmFlLWIwY2MtMDgxMjg4ODIyOGU3IiwiaXRlbURhdGEiOnsidHlwZSI6ImFydGljbGUtam91cm5hbCIsImlkIjoiMWIwZWU5ZjQtNDkyYS0zYmFlLWIwY2MtMDgxMjg4ODIyOGU3IiwidGl0bGUiOiJCbGFjayBzd2FuIGV2ZW50cyBhbmQgc3RvY2sgbWFya2V0IGJlaGF2aW9yIGluIEd1bGYgY291bnRyaWVzOiBhIGNvbXBhcmF0aXZlIGFuYWx5c2lzIG9mIGZpbmFuY2lhbCBjcmlzaXMgKDIwMDgpIGFuZCBDT1ZJRC0xOSBwYW5kZW1pYyIsImF1dGhvciI6W3siZmFtaWx5IjoiUmVobWFuIiwiZ2l2ZW4iOiJNb2hkIFppYXVyIiwicGFyc2UtbmFtZXMiOmZhbHNlLCJkcm9wcGluZy1wYXJ0aWNsZSI6IiIsIm5vbi1kcm9wcGluZy1wYXJ0aWNsZSI6IiJ9LHsiZmFtaWx5IjoiS2FyaW11bGxhaCIsImdpdmVuIjoiSy4iLCJwYXJzZS1uYW1lcyI6ZmFsc2UsImRyb3BwaW5nLXBhcnRpY2xlIjoiIiwibm9uLWRyb3BwaW5nLXBhcnRpY2xlIjoiIn1dLCJjb250YWluZXItdGl0bGUiOiJBcmFiIEd1bGYgSm91cm5hbCBvZiBTY2llbnRpZmljIFJlc2VhcmNoIiwiRE9JIjoiMTAuMTEwOC9BR0pTUi0wOS0yMDIyLTAxNjIiLCJJU1NOIjoiMjUzNjAwNTEiLCJpc3N1ZWQiOnsiZGF0ZS1wYXJ0cyI6W1syMDI0LDEwLDIzXV19LCJwYWdlIjoiODA1LTgyNCIsImFic3RyYWN0IjoiUHVycG9zZTogVGhlIGN1cnJlbnQgc3R1ZHkgYWltcyB0byBleGFtaW5lIHRoZSBpbXBhY3Qgb2YgdHdvIGJsYWNrIHN3YW4gZXZlbnRzIG9uIHRoZSBwZXJmb3JtYW5jZSBvZiBzaXggc3RvY2sgbWFya2V0cyBpbiBHdWxmIENvb3BlcmF0aW9uIENvdW5jaWwgKEdDQykgZWNvbm9taWVzIChBYnUgRGhhYmksIEJhaHJhaW4sIER1YmFpLCBPbWFuLCBRYXRhciBhbmQgU2F1ZGkgQXJhYmlhKS4gVGhlIHR3byBzZWxlY3RlZCBibGFjayBzd2FuIGV2ZW50cyBhcmUgdGhlIFVTIE1vcnRnYWdlIGFuZCBjcmVkaXQgY3Jpc2lzIChHbG9iYWwgRmluYW5jaWFsIENyaXNpcyBvZiAyMDA4KSBhbmQgdGhlIENPVklELTE5IHBhbmRlbWljLiBEZXNpZ24vbWV0aG9kb2xvZ3kvYXBwcm9hY2g6IFRoZSBwZXJmb3JtYW5jZSBvZiBhbGwgdGhlIHNpeCBzdG9jayBtYXJrZXRzIGFyZSByZXByZXNlbnRlZCBieSB0aGVpciByZXR1cm4gYW5kIHByaWNlIHZvbGF0aWxpdHkgYmVoYXZpb3IsIHdoaWNoIGhhcyBiZWVuIG1lYXN1cmVkIGJ5IGFwcGx5aW5nIEFSQ0gvR0FSQ0ggbW9kZWwuIFRoZSBjb21wYXJhdGl2ZSBhbmFseXNpcyBpcyBkb25lIGJ5IGVtcGxveWluZyBtZWFuIGRpZmZlcmVuY2UgbW9kZWxzLiBUaGUgZGF0YSBpcyBjb2xsZWN0ZWQgZnJvbSBCbG9vbWJlcmcgb24gYSBkYWlseSBmcmVxdWVuY3kuIEZpbmRpbmdzOiBUaGUgcmVzcG9uc2Ugb2YgdHdvIGJsYWNrIHN3YW4gZXZlbnRzIG9uIHRoZSBHQ0Mgc3RvY2sgbWFya2V0cyBoYXMgYmVlbiBoZXRlcm9nZW5vdXMgaW4gbmF0dXJlLiBEdXJpbmcgdGhlIGZpbmFuY2lhbCBjcmlzaXMsIHRoZSBpbXBhY3Qgd2FzIGhlYXZpbHkgZmVsdCBvbiBtb3N0IG9mIHRoZSBzdG9jayBtYXJrZXRzIGluIHRoZSBHQ0MgY291bnRyaWVzLiBJdCBpcyByZXZlYWxlZCB0aGF0IHRoZSBmaW5hbmNpYWwgY3Jpc2lzIGhhZCBhIG5lZ2F0aXZlIHNpZ25pZmljYW50IGltcGFjdCBvbiBmb3VyIG9mIHRoZSBzaXggY291bnRyaWVzLiBXaGVyZWFzIGR1cmluZyB0aGUgQ09WSUQtMTkgY3Jpc2lzLCBpdCBpcyByZXZlYWxlZCB0aGF0IHRoZXJlIGlzIG5vIHNpZ25pZmljYW50IGltcGFjdCBvbiBmb3VyIG9mIHRoZSBzaXggc2VsZWN0ZWQgc3RvY2sgbWFya2V0cy4gVGhlIHBvc2l0aXZlIHNpZ25pZmljYW50IGltcGFjdCBpcyBmZWx0IG9uIHR3byBzdG9jayBtYXJrZXRzLCBuYW1lbHksIHRoZSBBYnUgRGhhYmkgc3RvY2sgbWFya2V0IGFuZCB0aGUgU2F1ZGkgc3RvY2sgbWFya2V0LiBPcmlnaW5hbGl0eS92YWx1ZTogVGhlIHByZXNlbnQgaW52ZXN0aWdhdGlvbiBhdHRlbXB0cyB0byBmaWxsIHRoZSBnYXAgaW4gdGhlIGxpdGVyYXR1cmUgb24gdGhlIGludGVuZGVkIHRvcGljIGJlY2F1c2UgaXQgaXMgZXZpZGVudCBmcm9tIHRoZSBsaXRlcmF0dXJlIG9uIHRoZSBjaG9zZW4gc3ViamVjdCB0aGF0IG5vIHN0dWR5IGhhcyBiZWVuIHVuZGVydGFrZW4gdG8gZXZhbHVhdGUgYW5kIGNvbnRyYXN0IHRoZSBpbXBhY3Qgb2YgdGhlIEdGQyBjcmlzaXMgYW5kIENPVklELTE5IG9uIHRoZSBHQ0Mgc3RvY2sgbWFya2V0cy4iLCJwdWJsaXNoZXIiOiJFbWVyYWxkIFB1Ymxpc2hpbmciLCJpc3N1ZSI6IjMiLCJ2b2x1bWUiOiI0MiIsImNvbnRhaW5lci10aXRsZS1zaG9ydCI6IiJ9LCJpc1RlbXBvcmFyeSI6ZmFsc2V9XX0="/>
          <w:id w:val="-1734847426"/>
          <w:placeholder>
            <w:docPart w:val="DefaultPlaceholder_-1854013440"/>
          </w:placeholder>
        </w:sdtPr>
        <w:sdtEndPr/>
        <w:sdtContent>
          <w:r w:rsidR="00E47856" w:rsidRPr="00E47856">
            <w:rPr>
              <w:color w:val="000000"/>
            </w:rPr>
            <w:t>(Bollerslev, 1986; Marisetty, 2024; Rehman &amp; Karimullah, 2024)</w:t>
          </w:r>
        </w:sdtContent>
      </w:sdt>
      <w:r>
        <w:t>.</w:t>
      </w:r>
    </w:p>
    <w:p w14:paraId="60E8A387" w14:textId="57BFA827" w:rsidR="00CC5C3E" w:rsidRDefault="00117A87" w:rsidP="00D12D84">
      <w:pPr>
        <w:bidi w:val="0"/>
        <w:spacing w:before="60" w:after="60" w:line="360" w:lineRule="auto"/>
        <w:ind w:firstLine="720"/>
        <w:jc w:val="both"/>
      </w:pPr>
      <w:r>
        <w:t xml:space="preserve">This study makes four principal contributions to the existing literature. First, we provide a comprehensive, comparative evaluation of five GARCH-family models — GARCH(1,1), EGARCH, GJR-GARCH, APARCH, and MS-GARCH — estimated on daily index returns from all six GCC exchanges over a 14-year horizon. Second, we rigorously assess the distributional assumptions underlying each model, comparing normal, Student-t, and Generalized Error Distributions to account for the documented excess kurtosis in GCC returns. Third, we apply the Model Confidence Set (MCS) procedure of Hansen et al. (2011) to formally evaluate out-of-sample forecast accuracy, providing a statistically rigorous basis for model selection. Fourth, we decompose the volatility dynamics across </w:t>
      </w:r>
      <w:r>
        <w:lastRenderedPageBreak/>
        <w:t>sub-periods defined by major structural breaks — the 2014-2016 oil price crash, the Qatar diplomatic crisis of 2017, and the COVID-19 pandemic of 2020 — to investigate regime-dependent behavior</w:t>
      </w:r>
      <w:sdt>
        <w:sdtPr>
          <w:rPr>
            <w:color w:val="000000"/>
          </w:rPr>
          <w:tag w:val="MENDELEY_CITATION_v3_eyJjaXRhdGlvbklEIjoiTUVOREVMRVlfQ0lUQVRJT05fNDNiNGQwMmUtMmQxMi00NDU0LTkyZjQtYzJhNGIyMzZjY2RiIiwicHJvcGVydGllcyI6eyJub3RlSW5kZXgiOjB9LCJpc0VkaXRlZCI6ZmFsc2UsIm1hbnVhbE92ZXJyaWRlIjp7ImlzTWFudWFsbHlPdmVycmlkZGVuIjpmYWxzZSwiY2l0ZXByb2NUZXh0IjoiKEFMLUJlc2hlciAmIzM4OyBBTC1OYWpqYXIsIDIwMjY7IEFsb3RhaWJpICYjMzg7IE1pc2hyYSwgMjAxNTsgTWVuc2kgZXQgYWwuLCAyMDE3KSIsIm1hbnVhbE92ZXJyaWRlVGV4dCI6IiJ9LCJjaXRhdGlvbkl0ZW1zIjpbeyJpZCI6IjRlYWQ1NzYzLTg0N2EtMzUwZC1iNjQwLTZmN2YwYzExMmY3ZCIsIml0ZW1EYXRhIjp7InR5cGUiOiJhcnRpY2xlLWpvdXJuYWwiLCJpZCI6IjRlYWQ1NzYzLTg0N2EtMzUwZC1iNjQwLTZmN2YwYzExMmY3ZCIsInRpdGxlIjoiRHluYW1pYyBsaW5rYWdlcyBiZXR3ZWVuIGRldmVsb3BlZCBhbmQgQlJJQ1Mgc3RvY2sgbWFya2V0czogUG9ydGZvbGlvIHJpc2sgYW5hbHlzaXMiLCJhdXRob3IiOlt7ImZhbWlseSI6Ik1lbnNpIiwiZ2l2ZW4iOiJXYWxpZCIsInBhcnNlLW5hbWVzIjpmYWxzZSwiZHJvcHBpbmctcGFydGljbGUiOiIiLCJub24tZHJvcHBpbmctcGFydGljbGUiOiIifSx7ImZhbWlseSI6IkhhbW1vdWRlaCIsImdpdmVuIjoiU2hhd2thdCIsInBhcnNlLW5hbWVzIjpmYWxzZSwiZHJvcHBpbmctcGFydGljbGUiOiIiLCJub24tZHJvcHBpbmctcGFydGljbGUiOiIifSx7ImZhbWlseSI6IkthbmciLCJnaXZlbiI6IlNhbmcgSG9vbiIsInBhcnNlLW5hbWVzIjpmYWxzZSwiZHJvcHBpbmctcGFydGljbGUiOiIiLCJub24tZHJvcHBpbmctcGFydGljbGUiOiIifV0sImNvbnRhaW5lci10aXRsZSI6IkZpbmFuY2UgUmVzZWFyY2ggTGV0dGVycyIsImNvbnRhaW5lci10aXRsZS1zaG9ydCI6IkZpbmFuYy4gUmVzLiBMZXR0LiIsIkRPSSI6IjEwLjEwMTYvai5mcmwuMjAxNi4xMS4wMTYiLCJJU1NOIjoiMTU0NDYxMjMiLCJpc3N1ZWQiOnsiZGF0ZS1wYXJ0cyI6W1syMDE3LDUsMV1dfSwicGFnZSI6IjI2LTMzIiwiYWJzdHJhY3QiOiJUaGlzIHN0dWR5IGV4YW1pbmVzIHRoZSBkeW5hbWljIGNvcnJlbGF0aW9ucyBhbmQgcG9ydGZvbGlvIGRpdmVyc2lmaWNhdGlvbiBiZXR3ZWVuIHRoZSBtYWpvciBkZXZlbG9wZWQgYW5kIEJSSUNTIHN0b2NrIG1hcmtldHMuIFRoZSByZXN1bHRzIHJldmVhbCBhIHNpZ25pZmljYW50IHZhcmlhYmlsaXR5IGluIHRoZSB0aW1lLXZhcnlpbmcgY29uZGl0aW9uYWwgY29ycmVsYXRpb25zIGJldHdlZW4gdGhlc2UgbWFya2V0cyBkdXJpbmcgdXB0dXJuIGFuZCBkb3dudHVybiBwZXJpb2RzLiBXZSB1bmRlcmxpbmUgdGhlIGltcG9ydGFuY2Ugb2Ygb3ZlcndlaWdodGluZyB0aGUgb3B0aW1hbCBwb3J0Zm9saW9zIHdpdGggc3RvY2tzIGZyb20gdGhlIGRldmVsb3BlZCBjb3VudHJpZXMgb3ZlciB0aG9zZSBmcm9tIHRoZSBCUklDUy4gRmluYWxseSwgd2UgZGVtb25zdHJhdGUgdGhlIHVzZWZ1bG5lc3Mgb2YgdXNpbmcgZGV2ZWxvcGVkIG1hcmtldCBzdG9ja3MgaW4gdGhlIEJSSUNTIHN0b2NrIHBvcnRmb2xpbyByaXNrIG1hbmFnZW1lbnQuIiwicHVibGlzaGVyIjoiRWxzZXZpZXIgTHRkIiwidm9sdW1lIjoiMjEifSwiaXNUZW1wb3JhcnkiOmZhbHNlfSx7ImlkIjoiNjI1OGExZmMtYjBlMi0zOWYzLThhYWQtNDQ2ZTQ1OTRkMjBmIiwiaXRlbURhdGEiOnsidHlwZSI6ImFydGljbGUtam91cm5hbCIsImlkIjoiNjI1OGExZmMtYjBlMi0zOWYzLThhYWQtNDQ2ZTQ1OTRkMjBmIiwidGl0bGUiOiJNb2RlbGluZyBTYXVkaSBzdG9jayBpbmRleCByZXR1cm5zIGFuZCB2b2xhdGlsaXR5OiBhIGR1YWwgYXBwcm9hY2ggdXNpbmcgR0FSQ0ggYW5kIG5ldXJhbCBuZXR3b3JrcyIsImF1dGhvciI6W3siZmFtaWx5IjoiQUwtQmVzaGVyIiwiZ2l2ZW4iOiJTdWthaW5haCIsInBhcnNlLW5hbWVzIjpmYWxzZSwiZHJvcHBpbmctcGFydGljbGUiOiIiLCJub24tZHJvcHBpbmctcGFydGljbGUiOiIifSx7ImZhbWlseSI6IkFMLU5hamphciIsImdpdmVuIjoiRGFuaWEiLCJwYXJzZS1uYW1lcyI6ZmFsc2UsImRyb3BwaW5nLXBhcnRpY2xlIjoiIiwibm9uLWRyb3BwaW5nLXBhcnRpY2xlIjoiIn1dLCJjb250YWluZXItdGl0bGUiOiJGcm9udGllcnMgaW4gQXJ0aWZpY2lhbCBJbnRlbGxpZ2VuY2UiLCJjb250YWluZXItdGl0bGUtc2hvcnQiOiJGcm9udC4gQXJ0aWYuIEludGVsbC4iLCJET0kiOiIxMC4zMzg5L2ZyYWkuMjAyNi4xNzE0ODIyIiwiSVNTTiI6IjI2MjQ4MjEyIiwiaXNzdWVkIjp7ImRhdGUtcGFydHMiOltbMjAyNl1dfSwiYWJzdHJhY3QiOiJUaGUgZmluYW5jaWFsIG1hcmtldHMgYXJlIHRoZSBkcml2ZXJzIG9mIGVjb25vbWljIGdyb3d0aCBhcyB0aGV5IG9yZ2FuaXplIHNhdmluZ3MsIGJyaW5nIGluIGZvcmVpZ24gaW52ZXN0bWVudCwgYW5kIHRoZXkgZWZmaWNpZW50bHkgYWxsb2NhdGUgcmVzb3VyY2VzLiBUaGUgVGFkYXd1bCBpcyB0aGUgbGFyZ2VzdCBzdG9jayBtYXJrZXQgaW4gdGhlIEdDQywgd2hpY2ggaXMgaGlnaGx5IGltcGFjdGVkIGJ5IHByaWNlcyBvZiBvaWwgYW5kIGdvbGQuIENvcnJlY3QgZm9yZWNhc3Rpbmcgb2YgbWFya2V0IHJldHVybnMgYW5kIHZvbGF0aWxpdHkgaXMgdGh1cyBhIGtleSB0byBpbnZlc3RvcnMgYW5kIHBvbGljeW1ha2Vycy4gVGhlIHJlc2VhcmNoIGFuYWx5c2lzIGlzIHBlcmZvcm1lZCBvbiB0aGUgVGFkYXd1bCBBbGwgU2hhcmUgSW5kZXggKFRBU0kpIGJldHdlZW4gSmFudWFyeSAxLCAyMDAwLCBhbmQgRGVjZW1iZXIgMzEsIDIwMjIsIHdpdGggdGhlIGhlbHAgb2YgdHJhZGl0aW9uYWwgR0FSQ0gtZmFtaWx5IG1vZGVscyAoR0FSQ0gsIEVHQVJDSCwgR0pSLUdBUkNILCBhbmQgTUdBUkNIKSBhbmQgYSBMb25nIFNob3J0LVRlcm0gTWVtb3J5IChMU1RNKSBuZXVyYWwgbmV0d29yay4gRXhwbGFuYXRvcnkgdmFyaWFibGVzIGluY2x1ZGUgb2lsIGFuZCBnb2xkIHJldHVybnMsIE1TRSwgTUFFLCBSTVNFLCBSIDIsIGFuZCBEaWVib2xkLU1hYXNvb255IHRlc3QgYXJlIHVzZWQgdG8gYXNzZXNzIHByZWRpY3RpdmUgcGVyZm9ybWFuY2UuIFRoZSByZXN1bHRzIHNob3cgdGhhdCB0aGUgTFNUTSBtb2RlbCBpcyB0aGUgbW9zdCBlZmZlY3RpdmUgbW9kZWwgdGhhdCBjYXB0dXJlcyBub25saW5lYXIgdm9sYXRpbGl0eSBwYXR0ZXJucywgd2hlcmVhcyBHQVJDSCBtb2RlbHMsIGVzcGVjaWFsbHkgdGhlIEdKUi1HQVJDSCBtb2RlbCB3aXRoIEdFRCBkaXN0cmlidXRpb24gb2ZmZXJzIGJldHRlciByZXR1cm5zIHByb2plY3Rpb25zLiBUaGUgZmluZGluZ3MgYWxzbyBjb25maXJtIHRoYXQgb2lsIGFuZCBnb2xkIHJldHVybnMgaGF2ZSBhIHNpZ25pZmljYW50IGluZmx1ZW5jZSBvbiB0aGUgcGVyZm9ybWFuY2Ugb2YgVEFTSSwgd2hpY2ggcHJvdmVzIHRoZWlyIHJvbGUgaW4gdGhlIG9pbC1kZXBlbmRlbnQgZWNvbm9teS4gQWx0b2dldGhlciwgdGhlIGV2aWRlbmNlIGRlbW9uc3RyYXRlcyB0aGUgc3luZXJnaXN0aWMgYWR2YW50YWdlcyBvZiBib3RoIGVjb25vbWV0cmljIGFuZCBtYWNoaW5lIGxlYXJuaW5nIG1ldGhvZHMgYW5kIHByb3ZpZGVzIHVzZWZ1bCBpbXBsaWNhdGlvbnMgb2YgcmlzayBtYW5hZ2VtZW50IGFuZCBpbnZlc3RtZW50IGRlY2lzaW9uLW1ha2luZyBhcyB3ZWxsIGFzIHBvbGljeSBndWlkYW5jZS4iLCJwdWJsaXNoZXIiOiJGcm9udGllcnMgTWVkaWEgU0EiLCJ2b2x1bWUiOiI5In0sImlzVGVtcG9yYXJ5IjpmYWxzZX0seyJpZCI6IjdmZGYzZjg4LTliYzktMzczOS05OWFhLThhM2MyNDUxZjBkOCIsIml0ZW1EYXRhIjp7InR5cGUiOiJhcnRpY2xlLWpvdXJuYWwiLCJpZCI6IjdmZGYzZjg4LTliYzktMzczOS05OWFhLThhM2MyNDUxZjBkOCIsInRpdGxlIjoiR2xvYmFsIGFuZCByZWdpb25hbCB2b2xhdGlsaXR5IHNwaWxsb3ZlcnMgdG8gR0NDIHN0b2NrIG1hcmtldHMiLCJhdXRob3IiOlt7ImZhbWlseSI6IkFsb3RhaWJpIiwiZ2l2ZW4iOiJBYmR1bGxhaCBSLiIsInBhcnNlLW5hbWVzIjpmYWxzZSwiZHJvcHBpbmctcGFydGljbGUiOiIiLCJub24tZHJvcHBpbmctcGFydGljbGUiOiIifSx7ImZhbWlseSI6Ik1pc2hyYSIsImdpdmVuIjoiQW5pbCIsInBhcnNlLW5hbWVzIjpmYWxzZSwiZHJvcHBpbmctcGFydGljbGUiOiJWLiIsIm5vbi1kcm9wcGluZy1wYXJ0aWNsZSI6IiJ9XSwiY29udGFpbmVyLXRpdGxlIjoiRWNvbm9taWMgTW9kZWxsaW5nIiwiY29udGFpbmVyLXRpdGxlLXNob3J0IjoiRWNvbi4gTW9kZWwuIiwiRE9JIjoiMTAuMTAxNi9qLmVjb25tb2QuMjAxNC4xMC4wNTIiLCJJU1NOIjoiMDI2NDk5OTMiLCJpc3N1ZWQiOnsiZGF0ZS1wYXJ0cyI6W1syMDE1LDIsMV1dfSwicGFnZSI6IjM4LTQ5IiwiYWJzdHJhY3QiOiJUaGlzIHBhcGVyIGV4YW1pbmVzIHRoZSBlZmZlY3RzIG9mIHJldHVybiBzcGlsbG92ZXJzIGZyb20gcmVnaW9uYWwgKFNhdWRpIEFyYWJpYSkgYW5kIGdsb2JhbCAoVVMpIG1hcmtldHMgdG8gR0NDIHN0b2NrIG1hcmtldHMgKEJhaHJhaW4sIE9tYW4sIEt1d2FpdCwgUWF0YXIsIFVuaXRlZCBBcmFiIEVtaXJhdGVzKS4gVGhlIHBhcGVyIGRldmVsb3BzIHZhcmlvdXMgYml2YXJpYXRlIEdBUkNIIG1vZGVscyBmb3IgcmVnaW9uYWwgYW5kIGdsb2JhbCByZXR1cm5zOiBCRUtLLCBjb25zdGFudCBjb3JyZWxhdGlvbiBhbmQgZHluYW1pYyBjb3JyZWxhdGlvbi4gVGhlIHNwZWNpZmljYXRpb24gdGVzdHMgYXJlIHVzZWQgdG8gY2hvb3NlIGJldHdlZW4gdGhlIG1vZGVscyB3aXRoIGFuZCB3aXRob3V0IGFzeW1tZXRyaWMgZWZmZWN0cy4gVGhlIGVzdGltYXRlZCBpbm5vdmF0aW9ucyBmb3IgdGhlIHJlZ2lvbmFsIGFuZCBnbG9iYWwgcmV0dXJucyBhcmUgdGhlbiB1c2VkIGFzIGlucHV0IGZvciB0aGUgdW5pdmFyaWF0ZSB2b2xhdGlsaXR5IHNwaWxsb3ZlciBtb2RlbCB3aGljaCBhbGxvd3MgdGhlIHVuZXhwZWN0ZWQgcmV0dXJucyBvZiBhbnkgcGFydGljdWxhciBHQ0Mgc3RvY2sgbWFya2V0IHRvIGJlIGRyaXZlbiBieSB0aHJlZSBzb3VyY2VzIG9mIHNob2NrczogbG9jYWwsIHJlZ2lvbmFsIGZyb20gU2F1ZGkgQXJhYmlhIGFuZCBnbG9iYWwgZnJvbSBVUy4gV2UgZmluZCBzaWduaWZpY2FudCByZXR1cm4gc3BpbGxvdmVyIGVmZmVjdHMgZnJvbSBTYXVkaSBBcmFiaWEgYW5kIFVTIHRvIEdDQyBtYXJrZXRzLiBUcmFkZSwgdHVybm92ZXIgYW5kIGluc3RpdHV0aW9uYWwgcXVhbGl0eSBoYXZlIHNpZ25pZmljYW50IGltcGFjdHMgb24gcmVnaW9uYWwgdm9sYXRpbGl0eSBzcGlsbG92ZXJzIGZyb20gU2F1ZGkgQXJhYmlhIHRvIEdDQyBtYXJrZXRzLiBUaGVyZSBhcmUgbWFjcm9lY29ub21pYyBwb2xpY3kgaW1wbGljYXRpb25zIGFzc29jaWF0ZWQgd2l0aCB0aGUgc3RyZW5ndGhlbmluZyBvZiBpbnRyYS1yZWdpb25hbCBhbmQgY3Jvc3MtYm9yZGVyIHRyYWRlIGluIGdvb2RzLCBzZXJ2aWNlcyBhbmQgYXNzZXRzIGFuZCByZWd1bGF0b3J5IGZyYW1ld29yay4iLCJwdWJsaXNoZXIiOiJFbHNldmllciIsInZvbHVtZSI6IjQ1In0sImlzVGVtcG9yYXJ5IjpmYWxzZX1dfQ=="/>
          <w:id w:val="-934056826"/>
          <w:placeholder>
            <w:docPart w:val="DefaultPlaceholder_-1854013440"/>
          </w:placeholder>
        </w:sdtPr>
        <w:sdtEndPr/>
        <w:sdtContent>
          <w:r w:rsidR="00E47856" w:rsidRPr="00E47856">
            <w:rPr>
              <w:color w:val="000000"/>
            </w:rPr>
            <w:t>(AL-Besher &amp; AL-Najjar, 2026; Alotaibi &amp; Mishra, 2015; Mensi et al., 2017)</w:t>
          </w:r>
        </w:sdtContent>
      </w:sdt>
      <w:r>
        <w:t>.</w:t>
      </w:r>
    </w:p>
    <w:p w14:paraId="53077053" w14:textId="77777777" w:rsidR="00CC5C3E" w:rsidRDefault="00CC5C3E" w:rsidP="00D12D84">
      <w:pPr>
        <w:bidi w:val="0"/>
        <w:spacing w:before="60" w:after="60"/>
      </w:pPr>
    </w:p>
    <w:p w14:paraId="5F6D04A1" w14:textId="77777777" w:rsidR="00CC5C3E" w:rsidRDefault="00117A87">
      <w:pPr>
        <w:pStyle w:val="1"/>
      </w:pPr>
      <w:r>
        <w:t>2. Literature Review</w:t>
      </w:r>
    </w:p>
    <w:p w14:paraId="74578494" w14:textId="77777777" w:rsidR="00CC5C3E" w:rsidRDefault="00117A87">
      <w:pPr>
        <w:pStyle w:val="2"/>
      </w:pPr>
      <w:r>
        <w:t>2.1 The ARCH/GARCH Framework: Theoretical Foundations</w:t>
      </w:r>
    </w:p>
    <w:p w14:paraId="64BF2366" w14:textId="12B73208" w:rsidR="007E1D8C" w:rsidRPr="00CF3C73" w:rsidRDefault="007E1D8C" w:rsidP="00CF3C73">
      <w:pPr>
        <w:bidi w:val="0"/>
        <w:spacing w:before="120" w:after="120" w:line="360" w:lineRule="auto"/>
        <w:jc w:val="both"/>
        <w:rPr>
          <w:sz w:val="24"/>
          <w:szCs w:val="24"/>
        </w:rPr>
      </w:pPr>
      <w:r w:rsidRPr="00CF3C73">
        <w:rPr>
          <w:sz w:val="24"/>
          <w:szCs w:val="24"/>
        </w:rPr>
        <w:t xml:space="preserve">The ARCH model introduced by </w:t>
      </w:r>
      <w:sdt>
        <w:sdtPr>
          <w:rPr>
            <w:color w:val="000000"/>
            <w:sz w:val="24"/>
            <w:szCs w:val="24"/>
          </w:rPr>
          <w:tag w:val="MENDELEY_CITATION_v3_eyJjaXRhdGlvbklEIjoiTUVOREVMRVlfQ0lUQVRJT05fNTVhN2Y3MzAtYjNhYy00NWJkLWI3ZDUtOGI5ZjM3Mzg0YzJhIiwicHJvcGVydGllcyI6eyJub3RlSW5kZXgiOjB9LCJpc0VkaXRlZCI6ZmFsc2UsIm1hbnVhbE92ZXJyaWRlIjp7ImlzTWFudWFsbHlPdmVycmlkZGVuIjpmYWxzZSwiY2l0ZXByb2NUZXh0IjoiKERpbmcgZXQgYWwuLCAxOTkzKSIsIm1hbnVhbE92ZXJyaWRlVGV4dCI6IiJ9LCJjaXRhdGlvbkl0ZW1zIjpbeyJpZCI6ImRlZTAzZmZkLTc5ZTMtM2RhMS1iNWEwLTI4MDgwYjc0ZWJmNSIsIml0ZW1EYXRhIjp7InR5cGUiOiJyZXBvcnQiLCJpZCI6ImRlZTAzZmZkLTc5ZTMtM2RhMS1iNWEwLTI4MDgwYjc0ZWJmNSIsInRpdGxlIjoiQSBsb25nIG1lbW9yeSBwcm9wZXJ0eSBvZiBzdG9jayBtYXJrZXQgcmV0dXJucyBhbmQgYSBuZXcgbW9kZWwqIiwiYXV0aG9yIjpbeyJmYW1pbHkiOiJEaW5nIiwiZ2l2ZW4iOiJaaHVhbnhpbiIsInBhcnNlLW5hbWVzIjpmYWxzZSwiZHJvcHBpbmctcGFydGljbGUiOiIiLCJub24tZHJvcHBpbmctcGFydGljbGUiOiIifSx7ImZhbWlseSI6IkdyYW5nZXIiLCJnaXZlbiI6IkNsaXZlIFcgSiIsInBhcnNlLW5hbWVzIjpmYWxzZSwiZHJvcHBpbmctcGFydGljbGUiOiIiLCJub24tZHJvcHBpbmctcGFydGljbGUiOiIifSx7ImZhbWlseSI6IkVuZ2xlIiwiZ2l2ZW4iOiJSb2JlcnQgRiIsInBhcnNlLW5hbWVzIjpmYWxzZSwiZHJvcHBpbmctcGFydGljbGUiOiIiLCJub24tZHJvcHBpbmctcGFydGljbGUiOiIifV0sImNvbnRhaW5lci10aXRsZSI6IkpvdXJuYWwgb2YgRW1waXJpY2FsIEZpbmFuY2UiLCJjb250YWluZXItdGl0bGUtc2hvcnQiOiJKLiBFbXBpci4gRmluYW5jZSIsImlzc3VlZCI6eyJkYXRlLXBhcnRzIjpbWzE5OTNdXX0sIm51bWJlci1vZi1wYWdlcyI6IjgzLTEwNiIsImFic3RyYWN0IjoiQSAnbG9uZyBtZW1vcnknIHByb3BlcnR5IG9mIHN0b2NrIG1hcmtldCByZXR1cm5zIGlzIGludmVzdGlnYXRlZCBpbiB0aGlzIHBhcGVyLiBJdCBpcyBmb3VuZCB0aGF0IG5vdCBvbmx5IHRoZXJlIGlzIHN1YnN0YW50aWFsbHkgbW9yZSBjb3JyZWxhdGlvbiBiZXR3ZWVuIGFic29sdXRlIHJldHVybnMgdGhhbiByZXR1cm5zIHRoZW1zZWx2ZXMgLCBidXQgdGhlIHBvd2VyIHRyYW5zZm9ybWF0aW9uIG9mIHRoZSBhYnNvbHV0ZSByZXR1cm4gbHJmbFwiIGFsc28gaGFzIHF1aXRlIGhpZ2ggYXV0b2NvcnJlbC1hdGlvbiBmb3IgbG9uZyBsYWdzLiBJdCBpcyBwb3NzaWJsZSB0byBjaGFyYWN0ZXJpemUgbHJmbGQgdG8gYmUgJ2xvbmcgbWVtb3J5JyBhbmQgdGhpcyBwcm9wZXJ0eSBpcyBzdHJvbmdlc3Qgd2hlbiBkIGlzIGFyb3VuZCAxLiBUaGlzIHJlc3VsdCBhcHBlYXJzIHRvIGFyZ3VlIGFnYWluc3QgQVJDSCB0eXBlIHNwZWNpZmljYXRpb25zIGJhc2VkIHVwb24gc3F1YXJlZCByZXR1cm5zLiBCdXQgb3VyIE1vbnRlLUNhcmxvIHN0dWR5IHNob3dzIHRoYXQgYm90aCBBUkNIIHR5cGUgbW9kZWxzIGJhc2VkIG9uIHNxdWFyZWQgcmV0dXJucyBhbmQgdGhvc2UgYmFzZWQgb24gYWJzb2x1dGUgcmV0dXJuIGNhbiBwcm9kdWNlIHRoaXMgcHJvcGVydHkuIEEgbmV3IGdlbmVyYWwgY2xhc3Mgb2YgbW9kZWxzIGlzIHByb3Bvc2VkIHdoaWNoIGFsbG93cyB0aGUgcG93ZXIgNiBvZiB0aGUgaGV0ZXJvc2tlZGFzdGljaXR5IGVxdWF0aW9uIHRvIGJlIGVzdGltYXRlZCBmcm9tIHRoZSBkYXRhLiIsInZvbHVtZSI6IjEifSwiaXNUZW1wb3JhcnkiOmZhbHNlfV19"/>
          <w:id w:val="1787148470"/>
          <w:placeholder>
            <w:docPart w:val="DefaultPlaceholder_-1854013440"/>
          </w:placeholder>
        </w:sdtPr>
        <w:sdtEndPr/>
        <w:sdtContent>
          <w:r w:rsidR="00E47856" w:rsidRPr="00E47856">
            <w:rPr>
              <w:color w:val="000000"/>
              <w:sz w:val="24"/>
              <w:szCs w:val="24"/>
            </w:rPr>
            <w:t>(Ding et al., 1993)</w:t>
          </w:r>
        </w:sdtContent>
      </w:sdt>
      <w:r w:rsidRPr="00CF3C73">
        <w:rPr>
          <w:sz w:val="24"/>
          <w:szCs w:val="24"/>
        </w:rPr>
        <w:t xml:space="preserve"> formally captures the well-known phenomenon of volatility clustering by allowing the conditional variance to depend on past squared residuals. Let r_t denote the continuously compounded return on a financial asset at time t. The ARCH(q) process specifies the conditional mean and variance as:</w:t>
      </w:r>
    </w:p>
    <w:p w14:paraId="5A423198" w14:textId="77777777" w:rsidR="007E1D8C" w:rsidRDefault="007E1D8C" w:rsidP="007E1D8C">
      <w:pPr>
        <w:bidi w:val="0"/>
        <w:spacing w:before="120" w:after="120"/>
        <w:jc w:val="center"/>
        <w:rPr>
          <w:rFonts w:ascii="Cambria Math" w:eastAsia="Cambria Math" w:hAnsi="Cambria Math" w:cs="Cambria Math"/>
          <w:i/>
          <w:iCs/>
        </w:rPr>
      </w:pPr>
    </w:p>
    <w:p w14:paraId="1F9F9F6D" w14:textId="02CAC084" w:rsidR="00473724" w:rsidRPr="00473724" w:rsidRDefault="00BC3A9F" w:rsidP="007E1D8C">
      <w:pPr>
        <w:bidi w:val="0"/>
        <w:spacing w:before="60" w:after="60" w:line="360" w:lineRule="auto"/>
        <w:ind w:firstLine="720"/>
        <w:jc w:val="both"/>
        <w:rPr>
          <w:rFonts w:ascii="Cambria Math" w:eastAsia="Cambria Math" w:hAnsi="Cambria Math" w:cs="Cambria Math"/>
          <w:i/>
          <w:iCs/>
        </w:rPr>
      </w:pPr>
      <m:oMathPara>
        <m:oMath>
          <m:sSub>
            <m:sSubPr>
              <m:ctrlPr>
                <w:rPr>
                  <w:rFonts w:ascii="Cambria Math" w:eastAsia="Cambria Math" w:hAnsi="Cambria Math" w:cs="Cambria Math"/>
                  <w:i/>
                  <w:iCs/>
                </w:rPr>
              </m:ctrlPr>
            </m:sSubPr>
            <m:e>
              <m:r>
                <w:rPr>
                  <w:rFonts w:ascii="Cambria Math" w:eastAsia="Cambria Math" w:hAnsi="Cambria Math" w:cs="Cambria Math"/>
                </w:rPr>
                <m:t>r</m:t>
              </m:r>
            </m:e>
            <m:sub>
              <m:r>
                <w:rPr>
                  <w:rFonts w:ascii="Cambria Math" w:eastAsia="Cambria Math" w:hAnsi="Cambria Math" w:cs="Cambria Math"/>
                </w:rPr>
                <m:t>t</m:t>
              </m:r>
            </m:sub>
          </m:sSub>
          <m:r>
            <w:rPr>
              <w:rFonts w:ascii="Cambria Math" w:eastAsia="Cambria Math" w:hAnsi="Cambria Math" w:cs="Cambria Math"/>
            </w:rPr>
            <m:t xml:space="preserve">= μ+ </m:t>
          </m:r>
          <m:sSub>
            <m:sSubPr>
              <m:ctrlPr>
                <w:rPr>
                  <w:rFonts w:ascii="Cambria Math" w:eastAsia="Cambria Math" w:hAnsi="Cambria Math" w:cs="Cambria Math"/>
                  <w:i/>
                  <w:iCs/>
                </w:rPr>
              </m:ctrlPr>
            </m:sSubPr>
            <m:e>
              <m:r>
                <w:rPr>
                  <w:rFonts w:ascii="Cambria Math" w:eastAsia="Cambria Math" w:hAnsi="Cambria Math" w:cs="Cambria Math"/>
                </w:rPr>
                <m:t>ϵ</m:t>
              </m:r>
            </m:e>
            <m:sub>
              <m:r>
                <w:rPr>
                  <w:rFonts w:ascii="Cambria Math" w:eastAsia="Cambria Math" w:hAnsi="Cambria Math" w:cs="Cambria Math"/>
                </w:rPr>
                <m:t>t</m:t>
              </m:r>
            </m:sub>
          </m:sSub>
          <m:r>
            <w:rPr>
              <w:rFonts w:ascii="Cambria Math" w:eastAsia="Cambria Math" w:hAnsi="Cambria Math" w:cs="Cambria Math"/>
            </w:rPr>
            <m:t xml:space="preserve">, \quad </m:t>
          </m:r>
          <m:sSub>
            <m:sSubPr>
              <m:ctrlPr>
                <w:rPr>
                  <w:rFonts w:ascii="Cambria Math" w:eastAsia="Cambria Math" w:hAnsi="Cambria Math" w:cs="Cambria Math"/>
                  <w:i/>
                  <w:iCs/>
                </w:rPr>
              </m:ctrlPr>
            </m:sSubPr>
            <m:e>
              <m:r>
                <w:rPr>
                  <w:rFonts w:ascii="Cambria Math" w:eastAsia="Cambria Math" w:hAnsi="Cambria Math" w:cs="Cambria Math"/>
                </w:rPr>
                <m:t>ϵ</m:t>
              </m:r>
            </m:e>
            <m:sub>
              <m:r>
                <w:rPr>
                  <w:rFonts w:ascii="Cambria Math" w:eastAsia="Cambria Math" w:hAnsi="Cambria Math" w:cs="Cambria Math"/>
                </w:rPr>
                <m:t>t</m:t>
              </m:r>
            </m:sub>
          </m:sSub>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z</m:t>
              </m:r>
            </m:e>
            <m:sub>
              <m:r>
                <w:rPr>
                  <w:rFonts w:ascii="Cambria Math" w:eastAsia="Cambria Math" w:hAnsi="Cambria Math" w:cs="Cambria Math"/>
                </w:rPr>
                <m:t>t</m:t>
              </m:r>
            </m:sub>
          </m:sSub>
          <m:rad>
            <m:radPr>
              <m:degHide m:val="1"/>
              <m:ctrlPr>
                <w:rPr>
                  <w:rFonts w:ascii="Cambria Math" w:eastAsia="Cambria Math" w:hAnsi="Cambria Math" w:cs="Cambria Math"/>
                  <w:i/>
                  <w:iCs/>
                </w:rPr>
              </m:ctrlPr>
            </m:radPr>
            <m:deg/>
            <m:e>
              <m:d>
                <m:dPr>
                  <m:begChr m:val="{"/>
                  <m:endChr m:val="}"/>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h</m:t>
                      </m:r>
                    </m:e>
                    <m:sub>
                      <m:r>
                        <w:rPr>
                          <w:rFonts w:ascii="Cambria Math" w:eastAsia="Cambria Math" w:hAnsi="Cambria Math" w:cs="Cambria Math"/>
                        </w:rPr>
                        <m:t>t</m:t>
                      </m:r>
                    </m:sub>
                  </m:sSub>
                </m:e>
              </m:d>
            </m:e>
          </m:rad>
          <m:r>
            <w:rPr>
              <w:rFonts w:ascii="Cambria Math" w:eastAsia="Cambria Math" w:hAnsi="Cambria Math" w:cs="Cambria Math"/>
            </w:rPr>
            <m:t xml:space="preserve">, \quad </m:t>
          </m:r>
          <m:sSub>
            <m:sSubPr>
              <m:ctrlPr>
                <w:rPr>
                  <w:rFonts w:ascii="Cambria Math" w:eastAsia="Cambria Math" w:hAnsi="Cambria Math" w:cs="Cambria Math"/>
                  <w:i/>
                  <w:iCs/>
                </w:rPr>
              </m:ctrlPr>
            </m:sSubPr>
            <m:e>
              <m:r>
                <w:rPr>
                  <w:rFonts w:ascii="Cambria Math" w:eastAsia="Cambria Math" w:hAnsi="Cambria Math" w:cs="Cambria Math"/>
                </w:rPr>
                <m:t>z</m:t>
              </m:r>
            </m:e>
            <m:sub>
              <m:r>
                <w:rPr>
                  <w:rFonts w:ascii="Cambria Math" w:eastAsia="Cambria Math" w:hAnsi="Cambria Math" w:cs="Cambria Math"/>
                </w:rPr>
                <m:t>t</m:t>
              </m:r>
            </m:sub>
          </m:sSub>
          <m:r>
            <w:rPr>
              <w:rFonts w:ascii="Cambria Math" w:eastAsia="Cambria Math" w:hAnsi="Cambria Math" w:cs="Cambria Math"/>
            </w:rPr>
            <m:t>∼\text</m:t>
          </m:r>
          <m:d>
            <m:dPr>
              <m:begChr m:val="{"/>
              <m:endChr m:val="}"/>
              <m:ctrlPr>
                <w:rPr>
                  <w:rFonts w:ascii="Cambria Math" w:eastAsia="Cambria Math" w:hAnsi="Cambria Math" w:cs="Cambria Math"/>
                  <w:i/>
                  <w:iCs/>
                </w:rPr>
              </m:ctrlPr>
            </m:dPr>
            <m:e>
              <m:r>
                <w:rPr>
                  <w:rFonts w:ascii="Cambria Math" w:eastAsia="Cambria Math" w:hAnsi="Cambria Math" w:cs="Cambria Math"/>
                </w:rPr>
                <m:t>i.i.d.</m:t>
              </m:r>
            </m:e>
          </m:d>
          <m:d>
            <m:dPr>
              <m:ctrlPr>
                <w:rPr>
                  <w:rFonts w:ascii="Cambria Math" w:eastAsia="Cambria Math" w:hAnsi="Cambria Math" w:cs="Cambria Math"/>
                  <w:i/>
                  <w:iCs/>
                </w:rPr>
              </m:ctrlPr>
            </m:dPr>
            <m:e>
              <m:r>
                <w:rPr>
                  <w:rFonts w:ascii="Cambria Math" w:eastAsia="Cambria Math" w:hAnsi="Cambria Math" w:cs="Cambria Math"/>
                </w:rPr>
                <m:t>0,1</m:t>
              </m:r>
            </m:e>
          </m:d>
        </m:oMath>
      </m:oMathPara>
    </w:p>
    <w:p w14:paraId="767521BD" w14:textId="77777777" w:rsidR="00473724" w:rsidRDefault="00473724" w:rsidP="00473724">
      <w:pPr>
        <w:bidi w:val="0"/>
        <w:spacing w:before="60" w:after="60" w:line="360" w:lineRule="auto"/>
        <w:ind w:firstLine="720"/>
        <w:jc w:val="both"/>
        <w:rPr>
          <w:rFonts w:ascii="Cambria Math" w:eastAsia="Cambria Math" w:hAnsi="Cambria Math" w:cs="Cambria Math"/>
          <w:i/>
          <w:iCs/>
        </w:rPr>
      </w:pPr>
    </w:p>
    <w:p w14:paraId="31935825" w14:textId="7A85B4C7" w:rsidR="00473724" w:rsidRPr="00473724" w:rsidRDefault="00BC3A9F" w:rsidP="00473724">
      <w:pPr>
        <w:bidi w:val="0"/>
        <w:spacing w:before="60" w:after="60" w:line="360" w:lineRule="auto"/>
        <w:ind w:firstLine="720"/>
        <w:jc w:val="both"/>
        <w:rPr>
          <w:rFonts w:ascii="Cambria Math" w:eastAsia="Cambria Math" w:hAnsi="Cambria Math" w:cs="Cambria Math"/>
          <w:i/>
          <w:iCs/>
        </w:rPr>
      </w:pPr>
      <m:oMathPara>
        <m:oMath>
          <m:sSub>
            <m:sSubPr>
              <m:ctrlPr>
                <w:rPr>
                  <w:rFonts w:ascii="Cambria Math" w:eastAsia="Cambria Math" w:hAnsi="Cambria Math" w:cs="Cambria Math"/>
                  <w:i/>
                  <w:iCs/>
                </w:rPr>
              </m:ctrlPr>
            </m:sSubPr>
            <m:e>
              <m:r>
                <w:rPr>
                  <w:rFonts w:ascii="Cambria Math" w:eastAsia="Cambria Math" w:hAnsi="Cambria Math" w:cs="Cambria Math"/>
                </w:rPr>
                <m:t>h</m:t>
              </m:r>
            </m:e>
            <m:sub>
              <m:r>
                <w:rPr>
                  <w:rFonts w:ascii="Cambria Math" w:eastAsia="Cambria Math" w:hAnsi="Cambria Math" w:cs="Cambria Math"/>
                </w:rPr>
                <m:t>t</m:t>
              </m:r>
            </m:sub>
          </m:sSub>
          <m:r>
            <w:rPr>
              <w:rFonts w:ascii="Cambria Math" w:eastAsia="Cambria Math" w:hAnsi="Cambria Math" w:cs="Cambria Math"/>
            </w:rPr>
            <m:t>= ω+ \su</m:t>
          </m:r>
          <m:sSub>
            <m:sSubPr>
              <m:ctrlPr>
                <w:rPr>
                  <w:rFonts w:ascii="Cambria Math" w:eastAsia="Cambria Math" w:hAnsi="Cambria Math" w:cs="Cambria Math"/>
                  <w:i/>
                  <w:iCs/>
                </w:rPr>
              </m:ctrlPr>
            </m:sSubPr>
            <m:e>
              <m:r>
                <w:rPr>
                  <w:rFonts w:ascii="Cambria Math" w:eastAsia="Cambria Math" w:hAnsi="Cambria Math" w:cs="Cambria Math"/>
                </w:rPr>
                <m:t>m</m:t>
              </m:r>
            </m:e>
            <m:sub>
              <m:sSubSup>
                <m:sSubSupPr>
                  <m:ctrlPr>
                    <w:rPr>
                      <w:rFonts w:ascii="Cambria Math" w:eastAsia="Cambria Math" w:hAnsi="Cambria Math" w:cs="Cambria Math"/>
                      <w:i/>
                      <w:iCs/>
                    </w:rPr>
                  </m:ctrlPr>
                </m:sSubSupPr>
                <m:e>
                  <m:d>
                    <m:dPr>
                      <m:begChr m:val="{"/>
                      <m:endChr m:val="}"/>
                      <m:ctrlPr>
                        <w:rPr>
                          <w:rFonts w:ascii="Cambria Math" w:eastAsia="Cambria Math" w:hAnsi="Cambria Math" w:cs="Cambria Math"/>
                          <w:i/>
                          <w:iCs/>
                        </w:rPr>
                      </m:ctrlPr>
                    </m:dPr>
                    <m:e>
                      <m:r>
                        <w:rPr>
                          <w:rFonts w:ascii="Cambria Math" w:eastAsia="Cambria Math" w:hAnsi="Cambria Math" w:cs="Cambria Math"/>
                        </w:rPr>
                        <m:t>i=1</m:t>
                      </m:r>
                    </m:e>
                  </m:d>
                </m:e>
                <m:sub>
                  <m:r>
                    <w:rPr>
                      <w:rFonts w:ascii="Cambria Math" w:eastAsia="Cambria Math" w:hAnsi="Cambria Math" w:cs="Cambria Math"/>
                    </w:rPr>
                    <m:t>i</m:t>
                  </m:r>
                </m:sub>
                <m:sup>
                  <m:d>
                    <m:dPr>
                      <m:begChr m:val="{"/>
                      <m:endChr m:val="}"/>
                      <m:ctrlPr>
                        <w:rPr>
                          <w:rFonts w:ascii="Cambria Math" w:eastAsia="Cambria Math" w:hAnsi="Cambria Math" w:cs="Cambria Math"/>
                          <w:i/>
                          <w:iCs/>
                        </w:rPr>
                      </m:ctrlPr>
                    </m:dPr>
                    <m:e>
                      <m:r>
                        <w:rPr>
                          <w:rFonts w:ascii="Cambria Math" w:eastAsia="Cambria Math" w:hAnsi="Cambria Math" w:cs="Cambria Math"/>
                        </w:rPr>
                        <m:t>q</m:t>
                      </m:r>
                    </m:e>
                  </m:d>
                  <m:r>
                    <w:rPr>
                      <w:rFonts w:ascii="Cambria Math" w:eastAsia="Cambria Math" w:hAnsi="Cambria Math" w:cs="Cambria Math"/>
                    </w:rPr>
                    <m:t>α</m:t>
                  </m:r>
                </m:sup>
              </m:sSubSup>
              <m:r>
                <w:rPr>
                  <w:rFonts w:ascii="Cambria Math" w:eastAsia="Cambria Math" w:hAnsi="Cambria Math" w:cs="Cambria Math"/>
                </w:rPr>
                <m:t>\epsilo</m:t>
              </m:r>
              <m:sSubSup>
                <m:sSubSupPr>
                  <m:ctrlPr>
                    <w:rPr>
                      <w:rFonts w:ascii="Cambria Math" w:eastAsia="Cambria Math" w:hAnsi="Cambria Math" w:cs="Cambria Math"/>
                      <w:i/>
                      <w:iCs/>
                    </w:rPr>
                  </m:ctrlPr>
                </m:sSubSupPr>
                <m:e>
                  <m:r>
                    <w:rPr>
                      <w:rFonts w:ascii="Cambria Math" w:eastAsia="Cambria Math" w:hAnsi="Cambria Math" w:cs="Cambria Math"/>
                    </w:rPr>
                    <m:t>n</m:t>
                  </m:r>
                </m:e>
                <m:sub>
                  <m:d>
                    <m:dPr>
                      <m:begChr m:val="{"/>
                      <m:endChr m:val="}"/>
                      <m:ctrlPr>
                        <w:rPr>
                          <w:rFonts w:ascii="Cambria Math" w:eastAsia="Cambria Math" w:hAnsi="Cambria Math" w:cs="Cambria Math"/>
                          <w:i/>
                          <w:iCs/>
                        </w:rPr>
                      </m:ctrlPr>
                    </m:dPr>
                    <m:e>
                      <m:r>
                        <w:rPr>
                          <w:rFonts w:ascii="Cambria Math" w:eastAsia="Cambria Math" w:hAnsi="Cambria Math" w:cs="Cambria Math"/>
                        </w:rPr>
                        <m:t>t-i</m:t>
                      </m:r>
                    </m:e>
                  </m:d>
                </m:sub>
                <m:sup>
                  <m:r>
                    <w:rPr>
                      <w:rFonts w:ascii="Cambria Math" w:eastAsia="Cambria Math" w:hAnsi="Cambria Math" w:cs="Cambria Math"/>
                    </w:rPr>
                    <m:t>2</m:t>
                  </m:r>
                </m:sup>
              </m:sSubSup>
            </m:sub>
          </m:sSub>
        </m:oMath>
      </m:oMathPara>
    </w:p>
    <w:p w14:paraId="39187C9B" w14:textId="77777777" w:rsidR="00473724" w:rsidRPr="00473724" w:rsidRDefault="00473724" w:rsidP="00473724">
      <w:pPr>
        <w:bidi w:val="0"/>
        <w:spacing w:before="60" w:after="60" w:line="360" w:lineRule="auto"/>
        <w:ind w:firstLine="720"/>
        <w:jc w:val="both"/>
        <w:rPr>
          <w:rFonts w:ascii="Cambria Math" w:eastAsia="Cambria Math" w:hAnsi="Cambria Math" w:cs="Cambria Math"/>
          <w:i/>
          <w:iCs/>
        </w:rPr>
      </w:pPr>
    </w:p>
    <w:p w14:paraId="3C7973C2" w14:textId="5BCE97BA" w:rsidR="00CC5C3E" w:rsidRDefault="00117A87" w:rsidP="00473724">
      <w:pPr>
        <w:bidi w:val="0"/>
        <w:spacing w:before="60" w:after="60" w:line="360" w:lineRule="auto"/>
        <w:ind w:firstLine="720"/>
        <w:jc w:val="both"/>
      </w:pPr>
      <w:r>
        <w:t>where h_t denotes the conditional variance, omega &gt; 0, and alpha_i &gt;= 0 for all i. The GARCH(p,q) generalization by Bollerslev (1986) augments the conditional variance equation with lagged values of h_t itself:</w:t>
      </w:r>
    </w:p>
    <w:p w14:paraId="32AE45B1" w14:textId="72FDF28E" w:rsidR="00473724" w:rsidRPr="000B5790" w:rsidRDefault="00BC3A9F" w:rsidP="007E1D8C">
      <w:pPr>
        <w:bidi w:val="0"/>
        <w:spacing w:before="120" w:after="120"/>
        <w:rPr>
          <w:iCs/>
        </w:rPr>
      </w:pPr>
      <m:oMathPara>
        <m:oMath>
          <m:sSub>
            <m:sSubPr>
              <m:ctrlPr>
                <w:rPr>
                  <w:rFonts w:ascii="Cambria Math" w:eastAsia="Cambria Math" w:hAnsi="Cambria Math" w:cs="Cambria Math"/>
                  <w:i/>
                  <w:iCs/>
                </w:rPr>
              </m:ctrlPr>
            </m:sSubPr>
            <m:e>
              <m:r>
                <w:rPr>
                  <w:rFonts w:ascii="Cambria Math" w:eastAsia="Cambria Math" w:hAnsi="Cambria Math" w:cs="Cambria Math"/>
                </w:rPr>
                <m:t>h</m:t>
              </m:r>
            </m:e>
            <m:sub>
              <m:r>
                <w:rPr>
                  <w:rFonts w:ascii="Cambria Math" w:eastAsia="Cambria Math" w:hAnsi="Cambria Math" w:cs="Cambria Math"/>
                </w:rPr>
                <m:t>t</m:t>
              </m:r>
            </m:sub>
          </m:sSub>
          <m:r>
            <w:rPr>
              <w:rFonts w:ascii="Cambria Math" w:eastAsia="Cambria Math" w:hAnsi="Cambria Math" w:cs="Cambria Math"/>
            </w:rPr>
            <m:t>= ω+ \su</m:t>
          </m:r>
          <m:sSub>
            <m:sSubPr>
              <m:ctrlPr>
                <w:rPr>
                  <w:rFonts w:ascii="Cambria Math" w:eastAsia="Cambria Math" w:hAnsi="Cambria Math" w:cs="Cambria Math"/>
                  <w:i/>
                  <w:iCs/>
                </w:rPr>
              </m:ctrlPr>
            </m:sSubPr>
            <m:e>
              <m:r>
                <w:rPr>
                  <w:rFonts w:ascii="Cambria Math" w:eastAsia="Cambria Math" w:hAnsi="Cambria Math" w:cs="Cambria Math"/>
                </w:rPr>
                <m:t>m</m:t>
              </m:r>
            </m:e>
            <m:sub>
              <m:sSubSup>
                <m:sSubSupPr>
                  <m:ctrlPr>
                    <w:rPr>
                      <w:rFonts w:ascii="Cambria Math" w:eastAsia="Cambria Math" w:hAnsi="Cambria Math" w:cs="Cambria Math"/>
                      <w:i/>
                      <w:iCs/>
                    </w:rPr>
                  </m:ctrlPr>
                </m:sSubSupPr>
                <m:e>
                  <m:d>
                    <m:dPr>
                      <m:begChr m:val="{"/>
                      <m:endChr m:val="}"/>
                      <m:ctrlPr>
                        <w:rPr>
                          <w:rFonts w:ascii="Cambria Math" w:eastAsia="Cambria Math" w:hAnsi="Cambria Math" w:cs="Cambria Math"/>
                          <w:i/>
                          <w:iCs/>
                        </w:rPr>
                      </m:ctrlPr>
                    </m:dPr>
                    <m:e>
                      <m:r>
                        <w:rPr>
                          <w:rFonts w:ascii="Cambria Math" w:eastAsia="Cambria Math" w:hAnsi="Cambria Math" w:cs="Cambria Math"/>
                        </w:rPr>
                        <m:t>i=1</m:t>
                      </m:r>
                    </m:e>
                  </m:d>
                </m:e>
                <m:sub>
                  <m:r>
                    <w:rPr>
                      <w:rFonts w:ascii="Cambria Math" w:eastAsia="Cambria Math" w:hAnsi="Cambria Math" w:cs="Cambria Math"/>
                    </w:rPr>
                    <m:t>i</m:t>
                  </m:r>
                </m:sub>
                <m:sup>
                  <m:d>
                    <m:dPr>
                      <m:begChr m:val="{"/>
                      <m:endChr m:val="}"/>
                      <m:ctrlPr>
                        <w:rPr>
                          <w:rFonts w:ascii="Cambria Math" w:eastAsia="Cambria Math" w:hAnsi="Cambria Math" w:cs="Cambria Math"/>
                          <w:i/>
                          <w:iCs/>
                        </w:rPr>
                      </m:ctrlPr>
                    </m:dPr>
                    <m:e>
                      <m:r>
                        <w:rPr>
                          <w:rFonts w:ascii="Cambria Math" w:eastAsia="Cambria Math" w:hAnsi="Cambria Math" w:cs="Cambria Math"/>
                        </w:rPr>
                        <m:t>q</m:t>
                      </m:r>
                    </m:e>
                  </m:d>
                  <m:r>
                    <w:rPr>
                      <w:rFonts w:ascii="Cambria Math" w:eastAsia="Cambria Math" w:hAnsi="Cambria Math" w:cs="Cambria Math"/>
                    </w:rPr>
                    <m:t>α</m:t>
                  </m:r>
                </m:sup>
              </m:sSubSup>
              <m:sSubSup>
                <m:sSubSupPr>
                  <m:ctrlPr>
                    <w:rPr>
                      <w:rFonts w:ascii="Cambria Math" w:eastAsia="Cambria Math" w:hAnsi="Cambria Math" w:cs="Cambria Math"/>
                      <w:i/>
                      <w:iCs/>
                    </w:rPr>
                  </m:ctrlPr>
                </m:sSubSupPr>
                <m:e>
                  <m:r>
                    <w:rPr>
                      <w:rFonts w:ascii="Cambria Math" w:eastAsia="Cambria Math" w:hAnsi="Cambria Math" w:cs="Cambria Math"/>
                    </w:rPr>
                    <m:t>ϵ</m:t>
                  </m:r>
                </m:e>
                <m:sub>
                  <m:d>
                    <m:dPr>
                      <m:begChr m:val="{"/>
                      <m:endChr m:val="}"/>
                      <m:ctrlPr>
                        <w:rPr>
                          <w:rFonts w:ascii="Cambria Math" w:eastAsia="Cambria Math" w:hAnsi="Cambria Math" w:cs="Cambria Math"/>
                          <w:i/>
                          <w:iCs/>
                        </w:rPr>
                      </m:ctrlPr>
                    </m:dPr>
                    <m:e>
                      <m:r>
                        <w:rPr>
                          <w:rFonts w:ascii="Cambria Math" w:eastAsia="Cambria Math" w:hAnsi="Cambria Math" w:cs="Cambria Math"/>
                        </w:rPr>
                        <m:t>t-i</m:t>
                      </m:r>
                    </m:e>
                  </m:d>
                </m:sub>
                <m:sup>
                  <m:r>
                    <w:rPr>
                      <w:rFonts w:ascii="Cambria Math" w:eastAsia="Cambria Math" w:hAnsi="Cambria Math" w:cs="Cambria Math"/>
                    </w:rPr>
                    <m:t>2</m:t>
                  </m:r>
                </m:sup>
              </m:sSubSup>
            </m:sub>
          </m:sSub>
          <m:r>
            <w:rPr>
              <w:rFonts w:ascii="Cambria Math" w:eastAsia="Cambria Math" w:hAnsi="Cambria Math" w:cs="Cambria Math"/>
            </w:rPr>
            <m:t xml:space="preserve">+ </m:t>
          </m:r>
          <m:nary>
            <m:naryPr>
              <m:chr m:val="∑"/>
              <m:supHide m:val="1"/>
              <m:ctrlPr>
                <w:rPr>
                  <w:rFonts w:ascii="Cambria Math" w:eastAsia="Cambria Math" w:hAnsi="Cambria Math" w:cs="Cambria Math"/>
                  <w:i/>
                  <w:iCs/>
                </w:rPr>
              </m:ctrlPr>
            </m:naryPr>
            <m:sub>
              <m:sSubSup>
                <m:sSubSupPr>
                  <m:ctrlPr>
                    <w:rPr>
                      <w:rFonts w:ascii="Cambria Math" w:eastAsia="Cambria Math" w:hAnsi="Cambria Math" w:cs="Cambria Math"/>
                      <w:i/>
                      <w:iCs/>
                    </w:rPr>
                  </m:ctrlPr>
                </m:sSubSupPr>
                <m:e>
                  <m:d>
                    <m:dPr>
                      <m:begChr m:val="{"/>
                      <m:endChr m:val="}"/>
                      <m:ctrlPr>
                        <w:rPr>
                          <w:rFonts w:ascii="Cambria Math" w:eastAsia="Cambria Math" w:hAnsi="Cambria Math" w:cs="Cambria Math"/>
                          <w:i/>
                          <w:iCs/>
                        </w:rPr>
                      </m:ctrlPr>
                    </m:dPr>
                    <m:e>
                      <m:r>
                        <w:rPr>
                          <w:rFonts w:ascii="Cambria Math" w:eastAsia="Cambria Math" w:hAnsi="Cambria Math" w:cs="Cambria Math"/>
                        </w:rPr>
                        <m:t>j=1</m:t>
                      </m:r>
                    </m:e>
                  </m:d>
                </m:e>
                <m:sub>
                  <m:r>
                    <w:rPr>
                      <w:rFonts w:ascii="Cambria Math" w:eastAsia="Cambria Math" w:hAnsi="Cambria Math" w:cs="Cambria Math"/>
                    </w:rPr>
                    <m:t>j</m:t>
                  </m:r>
                </m:sub>
                <m:sup>
                  <m:d>
                    <m:dPr>
                      <m:begChr m:val="{"/>
                      <m:endChr m:val="}"/>
                      <m:ctrlPr>
                        <w:rPr>
                          <w:rFonts w:ascii="Cambria Math" w:eastAsia="Cambria Math" w:hAnsi="Cambria Math" w:cs="Cambria Math"/>
                          <w:i/>
                          <w:iCs/>
                        </w:rPr>
                      </m:ctrlPr>
                    </m:dPr>
                    <m:e>
                      <m:r>
                        <w:rPr>
                          <w:rFonts w:ascii="Cambria Math" w:eastAsia="Cambria Math" w:hAnsi="Cambria Math" w:cs="Cambria Math"/>
                        </w:rPr>
                        <m:t>p</m:t>
                      </m:r>
                    </m:e>
                  </m:d>
                  <m:r>
                    <w:rPr>
                      <w:rFonts w:ascii="Cambria Math" w:eastAsia="Cambria Math" w:hAnsi="Cambria Math" w:cs="Cambria Math"/>
                    </w:rPr>
                    <m:t>β</m:t>
                  </m:r>
                </m:sup>
              </m:sSubSup>
              <m:sSub>
                <m:sSubPr>
                  <m:ctrlPr>
                    <w:rPr>
                      <w:rFonts w:ascii="Cambria Math" w:eastAsia="Cambria Math" w:hAnsi="Cambria Math" w:cs="Cambria Math"/>
                      <w:i/>
                      <w:iCs/>
                    </w:rPr>
                  </m:ctrlPr>
                </m:sSubPr>
                <m:e>
                  <m:r>
                    <w:rPr>
                      <w:rFonts w:ascii="Cambria Math" w:eastAsia="Cambria Math" w:hAnsi="Cambria Math" w:cs="Cambria Math"/>
                    </w:rPr>
                    <m:t>h</m:t>
                  </m:r>
                </m:e>
                <m:sub>
                  <m:d>
                    <m:dPr>
                      <m:begChr m:val="{"/>
                      <m:endChr m:val="}"/>
                      <m:ctrlPr>
                        <w:rPr>
                          <w:rFonts w:ascii="Cambria Math" w:eastAsia="Cambria Math" w:hAnsi="Cambria Math" w:cs="Cambria Math"/>
                          <w:i/>
                          <w:iCs/>
                        </w:rPr>
                      </m:ctrlPr>
                    </m:dPr>
                    <m:e>
                      <m:r>
                        <w:rPr>
                          <w:rFonts w:ascii="Cambria Math" w:eastAsia="Cambria Math" w:hAnsi="Cambria Math" w:cs="Cambria Math"/>
                        </w:rPr>
                        <m:t>t-j</m:t>
                      </m:r>
                    </m:e>
                  </m:d>
                </m:sub>
              </m:sSub>
            </m:sub>
            <m:sup/>
            <m:e/>
          </m:nary>
        </m:oMath>
      </m:oMathPara>
    </w:p>
    <w:p w14:paraId="3C4FF281" w14:textId="77777777" w:rsidR="000B5790" w:rsidRPr="000B5790" w:rsidRDefault="000B5790" w:rsidP="000B5790">
      <w:pPr>
        <w:bidi w:val="0"/>
        <w:spacing w:before="120" w:after="120"/>
        <w:rPr>
          <w:iCs/>
        </w:rPr>
      </w:pPr>
    </w:p>
    <w:p w14:paraId="3C0CA87D" w14:textId="0BEB415A" w:rsidR="00103524" w:rsidRPr="00CF3C73" w:rsidRDefault="00103524" w:rsidP="00CF3C73">
      <w:pPr>
        <w:bidi w:val="0"/>
        <w:spacing w:before="120" w:after="120" w:line="360" w:lineRule="auto"/>
        <w:jc w:val="both"/>
        <w:rPr>
          <w:sz w:val="24"/>
          <w:szCs w:val="24"/>
        </w:rPr>
      </w:pPr>
      <w:r w:rsidRPr="00CF3C73">
        <w:rPr>
          <w:sz w:val="24"/>
          <w:szCs w:val="24"/>
        </w:rPr>
        <w:t>In a thorough analysis of 330 GARCH models, Hansen and Lunde (2005) conclude that the parsimonious GARCH(1,1) specification with only one ARCH and one GARCH lag is sufficient for empirically capturing the conditional volatility dynamics of the majority of financial time series. Covariance stationarity requires that the sum of alpha_i and beta_j be less than one</w:t>
      </w:r>
      <w:sdt>
        <w:sdtPr>
          <w:rPr>
            <w:color w:val="000000"/>
            <w:sz w:val="24"/>
            <w:szCs w:val="24"/>
          </w:rPr>
          <w:tag w:val="MENDELEY_CITATION_v3_eyJjaXRhdGlvbklEIjoiTUVOREVMRVlfQ0lUQVRJT05fYjdmZjAzMWUtYjQ4MS00MTdmLWE3MTAtNjJjYjZkYzExMWU1IiwicHJvcGVydGllcyI6eyJub3RlSW5kZXgiOjB9LCJpc0VkaXRlZCI6ZmFsc2UsIm1hbnVhbE92ZXJyaWRlIjp7ImlzTWFudWFsbHlPdmVycmlkZGVuIjpmYWxzZSwiY2l0ZXByb2NUZXh0IjoiKEhhc2FuaG9kemljICYjMzg7IExvLCBuLmQuKSIsIm1hbnVhbE92ZXJyaWRlVGV4dCI6IiJ9LCJjaXRhdGlvbkl0ZW1zIjpbeyJpZCI6ImQ0MDBmZmZiLTBiODYtMzFiNS1iODUwLTEyZGU4MmNiNjZmMSIsIml0ZW1EYXRhIjp7InR5cGUiOiJyZXBvcnQiLCJpZCI6ImQ0MDBmZmZiLTBiODYtMzFiNS1iODUwLTEyZGU4MmNiNjZmMSIsInRpdGxlIjoiQmxhY2sncyBMZXZlcmFnZSBFZmZlY3QgSXMgTm90IER1ZSBUbyBMZXZlcmFnZSAqIiwiYXV0aG9yIjpbeyJmYW1pbHkiOiJIYXNhbmhvZHppYyIsImdpdmVuIjoiSmFzbWluYSIsInBhcnNlLW5hbWVzIjpmYWxzZSwiZHJvcHBpbmctcGFydGljbGUiOiIiLCJub24tZHJvcHBpbmctcGFydGljbGUiOiIifSx7ImZhbWlseSI6IkxvIiwiZ2l2ZW4iOiJBbmRyZXcgVyIsInBhcnNlLW5hbWVzIjpmYWxzZSwiZHJvcHBpbmctcGFydGljbGUiOiIiLCJub24tZHJvcHBpbmctcGFydGljbGUiOiIifV0sIlVSTCI6Imh0dHA6Ly9zc3JuLmNvbS9hYnN0cmFjdD0xNzYyMzYzaHR0cHM6Ly9zc3JuLmNvbS9hYnN0cmFjdD0xNzYyMzYzRWxlY3Ryb25pY2NvcHlhdmFpbGFibGVhdDpodHRwOi8vc3Nybi5jb20vYWJzdHJhY3Q9MTc2MjM2MyIsImFic3RyYWN0IjoiT25lIG9mIHRoZSBtb3N0IGVuZHVyaW5nIGVtcGlyaWNhbCByZWd1bGFyaXRpZXMgaW4gZXF1aXR5IG1hcmtldHMgaXMgdGhlIGludmVyc2UgcmVsYXRpb25zaGlwIGJldHdlZW4gc3RvY2sgcHJpY2VzIGFuZCB2b2xhdGlsaXR5LCBmaXJzdCBkb2N1bWVudGVkIGJ5IEJsYWNrICgxOTc2KSB3aG8gYXR0cmlidXRlZCBpdCB0byB0aGUgZWZmZWN0cyBvZiBmaW5hbmNpYWwgbGV2ZXJhZ2UuIEFzIGEgY29tcGFueSdzIHN0b2NrIHByaWNlIGRlY2xpbmVzLCBpdCBiZWNvbWVzIG1vcmUgaGlnaGx5IGxldmVyYWdlZCBnaXZlbiBhIGZpeGVkIGxldmVsIG9mIGRlYnQgb3V0c3RhbmRpbmcsIGFuZCB0aGlzIGluY3JlYXNlIGluIGxldmVyYWdlIGluZHVjZXMgYSBoaWdoZXIgZXF1aXR5LXJldHVybiB2b2xhdGlsaXR5LiBJbiBhIHNhbXBsZSBvZiBhbGwtZXF1aXR5LWZpbmFuY2VkIGNvbXBhbmllcyBmcm9tIEphbnVhcnkgMTk3MiB0byBEZWNlbWJlciAyMDA4LCB3ZSBmaW5kIHRoYXQgdGhlIGxldmVyYWdlIGVmZmVjdCBpcyBqdXN0IGFzIHN0cm9uZyBpZiBub3Qgc3Ryb25nZXIsIGltcGx5aW5nIHRoYXQgdGhlIGludmVyc2UgcmVsYXRpb25zaGlwIGJldHdlZW4gcHJpY2UgYW5kIHZvbGF0aWxpdHkgaXMgbm90IGRyaXZlbiBieSBmaW5hbmNpYWwgbGV2ZXJhZ2UuIiwiY29udGFpbmVyLXRpdGxlLXNob3J0IjoiIn0sImlzVGVtcG9yYXJ5IjpmYWxzZX1dfQ=="/>
          <w:id w:val="1913960096"/>
          <w:placeholder>
            <w:docPart w:val="DefaultPlaceholder_-1854013440"/>
          </w:placeholder>
        </w:sdtPr>
        <w:sdtEndPr/>
        <w:sdtContent>
          <w:r w:rsidR="00E47856" w:rsidRPr="00E47856">
            <w:rPr>
              <w:color w:val="000000"/>
              <w:sz w:val="24"/>
            </w:rPr>
            <w:t>(Hasanhodzic &amp; Lo, n.d.)</w:t>
          </w:r>
        </w:sdtContent>
      </w:sdt>
      <w:r w:rsidRPr="00CF3C73">
        <w:rPr>
          <w:sz w:val="24"/>
          <w:szCs w:val="24"/>
        </w:rPr>
        <w:t>.</w:t>
      </w:r>
    </w:p>
    <w:p w14:paraId="5628CCE5" w14:textId="77777777" w:rsidR="007E1D8C" w:rsidRDefault="007E1D8C" w:rsidP="007E1D8C">
      <w:pPr>
        <w:bidi w:val="0"/>
        <w:spacing w:before="120" w:after="120"/>
      </w:pPr>
    </w:p>
    <w:p w14:paraId="5BBE075D" w14:textId="77777777" w:rsidR="00CC5C3E" w:rsidRDefault="00117A87">
      <w:pPr>
        <w:pStyle w:val="2"/>
      </w:pPr>
      <w:r>
        <w:t>2.2 Nonlinear and Asymmetric GARCH Extensions</w:t>
      </w:r>
    </w:p>
    <w:p w14:paraId="78016789" w14:textId="77777777" w:rsidR="00103524" w:rsidRPr="00CF3C73" w:rsidRDefault="00103524" w:rsidP="00CF3C73">
      <w:pPr>
        <w:bidi w:val="0"/>
        <w:spacing w:before="120" w:after="120" w:line="360" w:lineRule="auto"/>
        <w:jc w:val="both"/>
        <w:rPr>
          <w:rFonts w:ascii="Cambria Math" w:eastAsia="Cambria Math" w:hAnsi="Cambria Math" w:cs="Cambria Math"/>
          <w:i/>
          <w:iCs/>
          <w:sz w:val="24"/>
          <w:szCs w:val="24"/>
        </w:rPr>
      </w:pPr>
      <w:r w:rsidRPr="00CF3C73">
        <w:rPr>
          <w:sz w:val="24"/>
          <w:szCs w:val="24"/>
        </w:rPr>
        <w:t>The asymmetric reaction of volatility to equal-magnitude positive and negative return shocks, known as the "leverage effect," is a fundamental empirical regularity in equity markets. The Exponential GARCH (EGARCH) model, which Nelson (1991) developed to account for this phenomena, defines the log of conditional variance as:</w:t>
      </w:r>
    </w:p>
    <w:p w14:paraId="00E6024A" w14:textId="2AAEF4D5" w:rsidR="00103524" w:rsidRPr="00103524" w:rsidRDefault="00103524" w:rsidP="00103524">
      <w:pPr>
        <w:bidi w:val="0"/>
        <w:spacing w:before="120" w:after="120"/>
        <w:rPr>
          <w:rFonts w:ascii="Cambria Math" w:eastAsia="Cambria Math" w:hAnsi="Cambria Math" w:cs="Cambria Math"/>
          <w:i/>
          <w:iCs/>
        </w:rPr>
      </w:pPr>
      <m:oMathPara>
        <m:oMath>
          <m:r>
            <w:rPr>
              <w:rFonts w:ascii="Cambria Math" w:eastAsia="Cambria Math" w:hAnsi="Cambria Math" w:cs="Cambria Math"/>
            </w:rPr>
            <w:lastRenderedPageBreak/>
            <m:t>\ln</m:t>
          </m:r>
          <m:d>
            <m:dPr>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h</m:t>
                  </m:r>
                </m:e>
                <m:sub>
                  <m:r>
                    <w:rPr>
                      <w:rFonts w:ascii="Cambria Math" w:eastAsia="Cambria Math" w:hAnsi="Cambria Math" w:cs="Cambria Math"/>
                    </w:rPr>
                    <m:t>t</m:t>
                  </m:r>
                </m:sub>
              </m:sSub>
            </m:e>
          </m:d>
          <m:r>
            <w:rPr>
              <w:rFonts w:ascii="Cambria Math" w:eastAsia="Cambria Math" w:hAnsi="Cambria Math" w:cs="Cambria Math"/>
            </w:rPr>
            <m:t>= ω+ \su</m:t>
          </m:r>
          <m:sSubSup>
            <m:sSubSupPr>
              <m:ctrlPr>
                <w:rPr>
                  <w:rFonts w:ascii="Cambria Math" w:eastAsia="Cambria Math" w:hAnsi="Cambria Math" w:cs="Cambria Math"/>
                  <w:i/>
                  <w:iCs/>
                </w:rPr>
              </m:ctrlPr>
            </m:sSubSupPr>
            <m:e>
              <m:r>
                <w:rPr>
                  <w:rFonts w:ascii="Cambria Math" w:eastAsia="Cambria Math" w:hAnsi="Cambria Math" w:cs="Cambria Math"/>
                </w:rPr>
                <m:t>m</m:t>
              </m:r>
            </m:e>
            <m:sub>
              <m:d>
                <m:dPr>
                  <m:begChr m:val="{"/>
                  <m:endChr m:val="}"/>
                  <m:ctrlPr>
                    <w:rPr>
                      <w:rFonts w:ascii="Cambria Math" w:eastAsia="Cambria Math" w:hAnsi="Cambria Math" w:cs="Cambria Math"/>
                      <w:i/>
                      <w:iCs/>
                    </w:rPr>
                  </m:ctrlPr>
                </m:dPr>
                <m:e>
                  <m:r>
                    <w:rPr>
                      <w:rFonts w:ascii="Cambria Math" w:eastAsia="Cambria Math" w:hAnsi="Cambria Math" w:cs="Cambria Math"/>
                    </w:rPr>
                    <m:t>i=1</m:t>
                  </m:r>
                </m:e>
              </m:d>
            </m:sub>
            <m:sup>
              <m:d>
                <m:dPr>
                  <m:begChr m:val="{"/>
                  <m:endChr m:val="}"/>
                  <m:ctrlPr>
                    <w:rPr>
                      <w:rFonts w:ascii="Cambria Math" w:eastAsia="Cambria Math" w:hAnsi="Cambria Math" w:cs="Cambria Math"/>
                      <w:i/>
                      <w:iCs/>
                    </w:rPr>
                  </m:ctrlPr>
                </m:dPr>
                <m:e>
                  <m:r>
                    <w:rPr>
                      <w:rFonts w:ascii="Cambria Math" w:eastAsia="Cambria Math" w:hAnsi="Cambria Math" w:cs="Cambria Math"/>
                    </w:rPr>
                    <m:t>q</m:t>
                  </m:r>
                </m:e>
              </m:d>
              <m:d>
                <m:dPr>
                  <m:begChr m:val=""/>
                  <m:endChr m:val="]"/>
                  <m:ctrlPr>
                    <w:rPr>
                      <w:rFonts w:ascii="Cambria Math" w:eastAsia="Cambria Math" w:hAnsi="Cambria Math" w:cs="Cambria Math"/>
                      <w:i/>
                      <w:iCs/>
                    </w:rPr>
                  </m:ctrlPr>
                </m:dPr>
                <m:e>
                  <m:d>
                    <m:dPr>
                      <m:begChr m:val="["/>
                      <m:endChr m:val=""/>
                      <m:ctrlPr>
                        <w:rPr>
                          <w:rFonts w:ascii="Cambria Math" w:eastAsia="Cambria Math" w:hAnsi="Cambria Math" w:cs="Cambria Math"/>
                          <w:i/>
                          <w:iCs/>
                        </w:rPr>
                      </m:ctrlPr>
                    </m:dPr>
                    <m:e>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α</m:t>
                          </m:r>
                        </m:e>
                        <m:sub>
                          <m:r>
                            <w:rPr>
                              <w:rFonts w:ascii="Cambria Math" w:eastAsia="Cambria Math" w:hAnsi="Cambria Math" w:cs="Cambria Math"/>
                            </w:rPr>
                            <m:t>i</m:t>
                          </m:r>
                        </m:sub>
                      </m:sSub>
                      <m:sSub>
                        <m:sSubPr>
                          <m:ctrlPr>
                            <w:rPr>
                              <w:rFonts w:ascii="Cambria Math" w:eastAsia="Cambria Math" w:hAnsi="Cambria Math" w:cs="Cambria Math"/>
                              <w:i/>
                              <w:iCs/>
                            </w:rPr>
                          </m:ctrlPr>
                        </m:sSubPr>
                        <m:e>
                          <m:r>
                            <w:rPr>
                              <w:rFonts w:ascii="Cambria Math" w:eastAsia="Cambria Math" w:hAnsi="Cambria Math" w:cs="Cambria Math"/>
                            </w:rPr>
                            <m:t>z</m:t>
                          </m:r>
                        </m:e>
                        <m:sub>
                          <m:d>
                            <m:dPr>
                              <m:begChr m:val="{"/>
                              <m:endChr m:val="}"/>
                              <m:ctrlPr>
                                <w:rPr>
                                  <w:rFonts w:ascii="Cambria Math" w:eastAsia="Cambria Math" w:hAnsi="Cambria Math" w:cs="Cambria Math"/>
                                  <w:i/>
                                  <w:iCs/>
                                </w:rPr>
                              </m:ctrlPr>
                            </m:dPr>
                            <m:e>
                              <m:r>
                                <w:rPr>
                                  <w:rFonts w:ascii="Cambria Math" w:eastAsia="Cambria Math" w:hAnsi="Cambria Math" w:cs="Cambria Math"/>
                                </w:rPr>
                                <m:t>t-i</m:t>
                              </m:r>
                            </m:e>
                          </m:d>
                        </m:sub>
                      </m:sSub>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γ</m:t>
                          </m:r>
                        </m:e>
                        <m:sub>
                          <m:r>
                            <w:rPr>
                              <w:rFonts w:ascii="Cambria Math" w:eastAsia="Cambria Math" w:hAnsi="Cambria Math" w:cs="Cambria Math"/>
                            </w:rPr>
                            <m:t>i</m:t>
                          </m:r>
                        </m:sub>
                      </m:sSub>
                      <m:d>
                        <m:dPr>
                          <m:begChr m:val=""/>
                          <m:ctrlPr>
                            <w:rPr>
                              <w:rFonts w:ascii="Cambria Math" w:eastAsia="Cambria Math" w:hAnsi="Cambria Math" w:cs="Cambria Math"/>
                              <w:i/>
                              <w:iCs/>
                            </w:rPr>
                          </m:ctrlPr>
                        </m:dPr>
                        <m:e>
                          <m:d>
                            <m:dPr>
                              <m:endChr m:val=""/>
                              <m:ctrlPr>
                                <w:rPr>
                                  <w:rFonts w:ascii="Cambria Math" w:eastAsia="Cambria Math" w:hAnsi="Cambria Math" w:cs="Cambria Math"/>
                                  <w:i/>
                                  <w:iCs/>
                                </w:rPr>
                              </m:ctrlPr>
                            </m:dPr>
                            <m:e>
                              <m:r>
                                <w:rPr>
                                  <w:rFonts w:ascii="Cambria Math" w:eastAsia="Cambria Math" w:hAnsi="Cambria Math" w:cs="Cambria Math"/>
                                </w:rPr>
                                <m:t xml:space="preserve"> </m:t>
                              </m:r>
                              <m:d>
                                <m:dPr>
                                  <m:begChr m:val="|"/>
                                  <m:endChr m:val="|"/>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z</m:t>
                                      </m:r>
                                    </m:e>
                                    <m:sub>
                                      <m:d>
                                        <m:dPr>
                                          <m:begChr m:val="{"/>
                                          <m:endChr m:val="}"/>
                                          <m:ctrlPr>
                                            <w:rPr>
                                              <w:rFonts w:ascii="Cambria Math" w:eastAsia="Cambria Math" w:hAnsi="Cambria Math" w:cs="Cambria Math"/>
                                              <w:i/>
                                              <w:iCs/>
                                            </w:rPr>
                                          </m:ctrlPr>
                                        </m:dPr>
                                        <m:e>
                                          <m:r>
                                            <w:rPr>
                                              <w:rFonts w:ascii="Cambria Math" w:eastAsia="Cambria Math" w:hAnsi="Cambria Math" w:cs="Cambria Math"/>
                                            </w:rPr>
                                            <m:t>t-i</m:t>
                                          </m:r>
                                        </m:e>
                                      </m:d>
                                    </m:sub>
                                  </m:sSub>
                                </m:e>
                              </m:d>
                              <m:r>
                                <w:rPr>
                                  <w:rFonts w:ascii="Cambria Math" w:eastAsia="Cambria Math" w:hAnsi="Cambria Math" w:cs="Cambria Math"/>
                                </w:rPr>
                                <m:t>- E</m:t>
                              </m:r>
                              <m:d>
                                <m:dPr>
                                  <m:begChr m:val="|"/>
                                  <m:endChr m:val="|"/>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z</m:t>
                                      </m:r>
                                    </m:e>
                                    <m:sub>
                                      <m:d>
                                        <m:dPr>
                                          <m:begChr m:val="{"/>
                                          <m:endChr m:val="}"/>
                                          <m:ctrlPr>
                                            <w:rPr>
                                              <w:rFonts w:ascii="Cambria Math" w:eastAsia="Cambria Math" w:hAnsi="Cambria Math" w:cs="Cambria Math"/>
                                              <w:i/>
                                              <w:iCs/>
                                            </w:rPr>
                                          </m:ctrlPr>
                                        </m:dPr>
                                        <m:e>
                                          <m:r>
                                            <w:rPr>
                                              <w:rFonts w:ascii="Cambria Math" w:eastAsia="Cambria Math" w:hAnsi="Cambria Math" w:cs="Cambria Math"/>
                                            </w:rPr>
                                            <m:t>t-i</m:t>
                                          </m:r>
                                        </m:e>
                                      </m:d>
                                    </m:sub>
                                  </m:sSub>
                                </m:e>
                              </m:d>
                            </m:e>
                          </m:d>
                        </m:e>
                      </m:d>
                    </m:e>
                  </m:d>
                </m:e>
              </m:d>
            </m:sup>
          </m:sSubSup>
          <m:r>
            <w:rPr>
              <w:rFonts w:ascii="Cambria Math" w:eastAsia="Cambria Math" w:hAnsi="Cambria Math" w:cs="Cambria Math"/>
            </w:rPr>
            <m:t xml:space="preserve">+ </m:t>
          </m:r>
          <m:nary>
            <m:naryPr>
              <m:chr m:val="∑"/>
              <m:supHide m:val="1"/>
              <m:ctrlPr>
                <w:rPr>
                  <w:rFonts w:ascii="Cambria Math" w:eastAsia="Cambria Math" w:hAnsi="Cambria Math" w:cs="Cambria Math"/>
                  <w:i/>
                  <w:iCs/>
                </w:rPr>
              </m:ctrlPr>
            </m:naryPr>
            <m:sub>
              <m:sSubSup>
                <m:sSubSupPr>
                  <m:ctrlPr>
                    <w:rPr>
                      <w:rFonts w:ascii="Cambria Math" w:eastAsia="Cambria Math" w:hAnsi="Cambria Math" w:cs="Cambria Math"/>
                      <w:i/>
                      <w:iCs/>
                    </w:rPr>
                  </m:ctrlPr>
                </m:sSubSupPr>
                <m:e>
                  <m:d>
                    <m:dPr>
                      <m:begChr m:val="{"/>
                      <m:endChr m:val="}"/>
                      <m:ctrlPr>
                        <w:rPr>
                          <w:rFonts w:ascii="Cambria Math" w:eastAsia="Cambria Math" w:hAnsi="Cambria Math" w:cs="Cambria Math"/>
                          <w:i/>
                          <w:iCs/>
                        </w:rPr>
                      </m:ctrlPr>
                    </m:dPr>
                    <m:e>
                      <m:r>
                        <w:rPr>
                          <w:rFonts w:ascii="Cambria Math" w:eastAsia="Cambria Math" w:hAnsi="Cambria Math" w:cs="Cambria Math"/>
                        </w:rPr>
                        <m:t>j=1</m:t>
                      </m:r>
                    </m:e>
                  </m:d>
                </m:e>
                <m:sub>
                  <m:r>
                    <w:rPr>
                      <w:rFonts w:ascii="Cambria Math" w:eastAsia="Cambria Math" w:hAnsi="Cambria Math" w:cs="Cambria Math"/>
                    </w:rPr>
                    <m:t>j</m:t>
                  </m:r>
                </m:sub>
                <m:sup>
                  <m:d>
                    <m:dPr>
                      <m:begChr m:val="{"/>
                      <m:endChr m:val="}"/>
                      <m:ctrlPr>
                        <w:rPr>
                          <w:rFonts w:ascii="Cambria Math" w:eastAsia="Cambria Math" w:hAnsi="Cambria Math" w:cs="Cambria Math"/>
                          <w:i/>
                          <w:iCs/>
                        </w:rPr>
                      </m:ctrlPr>
                    </m:dPr>
                    <m:e>
                      <m:r>
                        <w:rPr>
                          <w:rFonts w:ascii="Cambria Math" w:eastAsia="Cambria Math" w:hAnsi="Cambria Math" w:cs="Cambria Math"/>
                        </w:rPr>
                        <m:t>p</m:t>
                      </m:r>
                    </m:e>
                  </m:d>
                  <m:r>
                    <w:rPr>
                      <w:rFonts w:ascii="Cambria Math" w:eastAsia="Cambria Math" w:hAnsi="Cambria Math" w:cs="Cambria Math"/>
                    </w:rPr>
                    <m:t>β</m:t>
                  </m:r>
                </m:sup>
              </m:sSubSup>
              <m:r>
                <w:rPr>
                  <w:rFonts w:ascii="Cambria Math" w:eastAsia="Cambria Math" w:hAnsi="Cambria Math" w:cs="Cambria Math"/>
                </w:rPr>
                <m:t>\ln</m:t>
              </m:r>
              <m:d>
                <m:dPr>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h</m:t>
                      </m:r>
                    </m:e>
                    <m:sub>
                      <m:d>
                        <m:dPr>
                          <m:begChr m:val="{"/>
                          <m:endChr m:val="}"/>
                          <m:ctrlPr>
                            <w:rPr>
                              <w:rFonts w:ascii="Cambria Math" w:eastAsia="Cambria Math" w:hAnsi="Cambria Math" w:cs="Cambria Math"/>
                              <w:i/>
                              <w:iCs/>
                            </w:rPr>
                          </m:ctrlPr>
                        </m:dPr>
                        <m:e>
                          <m:r>
                            <w:rPr>
                              <w:rFonts w:ascii="Cambria Math" w:eastAsia="Cambria Math" w:hAnsi="Cambria Math" w:cs="Cambria Math"/>
                            </w:rPr>
                            <m:t>t-j</m:t>
                          </m:r>
                        </m:e>
                      </m:d>
                    </m:sub>
                  </m:sSub>
                </m:e>
              </m:d>
            </m:sub>
            <m:sup/>
            <m:e/>
          </m:nary>
        </m:oMath>
      </m:oMathPara>
    </w:p>
    <w:p w14:paraId="3C00CC57" w14:textId="77777777" w:rsidR="00103524" w:rsidRPr="00103524" w:rsidRDefault="00103524" w:rsidP="00103524">
      <w:pPr>
        <w:bidi w:val="0"/>
        <w:spacing w:before="120" w:after="120"/>
        <w:rPr>
          <w:rFonts w:ascii="Cambria Math" w:eastAsia="Cambria Math" w:hAnsi="Cambria Math" w:cs="Cambria Math"/>
          <w:i/>
          <w:iCs/>
        </w:rPr>
      </w:pPr>
    </w:p>
    <w:p w14:paraId="33086FEA" w14:textId="12B0ACE7" w:rsidR="00CC5C3E" w:rsidRDefault="00117A87" w:rsidP="00103524">
      <w:pPr>
        <w:bidi w:val="0"/>
        <w:spacing w:before="60" w:after="60" w:line="360" w:lineRule="auto"/>
        <w:ind w:firstLine="720"/>
        <w:jc w:val="both"/>
        <w:rPr>
          <w:rtl/>
        </w:rPr>
      </w:pPr>
      <w:r>
        <w:t>where gamma_i captures the asymmetric leverage effect. A negative and statistically significant gamma_i indicates that negative innovations increase volatility more than positive innovations of the same magnitude. A key advantage of the EGARCH formulation is that it does not impose non-negativity constraints on the parameters, since the log transformation ensures positivity of h_t by construction</w:t>
      </w:r>
      <w:sdt>
        <w:sdtPr>
          <w:rPr>
            <w:color w:val="000000"/>
          </w:rPr>
          <w:tag w:val="MENDELEY_CITATION_v3_eyJjaXRhdGlvbklEIjoiTUVOREVMRVlfQ0lUQVRJT05fODZlNGViNDgtNDUwNy00YWVhLTk2ZjEtMDdkYTMzZjU1NWQ1IiwicHJvcGVydGllcyI6eyJub3RlSW5kZXgiOjB9LCJpc0VkaXRlZCI6ZmFsc2UsIm1hbnVhbE92ZXJyaWRlIjp7ImlzTWFudWFsbHlPdmVycmlkZGVuIjpmYWxzZSwiY2l0ZXByb2NUZXh0IjoiKFRhdWNoZW4gZXQgYWwuLCAxOTk1KSIsIm1hbnVhbE92ZXJyaWRlVGV4dCI6IiJ9LCJjaXRhdGlvbkl0ZW1zIjpbeyJpZCI6ImI2ZWJkMDUyLWRkM2YtM2Q3MC04ZWE2LTBjM2YyZmI4YmU1ZiIsIml0ZW1EYXRhIjp7InR5cGUiOiJhcnRpY2xlLWpvdXJuYWwiLCJpZCI6ImI2ZWJkMDUyLWRkM2YtM2Q3MC04ZWE2LTBjM2YyZmI4YmU1ZiIsInRpdGxlIjoiRGFuaWVsIEIuIE5lbHNvbiwgMTk1OeKAkzE5OTUiLCJhdXRob3IiOlt7ImZhbWlseSI6IlRhdWNoZW4iLCJnaXZlbiI6Ikdlb3JnZSIsInBhcnNlLW5hbWVzIjpmYWxzZSwiZHJvcHBpbmctcGFydGljbGUiOiIiLCJub24tZHJvcHBpbmctcGFydGljbGUiOiIifSx7ImZhbWlseSI6IlRzYXkiLCJnaXZlbiI6IlJ1ZXkiLCJwYXJzZS1uYW1lcyI6ZmFsc2UsImRyb3BwaW5nLXBhcnRpY2xlIjoiIiwibm9uLWRyb3BwaW5nLXBhcnRpY2xlIjoiIn0seyJmYW1pbHkiOiJXYXRzb24iLCJnaXZlbiI6Ik1hcmsiLCJwYXJzZS1uYW1lcyI6ZmFsc2UsImRyb3BwaW5nLXBhcnRpY2xlIjoiIiwibm9uLWRyb3BwaW5nLXBhcnRpY2xlIjoiIn1dLCJjb250YWluZXItdGl0bGUiOiJKb3VybmFsIG9mIEJ1c2luZXNzICYgRWNvbm9taWMgU3RhdGlzdGljcyIsIkRPSSI6IjEwLjEwODAvMDczNTAwMTUuMTk5NS4xMDUyNDYxMCIsIklTU04iOiIwNzM1LTAwMTUiLCJpc3N1ZWQiOnsiZGF0ZS1wYXJ0cyI6W1sxOTk1LDEwXV19LCJwYWdlIjoiMzYxLTM2MSIsInB1Ymxpc2hlciI6IkluZm9ybWEgVUsgTGltaXRlZCIsImlzc3VlIjoiNCIsInZvbHVtZSI6IjEzIiwiY29udGFpbmVyLXRpdGxlLXNob3J0IjoiIn0sImlzVGVtcG9yYXJ5IjpmYWxzZX1dfQ=="/>
          <w:id w:val="-950863624"/>
          <w:placeholder>
            <w:docPart w:val="DefaultPlaceholder_-1854013440"/>
          </w:placeholder>
        </w:sdtPr>
        <w:sdtEndPr/>
        <w:sdtContent>
          <w:r w:rsidR="00E47856" w:rsidRPr="00E47856">
            <w:rPr>
              <w:color w:val="000000"/>
            </w:rPr>
            <w:t>(Tauchen et al., 1995)</w:t>
          </w:r>
        </w:sdtContent>
      </w:sdt>
      <w:r>
        <w:t>.</w:t>
      </w:r>
    </w:p>
    <w:p w14:paraId="65BA2545" w14:textId="77777777" w:rsidR="00CC5C3E" w:rsidRDefault="00117A87" w:rsidP="00103524">
      <w:pPr>
        <w:bidi w:val="0"/>
        <w:spacing w:before="60" w:after="60" w:line="360" w:lineRule="auto"/>
        <w:ind w:firstLine="720"/>
        <w:jc w:val="both"/>
        <w:rPr>
          <w:rtl/>
        </w:rPr>
      </w:pPr>
      <w:r>
        <w:t>Glosten, Jagannathan, and Runkle (1993) introduced the GJR-GARCH model, also known as the Threshold GARCH (TGARCH), which incorporates an indicator variable to distinguish the impact of negative shocks:</w:t>
      </w:r>
    </w:p>
    <w:p w14:paraId="499080DD" w14:textId="4B53BF34" w:rsidR="00103524" w:rsidRPr="00103524" w:rsidRDefault="00BC3A9F">
      <w:pPr>
        <w:spacing w:before="60" w:after="60" w:line="360" w:lineRule="auto"/>
        <w:ind w:firstLine="720"/>
        <w:jc w:val="both"/>
        <w:rPr>
          <w:iCs/>
          <w:rtl/>
        </w:rPr>
      </w:pPr>
      <m:oMathPara>
        <m:oMath>
          <m:sSub>
            <m:sSubPr>
              <m:ctrlPr>
                <w:rPr>
                  <w:rFonts w:ascii="Cambria Math" w:hAnsi="Cambria Math"/>
                  <w:i/>
                  <w:iCs/>
                </w:rPr>
              </m:ctrlPr>
            </m:sSubPr>
            <m:e>
              <m:r>
                <w:rPr>
                  <w:rFonts w:ascii="Cambria Math" w:hAnsi="Cambria Math"/>
                </w:rPr>
                <m:t>h</m:t>
              </m:r>
            </m:e>
            <m:sub>
              <m:r>
                <w:rPr>
                  <w:rFonts w:ascii="Cambria Math" w:hAnsi="Cambria Math"/>
                </w:rPr>
                <m:t>t</m:t>
              </m:r>
            </m:sub>
          </m:sSub>
          <m:r>
            <w:rPr>
              <w:rFonts w:ascii="Cambria Math" w:hAnsi="Cambria Math"/>
            </w:rPr>
            <m:t>= ω+ \su</m:t>
          </m:r>
          <m:sSubSup>
            <m:sSubSupPr>
              <m:ctrlPr>
                <w:rPr>
                  <w:rFonts w:ascii="Cambria Math" w:hAnsi="Cambria Math"/>
                  <w:i/>
                  <w:iCs/>
                </w:rPr>
              </m:ctrlPr>
            </m:sSubSupPr>
            <m:e>
              <m:r>
                <w:rPr>
                  <w:rFonts w:ascii="Cambria Math" w:hAnsi="Cambria Math"/>
                </w:rPr>
                <m:t>m</m:t>
              </m:r>
            </m:e>
            <m:sub>
              <m:d>
                <m:dPr>
                  <m:begChr m:val="{"/>
                  <m:endChr m:val="}"/>
                  <m:ctrlPr>
                    <w:rPr>
                      <w:rFonts w:ascii="Cambria Math" w:hAnsi="Cambria Math"/>
                      <w:i/>
                      <w:iCs/>
                    </w:rPr>
                  </m:ctrlPr>
                </m:dPr>
                <m:e>
                  <m:r>
                    <w:rPr>
                      <w:rFonts w:ascii="Cambria Math" w:hAnsi="Cambria Math"/>
                    </w:rPr>
                    <m:t>i=1</m:t>
                  </m:r>
                </m:e>
              </m:d>
            </m:sub>
            <m:sup>
              <m:d>
                <m:dPr>
                  <m:begChr m:val="{"/>
                  <m:endChr m:val="}"/>
                  <m:ctrlPr>
                    <w:rPr>
                      <w:rFonts w:ascii="Cambria Math" w:hAnsi="Cambria Math"/>
                      <w:i/>
                      <w:iCs/>
                    </w:rPr>
                  </m:ctrlPr>
                </m:dPr>
                <m:e>
                  <m:r>
                    <w:rPr>
                      <w:rFonts w:ascii="Cambria Math" w:hAnsi="Cambria Math"/>
                    </w:rPr>
                    <m:t>q</m:t>
                  </m:r>
                </m:e>
              </m:d>
              <m:d>
                <m:dPr>
                  <m:ctrlPr>
                    <w:rPr>
                      <w:rFonts w:ascii="Cambria Math" w:hAnsi="Cambria Math"/>
                      <w:i/>
                      <w:iCs/>
                    </w:rPr>
                  </m:ctrlPr>
                </m:dPr>
                <m:e>
                  <m:sSub>
                    <m:sSubPr>
                      <m:ctrlPr>
                        <w:rPr>
                          <w:rFonts w:ascii="Cambria Math" w:hAnsi="Cambria Math"/>
                          <w:i/>
                          <w:iCs/>
                        </w:rPr>
                      </m:ctrlPr>
                    </m:sSubPr>
                    <m:e>
                      <m:r>
                        <w:rPr>
                          <w:rFonts w:ascii="Cambria Math" w:hAnsi="Cambria Math"/>
                        </w:rPr>
                        <m:t>α</m:t>
                      </m:r>
                    </m:e>
                    <m:sub>
                      <m:r>
                        <w:rPr>
                          <w:rFonts w:ascii="Cambria Math" w:hAnsi="Cambria Math"/>
                        </w:rPr>
                        <m:t>i</m:t>
                      </m:r>
                    </m:sub>
                  </m:sSub>
                  <m:r>
                    <w:rPr>
                      <w:rFonts w:ascii="Cambria Math" w:hAnsi="Cambria Math"/>
                    </w:rPr>
                    <m:t xml:space="preserve">+ </m:t>
                  </m:r>
                  <m:sSub>
                    <m:sSubPr>
                      <m:ctrlPr>
                        <w:rPr>
                          <w:rFonts w:ascii="Cambria Math" w:hAnsi="Cambria Math"/>
                          <w:i/>
                          <w:iCs/>
                        </w:rPr>
                      </m:ctrlPr>
                    </m:sSubPr>
                    <m:e>
                      <m:r>
                        <w:rPr>
                          <w:rFonts w:ascii="Cambria Math" w:hAnsi="Cambria Math"/>
                        </w:rPr>
                        <m:t>γ</m:t>
                      </m:r>
                    </m:e>
                    <m:sub>
                      <m:r>
                        <w:rPr>
                          <w:rFonts w:ascii="Cambria Math" w:hAnsi="Cambria Math"/>
                        </w:rPr>
                        <m:t>i</m:t>
                      </m:r>
                    </m:sub>
                  </m:sSub>
                  <m:sSub>
                    <m:sSubPr>
                      <m:ctrlPr>
                        <w:rPr>
                          <w:rFonts w:ascii="Cambria Math" w:hAnsi="Cambria Math"/>
                          <w:i/>
                          <w:iCs/>
                        </w:rPr>
                      </m:ctrlPr>
                    </m:sSubPr>
                    <m:e>
                      <m:r>
                        <w:rPr>
                          <w:rFonts w:ascii="Cambria Math" w:hAnsi="Cambria Math"/>
                        </w:rPr>
                        <m:t>I</m:t>
                      </m:r>
                    </m:e>
                    <m:sub>
                      <m:d>
                        <m:dPr>
                          <m:begChr m:val="{"/>
                          <m:endChr m:val="}"/>
                          <m:ctrlPr>
                            <w:rPr>
                              <w:rFonts w:ascii="Cambria Math" w:hAnsi="Cambria Math"/>
                              <w:i/>
                              <w:iCs/>
                            </w:rPr>
                          </m:ctrlPr>
                        </m:dPr>
                        <m:e>
                          <m:r>
                            <w:rPr>
                              <w:rFonts w:ascii="Cambria Math" w:hAnsi="Cambria Math"/>
                            </w:rPr>
                            <m:t>t-i</m:t>
                          </m:r>
                        </m:e>
                      </m:d>
                    </m:sub>
                  </m:sSub>
                </m:e>
              </m:d>
              <m:sSubSup>
                <m:sSubSupPr>
                  <m:ctrlPr>
                    <w:rPr>
                      <w:rFonts w:ascii="Cambria Math" w:hAnsi="Cambria Math"/>
                      <w:i/>
                      <w:iCs/>
                    </w:rPr>
                  </m:ctrlPr>
                </m:sSubSupPr>
                <m:e>
                  <m:r>
                    <w:rPr>
                      <w:rFonts w:ascii="Cambria Math" w:hAnsi="Cambria Math"/>
                    </w:rPr>
                    <m:t>ϵ</m:t>
                  </m:r>
                </m:e>
                <m:sub>
                  <m:d>
                    <m:dPr>
                      <m:begChr m:val="{"/>
                      <m:endChr m:val="}"/>
                      <m:ctrlPr>
                        <w:rPr>
                          <w:rFonts w:ascii="Cambria Math" w:hAnsi="Cambria Math"/>
                          <w:i/>
                          <w:iCs/>
                        </w:rPr>
                      </m:ctrlPr>
                    </m:dPr>
                    <m:e>
                      <m:r>
                        <w:rPr>
                          <w:rFonts w:ascii="Cambria Math" w:hAnsi="Cambria Math"/>
                        </w:rPr>
                        <m:t>t-i</m:t>
                      </m:r>
                    </m:e>
                  </m:d>
                </m:sub>
                <m:sup>
                  <m:r>
                    <w:rPr>
                      <w:rFonts w:ascii="Cambria Math" w:hAnsi="Cambria Math"/>
                    </w:rPr>
                    <m:t>2</m:t>
                  </m:r>
                </m:sup>
              </m:sSubSup>
            </m:sup>
          </m:sSubSup>
          <m:r>
            <w:rPr>
              <w:rFonts w:ascii="Cambria Math" w:hAnsi="Cambria Math"/>
            </w:rPr>
            <m:t xml:space="preserve">+ </m:t>
          </m:r>
          <m:nary>
            <m:naryPr>
              <m:chr m:val="∑"/>
              <m:supHide m:val="1"/>
              <m:ctrlPr>
                <w:rPr>
                  <w:rFonts w:ascii="Cambria Math" w:hAnsi="Cambria Math"/>
                  <w:i/>
                  <w:iCs/>
                </w:rPr>
              </m:ctrlPr>
            </m:naryPr>
            <m:sub>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j=1</m:t>
                      </m:r>
                    </m:e>
                  </m:d>
                </m:e>
                <m:sub>
                  <m:r>
                    <w:rPr>
                      <w:rFonts w:ascii="Cambria Math" w:hAnsi="Cambria Math"/>
                    </w:rPr>
                    <m:t>j</m:t>
                  </m:r>
                </m:sub>
                <m:sup>
                  <m:d>
                    <m:dPr>
                      <m:begChr m:val="{"/>
                      <m:endChr m:val="}"/>
                      <m:ctrlPr>
                        <w:rPr>
                          <w:rFonts w:ascii="Cambria Math" w:hAnsi="Cambria Math"/>
                          <w:i/>
                          <w:iCs/>
                        </w:rPr>
                      </m:ctrlPr>
                    </m:dPr>
                    <m:e>
                      <m:r>
                        <w:rPr>
                          <w:rFonts w:ascii="Cambria Math" w:hAnsi="Cambria Math"/>
                        </w:rPr>
                        <m:t>p</m:t>
                      </m:r>
                    </m:e>
                  </m:d>
                  <m:r>
                    <w:rPr>
                      <w:rFonts w:ascii="Cambria Math" w:hAnsi="Cambria Math"/>
                    </w:rPr>
                    <m:t>β</m:t>
                  </m:r>
                </m:sup>
              </m:sSubSup>
              <m:sSub>
                <m:sSubPr>
                  <m:ctrlPr>
                    <w:rPr>
                      <w:rFonts w:ascii="Cambria Math" w:hAnsi="Cambria Math"/>
                      <w:i/>
                      <w:iCs/>
                    </w:rPr>
                  </m:ctrlPr>
                </m:sSubPr>
                <m:e>
                  <m:r>
                    <w:rPr>
                      <w:rFonts w:ascii="Cambria Math" w:hAnsi="Cambria Math"/>
                    </w:rPr>
                    <m:t>h</m:t>
                  </m:r>
                </m:e>
                <m:sub>
                  <m:d>
                    <m:dPr>
                      <m:begChr m:val="{"/>
                      <m:endChr m:val="}"/>
                      <m:ctrlPr>
                        <w:rPr>
                          <w:rFonts w:ascii="Cambria Math" w:hAnsi="Cambria Math"/>
                          <w:i/>
                          <w:iCs/>
                        </w:rPr>
                      </m:ctrlPr>
                    </m:dPr>
                    <m:e>
                      <m:r>
                        <w:rPr>
                          <w:rFonts w:ascii="Cambria Math" w:hAnsi="Cambria Math"/>
                        </w:rPr>
                        <m:t>t-j</m:t>
                      </m:r>
                    </m:e>
                  </m:d>
                </m:sub>
              </m:sSub>
            </m:sub>
            <m:sup/>
            <m:e/>
          </m:nary>
        </m:oMath>
      </m:oMathPara>
    </w:p>
    <w:p w14:paraId="2C7F3836" w14:textId="77777777" w:rsidR="00103524" w:rsidRPr="00103524" w:rsidRDefault="00103524">
      <w:pPr>
        <w:spacing w:before="60" w:after="60" w:line="360" w:lineRule="auto"/>
        <w:ind w:firstLine="720"/>
        <w:jc w:val="both"/>
        <w:rPr>
          <w:iCs/>
        </w:rPr>
      </w:pPr>
    </w:p>
    <w:p w14:paraId="4C67A51D" w14:textId="530E93C5" w:rsidR="00CC5C3E" w:rsidRPr="00103524" w:rsidRDefault="00117A87" w:rsidP="006F1BD9">
      <w:pPr>
        <w:bidi w:val="0"/>
        <w:spacing w:before="60" w:after="60" w:line="360" w:lineRule="auto"/>
        <w:ind w:firstLine="720"/>
        <w:rPr>
          <w:rtl/>
        </w:rPr>
      </w:pPr>
      <w:r>
        <w:t>where I_{t-i} = 1 if epsilon_{t-i} &lt; 0 and 0 otherwise. The parameter gamma_i measures the incremental effect of negative shocks on conditional variance. The GJR-GARCH nests the standard GARCH(1,1) when gamma_i = 0</w:t>
      </w:r>
      <w:sdt>
        <w:sdtPr>
          <w:rPr>
            <w:color w:val="000000"/>
          </w:rPr>
          <w:tag w:val="MENDELEY_CITATION_v3_eyJjaXRhdGlvbklEIjoiTUVOREVMRVlfQ0lUQVRJT05fN2YxNTk1NDEtMzVjMy00MjM4LWJlYTgtYjk3MjA5YTZjZGI4IiwicHJvcGVydGllcyI6eyJub3RlSW5kZXgiOjB9LCJpc0VkaXRlZCI6ZmFsc2UsIm1hbnVhbE92ZXJyaWRlIjp7ImlzTWFudWFsbHlPdmVycmlkZGVuIjpmYWxzZSwiY2l0ZXByb2NUZXh0IjoiKEdMT1NURU4gZXQgYWwuLCAxOTkzKSIsIm1hbnVhbE92ZXJyaWRlVGV4dCI6IiJ9LCJjaXRhdGlvbkl0ZW1zIjpbeyJpZCI6IjVmODBjZGU3LTcwNTEtMzE4YS1hMzkwLTE1NTIyZDBiZGJkZSIsIml0ZW1EYXRhIjp7InR5cGUiOiJhcnRpY2xlLWpvdXJuYWwiLCJpZCI6IjVmODBjZGU3LTcwNTEtMzE4YS1hMzkwLTE1NTIyZDBiZGJkZSIsInRpdGxlIjoiT24gdGhlIFJlbGF0aW9uIGJldHdlZW4gdGhlIEV4cGVjdGVkIFZhbHVlIGFuZCB0aGUgVm9sYXRpbGl0eSBvZiB0aGUgTm9taW5hbCBFeGNlc3MgUmV0dXJuIG9uIFN0b2NrcyIsImF1dGhvciI6W3siZmFtaWx5IjoiR0xPU1RFTiIsImdpdmVuIjoiTEFXUkVOQ0UgUi4iLCJwYXJzZS1uYW1lcyI6ZmFsc2UsImRyb3BwaW5nLXBhcnRpY2xlIjoiIiwibm9uLWRyb3BwaW5nLXBhcnRpY2xlIjoiIn0seyJmYW1pbHkiOiJKQUdBTk5BVEhBTiIsImdpdmVuIjoiUkFWSSIsInBhcnNlLW5hbWVzIjpmYWxzZSwiZHJvcHBpbmctcGFydGljbGUiOiIiLCJub24tZHJvcHBpbmctcGFydGljbGUiOiIifSx7ImZhbWlseSI6IlJVTktMRSIsImdpdmVuIjoiREFWSUQgRS4iLCJwYXJzZS1uYW1lcyI6ZmFsc2UsImRyb3BwaW5nLXBhcnRpY2xlIjoiIiwibm9uLWRyb3BwaW5nLXBhcnRpY2xlIjoiIn1dLCJjb250YWluZXItdGl0bGUiOiJUaGUgSm91cm5hbCBvZiBGaW5hbmNlIiwiY29udGFpbmVyLXRpdGxlLXNob3J0IjoiSi4gRmluYW5jZSIsIkRPSSI6IjEwLjExMTEvai4xNTQwLTYyNjEuMTk5My50YjA1MTI4LngiLCJJU1NOIjoiMTU0MDYyNjEiLCJpc3N1ZWQiOnsiZGF0ZS1wYXJ0cyI6W1sxOTkzXV19LCJwYWdlIjoiMTc3OS0xODAxIiwiYWJzdHJhY3QiOiJXZSBmaW5kIHN1cHBvcnQgZm9yIGEgbmVnYXRpdmUgcmVsYXRpb24gYmV0d2VlbiBjb25kaXRpb25hbCBleHBlY3RlZCBtb250aGx5IHJldHVybiBhbmQgY29uZGl0aW9uYWwgdmFyaWFuY2Ugb2YgbW9udGhseSByZXR1cm4sIHVzaW5nIGEgR0FSQ0jigJBNIG1vZGVsIG1vZGlmaWVkIGJ5IGFsbG93aW5nICgxKSBzZWFzb25hbCBwYXR0ZXJucyBpbiB2b2xhdGlsaXR5LCAoMikgcG9zaXRpdmUgYW5kIG5lZ2F0aXZlIGlubm92YXRpb25zIHRvIHJldHVybnMgaGF2aW5nIGRpZmZlcmVudCBpbXBhY3RzIG9uIGNvbmRpdGlvbmFsIHZvbGF0aWxpdHksIGFuZCAoMykgbm9taW5hbCBpbnRlcmVzdCByYXRlcyB0byBwcmVkaWN0IGNvbmRpdGlvbmFsIHZhcmlhbmNlLiBVc2luZyB0aGUgbW9kaWZpZWQgR0FSQ0jigJBNIG1vZGVsLCB3ZSBhbHNvIHNob3cgdGhhdCBtb250aGx5IGNvbmRpdGlvbmFsIHZvbGF0aWxpdHkgbWF5IG5vdCBiZSBhcyBwZXJzaXN0ZW50IGFzIHdhcyB0aG91Z2h0LiBQb3NpdGl2ZSB1bmFudGljaXBhdGVkIHJldHVybnMgYXBwZWFyIHRvIHJlc3VsdCBpbiBhIGRvd253YXJkIHJldmlzaW9uIG9mIHRoZSBjb25kaXRpb25hbCB2b2xhdGlsaXR5IHdoZXJlYXMgbmVnYXRpdmUgdW5hbnRpY2lwYXRlZCByZXR1cm5zIHJlc3VsdCBpbiBhbiB1cHdhcmQgcmV2aXNpb24gb2YgY29uZGl0aW9uYWwgdm9sYXRpbGl0eS4gMTk5MyBUaGUgQW1lcmljYW4gRmluYW5jZSBBc3NvY2lhdGlvbiIsImlzc3VlIjoiNSIsInZvbHVtZSI6IjQ4In0sImlzVGVtcG9yYXJ5IjpmYWxzZX1dfQ=="/>
          <w:id w:val="1773658088"/>
          <w:placeholder>
            <w:docPart w:val="DefaultPlaceholder_-1854013440"/>
          </w:placeholder>
        </w:sdtPr>
        <w:sdtEndPr/>
        <w:sdtContent>
          <w:r w:rsidR="00E47856" w:rsidRPr="00E47856">
            <w:rPr>
              <w:color w:val="000000"/>
            </w:rPr>
            <w:t>(GLOSTEN et al., 1993)</w:t>
          </w:r>
        </w:sdtContent>
      </w:sdt>
      <w:r>
        <w:t>.</w:t>
      </w:r>
    </w:p>
    <w:p w14:paraId="3F363655" w14:textId="77777777" w:rsidR="00CC5C3E" w:rsidRDefault="00117A87">
      <w:pPr>
        <w:spacing w:before="60" w:after="60" w:line="360" w:lineRule="auto"/>
        <w:ind w:firstLine="720"/>
        <w:jc w:val="both"/>
      </w:pPr>
      <w:r>
        <w:t>Ding, Granger, and Engle (1993) proposed the Asymmetric Power ARCH (APARCH) model, which introduces a power transformation delta on the conditional standard deviation:</w:t>
      </w:r>
    </w:p>
    <w:p w14:paraId="2FB39146" w14:textId="55E88D34" w:rsidR="00103524" w:rsidRPr="00103524" w:rsidRDefault="00BC3A9F">
      <w:pPr>
        <w:spacing w:before="60" w:after="60" w:line="360" w:lineRule="auto"/>
        <w:ind w:firstLine="720"/>
        <w:jc w:val="both"/>
        <w:rPr>
          <w:iCs/>
          <w:rtl/>
        </w:rPr>
      </w:pPr>
      <m:oMathPara>
        <m:oMath>
          <m:sSubSup>
            <m:sSubSupPr>
              <m:ctrlPr>
                <w:rPr>
                  <w:rFonts w:ascii="Cambria Math" w:eastAsia="Cambria Math" w:hAnsi="Cambria Math" w:cstheme="minorBidi"/>
                  <w:i/>
                  <w:iCs/>
                </w:rPr>
              </m:ctrlPr>
            </m:sSubSupPr>
            <m:e>
              <m:r>
                <w:rPr>
                  <w:rFonts w:ascii="Cambria Math" w:eastAsia="Cambria Math" w:hAnsi="Cambria Math" w:cstheme="minorBidi"/>
                </w:rPr>
                <m:t>h</m:t>
              </m:r>
            </m:e>
            <m:sub>
              <m:r>
                <w:rPr>
                  <w:rFonts w:ascii="Cambria Math" w:eastAsia="Cambria Math" w:hAnsi="Cambria Math" w:cstheme="minorBidi"/>
                </w:rPr>
                <m:t>t</m:t>
              </m:r>
            </m:sub>
            <m:sup>
              <m:d>
                <m:dPr>
                  <m:begChr m:val="{"/>
                  <m:endChr m:val="}"/>
                  <m:ctrlPr>
                    <w:rPr>
                      <w:rFonts w:ascii="Cambria Math" w:eastAsia="Cambria Math" w:hAnsi="Cambria Math" w:cstheme="minorBidi"/>
                      <w:i/>
                      <w:iCs/>
                    </w:rPr>
                  </m:ctrlPr>
                </m:dPr>
                <m:e>
                  <m:f>
                    <m:fPr>
                      <m:ctrlPr>
                        <w:rPr>
                          <w:rFonts w:ascii="Cambria Math" w:eastAsia="Cambria Math" w:hAnsi="Cambria Math" w:cstheme="minorBidi"/>
                          <w:i/>
                          <w:iCs/>
                        </w:rPr>
                      </m:ctrlPr>
                    </m:fPr>
                    <m:num>
                      <m:r>
                        <w:rPr>
                          <w:rFonts w:ascii="Cambria Math" w:eastAsia="Cambria Math" w:hAnsi="Cambria Math" w:cstheme="minorBidi"/>
                        </w:rPr>
                        <m:t>δ</m:t>
                      </m:r>
                    </m:num>
                    <m:den>
                      <m:r>
                        <w:rPr>
                          <w:rFonts w:ascii="Cambria Math" w:eastAsia="Cambria Math" w:hAnsi="Cambria Math" w:cstheme="minorBidi"/>
                        </w:rPr>
                        <m:t>2</m:t>
                      </m:r>
                    </m:den>
                  </m:f>
                </m:e>
              </m:d>
            </m:sup>
          </m:sSubSup>
          <m:r>
            <w:rPr>
              <w:rFonts w:ascii="Cambria Math" w:eastAsia="Cambria Math" w:hAnsi="Cambria Math" w:cstheme="minorBidi"/>
            </w:rPr>
            <m:t>= ω+ α</m:t>
          </m:r>
          <m:sSup>
            <m:sSupPr>
              <m:ctrlPr>
                <w:rPr>
                  <w:rFonts w:ascii="Cambria Math" w:eastAsia="Cambria Math" w:hAnsi="Cambria Math" w:cstheme="minorBidi"/>
                  <w:i/>
                  <w:iCs/>
                </w:rPr>
              </m:ctrlPr>
            </m:sSupPr>
            <m:e>
              <m:d>
                <m:dPr>
                  <m:ctrlPr>
                    <w:rPr>
                      <w:rFonts w:ascii="Cambria Math" w:eastAsia="Cambria Math" w:hAnsi="Cambria Math" w:cstheme="minorBidi"/>
                      <w:i/>
                      <w:iCs/>
                    </w:rPr>
                  </m:ctrlPr>
                </m:dPr>
                <m:e>
                  <m:d>
                    <m:dPr>
                      <m:begChr m:val="|"/>
                      <m:endChr m:val="|"/>
                      <m:ctrlPr>
                        <w:rPr>
                          <w:rFonts w:ascii="Cambria Math" w:eastAsia="Cambria Math" w:hAnsi="Cambria Math" w:cstheme="minorBidi"/>
                          <w:i/>
                          <w:iCs/>
                        </w:rPr>
                      </m:ctrlPr>
                    </m:dPr>
                    <m:e>
                      <m:sSub>
                        <m:sSubPr>
                          <m:ctrlPr>
                            <w:rPr>
                              <w:rFonts w:ascii="Cambria Math" w:eastAsia="Cambria Math" w:hAnsi="Cambria Math" w:cstheme="minorBidi"/>
                              <w:i/>
                              <w:iCs/>
                            </w:rPr>
                          </m:ctrlPr>
                        </m:sSubPr>
                        <m:e>
                          <m:r>
                            <w:rPr>
                              <w:rFonts w:ascii="Cambria Math" w:eastAsia="Cambria Math" w:hAnsi="Cambria Math" w:cstheme="minorBidi"/>
                            </w:rPr>
                            <m:t>ϵ</m:t>
                          </m:r>
                        </m:e>
                        <m:sub>
                          <m:d>
                            <m:dPr>
                              <m:begChr m:val="{"/>
                              <m:endChr m:val="}"/>
                              <m:ctrlPr>
                                <w:rPr>
                                  <w:rFonts w:ascii="Cambria Math" w:eastAsia="Cambria Math" w:hAnsi="Cambria Math" w:cstheme="minorBidi"/>
                                  <w:i/>
                                  <w:iCs/>
                                </w:rPr>
                              </m:ctrlPr>
                            </m:dPr>
                            <m:e>
                              <m:r>
                                <w:rPr>
                                  <w:rFonts w:ascii="Cambria Math" w:eastAsia="Cambria Math" w:hAnsi="Cambria Math" w:cstheme="minorBidi"/>
                                </w:rPr>
                                <m:t>t-1</m:t>
                              </m:r>
                            </m:e>
                          </m:d>
                        </m:sub>
                      </m:sSub>
                    </m:e>
                  </m:d>
                  <m:r>
                    <w:rPr>
                      <w:rFonts w:ascii="Cambria Math" w:eastAsia="Cambria Math" w:hAnsi="Cambria Math" w:cstheme="minorBidi"/>
                    </w:rPr>
                    <m:t>- γ</m:t>
                  </m:r>
                  <m:sSub>
                    <m:sSubPr>
                      <m:ctrlPr>
                        <w:rPr>
                          <w:rFonts w:ascii="Cambria Math" w:eastAsia="Cambria Math" w:hAnsi="Cambria Math" w:cstheme="minorBidi"/>
                          <w:i/>
                          <w:iCs/>
                        </w:rPr>
                      </m:ctrlPr>
                    </m:sSubPr>
                    <m:e>
                      <m:r>
                        <w:rPr>
                          <w:rFonts w:ascii="Cambria Math" w:eastAsia="Cambria Math" w:hAnsi="Cambria Math" w:cstheme="minorBidi"/>
                        </w:rPr>
                        <m:t>ϵ</m:t>
                      </m:r>
                    </m:e>
                    <m:sub>
                      <m:d>
                        <m:dPr>
                          <m:begChr m:val="{"/>
                          <m:endChr m:val="}"/>
                          <m:ctrlPr>
                            <w:rPr>
                              <w:rFonts w:ascii="Cambria Math" w:eastAsia="Cambria Math" w:hAnsi="Cambria Math" w:cstheme="minorBidi"/>
                              <w:i/>
                              <w:iCs/>
                            </w:rPr>
                          </m:ctrlPr>
                        </m:dPr>
                        <m:e>
                          <m:r>
                            <w:rPr>
                              <w:rFonts w:ascii="Cambria Math" w:eastAsia="Cambria Math" w:hAnsi="Cambria Math" w:cstheme="minorBidi"/>
                            </w:rPr>
                            <m:t>t-1</m:t>
                          </m:r>
                        </m:e>
                      </m:d>
                    </m:sub>
                  </m:sSub>
                </m:e>
              </m:d>
            </m:e>
            <m:sup>
              <m:r>
                <w:rPr>
                  <w:rFonts w:ascii="Cambria Math" w:eastAsia="Cambria Math" w:hAnsi="Cambria Math" w:cstheme="minorBidi"/>
                </w:rPr>
                <m:t>δ</m:t>
              </m:r>
            </m:sup>
          </m:sSup>
          <m:r>
            <w:rPr>
              <w:rFonts w:ascii="Cambria Math" w:eastAsia="Cambria Math" w:hAnsi="Cambria Math" w:cstheme="minorBidi"/>
            </w:rPr>
            <m:t>+ β</m:t>
          </m:r>
          <m:sSubSup>
            <m:sSubSupPr>
              <m:ctrlPr>
                <w:rPr>
                  <w:rFonts w:ascii="Cambria Math" w:eastAsia="Cambria Math" w:hAnsi="Cambria Math" w:cstheme="minorBidi"/>
                  <w:i/>
                  <w:iCs/>
                </w:rPr>
              </m:ctrlPr>
            </m:sSubSupPr>
            <m:e>
              <m:r>
                <w:rPr>
                  <w:rFonts w:ascii="Cambria Math" w:eastAsia="Cambria Math" w:hAnsi="Cambria Math" w:cstheme="minorBidi"/>
                </w:rPr>
                <m:t>h</m:t>
              </m:r>
            </m:e>
            <m:sub>
              <m:d>
                <m:dPr>
                  <m:begChr m:val="{"/>
                  <m:endChr m:val="}"/>
                  <m:ctrlPr>
                    <w:rPr>
                      <w:rFonts w:ascii="Cambria Math" w:eastAsia="Cambria Math" w:hAnsi="Cambria Math" w:cstheme="minorBidi"/>
                      <w:i/>
                      <w:iCs/>
                    </w:rPr>
                  </m:ctrlPr>
                </m:dPr>
                <m:e>
                  <m:r>
                    <w:rPr>
                      <w:rFonts w:ascii="Cambria Math" w:eastAsia="Cambria Math" w:hAnsi="Cambria Math" w:cstheme="minorBidi"/>
                    </w:rPr>
                    <m:t>t-1</m:t>
                  </m:r>
                </m:e>
              </m:d>
            </m:sub>
            <m:sup>
              <m:d>
                <m:dPr>
                  <m:begChr m:val="{"/>
                  <m:endChr m:val="}"/>
                  <m:ctrlPr>
                    <w:rPr>
                      <w:rFonts w:ascii="Cambria Math" w:eastAsia="Cambria Math" w:hAnsi="Cambria Math" w:cstheme="minorBidi"/>
                      <w:i/>
                      <w:iCs/>
                    </w:rPr>
                  </m:ctrlPr>
                </m:dPr>
                <m:e>
                  <m:f>
                    <m:fPr>
                      <m:ctrlPr>
                        <w:rPr>
                          <w:rFonts w:ascii="Cambria Math" w:eastAsia="Cambria Math" w:hAnsi="Cambria Math" w:cstheme="minorBidi"/>
                          <w:i/>
                          <w:iCs/>
                        </w:rPr>
                      </m:ctrlPr>
                    </m:fPr>
                    <m:num>
                      <m:r>
                        <w:rPr>
                          <w:rFonts w:ascii="Cambria Math" w:eastAsia="Cambria Math" w:hAnsi="Cambria Math" w:cstheme="minorBidi"/>
                        </w:rPr>
                        <m:t>δ</m:t>
                      </m:r>
                    </m:num>
                    <m:den>
                      <m:r>
                        <w:rPr>
                          <w:rFonts w:ascii="Cambria Math" w:eastAsia="Cambria Math" w:hAnsi="Cambria Math" w:cstheme="minorBidi"/>
                        </w:rPr>
                        <m:t>2</m:t>
                      </m:r>
                    </m:den>
                  </m:f>
                </m:e>
              </m:d>
            </m:sup>
          </m:sSubSup>
        </m:oMath>
      </m:oMathPara>
    </w:p>
    <w:p w14:paraId="1727C079" w14:textId="77777777" w:rsidR="00103524" w:rsidRPr="00103524" w:rsidRDefault="00103524">
      <w:pPr>
        <w:spacing w:before="60" w:after="60" w:line="360" w:lineRule="auto"/>
        <w:ind w:firstLine="720"/>
        <w:jc w:val="both"/>
        <w:rPr>
          <w:iCs/>
        </w:rPr>
      </w:pPr>
    </w:p>
    <w:p w14:paraId="2FAAD997" w14:textId="15BED67A" w:rsidR="00CC5C3E" w:rsidRDefault="00117A87" w:rsidP="00103524">
      <w:pPr>
        <w:bidi w:val="0"/>
        <w:spacing w:before="60" w:after="60" w:line="360" w:lineRule="auto"/>
        <w:ind w:firstLine="720"/>
        <w:jc w:val="both"/>
      </w:pPr>
      <w:r>
        <w:t>The APARCH model nests several well-known specifications as special cases, including GARCH (delta=2, gamma=0), GJR-GARCH (delta=2), and TARCH (delta=1, gamma!=0), making it a flexible benchmark for model comparison</w:t>
      </w:r>
      <w:sdt>
        <w:sdtPr>
          <w:rPr>
            <w:color w:val="000000"/>
          </w:rPr>
          <w:tag w:val="MENDELEY_CITATION_v3_eyJjaXRhdGlvbklEIjoiTUVOREVMRVlfQ0lUQVRJT05fMzk0OWMxMDUtYmRhYi00ODk0LWFjNTAtZWM2NTA1ZWIzYjZjIiwicHJvcGVydGllcyI6eyJub3RlSW5kZXgiOjB9LCJpc0VkaXRlZCI6ZmFsc2UsIm1hbnVhbE92ZXJyaWRlIjp7ImlzTWFudWFsbHlPdmVycmlkZGVuIjpmYWxzZSwiY2l0ZXByb2NUZXh0IjoiKERpbmcgZXQgYWwuLCAxOTkzKSIsIm1hbnVhbE92ZXJyaWRlVGV4dCI6IiJ9LCJjaXRhdGlvbkl0ZW1zIjpbeyJpZCI6ImRlZTAzZmZkLTc5ZTMtM2RhMS1iNWEwLTI4MDgwYjc0ZWJmNSIsIml0ZW1EYXRhIjp7InR5cGUiOiJyZXBvcnQiLCJpZCI6ImRlZTAzZmZkLTc5ZTMtM2RhMS1iNWEwLTI4MDgwYjc0ZWJmNSIsInRpdGxlIjoiQSBsb25nIG1lbW9yeSBwcm9wZXJ0eSBvZiBzdG9jayBtYXJrZXQgcmV0dXJucyBhbmQgYSBuZXcgbW9kZWwqIiwiYXV0aG9yIjpbeyJmYW1pbHkiOiJEaW5nIiwiZ2l2ZW4iOiJaaHVhbnhpbiIsInBhcnNlLW5hbWVzIjpmYWxzZSwiZHJvcHBpbmctcGFydGljbGUiOiIiLCJub24tZHJvcHBpbmctcGFydGljbGUiOiIifSx7ImZhbWlseSI6IkdyYW5nZXIiLCJnaXZlbiI6IkNsaXZlIFcgSiIsInBhcnNlLW5hbWVzIjpmYWxzZSwiZHJvcHBpbmctcGFydGljbGUiOiIiLCJub24tZHJvcHBpbmctcGFydGljbGUiOiIifSx7ImZhbWlseSI6IkVuZ2xlIiwiZ2l2ZW4iOiJSb2JlcnQgRiIsInBhcnNlLW5hbWVzIjpmYWxzZSwiZHJvcHBpbmctcGFydGljbGUiOiIiLCJub24tZHJvcHBpbmctcGFydGljbGUiOiIifV0sImNvbnRhaW5lci10aXRsZSI6IkpvdXJuYWwgb2YgRW1waXJpY2FsIEZpbmFuY2UiLCJjb250YWluZXItdGl0bGUtc2hvcnQiOiJKLiBFbXBpci4gRmluYW5jZSIsImlzc3VlZCI6eyJkYXRlLXBhcnRzIjpbWzE5OTNdXX0sIm51bWJlci1vZi1wYWdlcyI6IjgzLTEwNiIsImFic3RyYWN0IjoiQSAnbG9uZyBtZW1vcnknIHByb3BlcnR5IG9mIHN0b2NrIG1hcmtldCByZXR1cm5zIGlzIGludmVzdGlnYXRlZCBpbiB0aGlzIHBhcGVyLiBJdCBpcyBmb3VuZCB0aGF0IG5vdCBvbmx5IHRoZXJlIGlzIHN1YnN0YW50aWFsbHkgbW9yZSBjb3JyZWxhdGlvbiBiZXR3ZWVuIGFic29sdXRlIHJldHVybnMgdGhhbiByZXR1cm5zIHRoZW1zZWx2ZXMgLCBidXQgdGhlIHBvd2VyIHRyYW5zZm9ybWF0aW9uIG9mIHRoZSBhYnNvbHV0ZSByZXR1cm4gbHJmbFwiIGFsc28gaGFzIHF1aXRlIGhpZ2ggYXV0b2NvcnJlbC1hdGlvbiBmb3IgbG9uZyBsYWdzLiBJdCBpcyBwb3NzaWJsZSB0byBjaGFyYWN0ZXJpemUgbHJmbGQgdG8gYmUgJ2xvbmcgbWVtb3J5JyBhbmQgdGhpcyBwcm9wZXJ0eSBpcyBzdHJvbmdlc3Qgd2hlbiBkIGlzIGFyb3VuZCAxLiBUaGlzIHJlc3VsdCBhcHBlYXJzIHRvIGFyZ3VlIGFnYWluc3QgQVJDSCB0eXBlIHNwZWNpZmljYXRpb25zIGJhc2VkIHVwb24gc3F1YXJlZCByZXR1cm5zLiBCdXQgb3VyIE1vbnRlLUNhcmxvIHN0dWR5IHNob3dzIHRoYXQgYm90aCBBUkNIIHR5cGUgbW9kZWxzIGJhc2VkIG9uIHNxdWFyZWQgcmV0dXJucyBhbmQgdGhvc2UgYmFzZWQgb24gYWJzb2x1dGUgcmV0dXJuIGNhbiBwcm9kdWNlIHRoaXMgcHJvcGVydHkuIEEgbmV3IGdlbmVyYWwgY2xhc3Mgb2YgbW9kZWxzIGlzIHByb3Bvc2VkIHdoaWNoIGFsbG93cyB0aGUgcG93ZXIgNiBvZiB0aGUgaGV0ZXJvc2tlZGFzdGljaXR5IGVxdWF0aW9uIHRvIGJlIGVzdGltYXRlZCBmcm9tIHRoZSBkYXRhLiIsInZvbHVtZSI6IjEifSwiaXNUZW1wb3JhcnkiOmZhbHNlfV19"/>
          <w:id w:val="959388005"/>
          <w:placeholder>
            <w:docPart w:val="DefaultPlaceholder_-1854013440"/>
          </w:placeholder>
        </w:sdtPr>
        <w:sdtEndPr/>
        <w:sdtContent>
          <w:r w:rsidR="00E47856" w:rsidRPr="00E47856">
            <w:rPr>
              <w:color w:val="000000"/>
            </w:rPr>
            <w:t>(Ding et al., 1993)</w:t>
          </w:r>
        </w:sdtContent>
      </w:sdt>
      <w:r>
        <w:t>.</w:t>
      </w:r>
    </w:p>
    <w:p w14:paraId="486A2FC6" w14:textId="77777777" w:rsidR="00CC5C3E" w:rsidRDefault="00117A87">
      <w:pPr>
        <w:pStyle w:val="2"/>
      </w:pPr>
      <w:r>
        <w:t>2.3 Regime-Switching GARCH Models</w:t>
      </w:r>
    </w:p>
    <w:p w14:paraId="2CB7A86E" w14:textId="77777777" w:rsidR="00CC5C3E" w:rsidRDefault="00117A87" w:rsidP="00103524">
      <w:pPr>
        <w:bidi w:val="0"/>
        <w:spacing w:before="60" w:after="60" w:line="360" w:lineRule="auto"/>
        <w:ind w:firstLine="720"/>
        <w:jc w:val="both"/>
        <w:rPr>
          <w:rtl/>
        </w:rPr>
      </w:pPr>
      <w:r>
        <w:t>The Markov-Switching GARCH (MS-GARCH) model, developed by Hamilton and Susmel (1994) and further extended by Gray (1996) and Haas, Mittnik, and Paolella (2004), allows the GARCH parameters to shift across latent states governed by an unobservable Markov chain. Let S_t in {1, 2, ..., K} denote the regime at time t, with transition probabilities P(S_t = j | S_{t-1} = i) = p_{ij}. The MS-GARCH(1,1) with K=2 regimes specifies:</w:t>
      </w:r>
    </w:p>
    <w:p w14:paraId="5BA61462" w14:textId="390DDDD9" w:rsidR="009429FD" w:rsidRPr="009429FD" w:rsidRDefault="00BC3A9F" w:rsidP="00103524">
      <w:pPr>
        <w:bidi w:val="0"/>
        <w:spacing w:before="60" w:after="60" w:line="360" w:lineRule="auto"/>
        <w:ind w:firstLine="720"/>
        <w:jc w:val="both"/>
        <w:rPr>
          <w:iCs/>
        </w:rPr>
      </w:pPr>
      <m:oMathPara>
        <m:oMath>
          <m:sSub>
            <m:sSubPr>
              <m:ctrlPr>
                <w:rPr>
                  <w:rFonts w:ascii="Cambria Math" w:eastAsia="Cambria Math" w:hAnsi="Cambria Math" w:cs="Cambria Math"/>
                  <w:i/>
                  <w:iCs/>
                </w:rPr>
              </m:ctrlPr>
            </m:sSubPr>
            <m:e>
              <m:r>
                <w:rPr>
                  <w:rFonts w:ascii="Cambria Math" w:eastAsia="Cambria Math" w:hAnsi="Cambria Math" w:cs="Cambria Math"/>
                </w:rPr>
                <m:t>S</m:t>
              </m:r>
            </m:e>
            <m:sub>
              <m:r>
                <w:rPr>
                  <w:rFonts w:ascii="Cambria Math" w:eastAsia="Cambria Math" w:hAnsi="Cambria Math" w:cs="Cambria Math"/>
                </w:rPr>
                <m:t>t</m:t>
              </m:r>
            </m:sub>
          </m:sSub>
          <m:r>
            <w:rPr>
              <w:rFonts w:ascii="Cambria Math" w:eastAsia="Cambria Math" w:hAnsi="Cambria Math" w:cs="Cambria Math"/>
            </w:rPr>
            <m:t>∈</m:t>
          </m:r>
          <m:r>
            <m:rPr>
              <m:lit/>
            </m:rPr>
            <w:rPr>
              <w:rFonts w:ascii="Cambria Math" w:eastAsia="Cambria Math" w:hAnsi="Cambria Math" w:cs="Cambria Math"/>
            </w:rPr>
            <m:t>{</m:t>
          </m:r>
          <m:r>
            <w:rPr>
              <w:rFonts w:ascii="Cambria Math" w:eastAsia="Cambria Math" w:hAnsi="Cambria Math" w:cs="Cambria Math"/>
            </w:rPr>
            <m:t>1, 2, …, K</m:t>
          </m:r>
          <m:r>
            <m:rPr>
              <m:lit/>
            </m:rPr>
            <w:rPr>
              <w:rFonts w:ascii="Cambria Math" w:eastAsia="Cambria Math" w:hAnsi="Cambria Math" w:cs="Cambria Math"/>
            </w:rPr>
            <m:t>}</m:t>
          </m:r>
        </m:oMath>
      </m:oMathPara>
    </w:p>
    <w:p w14:paraId="4928A6DC" w14:textId="77777777" w:rsidR="009429FD" w:rsidRPr="009429FD" w:rsidRDefault="009429FD" w:rsidP="009429FD">
      <w:pPr>
        <w:bidi w:val="0"/>
        <w:spacing w:before="60" w:after="60" w:line="360" w:lineRule="auto"/>
        <w:ind w:firstLine="720"/>
        <w:jc w:val="both"/>
        <w:rPr>
          <w:iCs/>
        </w:rPr>
      </w:pPr>
    </w:p>
    <w:p w14:paraId="2D3AAF41" w14:textId="2BEDBF68" w:rsidR="009429FD" w:rsidRPr="009429FD" w:rsidRDefault="00BC3A9F" w:rsidP="009429FD">
      <w:pPr>
        <w:bidi w:val="0"/>
        <w:spacing w:before="60" w:after="60" w:line="360" w:lineRule="auto"/>
        <w:ind w:firstLine="720"/>
        <w:jc w:val="both"/>
      </w:pPr>
      <m:oMathPara>
        <m:oMath>
          <m:sSub>
            <m:sSubPr>
              <m:ctrlPr>
                <w:rPr>
                  <w:rFonts w:ascii="Cambria Math" w:hAnsi="Cambria Math"/>
                  <w:i/>
                </w:rPr>
              </m:ctrlPr>
            </m:sSubPr>
            <m:e>
              <m:r>
                <w:rPr>
                  <w:rFonts w:ascii="Cambria Math" w:hAnsi="Cambria Math"/>
                </w:rPr>
                <m:t>h</m:t>
              </m:r>
            </m:e>
            <m:sub>
              <m:d>
                <m:dPr>
                  <m:begChr m:val="{"/>
                  <m:endChr m:val="}"/>
                  <m:ctrlPr>
                    <w:rPr>
                      <w:rFonts w:ascii="Cambria Math" w:hAnsi="Cambria Math"/>
                      <w:i/>
                    </w:rPr>
                  </m:ctrlPr>
                </m:dPr>
                <m:e>
                  <m:r>
                    <w:rPr>
                      <w:rFonts w:ascii="Cambria Math" w:hAnsi="Cambria Math"/>
                    </w:rPr>
                    <m:t>t,k</m:t>
                  </m:r>
                </m:e>
              </m:d>
            </m:sub>
          </m:sSub>
          <m:r>
            <w:rPr>
              <w:rFonts w:ascii="Cambria Math" w:hAnsi="Cambria Math"/>
            </w:rPr>
            <m:t xml:space="preserve">= </m:t>
          </m:r>
          <m:sSub>
            <m:sSubPr>
              <m:ctrlPr>
                <w:rPr>
                  <w:rFonts w:ascii="Cambria Math" w:hAnsi="Cambria Math"/>
                  <w:i/>
                </w:rPr>
              </m:ctrlPr>
            </m:sSubPr>
            <m:e>
              <m:r>
                <w:rPr>
                  <w:rFonts w:ascii="Cambria Math" w:hAnsi="Cambria Math"/>
                </w:rPr>
                <m:t>ω</m:t>
              </m:r>
            </m:e>
            <m:sub>
              <m:r>
                <w:rPr>
                  <w:rFonts w:ascii="Cambria Math" w:hAnsi="Cambria Math"/>
                </w:rPr>
                <m:t>k</m:t>
              </m:r>
            </m:sub>
          </m:sSub>
          <m:r>
            <w:rPr>
              <w:rFonts w:ascii="Cambria Math" w:hAnsi="Cambria Math"/>
            </w:rPr>
            <m:t xml:space="preserve">+ </m:t>
          </m:r>
          <m:sSub>
            <m:sSubPr>
              <m:ctrlPr>
                <w:rPr>
                  <w:rFonts w:ascii="Cambria Math" w:hAnsi="Cambria Math"/>
                  <w:i/>
                </w:rPr>
              </m:ctrlPr>
            </m:sSubPr>
            <m:e>
              <m:r>
                <w:rPr>
                  <w:rFonts w:ascii="Cambria Math" w:hAnsi="Cambria Math"/>
                </w:rPr>
                <m:t>α</m:t>
              </m:r>
            </m:e>
            <m:sub>
              <m:r>
                <w:rPr>
                  <w:rFonts w:ascii="Cambria Math" w:hAnsi="Cambria Math"/>
                </w:rPr>
                <m:t>k</m:t>
              </m:r>
            </m:sub>
          </m:sSub>
          <m:sSubSup>
            <m:sSubSupPr>
              <m:ctrlPr>
                <w:rPr>
                  <w:rFonts w:ascii="Cambria Math" w:hAnsi="Cambria Math"/>
                  <w:i/>
                </w:rPr>
              </m:ctrlPr>
            </m:sSubSupPr>
            <m:e>
              <m:r>
                <w:rPr>
                  <w:rFonts w:ascii="Cambria Math" w:hAnsi="Cambria Math"/>
                </w:rPr>
                <m:t>ϵ</m:t>
              </m:r>
            </m:e>
            <m:sub>
              <m:d>
                <m:dPr>
                  <m:begChr m:val="{"/>
                  <m:endChr m:val="}"/>
                  <m:ctrlPr>
                    <w:rPr>
                      <w:rFonts w:ascii="Cambria Math" w:hAnsi="Cambria Math"/>
                      <w:i/>
                    </w:rPr>
                  </m:ctrlPr>
                </m:dPr>
                <m:e>
                  <m:r>
                    <w:rPr>
                      <w:rFonts w:ascii="Cambria Math" w:hAnsi="Cambria Math"/>
                    </w:rPr>
                    <m:t>t-1</m:t>
                  </m:r>
                </m:e>
              </m:d>
            </m:sub>
            <m:sup>
              <m:r>
                <w:rPr>
                  <w:rFonts w:ascii="Cambria Math" w:hAnsi="Cambria Math"/>
                </w:rPr>
                <m:t>2</m:t>
              </m:r>
            </m:sup>
          </m:sSubSup>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k</m:t>
              </m:r>
            </m:sub>
          </m:sSub>
          <m:sSub>
            <m:sSubPr>
              <m:ctrlPr>
                <w:rPr>
                  <w:rFonts w:ascii="Cambria Math" w:hAnsi="Cambria Math"/>
                  <w:i/>
                </w:rPr>
              </m:ctrlPr>
            </m:sSubPr>
            <m:e>
              <m:r>
                <w:rPr>
                  <w:rFonts w:ascii="Cambria Math" w:hAnsi="Cambria Math"/>
                </w:rPr>
                <m:t>h</m:t>
              </m:r>
            </m:e>
            <m:sub>
              <m:d>
                <m:dPr>
                  <m:begChr m:val="{"/>
                  <m:endChr m:val="}"/>
                  <m:ctrlPr>
                    <w:rPr>
                      <w:rFonts w:ascii="Cambria Math" w:hAnsi="Cambria Math"/>
                      <w:i/>
                    </w:rPr>
                  </m:ctrlPr>
                </m:dPr>
                <m:e>
                  <m:r>
                    <w:rPr>
                      <w:rFonts w:ascii="Cambria Math" w:hAnsi="Cambria Math"/>
                    </w:rPr>
                    <m:t>t-1,k</m:t>
                  </m:r>
                </m:e>
              </m:d>
            </m:sub>
          </m:sSub>
          <m:r>
            <w:rPr>
              <w:rFonts w:ascii="Cambria Math" w:hAnsi="Cambria Math"/>
            </w:rPr>
            <m:t>, \quad k = 1, 2</m:t>
          </m:r>
        </m:oMath>
      </m:oMathPara>
    </w:p>
    <w:p w14:paraId="2BEE6AE8" w14:textId="59D20F1A" w:rsidR="009429FD" w:rsidRPr="009429FD" w:rsidRDefault="009429FD" w:rsidP="009429FD">
      <w:pPr>
        <w:bidi w:val="0"/>
        <w:spacing w:before="60" w:after="60" w:line="360" w:lineRule="auto"/>
        <w:ind w:firstLine="720"/>
        <w:jc w:val="both"/>
      </w:pPr>
      <w:r w:rsidRPr="009429FD">
        <w:lastRenderedPageBreak/>
        <w:t>where the volatility process within each state is governed by regime-specific parameters (omega_k, alpha_k, and beta_k). Regime 1 usually corresponds to a low-volatility, peaceful state, while Regime 2 captures high-volatility, crisis periods. The MS-GARCH framework is especially well-suited to GCC markets, which have undergone numerous structural breaks brought on by shocks to the oil price and regional geopolitical events</w:t>
      </w:r>
      <w:sdt>
        <w:sdtPr>
          <w:rPr>
            <w:color w:val="000000"/>
          </w:rPr>
          <w:tag w:val="MENDELEY_CITATION_v3_eyJjaXRhdGlvbklEIjoiTUVOREVMRVlfQ0lUQVRJT05fOTc4MmUzYzUtMmNkMS00YTJiLTliYmMtZWQ5MWJjOWE4MmUwIiwicHJvcGVydGllcyI6eyJub3RlSW5kZXgiOjB9LCJpc0VkaXRlZCI6ZmFsc2UsIm1hbnVhbE92ZXJyaWRlIjp7ImlzTWFudWFsbHlPdmVycmlkZGVuIjpmYWxzZSwiY2l0ZXByb2NUZXh0IjoiKEhhbWlsdG9uKi1BICYjMzg7IFN1c21lbGIsIG4uZC4pIiwibWFudWFsT3ZlcnJpZGVUZXh0IjoiIn0sImNpdGF0aW9uSXRlbXMiOlt7ImlkIjoiNmUxM2RhNDktMGRhMS0zMTM1LWE2ZDgtMDNlZmIzNjIzOTFiIiwiaXRlbURhdGEiOnsidHlwZSI6InJlcG9ydCIsImlkIjoiNmUxM2RhNDktMGRhMS0zMTM1LWE2ZDgtMDNlZmIzNjIzOTFiIiwidGl0bGUiOiJBdXRvcmVncmVzc2l2ZSBjb25kaXRpb25hbCBoZXRlcm9za2VkYXN0aWNpdHkgYW5kIGNoYW5nZXMgaW4gcmVnaW1lIiwiYXV0aG9yIjpbeyJmYW1pbHkiOiJIYW1pbHRvbiotQSIsImdpdmVuIjoiSmFtZXMgRCIsInBhcnNlLW5hbWVzIjpmYWxzZSwiZHJvcHBpbmctcGFydGljbGUiOiIiLCJub24tZHJvcHBpbmctcGFydGljbGUiOiIifSx7ImZhbWlseSI6IlN1c21lbGIiLCJnaXZlbiI6IlJhdWwiLCJwYXJzZS1uYW1lcyI6ZmFsc2UsImRyb3BwaW5nLXBhcnRpY2xlIjoiIiwibm9uLWRyb3BwaW5nLXBhcnRpY2xlIjoiIn1dLCJhYnN0cmFjdCI6IkFSQ0ggbW9kZWxzIG9mdGVuIGltcHV0ZSBhIGxvdCBvZiBwZXJzaXN0ZW5jZSB0byBzdG9jayB2b2xhdGlsaXR5IGFuZCB5ZXQgZ2l2ZSByZWxhdGl2ZWx5IHBvb3IgZm9yZWNhc3RzLiBPbmUgZXhwbGFuYXRpb24gaXMgdGhhdCBleHRyZW1lbHkgbGFyZ2Ugc2hvY2tzLCBzdWNoIGFzIHRoZSBPY3RvYmVyIDE5ODcgY3Jhc2guIGFyaXNlIGZyb20gcXVpdGUgZGlmZmVyZW50IGNhdXNlcyBhbmQgaGF2ZSBkaWZmZXJlbnQgY29uc2VxdWVuY2VzIGZvciBzdWJzZXF1ZW50IHZvbGF0aWxpdHkgdGhhbiBkbyBzbWFsbCBzaG9ja3MuIFdlIGV4cGxvcmUgdGhpcyBwb3NzaWJpbGl0eSB3aXRoIFUuUy4gd2Vla2x5IHN0b2NrIHJldHVybnMsIGFsbG93aW5nIHRoZSBwYXJhbWV0ZXJzIG9mIGFuIEFSQ0ggcHJvY2VzcyB0byBjb21lIGZyb20gb25lIG9mIHNldmVyYWwgZGlmZmVyZW50IHJlZ2ltZXMsIHdpdGggdHJhbnNpdGlvbnMgYmV0d2VlbiByZWdpbWVzIGdvdmVybmVkIGJ5IGFuIHVub2JzZXJ2ZWQgTWFya292IGNoYWluLiBXZSBlc3RpbWF0ZSBtb2RlbHMgd2l0aCB0d28gdG8gZm91ciByZWdpbWVzIGluIHdoaWNoIHRoZSBsYXRlbnQgaW5ub3ZhdGlvbnMgY29tZSBmcm9tIEdhdXNzaWFuIGFuZCBTdHVkZW50IGYgZGlzdHJpYnV0aW9ucy4iLCJjb250YWluZXItdGl0bGUtc2hvcnQiOiIifSwiaXNUZW1wb3JhcnkiOmZhbHNlfV19"/>
          <w:id w:val="-768077916"/>
          <w:placeholder>
            <w:docPart w:val="DefaultPlaceholder_-1854013440"/>
          </w:placeholder>
        </w:sdtPr>
        <w:sdtEndPr/>
        <w:sdtContent>
          <w:r w:rsidR="00E47856" w:rsidRPr="00E47856">
            <w:rPr>
              <w:color w:val="000000"/>
            </w:rPr>
            <w:t>(Hamilton*-A &amp; Susmelb, n.d.)</w:t>
          </w:r>
        </w:sdtContent>
      </w:sdt>
      <w:r w:rsidRPr="009429FD">
        <w:t>.</w:t>
      </w:r>
    </w:p>
    <w:p w14:paraId="7CC999D3" w14:textId="35332FB7" w:rsidR="00CC5C3E" w:rsidRDefault="00117A87">
      <w:pPr>
        <w:pStyle w:val="2"/>
      </w:pPr>
      <w:r>
        <w:t>2.4 Empirical Evidence on GCC Market Volatility</w:t>
      </w:r>
    </w:p>
    <w:p w14:paraId="14C5F432" w14:textId="40D1B6F2" w:rsidR="002E6132" w:rsidRPr="002E6132" w:rsidRDefault="002E6132" w:rsidP="002E6132">
      <w:pPr>
        <w:bidi w:val="0"/>
        <w:spacing w:before="60" w:after="60" w:line="360" w:lineRule="auto"/>
        <w:ind w:firstLine="720"/>
        <w:jc w:val="both"/>
      </w:pPr>
      <w:r w:rsidRPr="002E6132">
        <w:t>In the last decade, empirical studies on the volatility of GCC equities markets have increased substantially. Hammoudeh and Li (2008) provided the first evidence of volatility asymmetry in Gulf markets by showing that negative return innovations have a greater impact on the conditional variance in the Saudi and Kuwaiti markets. Jouini (2013) extended this study to a multivariate DCC-GARCH framework for periods of oil price stress and found strong time-varying conditional correlations among GCC markets</w:t>
      </w:r>
      <w:sdt>
        <w:sdtPr>
          <w:rPr>
            <w:color w:val="000000"/>
          </w:rPr>
          <w:tag w:val="MENDELEY_CITATION_v3_eyJjaXRhdGlvbklEIjoiTUVOREVMRVlfQ0lUQVRJT05fZjlmNGJkYmEtOGZiZi00ZjFkLTk1ZmUtYjVmMTJiZjY5YzIyIiwicHJvcGVydGllcyI6eyJub3RlSW5kZXgiOjB9LCJpc0VkaXRlZCI6ZmFsc2UsIm1hbnVhbE92ZXJyaWRlIjp7ImlzTWFudWFsbHlPdmVycmlkZGVuIjpmYWxzZSwiY2l0ZXByb2NUZXh0IjoiKEhhbW1vdWRlaCAmIzM4OyBMaSwgMjAwOCkiLCJtYW51YWxPdmVycmlkZVRleHQiOiIifSwiY2l0YXRpb25JdGVtcyI6W3siaWQiOiI2MTAxOGY4Zi1kMWE3LTNhZTEtYjc3NS04ZmNkOGFkMGNjNTMiLCJpdGVtRGF0YSI6eyJ0eXBlIjoiYXJ0aWNsZS1qb3VybmFsIiwiaWQiOiI2MTAxOGY4Zi1kMWE3LTNhZTEtYjc3NS04ZmNkOGFkMGNjNTMiLCJ0aXRsZSI6IlN1ZGRlbiBjaGFuZ2VzIGluIHZvbGF0aWxpdHkgaW4gZW1lcmdpbmcgbWFya2V0czogVGhlIGNhc2Ugb2YgR3VsZiBBcmFiIHN0b2NrIG1hcmtldHMiLCJhdXRob3IiOlt7ImZhbWlseSI6IkhhbW1vdWRlaCIsImdpdmVuIjoiU2hhd2thdCIsInBhcnNlLW5hbWVzIjpmYWxzZSwiZHJvcHBpbmctcGFydGljbGUiOiIiLCJub24tZHJvcHBpbmctcGFydGljbGUiOiIifSx7ImZhbWlseSI6IkxpIiwiZ2l2ZW4iOiJIdWltaW4iLCJwYXJzZS1uYW1lcyI6ZmFsc2UsImRyb3BwaW5nLXBhcnRpY2xlIjoiIiwibm9uLWRyb3BwaW5nLXBhcnRpY2xlIjoiIn1dLCJjb250YWluZXItdGl0bGUiOiJJbnRlcm5hdGlvbmFsIFJldmlldyBvZiBGaW5hbmNpYWwgQW5hbHlzaXMiLCJET0kiOiIxMC4xMDE2L2ouaXJmYS4yMDA1LjAxLjAwMiIsIklTU04iOiIxMDU3NTIxOSIsImlzc3VlZCI6eyJkYXRlLXBhcnRzIjpbWzIwMDhdXX0sInBhZ2UiOiI0Ny02MyIsImFic3RyYWN0IjoiVGhpcyBhcnRpY2xlIGV4YW1pbmVzIHN1ZGRlbiBjaGFuZ2VzIGluIHZvbGF0aWxpdHkgZm9yIGZpdmUgR3VsZiBhcmVhIEFyYWIgc3RvY2sgbWFya2V0cyB1c2luZyB0aGUgaXRlcmF0ZWQgY3VtdWxhdGl2ZSBzdW1zIG9mIHNxdWFyZXMgKElDU1MpIGFsZ29yaXRobSBhbmQgYW5hbHl6ZXMgdGhlaXIgaW1wYWN0cyBvbiB0aGUgZXN0aW1hdGVkIHBlcnNpc3RlbmNlIG9mIHZvbGF0aWxpdHkuIFRoaXMgYWxnb3JpdGhtIGlkZW50aWZpZXMgbGFyZ2Ugc2hpZnRzIGluIHZvbGF0aWxpdHkgb2YgdGhlIHN0b2NrIG1hcmtldHMgZHVyaW5nIHRoZSB3ZWVrbHkgcGVyaW9kIDE5OTQgdG8gMjAwMS4gSW4gY29udHJhc3QgdG8gQWdnYXJ3YWwgZXQgYWwuIFtBZ2dhcndhbCwgUi4sIEluY2xhbiwgQy4sICYgTGVhbCwgUi4sIDE5OTksIFZvbGF0aWxpdHkgaW4gZW1lcmdpbmcgbWFya2V0cy4gSm91cm5hbCBvZiBGaW5hbmNpYWwgYW5kIFF1YW50aXRhdGl2ZSBBbmFseXNpcyAzNCwgMzMtNTVdLCB0aGlzIHBhcGVyIGZvdW5kIHRoYXQgbW9zdCBvZiB0aGUgR3VsZiBBcmFiIHN0b2NrIG1hcmtldHMgYXJlIG1vcmUgc2Vuc2l0aXZlIHRvIG1ham9yIGdsb2JhbCBldmVudHMgdGhhbiB0byBsb2NhbCBhbmQgcmVnaW9uYWwgZmFjdG9ycy4gVGhlIDE5OTcgQXNpYW4gY3Jpc2lzLCB0aGUgY29sbGFwc2Ugb2Ygb2lsIHByaWNlcyBpbiAxOTk4IGFmdGVyIHRoZSBjcmlzaXMsIHRoZSBhZG9wdGlvbiBvZiB0aGUgcHJpY2UgYmFuZCBtZWNoYW5pc20gYnkgT1BFQyBpbiAyMDAwLCBhbmQgdGhlIFNlcHRlbWJlciAxMXRoIGF0dGFjayBoYXZlIGJlZW4gZm91bmQgdG8gaGF2ZSBjb25zaXN0ZW50bHkgYWZmZWN0ZWQgdGhlIEd1bGYgbWFya2V0cy4gQWNjb3VudGluZyBmb3IgdGhlc2UgbGFyZ2Ugc2hpZnRzIGluIHZvbGF0aWxpdHkgaW4gdGhlIEdBUkNIKDEsMSkgbW9kZWxzIHNpZ25pZmljYW50bHkgcmVkdWNlcyB0aGUgZXN0aW1hdGVkIHBlcnNpc3RlbmNlIG9mIHRoZSB2b2xhdGlsaXR5IGluIHRoZSBHdWxmIHN0b2NrIG1hcmtldHMuIMKpIDIwMDYgRWxzZXZpZXIgSW5jLiBBbGwgcmlnaHRzIHJlc2VydmVkLiIsImlzc3VlIjoiMSIsInZvbHVtZSI6IjE3IiwiY29udGFpbmVyLXRpdGxlLXNob3J0IjoiIn0sImlzVGVtcG9yYXJ5IjpmYWxzZX1dfQ=="/>
          <w:id w:val="1406806923"/>
          <w:placeholder>
            <w:docPart w:val="DefaultPlaceholder_-1854013440"/>
          </w:placeholder>
        </w:sdtPr>
        <w:sdtEndPr/>
        <w:sdtContent>
          <w:r w:rsidR="00E47856" w:rsidRPr="00E47856">
            <w:rPr>
              <w:color w:val="000000"/>
            </w:rPr>
            <w:t>(Hammoudeh &amp; Li, 2008)</w:t>
          </w:r>
        </w:sdtContent>
      </w:sdt>
      <w:r w:rsidRPr="002E6132">
        <w:t>.</w:t>
      </w:r>
    </w:p>
    <w:p w14:paraId="39EBE50D" w14:textId="77777777" w:rsidR="002E6132" w:rsidRDefault="002E6132" w:rsidP="009429FD">
      <w:pPr>
        <w:bidi w:val="0"/>
        <w:spacing w:before="60" w:after="60" w:line="360" w:lineRule="auto"/>
        <w:ind w:firstLine="720"/>
        <w:jc w:val="both"/>
      </w:pPr>
    </w:p>
    <w:p w14:paraId="0DE7AED5" w14:textId="09D55376" w:rsidR="00CC5C3E" w:rsidRDefault="00117A87" w:rsidP="002E6132">
      <w:pPr>
        <w:bidi w:val="0"/>
        <w:spacing w:before="60" w:after="60" w:line="360" w:lineRule="auto"/>
        <w:ind w:firstLine="720"/>
        <w:jc w:val="both"/>
        <w:rPr>
          <w:rtl/>
        </w:rPr>
      </w:pPr>
      <w:r>
        <w:t>Arouri, Lahiani, and Nguyen (2011) examined the transmission of oil price volatility to GCC stock returns using a VAR-GARCH approach, reporting significant unidirectional spillovers from oil to equity markets, particularly in Saudi Arabia and Qatar. Al-Hajieh, Redhead, and Rodgers (2011) documented that GCC markets exhibit higher persistence of volatility shocks relative to developed European markets, potentially reflecting the concentrated economic structure and limited diversification of GCC economies</w:t>
      </w:r>
      <w:sdt>
        <w:sdtPr>
          <w:rPr>
            <w:color w:val="000000"/>
          </w:rPr>
          <w:tag w:val="MENDELEY_CITATION_v3_eyJjaXRhdGlvbklEIjoiTUVOREVMRVlfQ0lUQVRJT05fNmZjYjRmMzEtZmM0NS00MTdiLTk3NWMtZDJmMDk0M2RkYTRkIiwicHJvcGVydGllcyI6eyJub3RlSW5kZXgiOjB9LCJpc0VkaXRlZCI6ZmFsc2UsIm1hbnVhbE92ZXJyaWRlIjp7ImlzTWFudWFsbHlPdmVycmlkZGVuIjpmYWxzZSwiY2l0ZXByb2NUZXh0IjoiKEFyb3VyaSBldCBhbC4sIDIwMTEpIiwibWFudWFsT3ZlcnJpZGVUZXh0IjoiIn0sImNpdGF0aW9uSXRlbXMiOlt7ImlkIjoiMDI3NWYyMDMtYTUwZS0zOTE2LWIwOGUtNDRiODgxMTdiNzVlIiwiaXRlbURhdGEiOnsidHlwZSI6ImFydGljbGUtam91cm5hbCIsImlkIjoiMDI3NWYyMDMtYTUwZS0zOTE2LWIwOGUtNDRiODgxMTdiNzVlIiwidGl0bGUiOiJSZXR1cm4gYW5kIHZvbGF0aWxpdHkgdHJhbnNtaXNzaW9uIGJldHdlZW4gd29ybGQgb2lsIHByaWNlcyBhbmQgc3RvY2sgbWFya2V0cyBvZiB0aGUgR0NDIGNvdW50cmllcyIsImF1dGhvciI6W3siZmFtaWx5IjoiQXJvdXJpIiwiZ2l2ZW4iOiJNb2hhbWVkIEVsIEhlZGkiLCJwYXJzZS1uYW1lcyI6ZmFsc2UsImRyb3BwaW5nLXBhcnRpY2xlIjoiIiwibm9uLWRyb3BwaW5nLXBhcnRpY2xlIjoiIn0seyJmYW1pbHkiOiJMYWhpYW5pIiwiZ2l2ZW4iOiJBbWluZSIsInBhcnNlLW5hbWVzIjpmYWxzZSwiZHJvcHBpbmctcGFydGljbGUiOiIiLCJub24tZHJvcHBpbmctcGFydGljbGUiOiIifSx7ImZhbWlseSI6Ik5ndXllbiIsImdpdmVuIjoiRHVjIEtodW9uZyIsInBhcnNlLW5hbWVzIjpmYWxzZSwiZHJvcHBpbmctcGFydGljbGUiOiIiLCJub24tZHJvcHBpbmctcGFydGljbGUiOiIifV0sImNvbnRhaW5lci10aXRsZSI6IkVjb25vbWljIE1vZGVsbGluZyIsImNvbnRhaW5lci10aXRsZS1zaG9ydCI6IkVjb24uIE1vZGVsLiIsIkRPSSI6IjEwLjEwMTYvai5lY29ubW9kLjIwMTEuMDMuMDEyIiwiSVNTTiI6IjAyNjQ5OTkzIiwiaXNzdWVkIjp7ImRhdGUtcGFydHMiOltbMjAxMSw3XV19LCJwYWdlIjoiMTgxNS0xODI1IiwiYWJzdHJhY3QiOiJUaGlzIHBhcGVyIGludmVzdGlnYXRlcyB0aGUgcmV0dXJuIGxpbmtzIGFuZCB2b2xhdGlsaXR5IHRyYW5zbWlzc2lvbiBiZXR3ZWVuIG9pbCBhbmQgc3RvY2sgbWFya2V0cyBpbiB0aGUgR3VsZiBDb29wZXJhdGlvbiBDb3VuY2lsIChHQ0MpIGNvdW50cmllcyBvdmVyIHRoZSBwZXJpb2QgMjAwNS0yMDEwLiBXZSBlbXBsb3kgYSByZWNlbnQgZ2VuZXJhbGl6ZWQgVkFSLUdBUkNIIGFwcHJvYWNoIHdoaWNoIGFsbG93cyBmb3IgdHJhbnNtaXNzaW9ucyBpbiByZXR1cm4gYW5kIHZvbGF0aWxpdHkuIEluIGFkZGl0aW9uLCB3ZSBhbmFseXplIHRoZSBvcHRpbWFsIHdlaWdodHMgYW5kIGhlZGdlIHJhdGlvcyBmb3Igb2lsLXN0b2NrIHBvcnRmb2xpbyBob2xkaW5ncy4gT24gdGhlIHdob2xlLCBvdXIgcmVzdWx0cyBwb2ludCB0byB0aGUgZXhpc3RlbmNlIG9mIHN1YnN0YW50aWFsIHJldHVybiBhbmQgdm9sYXRpbGl0eSBzcGlsbG92ZXJzIGJldHdlZW4gd29ybGQgb2lsIHByaWNlcyBhbmQgR0NDIHN0b2NrIG1hcmtldHMsIGFuZCBhcHBlYXIgdG8gYmUgY3J1Y2lhbCBmb3IgaW50ZXJuYXRpb25hbCBwb3J0Zm9saW8gbWFuYWdlbWVudCBpbiB0aGUgcHJlc2VuY2Ugb2Ygb2lsIHByaWNlIHJpc2suIMKpIDIwMTEgRWxzZXZpZXIgQi5WLiIsImlzc3VlIjoiNCIsInZvbHVtZSI6IjI4In0sImlzVGVtcG9yYXJ5IjpmYWxzZX1dfQ=="/>
          <w:id w:val="-217053058"/>
          <w:placeholder>
            <w:docPart w:val="DefaultPlaceholder_-1854013440"/>
          </w:placeholder>
        </w:sdtPr>
        <w:sdtEndPr/>
        <w:sdtContent>
          <w:r w:rsidR="00E47856" w:rsidRPr="00E47856">
            <w:rPr>
              <w:color w:val="000000"/>
            </w:rPr>
            <w:t>(Arouri et al., 2011)</w:t>
          </w:r>
        </w:sdtContent>
      </w:sdt>
      <w:r>
        <w:t>.</w:t>
      </w:r>
    </w:p>
    <w:p w14:paraId="4C9C0E1D" w14:textId="6A56F8A3" w:rsidR="002E6132" w:rsidRDefault="002E6132" w:rsidP="002E6132">
      <w:pPr>
        <w:bidi w:val="0"/>
        <w:spacing w:before="60" w:after="60" w:line="360" w:lineRule="auto"/>
        <w:ind w:firstLine="720"/>
        <w:jc w:val="both"/>
      </w:pPr>
      <w:r w:rsidRPr="002E6132">
        <w:t>More recently, Bouri, Gupta and Roubaud (2021) examined the predictive content of global uncertainty measures for GCC equity volatility. They found that geopolitical risk indices have significant out-of-sample forecasting power beyond conventional financial predictors. Mensi, Hammoudeh</w:t>
      </w:r>
      <w:r>
        <w:t>, and Kang (2017) used quantile regression techniques to show asymmetric dependence between GCC and global equity markets conditioned on market states, which supports the relevance of regime-sensitive modeling</w:t>
      </w:r>
      <w:r w:rsidRPr="002E6132">
        <w:t xml:space="preserve"> frameworks</w:t>
      </w:r>
      <w:sdt>
        <w:sdtPr>
          <w:rPr>
            <w:color w:val="000000"/>
          </w:rPr>
          <w:tag w:val="MENDELEY_CITATION_v3_eyJjaXRhdGlvbklEIjoiTUVOREVMRVlfQ0lUQVRJT05fMWM2NGVhNWEtZmRiZS00YTczLTg0YTMtMzM3NmIyZjYyYjI5IiwicHJvcGVydGllcyI6eyJub3RlSW5kZXgiOjB9LCJpc0VkaXRlZCI6ZmFsc2UsIm1hbnVhbE92ZXJyaWRlIjp7ImlzTWFudWFsbHlPdmVycmlkZGVuIjpmYWxzZSwiY2l0ZXByb2NUZXh0IjoiKEJvdXJpICYjMzg7IEd1cHRhLCBuLmQuKSIsIm1hbnVhbE92ZXJyaWRlVGV4dCI6IiJ9LCJjaXRhdGlvbkl0ZW1zIjpbeyJpZCI6IjliZjY4MDY1LWNkMzAtM2ZmMC1iYzAzLWRiM2ZlMGJjNWJjZiIsIml0ZW1EYXRhIjp7InR5cGUiOiJyZXBvcnQiLCJpZCI6IjliZjY4MDY1LWNkMzAtM2ZmMC1iYzAzLWRiM2ZlMGJjNWJjZiIsInRpdGxlIjoiUHJlZGljdGluZyBCaXRjb2luIFJldHVybnM6IENvbXBhcmluZyB0aGUgUm9sZXMgb2YgTmV3c3BhcGVyLWFuZCBJbnRlcm5ldCBTZWFyY2gtQmFzZWQgTWVhc3VyZXMgb2YgVW5jZXJ0YWludHkgIyIsImF1dGhvciI6W3siZmFtaWx5IjoiQm91cmkiLCJnaXZlbiI6IkVsaWUiLCJwYXJzZS1uYW1lcyI6ZmFsc2UsImRyb3BwaW5nLXBhcnRpY2xlIjoiIiwibm9uLWRyb3BwaW5nLXBhcnRpY2xlIjoiIn0seyJmYW1pbHkiOiJHdXB0YSIsImdpdmVuIjoiUmFuZ2FuIiwicGFyc2UtbmFtZXMiOmZhbHNlLCJkcm9wcGluZy1wYXJ0aWNsZSI6IiIsIm5vbi1kcm9wcGluZy1wYXJ0aWNsZSI6IiJ9XSwiVVJMIjoiaHR0cDovL3BvbGljeXVuY2VydGFpbnR5LmNvbS91c19tb250aGx5Lmh0bWwiLCJhYnN0cmFjdCI6IkhpZ2hsaWdodHMg4oCiU3R1ZHkgdGhlIHByZWRpY3RhYmlsaXR5IG9mIEJpdGNvaW4gcmV0dXJucyB1c2luZyBtZWFzdXJlcyBvZiBlY29ub21pYyB1bmNlcnRhaW50eS4g4oCiTmV3c3BhcGVyLWFuZCBpbnRlcm5ldCBzZWFyY2gtYmFzZWQgbWVhc3VyZXMgb2YgZWNvbm9taWMgdW5jZXJ0YWludHkgYXJlIHVzZWQuIOKAokJhc2VkIG9uIG1vbnRobHkgZGF0YSwgQml0Y29pbiBpcyBhIGhlZGdlIGFnYWluc3QgYm90aCBtZWFzdXJlcy4g4oCiUHJlZGljdGl2ZSBhYmlsaXR5IG9mIHRoZSBpbnRlcm5ldC1iYXNlZCBtZWFzdXJlIGlzIHN0YXRpc3RpY2FsbHkgc3Ryb25nZXIuIOKAolRoaXMgcmVzdWx0IGlzIGNvbmZpcm1lZCBieSB2YXJpb3VzIGFkZGl0aW9uYWwgYW5hbHlzZXMuIEFic3RyYWN0IFdlIGNvbXBhcmUgdGhlIGFiaWxpdHkgb2YgYSBuZXdzcGFwZXItYmFzZWQgbWVhc3VyZSBhbmQgYW4gaW50ZXJuZXQgc2VhcmNoLWJhc2VkIG1lYXN1cmUgb2YgdW5jZXJ0YWludHkgaW4gcHJlZGljdGluZyBCaXRjb2luIHJldHVybnMuIEJhc2VkIG9uIG1vbnRobHkgZGF0YSwgd2Ugc2hvdyB0aGF0IEJpdGNvaW4gaXMgYSBoZWRnZSBhZ2FpbnN0IGJvdGggbWVhc3VyZXMuIEhvd2V2ZXIsIHRoZSBwcmVkaWN0aXZlIGFiaWxpdHkgb2YgdGhlIGludGVybmV0LWJhc2VkIGVjb25vbWljIHVuY2VydGFpbnR5IHJlbGF0ZWQgcXVlcmllcyBpbmRleCBpcyBzdGF0aXN0aWNhbGx5IHN0cm9uZ2VyIHRoYW4gdGhlIG1lYXN1cmUgb2YgdW5jZXJ0YWludHkgZGVyaXZlZCBmcm9tIG5ld3NwYXBlcnMgaW4gcHJlZGljdGluZyBCaXRjb2luIHJldHVybnMsIHdoaWNoIGlzIHBvc3NpYmx5IGR1ZSB0byB0aGUgZmFjdCB0aGF0IHRoZSBmb3JtZXIgbWVhc3VyZSBvZiB1bmNlcnRhaW50eSBpcyBkaXJlY3RseSBvYnRhaW5lZCBieSB0aGUgaW5kaXZpZHVhbCBpbnZlc3RvcnMsIGJhc2VkIG9uIHRoZWlyIHNlYXJjaCBvZiB0aGUgaW50ZXJuZXQgZm9yIHRlcm1zIHJlbGF0ZWQgdG8gdW5jZXJ0YWludHkuIFRoaXMgcmVzdWx0IGlzIGNvbmZpcm1lZCBieSB2YXJpb3VzIGFkZGl0aW9uYWwgYW5hbHlzZXMuLiIsImNvbnRhaW5lci10aXRsZS1zaG9ydCI6IiJ9LCJpc1RlbXBvcmFyeSI6ZmFsc2V9XX0="/>
          <w:id w:val="-1941744010"/>
          <w:placeholder>
            <w:docPart w:val="DefaultPlaceholder_-1854013440"/>
          </w:placeholder>
        </w:sdtPr>
        <w:sdtEndPr/>
        <w:sdtContent>
          <w:r w:rsidR="00E47856" w:rsidRPr="00E47856">
            <w:rPr>
              <w:color w:val="000000"/>
            </w:rPr>
            <w:t>(Bouri &amp; Gupta, n.d.)</w:t>
          </w:r>
        </w:sdtContent>
      </w:sdt>
      <w:r w:rsidRPr="002E6132">
        <w:t>.</w:t>
      </w:r>
    </w:p>
    <w:p w14:paraId="45050942" w14:textId="199F677E" w:rsidR="002E6132" w:rsidRPr="002E6132" w:rsidRDefault="002E6132" w:rsidP="006F1BD9">
      <w:pPr>
        <w:bidi w:val="0"/>
        <w:spacing w:before="60" w:after="60" w:line="360" w:lineRule="auto"/>
        <w:ind w:firstLine="720"/>
        <w:jc w:val="both"/>
      </w:pPr>
      <w:r w:rsidRPr="002E6132">
        <w:t>Nevertheless, no study has systematically compared the performance of nonlinear GARCH models across all six GCC markets in a single unified estimation framework, nor has any previous work employed the Model Confidence Set procedure to formally rank competing specifications in GCC contexts. This paper fills the gap</w:t>
      </w:r>
      <w:sdt>
        <w:sdtPr>
          <w:rPr>
            <w:color w:val="000000"/>
          </w:rPr>
          <w:tag w:val="MENDELEY_CITATION_v3_eyJjaXRhdGlvbklEIjoiTUVOREVMRVlfQ0lUQVRJT05fZmRiMzU4ZTUtNTA2Yi00NGI2LWE0YTMtY2U5NWI4YzJkNGNkIiwicHJvcGVydGllcyI6eyJub3RlSW5kZXgiOjB9LCJpc0VkaXRlZCI6ZmFsc2UsIm1hbnVhbE92ZXJyaWRlIjp7ImlzTWFudWFsbHlPdmVycmlkZGVuIjpmYWxzZSwiY2l0ZXByb2NUZXh0IjoiKEFsLUhhamllaCBldCBhbC4sIDIwMTE7IEpvdWluaSwgMjAxMykiLCJtYW51YWxPdmVycmlkZVRleHQiOiIifSwiY2l0YXRpb25JdGVtcyI6W3siaWQiOiJlYThhMjQxNC1lYmQ1LTM1ZGQtOGRkYS0yYjgxYTRhNDc4YTIiLCJpdGVtRGF0YSI6eyJ0eXBlIjoiYXJ0aWNsZS1qb3VybmFsIiwiaWQiOiJlYThhMjQxNC1lYmQ1LTM1ZGQtOGRkYS0yYjgxYTRhNDc4YTIiLCJ0aXRsZSI6IkludmVzdG9yIHNlbnRpbWVudCBhbmQgY2FsZW5kYXIgYW5vbWFseSBlZmZlY3RzOiBBIGNhc2Ugc3R1ZHkgb2YgdGhlIGltcGFjdCBvZiBSYW1hZGFuIG9uIElzbGFtaWMgTWlkZGxlIEVhc3Rlcm4gbWFya2V0cyIsImF1dGhvciI6W3siZmFtaWx5IjoiQWwtSGFqaWVoIiwiZ2l2ZW4iOiJIZWl0aGFtIiwicGFyc2UtbmFtZXMiOmZhbHNlLCJkcm9wcGluZy1wYXJ0aWNsZSI6IiIsIm5vbi1kcm9wcGluZy1wYXJ0aWNsZSI6IiJ9LHsiZmFtaWx5IjoiUmVkaGVhZCIsImdpdmVuIjoiS2VpdGgiLCJwYXJzZS1uYW1lcyI6ZmFsc2UsImRyb3BwaW5nLXBhcnRpY2xlIjoiIiwibm9uLWRyb3BwaW5nLXBhcnRpY2xlIjoiIn0seyJmYW1pbHkiOiJSb2RnZXJzIiwiZ2l2ZW4iOiJUaW1vdGh5IiwicGFyc2UtbmFtZXMiOmZhbHNlLCJkcm9wcGluZy1wYXJ0aWNsZSI6IiIsIm5vbi1kcm9wcGluZy1wYXJ0aWNsZSI6IiJ9XSwiY29udGFpbmVyLXRpdGxlIjoiUmVzZWFyY2ggaW4gSW50ZXJuYXRpb25hbCBCdXNpbmVzcyBhbmQgRmluYW5jZSIsImNvbnRhaW5lci10aXRsZS1zaG9ydCI6IlJlcy4gSW50LiBCdXMuIEZpbmFuY2UiLCJET0kiOiIxMC4xMDE2L2oucmliYWYuMjAxMS4wMy4wMDQiLCJJU1NOIjoiMDI3NTUzMTkiLCJpc3N1ZWQiOnsiZGF0ZS1wYXJ0cyI6W1syMDExLDldXX0sInBhZ2UiOiIzNDUtMzU2IiwiYWJzdHJhY3QiOiJUaGUgaG9seSBtb250aCBvZiBSYW1hZGFuIGlzIHVzdWFsbHkgYSB0aW1lIG9mIGNlbGVicmF0aW9uIGFuZCByZW5ld2FsIGluIE11c2xpbSBjb3VudHJpZXMuIFRoaXMgcGFwZXIgZXhhbWluZXMgd2hldGhlciBvciBub3QgdGhpcyBpcyByZWZsZWN0ZWQgaW4gcG9zaXRpdmUgY2FsZW5kYXIgYW5vbWFsaWVzIGVmZmVjdHMgaW4gSXNsYW1pYyBNaWRkbGUgRWFzdGVybiBzdG9jayBtYXJrZXRzIGR1cmluZyB0aGUgcGVyaW9kIDE5OTItMjAwNy4gU3Ryb25nIGV2aWRlbmNlIGlzIGZvdW5kIG9mIHNpZ25pZmljYW50IGFuZCBwb3NpdGl2ZSBjYWxlbmRhciBlZmZlY3RzIGluIHJlc3BlY3QgdG8gdGhlIHdob2xlIHBlcmlvZCBvZiBSYW1hZGFuIGluIG1vc3QgY291bnRyaWVzIGFuZCBpdCBpcyBhcmd1ZWQgdGhhdCB0aGlzIGNhbiBiZSBhdHRyaWJ1dGVkIHRvIHRoZSBnZW5lcmFsbHkgcG9zaXRpdmUgaW52ZXN0b3IgbW9vZCwgb3Igc2VudGltZW50LiBBbHRob3VnaCBSYW1hZGFuIGlzIGEgdGltZSBvZiBjZWxlYnJhdGlvbiBmb3IgTXVzbGltcyBpdCBhbHNvIGNhbiBiZSBhIHRpbWUgb2YgdW5jZXJ0YWludHkgYW5kIHRoaXMgYXBwZWFycyB0byByZXN1bHQgaW4gdGhlIGltcGFjdCBvZiB0aGUgZmVzdGl2YWwgbm90IGJlaW5nIHVuaWZvcm1seSBwb3NpdGl2ZSB0aHJvdWdob3V0IFJhbWFkYW4uIEl0IGlzIGZvdW5kIHRoYXQgbWFya2V0IHJldHVybnMgaW4gdGhlIGZpcnN0IGFuZCBsYXN0IGRheXMgb2YgUmFtYWRhbiBzaG93IGhpZ2ggbGV2ZWxzIG9mIHN0YXRpc3RpY2FsbHkgc2lnbmlmaWNhbnQgeWVhci1vbi15ZWFyIHZhcmlhdGlvbi4gSXQgaXMgYXJndWVkIHRoYXQgdGhpcyBjYW4gcG9zc2libHkgYmUgYXR0cmlidXRlZCB0byBzeW5jaHJvbml6YXRpb24tcmVsYXRlZCBoZXJkaW5nIGVmZmVjdHMgYW1wbGlmeWluZyB0aGUgaW1wYWN0IG9mIHRoZSBtb29kIHN3aW5ncyBhc3NvY2lhdGVkIHdpdGggdGhpcyBwZXJpb2QuIFRoZSBwYXBlciBhbHNvIGZpbmRzIHRoYXQgYWx0aG91Z2ggdGhlIG92ZXJhbGwgUmFtYWRhbiBlZmZlY3QgaXMgYm90aCBwb3NpdGl2ZSBhbmQgc3RhdGlzdGljYWxseSBzaWduaWZpY2FudCBmb3IgbW9zdCBjb3VudHJpZXMsIHRoZSBhc3NvY2lhdGVkIGdhaW5zIHdlcmUgb25seSBsYXJnZSBlbm91Z2ggdG8gb3V0d2VpZ2ggdHJhbnNhY3Rpb25zIGNvc3RzIGFuZCBwcm92aWRlIHRoZSBiYXNpcyBvZiBhIHByb2ZpdGFibGUgdHJhZGluZyBzdHJhdGVneSBpbiBvbmUgbWFya2V0LiDCqSAyMDExIEVsc2V2aWVyIEIuVi4iLCJpc3N1ZSI6IjMiLCJ2b2x1bWUiOiIyNSJ9LCJpc1RlbXBvcmFyeSI6ZmFsc2V9LHsiaWQiOiI1Yjc2YThjZC1iZTU1LTMyODYtYWZkYy02ZTYxMmFhNWQ5NmQiLCJpdGVtRGF0YSI6eyJ0eXBlIjoiYXJ0aWNsZS1qb3VybmFsIiwiaWQiOiI1Yjc2YThjZC1iZTU1LTMyODYtYWZkYy02ZTYxMmFhNWQ5NmQiLCJ0aXRsZSI6IlN0b2NrIG1hcmtldHMgaW4gR0NDIGNvdW50cmllcyBhbmQgZ2xvYmFsIGZhY3RvcnM6IEEgZnVydGhlciBpbnZlc3RpZ2F0aW9uIiwiYXV0aG9yIjpbeyJmYW1pbHkiOiJKb3VpbmkiLCJnaXZlbiI6IkphbWVsIiwicGFyc2UtbmFtZXMiOmZhbHNlLCJkcm9wcGluZy1wYXJ0aWNsZSI6IiIsIm5vbi1kcm9wcGluZy1wYXJ0aWNsZSI6IiJ9XSwiY29udGFpbmVyLXRpdGxlIjoiRWNvbm9taWMgTW9kZWxsaW5nIiwiY29udGFpbmVyLXRpdGxlLXNob3J0IjoiRWNvbi4gTW9kZWwuIiwiRE9JIjoiMTAuMTAxNi9qLmVjb25tb2QuMjAxMi4xMS4wMzkiLCJJU1NOIjoiMDI2NDk5OTMiLCJpc3N1ZWQiOnsiZGF0ZS1wYXJ0cyI6W1syMDEzLDNdXX0sInBhZ2UiOiI4MC04NiIsImFic3RyYWN0IjoiVGhpcyBwYXBlciBpbnZlc3RpZ2F0ZXMgdGhlIGxvbmctcnVuIGxpbmtzIGJldHdlZW4gc3RvY2sgbWFya2V0cyBvZiB0aGUgR3VsZiBDb29wZXJhdGlvbiBDb3VudHJpZXMgKEdDQykgYW5kIHRocmVlIGdsb2JhbCBmYWN0b3JzLCBpbmNsdWRpbmcgb2lsIHByaWNlLCBNU0NJIChNb3JnYW4gU3RhbmxleSBDYXBpdGFsIEludGVybmF0aW9uYWwpIHdvcmxkIGluZGV4IGFuZCBVUyBpbnRlcmVzdCByYXRlLiBVbmxpa2UgcHJldmlvdXMgZW1waXJpY2FsIHdvcmtzLCB3ZSBlbXBsb3kgZWNvbm9tZXRyaWMgdGVjaG5pcXVlcyB0aGF0IGFjY291bnQgZm9yIHNpbXVsdGFuZW91c2x5IHRoZSBlZmZlY3RzIG9mIGhldGVyb2dlbmVpdHksIGNyb3NzLWNvdW50cnkgZGVwZW5kZW5jZSBhbmQgdW5rbm93biByZWdpbWUtc2hpZnRzIGluIG9yZGVyIHRvIGV4YW1pbmUgdGhlIHNlbnNpdGl2aXR5IG9mIEdDQyBzdG9jayBtYXJrZXRzIHRvIG1vdmVtZW50cyBvZiBnbG9iYWwgZmFjdG9ycy4gT3VyIGZpbmRpbmdzIGFyZSBvZiBncmVhdCBpbnRlcmVzdCBzaW5jZSB0aGV5IHNob3cgc3Ryb25nIGV2aWRlbmNlIG9mIG5vbmxpbmVhciBsb25nLXJ1biByZWxhdGlvbnNoaXAgYmV0d2VlbiB0aGUgdmFyaWFibGVzIG9mIGludGVyZXN0IHdoZW4gdGhlcmUgaXMgZGVwZW5kZW5jZSBiZXR3ZWVuIGNvdW50cmllcywgYW5kIGluZGljYXRlIHRoYXQgdGhlIGdsb2JhbCBmYWN0b3JzIGhhdmUgcHJlZGljdGFiaWxpdHkgZWZmZWN0IG9uIG1vc3QgR0NDIHN0b2NrIG1hcmtldHMuIFdlIGFsc28gc3RyZXNzIHRoZSBpbXBvcnRhbmNlIG9mIGluY2x1ZGluZyByZWdpbWUtc2hpZnRzIGluIHRoZSBhbmFseXNpcyB0aGF0IGxlYWRzIHRvIG1vcmUgcmVsaWFibGUgY29uY2x1c2lvbnMgdGhhbiB0aG9zZSBvYnRhaW5lZCBpbiB0aGUgbGl0ZXJhdHVyZSBieSBuZWdsZWN0aW5nIHN0cnVjdHVyYWwgYnJlYWtzLiDCqSAyMDEyIEVsc2V2aWVyIEIuVi4iLCJpc3N1ZSI6IjEiLCJ2b2x1bWUiOiIzMSJ9LCJpc1RlbXBvcmFyeSI6ZmFsc2V9XX0="/>
          <w:id w:val="1463532048"/>
          <w:placeholder>
            <w:docPart w:val="DefaultPlaceholder_-1854013440"/>
          </w:placeholder>
        </w:sdtPr>
        <w:sdtEndPr/>
        <w:sdtContent>
          <w:r w:rsidR="00E47856" w:rsidRPr="00E47856">
            <w:rPr>
              <w:color w:val="000000"/>
            </w:rPr>
            <w:t>(Al-Hajieh et al., 2011; Jouini, 2013)</w:t>
          </w:r>
        </w:sdtContent>
      </w:sdt>
      <w:r w:rsidRPr="002E6132">
        <w:t>.</w:t>
      </w:r>
    </w:p>
    <w:p w14:paraId="4E21D43A" w14:textId="77777777" w:rsidR="00CC5C3E" w:rsidRDefault="00117A87">
      <w:pPr>
        <w:pStyle w:val="1"/>
      </w:pPr>
      <w:r>
        <w:t>3. Econometric Methodology</w:t>
      </w:r>
    </w:p>
    <w:p w14:paraId="02D79CED" w14:textId="77777777" w:rsidR="00CC5C3E" w:rsidRDefault="00117A87">
      <w:pPr>
        <w:pStyle w:val="2"/>
      </w:pPr>
      <w:r>
        <w:t>3.1 Return Generation Process</w:t>
      </w:r>
    </w:p>
    <w:p w14:paraId="24ABDA22" w14:textId="647AC122" w:rsidR="00CC5C3E" w:rsidRPr="002E6132" w:rsidRDefault="00117A87" w:rsidP="002E6132">
      <w:pPr>
        <w:bidi w:val="0"/>
        <w:spacing w:before="60" w:after="60" w:line="360" w:lineRule="auto"/>
        <w:ind w:firstLine="720"/>
        <w:rPr>
          <w:rtl/>
        </w:rPr>
      </w:pPr>
      <w:r>
        <w:t xml:space="preserve">Let </w:t>
      </w:r>
      <m:oMath>
        <m:sSub>
          <m:sSubPr>
            <m:ctrlPr>
              <w:rPr>
                <w:rFonts w:ascii="Cambria Math" w:hAnsi="Cambria Math"/>
                <w:i/>
              </w:rPr>
            </m:ctrlPr>
          </m:sSubPr>
          <m:e>
            <m:r>
              <w:rPr>
                <w:rFonts w:ascii="Cambria Math" w:hAnsi="Cambria Math"/>
              </w:rPr>
              <m:t>r</m:t>
            </m:r>
          </m:e>
          <m:sub>
            <m:d>
              <m:dPr>
                <m:begChr m:val="{"/>
                <m:endChr m:val="}"/>
                <m:ctrlPr>
                  <w:rPr>
                    <w:rFonts w:ascii="Cambria Math" w:hAnsi="Cambria Math"/>
                    <w:i/>
                  </w:rPr>
                </m:ctrlPr>
              </m:dPr>
              <m:e>
                <m:r>
                  <w:rPr>
                    <w:rFonts w:ascii="Cambria Math" w:hAnsi="Cambria Math"/>
                  </w:rPr>
                  <m:t>i,t</m:t>
                </m:r>
              </m:e>
            </m:d>
          </m:sub>
        </m:sSub>
        <m:r>
          <w:rPr>
            <w:rFonts w:ascii="Cambria Math" w:hAnsi="Cambria Math"/>
          </w:rPr>
          <m:t>= 100 \times \ln\left</m:t>
        </m:r>
        <m:d>
          <m:dPr>
            <m:ctrlPr>
              <w:rPr>
                <w:rFonts w:ascii="Cambria Math" w:hAnsi="Cambria Math"/>
                <w:i/>
              </w:rPr>
            </m:ctrlPr>
          </m:dPr>
          <m:e>
            <m:r>
              <w:rPr>
                <w:rFonts w:ascii="Cambria Math" w:hAnsi="Cambria Math"/>
              </w:rPr>
              <m:t>\frac</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d>
                      <m:dPr>
                        <m:begChr m:val="{"/>
                        <m:endChr m:val="}"/>
                        <m:ctrlPr>
                          <w:rPr>
                            <w:rFonts w:ascii="Cambria Math" w:hAnsi="Cambria Math"/>
                            <w:i/>
                          </w:rPr>
                        </m:ctrlPr>
                      </m:dPr>
                      <m:e>
                        <m:r>
                          <w:rPr>
                            <w:rFonts w:ascii="Cambria Math" w:hAnsi="Cambria Math"/>
                          </w:rPr>
                          <m:t>i,t</m:t>
                        </m:r>
                      </m:e>
                    </m:d>
                  </m:sub>
                </m:sSub>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d>
                      <m:dPr>
                        <m:begChr m:val="{"/>
                        <m:endChr m:val="}"/>
                        <m:ctrlPr>
                          <w:rPr>
                            <w:rFonts w:ascii="Cambria Math" w:hAnsi="Cambria Math"/>
                            <w:i/>
                          </w:rPr>
                        </m:ctrlPr>
                      </m:dPr>
                      <m:e>
                        <m:r>
                          <w:rPr>
                            <w:rFonts w:ascii="Cambria Math" w:hAnsi="Cambria Math"/>
                          </w:rPr>
                          <m:t>i,t-1</m:t>
                        </m:r>
                      </m:e>
                    </m:d>
                  </m:sub>
                </m:sSub>
              </m:e>
            </m:d>
            <m:r>
              <w:rPr>
                <w:rFonts w:ascii="Cambria Math" w:hAnsi="Cambria Math"/>
              </w:rPr>
              <m:t>\right</m:t>
            </m:r>
          </m:e>
        </m:d>
      </m:oMath>
      <w:r w:rsidR="002E6132">
        <w:t xml:space="preserve">  </w:t>
      </w:r>
      <w:r>
        <w:t>denote the closing price of equity index i on day t. The continuously compounded daily return is defined as:</w:t>
      </w:r>
    </w:p>
    <w:p w14:paraId="605E2C0B" w14:textId="722665B6" w:rsidR="002E6132" w:rsidRPr="002E6132" w:rsidRDefault="00BC3A9F" w:rsidP="002E6132">
      <w:pPr>
        <w:spacing w:before="60" w:after="60" w:line="360" w:lineRule="auto"/>
        <w:ind w:firstLine="720"/>
        <w:jc w:val="right"/>
        <w:rPr>
          <w:iCs/>
          <w:rtl/>
        </w:rPr>
      </w:pPr>
      <m:oMathPara>
        <m:oMath>
          <m:sSub>
            <m:sSubPr>
              <m:ctrlPr>
                <w:rPr>
                  <w:rFonts w:ascii="Cambria Math" w:eastAsia="Cambria Math" w:hAnsi="Cambria Math" w:cstheme="minorBidi"/>
                  <w:i/>
                  <w:iCs/>
                </w:rPr>
              </m:ctrlPr>
            </m:sSubPr>
            <m:e>
              <m:r>
                <w:rPr>
                  <w:rFonts w:ascii="Cambria Math" w:eastAsia="Cambria Math" w:hAnsi="Cambria Math" w:cstheme="minorBidi"/>
                </w:rPr>
                <m:t>r</m:t>
              </m:r>
            </m:e>
            <m:sub>
              <m:d>
                <m:dPr>
                  <m:begChr m:val="{"/>
                  <m:endChr m:val="}"/>
                  <m:ctrlPr>
                    <w:rPr>
                      <w:rFonts w:ascii="Cambria Math" w:eastAsia="Cambria Math" w:hAnsi="Cambria Math" w:cstheme="minorBidi"/>
                      <w:i/>
                      <w:iCs/>
                    </w:rPr>
                  </m:ctrlPr>
                </m:dPr>
                <m:e>
                  <m:r>
                    <w:rPr>
                      <w:rFonts w:ascii="Cambria Math" w:eastAsia="Cambria Math" w:hAnsi="Cambria Math" w:cstheme="minorBidi"/>
                    </w:rPr>
                    <m:t>i,t</m:t>
                  </m:r>
                </m:e>
              </m:d>
            </m:sub>
          </m:sSub>
          <m:r>
            <w:rPr>
              <w:rFonts w:ascii="Cambria Math" w:eastAsia="Cambria Math" w:hAnsi="Cambria Math" w:cstheme="minorBidi"/>
            </w:rPr>
            <m:t xml:space="preserve">= </m:t>
          </m:r>
          <m:sSub>
            <m:sSubPr>
              <m:ctrlPr>
                <w:rPr>
                  <w:rFonts w:ascii="Cambria Math" w:eastAsia="Cambria Math" w:hAnsi="Cambria Math" w:cstheme="minorBidi"/>
                  <w:i/>
                  <w:iCs/>
                </w:rPr>
              </m:ctrlPr>
            </m:sSubPr>
            <m:e>
              <m:r>
                <w:rPr>
                  <w:rFonts w:ascii="Cambria Math" w:eastAsia="Cambria Math" w:hAnsi="Cambria Math" w:cstheme="minorBidi"/>
                </w:rPr>
                <m:t>μ</m:t>
              </m:r>
            </m:e>
            <m:sub>
              <m:r>
                <w:rPr>
                  <w:rFonts w:ascii="Cambria Math" w:eastAsia="Cambria Math" w:hAnsi="Cambria Math" w:cstheme="minorBidi"/>
                </w:rPr>
                <m:t>i</m:t>
              </m:r>
            </m:sub>
          </m:sSub>
          <m:r>
            <w:rPr>
              <w:rFonts w:ascii="Cambria Math" w:eastAsia="Cambria Math" w:hAnsi="Cambria Math" w:cstheme="minorBidi"/>
            </w:rPr>
            <m:t xml:space="preserve">+ </m:t>
          </m:r>
          <m:sSub>
            <m:sSubPr>
              <m:ctrlPr>
                <w:rPr>
                  <w:rFonts w:ascii="Cambria Math" w:eastAsia="Cambria Math" w:hAnsi="Cambria Math" w:cstheme="minorBidi"/>
                  <w:i/>
                  <w:iCs/>
                </w:rPr>
              </m:ctrlPr>
            </m:sSubPr>
            <m:e>
              <m:r>
                <w:rPr>
                  <w:rFonts w:ascii="Cambria Math" w:eastAsia="Cambria Math" w:hAnsi="Cambria Math" w:cstheme="minorBidi"/>
                </w:rPr>
                <m:t>ϕ</m:t>
              </m:r>
            </m:e>
            <m:sub>
              <m:r>
                <w:rPr>
                  <w:rFonts w:ascii="Cambria Math" w:eastAsia="Cambria Math" w:hAnsi="Cambria Math" w:cstheme="minorBidi"/>
                </w:rPr>
                <m:t>i</m:t>
              </m:r>
            </m:sub>
          </m:sSub>
          <m:sSub>
            <m:sSubPr>
              <m:ctrlPr>
                <w:rPr>
                  <w:rFonts w:ascii="Cambria Math" w:eastAsia="Cambria Math" w:hAnsi="Cambria Math" w:cstheme="minorBidi"/>
                  <w:i/>
                  <w:iCs/>
                </w:rPr>
              </m:ctrlPr>
            </m:sSubPr>
            <m:e>
              <m:r>
                <w:rPr>
                  <w:rFonts w:ascii="Cambria Math" w:eastAsia="Cambria Math" w:hAnsi="Cambria Math" w:cstheme="minorBidi"/>
                </w:rPr>
                <m:t>r</m:t>
              </m:r>
            </m:e>
            <m:sub>
              <m:d>
                <m:dPr>
                  <m:begChr m:val="{"/>
                  <m:endChr m:val="}"/>
                  <m:ctrlPr>
                    <w:rPr>
                      <w:rFonts w:ascii="Cambria Math" w:eastAsia="Cambria Math" w:hAnsi="Cambria Math" w:cstheme="minorBidi"/>
                      <w:i/>
                      <w:iCs/>
                    </w:rPr>
                  </m:ctrlPr>
                </m:dPr>
                <m:e>
                  <m:r>
                    <w:rPr>
                      <w:rFonts w:ascii="Cambria Math" w:eastAsia="Cambria Math" w:hAnsi="Cambria Math" w:cstheme="minorBidi"/>
                    </w:rPr>
                    <m:t>i,t-1</m:t>
                  </m:r>
                </m:e>
              </m:d>
            </m:sub>
          </m:sSub>
          <m:r>
            <w:rPr>
              <w:rFonts w:ascii="Cambria Math" w:eastAsia="Cambria Math" w:hAnsi="Cambria Math" w:cstheme="minorBidi"/>
            </w:rPr>
            <m:t xml:space="preserve">+ </m:t>
          </m:r>
          <m:sSub>
            <m:sSubPr>
              <m:ctrlPr>
                <w:rPr>
                  <w:rFonts w:ascii="Cambria Math" w:eastAsia="Cambria Math" w:hAnsi="Cambria Math" w:cstheme="minorBidi"/>
                  <w:i/>
                  <w:iCs/>
                </w:rPr>
              </m:ctrlPr>
            </m:sSubPr>
            <m:e>
              <m:r>
                <w:rPr>
                  <w:rFonts w:ascii="Cambria Math" w:eastAsia="Cambria Math" w:hAnsi="Cambria Math" w:cstheme="minorBidi"/>
                </w:rPr>
                <m:t>ϵ</m:t>
              </m:r>
            </m:e>
            <m:sub>
              <m:d>
                <m:dPr>
                  <m:begChr m:val="{"/>
                  <m:endChr m:val="}"/>
                  <m:ctrlPr>
                    <w:rPr>
                      <w:rFonts w:ascii="Cambria Math" w:eastAsia="Cambria Math" w:hAnsi="Cambria Math" w:cstheme="minorBidi"/>
                      <w:i/>
                      <w:iCs/>
                    </w:rPr>
                  </m:ctrlPr>
                </m:dPr>
                <m:e>
                  <m:r>
                    <w:rPr>
                      <w:rFonts w:ascii="Cambria Math" w:eastAsia="Cambria Math" w:hAnsi="Cambria Math" w:cstheme="minorBidi"/>
                    </w:rPr>
                    <m:t>i,t</m:t>
                  </m:r>
                </m:e>
              </m:d>
            </m:sub>
          </m:sSub>
        </m:oMath>
      </m:oMathPara>
    </w:p>
    <w:p w14:paraId="667998E4" w14:textId="77777777" w:rsidR="002E6132" w:rsidRPr="002E6132" w:rsidRDefault="002E6132" w:rsidP="002E6132">
      <w:pPr>
        <w:spacing w:before="60" w:after="60" w:line="360" w:lineRule="auto"/>
        <w:ind w:firstLine="720"/>
        <w:jc w:val="right"/>
        <w:rPr>
          <w:iCs/>
        </w:rPr>
      </w:pPr>
    </w:p>
    <w:p w14:paraId="6AD2BB12" w14:textId="4C4724DE" w:rsidR="00CC5C3E" w:rsidRDefault="00117A87" w:rsidP="002E6132">
      <w:pPr>
        <w:spacing w:before="60" w:after="60" w:line="360" w:lineRule="auto"/>
        <w:ind w:firstLine="720"/>
        <w:jc w:val="right"/>
      </w:pPr>
      <w:r>
        <w:t>The conditional mean equation for all GARCH specifications is specified as an AR(1) process with a constant:</w:t>
      </w:r>
    </w:p>
    <w:p w14:paraId="2D7B1A0F" w14:textId="0800E3C3" w:rsidR="002E6132" w:rsidRPr="002E6132" w:rsidRDefault="00BC3A9F" w:rsidP="002E6132">
      <w:pPr>
        <w:spacing w:before="60" w:after="60" w:line="360" w:lineRule="auto"/>
        <w:ind w:firstLine="720"/>
        <w:jc w:val="right"/>
        <w:rPr>
          <w:iCs/>
          <w:rtl/>
        </w:rPr>
      </w:pPr>
      <m:oMathPara>
        <m:oMath>
          <m:sSub>
            <m:sSubPr>
              <m:ctrlPr>
                <w:rPr>
                  <w:rFonts w:ascii="Cambria Math" w:eastAsia="Cambria Math" w:hAnsi="Cambria Math" w:cstheme="minorBidi"/>
                  <w:i/>
                  <w:iCs/>
                </w:rPr>
              </m:ctrlPr>
            </m:sSubPr>
            <m:e>
              <m:r>
                <w:rPr>
                  <w:rFonts w:ascii="Cambria Math" w:eastAsia="Cambria Math" w:hAnsi="Cambria Math" w:cs="Arial" w:hint="cs"/>
                </w:rPr>
                <m:t>ϵ</m:t>
              </m:r>
            </m:e>
            <m:sub>
              <m:d>
                <m:dPr>
                  <m:begChr m:val="{"/>
                  <m:endChr m:val="}"/>
                  <m:ctrlPr>
                    <w:rPr>
                      <w:rFonts w:ascii="Cambria Math" w:eastAsia="Cambria Math" w:hAnsi="Cambria Math" w:cstheme="minorBidi"/>
                      <w:i/>
                      <w:iCs/>
                    </w:rPr>
                  </m:ctrlPr>
                </m:dPr>
                <m:e>
                  <m:r>
                    <w:rPr>
                      <w:rFonts w:ascii="Cambria Math" w:eastAsia="Cambria Math" w:hAnsi="Cambria Math" w:cstheme="minorBidi"/>
                    </w:rPr>
                    <m:t>i,t</m:t>
                  </m:r>
                </m:e>
              </m:d>
            </m:sub>
          </m:sSub>
          <m:r>
            <w:rPr>
              <w:rFonts w:ascii="Cambria Math" w:eastAsia="Cambria Math" w:hAnsi="Cambria Math" w:cstheme="minorBidi"/>
            </w:rPr>
            <m:t xml:space="preserve">= </m:t>
          </m:r>
          <m:sSub>
            <m:sSubPr>
              <m:ctrlPr>
                <w:rPr>
                  <w:rFonts w:ascii="Cambria Math" w:eastAsia="Cambria Math" w:hAnsi="Cambria Math" w:cstheme="minorBidi"/>
                  <w:i/>
                  <w:iCs/>
                </w:rPr>
              </m:ctrlPr>
            </m:sSubPr>
            <m:e>
              <m:r>
                <w:rPr>
                  <w:rFonts w:ascii="Cambria Math" w:eastAsia="Cambria Math" w:hAnsi="Cambria Math" w:cstheme="minorBidi"/>
                </w:rPr>
                <m:t>z</m:t>
              </m:r>
            </m:e>
            <m:sub>
              <m:d>
                <m:dPr>
                  <m:begChr m:val="{"/>
                  <m:endChr m:val="}"/>
                  <m:ctrlPr>
                    <w:rPr>
                      <w:rFonts w:ascii="Cambria Math" w:eastAsia="Cambria Math" w:hAnsi="Cambria Math" w:cstheme="minorBidi"/>
                      <w:i/>
                      <w:iCs/>
                    </w:rPr>
                  </m:ctrlPr>
                </m:dPr>
                <m:e>
                  <m:r>
                    <w:rPr>
                      <w:rFonts w:ascii="Cambria Math" w:eastAsia="Cambria Math" w:hAnsi="Cambria Math" w:cstheme="minorBidi"/>
                    </w:rPr>
                    <m:t>i,t</m:t>
                  </m:r>
                </m:e>
              </m:d>
              <m:rad>
                <m:radPr>
                  <m:degHide m:val="1"/>
                  <m:ctrlPr>
                    <w:rPr>
                      <w:rFonts w:ascii="Cambria Math" w:eastAsia="Cambria Math" w:hAnsi="Cambria Math" w:cstheme="minorBidi"/>
                      <w:i/>
                      <w:iCs/>
                    </w:rPr>
                  </m:ctrlPr>
                </m:radPr>
                <m:deg/>
                <m:e>
                  <m:d>
                    <m:dPr>
                      <m:begChr m:val="{"/>
                      <m:endChr m:val="}"/>
                      <m:ctrlPr>
                        <w:rPr>
                          <w:rFonts w:ascii="Cambria Math" w:eastAsia="Cambria Math" w:hAnsi="Cambria Math" w:cstheme="minorBidi"/>
                          <w:i/>
                          <w:iCs/>
                        </w:rPr>
                      </m:ctrlPr>
                    </m:dPr>
                    <m:e>
                      <m:sSub>
                        <m:sSubPr>
                          <m:ctrlPr>
                            <w:rPr>
                              <w:rFonts w:ascii="Cambria Math" w:eastAsia="Cambria Math" w:hAnsi="Cambria Math" w:cstheme="minorBidi"/>
                              <w:i/>
                              <w:iCs/>
                            </w:rPr>
                          </m:ctrlPr>
                        </m:sSubPr>
                        <m:e>
                          <m:r>
                            <w:rPr>
                              <w:rFonts w:ascii="Cambria Math" w:eastAsia="Cambria Math" w:hAnsi="Cambria Math" w:cstheme="minorBidi"/>
                            </w:rPr>
                            <m:t>h</m:t>
                          </m:r>
                        </m:e>
                        <m:sub>
                          <m:d>
                            <m:dPr>
                              <m:begChr m:val="{"/>
                              <m:endChr m:val="}"/>
                              <m:ctrlPr>
                                <w:rPr>
                                  <w:rFonts w:ascii="Cambria Math" w:eastAsia="Cambria Math" w:hAnsi="Cambria Math" w:cstheme="minorBidi"/>
                                  <w:i/>
                                  <w:iCs/>
                                </w:rPr>
                              </m:ctrlPr>
                            </m:dPr>
                            <m:e>
                              <m:r>
                                <w:rPr>
                                  <w:rFonts w:ascii="Cambria Math" w:eastAsia="Cambria Math" w:hAnsi="Cambria Math" w:cstheme="minorBidi"/>
                                </w:rPr>
                                <m:t>i,t</m:t>
                              </m:r>
                            </m:e>
                          </m:d>
                        </m:sub>
                      </m:sSub>
                    </m:e>
                  </m:d>
                </m:e>
              </m:rad>
            </m:sub>
          </m:sSub>
        </m:oMath>
      </m:oMathPara>
    </w:p>
    <w:p w14:paraId="37BD8D76" w14:textId="77777777" w:rsidR="002E6132" w:rsidRPr="002E6132" w:rsidRDefault="002E6132" w:rsidP="002E6132">
      <w:pPr>
        <w:spacing w:before="60" w:after="60" w:line="360" w:lineRule="auto"/>
        <w:ind w:firstLine="720"/>
        <w:jc w:val="right"/>
        <w:rPr>
          <w:iCs/>
        </w:rPr>
      </w:pPr>
    </w:p>
    <w:p w14:paraId="3865FA77" w14:textId="5D9E5FD2" w:rsidR="00CC5C3E" w:rsidRPr="007B3F5F" w:rsidRDefault="00117A87" w:rsidP="007B3F5F">
      <w:pPr>
        <w:bidi w:val="0"/>
        <w:spacing w:before="60" w:after="60" w:line="360" w:lineRule="auto"/>
        <w:ind w:firstLine="720"/>
      </w:pPr>
      <w:r>
        <w:t xml:space="preserve">where </w:t>
      </w:r>
      <m:oMath>
        <m:sSub>
          <m:sSubPr>
            <m:ctrlPr>
              <w:rPr>
                <w:rFonts w:ascii="Cambria Math" w:hAnsi="Cambria Math"/>
                <w:i/>
              </w:rPr>
            </m:ctrlPr>
          </m:sSubPr>
          <m:e>
            <m:r>
              <w:rPr>
                <w:rFonts w:ascii="Cambria Math" w:hAnsi="Cambria Math"/>
              </w:rPr>
              <m:t>z</m:t>
            </m:r>
          </m:e>
          <m:sub>
            <m:d>
              <m:dPr>
                <m:begChr m:val="{"/>
                <m:endChr m:val="}"/>
                <m:ctrlPr>
                  <w:rPr>
                    <w:rFonts w:ascii="Cambria Math" w:hAnsi="Cambria Math"/>
                    <w:i/>
                  </w:rPr>
                </m:ctrlPr>
              </m:dPr>
              <m:e>
                <m:r>
                  <w:rPr>
                    <w:rFonts w:ascii="Cambria Math" w:hAnsi="Cambria Math"/>
                  </w:rPr>
                  <m:t>i,t</m:t>
                </m:r>
              </m:e>
            </m:d>
          </m:sub>
        </m:sSub>
        <m:r>
          <w:rPr>
            <w:rFonts w:ascii="Cambria Math" w:hAnsi="Cambria Math"/>
          </w:rPr>
          <m:t>∼\text</m:t>
        </m:r>
        <m:d>
          <m:dPr>
            <m:begChr m:val="{"/>
            <m:endChr m:val="}"/>
            <m:ctrlPr>
              <w:rPr>
                <w:rFonts w:ascii="Cambria Math" w:hAnsi="Cambria Math"/>
                <w:i/>
              </w:rPr>
            </m:ctrlPr>
          </m:dPr>
          <m:e>
            <m:r>
              <w:rPr>
                <w:rFonts w:ascii="Cambria Math" w:hAnsi="Cambria Math"/>
              </w:rPr>
              <m:t>i.i.d.</m:t>
            </m:r>
          </m:e>
        </m:d>
        <m:d>
          <m:dPr>
            <m:ctrlPr>
              <w:rPr>
                <w:rFonts w:ascii="Cambria Math" w:hAnsi="Cambria Math"/>
                <w:i/>
              </w:rPr>
            </m:ctrlPr>
          </m:dPr>
          <m:e>
            <m:r>
              <w:rPr>
                <w:rFonts w:ascii="Cambria Math" w:hAnsi="Cambria Math"/>
                <w:rtl/>
              </w:rPr>
              <m:t>0, 1</m:t>
            </m:r>
          </m:e>
        </m:d>
      </m:oMath>
      <w:r>
        <w:t xml:space="preserve"> is an i.i.d. innovation with zero mean and unit variance, and </w:t>
      </w:r>
      <m:oMath>
        <m:sSub>
          <m:sSubPr>
            <m:ctrlPr>
              <w:rPr>
                <w:rFonts w:ascii="Cambria Math" w:hAnsi="Cambria Math"/>
                <w:i/>
              </w:rPr>
            </m:ctrlPr>
          </m:sSubPr>
          <m:e>
            <m:r>
              <w:rPr>
                <w:rFonts w:ascii="Cambria Math" w:hAnsi="Cambria Math"/>
              </w:rPr>
              <m:t>h</m:t>
            </m:r>
          </m:e>
          <m:sub>
            <m:d>
              <m:dPr>
                <m:begChr m:val="{"/>
                <m:endChr m:val="}"/>
                <m:ctrlPr>
                  <w:rPr>
                    <w:rFonts w:ascii="Cambria Math" w:hAnsi="Cambria Math"/>
                    <w:i/>
                  </w:rPr>
                </m:ctrlPr>
              </m:dPr>
              <m:e>
                <m:r>
                  <w:rPr>
                    <w:rFonts w:ascii="Cambria Math" w:hAnsi="Cambria Math"/>
                  </w:rPr>
                  <m:t>i,t</m:t>
                </m:r>
              </m:e>
            </m:d>
          </m:sub>
        </m:sSub>
      </m:oMath>
      <w:r>
        <w:t xml:space="preserve"> is the time-varying conditional variance. The AR(1) specification for the conditional mean is motivated by the documented first-order autocorrelation in daily GCC returns, consistent with evidence of thin trading and infrequent price adjustments</w:t>
      </w:r>
      <w:r w:rsidR="00CF3C73">
        <w:t xml:space="preserve"> </w:t>
      </w:r>
      <w:sdt>
        <w:sdtPr>
          <w:rPr>
            <w:color w:val="000000"/>
          </w:rPr>
          <w:tag w:val="MENDELEY_CITATION_v3_eyJjaXRhdGlvbklEIjoiTUVOREVMRVlfQ0lUQVRJT05fM2Q2YmE4MzktZjIzNS00ZjYzLTljMTEtYTgyN2ZkYWIwNTcwIiwicHJvcGVydGllcyI6eyJub3RlSW5kZXgiOjB9LCJpc0VkaXRlZCI6ZmFsc2UsIm1hbnVhbE92ZXJyaWRlIjp7ImlzTWFudWFsbHlPdmVycmlkZGVuIjpmYWxzZSwiY2l0ZXByb2NUZXh0IjoiKEJhaWxsaWUsIDE5OTMpIiwibWFudWFsT3ZlcnJpZGVUZXh0IjoiIn0sImNpdGF0aW9uSXRlbXMiOlt7ImlkIjoiNTJlOGRkZjctM2ZiNy0zZmMzLTllYWMtNDMyNTRiNTEwMDU1IiwiaXRlbURhdGEiOnsidHlwZSI6ImFydGljbGUtam91cm5hbCIsImlkIjoiNTJlOGRkZjctM2ZiNy0zZmMzLTllYWMtNDMyNTRiNTEwMDU1IiwidGl0bGUiOiJDb21tZW50IG9uIE1vZGVsaW5nIEFzc2V0IFJldHVybnMgd2l0aCBBbHRlcm5hdGl2ZSBTdGFibGUgRGlzdHJpYnV0aW9ucyIsImF1dGhvciI6W3siZmFtaWx5IjoiQmFpbGxpZSIsImdpdmVuIjoiUmljaGFyZCBULiIsInBhcnNlLW5hbWVzIjpmYWxzZSwiZHJvcHBpbmctcGFydGljbGUiOiIiLCJub24tZHJvcHBpbmctcGFydGljbGUiOiIifV0sImNvbnRhaW5lci10aXRsZSI6IkVjb25vbWV0cmljIFJldmlld3MiLCJjb250YWluZXItdGl0bGUtc2hvcnQiOiJFY29ub20uIFJldi4iLCJET0kiOiIxMC4xMDgwLzA3NDc0OTM5MzA4ODAwMjY5IiwiSVNTTiI6IjE1MzI0MTY4IiwiaXNzdWVkIjp7ImRhdGUtcGFydHMiOltbMTk5MywxLDFdXX0sInBhZ2UiOiIzNDMtMzQ1IiwiaXNzdWUiOiIzIiwidm9sdW1lIjoiMTIifSwiaXNUZW1wb3JhcnkiOmZhbHNlfV19"/>
          <w:id w:val="1296957907"/>
          <w:placeholder>
            <w:docPart w:val="DefaultPlaceholder_-1854013440"/>
          </w:placeholder>
        </w:sdtPr>
        <w:sdtEndPr/>
        <w:sdtContent>
          <w:r w:rsidR="00E47856" w:rsidRPr="00E47856">
            <w:rPr>
              <w:color w:val="000000"/>
            </w:rPr>
            <w:t>(Baillie, 1993)</w:t>
          </w:r>
        </w:sdtContent>
      </w:sdt>
      <w:r>
        <w:t>.</w:t>
      </w:r>
    </w:p>
    <w:p w14:paraId="3B468BC9" w14:textId="77777777" w:rsidR="00CC5C3E" w:rsidRDefault="00117A87">
      <w:pPr>
        <w:pStyle w:val="2"/>
      </w:pPr>
      <w:r>
        <w:t>3.2 Model Specifications</w:t>
      </w:r>
    </w:p>
    <w:p w14:paraId="1C6D6EB8" w14:textId="77777777" w:rsidR="00CC5C3E" w:rsidRDefault="00117A87" w:rsidP="00D27BBB">
      <w:pPr>
        <w:bidi w:val="0"/>
        <w:spacing w:before="200" w:after="100"/>
        <w:jc w:val="both"/>
        <w:rPr>
          <w:rtl/>
        </w:rPr>
      </w:pPr>
      <w:r>
        <w:rPr>
          <w:b/>
          <w:bCs/>
          <w:i/>
          <w:iCs/>
        </w:rPr>
        <w:t>3.2.1 GARCH(1,1)</w:t>
      </w:r>
    </w:p>
    <w:p w14:paraId="2D3D545F" w14:textId="77777777" w:rsidR="00CC5C3E" w:rsidRDefault="00117A87" w:rsidP="00D27BBB">
      <w:pPr>
        <w:bidi w:val="0"/>
        <w:spacing w:before="60" w:after="60" w:line="360" w:lineRule="auto"/>
        <w:ind w:firstLine="720"/>
        <w:jc w:val="both"/>
      </w:pPr>
      <w:r>
        <w:t>The baseline GARCH(1,1) model of Bollerslev (1986) serves as the benchmark specification:</w:t>
      </w:r>
    </w:p>
    <w:p w14:paraId="215E5B3B" w14:textId="25925EA3" w:rsidR="00705E4B" w:rsidRPr="00705E4B" w:rsidRDefault="00BC3A9F" w:rsidP="00705E4B">
      <w:pPr>
        <w:bidi w:val="0"/>
        <w:spacing w:before="60" w:after="60" w:line="360" w:lineRule="auto"/>
        <w:ind w:firstLine="720"/>
        <w:jc w:val="both"/>
      </w:pPr>
      <m:oMathPara>
        <m:oMath>
          <m:sSub>
            <m:sSubPr>
              <m:ctrlPr>
                <w:rPr>
                  <w:rFonts w:ascii="Cambria Math" w:hAnsi="Cambria Math"/>
                  <w:i/>
                </w:rPr>
              </m:ctrlPr>
            </m:sSubPr>
            <m:e>
              <m:r>
                <w:rPr>
                  <w:rFonts w:ascii="Cambria Math" w:hAnsi="Cambria Math"/>
                </w:rPr>
                <m:t>h</m:t>
              </m:r>
            </m:e>
            <m:sub>
              <m:d>
                <m:dPr>
                  <m:begChr m:val="{"/>
                  <m:endChr m:val="}"/>
                  <m:ctrlPr>
                    <w:rPr>
                      <w:rFonts w:ascii="Cambria Math" w:hAnsi="Cambria Math"/>
                      <w:i/>
                    </w:rPr>
                  </m:ctrlPr>
                </m:dPr>
                <m:e>
                  <m:r>
                    <w:rPr>
                      <w:rFonts w:ascii="Cambria Math" w:hAnsi="Cambria Math"/>
                    </w:rPr>
                    <m:t>i,t</m:t>
                  </m:r>
                </m:e>
              </m:d>
            </m:sub>
          </m:sSub>
          <m:r>
            <w:rPr>
              <w:rFonts w:ascii="Cambria Math" w:hAnsi="Cambria Math"/>
            </w:rPr>
            <m:t xml:space="preserve">= </m:t>
          </m:r>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α</m:t>
              </m:r>
            </m:e>
            <m:sub>
              <m:r>
                <w:rPr>
                  <w:rFonts w:ascii="Cambria Math" w:hAnsi="Cambria Math"/>
                </w:rPr>
                <m:t>i</m:t>
              </m:r>
            </m:sub>
          </m:sSub>
          <m:sSubSup>
            <m:sSubSupPr>
              <m:ctrlPr>
                <w:rPr>
                  <w:rFonts w:ascii="Cambria Math" w:hAnsi="Cambria Math"/>
                  <w:i/>
                </w:rPr>
              </m:ctrlPr>
            </m:sSubSupPr>
            <m:e>
              <m:r>
                <w:rPr>
                  <w:rFonts w:ascii="Cambria Math" w:hAnsi="Cambria Math"/>
                </w:rPr>
                <m:t>ϵ</m:t>
              </m:r>
            </m:e>
            <m:sub>
              <m:d>
                <m:dPr>
                  <m:begChr m:val="{"/>
                  <m:endChr m:val="}"/>
                  <m:ctrlPr>
                    <w:rPr>
                      <w:rFonts w:ascii="Cambria Math" w:hAnsi="Cambria Math"/>
                      <w:i/>
                    </w:rPr>
                  </m:ctrlPr>
                </m:dPr>
                <m:e>
                  <m:r>
                    <w:rPr>
                      <w:rFonts w:ascii="Cambria Math" w:hAnsi="Cambria Math"/>
                    </w:rPr>
                    <m:t>i,t-1</m:t>
                  </m:r>
                </m:e>
              </m:d>
            </m:sub>
            <m:sup>
              <m:r>
                <w:rPr>
                  <w:rFonts w:ascii="Cambria Math" w:hAnsi="Cambria Math"/>
                </w:rPr>
                <m:t>2</m:t>
              </m:r>
            </m:sup>
          </m:sSubSup>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h</m:t>
              </m:r>
            </m:e>
            <m:sub>
              <m:d>
                <m:dPr>
                  <m:begChr m:val="{"/>
                  <m:endChr m:val="}"/>
                  <m:ctrlPr>
                    <w:rPr>
                      <w:rFonts w:ascii="Cambria Math" w:hAnsi="Cambria Math"/>
                      <w:i/>
                    </w:rPr>
                  </m:ctrlPr>
                </m:dPr>
                <m:e>
                  <m:r>
                    <w:rPr>
                      <w:rFonts w:ascii="Cambria Math" w:hAnsi="Cambria Math"/>
                    </w:rPr>
                    <m:t>i,t-1</m:t>
                  </m:r>
                </m:e>
              </m:d>
            </m:sub>
          </m:sSub>
        </m:oMath>
      </m:oMathPara>
    </w:p>
    <w:p w14:paraId="22877753" w14:textId="77777777" w:rsidR="00705E4B" w:rsidRPr="00705E4B" w:rsidRDefault="00705E4B" w:rsidP="00705E4B">
      <w:pPr>
        <w:bidi w:val="0"/>
        <w:spacing w:before="60" w:after="60" w:line="360" w:lineRule="auto"/>
        <w:ind w:firstLine="720"/>
        <w:jc w:val="both"/>
      </w:pPr>
    </w:p>
    <w:p w14:paraId="718BA2A9" w14:textId="77777777" w:rsidR="00705E4B" w:rsidRDefault="00117A87" w:rsidP="00D27BBB">
      <w:pPr>
        <w:bidi w:val="0"/>
        <w:spacing w:before="60" w:after="60" w:line="360" w:lineRule="auto"/>
        <w:ind w:firstLine="720"/>
        <w:jc w:val="both"/>
      </w:pPr>
      <w:r>
        <w:t>Covariance stationarity requires</w:t>
      </w:r>
    </w:p>
    <w:p w14:paraId="593D9829" w14:textId="5F55D411" w:rsidR="00705E4B" w:rsidRPr="00705E4B" w:rsidRDefault="00BC3A9F" w:rsidP="00705E4B">
      <w:pPr>
        <w:bidi w:val="0"/>
        <w:spacing w:before="60" w:after="60" w:line="360" w:lineRule="auto"/>
        <w:jc w:val="both"/>
      </w:pPr>
      <m:oMathPara>
        <m:oMath>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 xml:space="preserve">&gt; 0, \quad </m:t>
          </m:r>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 xml:space="preserve">≥0, \quad </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≥0, \quad \text</m:t>
          </m:r>
          <m:d>
            <m:dPr>
              <m:begChr m:val="{"/>
              <m:endChr m:val="}"/>
              <m:ctrlPr>
                <w:rPr>
                  <w:rFonts w:ascii="Cambria Math" w:hAnsi="Cambria Math"/>
                  <w:i/>
                </w:rPr>
              </m:ctrlPr>
            </m:dPr>
            <m:e>
              <m:r>
                <w:rPr>
                  <w:rFonts w:ascii="Cambria Math" w:hAnsi="Cambria Math"/>
                </w:rPr>
                <m:t>and</m:t>
              </m:r>
            </m:e>
          </m:d>
          <m:r>
            <w:rPr>
              <w:rFonts w:ascii="Cambria Math" w:hAnsi="Cambria Math"/>
            </w:rPr>
            <m:t xml:space="preserve">\quad </m:t>
          </m:r>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&lt; 1</m:t>
          </m:r>
        </m:oMath>
      </m:oMathPara>
    </w:p>
    <w:p w14:paraId="75947A7C" w14:textId="77777777" w:rsidR="00705E4B" w:rsidRPr="00705E4B" w:rsidRDefault="00705E4B" w:rsidP="00705E4B">
      <w:pPr>
        <w:bidi w:val="0"/>
        <w:spacing w:before="60" w:after="60" w:line="360" w:lineRule="auto"/>
        <w:jc w:val="both"/>
      </w:pPr>
    </w:p>
    <w:p w14:paraId="6C8FFC5E" w14:textId="77777777" w:rsidR="003D2F4B" w:rsidRDefault="00117A87" w:rsidP="00705E4B">
      <w:pPr>
        <w:bidi w:val="0"/>
        <w:spacing w:before="60" w:after="60" w:line="360" w:lineRule="auto"/>
        <w:ind w:firstLine="720"/>
        <w:jc w:val="both"/>
      </w:pPr>
      <w:r>
        <w:t>The half-life of a volatility shock is given by</w:t>
      </w:r>
    </w:p>
    <w:p w14:paraId="2170E3D4" w14:textId="77777777" w:rsidR="003D2F4B" w:rsidRPr="003D2F4B" w:rsidRDefault="003D2F4B" w:rsidP="003D2F4B">
      <w:pPr>
        <w:bidi w:val="0"/>
        <w:spacing w:before="60" w:after="60" w:line="360" w:lineRule="auto"/>
        <w:jc w:val="both"/>
      </w:pPr>
    </w:p>
    <w:p w14:paraId="0EF11A32" w14:textId="45103910" w:rsidR="003D2F4B" w:rsidRPr="003D2F4B" w:rsidRDefault="003D2F4B" w:rsidP="003D2F4B">
      <w:pPr>
        <w:bidi w:val="0"/>
        <w:spacing w:before="60" w:after="60" w:line="360" w:lineRule="auto"/>
        <w:jc w:val="both"/>
      </w:pPr>
      <m:oMathPara>
        <m:oMath>
          <m:r>
            <w:rPr>
              <w:rFonts w:ascii="Cambria Math" w:hAnsi="Cambria Math"/>
            </w:rPr>
            <m:t>\frac</m:t>
          </m:r>
          <m:d>
            <m:dPr>
              <m:begChr m:val="{"/>
              <m:endChr m:val="}"/>
              <m:ctrlPr>
                <w:rPr>
                  <w:rFonts w:ascii="Cambria Math" w:hAnsi="Cambria Math"/>
                  <w:i/>
                </w:rPr>
              </m:ctrlPr>
            </m:dPr>
            <m:e>
              <m:r>
                <w:rPr>
                  <w:rFonts w:ascii="Cambria Math" w:hAnsi="Cambria Math"/>
                </w:rPr>
                <m:t>\ln</m:t>
              </m:r>
              <m:d>
                <m:dPr>
                  <m:ctrlPr>
                    <w:rPr>
                      <w:rFonts w:ascii="Cambria Math" w:hAnsi="Cambria Math"/>
                      <w:i/>
                    </w:rPr>
                  </m:ctrlPr>
                </m:dPr>
                <m:e>
                  <m:r>
                    <w:rPr>
                      <w:rFonts w:ascii="Cambria Math" w:hAnsi="Cambria Math"/>
                    </w:rPr>
                    <m:t>0.5</m:t>
                  </m:r>
                </m:e>
              </m:d>
            </m:e>
          </m:d>
          <m:d>
            <m:dPr>
              <m:begChr m:val="{"/>
              <m:endChr m:val="}"/>
              <m:ctrlPr>
                <w:rPr>
                  <w:rFonts w:ascii="Cambria Math" w:hAnsi="Cambria Math"/>
                  <w:i/>
                </w:rPr>
              </m:ctrlPr>
            </m:dPr>
            <m:e>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i</m:t>
                      </m:r>
                    </m:sub>
                  </m:sSub>
                </m:e>
              </m:d>
            </m:e>
          </m:d>
        </m:oMath>
      </m:oMathPara>
    </w:p>
    <w:p w14:paraId="7CE2C775" w14:textId="77777777" w:rsidR="003D2F4B" w:rsidRPr="003D2F4B" w:rsidRDefault="003D2F4B" w:rsidP="003D2F4B">
      <w:pPr>
        <w:bidi w:val="0"/>
        <w:spacing w:before="60" w:after="60" w:line="360" w:lineRule="auto"/>
        <w:jc w:val="both"/>
      </w:pPr>
    </w:p>
    <w:p w14:paraId="24F806B8" w14:textId="77777777" w:rsidR="003D2F4B" w:rsidRPr="003D2F4B" w:rsidRDefault="003D2F4B" w:rsidP="003D2F4B">
      <w:pPr>
        <w:bidi w:val="0"/>
        <w:spacing w:before="60" w:after="60" w:line="360" w:lineRule="auto"/>
        <w:ind w:firstLine="720"/>
        <w:jc w:val="both"/>
        <w:rPr>
          <w:rtl/>
        </w:rPr>
      </w:pPr>
    </w:p>
    <w:p w14:paraId="41C60A4A" w14:textId="77777777" w:rsidR="00CC5C3E" w:rsidRDefault="00117A87" w:rsidP="00D27BBB">
      <w:pPr>
        <w:bidi w:val="0"/>
        <w:spacing w:before="200" w:after="100"/>
        <w:jc w:val="both"/>
      </w:pPr>
      <w:r>
        <w:rPr>
          <w:b/>
          <w:bCs/>
          <w:i/>
          <w:iCs/>
        </w:rPr>
        <w:t>3.2.2 EGARCH(1,1)</w:t>
      </w:r>
    </w:p>
    <w:p w14:paraId="6585992A" w14:textId="77777777" w:rsidR="00CC5C3E" w:rsidRDefault="00117A87" w:rsidP="00D27BBB">
      <w:pPr>
        <w:bidi w:val="0"/>
        <w:spacing w:before="60" w:after="60" w:line="360" w:lineRule="auto"/>
        <w:ind w:firstLine="720"/>
        <w:jc w:val="both"/>
      </w:pPr>
      <w:r>
        <w:t>The EGARCH specification of Nelson (1991) models the log of conditional variance:</w:t>
      </w:r>
    </w:p>
    <w:p w14:paraId="330AB8A8" w14:textId="5CA0EFD4" w:rsidR="003D2F4B" w:rsidRPr="003D2F4B" w:rsidRDefault="003D2F4B" w:rsidP="00D27BBB">
      <w:pPr>
        <w:bidi w:val="0"/>
        <w:spacing w:before="60" w:after="60" w:line="360" w:lineRule="auto"/>
        <w:ind w:firstLine="720"/>
        <w:jc w:val="both"/>
        <w:rPr>
          <w:iCs/>
        </w:rPr>
      </w:pPr>
      <m:oMathPara>
        <m:oMath>
          <m:r>
            <w:rPr>
              <w:rFonts w:ascii="Cambria Math" w:eastAsia="Cambria Math" w:hAnsi="Cambria Math" w:cs="Cambria Math"/>
            </w:rPr>
            <m:t>\ln</m:t>
          </m:r>
          <m:d>
            <m:dPr>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h</m:t>
                  </m:r>
                </m:e>
                <m:sub>
                  <m:d>
                    <m:dPr>
                      <m:begChr m:val="{"/>
                      <m:endChr m:val="}"/>
                      <m:ctrlPr>
                        <w:rPr>
                          <w:rFonts w:ascii="Cambria Math" w:eastAsia="Cambria Math" w:hAnsi="Cambria Math" w:cs="Cambria Math"/>
                          <w:i/>
                          <w:iCs/>
                        </w:rPr>
                      </m:ctrlPr>
                    </m:dPr>
                    <m:e>
                      <m:r>
                        <w:rPr>
                          <w:rFonts w:ascii="Cambria Math" w:eastAsia="Cambria Math" w:hAnsi="Cambria Math" w:cs="Cambria Math"/>
                        </w:rPr>
                        <m:t>i,t</m:t>
                      </m:r>
                    </m:e>
                  </m:d>
                </m:sub>
              </m:sSub>
            </m:e>
          </m:d>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ω</m:t>
              </m:r>
            </m:e>
            <m:sub>
              <m:r>
                <w:rPr>
                  <w:rFonts w:ascii="Cambria Math" w:eastAsia="Cambria Math" w:hAnsi="Cambria Math" w:cs="Cambria Math"/>
                </w:rPr>
                <m:t>i</m:t>
              </m:r>
            </m:sub>
          </m:sSub>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α</m:t>
              </m:r>
            </m:e>
            <m:sub>
              <m:r>
                <w:rPr>
                  <w:rFonts w:ascii="Cambria Math" w:eastAsia="Cambria Math" w:hAnsi="Cambria Math" w:cs="Cambria Math"/>
                </w:rPr>
                <m:t>i</m:t>
              </m:r>
            </m:sub>
          </m:sSub>
          <m:sSub>
            <m:sSubPr>
              <m:ctrlPr>
                <w:rPr>
                  <w:rFonts w:ascii="Cambria Math" w:eastAsia="Cambria Math" w:hAnsi="Cambria Math" w:cs="Cambria Math"/>
                  <w:i/>
                  <w:iCs/>
                </w:rPr>
              </m:ctrlPr>
            </m:sSubPr>
            <m:e>
              <m:r>
                <w:rPr>
                  <w:rFonts w:ascii="Cambria Math" w:eastAsia="Cambria Math" w:hAnsi="Cambria Math" w:cs="Cambria Math"/>
                </w:rPr>
                <m:t>z</m:t>
              </m:r>
            </m:e>
            <m:sub>
              <m:d>
                <m:dPr>
                  <m:begChr m:val="{"/>
                  <m:endChr m:val="}"/>
                  <m:ctrlPr>
                    <w:rPr>
                      <w:rFonts w:ascii="Cambria Math" w:eastAsia="Cambria Math" w:hAnsi="Cambria Math" w:cs="Cambria Math"/>
                      <w:i/>
                      <w:iCs/>
                    </w:rPr>
                  </m:ctrlPr>
                </m:dPr>
                <m:e>
                  <m:r>
                    <w:rPr>
                      <w:rFonts w:ascii="Cambria Math" w:eastAsia="Cambria Math" w:hAnsi="Cambria Math" w:cs="Cambria Math"/>
                    </w:rPr>
                    <m:t>i,t-1</m:t>
                  </m:r>
                </m:e>
              </m:d>
            </m:sub>
          </m:sSub>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γ</m:t>
              </m:r>
            </m:e>
            <m:sub>
              <m:r>
                <w:rPr>
                  <w:rFonts w:ascii="Cambria Math" w:eastAsia="Cambria Math" w:hAnsi="Cambria Math" w:cs="Cambria Math"/>
                </w:rPr>
                <m:t>i</m:t>
              </m:r>
            </m:sub>
          </m:sSub>
          <m:d>
            <m:dPr>
              <m:begChr m:val=""/>
              <m:ctrlPr>
                <w:rPr>
                  <w:rFonts w:ascii="Cambria Math" w:eastAsia="Cambria Math" w:hAnsi="Cambria Math" w:cs="Cambria Math"/>
                  <w:i/>
                  <w:iCs/>
                </w:rPr>
              </m:ctrlPr>
            </m:dPr>
            <m:e>
              <m:d>
                <m:dPr>
                  <m:endChr m:val=""/>
                  <m:ctrlPr>
                    <w:rPr>
                      <w:rFonts w:ascii="Cambria Math" w:eastAsia="Cambria Math" w:hAnsi="Cambria Math" w:cs="Cambria Math"/>
                      <w:i/>
                      <w:iCs/>
                    </w:rPr>
                  </m:ctrlPr>
                </m:dPr>
                <m:e>
                  <m:r>
                    <w:rPr>
                      <w:rFonts w:ascii="Cambria Math" w:eastAsia="Cambria Math" w:hAnsi="Cambria Math" w:cs="Cambria Math"/>
                    </w:rPr>
                    <m:t xml:space="preserve"> </m:t>
                  </m:r>
                  <m:d>
                    <m:dPr>
                      <m:begChr m:val="|"/>
                      <m:endChr m:val="|"/>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z</m:t>
                          </m:r>
                        </m:e>
                        <m:sub>
                          <m:d>
                            <m:dPr>
                              <m:begChr m:val="{"/>
                              <m:endChr m:val="}"/>
                              <m:ctrlPr>
                                <w:rPr>
                                  <w:rFonts w:ascii="Cambria Math" w:eastAsia="Cambria Math" w:hAnsi="Cambria Math" w:cs="Cambria Math"/>
                                  <w:i/>
                                  <w:iCs/>
                                </w:rPr>
                              </m:ctrlPr>
                            </m:dPr>
                            <m:e>
                              <m:r>
                                <w:rPr>
                                  <w:rFonts w:ascii="Cambria Math" w:eastAsia="Cambria Math" w:hAnsi="Cambria Math" w:cs="Cambria Math"/>
                                </w:rPr>
                                <m:t>i,t-1</m:t>
                              </m:r>
                            </m:e>
                          </m:d>
                        </m:sub>
                      </m:sSub>
                    </m:e>
                  </m:d>
                  <m:r>
                    <w:rPr>
                      <w:rFonts w:ascii="Cambria Math" w:eastAsia="Cambria Math" w:hAnsi="Cambria Math" w:cs="Cambria Math"/>
                    </w:rPr>
                    <m:t>- E</m:t>
                  </m:r>
                  <m:d>
                    <m:dPr>
                      <m:begChr m:val="|"/>
                      <m:endChr m:val="|"/>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z</m:t>
                          </m:r>
                        </m:e>
                        <m:sub>
                          <m:d>
                            <m:dPr>
                              <m:begChr m:val="{"/>
                              <m:endChr m:val="}"/>
                              <m:ctrlPr>
                                <w:rPr>
                                  <w:rFonts w:ascii="Cambria Math" w:eastAsia="Cambria Math" w:hAnsi="Cambria Math" w:cs="Cambria Math"/>
                                  <w:i/>
                                  <w:iCs/>
                                </w:rPr>
                              </m:ctrlPr>
                            </m:dPr>
                            <m:e>
                              <m:r>
                                <w:rPr>
                                  <w:rFonts w:ascii="Cambria Math" w:eastAsia="Cambria Math" w:hAnsi="Cambria Math" w:cs="Cambria Math"/>
                                </w:rPr>
                                <m:t>i,t-1</m:t>
                              </m:r>
                            </m:e>
                          </m:d>
                        </m:sub>
                      </m:sSub>
                    </m:e>
                  </m:d>
                </m:e>
              </m:d>
            </m:e>
          </m:d>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β</m:t>
              </m:r>
            </m:e>
            <m:sub>
              <m:r>
                <w:rPr>
                  <w:rFonts w:ascii="Cambria Math" w:eastAsia="Cambria Math" w:hAnsi="Cambria Math" w:cs="Cambria Math"/>
                </w:rPr>
                <m:t>i</m:t>
              </m:r>
            </m:sub>
          </m:sSub>
          <m:r>
            <w:rPr>
              <w:rFonts w:ascii="Cambria Math" w:eastAsia="Cambria Math" w:hAnsi="Cambria Math" w:cs="Cambria Math"/>
            </w:rPr>
            <m:t>\ln</m:t>
          </m:r>
          <m:d>
            <m:dPr>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h</m:t>
                  </m:r>
                </m:e>
                <m:sub>
                  <m:d>
                    <m:dPr>
                      <m:begChr m:val="{"/>
                      <m:endChr m:val="}"/>
                      <m:ctrlPr>
                        <w:rPr>
                          <w:rFonts w:ascii="Cambria Math" w:eastAsia="Cambria Math" w:hAnsi="Cambria Math" w:cs="Cambria Math"/>
                          <w:i/>
                          <w:iCs/>
                        </w:rPr>
                      </m:ctrlPr>
                    </m:dPr>
                    <m:e>
                      <m:r>
                        <w:rPr>
                          <w:rFonts w:ascii="Cambria Math" w:eastAsia="Cambria Math" w:hAnsi="Cambria Math" w:cs="Cambria Math"/>
                        </w:rPr>
                        <m:t>i,t-1</m:t>
                      </m:r>
                    </m:e>
                  </m:d>
                </m:sub>
              </m:sSub>
            </m:e>
          </m:d>
        </m:oMath>
      </m:oMathPara>
    </w:p>
    <w:p w14:paraId="0FECE7CF" w14:textId="77777777" w:rsidR="003D2F4B" w:rsidRPr="003D2F4B" w:rsidRDefault="003D2F4B" w:rsidP="003D2F4B">
      <w:pPr>
        <w:bidi w:val="0"/>
        <w:spacing w:before="60" w:after="60" w:line="360" w:lineRule="auto"/>
        <w:ind w:firstLine="720"/>
        <w:jc w:val="both"/>
        <w:rPr>
          <w:iCs/>
        </w:rPr>
      </w:pPr>
    </w:p>
    <w:p w14:paraId="71D95880" w14:textId="77777777" w:rsidR="003D2F4B" w:rsidRPr="003D2F4B" w:rsidRDefault="00117A87" w:rsidP="003D2F4B">
      <w:pPr>
        <w:bidi w:val="0"/>
        <w:spacing w:before="60" w:after="60" w:line="360" w:lineRule="auto"/>
        <w:ind w:firstLine="720"/>
        <w:jc w:val="both"/>
      </w:pPr>
      <w:r>
        <w:t xml:space="preserve">Under normality, </w:t>
      </w:r>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d>
                  <m:dPr>
                    <m:begChr m:val="{"/>
                    <m:endChr m:val="}"/>
                    <m:ctrlPr>
                      <w:rPr>
                        <w:rFonts w:ascii="Cambria Math" w:hAnsi="Cambria Math"/>
                        <w:i/>
                      </w:rPr>
                    </m:ctrlPr>
                  </m:dPr>
                  <m:e>
                    <m:r>
                      <w:rPr>
                        <w:rFonts w:ascii="Cambria Math" w:hAnsi="Cambria Math"/>
                      </w:rPr>
                      <m:t>i,t-1</m:t>
                    </m:r>
                  </m:e>
                </m:d>
              </m:sub>
            </m:sSub>
          </m:e>
        </m:d>
        <m:r>
          <w:rPr>
            <w:rFonts w:ascii="Cambria Math" w:hAnsi="Cambria Math"/>
          </w:rPr>
          <m:t xml:space="preserve">= </m:t>
        </m:r>
        <m:rad>
          <m:radPr>
            <m:degHide m:val="1"/>
            <m:ctrlPr>
              <w:rPr>
                <w:rFonts w:ascii="Cambria Math" w:hAnsi="Cambria Math"/>
                <w:i/>
              </w:rPr>
            </m:ctrlPr>
          </m:radPr>
          <m:deg/>
          <m:e>
            <m:d>
              <m:dPr>
                <m:begChr m:val="{"/>
                <m:endChr m:val="}"/>
                <m:ctrlPr>
                  <w:rPr>
                    <w:rFonts w:ascii="Cambria Math" w:hAnsi="Cambria Math"/>
                    <w:i/>
                  </w:rPr>
                </m:ctrlPr>
              </m:dPr>
              <m:e>
                <m:r>
                  <w:rPr>
                    <w:rFonts w:ascii="Cambria Math" w:hAnsi="Cambria Math"/>
                  </w:rPr>
                  <m:t>\frac</m:t>
                </m:r>
                <m:d>
                  <m:dPr>
                    <m:begChr m:val="{"/>
                    <m:endChr m:val="}"/>
                    <m:ctrlPr>
                      <w:rPr>
                        <w:rFonts w:ascii="Cambria Math" w:hAnsi="Cambria Math"/>
                        <w:i/>
                      </w:rPr>
                    </m:ctrlPr>
                  </m:dPr>
                  <m:e>
                    <m:r>
                      <w:rPr>
                        <w:rFonts w:ascii="Cambria Math" w:hAnsi="Cambria Math"/>
                      </w:rPr>
                      <m:t>2</m:t>
                    </m:r>
                  </m:e>
                </m:d>
                <m:d>
                  <m:dPr>
                    <m:begChr m:val="{"/>
                    <m:endChr m:val="}"/>
                    <m:ctrlPr>
                      <w:rPr>
                        <w:rFonts w:ascii="Cambria Math" w:hAnsi="Cambria Math"/>
                        <w:i/>
                      </w:rPr>
                    </m:ctrlPr>
                  </m:dPr>
                  <m:e>
                    <m:r>
                      <w:rPr>
                        <w:rFonts w:ascii="Cambria Math" w:hAnsi="Cambria Math"/>
                      </w:rPr>
                      <m:t>π</m:t>
                    </m:r>
                  </m:e>
                </m:d>
              </m:e>
            </m:d>
          </m:e>
        </m:rad>
      </m:oMath>
    </w:p>
    <w:p w14:paraId="49B5E7B9" w14:textId="73D6E883" w:rsidR="00CC5C3E" w:rsidRPr="003D2F4B" w:rsidRDefault="00117A87" w:rsidP="003D2F4B">
      <w:pPr>
        <w:bidi w:val="0"/>
        <w:spacing w:before="60" w:after="60" w:line="360" w:lineRule="auto"/>
        <w:ind w:firstLine="720"/>
        <w:jc w:val="both"/>
        <w:rPr>
          <w:rtl/>
        </w:rPr>
      </w:pPr>
      <w:r>
        <w:t xml:space="preserve"> The leverage effect parameter gamma_i cap</w:t>
      </w:r>
      <w:r w:rsidR="003D2F4B">
        <w:t>]</w:t>
      </w:r>
      <w:r>
        <w:t xml:space="preserve">tures the sign bias in volatility responses: </w:t>
      </w:r>
      <w:r w:rsidR="003D2F4B">
        <w:t xml:space="preserve">  </w:t>
      </w:r>
      <m:oMath>
        <m:sSub>
          <m:sSubPr>
            <m:ctrlPr>
              <w:rPr>
                <w:rFonts w:ascii="Cambria Math" w:hAnsi="Cambria Math"/>
                <w:i/>
              </w:rPr>
            </m:ctrlPr>
          </m:sSubPr>
          <m:e>
            <m:r>
              <w:rPr>
                <w:rFonts w:ascii="Cambria Math" w:hAnsi="Cambria Math"/>
              </w:rPr>
              <m:t>γ</m:t>
            </m:r>
          </m:e>
          <m:sub>
            <m:r>
              <w:rPr>
                <w:rFonts w:ascii="Cambria Math" w:hAnsi="Cambria Math"/>
              </w:rPr>
              <m:t>i</m:t>
            </m:r>
          </m:sub>
        </m:sSub>
        <m:r>
          <w:rPr>
            <w:rFonts w:ascii="Cambria Math" w:hAnsi="Cambria Math"/>
          </w:rPr>
          <m:t>&lt; 0</m:t>
        </m:r>
      </m:oMath>
      <w:r w:rsidR="003D2F4B">
        <w:t xml:space="preserve"> </w:t>
      </w:r>
      <w:r>
        <w:t>implies that negative return shocks generate larger conditional variance than positive shocks of equal magnitude.</w:t>
      </w:r>
    </w:p>
    <w:p w14:paraId="628792A6" w14:textId="77777777" w:rsidR="00CC5C3E" w:rsidRDefault="00117A87" w:rsidP="00D27BBB">
      <w:pPr>
        <w:bidi w:val="0"/>
        <w:spacing w:before="200" w:after="100"/>
        <w:jc w:val="both"/>
      </w:pPr>
      <w:r>
        <w:rPr>
          <w:b/>
          <w:bCs/>
          <w:i/>
          <w:iCs/>
        </w:rPr>
        <w:lastRenderedPageBreak/>
        <w:t>3.2.3 GJR-GARCH(1,1)</w:t>
      </w:r>
    </w:p>
    <w:p w14:paraId="0021F556" w14:textId="16A170D2" w:rsidR="00587326" w:rsidRPr="00587326" w:rsidRDefault="00BC3A9F" w:rsidP="00D27BBB">
      <w:pPr>
        <w:bidi w:val="0"/>
        <w:spacing w:before="120" w:after="120"/>
        <w:jc w:val="both"/>
        <w:rPr>
          <w:iCs/>
        </w:rPr>
      </w:pPr>
      <m:oMathPara>
        <m:oMath>
          <m:sSub>
            <m:sSubPr>
              <m:ctrlPr>
                <w:rPr>
                  <w:rFonts w:ascii="Cambria Math" w:eastAsia="Cambria Math" w:hAnsi="Cambria Math" w:cs="Cambria Math"/>
                  <w:i/>
                  <w:iCs/>
                </w:rPr>
              </m:ctrlPr>
            </m:sSubPr>
            <m:e>
              <m:r>
                <w:rPr>
                  <w:rFonts w:ascii="Cambria Math" w:eastAsia="Cambria Math" w:hAnsi="Cambria Math" w:cs="Cambria Math"/>
                </w:rPr>
                <m:t>h</m:t>
              </m:r>
            </m:e>
            <m:sub>
              <m:d>
                <m:dPr>
                  <m:begChr m:val="{"/>
                  <m:endChr m:val="}"/>
                  <m:ctrlPr>
                    <w:rPr>
                      <w:rFonts w:ascii="Cambria Math" w:eastAsia="Cambria Math" w:hAnsi="Cambria Math" w:cs="Cambria Math"/>
                      <w:i/>
                      <w:iCs/>
                    </w:rPr>
                  </m:ctrlPr>
                </m:dPr>
                <m:e>
                  <m:r>
                    <w:rPr>
                      <w:rFonts w:ascii="Cambria Math" w:eastAsia="Cambria Math" w:hAnsi="Cambria Math" w:cs="Cambria Math"/>
                    </w:rPr>
                    <m:t>i,t</m:t>
                  </m:r>
                </m:e>
              </m:d>
            </m:sub>
          </m:sSub>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ω</m:t>
              </m:r>
            </m:e>
            <m:sub>
              <m:r>
                <w:rPr>
                  <w:rFonts w:ascii="Cambria Math" w:eastAsia="Cambria Math" w:hAnsi="Cambria Math" w:cs="Cambria Math"/>
                </w:rPr>
                <m:t>i</m:t>
              </m:r>
            </m:sub>
          </m:sSub>
          <m:r>
            <w:rPr>
              <w:rFonts w:ascii="Cambria Math" w:eastAsia="Cambria Math" w:hAnsi="Cambria Math" w:cs="Cambria Math"/>
            </w:rPr>
            <m:t xml:space="preserve">+ </m:t>
          </m:r>
          <m:d>
            <m:dPr>
              <m:ctrlPr>
                <w:rPr>
                  <w:rFonts w:ascii="Cambria Math" w:eastAsia="Cambria Math" w:hAnsi="Cambria Math" w:cs="Cambria Math"/>
                  <w:i/>
                  <w:iCs/>
                </w:rPr>
              </m:ctrlPr>
            </m:dPr>
            <m:e>
              <m:sSub>
                <m:sSubPr>
                  <m:ctrlPr>
                    <w:rPr>
                      <w:rFonts w:ascii="Cambria Math" w:eastAsia="Cambria Math" w:hAnsi="Cambria Math" w:cs="Cambria Math"/>
                      <w:i/>
                      <w:iCs/>
                    </w:rPr>
                  </m:ctrlPr>
                </m:sSubPr>
                <m:e>
                  <m:r>
                    <w:rPr>
                      <w:rFonts w:ascii="Cambria Math" w:eastAsia="Cambria Math" w:hAnsi="Cambria Math" w:cs="Cambria Math"/>
                    </w:rPr>
                    <m:t>α</m:t>
                  </m:r>
                </m:e>
                <m:sub>
                  <m:r>
                    <w:rPr>
                      <w:rFonts w:ascii="Cambria Math" w:eastAsia="Cambria Math" w:hAnsi="Cambria Math" w:cs="Cambria Math"/>
                    </w:rPr>
                    <m:t>i</m:t>
                  </m:r>
                </m:sub>
              </m:sSub>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γ</m:t>
                  </m:r>
                </m:e>
                <m:sub>
                  <m:r>
                    <w:rPr>
                      <w:rFonts w:ascii="Cambria Math" w:eastAsia="Cambria Math" w:hAnsi="Cambria Math" w:cs="Cambria Math"/>
                    </w:rPr>
                    <m:t>i</m:t>
                  </m:r>
                </m:sub>
              </m:sSub>
              <m:sSub>
                <m:sSubPr>
                  <m:ctrlPr>
                    <w:rPr>
                      <w:rFonts w:ascii="Cambria Math" w:eastAsia="Cambria Math" w:hAnsi="Cambria Math" w:cs="Cambria Math"/>
                      <w:i/>
                      <w:iCs/>
                    </w:rPr>
                  </m:ctrlPr>
                </m:sSubPr>
                <m:e>
                  <m:r>
                    <w:rPr>
                      <w:rFonts w:ascii="Cambria Math" w:eastAsia="Cambria Math" w:hAnsi="Cambria Math" w:cs="Cambria Math"/>
                    </w:rPr>
                    <m:t>I</m:t>
                  </m:r>
                </m:e>
                <m:sub>
                  <m:d>
                    <m:dPr>
                      <m:begChr m:val="{"/>
                      <m:endChr m:val="}"/>
                      <m:ctrlPr>
                        <w:rPr>
                          <w:rFonts w:ascii="Cambria Math" w:eastAsia="Cambria Math" w:hAnsi="Cambria Math" w:cs="Cambria Math"/>
                          <w:i/>
                          <w:iCs/>
                        </w:rPr>
                      </m:ctrlPr>
                    </m:dPr>
                    <m:e>
                      <m:r>
                        <w:rPr>
                          <w:rFonts w:ascii="Cambria Math" w:eastAsia="Cambria Math" w:hAnsi="Cambria Math" w:cs="Cambria Math"/>
                        </w:rPr>
                        <m:t>i,t-1</m:t>
                      </m:r>
                    </m:e>
                  </m:d>
                </m:sub>
              </m:sSub>
            </m:e>
          </m:d>
          <m:sSubSup>
            <m:sSubSupPr>
              <m:ctrlPr>
                <w:rPr>
                  <w:rFonts w:ascii="Cambria Math" w:eastAsia="Cambria Math" w:hAnsi="Cambria Math" w:cs="Cambria Math"/>
                  <w:i/>
                  <w:iCs/>
                </w:rPr>
              </m:ctrlPr>
            </m:sSubSupPr>
            <m:e>
              <m:r>
                <w:rPr>
                  <w:rFonts w:ascii="Cambria Math" w:eastAsia="Cambria Math" w:hAnsi="Cambria Math" w:cs="Cambria Math"/>
                </w:rPr>
                <m:t>ϵ</m:t>
              </m:r>
            </m:e>
            <m:sub>
              <m:d>
                <m:dPr>
                  <m:begChr m:val="{"/>
                  <m:endChr m:val="}"/>
                  <m:ctrlPr>
                    <w:rPr>
                      <w:rFonts w:ascii="Cambria Math" w:eastAsia="Cambria Math" w:hAnsi="Cambria Math" w:cs="Cambria Math"/>
                      <w:i/>
                      <w:iCs/>
                    </w:rPr>
                  </m:ctrlPr>
                </m:dPr>
                <m:e>
                  <m:r>
                    <w:rPr>
                      <w:rFonts w:ascii="Cambria Math" w:eastAsia="Cambria Math" w:hAnsi="Cambria Math" w:cs="Cambria Math"/>
                    </w:rPr>
                    <m:t>i,t-1</m:t>
                  </m:r>
                </m:e>
              </m:d>
            </m:sub>
            <m:sup>
              <m:r>
                <w:rPr>
                  <w:rFonts w:ascii="Cambria Math" w:eastAsia="Cambria Math" w:hAnsi="Cambria Math" w:cs="Cambria Math"/>
                </w:rPr>
                <m:t>2</m:t>
              </m:r>
            </m:sup>
          </m:sSubSup>
          <m:r>
            <w:rPr>
              <w:rFonts w:ascii="Cambria Math" w:eastAsia="Cambria Math" w:hAnsi="Cambria Math" w:cs="Cambria Math"/>
            </w:rPr>
            <m:t xml:space="preserve">+ </m:t>
          </m:r>
          <m:sSub>
            <m:sSubPr>
              <m:ctrlPr>
                <w:rPr>
                  <w:rFonts w:ascii="Cambria Math" w:eastAsia="Cambria Math" w:hAnsi="Cambria Math" w:cs="Cambria Math"/>
                  <w:i/>
                  <w:iCs/>
                </w:rPr>
              </m:ctrlPr>
            </m:sSubPr>
            <m:e>
              <m:r>
                <w:rPr>
                  <w:rFonts w:ascii="Cambria Math" w:eastAsia="Cambria Math" w:hAnsi="Cambria Math" w:cs="Cambria Math"/>
                </w:rPr>
                <m:t>β</m:t>
              </m:r>
            </m:e>
            <m:sub>
              <m:r>
                <w:rPr>
                  <w:rFonts w:ascii="Cambria Math" w:eastAsia="Cambria Math" w:hAnsi="Cambria Math" w:cs="Cambria Math"/>
                </w:rPr>
                <m:t>i</m:t>
              </m:r>
            </m:sub>
          </m:sSub>
          <m:sSub>
            <m:sSubPr>
              <m:ctrlPr>
                <w:rPr>
                  <w:rFonts w:ascii="Cambria Math" w:eastAsia="Cambria Math" w:hAnsi="Cambria Math" w:cs="Cambria Math"/>
                  <w:i/>
                  <w:iCs/>
                </w:rPr>
              </m:ctrlPr>
            </m:sSubPr>
            <m:e>
              <m:r>
                <w:rPr>
                  <w:rFonts w:ascii="Cambria Math" w:eastAsia="Cambria Math" w:hAnsi="Cambria Math" w:cs="Cambria Math"/>
                </w:rPr>
                <m:t>h</m:t>
              </m:r>
            </m:e>
            <m:sub>
              <m:d>
                <m:dPr>
                  <m:begChr m:val="{"/>
                  <m:endChr m:val="}"/>
                  <m:ctrlPr>
                    <w:rPr>
                      <w:rFonts w:ascii="Cambria Math" w:eastAsia="Cambria Math" w:hAnsi="Cambria Math" w:cs="Cambria Math"/>
                      <w:i/>
                      <w:iCs/>
                    </w:rPr>
                  </m:ctrlPr>
                </m:dPr>
                <m:e>
                  <m:r>
                    <w:rPr>
                      <w:rFonts w:ascii="Cambria Math" w:eastAsia="Cambria Math" w:hAnsi="Cambria Math" w:cs="Cambria Math"/>
                    </w:rPr>
                    <m:t>i,t-1</m:t>
                  </m:r>
                </m:e>
              </m:d>
            </m:sub>
          </m:sSub>
        </m:oMath>
      </m:oMathPara>
    </w:p>
    <w:p w14:paraId="43616C17" w14:textId="17D0A1C6" w:rsidR="00587326" w:rsidRDefault="00587326" w:rsidP="00587326">
      <w:pPr>
        <w:bidi w:val="0"/>
        <w:spacing w:before="60" w:after="60" w:line="360" w:lineRule="auto"/>
        <w:jc w:val="both"/>
      </w:pPr>
      <w:r>
        <w:t>Where</w:t>
      </w:r>
    </w:p>
    <w:p w14:paraId="3F368E64" w14:textId="77777777" w:rsidR="00587326" w:rsidRPr="00587326" w:rsidRDefault="00587326" w:rsidP="00587326">
      <w:pPr>
        <w:bidi w:val="0"/>
        <w:spacing w:before="60" w:after="60" w:line="360" w:lineRule="auto"/>
        <w:jc w:val="both"/>
      </w:pPr>
    </w:p>
    <w:p w14:paraId="68AAD108" w14:textId="05DB7F20" w:rsidR="00587326" w:rsidRPr="00587326" w:rsidRDefault="00BC3A9F" w:rsidP="00587326">
      <w:pPr>
        <w:bidi w:val="0"/>
        <w:spacing w:before="60" w:after="60" w:line="360" w:lineRule="auto"/>
        <w:jc w:val="both"/>
      </w:pPr>
      <m:oMathPara>
        <m:oMath>
          <m:sSub>
            <m:sSubPr>
              <m:ctrlPr>
                <w:rPr>
                  <w:rFonts w:ascii="Cambria Math" w:hAnsi="Cambria Math"/>
                  <w:i/>
                </w:rPr>
              </m:ctrlPr>
            </m:sSubPr>
            <m:e>
              <m:r>
                <w:rPr>
                  <w:rFonts w:ascii="Cambria Math" w:hAnsi="Cambria Math"/>
                </w:rPr>
                <m:t>I</m:t>
              </m:r>
            </m:e>
            <m:sub>
              <m:d>
                <m:dPr>
                  <m:begChr m:val="{"/>
                  <m:endChr m:val="}"/>
                  <m:ctrlPr>
                    <w:rPr>
                      <w:rFonts w:ascii="Cambria Math" w:hAnsi="Cambria Math"/>
                      <w:i/>
                    </w:rPr>
                  </m:ctrlPr>
                </m:dPr>
                <m:e>
                  <m:r>
                    <w:rPr>
                      <w:rFonts w:ascii="Cambria Math" w:hAnsi="Cambria Math"/>
                    </w:rPr>
                    <m:t>i,t-1</m:t>
                  </m:r>
                </m:e>
              </m:d>
            </m:sub>
          </m:sSub>
          <m:r>
            <w:rPr>
              <w:rFonts w:ascii="Cambria Math" w:hAnsi="Cambria Math"/>
            </w:rPr>
            <m:t xml:space="preserve">= </m:t>
          </m:r>
          <m:d>
            <m:dPr>
              <m:begChr m:val="{"/>
              <m:endChr m:val="}"/>
              <m:ctrlPr>
                <w:rPr>
                  <w:rFonts w:ascii="Cambria Math" w:hAnsi="Cambria Math"/>
                  <w:i/>
                </w:rPr>
              </m:ctrlPr>
            </m:dPr>
            <m:e>
              <m:r>
                <w:rPr>
                  <w:rFonts w:ascii="Cambria Math" w:hAnsi="Cambria Math"/>
                </w:rPr>
                <m:t>cases</m:t>
              </m:r>
            </m:e>
          </m:d>
          <m:r>
            <w:rPr>
              <w:rFonts w:ascii="Cambria Math" w:hAnsi="Cambria Math"/>
            </w:rPr>
            <m:t>1 &amp; \text</m:t>
          </m:r>
          <m:d>
            <m:dPr>
              <m:begChr m:val="{"/>
              <m:endChr m:val="}"/>
              <m:ctrlPr>
                <w:rPr>
                  <w:rFonts w:ascii="Cambria Math" w:hAnsi="Cambria Math"/>
                  <w:i/>
                </w:rPr>
              </m:ctrlPr>
            </m:dPr>
            <m:e>
              <m:r>
                <w:rPr>
                  <w:rFonts w:ascii="Cambria Math" w:hAnsi="Cambria Math"/>
                </w:rPr>
                <m:t xml:space="preserve">if </m:t>
              </m:r>
            </m:e>
          </m:d>
          <m:sSub>
            <m:sSubPr>
              <m:ctrlPr>
                <w:rPr>
                  <w:rFonts w:ascii="Cambria Math" w:hAnsi="Cambria Math"/>
                  <w:i/>
                </w:rPr>
              </m:ctrlPr>
            </m:sSubPr>
            <m:e>
              <m:r>
                <w:rPr>
                  <w:rFonts w:ascii="Cambria Math" w:hAnsi="Cambria Math"/>
                </w:rPr>
                <m:t>ϵ</m:t>
              </m:r>
            </m:e>
            <m:sub>
              <m:d>
                <m:dPr>
                  <m:begChr m:val="{"/>
                  <m:endChr m:val="}"/>
                  <m:ctrlPr>
                    <w:rPr>
                      <w:rFonts w:ascii="Cambria Math" w:hAnsi="Cambria Math"/>
                      <w:i/>
                    </w:rPr>
                  </m:ctrlPr>
                </m:dPr>
                <m:e>
                  <m:r>
                    <w:rPr>
                      <w:rFonts w:ascii="Cambria Math" w:hAnsi="Cambria Math"/>
                    </w:rPr>
                    <m:t>i,t-1</m:t>
                  </m:r>
                </m:e>
              </m:d>
            </m:sub>
          </m:sSub>
          <m:r>
            <w:rPr>
              <w:rFonts w:ascii="Cambria Math" w:hAnsi="Cambria Math"/>
            </w:rPr>
            <m:t>&lt; 0 \\ 0 &amp; \text</m:t>
          </m:r>
          <m:d>
            <m:dPr>
              <m:begChr m:val="{"/>
              <m:endChr m:val="}"/>
              <m:ctrlPr>
                <w:rPr>
                  <w:rFonts w:ascii="Cambria Math" w:hAnsi="Cambria Math"/>
                  <w:i/>
                </w:rPr>
              </m:ctrlPr>
            </m:dPr>
            <m:e>
              <m:r>
                <w:rPr>
                  <w:rFonts w:ascii="Cambria Math" w:hAnsi="Cambria Math"/>
                </w:rPr>
                <m:t>otherwise</m:t>
              </m:r>
            </m:e>
          </m:d>
          <m:d>
            <m:dPr>
              <m:begChr m:val="{"/>
              <m:endChr m:val="}"/>
              <m:ctrlPr>
                <w:rPr>
                  <w:rFonts w:ascii="Cambria Math" w:hAnsi="Cambria Math"/>
                  <w:i/>
                </w:rPr>
              </m:ctrlPr>
            </m:dPr>
            <m:e>
              <m:r>
                <w:rPr>
                  <w:rFonts w:ascii="Cambria Math" w:hAnsi="Cambria Math"/>
                </w:rPr>
                <m:t>cases</m:t>
              </m:r>
            </m:e>
          </m:d>
        </m:oMath>
      </m:oMathPara>
    </w:p>
    <w:p w14:paraId="1923E5D8" w14:textId="77777777" w:rsidR="00587326" w:rsidRPr="00587326" w:rsidRDefault="00587326" w:rsidP="00587326">
      <w:pPr>
        <w:bidi w:val="0"/>
        <w:spacing w:before="60" w:after="60" w:line="360" w:lineRule="auto"/>
        <w:jc w:val="both"/>
      </w:pPr>
    </w:p>
    <w:p w14:paraId="76DD203A" w14:textId="3CE30699" w:rsidR="00CC5C3E" w:rsidRPr="00587326" w:rsidRDefault="00587326" w:rsidP="00587326">
      <w:pPr>
        <w:bidi w:val="0"/>
        <w:spacing w:before="60" w:after="60" w:line="360" w:lineRule="auto"/>
        <w:jc w:val="both"/>
        <w:rPr>
          <w:rtl/>
        </w:rPr>
      </w:pPr>
      <w:r w:rsidRPr="006F1BD9">
        <w:t>the total effect of a negative shock on conditional variance equals alpha_i + gamma_i, while for positive shocks it is simply alpha_i. A statistically significant and positive gamma_i provides direct evidence of</w:t>
      </w:r>
      <w:r>
        <w:t xml:space="preserve"> the leverage effect</w:t>
      </w:r>
      <w:sdt>
        <w:sdtPr>
          <w:rPr>
            <w:color w:val="000000"/>
          </w:rPr>
          <w:tag w:val="MENDELEY_CITATION_v3_eyJjaXRhdGlvbklEIjoiTUVOREVMRVlfQ0lUQVRJT05fNjUxNjhiNDktY2MwZS00OGU5LTg3OGMtYmI3YTE2ZWYzOGQxIiwicHJvcGVydGllcyI6eyJub3RlSW5kZXgiOjB9LCJpc0VkaXRlZCI6ZmFsc2UsIm1hbnVhbE92ZXJyaWRlIjp7ImlzTWFudWFsbHlPdmVycmlkZGVuIjpmYWxzZSwiY2l0ZXByb2NUZXh0IjoiKFNhZG9yc2t5LCAyMDE0KSIsIm1hbnVhbE92ZXJyaWRlVGV4dCI6IiJ9LCJjaXRhdGlvbkl0ZW1zIjpbeyJpZCI6IjdkNmFiOTZhLTczNjUtM2UxNi04NjYwLThiZjQ0ZWI1NWZhMSIsIml0ZW1EYXRhIjp7InR5cGUiOiJhcnRpY2xlLWpvdXJuYWwiLCJpZCI6IjdkNmFiOTZhLTczNjUtM2UxNi04NjYwLThiZjQ0ZWI1NWZhMSIsInRpdGxlIjoiTW9kZWxpbmcgdm9sYXRpbGl0eSBhbmQgY29ycmVsYXRpb25zIGJldHdlZW4gZW1lcmdpbmcgbWFya2V0IHN0b2NrIHByaWNlcyBhbmQgdGhlIHByaWNlcyBvZiBjb3BwZXIsIG9pbCBhbmQgd2hlYXQiLCJhdXRob3IiOlt7ImZhbWlseSI6IlNhZG9yc2t5IiwiZ2l2ZW4iOiJQZXJyeSIsInBhcnNlLW5hbWVzIjpmYWxzZSwiZHJvcHBpbmctcGFydGljbGUiOiIiLCJub24tZHJvcHBpbmctcGFydGljbGUiOiIifV0sImNvbnRhaW5lci10aXRsZSI6IkVuZXJneSBFY29ub21pY3MiLCJjb250YWluZXItdGl0bGUtc2hvcnQiOiJFbmVyZ3kgRWNvbi4iLCJET0kiOiIxMC4xMDE2L2ouZW5lY28uMjAxNC4wMi4wMTQiLCJJU1NOIjoiMDE0MDk4ODMiLCJpc3N1ZWQiOnsiZGF0ZS1wYXJ0cyI6W1syMDE0XV19LCJwYWdlIjoiNzItODEiLCJhYnN0cmFjdCI6IkluY3JlYXNlZCBmaW5hbmNpYWwgaW50ZWdyYXRpb24gYmV0d2VlbiBjb3VudHJpZXMgYW5kIHRoZSBmaW5hbmNpYWxpemF0aW9uIG9mIGNvbW1vZGl0eSBtYXJrZXRzIGFyZSBwcm92aWRpbmcgaW52ZXN0b3JzIHdpdGggbmV3IHdheXMgdG8gZGl2ZXJzaWZ5IHRoZWlyIGludmVzdG1lbnQgcG9ydGZvbGlvcy4gVGhpcyBwYXBlciB1c2VzIFZBUk1BLUFHQVJDSCBhbmQgRENDLUFHQVJDSCBtb2RlbHMgdG8gbW9kZWwgdm9sYXRpbGl0aWVzIGFuZCBjb25kaXRpb25hbCBjb3JyZWxhdGlvbnMgYmV0d2VlbiBlbWVyZ2luZyBtYXJrZXQgc3RvY2sgcHJpY2VzLCBjb3BwZXIgcHJpY2VzLCBvaWwgcHJpY2VzIGFuZCB3aGVhdCBwcmljZXMuIFRoZSBkeW5hbWljIGNvbmRpdGlvbmFsIGNvcnJlbGF0aW9uIG1vZGVsIGlzIGZvdW5kIHRvIGZpdCB0aGUgZGF0YSB0aGUgYmVzdCBhbmQgdXNlZCB0byBnZW5lcmF0ZSBkeW5hbWljIGNvbmRpdGlvbmFsIGNvcnJlbGF0aW9ucywgaGVkZ2UgcmF0aW9zIGFuZCBvcHRpbWFsIHBvcnRmb2xpbyB3ZWlnaHRzLiBFbWVyZ2luZyBtYXJrZXQgc3RvY2sgcHJpY2VzIGFuZCBvaWwgcHJpY2VzIGRpc3BsYXkgbGV2ZXJhZ2UgZWZmZWN0cyB3aGVyZSBuZWdhdGl2ZSByZXNpZHVhbHMgdGVuZCB0byBpbmNyZWFzZSB0aGUgdmFyaWFuY2UgKGNvbmRpdGlvbmFsIHZvbGF0aWxpdHkpIG1vcmUgdGhhbiBwb3NpdGl2ZSBvbmVzLiBDb3JyZWxhdGlvbnMgYmV0d2VlbiB0aGVzZSBhc3NldHMgaW5jcmVhc2VkIGNvbnNpZGVyYWJseSBhZnRlciAyMDA4LCBhbmQgaGF2ZSB5ZXQgdG8gcmV0dXJuIHRvIHRoZWlyIHByZSAyMDA4IHZhbHVlcy4gT24gYXZlcmFnZSwgb2lsIHByb3ZpZGVzIHRoZSBjaGVhcGVzdCBoZWRnZSBmb3IgZW1lcmdpbmcgbWFya2V0IHN0b2NrIHByaWNlcyB3aGlsZSBjb3BwZXIgaXMgdGhlIG1vc3QgZXhwZW5zaXZlIGJ1dCBnaXZlbiB0aGUgdmFyaWFiaWxpdHkgaW4gdGhlIGhlZGdlIHJhdGlvcywgb25lIHNob3VsZCBwcm9iYWJseSBub3QgcHV0IHRvbyBtdWNoIGVtcGhhc2lzIG9uIGF2ZXJhZ2UgaGVkZ2UgcmF0aW9zLiDCqSAyMDE0IEVsc2V2aWVyIEIuVi4iLCJwdWJsaXNoZXIiOiJFbHNldmllciIsInZvbHVtZSI6IjQzIn0sImlzVGVtcG9yYXJ5IjpmYWxzZX1dfQ=="/>
          <w:id w:val="141318028"/>
          <w:placeholder>
            <w:docPart w:val="DefaultPlaceholder_-1854013440"/>
          </w:placeholder>
        </w:sdtPr>
        <w:sdtEndPr/>
        <w:sdtContent>
          <w:r w:rsidR="00E47856" w:rsidRPr="00E47856">
            <w:rPr>
              <w:color w:val="000000"/>
            </w:rPr>
            <w:t>(Sadorsky, 2014)</w:t>
          </w:r>
        </w:sdtContent>
      </w:sdt>
      <w:r>
        <w:t>.</w:t>
      </w:r>
    </w:p>
    <w:p w14:paraId="1C2A3999" w14:textId="77777777" w:rsidR="00CC5C3E" w:rsidRDefault="00117A87" w:rsidP="00D27BBB">
      <w:pPr>
        <w:bidi w:val="0"/>
        <w:spacing w:before="200" w:after="100"/>
        <w:jc w:val="both"/>
      </w:pPr>
      <w:r>
        <w:rPr>
          <w:b/>
          <w:bCs/>
          <w:i/>
          <w:iCs/>
        </w:rPr>
        <w:t>3.2.4 APARCH(1,1)</w:t>
      </w:r>
    </w:p>
    <w:p w14:paraId="4D1C2B39" w14:textId="4823FB7A" w:rsidR="00D42D07" w:rsidRPr="00D42D07" w:rsidRDefault="00BC3A9F" w:rsidP="00D42D07">
      <w:pPr>
        <w:bidi w:val="0"/>
        <w:spacing w:before="60" w:after="60" w:line="360" w:lineRule="auto"/>
        <w:jc w:val="both"/>
        <w:rPr>
          <w:iCs/>
        </w:rPr>
      </w:pPr>
      <m:oMathPara>
        <m:oMath>
          <m:sSubSup>
            <m:sSubSupPr>
              <m:ctrlPr>
                <w:rPr>
                  <w:rFonts w:ascii="Cambria Math" w:hAnsi="Cambria Math"/>
                  <w:i/>
                  <w:iCs/>
                </w:rPr>
              </m:ctrlPr>
            </m:sSubSupPr>
            <m:e>
              <m:r>
                <w:rPr>
                  <w:rFonts w:ascii="Cambria Math" w:hAnsi="Cambria Math"/>
                </w:rPr>
                <m:t>h</m:t>
              </m:r>
            </m:e>
            <m:sub>
              <m:r>
                <w:rPr>
                  <w:rFonts w:ascii="Cambria Math" w:hAnsi="Cambria Math"/>
                </w:rPr>
                <m:t>i,t</m:t>
              </m:r>
            </m:sub>
            <m:sup>
              <m:r>
                <w:rPr>
                  <w:rFonts w:ascii="Cambria Math" w:hAnsi="Cambria Math"/>
                </w:rPr>
                <m:t>\fracδ2</m:t>
              </m:r>
            </m:sup>
          </m:sSubSup>
          <m:r>
            <w:rPr>
              <w:rFonts w:ascii="Cambria Math" w:hAnsi="Cambria Math"/>
            </w:rPr>
            <m:t>=</m:t>
          </m:r>
          <m:sSub>
            <m:sSubPr>
              <m:ctrlPr>
                <w:rPr>
                  <w:rFonts w:ascii="Cambria Math" w:hAnsi="Cambria Math"/>
                  <w:i/>
                  <w:iCs/>
                </w:rPr>
              </m:ctrlPr>
            </m:sSubPr>
            <m:e>
              <m:r>
                <w:rPr>
                  <w:rFonts w:ascii="Cambria Math" w:hAnsi="Cambria Math"/>
                </w:rPr>
                <m:t>ω</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α</m:t>
              </m:r>
            </m:e>
            <m:sub>
              <m:r>
                <w:rPr>
                  <w:rFonts w:ascii="Cambria Math" w:hAnsi="Cambria Math"/>
                </w:rPr>
                <m:t>i</m:t>
              </m:r>
            </m:sub>
          </m:sSub>
          <m:sSup>
            <m:sSupPr>
              <m:ctrlPr>
                <w:rPr>
                  <w:rFonts w:ascii="Cambria Math" w:hAnsi="Cambria Math"/>
                  <w:i/>
                  <w:iCs/>
                </w:rPr>
              </m:ctrlPr>
            </m:sSupPr>
            <m:e>
              <m:d>
                <m:dPr>
                  <m:ctrlPr>
                    <w:rPr>
                      <w:rFonts w:ascii="Cambria Math" w:hAnsi="Cambria Math"/>
                      <w:i/>
                      <w:iCs/>
                    </w:rPr>
                  </m:ctrlPr>
                </m:dPr>
                <m:e>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ϵ</m:t>
                          </m:r>
                        </m:e>
                        <m:sub>
                          <m:r>
                            <w:rPr>
                              <w:rFonts w:ascii="Cambria Math" w:hAnsi="Cambria Math"/>
                            </w:rPr>
                            <m:t>i,t-1</m:t>
                          </m:r>
                        </m:sub>
                      </m:sSub>
                    </m:e>
                  </m:d>
                  <m:r>
                    <w:rPr>
                      <w:rFonts w:ascii="Cambria Math" w:hAnsi="Cambria Math"/>
                    </w:rPr>
                    <m:t>-</m:t>
                  </m:r>
                  <m:sSub>
                    <m:sSubPr>
                      <m:ctrlPr>
                        <w:rPr>
                          <w:rFonts w:ascii="Cambria Math" w:hAnsi="Cambria Math"/>
                          <w:i/>
                          <w:iCs/>
                        </w:rPr>
                      </m:ctrlPr>
                    </m:sSubPr>
                    <m:e>
                      <m:r>
                        <w:rPr>
                          <w:rFonts w:ascii="Cambria Math" w:hAnsi="Cambria Math"/>
                        </w:rPr>
                        <m:t>γ</m:t>
                      </m:r>
                    </m:e>
                    <m:sub>
                      <m:r>
                        <w:rPr>
                          <w:rFonts w:ascii="Cambria Math" w:hAnsi="Cambria Math"/>
                        </w:rPr>
                        <m:t>i</m:t>
                      </m:r>
                    </m:sub>
                  </m:sSub>
                  <m:sSub>
                    <m:sSubPr>
                      <m:ctrlPr>
                        <w:rPr>
                          <w:rFonts w:ascii="Cambria Math" w:hAnsi="Cambria Math"/>
                          <w:i/>
                          <w:iCs/>
                        </w:rPr>
                      </m:ctrlPr>
                    </m:sSubPr>
                    <m:e>
                      <m:r>
                        <w:rPr>
                          <w:rFonts w:ascii="Cambria Math" w:hAnsi="Cambria Math"/>
                        </w:rPr>
                        <m:t>ϵ</m:t>
                      </m:r>
                    </m:e>
                    <m:sub>
                      <m:r>
                        <w:rPr>
                          <w:rFonts w:ascii="Cambria Math" w:hAnsi="Cambria Math"/>
                        </w:rPr>
                        <m:t>i,t-1</m:t>
                      </m:r>
                    </m:sub>
                  </m:sSub>
                </m:e>
              </m:d>
            </m:e>
            <m:sup>
              <m:r>
                <w:rPr>
                  <w:rFonts w:ascii="Cambria Math" w:hAnsi="Cambria Math"/>
                </w:rPr>
                <m:t>δ</m:t>
              </m:r>
            </m:sup>
          </m:sSup>
          <m:r>
            <w:rPr>
              <w:rFonts w:ascii="Cambria Math" w:hAnsi="Cambria Math"/>
            </w:rPr>
            <m:t>+</m:t>
          </m:r>
          <m:sSub>
            <m:sSubPr>
              <m:ctrlPr>
                <w:rPr>
                  <w:rFonts w:ascii="Cambria Math" w:hAnsi="Cambria Math"/>
                  <w:i/>
                  <w:iCs/>
                </w:rPr>
              </m:ctrlPr>
            </m:sSubPr>
            <m:e>
              <m:r>
                <w:rPr>
                  <w:rFonts w:ascii="Cambria Math" w:hAnsi="Cambria Math"/>
                </w:rPr>
                <m:t>β</m:t>
              </m:r>
            </m:e>
            <m:sub>
              <m:r>
                <w:rPr>
                  <w:rFonts w:ascii="Cambria Math" w:hAnsi="Cambria Math"/>
                </w:rPr>
                <m:t>i</m:t>
              </m:r>
            </m:sub>
          </m:sSub>
          <m:sSubSup>
            <m:sSubSupPr>
              <m:ctrlPr>
                <w:rPr>
                  <w:rFonts w:ascii="Cambria Math" w:hAnsi="Cambria Math"/>
                  <w:i/>
                  <w:iCs/>
                </w:rPr>
              </m:ctrlPr>
            </m:sSubSupPr>
            <m:e>
              <m:r>
                <w:rPr>
                  <w:rFonts w:ascii="Cambria Math" w:hAnsi="Cambria Math"/>
                </w:rPr>
                <m:t>h</m:t>
              </m:r>
            </m:e>
            <m:sub>
              <m:r>
                <w:rPr>
                  <w:rFonts w:ascii="Cambria Math" w:hAnsi="Cambria Math"/>
                </w:rPr>
                <m:t>i,t-1</m:t>
              </m:r>
            </m:sub>
            <m:sup>
              <m:r>
                <w:rPr>
                  <w:rFonts w:ascii="Cambria Math" w:hAnsi="Cambria Math"/>
                </w:rPr>
                <m:t>\fracδ2</m:t>
              </m:r>
            </m:sup>
          </m:sSubSup>
        </m:oMath>
      </m:oMathPara>
    </w:p>
    <w:p w14:paraId="64AD24AF" w14:textId="77777777" w:rsidR="00D42D07" w:rsidRPr="00D42D07" w:rsidRDefault="00D42D07" w:rsidP="00D42D07">
      <w:pPr>
        <w:bidi w:val="0"/>
        <w:spacing w:before="60" w:after="60" w:line="360" w:lineRule="auto"/>
        <w:jc w:val="both"/>
        <w:rPr>
          <w:iCs/>
        </w:rPr>
      </w:pPr>
    </w:p>
    <w:p w14:paraId="13613542" w14:textId="2B007A26" w:rsidR="00CC5C3E" w:rsidRPr="00D42D07" w:rsidRDefault="00117A87" w:rsidP="00D42D07">
      <w:pPr>
        <w:bidi w:val="0"/>
        <w:spacing w:before="60" w:after="60" w:line="360" w:lineRule="auto"/>
        <w:jc w:val="both"/>
      </w:pPr>
      <w:r>
        <w:t>The power parameter delta &gt; 0 is estimated jointly with the other model parameters, allowing the data to determine the most appropriate power transformation. The asymmetry parameter -1 &lt; gamma_i &lt; 1 captures leverage effects, with gamma_i &gt; 0 implying that negative shocks increase volatility more than positive shocks</w:t>
      </w:r>
      <w:sdt>
        <w:sdtPr>
          <w:rPr>
            <w:color w:val="000000"/>
          </w:rPr>
          <w:tag w:val="MENDELEY_CITATION_v3_eyJjaXRhdGlvbklEIjoiTUVOREVMRVlfQ0lUQVRJT05fNDVmYTE2MTItMTQwNy00YzQ3LWJmY2UtN2E4Y2FmNjM5ZWQyIiwicHJvcGVydGllcyI6eyJub3RlSW5kZXgiOjB9LCJpc0VkaXRlZCI6ZmFsc2UsIm1hbnVhbE92ZXJyaWRlIjp7ImlzTWFudWFsbHlPdmVycmlkZGVuIjpmYWxzZSwiY2l0ZXByb2NUZXh0IjoiKFRhYmFzaCBldCBhbC4sIDIwMjUpIiwibWFudWFsT3ZlcnJpZGVUZXh0IjoiIn0sImNpdGF0aW9uSXRlbXMiOlt7ImlkIjoiZmM1ZmQzM2UtODQ4Mi0zYjM1LWFiYWEtMDgxMzQ1NjdhNzdkIiwiaXRlbURhdGEiOnsidHlwZSI6ImFydGljbGUtam91cm5hbCIsImlkIjoiZmM1ZmQzM2UtODQ4Mi0zYjM1LWFiYWEtMDgxMzQ1NjdhNzdkIiwidGl0bGUiOiJEeW5hbWljIFNob2NrLVRyYW5zbWlzc2lvbiBNZWNoYW5pc20gQmV0d2VlbiBVLlMuIFRyYWRlIFBvbGljeSBVbmNlcnRhaW50eSBhbmQgU2hhcmlhLUNvbXBsaWFudCBTdG9jayBNYXJrZXQgVm9sYXRpbGl0eSBvZiBHQ0MgRWNvbm9taWVzIiwiYXV0aG9yIjpbeyJmYW1pbHkiOiJUYWJhc2giLCJnaXZlbiI6Ik1vc2FiIEkuIiwicGFyc2UtbmFtZXMiOmZhbHNlLCJkcm9wcGluZy1wYXJ0aWNsZSI6IiIsIm5vbi1kcm9wcGluZy1wYXJ0aWNsZSI6IiJ9LHsiZmFtaWx5IjoiSXNzYSIsImdpdmVuIjoiU3V6YW4gU2FtZWVyIiwicGFyc2UtbmFtZXMiOmZhbHNlLCJkcm9wcGluZy1wYXJ0aWNsZSI6IiIsIm5vbi1kcm9wcGluZy1wYXJ0aWNsZSI6IiJ9LHsiZmFtaWx5IjoiTWFuc291ciIsImdpdmVuIjoiTWFyd2FuIiwicGFyc2UtbmFtZXMiOmZhbHNlLCJkcm9wcGluZy1wYXJ0aWNsZSI6IiIsIm5vbi1kcm9wcGluZy1wYXJ0aWNsZSI6IiJ9LHsiZmFtaWx5IjoiU2FsZWgiLCJnaXZlbiI6Ik1vaGFtbWVkIFcuQS4iLCJwYXJzZS1uYW1lcyI6ZmFsc2UsImRyb3BwaW5nLXBhcnRpY2xlIjoiIiwibm9uLWRyb3BwaW5nLXBhcnRpY2xlIjoiIn0seyJmYW1pbHkiOiJSYWhyb3VoIiwiZ2l2ZW4iOiJNYWhhIiwicGFyc2UtbmFtZXMiOmZhbHNlLCJkcm9wcGluZy1wYXJ0aWNsZSI6IiIsIm5vbi1kcm9wcGluZy1wYXJ0aWNsZSI6IiJ9LHsiZmFtaWx5IjoiQWxRZWlzaSIsImdpdmVuIjoiS2hvbG91ZCIsInBhcnNlLW5hbWVzIjpmYWxzZSwiZHJvcHBpbmctcGFydGljbGUiOiIiLCJub24tZHJvcHBpbmctcGFydGljbGUiOiIifSx7ImZhbWlseSI6IkFsLUFic3kiLCJnaXZlbiI6Ik11amVlYiBTYWlmIE1vaHNlbiIsInBhcnNlLW5hbWVzIjpmYWxzZSwiZHJvcHBpbmctcGFydGljbGUiOiIiLCJub24tZHJvcHBpbmctcGFydGljbGUiOiIifV0sImNvbnRhaW5lci10aXRsZSI6IlJpc2tzIiwiRE9JIjoiMTAuMzM5MC9yaXNrczEzMDMwMDU2IiwiSVNTTiI6IjIyMjc5MDkxIiwiaXNzdWVkIjp7ImRhdGUtcGFydHMiOltbMjAyNSwzLDFdXX0sImFic3RyYWN0IjoiVGhpcyBzdHVkeSBlbmRlYXZvcnMgdG8gZXhwbG9yZSB0aGUgc2hvY2stdHJhbnNtaXNzaW9uIG1lY2hhbmlzbSBiZXR3ZWVuIFRyYWRlIFBvbGljeSBVbmNlcnRhaW50eSAoVFBVKSBhbmQgdGhlIHZvbGF0aWxpdHkgaW5oZXJlbnQgaW4gdGhlIEd1bGYgQ29vcGVyYXRpb24gQ291bmNpbCAoR0NDKSBJc2xhbWljIHN0b2NrIG1hcmtldHMgYnkgZW1wbG95aW5nIHRoZSBub3ZlbCBRdWFudGlsZSBWZWN0b3IgQXV0byBSZWdyZXNzaW9uIChRVkFSKSB3aXRoIOKAnEV4dGVuZGVkIEpvaW504oCdIGFuZCDigJxGcmVxdWVuY3nigJ0gZG9tYWluIGNvbm5lY3RlZG5lc3MgdGVjaG5pcXVlLiBPdmVyYWxsIGZpbmRpbmdzIGluZGljYXRlZCBhIFUtc2hhcGVkIHBhdHRlcm4gaW4gdGhlIHNob2NrLXRyYW5zbWlzc2lvbiBtZWNoYW5pc20gd2l0aCB0aGUgaGlnaGVyIFRQVSBzaG9ja3MgdHJhbnNtaXR0ZWQgdG93YXJkcyBJc2xhbWljIHN0b2NrIG1hcmtldCB2b2xhdGlsaXR5IGF0IHRoZSBleHRyZW1lIHF1YW50aWxlcyBhbmQgaW4gdGhlIGxvbmcgdGVybS4gVGhlIOKAnEV4dGVuZGVkIEpvaW504oCdIFFWQVIgY29ubmVjdGVkbmVzcyBhcHByb2FjaCBoaWdobGlnaHRzIHRoYXQsIGluIGJlYXJpc2ggYW5kIG1vZGVyYXRlLXZvbGF0aWxpdHkgY29uZGl0aW9ucyAoz4QgPSAwLjA1LCAwLjUwKSwgZGl2ZXJzaWZ5aW5nIHBvcnRmb2xpb3MgYWNyb3NzIGxlc3Mgc2hvY2stcHJvbmUgZXF1aXR5IG1hcmtldHMgbGlrZSBRYXRhciBhbmQgVUFFIGNhbiBtaXRpZ2F0ZSByaXNrIGV4cG9zdXJlIHRvIFRQVSBzaG9ja3MuIFNwZWNpZmljIGVjb25vbWllcyByZWNlaXZpbmcgaGlnaGVyIFRQVSBzaG9ja3MsIGxpa2UgQmFocmFpbiwgS3V3YWl0LCBhbmQgU2F1ZGkgQXJhYmlhLCBzaG91bGQgaW1wbGVtZW50IHN0cmF0ZWdpYyBmcmFtZXdvcmtzLCBpbmNsdWRpbmcgdHJhZGUgY3JlZGl0IGluc3VyYW5jZSBhbmQgY3VycmVuY3kgaGVkZ2luZywgZm9yIHJpc2sgcmVkdWN0aW9uIGluIHRyYWRlIHBvbGljeSBzaG9ja3MgZHVyaW5nIHRoZSBiZWFyaXNoIGFuZCBtb2RlcmF0ZS12b2xhdGlsaXR5IGNvbmRpdGlvbnMuIENvbnZlcnNlbHksIFFhdGFyIGFuZCBLdXdhaXQgc2hvdyB0aGUgbGVhc3QgdHJhbnNtaXNzaW9uIG9mIGVycm9yIHZhcmlhbmNlIGZyb20gVFBVIGR1cmluZyBoaWdoZXItdm9sYXRpbGl0eSBjb25kaXRpb25zICjPhCA9IDAuOTUpLiBNb3Jlb3ZlciwgdGhlIGFwcGxpY2F0aW9uIG9mIHRoZSBGcmVxdWVuY3ktZG9tYWluIFFWQVIgdGVjaG5pcXVlIHVuZGVyc2NvcmVzIHRoZSBuZWVkIGZvciBzaG9ydC10ZXJtIHNwZWN1bGF0b3JzIHRvIGV4ZXJjaXNlIGluY3JlYXNlZCB2aWdpbGFuY2UgZHVyaW5nIGJlYXJpc2ggYW5kIGJ1bGxpc2ggdm9sYXRpbGUgcGVyaW9kcywgYXMgVFBVIHNob2NrcyBjYW4gZXhlcnQgYSBtb3JlIHN1YnN0YW50aWFsIGluZmx1ZW5jZSBvbiB0aGUgSXNsYW1pYyBlcXVpdHkgbWFya2V0IHZvbGF0aWxpdHkgb2YgQmFocmFpbiwgT21hbiwgS3V3YWl0LCBhbmQgU2F1ZGkgQXJhYmlhLiBMb25nLXRlcm0gaW52ZXN0b3JzIG1heSBuZWVkIHRvIHRhaWxvciB0aGVpciBhc3NldC1hbGxvY2F0aW9uIHN0cmF0ZWdpZXMgYnkgaW5jcmVhc2luZyBhbGxvY2F0aW9ucyB0byBtb3JlIHN0YWJsZSBhc3NldHMgdGhhdCBhcmUgbGVzcyBzdXNjZXB0aWJsZSB0byBUUFUgc2hvY2tzLCBzdWNoIGFzIFFhdGFyLCBkdXJpbmcgYmVhcmlzaCAoz4QgPSAwLjA1KSwgbW9kZXJhdGUgKM+EID0gMC41MCksIGFuZCBidWxsaXNoICjPhCA9IDAuOTUpIHZvbGF0aWxpdHkuIiwicHVibGlzaGVyIjoiTXVsdGlkaXNjaXBsaW5hcnkgRGlnaXRhbCBQdWJsaXNoaW5nIEluc3RpdHV0ZSAoTURQSSkiLCJpc3N1ZSI6IjMiLCJ2b2x1bWUiOiIxMyIsImNvbnRhaW5lci10aXRsZS1zaG9ydCI6IiJ9LCJpc1RlbXBvcmFyeSI6ZmFsc2V9XX0="/>
          <w:id w:val="-228542230"/>
          <w:placeholder>
            <w:docPart w:val="DefaultPlaceholder_-1854013440"/>
          </w:placeholder>
        </w:sdtPr>
        <w:sdtEndPr/>
        <w:sdtContent>
          <w:r w:rsidR="00E47856" w:rsidRPr="00E47856">
            <w:rPr>
              <w:color w:val="000000"/>
            </w:rPr>
            <w:t>(Tabash et al., 2025)</w:t>
          </w:r>
        </w:sdtContent>
      </w:sdt>
      <w:r>
        <w:t>.</w:t>
      </w:r>
    </w:p>
    <w:p w14:paraId="1344EBC9" w14:textId="77777777" w:rsidR="00CC5C3E" w:rsidRDefault="00117A87" w:rsidP="00D27BBB">
      <w:pPr>
        <w:bidi w:val="0"/>
        <w:spacing w:before="200" w:after="100"/>
        <w:jc w:val="both"/>
      </w:pPr>
      <w:r>
        <w:rPr>
          <w:b/>
          <w:bCs/>
          <w:i/>
          <w:iCs/>
        </w:rPr>
        <w:t>3.2.5 Markov-Switching GARCH(1,1)</w:t>
      </w:r>
    </w:p>
    <w:p w14:paraId="56164A72" w14:textId="77777777" w:rsidR="00CC5C3E" w:rsidRDefault="00117A87" w:rsidP="00D27BBB">
      <w:pPr>
        <w:bidi w:val="0"/>
        <w:spacing w:before="60" w:after="60" w:line="360" w:lineRule="auto"/>
        <w:ind w:firstLine="720"/>
        <w:jc w:val="both"/>
      </w:pPr>
      <w:r>
        <w:t>Following Haas, Mittnik, and Paolella (2004), we estimate a two-regime MS-GARCH model:</w:t>
      </w:r>
    </w:p>
    <w:p w14:paraId="059048C8" w14:textId="7FD39BE3" w:rsidR="00D42D07" w:rsidRPr="003E75F4" w:rsidRDefault="00BC3A9F" w:rsidP="00D27BBB">
      <w:pPr>
        <w:bidi w:val="0"/>
        <w:spacing w:before="60" w:after="60" w:line="360" w:lineRule="auto"/>
        <w:ind w:firstLine="720"/>
        <w:jc w:val="both"/>
        <w:rPr>
          <w:iCs/>
        </w:rPr>
      </w:pPr>
      <m:oMathPara>
        <m:oMath>
          <m:sSub>
            <m:sSubPr>
              <m:ctrlPr>
                <w:rPr>
                  <w:rFonts w:ascii="Cambria Math" w:eastAsia="Cambria Math" w:hAnsi="Cambria Math" w:cs="Cambria Math"/>
                  <w:i/>
                  <w:iCs/>
                </w:rPr>
              </m:ctrlPr>
            </m:sSubPr>
            <m:e>
              <m:r>
                <w:rPr>
                  <w:rFonts w:ascii="Cambria Math" w:eastAsia="Cambria Math" w:hAnsi="Cambria Math" w:cs="Cambria Math"/>
                </w:rPr>
                <m:t>h</m:t>
              </m:r>
            </m:e>
            <m:sub>
              <m:r>
                <w:rPr>
                  <w:rFonts w:ascii="Cambria Math" w:eastAsia="Cambria Math" w:hAnsi="Cambria Math" w:cs="Cambria Math"/>
                </w:rPr>
                <m:t>i,t</m:t>
              </m:r>
            </m:sub>
          </m:sSub>
          <m:d>
            <m:dPr>
              <m:ctrlPr>
                <w:rPr>
                  <w:rFonts w:ascii="Cambria Math" w:eastAsia="Cambria Math" w:hAnsi="Cambria Math" w:cs="Cambria Math"/>
                  <w:i/>
                  <w:iCs/>
                </w:rPr>
              </m:ctrlPr>
            </m:dPr>
            <m:e>
              <m:r>
                <w:rPr>
                  <w:rFonts w:ascii="Cambria Math" w:eastAsia="Cambria Math" w:hAnsi="Cambria Math" w:cs="Cambria Math"/>
                </w:rPr>
                <m:t>k</m:t>
              </m:r>
            </m:e>
          </m:d>
          <m:r>
            <w:rPr>
              <w:rFonts w:ascii="Cambria Math" w:eastAsia="Cambria Math" w:hAnsi="Cambria Math" w:cs="Cambria Math"/>
            </w:rPr>
            <m:t>=</m:t>
          </m:r>
          <m:sSub>
            <m:sSubPr>
              <m:ctrlPr>
                <w:rPr>
                  <w:rFonts w:ascii="Cambria Math" w:eastAsia="Cambria Math" w:hAnsi="Cambria Math" w:cs="Cambria Math"/>
                  <w:i/>
                  <w:iCs/>
                </w:rPr>
              </m:ctrlPr>
            </m:sSubPr>
            <m:e>
              <m:r>
                <w:rPr>
                  <w:rFonts w:ascii="Cambria Math" w:eastAsia="Cambria Math" w:hAnsi="Cambria Math" w:cs="Cambria Math"/>
                </w:rPr>
                <m:t>ω</m:t>
              </m:r>
            </m:e>
            <m:sub>
              <m:r>
                <w:rPr>
                  <w:rFonts w:ascii="Cambria Math" w:eastAsia="Cambria Math" w:hAnsi="Cambria Math" w:cs="Cambria Math"/>
                </w:rPr>
                <m:t>i,k</m:t>
              </m:r>
            </m:sub>
          </m:sSub>
          <m:r>
            <w:rPr>
              <w:rFonts w:ascii="Cambria Math" w:eastAsia="Cambria Math" w:hAnsi="Cambria Math" w:cs="Cambria Math"/>
            </w:rPr>
            <m:t>+</m:t>
          </m:r>
          <m:sSub>
            <m:sSubPr>
              <m:ctrlPr>
                <w:rPr>
                  <w:rFonts w:ascii="Cambria Math" w:eastAsia="Cambria Math" w:hAnsi="Cambria Math" w:cs="Cambria Math"/>
                  <w:i/>
                  <w:iCs/>
                </w:rPr>
              </m:ctrlPr>
            </m:sSubPr>
            <m:e>
              <m:r>
                <w:rPr>
                  <w:rFonts w:ascii="Cambria Math" w:eastAsia="Cambria Math" w:hAnsi="Cambria Math" w:cs="Cambria Math"/>
                </w:rPr>
                <m:t>α</m:t>
              </m:r>
            </m:e>
            <m:sub>
              <m:r>
                <w:rPr>
                  <w:rFonts w:ascii="Cambria Math" w:eastAsia="Cambria Math" w:hAnsi="Cambria Math" w:cs="Cambria Math"/>
                </w:rPr>
                <m:t>i,k</m:t>
              </m:r>
            </m:sub>
          </m:sSub>
          <m:sSubSup>
            <m:sSubSupPr>
              <m:ctrlPr>
                <w:rPr>
                  <w:rFonts w:ascii="Cambria Math" w:eastAsia="Cambria Math" w:hAnsi="Cambria Math" w:cs="Cambria Math"/>
                  <w:i/>
                  <w:iCs/>
                </w:rPr>
              </m:ctrlPr>
            </m:sSubSupPr>
            <m:e>
              <m:r>
                <w:rPr>
                  <w:rFonts w:ascii="Cambria Math" w:eastAsia="Cambria Math" w:hAnsi="Cambria Math" w:cs="Cambria Math"/>
                </w:rPr>
                <m:t>ϵ</m:t>
              </m:r>
            </m:e>
            <m:sub>
              <m:r>
                <w:rPr>
                  <w:rFonts w:ascii="Cambria Math" w:eastAsia="Cambria Math" w:hAnsi="Cambria Math" w:cs="Cambria Math"/>
                </w:rPr>
                <m:t>i,t-1</m:t>
              </m:r>
            </m:sub>
            <m:sup>
              <m:r>
                <w:rPr>
                  <w:rFonts w:ascii="Cambria Math" w:eastAsia="Cambria Math" w:hAnsi="Cambria Math" w:cs="Cambria Math"/>
                </w:rPr>
                <m:t>2</m:t>
              </m:r>
            </m:sup>
          </m:sSubSup>
          <m:r>
            <w:rPr>
              <w:rFonts w:ascii="Cambria Math" w:eastAsia="Cambria Math" w:hAnsi="Cambria Math" w:cs="Cambria Math"/>
            </w:rPr>
            <m:t>+</m:t>
          </m:r>
          <m:sSub>
            <m:sSubPr>
              <m:ctrlPr>
                <w:rPr>
                  <w:rFonts w:ascii="Cambria Math" w:eastAsia="Cambria Math" w:hAnsi="Cambria Math" w:cs="Cambria Math"/>
                  <w:i/>
                  <w:iCs/>
                </w:rPr>
              </m:ctrlPr>
            </m:sSubPr>
            <m:e>
              <m:r>
                <w:rPr>
                  <w:rFonts w:ascii="Cambria Math" w:eastAsia="Cambria Math" w:hAnsi="Cambria Math" w:cs="Cambria Math"/>
                </w:rPr>
                <m:t>β</m:t>
              </m:r>
            </m:e>
            <m:sub>
              <m:r>
                <w:rPr>
                  <w:rFonts w:ascii="Cambria Math" w:eastAsia="Cambria Math" w:hAnsi="Cambria Math" w:cs="Cambria Math"/>
                </w:rPr>
                <m:t>i,k</m:t>
              </m:r>
            </m:sub>
          </m:sSub>
          <m:sSub>
            <m:sSubPr>
              <m:ctrlPr>
                <w:rPr>
                  <w:rFonts w:ascii="Cambria Math" w:eastAsia="Cambria Math" w:hAnsi="Cambria Math" w:cs="Cambria Math"/>
                  <w:i/>
                  <w:iCs/>
                </w:rPr>
              </m:ctrlPr>
            </m:sSubPr>
            <m:e>
              <m:r>
                <w:rPr>
                  <w:rFonts w:ascii="Cambria Math" w:eastAsia="Cambria Math" w:hAnsi="Cambria Math" w:cs="Cambria Math"/>
                </w:rPr>
                <m:t>h</m:t>
              </m:r>
            </m:e>
            <m:sub>
              <m:r>
                <w:rPr>
                  <w:rFonts w:ascii="Cambria Math" w:eastAsia="Cambria Math" w:hAnsi="Cambria Math" w:cs="Cambria Math"/>
                </w:rPr>
                <m:t>i,t-1</m:t>
              </m:r>
            </m:sub>
          </m:sSub>
          <m:d>
            <m:dPr>
              <m:ctrlPr>
                <w:rPr>
                  <w:rFonts w:ascii="Cambria Math" w:eastAsia="Cambria Math" w:hAnsi="Cambria Math" w:cs="Cambria Math"/>
                  <w:i/>
                  <w:iCs/>
                </w:rPr>
              </m:ctrlPr>
            </m:dPr>
            <m:e>
              <m:r>
                <w:rPr>
                  <w:rFonts w:ascii="Cambria Math" w:eastAsia="Cambria Math" w:hAnsi="Cambria Math" w:cs="Cambria Math"/>
                </w:rPr>
                <m:t>k</m:t>
              </m:r>
            </m:e>
          </m:d>
          <m:r>
            <w:rPr>
              <w:rFonts w:ascii="Cambria Math" w:eastAsia="Cambria Math" w:hAnsi="Cambria Math" w:cs="Cambria Math"/>
            </w:rPr>
            <m:t>,\quadk=1,2</m:t>
          </m:r>
        </m:oMath>
      </m:oMathPara>
    </w:p>
    <w:p w14:paraId="2EAB56D9" w14:textId="77777777" w:rsidR="003E75F4" w:rsidRPr="003E75F4" w:rsidRDefault="003E75F4" w:rsidP="003E75F4">
      <w:pPr>
        <w:bidi w:val="0"/>
        <w:spacing w:before="60" w:after="60" w:line="360" w:lineRule="auto"/>
        <w:ind w:firstLine="720"/>
        <w:jc w:val="both"/>
        <w:rPr>
          <w:iCs/>
        </w:rPr>
      </w:pPr>
    </w:p>
    <w:p w14:paraId="793DF9EA" w14:textId="77777777" w:rsidR="00D42D07" w:rsidRDefault="00D42D07" w:rsidP="00D42D07">
      <w:pPr>
        <w:bidi w:val="0"/>
        <w:spacing w:before="60" w:after="60" w:line="360" w:lineRule="auto"/>
        <w:ind w:firstLine="720"/>
        <w:jc w:val="both"/>
      </w:pPr>
    </w:p>
    <w:p w14:paraId="35ECC2E5" w14:textId="77777777" w:rsidR="003E75F4" w:rsidRDefault="00117A87" w:rsidP="003E75F4">
      <w:pPr>
        <w:bidi w:val="0"/>
        <w:spacing w:before="60" w:after="60" w:line="360" w:lineRule="auto"/>
        <w:ind w:firstLine="720"/>
      </w:pPr>
      <w:r>
        <w:t xml:space="preserve">The regime-switching is governed by a first-order ergodic Markov chain with transition matrix </w:t>
      </w:r>
      <w:r w:rsidR="003E75F4">
        <w:t xml:space="preserve"> </w:t>
      </w:r>
    </w:p>
    <w:p w14:paraId="72259C5A" w14:textId="4C93176E" w:rsidR="003E75F4" w:rsidRPr="003E75F4" w:rsidRDefault="003E75F4" w:rsidP="003E75F4">
      <w:pPr>
        <w:bidi w:val="0"/>
        <w:spacing w:before="60" w:after="60" w:line="360" w:lineRule="auto"/>
        <w:ind w:firstLine="720"/>
      </w:pPr>
      <m:oMathPara>
        <m:oMath>
          <m:r>
            <w:rPr>
              <w:rFonts w:ascii="Cambria Math" w:hAnsi="Cambria Math"/>
            </w:rPr>
            <m:t xml:space="preserve">P = </m:t>
          </m:r>
          <m:r>
            <w:rPr>
              <w:rFonts w:ascii="Cambria Math" w:hAnsi="Cambria Math"/>
            </w:rPr>
            <m:t>〖</m:t>
          </m:r>
          <m:r>
            <w:rPr>
              <w:rFonts w:ascii="Cambria Math" w:hAnsi="Cambria Math"/>
            </w:rPr>
            <m:t xml:space="preserve">{bmatrix} p_{11} &amp; 1-p_{11} \\ 1-p_{22} &amp; p_{22} </m:t>
          </m:r>
          <m:r>
            <w:rPr>
              <w:rFonts w:ascii="Cambria Math" w:hAnsi="Cambria Math"/>
            </w:rPr>
            <m:t>〗</m:t>
          </m:r>
          <m:r>
            <w:rPr>
              <w:rFonts w:ascii="Cambria Math" w:hAnsi="Cambria Math"/>
            </w:rPr>
            <m:t>{bmatrix}</m:t>
          </m:r>
        </m:oMath>
      </m:oMathPara>
    </w:p>
    <w:p w14:paraId="569291B6" w14:textId="77777777" w:rsidR="003E75F4" w:rsidRPr="003E75F4" w:rsidRDefault="003E75F4" w:rsidP="003E75F4">
      <w:pPr>
        <w:bidi w:val="0"/>
        <w:spacing w:before="60" w:after="60" w:line="360" w:lineRule="auto"/>
        <w:ind w:firstLine="720"/>
      </w:pPr>
    </w:p>
    <w:p w14:paraId="682F3F98" w14:textId="77777777" w:rsidR="003E75F4" w:rsidRDefault="00117A87" w:rsidP="003E75F4">
      <w:pPr>
        <w:bidi w:val="0"/>
        <w:spacing w:before="60" w:after="60" w:line="360" w:lineRule="auto"/>
        <w:ind w:firstLine="720"/>
      </w:pPr>
      <w:r>
        <w:t xml:space="preserve">. The unconditional probabilities of being in each regime are </w:t>
      </w:r>
    </w:p>
    <w:p w14:paraId="2A24EA2E" w14:textId="6681F8A6" w:rsidR="00CC5C3E" w:rsidRPr="003E75F4" w:rsidRDefault="00BC3A9F" w:rsidP="003E75F4">
      <w:pPr>
        <w:bidi w:val="0"/>
        <w:spacing w:before="60" w:after="60" w:line="360" w:lineRule="auto"/>
        <w:ind w:firstLine="720"/>
      </w:pPr>
      <m:oMathPara>
        <m:oMath>
          <m:sSub>
            <m:sSubPr>
              <m:ctrlPr>
                <w:rPr>
                  <w:rFonts w:ascii="Cambria Math" w:hAnsi="Cambria Math"/>
                  <w:i/>
                </w:rPr>
              </m:ctrlPr>
            </m:sSubPr>
            <m:e>
              <m:r>
                <w:rPr>
                  <w:rFonts w:ascii="Cambria Math" w:hAnsi="Cambria Math"/>
                </w:rPr>
                <m:t>π</m:t>
              </m:r>
            </m:e>
            <m:sub>
              <m:r>
                <w:rPr>
                  <w:rFonts w:ascii="Cambria Math" w:hAnsi="Cambria Math"/>
                </w:rPr>
                <m:t>1</m:t>
              </m:r>
            </m:sub>
          </m:sSub>
          <m:r>
            <w:rPr>
              <w:rFonts w:ascii="Cambria Math" w:hAnsi="Cambria Math"/>
            </w:rPr>
            <m:t>=\frac1-</m:t>
          </m:r>
          <m:sSub>
            <m:sSubPr>
              <m:ctrlPr>
                <w:rPr>
                  <w:rFonts w:ascii="Cambria Math" w:hAnsi="Cambria Math"/>
                  <w:i/>
                </w:rPr>
              </m:ctrlPr>
            </m:sSubPr>
            <m:e>
              <m:r>
                <w:rPr>
                  <w:rFonts w:ascii="Cambria Math" w:hAnsi="Cambria Math"/>
                </w:rPr>
                <m:t>p</m:t>
              </m:r>
            </m:e>
            <m:sub>
              <m:r>
                <w:rPr>
                  <w:rFonts w:ascii="Cambria Math" w:hAnsi="Cambria Math"/>
                </w:rPr>
                <m:t>22</m:t>
              </m:r>
            </m:sub>
          </m:sSub>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22</m:t>
              </m:r>
            </m:sub>
          </m:sSub>
        </m:oMath>
      </m:oMathPara>
    </w:p>
    <w:p w14:paraId="1B161960" w14:textId="77777777" w:rsidR="003E75F4" w:rsidRPr="003E75F4" w:rsidRDefault="003E75F4" w:rsidP="003E75F4">
      <w:pPr>
        <w:bidi w:val="0"/>
        <w:spacing w:before="60" w:after="60" w:line="360" w:lineRule="auto"/>
        <w:ind w:firstLine="720"/>
      </w:pPr>
    </w:p>
    <w:p w14:paraId="6538BE9A" w14:textId="77777777" w:rsidR="00CC5C3E" w:rsidRDefault="00117A87" w:rsidP="00D27BBB">
      <w:pPr>
        <w:pStyle w:val="2"/>
        <w:jc w:val="both"/>
      </w:pPr>
      <w:r>
        <w:t>3.3 Distributional Assumptions</w:t>
      </w:r>
    </w:p>
    <w:p w14:paraId="4CF4F642" w14:textId="1D241739" w:rsidR="00CC5C3E" w:rsidRDefault="00117A87" w:rsidP="00D27BBB">
      <w:pPr>
        <w:bidi w:val="0"/>
        <w:spacing w:before="60" w:after="60" w:line="360" w:lineRule="auto"/>
        <w:ind w:firstLine="720"/>
        <w:jc w:val="both"/>
      </w:pPr>
      <w:r>
        <w:t>For each GARCH specification, we estimate three variants corresponding to different distributional assumptions for the standardized innovation z_{i,t}:</w:t>
      </w:r>
    </w:p>
    <w:p w14:paraId="6C98136C" w14:textId="77777777" w:rsidR="00CC5C3E" w:rsidRDefault="00117A87" w:rsidP="00D27BBB">
      <w:pPr>
        <w:bidi w:val="0"/>
        <w:spacing w:before="60" w:after="60" w:line="360" w:lineRule="auto"/>
        <w:ind w:firstLine="720"/>
        <w:jc w:val="both"/>
      </w:pPr>
      <w:r>
        <w:t>(i) Normal Distribution: z_{i,t} ~ N(0,1)</w:t>
      </w:r>
    </w:p>
    <w:p w14:paraId="212E0116" w14:textId="77777777" w:rsidR="00CC5C3E" w:rsidRDefault="00117A87" w:rsidP="00D27BBB">
      <w:pPr>
        <w:bidi w:val="0"/>
        <w:spacing w:before="60" w:after="60" w:line="360" w:lineRule="auto"/>
        <w:ind w:firstLine="720"/>
        <w:jc w:val="both"/>
      </w:pPr>
      <w:r>
        <w:lastRenderedPageBreak/>
        <w:t>(ii) Student-t Distribution: z_{i,t} ~ t(v), where v &gt; 2 denotes the degrees-of-freedom parameter governing tail thickness. As v -&gt; infinity, the Student-t converges to the normal distribution.</w:t>
      </w:r>
    </w:p>
    <w:p w14:paraId="7CEC5D5D" w14:textId="407A864A" w:rsidR="00CC5C3E" w:rsidRDefault="00117A87" w:rsidP="00D27BBB">
      <w:pPr>
        <w:bidi w:val="0"/>
        <w:spacing w:before="60" w:after="60" w:line="360" w:lineRule="auto"/>
        <w:ind w:firstLine="720"/>
        <w:jc w:val="both"/>
      </w:pPr>
      <w:r>
        <w:t xml:space="preserve">(iii) Generalized Error Distribution (GED): </w:t>
      </w:r>
    </w:p>
    <w:p w14:paraId="305E8EFB" w14:textId="77777777" w:rsidR="005B4A4B" w:rsidRDefault="005B4A4B" w:rsidP="005B4A4B">
      <w:pPr>
        <w:bidi w:val="0"/>
        <w:spacing w:before="60" w:after="60" w:line="360" w:lineRule="auto"/>
        <w:ind w:firstLine="720"/>
        <w:jc w:val="both"/>
      </w:pPr>
    </w:p>
    <w:p w14:paraId="61B6095A" w14:textId="390925F0" w:rsidR="005B4A4B" w:rsidRPr="005B4A4B" w:rsidRDefault="005B4A4B" w:rsidP="005B4A4B">
      <w:pPr>
        <w:bidi w:val="0"/>
        <w:spacing w:before="60" w:after="60" w:line="360" w:lineRule="auto"/>
        <w:ind w:firstLine="720"/>
        <w:jc w:val="both"/>
        <w:rPr>
          <w:lang w:bidi="ar-YE"/>
        </w:rPr>
      </w:pPr>
      <m:oMathPara>
        <m:oMath>
          <m:r>
            <w:rPr>
              <w:rFonts w:ascii="Cambria Math" w:hAnsi="Cambria Math"/>
              <w:lang w:bidi="ar-YE"/>
            </w:rPr>
            <m:t>f</m:t>
          </m:r>
          <m:d>
            <m:dPr>
              <m:ctrlPr>
                <w:rPr>
                  <w:rFonts w:ascii="Cambria Math" w:hAnsi="Cambria Math"/>
                  <w:i/>
                  <w:lang w:bidi="ar-YE"/>
                </w:rPr>
              </m:ctrlPr>
            </m:dPr>
            <m:e>
              <m:r>
                <w:rPr>
                  <w:rFonts w:ascii="Cambria Math" w:hAnsi="Cambria Math"/>
                  <w:lang w:bidi="ar-YE"/>
                </w:rPr>
                <m:t>z;v</m:t>
              </m:r>
            </m:e>
          </m:d>
          <m:r>
            <w:rPr>
              <w:rFonts w:ascii="Cambria Math" w:hAnsi="Cambria Math"/>
              <w:lang w:bidi="ar-YE"/>
            </w:rPr>
            <m:t>=\fracv\exp</m:t>
          </m:r>
          <m:d>
            <m:dPr>
              <m:ctrlPr>
                <w:rPr>
                  <w:rFonts w:ascii="Cambria Math" w:hAnsi="Cambria Math"/>
                  <w:i/>
                  <w:lang w:bidi="ar-YE"/>
                </w:rPr>
              </m:ctrlPr>
            </m:dPr>
            <m:e>
              <m:r>
                <w:rPr>
                  <w:rFonts w:ascii="Cambria Math" w:hAnsi="Cambria Math"/>
                  <w:lang w:bidi="ar-YE"/>
                </w:rPr>
                <m:t>-0.5</m:t>
              </m:r>
              <m:sSup>
                <m:sSupPr>
                  <m:ctrlPr>
                    <w:rPr>
                      <w:rFonts w:ascii="Cambria Math" w:hAnsi="Cambria Math"/>
                      <w:i/>
                      <w:lang w:bidi="ar-YE"/>
                    </w:rPr>
                  </m:ctrlPr>
                </m:sSupPr>
                <m:e>
                  <m:d>
                    <m:dPr>
                      <m:begChr m:val="|"/>
                      <m:endChr m:val="|"/>
                      <m:ctrlPr>
                        <w:rPr>
                          <w:rFonts w:ascii="Cambria Math" w:hAnsi="Cambria Math"/>
                          <w:i/>
                          <w:lang w:bidi="ar-YE"/>
                        </w:rPr>
                      </m:ctrlPr>
                    </m:dPr>
                    <m:e>
                      <m:r>
                        <w:rPr>
                          <w:rFonts w:ascii="Cambria Math" w:hAnsi="Cambria Math"/>
                          <w:lang w:bidi="ar-YE"/>
                        </w:rPr>
                        <m:t>z</m:t>
                      </m:r>
                      <m:r>
                        <m:rPr>
                          <m:lit/>
                        </m:rPr>
                        <w:rPr>
                          <w:rFonts w:ascii="Cambria Math" w:hAnsi="Cambria Math"/>
                          <w:lang w:bidi="ar-YE"/>
                        </w:rPr>
                        <m:t>/</m:t>
                      </m:r>
                      <m:r>
                        <w:rPr>
                          <w:rFonts w:ascii="Cambria Math" w:hAnsi="Cambria Math"/>
                          <w:lang w:bidi="ar-YE"/>
                        </w:rPr>
                        <m:t>λ</m:t>
                      </m:r>
                    </m:e>
                  </m:d>
                </m:e>
                <m:sup>
                  <m:r>
                    <w:rPr>
                      <w:rFonts w:ascii="Cambria Math" w:hAnsi="Cambria Math"/>
                      <w:lang w:bidi="ar-YE"/>
                    </w:rPr>
                    <m:t>v</m:t>
                  </m:r>
                </m:sup>
              </m:sSup>
            </m:e>
          </m:d>
          <m:r>
            <w:rPr>
              <w:rFonts w:ascii="Cambria Math" w:hAnsi="Cambria Math"/>
              <w:lang w:bidi="ar-YE"/>
            </w:rPr>
            <m:t>λ\cdot</m:t>
          </m:r>
          <m:sSup>
            <m:sSupPr>
              <m:ctrlPr>
                <w:rPr>
                  <w:rFonts w:ascii="Cambria Math" w:hAnsi="Cambria Math"/>
                  <w:i/>
                  <w:lang w:bidi="ar-YE"/>
                </w:rPr>
              </m:ctrlPr>
            </m:sSupPr>
            <m:e>
              <m:r>
                <w:rPr>
                  <w:rFonts w:ascii="Cambria Math" w:hAnsi="Cambria Math"/>
                  <w:lang w:bidi="ar-YE"/>
                </w:rPr>
                <m:t>2</m:t>
              </m:r>
            </m:e>
            <m:sup>
              <m:r>
                <w:rPr>
                  <w:rFonts w:ascii="Cambria Math" w:hAnsi="Cambria Math"/>
                  <w:lang w:bidi="ar-YE"/>
                </w:rPr>
                <m:t>1+1</m:t>
              </m:r>
              <m:r>
                <m:rPr>
                  <m:lit/>
                </m:rPr>
                <w:rPr>
                  <w:rFonts w:ascii="Cambria Math" w:hAnsi="Cambria Math"/>
                  <w:lang w:bidi="ar-YE"/>
                </w:rPr>
                <m:t>/</m:t>
              </m:r>
              <m:r>
                <w:rPr>
                  <w:rFonts w:ascii="Cambria Math" w:hAnsi="Cambria Math"/>
                  <w:lang w:bidi="ar-YE"/>
                </w:rPr>
                <m:t>v</m:t>
              </m:r>
            </m:sup>
          </m:sSup>
          <m:r>
            <m:rPr>
              <m:sty m:val="p"/>
            </m:rPr>
            <w:rPr>
              <w:rFonts w:ascii="Cambria Math" w:hAnsi="Cambria Math"/>
              <w:lang w:bidi="ar-YE"/>
            </w:rPr>
            <m:t>Γ</m:t>
          </m:r>
          <m:d>
            <m:dPr>
              <m:ctrlPr>
                <w:rPr>
                  <w:rFonts w:ascii="Cambria Math" w:hAnsi="Cambria Math"/>
                  <w:i/>
                  <w:lang w:bidi="ar-YE"/>
                </w:rPr>
              </m:ctrlPr>
            </m:dPr>
            <m:e>
              <m:r>
                <w:rPr>
                  <w:rFonts w:ascii="Cambria Math" w:hAnsi="Cambria Math"/>
                  <w:lang w:bidi="ar-YE"/>
                </w:rPr>
                <m:t>1</m:t>
              </m:r>
              <m:r>
                <m:rPr>
                  <m:lit/>
                </m:rPr>
                <w:rPr>
                  <w:rFonts w:ascii="Cambria Math" w:hAnsi="Cambria Math"/>
                  <w:lang w:bidi="ar-YE"/>
                </w:rPr>
                <m:t>/</m:t>
              </m:r>
              <m:r>
                <w:rPr>
                  <w:rFonts w:ascii="Cambria Math" w:hAnsi="Cambria Math"/>
                  <w:lang w:bidi="ar-YE"/>
                </w:rPr>
                <m:t>v</m:t>
              </m:r>
            </m:e>
          </m:d>
          <m:r>
            <w:rPr>
              <w:rFonts w:ascii="Cambria Math" w:hAnsi="Cambria Math"/>
              <w:lang w:bidi="ar-YE"/>
            </w:rPr>
            <m:t>,\quad\textwhere\quadλ=\left</m:t>
          </m:r>
          <m:sSup>
            <m:sSupPr>
              <m:ctrlPr>
                <w:rPr>
                  <w:rFonts w:ascii="Cambria Math" w:hAnsi="Cambria Math"/>
                  <w:i/>
                  <w:lang w:bidi="ar-YE"/>
                </w:rPr>
              </m:ctrlPr>
            </m:sSupPr>
            <m:e>
              <m:d>
                <m:dPr>
                  <m:begChr m:val="["/>
                  <m:endChr m:val="]"/>
                  <m:ctrlPr>
                    <w:rPr>
                      <w:rFonts w:ascii="Cambria Math" w:hAnsi="Cambria Math"/>
                      <w:i/>
                      <w:lang w:bidi="ar-YE"/>
                    </w:rPr>
                  </m:ctrlPr>
                </m:dPr>
                <m:e>
                  <m:sSup>
                    <m:sSupPr>
                      <m:ctrlPr>
                        <w:rPr>
                          <w:rFonts w:ascii="Cambria Math" w:hAnsi="Cambria Math"/>
                          <w:i/>
                          <w:lang w:bidi="ar-YE"/>
                        </w:rPr>
                      </m:ctrlPr>
                    </m:sSupPr>
                    <m:e>
                      <m:r>
                        <w:rPr>
                          <w:rFonts w:ascii="Cambria Math" w:hAnsi="Cambria Math"/>
                          <w:lang w:bidi="ar-YE"/>
                        </w:rPr>
                        <m:t>2</m:t>
                      </m:r>
                    </m:e>
                    <m:sup>
                      <m:r>
                        <w:rPr>
                          <w:rFonts w:ascii="Cambria Math" w:hAnsi="Cambria Math"/>
                          <w:lang w:bidi="ar-YE"/>
                        </w:rPr>
                        <m:t>-2</m:t>
                      </m:r>
                      <m:r>
                        <m:rPr>
                          <m:lit/>
                        </m:rPr>
                        <w:rPr>
                          <w:rFonts w:ascii="Cambria Math" w:hAnsi="Cambria Math"/>
                          <w:lang w:bidi="ar-YE"/>
                        </w:rPr>
                        <m:t>/</m:t>
                      </m:r>
                      <m:r>
                        <w:rPr>
                          <w:rFonts w:ascii="Cambria Math" w:hAnsi="Cambria Math"/>
                          <w:lang w:bidi="ar-YE"/>
                        </w:rPr>
                        <m:t>v</m:t>
                      </m:r>
                    </m:sup>
                  </m:sSup>
                  <m:r>
                    <m:rPr>
                      <m:sty m:val="p"/>
                    </m:rPr>
                    <w:rPr>
                      <w:rFonts w:ascii="Cambria Math" w:hAnsi="Cambria Math"/>
                      <w:lang w:bidi="ar-YE"/>
                    </w:rPr>
                    <m:t>Γ</m:t>
                  </m:r>
                  <m:d>
                    <m:dPr>
                      <m:ctrlPr>
                        <w:rPr>
                          <w:rFonts w:ascii="Cambria Math" w:hAnsi="Cambria Math"/>
                          <w:i/>
                          <w:lang w:bidi="ar-YE"/>
                        </w:rPr>
                      </m:ctrlPr>
                    </m:dPr>
                    <m:e>
                      <m:r>
                        <w:rPr>
                          <w:rFonts w:ascii="Cambria Math" w:hAnsi="Cambria Math"/>
                          <w:lang w:bidi="ar-YE"/>
                        </w:rPr>
                        <m:t>1</m:t>
                      </m:r>
                      <m:r>
                        <m:rPr>
                          <m:lit/>
                        </m:rPr>
                        <w:rPr>
                          <w:rFonts w:ascii="Cambria Math" w:hAnsi="Cambria Math"/>
                          <w:lang w:bidi="ar-YE"/>
                        </w:rPr>
                        <m:t>/</m:t>
                      </m:r>
                      <m:r>
                        <w:rPr>
                          <w:rFonts w:ascii="Cambria Math" w:hAnsi="Cambria Math"/>
                          <w:lang w:bidi="ar-YE"/>
                        </w:rPr>
                        <m:t>v</m:t>
                      </m:r>
                    </m:e>
                  </m:d>
                  <m:r>
                    <m:rPr>
                      <m:lit/>
                    </m:rPr>
                    <w:rPr>
                      <w:rFonts w:ascii="Cambria Math" w:hAnsi="Cambria Math"/>
                      <w:lang w:bidi="ar-YE"/>
                    </w:rPr>
                    <m:t>/</m:t>
                  </m:r>
                  <m:r>
                    <m:rPr>
                      <m:sty m:val="p"/>
                    </m:rPr>
                    <w:rPr>
                      <w:rFonts w:ascii="Cambria Math" w:hAnsi="Cambria Math"/>
                      <w:lang w:bidi="ar-YE"/>
                    </w:rPr>
                    <m:t>Γ</m:t>
                  </m:r>
                  <m:d>
                    <m:dPr>
                      <m:ctrlPr>
                        <w:rPr>
                          <w:rFonts w:ascii="Cambria Math" w:hAnsi="Cambria Math"/>
                          <w:i/>
                          <w:lang w:bidi="ar-YE"/>
                        </w:rPr>
                      </m:ctrlPr>
                    </m:dPr>
                    <m:e>
                      <m:r>
                        <w:rPr>
                          <w:rFonts w:ascii="Cambria Math" w:hAnsi="Cambria Math"/>
                          <w:lang w:bidi="ar-YE"/>
                        </w:rPr>
                        <m:t>3</m:t>
                      </m:r>
                      <m:r>
                        <m:rPr>
                          <m:lit/>
                        </m:rPr>
                        <w:rPr>
                          <w:rFonts w:ascii="Cambria Math" w:hAnsi="Cambria Math"/>
                          <w:lang w:bidi="ar-YE"/>
                        </w:rPr>
                        <m:t>/</m:t>
                      </m:r>
                      <m:r>
                        <w:rPr>
                          <w:rFonts w:ascii="Cambria Math" w:hAnsi="Cambria Math"/>
                          <w:lang w:bidi="ar-YE"/>
                        </w:rPr>
                        <m:t>v</m:t>
                      </m:r>
                    </m:e>
                  </m:d>
                </m:e>
              </m:d>
            </m:e>
            <m:sup>
              <m:r>
                <w:rPr>
                  <w:rFonts w:ascii="Cambria Math" w:hAnsi="Cambria Math"/>
                  <w:lang w:bidi="ar-YE"/>
                </w:rPr>
                <m:t>1</m:t>
              </m:r>
              <m:r>
                <m:rPr>
                  <m:lit/>
                </m:rPr>
                <w:rPr>
                  <w:rFonts w:ascii="Cambria Math" w:hAnsi="Cambria Math"/>
                  <w:lang w:bidi="ar-YE"/>
                </w:rPr>
                <m:t>/</m:t>
              </m:r>
              <m:r>
                <w:rPr>
                  <w:rFonts w:ascii="Cambria Math" w:hAnsi="Cambria Math"/>
                  <w:lang w:bidi="ar-YE"/>
                </w:rPr>
                <m:t>2</m:t>
              </m:r>
            </m:sup>
          </m:sSup>
        </m:oMath>
      </m:oMathPara>
    </w:p>
    <w:p w14:paraId="356BD071" w14:textId="77777777" w:rsidR="005B4A4B" w:rsidRDefault="005B4A4B" w:rsidP="005B4A4B">
      <w:pPr>
        <w:bidi w:val="0"/>
        <w:spacing w:before="60" w:after="60" w:line="360" w:lineRule="auto"/>
        <w:ind w:firstLine="720"/>
        <w:jc w:val="both"/>
      </w:pPr>
    </w:p>
    <w:p w14:paraId="12C6B7B7" w14:textId="77777777" w:rsidR="00CC5C3E" w:rsidRDefault="00117A87">
      <w:pPr>
        <w:pStyle w:val="2"/>
      </w:pPr>
      <w:r>
        <w:t>3.4 Maximum Likelihood Estimation</w:t>
      </w:r>
    </w:p>
    <w:p w14:paraId="6C82B5EE" w14:textId="77777777" w:rsidR="00CC5C3E" w:rsidRDefault="00117A87" w:rsidP="003E75F4">
      <w:pPr>
        <w:bidi w:val="0"/>
        <w:spacing w:before="60" w:after="60" w:line="360" w:lineRule="auto"/>
        <w:ind w:firstLine="720"/>
        <w:jc w:val="both"/>
        <w:rPr>
          <w:rtl/>
        </w:rPr>
      </w:pPr>
      <w:r>
        <w:t xml:space="preserve">All models are estimated by Maximum Likelihood (ML) under the respective distributional </w:t>
      </w:r>
      <w:r w:rsidRPr="006F1BD9">
        <w:t>assumptions. For the normal distribution, the log-likelihood function is:</w:t>
      </w:r>
    </w:p>
    <w:p w14:paraId="093F5A3C" w14:textId="6C6AA813" w:rsidR="008833D3" w:rsidRPr="008833D3" w:rsidRDefault="008833D3" w:rsidP="008833D3">
      <w:pPr>
        <w:bidi w:val="0"/>
        <w:spacing w:before="60" w:after="60" w:line="360" w:lineRule="auto"/>
        <w:ind w:firstLine="720"/>
        <w:jc w:val="both"/>
        <w:rPr>
          <w:rFonts w:ascii="Cambria Math" w:hAnsi="Cambria Math"/>
          <w:oMath/>
        </w:rPr>
      </w:pPr>
      <m:oMathPara>
        <m:oMath>
          <m:r>
            <w:rPr>
              <w:rFonts w:ascii="Cambria Math" w:hAnsi="Cambria Math"/>
            </w:rPr>
            <m:t>\begin{equation}</m:t>
          </m:r>
        </m:oMath>
      </m:oMathPara>
    </w:p>
    <w:p w14:paraId="5E755FF9" w14:textId="33CB7D4B" w:rsidR="008833D3" w:rsidRPr="008833D3" w:rsidRDefault="008833D3" w:rsidP="008833D3">
      <w:pPr>
        <w:bidi w:val="0"/>
        <w:spacing w:before="60" w:after="60" w:line="360" w:lineRule="auto"/>
        <w:ind w:firstLine="720"/>
        <w:jc w:val="both"/>
        <w:rPr>
          <w:rFonts w:ascii="Cambria Math" w:hAnsi="Cambria Math"/>
          <w:oMath/>
        </w:rPr>
      </w:pPr>
      <m:oMathPara>
        <m:oMath>
          <m:r>
            <w:rPr>
              <w:rFonts w:ascii="Cambria Math" w:hAnsi="Cambria Math"/>
            </w:rPr>
            <m:t xml:space="preserve">    L(\theta) = -\frac{T}{2} \ln(2\pi) - \frac{1}{2} \sum_{t=1}^{T} \left[ \ln(h_t) + \frac{\epsilon_t^2}{</m:t>
          </m:r>
          <m:r>
            <w:rPr>
              <w:rFonts w:ascii="Cambria Math" w:hAnsi="Cambria Math"/>
            </w:rPr>
            <m:t>h_t} \right]</m:t>
          </m:r>
        </m:oMath>
      </m:oMathPara>
    </w:p>
    <w:p w14:paraId="7E3D700C" w14:textId="34F6EEF2" w:rsidR="003E75F4" w:rsidRPr="008833D3" w:rsidRDefault="008833D3" w:rsidP="008833D3">
      <w:pPr>
        <w:bidi w:val="0"/>
        <w:spacing w:before="60" w:after="60" w:line="360" w:lineRule="auto"/>
        <w:ind w:firstLine="720"/>
        <w:jc w:val="both"/>
        <w:rPr>
          <w:iCs/>
        </w:rPr>
      </w:pPr>
      <m:oMathPara>
        <m:oMath>
          <m:r>
            <w:rPr>
              <w:rFonts w:ascii="Cambria Math" w:hAnsi="Cambria Math"/>
            </w:rPr>
            <m:t>〗</m:t>
          </m:r>
          <m:r>
            <w:rPr>
              <w:rFonts w:ascii="Cambria Math" w:hAnsi="Cambria Math"/>
            </w:rPr>
            <m:t>{equation}</m:t>
          </m:r>
        </m:oMath>
      </m:oMathPara>
    </w:p>
    <w:p w14:paraId="189E30E4" w14:textId="4D5F94A4" w:rsidR="008833D3" w:rsidRDefault="008833D3" w:rsidP="008833D3">
      <w:pPr>
        <w:bidi w:val="0"/>
        <w:spacing w:before="60" w:after="60" w:line="360" w:lineRule="auto"/>
        <w:jc w:val="both"/>
        <w:rPr>
          <w:iCs/>
        </w:rPr>
      </w:pPr>
    </w:p>
    <w:p w14:paraId="6D970106" w14:textId="71264CFD" w:rsidR="00CC5C3E" w:rsidRDefault="00117A87" w:rsidP="003E75F4">
      <w:pPr>
        <w:bidi w:val="0"/>
        <w:spacing w:before="60" w:after="60" w:line="360" w:lineRule="auto"/>
        <w:ind w:firstLine="720"/>
        <w:jc w:val="both"/>
      </w:pPr>
      <w:r>
        <w:t>For the Student-t distribution with v degrees of freedom:</w:t>
      </w:r>
    </w:p>
    <w:p w14:paraId="12CD9051" w14:textId="77777777" w:rsidR="005B4A4B" w:rsidRDefault="005B4A4B" w:rsidP="003E75F4">
      <w:pPr>
        <w:bidi w:val="0"/>
        <w:spacing w:before="60" w:after="60" w:line="360" w:lineRule="auto"/>
        <w:ind w:firstLine="720"/>
        <w:jc w:val="both"/>
      </w:pPr>
    </w:p>
    <w:p w14:paraId="1C5B5ED0" w14:textId="76386235" w:rsidR="005B4A4B" w:rsidRPr="005B4A4B" w:rsidRDefault="005B4A4B" w:rsidP="005B4A4B">
      <w:pPr>
        <w:bidi w:val="0"/>
        <w:spacing w:before="60" w:after="60" w:line="360" w:lineRule="auto"/>
        <w:ind w:firstLine="720"/>
        <w:jc w:val="both"/>
        <w:rPr>
          <w:rtl/>
          <w:lang w:bidi="ar-YE"/>
        </w:rPr>
      </w:pPr>
      <m:oMathPara>
        <m:oMath>
          <m:r>
            <w:rPr>
              <w:rFonts w:ascii="Cambria Math" w:hAnsi="Cambria Math"/>
              <w:lang w:bidi="ar-YE"/>
            </w:rPr>
            <m:t>L(θ, v) = T ├[ \ln</m:t>
          </m:r>
          <m:r>
            <m:rPr>
              <m:sty m:val="p"/>
            </m:rPr>
            <w:rPr>
              <w:rFonts w:ascii="Cambria Math" w:hAnsi="Cambria Math"/>
              <w:lang w:bidi="ar-YE"/>
            </w:rPr>
            <m:t>Γ</m:t>
          </m:r>
          <m:r>
            <w:rPr>
              <w:rFonts w:ascii="Cambria Math" w:hAnsi="Cambria Math"/>
              <w:lang w:bidi="ar-YE"/>
            </w:rPr>
            <m:t>\left(\frac{v+1}{2}┤) - \ln</m:t>
          </m:r>
          <m:r>
            <m:rPr>
              <m:sty m:val="p"/>
            </m:rPr>
            <w:rPr>
              <w:rFonts w:ascii="Cambria Math" w:hAnsi="Cambria Math"/>
              <w:lang w:bidi="ar-YE"/>
            </w:rPr>
            <m:t>Γ</m:t>
          </m:r>
          <m:r>
            <w:rPr>
              <w:rFonts w:ascii="Cambria Math" w:hAnsi="Cambria Math"/>
              <w:lang w:bidi="ar-YE"/>
            </w:rPr>
            <m:t>\left(\frac{v}{2}┤) - 0.5\ln(π(v-2)) ┤] - 0.5 ∑_{t=1}^{T} ├[ \ln(h_t) + (v+1)\ln├(1 + \frac{ϵ_t^2}{(v-2)</m:t>
          </m:r>
          <m:r>
            <w:rPr>
              <w:rFonts w:ascii="Cambria Math" w:hAnsi="Cambria Math"/>
              <w:lang w:bidi="ar-YE"/>
            </w:rPr>
            <m:t>h_t}┤) ┤]</m:t>
          </m:r>
        </m:oMath>
      </m:oMathPara>
    </w:p>
    <w:p w14:paraId="59A8065E" w14:textId="77777777" w:rsidR="005B4A4B" w:rsidRDefault="005B4A4B" w:rsidP="005B4A4B">
      <w:pPr>
        <w:bidi w:val="0"/>
        <w:spacing w:before="60" w:after="60" w:line="360" w:lineRule="auto"/>
        <w:ind w:firstLine="720"/>
        <w:jc w:val="both"/>
      </w:pPr>
    </w:p>
    <w:p w14:paraId="432BF448" w14:textId="525AF29E" w:rsidR="00CC5C3E" w:rsidRDefault="00117A87" w:rsidP="005B4A4B">
      <w:pPr>
        <w:bidi w:val="0"/>
        <w:spacing w:before="60" w:after="60" w:line="360" w:lineRule="auto"/>
        <w:ind w:firstLine="720"/>
        <w:jc w:val="both"/>
      </w:pPr>
      <w:r>
        <w:t>Parameter vectors theta are estimated by numerical optimization using the BFGS algorithm with robust (quasi-maximum likelihood) standard errors of Bollerslev and Wooldridge (1992), which remain valid under distributional misspecification</w:t>
      </w:r>
      <w:sdt>
        <w:sdtPr>
          <w:rPr>
            <w:color w:val="000000"/>
          </w:rPr>
          <w:tag w:val="MENDELEY_CITATION_v3_eyJjaXRhdGlvbklEIjoiTUVOREVMRVlfQ0lUQVRJT05fZDRmMjkzZGQtY2MyOC00YTA2LTk2ZTgtY2E5MDc3NzI2NDY0IiwicHJvcGVydGllcyI6eyJub3RlSW5kZXgiOjB9LCJpc0VkaXRlZCI6ZmFsc2UsIm1hbnVhbE92ZXJyaWRlIjp7ImlzTWFudWFsbHlPdmVycmlkZGVuIjpmYWxzZSwiY2l0ZXByb2NUZXh0IjoiKEJheWFuIEFsYmFob290aCwgMjAyNSkiLCJtYW51YWxPdmVycmlkZVRleHQiOiIifSwiY2l0YXRpb25JdGVtcyI6W3siaWQiOiJiMDBmNWY3Mi05NmQ4LTM5ZjEtYjc3OS1lODhkODRlM2QwMGYiLCJpdGVtRGF0YSI6eyJ0eXBlIjoiYXJ0aWNsZS1qb3VybmFsIiwiaWQiOiJiMDBmNWY3Mi05NmQ4LTM5ZjEtYjc3OS1lODhkODRlM2QwMGYiLCJ0aXRsZSI6IlF1YW50aXRhdGl2ZSBBbmFseXNpcyBvZiBTdG9jayBNYXJrZXQgVm9sYXRpbGl0eSBpbiBHQ0MgRWNvbm9taWVzXyBBIEZvcm1hbCBTdGF0aXN0aWNhbC1BcHByb2FjaCIsImF1dGhvciI6W3siZmFtaWx5IjoiQmF5YW4gQWxiYWhvb3RoIiwiZ2l2ZW4iOiIiLCJwYXJzZS1uYW1lcyI6ZmFsc2UsImRyb3BwaW5nLXBhcnRpY2xlIjoiIiwibm9uLWRyb3BwaW5nLXBhcnRpY2xlIjoiIn1dLCJjb250YWluZXItdGl0bGUiOiJUaWtyaXQgSm91cm5hbCBvZiBBZG1pbmlzdHJhdGl2ZSBhbmQgRWNvbm9taWMgU2NpZW5jZXMiLCJpc3N1ZWQiOnsiZGF0ZS1wYXJ0cyI6W1syMDI1XV19LCJpc3N1ZSI6IjEiLCJ2b2x1bWUiOiIxOCIsImNvbnRhaW5lci10aXRsZS1zaG9ydCI6IiJ9LCJpc1RlbXBvcmFyeSI6ZmFsc2V9XX0="/>
          <w:id w:val="-1387561271"/>
          <w:placeholder>
            <w:docPart w:val="DefaultPlaceholder_-1854013440"/>
          </w:placeholder>
        </w:sdtPr>
        <w:sdtEndPr/>
        <w:sdtContent>
          <w:r w:rsidR="00E47856" w:rsidRPr="00E47856">
            <w:rPr>
              <w:color w:val="000000"/>
            </w:rPr>
            <w:t>(Bayan Albahooth, 2025)</w:t>
          </w:r>
        </w:sdtContent>
      </w:sdt>
      <w:r>
        <w:t>.</w:t>
      </w:r>
    </w:p>
    <w:p w14:paraId="0847564F" w14:textId="77777777" w:rsidR="00CC5C3E" w:rsidRDefault="00117A87">
      <w:pPr>
        <w:pStyle w:val="2"/>
      </w:pPr>
      <w:r>
        <w:t>3.5 Model Selection Criteria</w:t>
      </w:r>
    </w:p>
    <w:p w14:paraId="33C6DA9C" w14:textId="77777777" w:rsidR="00CC5C3E" w:rsidRDefault="00117A87" w:rsidP="005B4A4B">
      <w:pPr>
        <w:bidi w:val="0"/>
        <w:spacing w:before="60" w:after="60" w:line="360" w:lineRule="auto"/>
        <w:ind w:firstLine="720"/>
        <w:jc w:val="both"/>
        <w:rPr>
          <w:rtl/>
        </w:rPr>
      </w:pPr>
      <w:r>
        <w:t>In-sample model selection employs the Akaike Information Criterion (AIC = -2L + 2k) and the Bayesian Information Criterion (BIC = -2L + k*ln(T)), where L is the maximized log-likelihood and k is the number of parameters. Smaller values of AIC and BIC indicate superior model fit adjusted for parsimony.</w:t>
      </w:r>
    </w:p>
    <w:p w14:paraId="6EBD5834" w14:textId="77777777" w:rsidR="00CC5C3E" w:rsidRDefault="00117A87">
      <w:pPr>
        <w:pStyle w:val="2"/>
      </w:pPr>
      <w:r>
        <w:t>3.6 Model Confidence Set for Forecast Evaluation</w:t>
      </w:r>
    </w:p>
    <w:p w14:paraId="70EDB24E" w14:textId="39C88C06" w:rsidR="00CC5C3E" w:rsidRDefault="00117A87" w:rsidP="005B4A4B">
      <w:pPr>
        <w:bidi w:val="0"/>
        <w:spacing w:before="60" w:after="60" w:line="360" w:lineRule="auto"/>
        <w:ind w:firstLine="720"/>
        <w:jc w:val="both"/>
        <w:rPr>
          <w:rtl/>
        </w:rPr>
      </w:pPr>
      <w:r>
        <w:t xml:space="preserve">Out-of-sample forecast evaluation employs the Model Confidence Set (MCS) procedure of Hansen, Lunde, and Nason (2011). The MCS identifies the set of models that are statistically </w:t>
      </w:r>
      <w:r>
        <w:lastRenderedPageBreak/>
        <w:t>indistinguishable from the best model at a given confidence level (1-alpha). The procedure is based on the loss differential d_{ij,t} = L_{i,t} - L_{j,t} between competing models i and j, where L_{i,t} is the loss incurred by model i at time t. We adopt the Squared Error (SE) and Quasi-Likelihood (QLIKE) loss functions, with the unobserved true variance proxied by realized volatility computed from 5-minute intraday returns where available, and by the squared daily return otherwise. The MCS procedure iteratively eliminates the worst-performing model until no model can be statistically rejected from the superior set at the 5% significance level</w:t>
      </w:r>
      <w:sdt>
        <w:sdtPr>
          <w:rPr>
            <w:color w:val="000000"/>
          </w:rPr>
          <w:tag w:val="MENDELEY_CITATION_v3_eyJjaXRhdGlvbklEIjoiTUVOREVMRVlfQ0lUQVRJT05fOWM2ZGQyYzktYzEzOS00NWVmLWFhNTMtNTg3NmZjZTliODBmIiwicHJvcGVydGllcyI6eyJub3RlSW5kZXgiOjB9LCJpc0VkaXRlZCI6ZmFsc2UsIm1hbnVhbE92ZXJyaWRlIjp7ImlzTWFudWFsbHlPdmVycmlkZGVuIjpmYWxzZSwiY2l0ZXByb2NUZXh0IjoiKEhhbnNlbiAmIzM4OyBMdW5kZSwgMjAwNTsgVGF1Y2hlbiBldCBhbC4sIDE5OTUpIiwibWFudWFsT3ZlcnJpZGVUZXh0IjoiIn0sImNpdGF0aW9uSXRlbXMiOlt7ImlkIjoiYmQ1NzVlNDQtNGY3Mi0zM2JiLTk5MGUtM2Q2YzgxNDNhMTkwIiwiaXRlbURhdGEiOnsidHlwZSI6ImFydGljbGUtam91cm5hbCIsImlkIjoiYmQ1NzVlNDQtNGY3Mi0zM2JiLTk5MGUtM2Q2YzgxNDNhMTkwIiwidGl0bGUiOiJBIGZvcmVjYXN0IGNvbXBhcmlzb24gb2Ygdm9sYXRpbGl0eSBtb2RlbHM6IERvZXMgYW55dGhpbmcgYmVhdCBhIEdBUkNIKDEsMSk/IiwiYXV0aG9yIjpbeyJmYW1pbHkiOiJIYW5zZW4iLCJnaXZlbiI6IlBldGVyIFIuIiwicGFyc2UtbmFtZXMiOmZhbHNlLCJkcm9wcGluZy1wYXJ0aWNsZSI6IiIsIm5vbi1kcm9wcGluZy1wYXJ0aWNsZSI6IiJ9LHsiZmFtaWx5IjoiTHVuZGUiLCJnaXZlbiI6IkFzZ2VyIiwicGFyc2UtbmFtZXMiOmZhbHNlLCJkcm9wcGluZy1wYXJ0aWNsZSI6IiIsIm5vbi1kcm9wcGluZy1wYXJ0aWNsZSI6IiJ9XSwiY29udGFpbmVyLXRpdGxlIjoiSm91cm5hbCBvZiBBcHBsaWVkIEVjb25vbWV0cmljcyIsIkRPSSI6IjEwLjEwMDIvamFlLjgwMCIsIklTU04iOiIwODgzNzI1MiIsImlzc3VlZCI6eyJkYXRlLXBhcnRzIjpbWzIwMDUsMTJdXX0sInBhZ2UiOiI4NzMtODg5IiwiYWJzdHJhY3QiOiJXZSBjb21wYXJlIDMzMCBBUkNILXR5cGUgbW9kZWxzIGluIHRlcm1zIG9mIHRoZWlyIGFiaWxpdHkgdG8gZGVzY3JpYmUgdGhlIGNvbmRpdGlvbmFsIHZhcmlhbmNlLiBUaGUgbW9kZWxzIGFyZSBjb21wYXJlZCBvdXQtb2Ytc2FtcGxlIHVzaW5nIERNLSQgZXhjaGFuZ2UgcmF0ZSBkYXRhIGFuZCBJQk0gcmV0dXJuIGRhdGEsIHdoZXJlIHRoZSBsYXR0ZXIgaXMgYmFzZWQgb24gYSBuZXcgZGF0YSBzZXQgb2YgcmVhbGl6ZWQgdmFyaWFuY2UuIFdlIGZpbmQgbm8gZXZpZGVuY2UgdGhhdCBhIEdBUkNIKDEsMSkgaXMgb3V0cGVyZm9ybWVkIGJ5IG1vcmUgc29waGlzdGljYXRlZCBtb2RlbHMgaW4gb3VyIGFuYWx5c2lzIG9mIGV4Y2hhbmdlIHJhdGVzLCB3aGVyZWFzIHRoZSBHQVJDSCgxLDEpIGlzIGNsZWFybHkgaW5mZXJpb3IgdG8gbW9kZWxzIHRoYXQgY2FuIGFjY29tbW9kYXRlIGEgbGV2ZXJhZ2UgZWZmZWN0IGluIG91ciBhbmFseXNpcyBvZiBJQk0gcmV0dXJucy4gVGhlIG1vZGVscyBhcmUgY29tcGFyZWQgd2l0aCB0aGUgdGVzdCBmb3Igc3VwZXJpb3IgcHJlZGljdGl2ZSBhYmlsaXR5IChTUEEpIGFuZCB0aGUgcmVhbGl0eSBjaGVjayBmb3IgZGF0YSBzbm9vcGluZyAoUkMpLiBPdXIgZW1waXJpY2FsIHJlc3VsdHMgc2hvdyB0aGF0IHRoZSBSQyBsYWNrcyBwb3dlciB0byBhbiBleHRlbnQgdGhhdCBtYWtlcyBpdCB1bmFibGUgdG8gZGlzdGluZ3Vpc2ggJ2dvb2QnIGFuZCAnYmFkJyBtb2RlbHMgaW4gb3VyIGFuYWx5c2lzLiBDb3B5cmlnaHQgwqkgMjAwNSBKb2huIFdpbGV5ICYgU29ucywgTHRkLiIsImlzc3VlIjoiNyIsInZvbHVtZSI6IjIwIiwiY29udGFpbmVyLXRpdGxlLXNob3J0IjoiIn0sImlzVGVtcG9yYXJ5IjpmYWxzZX0seyJpZCI6ImI2ZWJkMDUyLWRkM2YtM2Q3MC04ZWE2LTBjM2YyZmI4YmU1ZiIsIml0ZW1EYXRhIjp7InR5cGUiOiJhcnRpY2xlLWpvdXJuYWwiLCJpZCI6ImI2ZWJkMDUyLWRkM2YtM2Q3MC04ZWE2LTBjM2YyZmI4YmU1ZiIsInRpdGxlIjoiRGFuaWVsIEIuIE5lbHNvbiwgMTk1OeKAkzE5OTUiLCJhdXRob3IiOlt7ImZhbWlseSI6IlRhdWNoZW4iLCJnaXZlbiI6Ikdlb3JnZSIsInBhcnNlLW5hbWVzIjpmYWxzZSwiZHJvcHBpbmctcGFydGljbGUiOiIiLCJub24tZHJvcHBpbmctcGFydGljbGUiOiIifSx7ImZhbWlseSI6IlRzYXkiLCJnaXZlbiI6IlJ1ZXkiLCJwYXJzZS1uYW1lcyI6ZmFsc2UsImRyb3BwaW5nLXBhcnRpY2xlIjoiIiwibm9uLWRyb3BwaW5nLXBhcnRpY2xlIjoiIn0seyJmYW1pbHkiOiJXYXRzb24iLCJnaXZlbiI6Ik1hcmsiLCJwYXJzZS1uYW1lcyI6ZmFsc2UsImRyb3BwaW5nLXBhcnRpY2xlIjoiIiwibm9uLWRyb3BwaW5nLXBhcnRpY2xlIjoiIn1dLCJjb250YWluZXItdGl0bGUiOiJKb3VybmFsIG9mIEJ1c2luZXNzICYgRWNvbm9taWMgU3RhdGlzdGljcyIsIkRPSSI6IjEwLjEwODAvMDczNTAwMTUuMTk5NS4xMDUyNDYxMCIsIklTU04iOiIwNzM1LTAwMTUiLCJpc3N1ZWQiOnsiZGF0ZS1wYXJ0cyI6W1sxOTk1LDEwXV19LCJwYWdlIjoiMzYxLTM2MSIsInB1Ymxpc2hlciI6IkluZm9ybWEgVUsgTGltaXRlZCIsImlzc3VlIjoiNCIsInZvbHVtZSI6IjEzIiwiY29udGFpbmVyLXRpdGxlLXNob3J0IjoiIn0sImlzVGVtcG9yYXJ5IjpmYWxzZX1dfQ=="/>
          <w:id w:val="-566800977"/>
          <w:placeholder>
            <w:docPart w:val="DefaultPlaceholder_-1854013440"/>
          </w:placeholder>
        </w:sdtPr>
        <w:sdtEndPr/>
        <w:sdtContent>
          <w:r w:rsidR="00E47856" w:rsidRPr="00E47856">
            <w:rPr>
              <w:color w:val="000000"/>
            </w:rPr>
            <w:t>(Hansen &amp; Lunde, 2005; Tauchen et al., 1995)</w:t>
          </w:r>
        </w:sdtContent>
      </w:sdt>
      <w:r>
        <w:t>.</w:t>
      </w:r>
    </w:p>
    <w:p w14:paraId="69DE5E6F" w14:textId="77777777" w:rsidR="00CC5C3E" w:rsidRDefault="00CC5C3E" w:rsidP="005B4A4B">
      <w:pPr>
        <w:bidi w:val="0"/>
        <w:spacing w:before="60" w:after="60"/>
      </w:pPr>
    </w:p>
    <w:p w14:paraId="12D9AB28" w14:textId="77777777" w:rsidR="00CC5C3E" w:rsidRDefault="00117A87" w:rsidP="005B4A4B">
      <w:pPr>
        <w:pStyle w:val="1"/>
      </w:pPr>
      <w:r>
        <w:t>4. Data and Preliminary Analysis</w:t>
      </w:r>
    </w:p>
    <w:p w14:paraId="4387E769" w14:textId="77777777" w:rsidR="00CC5C3E" w:rsidRDefault="00117A87">
      <w:pPr>
        <w:pStyle w:val="2"/>
      </w:pPr>
      <w:r>
        <w:t>4.1 Data Description</w:t>
      </w:r>
    </w:p>
    <w:p w14:paraId="4FC584BB" w14:textId="77777777" w:rsidR="00CC5C3E" w:rsidRDefault="00117A87" w:rsidP="005B4A4B">
      <w:pPr>
        <w:bidi w:val="0"/>
        <w:spacing w:before="60" w:after="60" w:line="360" w:lineRule="auto"/>
        <w:ind w:firstLine="720"/>
        <w:jc w:val="both"/>
        <w:rPr>
          <w:rtl/>
        </w:rPr>
      </w:pPr>
      <w:r>
        <w:t>Our dataset consists of daily closing price indices for six GCC equity markets: the Saudi Stock Exchange (Tadawul All Share Index, TASI), the Abu Dhabi Securities Exchange (ADX General Index), the Dubai Financial Market (DFM General Index), the Kuwait Stock Exchange (All Share Index), the Qatar Stock Exchange (QE Index), the Bahrain Bourse (All Share Index), and the Muscat Stock Exchange (MSM30 Index). The sample covers the period from January 3, 2011 to December 29, 2023, yielding approximately 3,380 daily observations per index after accounting for market holidays and missing data. All data were obtained from Bloomberg Terminal and cross-validated against Refinitiv Datastream.</w:t>
      </w:r>
    </w:p>
    <w:p w14:paraId="6781CEC0" w14:textId="77777777" w:rsidR="00CC5C3E" w:rsidRDefault="00117A87" w:rsidP="005B4A4B">
      <w:pPr>
        <w:bidi w:val="0"/>
        <w:spacing w:before="60" w:after="60" w:line="360" w:lineRule="auto"/>
        <w:ind w:firstLine="720"/>
        <w:jc w:val="both"/>
      </w:pPr>
      <w:r>
        <w:t>The sample period encompasses several major structural events relevant to GCC financial markets: the Arab Spring political instability (2011), the formation of the GCC Monetary Council (2012), the sharp decline in global oil prices (2014-2016), the Qatar diplomatic crisis and blockade (2017-2021), the Saudi Aramco IPO (2019), the MSCI inclusion of Saudi Arabia (2019), and the COVID-19 pandemic and associated oil price collapse (2020). These events provide natural variation for examining regime-switching behavior.</w:t>
      </w:r>
    </w:p>
    <w:p w14:paraId="79E58D43" w14:textId="77777777" w:rsidR="00CC5C3E" w:rsidRDefault="00117A87" w:rsidP="005B4A4B">
      <w:pPr>
        <w:pStyle w:val="2"/>
      </w:pPr>
      <w:r>
        <w:t>4.2 Descriptive Statistics</w:t>
      </w:r>
    </w:p>
    <w:p w14:paraId="76694AA8" w14:textId="77777777" w:rsidR="00CC5C3E" w:rsidRDefault="00117A87" w:rsidP="005B4A4B">
      <w:pPr>
        <w:bidi w:val="0"/>
        <w:spacing w:before="60" w:after="60" w:line="360" w:lineRule="auto"/>
        <w:ind w:firstLine="720"/>
        <w:jc w:val="both"/>
      </w:pPr>
      <w:r>
        <w:t>Table 1 reports summary statistics for daily returns across all seven market indices. The mean daily return is close to zero for all markets, ranging from -0.003% for Bahrain to 0.041% for the Tadawul. Standard deviations range from 0.731% (Bahrain) to 1.312% (Dubai), reflecting cross-market differences in volatility levels. All return series exhibit significant negative skewness, consistent with the well-documented left-tail risk in equity returns, and substantial excess kurtosis (all &gt; 4), indicating fat-tailed distributions that violate the normality assumption.</w:t>
      </w:r>
    </w:p>
    <w:p w14:paraId="40621108" w14:textId="77777777" w:rsidR="00CC5C3E" w:rsidRDefault="00117A87" w:rsidP="005B4A4B">
      <w:pPr>
        <w:bidi w:val="0"/>
        <w:spacing w:before="60" w:after="60" w:line="360" w:lineRule="auto"/>
        <w:ind w:firstLine="720"/>
        <w:jc w:val="both"/>
      </w:pPr>
      <w:r>
        <w:t xml:space="preserve">The Jarque-Bera test strongly rejects normality for all series at the 1% significance level. The Ljung-Box Q-statistic for squared returns (Q^2(20)) rejects the null of no serial dependence at the 1% </w:t>
      </w:r>
      <w:r>
        <w:lastRenderedPageBreak/>
        <w:t>level for all series, confirming the presence of ARCH effects. The ARCH-LM test of Engle (1982) further corroborates this conclusion.</w:t>
      </w:r>
    </w:p>
    <w:p w14:paraId="0D343F71" w14:textId="77777777" w:rsidR="00CC5C3E" w:rsidRDefault="00CC5C3E">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170"/>
      </w:tblGrid>
      <w:tr w:rsidR="00CC5C3E" w14:paraId="203E7A71" w14:textId="77777777">
        <w:trPr>
          <w:tblHeader/>
        </w:trPr>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8729C3B" w14:textId="77777777" w:rsidR="00CC5C3E" w:rsidRDefault="00117A87">
            <w:pPr>
              <w:jc w:val="center"/>
            </w:pPr>
            <w:r>
              <w:rPr>
                <w:b/>
                <w:bCs/>
                <w:color w:val="FFFFFF"/>
                <w:sz w:val="18"/>
                <w:szCs w:val="18"/>
              </w:rPr>
              <w:t>Market</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FE05687" w14:textId="77777777" w:rsidR="00CC5C3E" w:rsidRDefault="00117A87">
            <w:pPr>
              <w:jc w:val="center"/>
            </w:pPr>
            <w:r>
              <w:rPr>
                <w:b/>
                <w:bCs/>
                <w:color w:val="FFFFFF"/>
                <w:sz w:val="18"/>
                <w:szCs w:val="18"/>
              </w:rPr>
              <w:t>Mean (%)</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C6463BD" w14:textId="77777777" w:rsidR="00CC5C3E" w:rsidRDefault="00117A87">
            <w:pPr>
              <w:jc w:val="center"/>
            </w:pPr>
            <w:r>
              <w:rPr>
                <w:b/>
                <w:bCs/>
                <w:color w:val="FFFFFF"/>
                <w:sz w:val="18"/>
                <w:szCs w:val="18"/>
              </w:rPr>
              <w:t>Std Dev (%)</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2533CAC" w14:textId="77777777" w:rsidR="00CC5C3E" w:rsidRDefault="00117A87">
            <w:pPr>
              <w:jc w:val="center"/>
            </w:pPr>
            <w:r>
              <w:rPr>
                <w:b/>
                <w:bCs/>
                <w:color w:val="FFFFFF"/>
                <w:sz w:val="18"/>
                <w:szCs w:val="18"/>
              </w:rPr>
              <w:t>Skewness</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E4B8BCB" w14:textId="77777777" w:rsidR="00CC5C3E" w:rsidRDefault="00117A87">
            <w:pPr>
              <w:jc w:val="center"/>
            </w:pPr>
            <w:r>
              <w:rPr>
                <w:b/>
                <w:bCs/>
                <w:color w:val="FFFFFF"/>
                <w:sz w:val="18"/>
                <w:szCs w:val="18"/>
              </w:rPr>
              <w:t>Kurtosis</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33EC782" w14:textId="77777777" w:rsidR="00CC5C3E" w:rsidRDefault="00117A87">
            <w:pPr>
              <w:jc w:val="center"/>
            </w:pPr>
            <w:r>
              <w:rPr>
                <w:b/>
                <w:bCs/>
                <w:color w:val="FFFFFF"/>
                <w:sz w:val="18"/>
                <w:szCs w:val="18"/>
              </w:rPr>
              <w:t>JB Test</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3A789B1F" w14:textId="77777777" w:rsidR="00CC5C3E" w:rsidRDefault="00117A87">
            <w:pPr>
              <w:jc w:val="center"/>
            </w:pPr>
            <w:r>
              <w:rPr>
                <w:b/>
                <w:bCs/>
                <w:color w:val="FFFFFF"/>
                <w:sz w:val="18"/>
                <w:szCs w:val="18"/>
              </w:rPr>
              <w:t>Q^2(20)</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3FE3C662" w14:textId="77777777" w:rsidR="00CC5C3E" w:rsidRDefault="00117A87">
            <w:pPr>
              <w:jc w:val="center"/>
            </w:pPr>
            <w:r>
              <w:rPr>
                <w:b/>
                <w:bCs/>
                <w:color w:val="FFFFFF"/>
                <w:sz w:val="18"/>
                <w:szCs w:val="18"/>
              </w:rPr>
              <w:t>ARCH-LM</w:t>
            </w:r>
          </w:p>
        </w:tc>
      </w:tr>
      <w:tr w:rsidR="00CC5C3E" w14:paraId="7D7CB1DD"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7EBF68D" w14:textId="77777777" w:rsidR="00CC5C3E" w:rsidRDefault="00117A87">
            <w:pPr>
              <w:jc w:val="center"/>
            </w:pPr>
            <w:r>
              <w:rPr>
                <w:color w:val="000000"/>
                <w:sz w:val="18"/>
                <w:szCs w:val="18"/>
              </w:rPr>
              <w:t>TASI</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5E4D39" w14:textId="77777777" w:rsidR="00CC5C3E" w:rsidRDefault="00117A87">
            <w:pPr>
              <w:jc w:val="center"/>
            </w:pPr>
            <w:r>
              <w:rPr>
                <w:color w:val="000000"/>
                <w:sz w:val="18"/>
                <w:szCs w:val="18"/>
              </w:rPr>
              <w:t>0.041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6C560EC" w14:textId="77777777" w:rsidR="00CC5C3E" w:rsidRDefault="00117A87">
            <w:pPr>
              <w:jc w:val="center"/>
            </w:pPr>
            <w:r>
              <w:rPr>
                <w:color w:val="000000"/>
                <w:sz w:val="18"/>
                <w:szCs w:val="18"/>
              </w:rPr>
              <w:t>1.124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D23EFB6" w14:textId="77777777" w:rsidR="00CC5C3E" w:rsidRDefault="00117A87">
            <w:pPr>
              <w:jc w:val="center"/>
            </w:pPr>
            <w:r>
              <w:rPr>
                <w:color w:val="000000"/>
                <w:sz w:val="18"/>
                <w:szCs w:val="18"/>
              </w:rPr>
              <w:t>-0.613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6AFF8E0" w14:textId="77777777" w:rsidR="00CC5C3E" w:rsidRDefault="00117A87">
            <w:pPr>
              <w:jc w:val="center"/>
            </w:pPr>
            <w:r>
              <w:rPr>
                <w:color w:val="000000"/>
                <w:sz w:val="18"/>
                <w:szCs w:val="18"/>
              </w:rPr>
              <w:t>7.842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7EB8875" w14:textId="77777777" w:rsidR="00CC5C3E" w:rsidRDefault="00117A87">
            <w:pPr>
              <w:jc w:val="center"/>
            </w:pPr>
            <w:r>
              <w:rPr>
                <w:color w:val="000000"/>
                <w:sz w:val="18"/>
                <w:szCs w:val="18"/>
              </w:rPr>
              <w:t>2341.2***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1DEDD99" w14:textId="77777777" w:rsidR="00CC5C3E" w:rsidRDefault="00117A87">
            <w:pPr>
              <w:jc w:val="center"/>
            </w:pPr>
            <w:r>
              <w:rPr>
                <w:color w:val="000000"/>
                <w:sz w:val="18"/>
                <w:szCs w:val="18"/>
              </w:rPr>
              <w:t>498.3***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DE82267" w14:textId="77777777" w:rsidR="00CC5C3E" w:rsidRDefault="00117A87">
            <w:pPr>
              <w:jc w:val="center"/>
            </w:pPr>
            <w:r>
              <w:rPr>
                <w:color w:val="000000"/>
                <w:sz w:val="18"/>
                <w:szCs w:val="18"/>
              </w:rPr>
              <w:t>112.4***</w:t>
            </w:r>
          </w:p>
        </w:tc>
      </w:tr>
      <w:tr w:rsidR="00CC5C3E" w14:paraId="01926790"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C07395" w14:textId="77777777" w:rsidR="00CC5C3E" w:rsidRDefault="00117A87">
            <w:pPr>
              <w:jc w:val="center"/>
            </w:pPr>
            <w:r>
              <w:rPr>
                <w:color w:val="000000"/>
                <w:sz w:val="18"/>
                <w:szCs w:val="18"/>
              </w:rPr>
              <w:t>ADX</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91EDE30" w14:textId="77777777" w:rsidR="00CC5C3E" w:rsidRDefault="00117A87">
            <w:pPr>
              <w:jc w:val="center"/>
            </w:pPr>
            <w:r>
              <w:rPr>
                <w:color w:val="000000"/>
                <w:sz w:val="18"/>
                <w:szCs w:val="18"/>
              </w:rPr>
              <w:t>0.028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03EC715" w14:textId="77777777" w:rsidR="00CC5C3E" w:rsidRDefault="00117A87">
            <w:pPr>
              <w:jc w:val="center"/>
            </w:pPr>
            <w:r>
              <w:rPr>
                <w:color w:val="000000"/>
                <w:sz w:val="18"/>
                <w:szCs w:val="18"/>
              </w:rPr>
              <w:t>0.987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3683CFA" w14:textId="77777777" w:rsidR="00CC5C3E" w:rsidRDefault="00117A87">
            <w:pPr>
              <w:jc w:val="center"/>
            </w:pPr>
            <w:r>
              <w:rPr>
                <w:color w:val="000000"/>
                <w:sz w:val="18"/>
                <w:szCs w:val="18"/>
              </w:rPr>
              <w:t>-0.441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0F8468C" w14:textId="77777777" w:rsidR="00CC5C3E" w:rsidRDefault="00117A87">
            <w:pPr>
              <w:jc w:val="center"/>
            </w:pPr>
            <w:r>
              <w:rPr>
                <w:color w:val="000000"/>
                <w:sz w:val="18"/>
                <w:szCs w:val="18"/>
              </w:rPr>
              <w:t>6.217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FB728EC" w14:textId="77777777" w:rsidR="00CC5C3E" w:rsidRDefault="00117A87">
            <w:pPr>
              <w:jc w:val="center"/>
            </w:pPr>
            <w:r>
              <w:rPr>
                <w:color w:val="000000"/>
                <w:sz w:val="18"/>
                <w:szCs w:val="18"/>
              </w:rPr>
              <w:t>1823.5***</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A9CB30" w14:textId="77777777" w:rsidR="00CC5C3E" w:rsidRDefault="00117A87">
            <w:pPr>
              <w:jc w:val="center"/>
            </w:pPr>
            <w:r>
              <w:rPr>
                <w:color w:val="000000"/>
                <w:sz w:val="18"/>
                <w:szCs w:val="18"/>
              </w:rPr>
              <w:t>412.7***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CE4D37E" w14:textId="77777777" w:rsidR="00CC5C3E" w:rsidRDefault="00117A87">
            <w:pPr>
              <w:jc w:val="center"/>
            </w:pPr>
            <w:r>
              <w:rPr>
                <w:color w:val="000000"/>
                <w:sz w:val="18"/>
                <w:szCs w:val="18"/>
              </w:rPr>
              <w:t>98.6***</w:t>
            </w:r>
          </w:p>
        </w:tc>
      </w:tr>
      <w:tr w:rsidR="00CC5C3E" w14:paraId="52B6427E"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89BAA2B" w14:textId="77777777" w:rsidR="00CC5C3E" w:rsidRDefault="00117A87">
            <w:pPr>
              <w:jc w:val="center"/>
            </w:pPr>
            <w:r>
              <w:rPr>
                <w:color w:val="000000"/>
                <w:sz w:val="18"/>
                <w:szCs w:val="18"/>
              </w:rPr>
              <w:t>DFM</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6DC2FEE" w14:textId="77777777" w:rsidR="00CC5C3E" w:rsidRDefault="00117A87">
            <w:pPr>
              <w:jc w:val="center"/>
            </w:pPr>
            <w:r>
              <w:rPr>
                <w:color w:val="000000"/>
                <w:sz w:val="18"/>
                <w:szCs w:val="18"/>
              </w:rPr>
              <w:t>0.019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8278984" w14:textId="77777777" w:rsidR="00CC5C3E" w:rsidRDefault="00117A87">
            <w:pPr>
              <w:jc w:val="center"/>
            </w:pPr>
            <w:r>
              <w:rPr>
                <w:color w:val="000000"/>
                <w:sz w:val="18"/>
                <w:szCs w:val="18"/>
              </w:rPr>
              <w:t>1.312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FD34E70" w14:textId="77777777" w:rsidR="00CC5C3E" w:rsidRDefault="00117A87">
            <w:pPr>
              <w:jc w:val="center"/>
            </w:pPr>
            <w:r>
              <w:rPr>
                <w:color w:val="000000"/>
                <w:sz w:val="18"/>
                <w:szCs w:val="18"/>
              </w:rPr>
              <w:t>-0.889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8751573" w14:textId="77777777" w:rsidR="00CC5C3E" w:rsidRDefault="00117A87">
            <w:pPr>
              <w:jc w:val="center"/>
            </w:pPr>
            <w:r>
              <w:rPr>
                <w:color w:val="000000"/>
                <w:sz w:val="18"/>
                <w:szCs w:val="18"/>
              </w:rPr>
              <w:t>9.134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C4B2CB" w14:textId="77777777" w:rsidR="00CC5C3E" w:rsidRDefault="00117A87">
            <w:pPr>
              <w:jc w:val="center"/>
            </w:pPr>
            <w:r>
              <w:rPr>
                <w:color w:val="000000"/>
                <w:sz w:val="18"/>
                <w:szCs w:val="18"/>
              </w:rPr>
              <w:t>3102.8***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0C03AA" w14:textId="77777777" w:rsidR="00CC5C3E" w:rsidRDefault="00117A87">
            <w:pPr>
              <w:jc w:val="center"/>
            </w:pPr>
            <w:r>
              <w:rPr>
                <w:color w:val="000000"/>
                <w:sz w:val="18"/>
                <w:szCs w:val="18"/>
              </w:rPr>
              <w:t>621.4***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6F57C81" w14:textId="77777777" w:rsidR="00CC5C3E" w:rsidRDefault="00117A87">
            <w:pPr>
              <w:jc w:val="center"/>
            </w:pPr>
            <w:r>
              <w:rPr>
                <w:color w:val="000000"/>
                <w:sz w:val="18"/>
                <w:szCs w:val="18"/>
              </w:rPr>
              <w:t>134.2***</w:t>
            </w:r>
          </w:p>
        </w:tc>
      </w:tr>
      <w:tr w:rsidR="00CC5C3E" w14:paraId="7C9BC760"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521CF9D" w14:textId="77777777" w:rsidR="00CC5C3E" w:rsidRDefault="00117A87">
            <w:pPr>
              <w:jc w:val="center"/>
            </w:pPr>
            <w:r>
              <w:rPr>
                <w:color w:val="000000"/>
                <w:sz w:val="18"/>
                <w:szCs w:val="18"/>
              </w:rPr>
              <w:t>Kuwait</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D268CD4" w14:textId="77777777" w:rsidR="00CC5C3E" w:rsidRDefault="00117A87">
            <w:pPr>
              <w:jc w:val="center"/>
            </w:pPr>
            <w:r>
              <w:rPr>
                <w:color w:val="000000"/>
                <w:sz w:val="18"/>
                <w:szCs w:val="18"/>
              </w:rPr>
              <w:t>0.034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F59633" w14:textId="77777777" w:rsidR="00CC5C3E" w:rsidRDefault="00117A87">
            <w:pPr>
              <w:jc w:val="center"/>
            </w:pPr>
            <w:r>
              <w:rPr>
                <w:color w:val="000000"/>
                <w:sz w:val="18"/>
                <w:szCs w:val="18"/>
              </w:rPr>
              <w:t>0.812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902607" w14:textId="77777777" w:rsidR="00CC5C3E" w:rsidRDefault="00117A87">
            <w:pPr>
              <w:jc w:val="center"/>
            </w:pPr>
            <w:r>
              <w:rPr>
                <w:color w:val="000000"/>
                <w:sz w:val="18"/>
                <w:szCs w:val="18"/>
              </w:rPr>
              <w:t>-0.312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70FABFD" w14:textId="77777777" w:rsidR="00CC5C3E" w:rsidRDefault="00117A87">
            <w:pPr>
              <w:jc w:val="center"/>
            </w:pPr>
            <w:r>
              <w:rPr>
                <w:color w:val="000000"/>
                <w:sz w:val="18"/>
                <w:szCs w:val="18"/>
              </w:rPr>
              <w:t>5.891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45F3C2" w14:textId="77777777" w:rsidR="00CC5C3E" w:rsidRDefault="00117A87">
            <w:pPr>
              <w:jc w:val="center"/>
            </w:pPr>
            <w:r>
              <w:rPr>
                <w:color w:val="000000"/>
                <w:sz w:val="18"/>
                <w:szCs w:val="18"/>
              </w:rPr>
              <w:t>1544.3***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9A53410" w14:textId="77777777" w:rsidR="00CC5C3E" w:rsidRDefault="00117A87">
            <w:pPr>
              <w:jc w:val="center"/>
            </w:pPr>
            <w:r>
              <w:rPr>
                <w:color w:val="000000"/>
                <w:sz w:val="18"/>
                <w:szCs w:val="18"/>
              </w:rPr>
              <w:t>387.2***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1CB3ACE" w14:textId="77777777" w:rsidR="00CC5C3E" w:rsidRDefault="00117A87">
            <w:pPr>
              <w:jc w:val="center"/>
            </w:pPr>
            <w:r>
              <w:rPr>
                <w:color w:val="000000"/>
                <w:sz w:val="18"/>
                <w:szCs w:val="18"/>
              </w:rPr>
              <w:t>89.3***</w:t>
            </w:r>
          </w:p>
        </w:tc>
      </w:tr>
      <w:tr w:rsidR="00CC5C3E" w14:paraId="2A25D81A"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F3CA635" w14:textId="77777777" w:rsidR="00CC5C3E" w:rsidRDefault="00117A87">
            <w:pPr>
              <w:jc w:val="center"/>
            </w:pPr>
            <w:r>
              <w:rPr>
                <w:color w:val="000000"/>
                <w:sz w:val="18"/>
                <w:szCs w:val="18"/>
              </w:rPr>
              <w:t>Qatar</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C134AA" w14:textId="77777777" w:rsidR="00CC5C3E" w:rsidRDefault="00117A87">
            <w:pPr>
              <w:jc w:val="center"/>
            </w:pPr>
            <w:r>
              <w:rPr>
                <w:color w:val="000000"/>
                <w:sz w:val="18"/>
                <w:szCs w:val="18"/>
              </w:rPr>
              <w:t>0.038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30E4FE0" w14:textId="77777777" w:rsidR="00CC5C3E" w:rsidRDefault="00117A87">
            <w:pPr>
              <w:jc w:val="center"/>
            </w:pPr>
            <w:r>
              <w:rPr>
                <w:color w:val="000000"/>
                <w:sz w:val="18"/>
                <w:szCs w:val="18"/>
              </w:rPr>
              <w:t>0.934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71B105B" w14:textId="77777777" w:rsidR="00CC5C3E" w:rsidRDefault="00117A87">
            <w:pPr>
              <w:jc w:val="center"/>
            </w:pPr>
            <w:r>
              <w:rPr>
                <w:color w:val="000000"/>
                <w:sz w:val="18"/>
                <w:szCs w:val="18"/>
              </w:rPr>
              <w:t>-0.528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4F2D94" w14:textId="77777777" w:rsidR="00CC5C3E" w:rsidRDefault="00117A87">
            <w:pPr>
              <w:jc w:val="center"/>
            </w:pPr>
            <w:r>
              <w:rPr>
                <w:color w:val="000000"/>
                <w:sz w:val="18"/>
                <w:szCs w:val="18"/>
              </w:rPr>
              <w:t>7.012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C945B48" w14:textId="77777777" w:rsidR="00CC5C3E" w:rsidRDefault="00117A87">
            <w:pPr>
              <w:jc w:val="center"/>
            </w:pPr>
            <w:r>
              <w:rPr>
                <w:color w:val="000000"/>
                <w:sz w:val="18"/>
                <w:szCs w:val="18"/>
              </w:rPr>
              <w:t>1987.6***</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27ED529" w14:textId="77777777" w:rsidR="00CC5C3E" w:rsidRDefault="00117A87">
            <w:pPr>
              <w:jc w:val="center"/>
            </w:pPr>
            <w:r>
              <w:rPr>
                <w:color w:val="000000"/>
                <w:sz w:val="18"/>
                <w:szCs w:val="18"/>
              </w:rPr>
              <w:t>441.8***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6C47769" w14:textId="77777777" w:rsidR="00CC5C3E" w:rsidRDefault="00117A87">
            <w:pPr>
              <w:jc w:val="center"/>
            </w:pPr>
            <w:r>
              <w:rPr>
                <w:color w:val="000000"/>
                <w:sz w:val="18"/>
                <w:szCs w:val="18"/>
              </w:rPr>
              <w:t>104.7***</w:t>
            </w:r>
          </w:p>
        </w:tc>
      </w:tr>
      <w:tr w:rsidR="00CC5C3E" w14:paraId="699DDFD3"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E038F0" w14:textId="77777777" w:rsidR="00CC5C3E" w:rsidRDefault="00117A87">
            <w:pPr>
              <w:jc w:val="center"/>
            </w:pPr>
            <w:r>
              <w:rPr>
                <w:color w:val="000000"/>
                <w:sz w:val="18"/>
                <w:szCs w:val="18"/>
              </w:rPr>
              <w:t>Bahrain</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F4FA59" w14:textId="77777777" w:rsidR="00CC5C3E" w:rsidRDefault="00117A87">
            <w:pPr>
              <w:jc w:val="center"/>
            </w:pPr>
            <w:r>
              <w:rPr>
                <w:color w:val="000000"/>
                <w:sz w:val="18"/>
                <w:szCs w:val="18"/>
              </w:rPr>
              <w:t>-0.003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D34F3C8" w14:textId="77777777" w:rsidR="00CC5C3E" w:rsidRDefault="00117A87">
            <w:pPr>
              <w:jc w:val="center"/>
            </w:pPr>
            <w:r>
              <w:rPr>
                <w:color w:val="000000"/>
                <w:sz w:val="18"/>
                <w:szCs w:val="18"/>
              </w:rPr>
              <w:t>0.731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3793C7C" w14:textId="77777777" w:rsidR="00CC5C3E" w:rsidRDefault="00117A87">
            <w:pPr>
              <w:jc w:val="center"/>
            </w:pPr>
            <w:r>
              <w:rPr>
                <w:color w:val="000000"/>
                <w:sz w:val="18"/>
                <w:szCs w:val="18"/>
              </w:rPr>
              <w:t>-0.201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125291" w14:textId="77777777" w:rsidR="00CC5C3E" w:rsidRDefault="00117A87">
            <w:pPr>
              <w:jc w:val="center"/>
            </w:pPr>
            <w:r>
              <w:rPr>
                <w:color w:val="000000"/>
                <w:sz w:val="18"/>
                <w:szCs w:val="18"/>
              </w:rPr>
              <w:t>4.823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2F63F59" w14:textId="77777777" w:rsidR="00CC5C3E" w:rsidRDefault="00117A87">
            <w:pPr>
              <w:jc w:val="center"/>
            </w:pPr>
            <w:r>
              <w:rPr>
                <w:color w:val="000000"/>
                <w:sz w:val="18"/>
                <w:szCs w:val="18"/>
              </w:rPr>
              <w:t>1121.4***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E8F56E" w14:textId="77777777" w:rsidR="00CC5C3E" w:rsidRDefault="00117A87">
            <w:pPr>
              <w:jc w:val="center"/>
            </w:pPr>
            <w:r>
              <w:rPr>
                <w:color w:val="000000"/>
                <w:sz w:val="18"/>
                <w:szCs w:val="18"/>
              </w:rPr>
              <w:t>298.6***</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31C2401" w14:textId="77777777" w:rsidR="00CC5C3E" w:rsidRDefault="00117A87">
            <w:pPr>
              <w:jc w:val="center"/>
            </w:pPr>
            <w:r>
              <w:rPr>
                <w:color w:val="000000"/>
                <w:sz w:val="18"/>
                <w:szCs w:val="18"/>
              </w:rPr>
              <w:t>71.2***</w:t>
            </w:r>
          </w:p>
        </w:tc>
      </w:tr>
      <w:tr w:rsidR="00CC5C3E" w14:paraId="335BCC4C"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8A09AF6" w14:textId="77777777" w:rsidR="00CC5C3E" w:rsidRDefault="00117A87">
            <w:pPr>
              <w:jc w:val="center"/>
            </w:pPr>
            <w:r>
              <w:rPr>
                <w:color w:val="000000"/>
                <w:sz w:val="18"/>
                <w:szCs w:val="18"/>
              </w:rPr>
              <w:t>Oman</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65C321" w14:textId="77777777" w:rsidR="00CC5C3E" w:rsidRDefault="00117A87">
            <w:pPr>
              <w:jc w:val="center"/>
            </w:pPr>
            <w:r>
              <w:rPr>
                <w:color w:val="000000"/>
                <w:sz w:val="18"/>
                <w:szCs w:val="18"/>
              </w:rPr>
              <w:t>0.012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EFBBB2D" w14:textId="77777777" w:rsidR="00CC5C3E" w:rsidRDefault="00117A87">
            <w:pPr>
              <w:jc w:val="center"/>
            </w:pPr>
            <w:r>
              <w:rPr>
                <w:color w:val="000000"/>
                <w:sz w:val="18"/>
                <w:szCs w:val="18"/>
              </w:rPr>
              <w:t>0.896</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A48A6A9" w14:textId="77777777" w:rsidR="00CC5C3E" w:rsidRDefault="00117A87">
            <w:pPr>
              <w:jc w:val="center"/>
            </w:pPr>
            <w:r>
              <w:rPr>
                <w:color w:val="000000"/>
                <w:sz w:val="18"/>
                <w:szCs w:val="18"/>
              </w:rPr>
              <w:t>-0.475</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02E57DD" w14:textId="77777777" w:rsidR="00CC5C3E" w:rsidRDefault="00117A87">
            <w:pPr>
              <w:jc w:val="center"/>
            </w:pPr>
            <w:r>
              <w:rPr>
                <w:color w:val="000000"/>
                <w:sz w:val="18"/>
                <w:szCs w:val="18"/>
              </w:rPr>
              <w:t>6.534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CEDBB83" w14:textId="77777777" w:rsidR="00CC5C3E" w:rsidRDefault="00117A87">
            <w:pPr>
              <w:jc w:val="center"/>
            </w:pPr>
            <w:r>
              <w:rPr>
                <w:color w:val="000000"/>
                <w:sz w:val="18"/>
                <w:szCs w:val="18"/>
              </w:rPr>
              <w:t>1756.2***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73F5EBE" w14:textId="77777777" w:rsidR="00CC5C3E" w:rsidRDefault="00117A87">
            <w:pPr>
              <w:jc w:val="center"/>
            </w:pPr>
            <w:r>
              <w:rPr>
                <w:color w:val="000000"/>
                <w:sz w:val="18"/>
                <w:szCs w:val="18"/>
              </w:rPr>
              <w:t>394.3***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52263CF" w14:textId="77777777" w:rsidR="00CC5C3E" w:rsidRDefault="00117A87">
            <w:pPr>
              <w:jc w:val="center"/>
            </w:pPr>
            <w:r>
              <w:rPr>
                <w:color w:val="000000"/>
                <w:sz w:val="18"/>
                <w:szCs w:val="18"/>
              </w:rPr>
              <w:t>92.8***</w:t>
            </w:r>
          </w:p>
        </w:tc>
      </w:tr>
    </w:tbl>
    <w:p w14:paraId="63B9601D" w14:textId="77777777" w:rsidR="00CC5C3E" w:rsidRDefault="00CC5C3E">
      <w:pPr>
        <w:spacing w:before="60" w:after="60"/>
      </w:pPr>
    </w:p>
    <w:p w14:paraId="59A936F0" w14:textId="77777777" w:rsidR="00CC5C3E" w:rsidRDefault="00117A87" w:rsidP="005B4A4B">
      <w:pPr>
        <w:bidi w:val="0"/>
        <w:spacing w:before="60" w:after="60"/>
        <w:jc w:val="both"/>
        <w:rPr>
          <w:rtl/>
        </w:rPr>
      </w:pPr>
      <w:r>
        <w:rPr>
          <w:i/>
          <w:iCs/>
        </w:rPr>
        <w:t>Table 1: Descriptive Statistics for Daily Returns. *** denotes rejection at the 1% significance level. JB: Jarque-Bera normality test. Q^2(20): Ljung-Box test for squared returns at lag 20. ARCH-LM: Engle's ARCH Lagrange Multiplier test.</w:t>
      </w:r>
    </w:p>
    <w:p w14:paraId="4BAD7F6F" w14:textId="77777777" w:rsidR="00CC5C3E" w:rsidRDefault="00CC5C3E">
      <w:pPr>
        <w:spacing w:before="60" w:after="60"/>
      </w:pPr>
    </w:p>
    <w:p w14:paraId="59FEB4E4" w14:textId="77777777" w:rsidR="00CC5C3E" w:rsidRDefault="00117A87">
      <w:pPr>
        <w:pStyle w:val="2"/>
      </w:pPr>
      <w:r>
        <w:t>4.3 Unit Root and Stationarity Tests</w:t>
      </w:r>
    </w:p>
    <w:p w14:paraId="1B6E7A6D" w14:textId="77777777" w:rsidR="00CC5C3E" w:rsidRDefault="00117A87" w:rsidP="005B4A4B">
      <w:pPr>
        <w:bidi w:val="0"/>
        <w:spacing w:before="60" w:after="60" w:line="360" w:lineRule="auto"/>
        <w:ind w:firstLine="720"/>
        <w:jc w:val="both"/>
        <w:rPr>
          <w:rtl/>
        </w:rPr>
      </w:pPr>
      <w:r>
        <w:t>We verify the stationarity of all return series using the Augmented Dickey-Fuller (ADF) test, the Phillips-Perron (PP) test, and the KPSS test. All return series strongly reject the unit root null under ADF and PP at the 1% significance level (t-statistics ranging from -41.2 to -55.8), while KPSS fails to reject stationarity for all series. These results confirm that the return series are stationary, as expected for logarithmic differences of price indices.</w:t>
      </w:r>
    </w:p>
    <w:p w14:paraId="785B7B24" w14:textId="77777777" w:rsidR="00CC5C3E" w:rsidRDefault="00CC5C3E">
      <w:pPr>
        <w:spacing w:before="60" w:after="60"/>
      </w:pPr>
    </w:p>
    <w:p w14:paraId="68900238" w14:textId="77777777" w:rsidR="00CC5C3E" w:rsidRDefault="00117A87">
      <w:pPr>
        <w:pStyle w:val="1"/>
      </w:pPr>
      <w:r>
        <w:t>5. Empirical Results</w:t>
      </w:r>
    </w:p>
    <w:p w14:paraId="77B21F24" w14:textId="77777777" w:rsidR="00CC5C3E" w:rsidRDefault="00117A87">
      <w:pPr>
        <w:pStyle w:val="2"/>
      </w:pPr>
      <w:r>
        <w:t>5.1 Parameter Estimates: GARCH(1,1) Baseline</w:t>
      </w:r>
    </w:p>
    <w:p w14:paraId="0761B180" w14:textId="77777777" w:rsidR="00CC5C3E" w:rsidRDefault="00117A87" w:rsidP="005B4A4B">
      <w:pPr>
        <w:bidi w:val="0"/>
        <w:spacing w:before="60" w:after="60" w:line="360" w:lineRule="auto"/>
        <w:ind w:firstLine="720"/>
        <w:jc w:val="both"/>
      </w:pPr>
      <w:r>
        <w:t>Table 2 presents the maximum likelihood parameter estimates for the symmetric GARCH(1,1) model under Student-t innovations. Across all seven markets, the estimated alpha (ARCH effect) coefficients are statistically significant at the 5% level, ranging from 0.062 (Bahrain) to 0.143 (DFM). The GARCH persistence coefficients beta are uniformly high, ranging from 0.821 (DFM) to 0.912 (Kuwait), indicating strong volatility clustering. The sum alpha + beta ranges from 0.893 to 0.964, indicating near-unit-root behavior in conditional variance and highly persistent volatility shocks — a characteristic well-documented in emerging market equity data.</w:t>
      </w:r>
    </w:p>
    <w:p w14:paraId="49E33412" w14:textId="77777777" w:rsidR="00CC5C3E" w:rsidRDefault="00117A87" w:rsidP="005B4A4B">
      <w:pPr>
        <w:bidi w:val="0"/>
        <w:spacing w:before="60" w:after="60" w:line="360" w:lineRule="auto"/>
        <w:ind w:firstLine="720"/>
        <w:jc w:val="both"/>
      </w:pPr>
      <w:r>
        <w:t xml:space="preserve">The estimated degrees-of-freedom parameter v ranges from 4.12 (DFM) to 7.34 (Bahrain), confirming the superiority of the Student-t over the normal distribution for all GCC markets. The </w:t>
      </w:r>
      <w:r>
        <w:lastRenderedPageBreak/>
        <w:t>likelihood ratio test strongly rejects the restriction of normality (v -&gt; infinity) at the 1% level for all markets.</w:t>
      </w:r>
    </w:p>
    <w:p w14:paraId="2C5175B3" w14:textId="77777777" w:rsidR="00CC5C3E" w:rsidRDefault="00CC5C3E">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170"/>
      </w:tblGrid>
      <w:tr w:rsidR="00CC5C3E" w14:paraId="547F61AA" w14:textId="77777777">
        <w:trPr>
          <w:tblHeader/>
        </w:trPr>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C1D21BA" w14:textId="77777777" w:rsidR="00CC5C3E" w:rsidRDefault="00117A87">
            <w:pPr>
              <w:jc w:val="center"/>
            </w:pPr>
            <w:r>
              <w:rPr>
                <w:b/>
                <w:bCs/>
                <w:color w:val="FFFFFF"/>
                <w:sz w:val="18"/>
                <w:szCs w:val="18"/>
              </w:rPr>
              <w:t>Market</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14A3C446" w14:textId="77777777" w:rsidR="00CC5C3E" w:rsidRDefault="00117A87">
            <w:pPr>
              <w:jc w:val="center"/>
            </w:pPr>
            <w:r>
              <w:rPr>
                <w:b/>
                <w:bCs/>
                <w:color w:val="FFFFFF"/>
                <w:sz w:val="18"/>
                <w:szCs w:val="18"/>
              </w:rPr>
              <w:t>omega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9AD73E4" w14:textId="77777777" w:rsidR="00CC5C3E" w:rsidRDefault="00117A87">
            <w:pPr>
              <w:jc w:val="center"/>
            </w:pPr>
            <w:r>
              <w:rPr>
                <w:b/>
                <w:bCs/>
                <w:color w:val="FFFFFF"/>
                <w:sz w:val="18"/>
                <w:szCs w:val="18"/>
              </w:rPr>
              <w:t>alpha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3E43D017" w14:textId="77777777" w:rsidR="00CC5C3E" w:rsidRDefault="00117A87">
            <w:pPr>
              <w:jc w:val="center"/>
            </w:pPr>
            <w:r>
              <w:rPr>
                <w:b/>
                <w:bCs/>
                <w:color w:val="FFFFFF"/>
                <w:sz w:val="18"/>
                <w:szCs w:val="18"/>
              </w:rPr>
              <w:t>beta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A92C92A" w14:textId="77777777" w:rsidR="00CC5C3E" w:rsidRDefault="00117A87">
            <w:pPr>
              <w:jc w:val="center"/>
            </w:pPr>
            <w:r>
              <w:rPr>
                <w:b/>
                <w:bCs/>
                <w:color w:val="FFFFFF"/>
                <w:sz w:val="18"/>
                <w:szCs w:val="18"/>
              </w:rPr>
              <w:t>alpha+beta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C3C1CAE" w14:textId="77777777" w:rsidR="00CC5C3E" w:rsidRDefault="00117A87">
            <w:pPr>
              <w:jc w:val="center"/>
            </w:pPr>
            <w:r>
              <w:rPr>
                <w:b/>
                <w:bCs/>
                <w:color w:val="FFFFFF"/>
                <w:sz w:val="18"/>
                <w:szCs w:val="18"/>
              </w:rPr>
              <w:t>v (d.f.)</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92549E8" w14:textId="77777777" w:rsidR="00CC5C3E" w:rsidRDefault="00117A87">
            <w:pPr>
              <w:jc w:val="center"/>
            </w:pPr>
            <w:r>
              <w:rPr>
                <w:b/>
                <w:bCs/>
                <w:color w:val="FFFFFF"/>
                <w:sz w:val="18"/>
                <w:szCs w:val="18"/>
              </w:rPr>
              <w:t>Log-L</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16910527" w14:textId="77777777" w:rsidR="00CC5C3E" w:rsidRDefault="00117A87">
            <w:pPr>
              <w:jc w:val="center"/>
            </w:pPr>
            <w:r>
              <w:rPr>
                <w:b/>
                <w:bCs/>
                <w:color w:val="FFFFFF"/>
                <w:sz w:val="18"/>
                <w:szCs w:val="18"/>
              </w:rPr>
              <w:t>BIC</w:t>
            </w:r>
          </w:p>
        </w:tc>
      </w:tr>
      <w:tr w:rsidR="00CC5C3E" w14:paraId="248275EE"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5D28EF3" w14:textId="77777777" w:rsidR="00CC5C3E" w:rsidRDefault="00117A87">
            <w:pPr>
              <w:jc w:val="center"/>
            </w:pPr>
            <w:r>
              <w:rPr>
                <w:color w:val="000000"/>
                <w:sz w:val="18"/>
                <w:szCs w:val="18"/>
              </w:rPr>
              <w:t>TASI</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9C2D219" w14:textId="77777777" w:rsidR="00CC5C3E" w:rsidRDefault="00117A87">
            <w:pPr>
              <w:jc w:val="center"/>
            </w:pPr>
            <w:r>
              <w:rPr>
                <w:color w:val="000000"/>
                <w:sz w:val="18"/>
                <w:szCs w:val="18"/>
              </w:rPr>
              <w:t>0.021***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202F068" w14:textId="77777777" w:rsidR="00CC5C3E" w:rsidRDefault="00117A87">
            <w:pPr>
              <w:jc w:val="center"/>
            </w:pPr>
            <w:r>
              <w:rPr>
                <w:color w:val="000000"/>
                <w:sz w:val="18"/>
                <w:szCs w:val="18"/>
              </w:rPr>
              <w:t>0.112***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5CDB220" w14:textId="77777777" w:rsidR="00CC5C3E" w:rsidRDefault="00117A87">
            <w:pPr>
              <w:jc w:val="center"/>
            </w:pPr>
            <w:r>
              <w:rPr>
                <w:color w:val="000000"/>
                <w:sz w:val="18"/>
                <w:szCs w:val="18"/>
              </w:rPr>
              <w:t>0.871***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3768A3" w14:textId="77777777" w:rsidR="00CC5C3E" w:rsidRDefault="00117A87">
            <w:pPr>
              <w:jc w:val="center"/>
            </w:pPr>
            <w:r>
              <w:rPr>
                <w:color w:val="000000"/>
                <w:sz w:val="18"/>
                <w:szCs w:val="18"/>
              </w:rPr>
              <w:t>0.983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BB62E86" w14:textId="77777777" w:rsidR="00CC5C3E" w:rsidRDefault="00117A87">
            <w:pPr>
              <w:jc w:val="center"/>
            </w:pPr>
            <w:r>
              <w:rPr>
                <w:color w:val="000000"/>
                <w:sz w:val="18"/>
                <w:szCs w:val="18"/>
              </w:rPr>
              <w:t>5.21***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723A784" w14:textId="77777777" w:rsidR="00CC5C3E" w:rsidRDefault="00117A87">
            <w:pPr>
              <w:jc w:val="center"/>
            </w:pPr>
            <w:r>
              <w:rPr>
                <w:color w:val="000000"/>
                <w:sz w:val="18"/>
                <w:szCs w:val="18"/>
              </w:rPr>
              <w:t>-4821.3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DE4ED2" w14:textId="77777777" w:rsidR="00CC5C3E" w:rsidRDefault="00117A87">
            <w:pPr>
              <w:jc w:val="center"/>
            </w:pPr>
            <w:r>
              <w:rPr>
                <w:color w:val="000000"/>
                <w:sz w:val="18"/>
                <w:szCs w:val="18"/>
              </w:rPr>
              <w:t>9672.4</w:t>
            </w:r>
          </w:p>
        </w:tc>
      </w:tr>
      <w:tr w:rsidR="00CC5C3E" w14:paraId="78746413"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BF2E24F" w14:textId="77777777" w:rsidR="00CC5C3E" w:rsidRDefault="00117A87">
            <w:pPr>
              <w:jc w:val="center"/>
            </w:pPr>
            <w:r>
              <w:rPr>
                <w:color w:val="000000"/>
                <w:sz w:val="18"/>
                <w:szCs w:val="18"/>
              </w:rPr>
              <w:t>ADX</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E0C909" w14:textId="77777777" w:rsidR="00CC5C3E" w:rsidRDefault="00117A87">
            <w:pPr>
              <w:jc w:val="center"/>
            </w:pPr>
            <w:r>
              <w:rPr>
                <w:color w:val="000000"/>
                <w:sz w:val="18"/>
                <w:szCs w:val="18"/>
              </w:rPr>
              <w:t>0.018***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D8D6465" w14:textId="77777777" w:rsidR="00CC5C3E" w:rsidRDefault="00117A87">
            <w:pPr>
              <w:jc w:val="center"/>
            </w:pPr>
            <w:r>
              <w:rPr>
                <w:color w:val="000000"/>
                <w:sz w:val="18"/>
                <w:szCs w:val="18"/>
              </w:rPr>
              <w:t>0.098***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512F90" w14:textId="77777777" w:rsidR="00CC5C3E" w:rsidRDefault="00117A87">
            <w:pPr>
              <w:jc w:val="center"/>
            </w:pPr>
            <w:r>
              <w:rPr>
                <w:color w:val="000000"/>
                <w:sz w:val="18"/>
                <w:szCs w:val="18"/>
              </w:rPr>
              <w:t>0.884***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99A7BFB" w14:textId="77777777" w:rsidR="00CC5C3E" w:rsidRDefault="00117A87">
            <w:pPr>
              <w:jc w:val="center"/>
            </w:pPr>
            <w:r>
              <w:rPr>
                <w:color w:val="000000"/>
                <w:sz w:val="18"/>
                <w:szCs w:val="18"/>
              </w:rPr>
              <w:t>0.982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6932FC3" w14:textId="77777777" w:rsidR="00CC5C3E" w:rsidRDefault="00117A87">
            <w:pPr>
              <w:jc w:val="center"/>
            </w:pPr>
            <w:r>
              <w:rPr>
                <w:color w:val="000000"/>
                <w:sz w:val="18"/>
                <w:szCs w:val="18"/>
              </w:rPr>
              <w:t>6.14***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79C350B" w14:textId="77777777" w:rsidR="00CC5C3E" w:rsidRDefault="00117A87">
            <w:pPr>
              <w:jc w:val="center"/>
            </w:pPr>
            <w:r>
              <w:rPr>
                <w:color w:val="000000"/>
                <w:sz w:val="18"/>
                <w:szCs w:val="18"/>
              </w:rPr>
              <w:t>-4312.7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EAB9B5F" w14:textId="77777777" w:rsidR="00CC5C3E" w:rsidRDefault="00117A87">
            <w:pPr>
              <w:jc w:val="center"/>
            </w:pPr>
            <w:r>
              <w:rPr>
                <w:color w:val="000000"/>
                <w:sz w:val="18"/>
                <w:szCs w:val="18"/>
              </w:rPr>
              <w:t>8655.2</w:t>
            </w:r>
          </w:p>
        </w:tc>
      </w:tr>
      <w:tr w:rsidR="00CC5C3E" w14:paraId="6CF65A76"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4302191" w14:textId="77777777" w:rsidR="00CC5C3E" w:rsidRDefault="00117A87">
            <w:pPr>
              <w:jc w:val="center"/>
            </w:pPr>
            <w:r>
              <w:rPr>
                <w:color w:val="000000"/>
                <w:sz w:val="18"/>
                <w:szCs w:val="18"/>
              </w:rPr>
              <w:t>DFM</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5848A78" w14:textId="77777777" w:rsidR="00CC5C3E" w:rsidRDefault="00117A87">
            <w:pPr>
              <w:jc w:val="center"/>
            </w:pPr>
            <w:r>
              <w:rPr>
                <w:color w:val="000000"/>
                <w:sz w:val="18"/>
                <w:szCs w:val="18"/>
              </w:rPr>
              <w:t>0.034***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8C112C9" w14:textId="77777777" w:rsidR="00CC5C3E" w:rsidRDefault="00117A87">
            <w:pPr>
              <w:jc w:val="center"/>
            </w:pPr>
            <w:r>
              <w:rPr>
                <w:color w:val="000000"/>
                <w:sz w:val="18"/>
                <w:szCs w:val="18"/>
              </w:rPr>
              <w:t>0.143***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1FA5FCC" w14:textId="77777777" w:rsidR="00CC5C3E" w:rsidRDefault="00117A87">
            <w:pPr>
              <w:jc w:val="center"/>
            </w:pPr>
            <w:r>
              <w:rPr>
                <w:color w:val="000000"/>
                <w:sz w:val="18"/>
                <w:szCs w:val="18"/>
              </w:rPr>
              <w:t>0.821***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39C01E" w14:textId="77777777" w:rsidR="00CC5C3E" w:rsidRDefault="00117A87">
            <w:pPr>
              <w:jc w:val="center"/>
            </w:pPr>
            <w:r>
              <w:rPr>
                <w:color w:val="000000"/>
                <w:sz w:val="18"/>
                <w:szCs w:val="18"/>
              </w:rPr>
              <w:t>0.964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B8C22C7" w14:textId="77777777" w:rsidR="00CC5C3E" w:rsidRDefault="00117A87">
            <w:pPr>
              <w:jc w:val="center"/>
            </w:pPr>
            <w:r>
              <w:rPr>
                <w:color w:val="000000"/>
                <w:sz w:val="18"/>
                <w:szCs w:val="18"/>
              </w:rPr>
              <w:t>4.12***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A1F0B02" w14:textId="77777777" w:rsidR="00CC5C3E" w:rsidRDefault="00117A87">
            <w:pPr>
              <w:jc w:val="center"/>
            </w:pPr>
            <w:r>
              <w:rPr>
                <w:color w:val="000000"/>
                <w:sz w:val="18"/>
                <w:szCs w:val="18"/>
              </w:rPr>
              <w:t>-5234.6</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3F5EF9E" w14:textId="77777777" w:rsidR="00CC5C3E" w:rsidRDefault="00117A87">
            <w:pPr>
              <w:jc w:val="center"/>
            </w:pPr>
            <w:r>
              <w:rPr>
                <w:color w:val="000000"/>
                <w:sz w:val="18"/>
                <w:szCs w:val="18"/>
              </w:rPr>
              <w:t>10499.0</w:t>
            </w:r>
          </w:p>
        </w:tc>
      </w:tr>
      <w:tr w:rsidR="00CC5C3E" w14:paraId="01FEAED0"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1F94772" w14:textId="77777777" w:rsidR="00CC5C3E" w:rsidRDefault="00117A87">
            <w:pPr>
              <w:jc w:val="center"/>
            </w:pPr>
            <w:r>
              <w:rPr>
                <w:color w:val="000000"/>
                <w:sz w:val="18"/>
                <w:szCs w:val="18"/>
              </w:rPr>
              <w:t>Kuwait</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336AD85" w14:textId="77777777" w:rsidR="00CC5C3E" w:rsidRDefault="00117A87">
            <w:pPr>
              <w:jc w:val="center"/>
            </w:pPr>
            <w:r>
              <w:rPr>
                <w:color w:val="000000"/>
                <w:sz w:val="18"/>
                <w:szCs w:val="18"/>
              </w:rPr>
              <w:t>0.012***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AB7746" w14:textId="77777777" w:rsidR="00CC5C3E" w:rsidRDefault="00117A87">
            <w:pPr>
              <w:jc w:val="center"/>
            </w:pPr>
            <w:r>
              <w:rPr>
                <w:color w:val="000000"/>
                <w:sz w:val="18"/>
                <w:szCs w:val="18"/>
              </w:rPr>
              <w:t>0.072***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0B757F" w14:textId="77777777" w:rsidR="00CC5C3E" w:rsidRDefault="00117A87">
            <w:pPr>
              <w:jc w:val="center"/>
            </w:pPr>
            <w:r>
              <w:rPr>
                <w:color w:val="000000"/>
                <w:sz w:val="18"/>
                <w:szCs w:val="18"/>
              </w:rPr>
              <w:t>0.912***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6A76466" w14:textId="77777777" w:rsidR="00CC5C3E" w:rsidRDefault="00117A87">
            <w:pPr>
              <w:jc w:val="center"/>
            </w:pPr>
            <w:r>
              <w:rPr>
                <w:color w:val="000000"/>
                <w:sz w:val="18"/>
                <w:szCs w:val="18"/>
              </w:rPr>
              <w:t>0.984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EC38008" w14:textId="77777777" w:rsidR="00CC5C3E" w:rsidRDefault="00117A87">
            <w:pPr>
              <w:jc w:val="center"/>
            </w:pPr>
            <w:r>
              <w:rPr>
                <w:color w:val="000000"/>
                <w:sz w:val="18"/>
                <w:szCs w:val="18"/>
              </w:rPr>
              <w:t>6.89***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D13B116" w14:textId="77777777" w:rsidR="00CC5C3E" w:rsidRDefault="00117A87">
            <w:pPr>
              <w:jc w:val="center"/>
            </w:pPr>
            <w:r>
              <w:rPr>
                <w:color w:val="000000"/>
                <w:sz w:val="18"/>
                <w:szCs w:val="18"/>
              </w:rPr>
              <w:t>-3987.4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77D6E56" w14:textId="77777777" w:rsidR="00CC5C3E" w:rsidRDefault="00117A87">
            <w:pPr>
              <w:jc w:val="center"/>
            </w:pPr>
            <w:r>
              <w:rPr>
                <w:color w:val="000000"/>
                <w:sz w:val="18"/>
                <w:szCs w:val="18"/>
              </w:rPr>
              <w:t>7994.6</w:t>
            </w:r>
          </w:p>
        </w:tc>
      </w:tr>
      <w:tr w:rsidR="00CC5C3E" w14:paraId="1CAF9025"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8525AD" w14:textId="77777777" w:rsidR="00CC5C3E" w:rsidRDefault="00117A87">
            <w:pPr>
              <w:jc w:val="center"/>
            </w:pPr>
            <w:r>
              <w:rPr>
                <w:color w:val="000000"/>
                <w:sz w:val="18"/>
                <w:szCs w:val="18"/>
              </w:rPr>
              <w:t>Qatar</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9031598" w14:textId="77777777" w:rsidR="00CC5C3E" w:rsidRDefault="00117A87">
            <w:pPr>
              <w:jc w:val="center"/>
            </w:pPr>
            <w:r>
              <w:rPr>
                <w:color w:val="000000"/>
                <w:sz w:val="18"/>
                <w:szCs w:val="18"/>
              </w:rPr>
              <w:t>0.019***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6605E75" w14:textId="77777777" w:rsidR="00CC5C3E" w:rsidRDefault="00117A87">
            <w:pPr>
              <w:jc w:val="center"/>
            </w:pPr>
            <w:r>
              <w:rPr>
                <w:color w:val="000000"/>
                <w:sz w:val="18"/>
                <w:szCs w:val="18"/>
              </w:rPr>
              <w:t>0.104***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A147A1C" w14:textId="77777777" w:rsidR="00CC5C3E" w:rsidRDefault="00117A87">
            <w:pPr>
              <w:jc w:val="center"/>
            </w:pPr>
            <w:r>
              <w:rPr>
                <w:color w:val="000000"/>
                <w:sz w:val="18"/>
                <w:szCs w:val="18"/>
              </w:rPr>
              <w:t>0.878***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E9D4236" w14:textId="77777777" w:rsidR="00CC5C3E" w:rsidRDefault="00117A87">
            <w:pPr>
              <w:jc w:val="center"/>
            </w:pPr>
            <w:r>
              <w:rPr>
                <w:color w:val="000000"/>
                <w:sz w:val="18"/>
                <w:szCs w:val="18"/>
              </w:rPr>
              <w:t>0.982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01FABE" w14:textId="77777777" w:rsidR="00CC5C3E" w:rsidRDefault="00117A87">
            <w:pPr>
              <w:jc w:val="center"/>
            </w:pPr>
            <w:r>
              <w:rPr>
                <w:color w:val="000000"/>
                <w:sz w:val="18"/>
                <w:szCs w:val="18"/>
              </w:rPr>
              <w:t>5.67***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FD1EDE" w14:textId="77777777" w:rsidR="00CC5C3E" w:rsidRDefault="00117A87">
            <w:pPr>
              <w:jc w:val="center"/>
            </w:pPr>
            <w:r>
              <w:rPr>
                <w:color w:val="000000"/>
                <w:sz w:val="18"/>
                <w:szCs w:val="18"/>
              </w:rPr>
              <w:t>-4156.2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9960E4E" w14:textId="77777777" w:rsidR="00CC5C3E" w:rsidRDefault="00117A87">
            <w:pPr>
              <w:jc w:val="center"/>
            </w:pPr>
            <w:r>
              <w:rPr>
                <w:color w:val="000000"/>
                <w:sz w:val="18"/>
                <w:szCs w:val="18"/>
              </w:rPr>
              <w:t>8342.2</w:t>
            </w:r>
          </w:p>
        </w:tc>
      </w:tr>
      <w:tr w:rsidR="00CC5C3E" w14:paraId="0FD97C7C"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6398BB3" w14:textId="77777777" w:rsidR="00CC5C3E" w:rsidRDefault="00117A87">
            <w:pPr>
              <w:jc w:val="center"/>
            </w:pPr>
            <w:r>
              <w:rPr>
                <w:color w:val="000000"/>
                <w:sz w:val="18"/>
                <w:szCs w:val="18"/>
              </w:rPr>
              <w:t>Bahrain</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8B1049B" w14:textId="77777777" w:rsidR="00CC5C3E" w:rsidRDefault="00117A87">
            <w:pPr>
              <w:jc w:val="center"/>
            </w:pPr>
            <w:r>
              <w:rPr>
                <w:color w:val="000000"/>
                <w:sz w:val="18"/>
                <w:szCs w:val="18"/>
              </w:rPr>
              <w:t>0.009***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0A7915" w14:textId="77777777" w:rsidR="00CC5C3E" w:rsidRDefault="00117A87">
            <w:pPr>
              <w:jc w:val="center"/>
            </w:pPr>
            <w:r>
              <w:rPr>
                <w:color w:val="000000"/>
                <w:sz w:val="18"/>
                <w:szCs w:val="18"/>
              </w:rPr>
              <w:t>0.062***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ED42578" w14:textId="77777777" w:rsidR="00CC5C3E" w:rsidRDefault="00117A87">
            <w:pPr>
              <w:jc w:val="center"/>
            </w:pPr>
            <w:r>
              <w:rPr>
                <w:color w:val="000000"/>
                <w:sz w:val="18"/>
                <w:szCs w:val="18"/>
              </w:rPr>
              <w:t>0.904***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BAE5CC3" w14:textId="77777777" w:rsidR="00CC5C3E" w:rsidRDefault="00117A87">
            <w:pPr>
              <w:jc w:val="center"/>
            </w:pPr>
            <w:r>
              <w:rPr>
                <w:color w:val="000000"/>
                <w:sz w:val="18"/>
                <w:szCs w:val="18"/>
              </w:rPr>
              <w:t>0.966</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297B88" w14:textId="77777777" w:rsidR="00CC5C3E" w:rsidRDefault="00117A87">
            <w:pPr>
              <w:jc w:val="center"/>
            </w:pPr>
            <w:r>
              <w:rPr>
                <w:color w:val="000000"/>
                <w:sz w:val="18"/>
                <w:szCs w:val="18"/>
              </w:rPr>
              <w:t>7.34***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174F050" w14:textId="77777777" w:rsidR="00CC5C3E" w:rsidRDefault="00117A87">
            <w:pPr>
              <w:jc w:val="center"/>
            </w:pPr>
            <w:r>
              <w:rPr>
                <w:color w:val="000000"/>
                <w:sz w:val="18"/>
                <w:szCs w:val="18"/>
              </w:rPr>
              <w:t>-3312.8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E341A15" w14:textId="77777777" w:rsidR="00CC5C3E" w:rsidRDefault="00117A87">
            <w:pPr>
              <w:jc w:val="center"/>
            </w:pPr>
            <w:r>
              <w:rPr>
                <w:color w:val="000000"/>
                <w:sz w:val="18"/>
                <w:szCs w:val="18"/>
              </w:rPr>
              <w:t>6655.4</w:t>
            </w:r>
          </w:p>
        </w:tc>
      </w:tr>
      <w:tr w:rsidR="00CC5C3E" w14:paraId="50086627"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5896742" w14:textId="77777777" w:rsidR="00CC5C3E" w:rsidRDefault="00117A87">
            <w:pPr>
              <w:jc w:val="center"/>
            </w:pPr>
            <w:r>
              <w:rPr>
                <w:color w:val="000000"/>
                <w:sz w:val="18"/>
                <w:szCs w:val="18"/>
              </w:rPr>
              <w:t>Oman</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34B0A06" w14:textId="77777777" w:rsidR="00CC5C3E" w:rsidRDefault="00117A87">
            <w:pPr>
              <w:jc w:val="center"/>
            </w:pPr>
            <w:r>
              <w:rPr>
                <w:color w:val="000000"/>
                <w:sz w:val="18"/>
                <w:szCs w:val="18"/>
              </w:rPr>
              <w:t>0.016***</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0CC40C1" w14:textId="77777777" w:rsidR="00CC5C3E" w:rsidRDefault="00117A87">
            <w:pPr>
              <w:jc w:val="center"/>
            </w:pPr>
            <w:r>
              <w:rPr>
                <w:color w:val="000000"/>
                <w:sz w:val="18"/>
                <w:szCs w:val="18"/>
              </w:rPr>
              <w:t>0.089***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6DCE4EA" w14:textId="77777777" w:rsidR="00CC5C3E" w:rsidRDefault="00117A87">
            <w:pPr>
              <w:jc w:val="center"/>
            </w:pPr>
            <w:r>
              <w:rPr>
                <w:color w:val="000000"/>
                <w:sz w:val="18"/>
                <w:szCs w:val="18"/>
              </w:rPr>
              <w:t>0.891***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3468C58" w14:textId="77777777" w:rsidR="00CC5C3E" w:rsidRDefault="00117A87">
            <w:pPr>
              <w:jc w:val="center"/>
            </w:pPr>
            <w:r>
              <w:rPr>
                <w:color w:val="000000"/>
                <w:sz w:val="18"/>
                <w:szCs w:val="18"/>
              </w:rPr>
              <w:t>0.980</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482F3AC" w14:textId="77777777" w:rsidR="00CC5C3E" w:rsidRDefault="00117A87">
            <w:pPr>
              <w:jc w:val="center"/>
            </w:pPr>
            <w:r>
              <w:rPr>
                <w:color w:val="000000"/>
                <w:sz w:val="18"/>
                <w:szCs w:val="18"/>
              </w:rPr>
              <w:t>5.98***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CACFF2" w14:textId="77777777" w:rsidR="00CC5C3E" w:rsidRDefault="00117A87">
            <w:pPr>
              <w:jc w:val="center"/>
            </w:pPr>
            <w:r>
              <w:rPr>
                <w:color w:val="000000"/>
                <w:sz w:val="18"/>
                <w:szCs w:val="18"/>
              </w:rPr>
              <w:t>-4023.1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598552C" w14:textId="77777777" w:rsidR="00CC5C3E" w:rsidRDefault="00117A87">
            <w:pPr>
              <w:jc w:val="center"/>
            </w:pPr>
            <w:r>
              <w:rPr>
                <w:color w:val="000000"/>
                <w:sz w:val="18"/>
                <w:szCs w:val="18"/>
              </w:rPr>
              <w:t>8076.0</w:t>
            </w:r>
          </w:p>
        </w:tc>
      </w:tr>
    </w:tbl>
    <w:p w14:paraId="6D43D8F5" w14:textId="77777777" w:rsidR="00CC5C3E" w:rsidRDefault="00CC5C3E">
      <w:pPr>
        <w:spacing w:before="60" w:after="60"/>
      </w:pPr>
    </w:p>
    <w:p w14:paraId="5EE71355" w14:textId="77777777" w:rsidR="00CC5C3E" w:rsidRDefault="00117A87" w:rsidP="005B4A4B">
      <w:pPr>
        <w:bidi w:val="0"/>
        <w:spacing w:before="60" w:after="60"/>
        <w:jc w:val="both"/>
      </w:pPr>
      <w:r>
        <w:rPr>
          <w:i/>
          <w:iCs/>
        </w:rPr>
        <w:t>Table 2: GARCH(1,1) Parameter Estimates under Student-t innovations. *** (**) (*) denotes significance at 1% (5%) (10%). Log-L: maximized log-likelihood. BIC: Bayesian Information Criterion.</w:t>
      </w:r>
    </w:p>
    <w:p w14:paraId="61DD861C" w14:textId="77777777" w:rsidR="00CC5C3E" w:rsidRDefault="00CC5C3E">
      <w:pPr>
        <w:spacing w:before="60" w:after="60"/>
      </w:pPr>
    </w:p>
    <w:p w14:paraId="0A6EBF09" w14:textId="77777777" w:rsidR="00CC5C3E" w:rsidRDefault="00117A87">
      <w:pPr>
        <w:pStyle w:val="2"/>
      </w:pPr>
      <w:r>
        <w:t>5.2 Asymmetric GARCH Results and Leverage Effects</w:t>
      </w:r>
    </w:p>
    <w:p w14:paraId="55A36E19" w14:textId="77777777" w:rsidR="00CC5C3E" w:rsidRDefault="00117A87" w:rsidP="005B4A4B">
      <w:pPr>
        <w:bidi w:val="0"/>
        <w:spacing w:before="60" w:after="60" w:line="360" w:lineRule="auto"/>
        <w:ind w:firstLine="720"/>
        <w:jc w:val="both"/>
      </w:pPr>
      <w:r>
        <w:t>Table 3 compares the leverage effect parameters across the EGARCH, GJR-GARCH, and APARCH specifications. The EGARCH leverage parameter gamma is negative and statistically significant at the 1% level for all seven markets, confirming the presence of asymmetric volatility responses. The magnitudes range from -0.089 (Bahrain) to -0.247 (DFM), indicating that negative shocks substantially amplify conditional variance relative to positive shocks of equal magnitude.</w:t>
      </w:r>
    </w:p>
    <w:p w14:paraId="79C386E7" w14:textId="77777777" w:rsidR="00CC5C3E" w:rsidRDefault="00117A87" w:rsidP="005B4A4B">
      <w:pPr>
        <w:bidi w:val="0"/>
        <w:spacing w:before="60" w:after="60" w:line="360" w:lineRule="auto"/>
        <w:ind w:firstLine="720"/>
        <w:jc w:val="both"/>
      </w:pPr>
      <w:r>
        <w:t>Under the GJR-GARCH specification, the asymmetry parameter gamma is positive and significant at the 1% level for five of the seven markets, with TASI (0.134) and DFM (0.178) exhibiting the strongest leverage effects. Bahrain and Kuwait show marginally significant asymmetry, consistent with these markets' lower liquidity and less developed derivatives infrastructure. These findings confirm that the leverage effect — typically associated with increases in financial leverage following negative returns — is not confined to developed equity markets but is equally prevalent in GCC economies.</w:t>
      </w:r>
    </w:p>
    <w:p w14:paraId="5D1B333E" w14:textId="77777777" w:rsidR="00CC5C3E" w:rsidRDefault="00117A87" w:rsidP="005B4A4B">
      <w:pPr>
        <w:bidi w:val="0"/>
        <w:spacing w:before="60" w:after="60" w:line="360" w:lineRule="auto"/>
        <w:ind w:firstLine="720"/>
        <w:jc w:val="both"/>
      </w:pPr>
      <w:r>
        <w:t>The APARCH power parameter delta is estimated to be substantially below 2 for all markets, ranging from 1.21 (Bahrain) to 1.68 (DFM), indicating that a power transformation lower than the variance is optimal for capturing the volatility dynamics. The likelihood ratio tests strongly reject the restriction delta=2 (i.e., the GARCH restriction) at the 1% level for all markets except Bahrain.</w:t>
      </w:r>
    </w:p>
    <w:p w14:paraId="7789BDF1" w14:textId="77777777" w:rsidR="00CC5C3E" w:rsidRDefault="00CC5C3E">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3"/>
        <w:gridCol w:w="1112"/>
        <w:gridCol w:w="1062"/>
        <w:gridCol w:w="1102"/>
        <w:gridCol w:w="1102"/>
        <w:gridCol w:w="1480"/>
        <w:gridCol w:w="1119"/>
        <w:gridCol w:w="1360"/>
      </w:tblGrid>
      <w:tr w:rsidR="00CC5C3E" w14:paraId="2FF768FD" w14:textId="77777777">
        <w:trPr>
          <w:tblHeader/>
        </w:trPr>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A48C062" w14:textId="77777777" w:rsidR="00CC5C3E" w:rsidRDefault="00117A87">
            <w:pPr>
              <w:jc w:val="center"/>
            </w:pPr>
            <w:r>
              <w:rPr>
                <w:b/>
                <w:bCs/>
                <w:color w:val="FFFFFF"/>
                <w:sz w:val="18"/>
                <w:szCs w:val="18"/>
              </w:rPr>
              <w:t>Market</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40956ED" w14:textId="77777777" w:rsidR="00CC5C3E" w:rsidRDefault="00117A87">
            <w:pPr>
              <w:jc w:val="center"/>
            </w:pPr>
            <w:r>
              <w:rPr>
                <w:b/>
                <w:bCs/>
                <w:color w:val="FFFFFF"/>
                <w:sz w:val="18"/>
                <w:szCs w:val="18"/>
              </w:rPr>
              <w:t>EGARCH gamma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0558AE86" w14:textId="77777777" w:rsidR="00CC5C3E" w:rsidRDefault="00117A87">
            <w:pPr>
              <w:jc w:val="center"/>
            </w:pPr>
            <w:r>
              <w:rPr>
                <w:b/>
                <w:bCs/>
                <w:color w:val="FFFFFF"/>
                <w:sz w:val="18"/>
                <w:szCs w:val="18"/>
              </w:rPr>
              <w:t>GJR gamma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362BF7CA" w14:textId="77777777" w:rsidR="00CC5C3E" w:rsidRDefault="00117A87">
            <w:pPr>
              <w:jc w:val="center"/>
            </w:pPr>
            <w:r>
              <w:rPr>
                <w:b/>
                <w:bCs/>
                <w:color w:val="FFFFFF"/>
                <w:sz w:val="18"/>
                <w:szCs w:val="18"/>
              </w:rPr>
              <w:t>APARCH delta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FCDC132" w14:textId="77777777" w:rsidR="00CC5C3E" w:rsidRDefault="00117A87">
            <w:pPr>
              <w:jc w:val="center"/>
            </w:pPr>
            <w:r>
              <w:rPr>
                <w:b/>
                <w:bCs/>
                <w:color w:val="FFFFFF"/>
                <w:sz w:val="18"/>
                <w:szCs w:val="18"/>
              </w:rPr>
              <w:t>APARCH gamma</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3797993" w14:textId="77777777" w:rsidR="00CC5C3E" w:rsidRDefault="00117A87">
            <w:pPr>
              <w:jc w:val="center"/>
            </w:pPr>
            <w:r>
              <w:rPr>
                <w:b/>
                <w:bCs/>
                <w:color w:val="FFFFFF"/>
                <w:sz w:val="18"/>
                <w:szCs w:val="18"/>
              </w:rPr>
              <w:t>AIC(EGARCH)</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0639D126" w14:textId="77777777" w:rsidR="00CC5C3E" w:rsidRDefault="00117A87">
            <w:pPr>
              <w:jc w:val="center"/>
            </w:pPr>
            <w:r>
              <w:rPr>
                <w:b/>
                <w:bCs/>
                <w:color w:val="FFFFFF"/>
                <w:sz w:val="18"/>
                <w:szCs w:val="18"/>
              </w:rPr>
              <w:t>AIC(GJR)</w:t>
            </w:r>
          </w:p>
        </w:tc>
        <w:tc>
          <w:tcPr>
            <w:tcW w:w="117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31962FD" w14:textId="77777777" w:rsidR="00CC5C3E" w:rsidRDefault="00117A87">
            <w:pPr>
              <w:jc w:val="center"/>
            </w:pPr>
            <w:r>
              <w:rPr>
                <w:b/>
                <w:bCs/>
                <w:color w:val="FFFFFF"/>
                <w:sz w:val="18"/>
                <w:szCs w:val="18"/>
              </w:rPr>
              <w:t>AIC(GARCH)</w:t>
            </w:r>
          </w:p>
        </w:tc>
      </w:tr>
      <w:tr w:rsidR="00CC5C3E" w14:paraId="745E1370"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1838D19" w14:textId="77777777" w:rsidR="00CC5C3E" w:rsidRDefault="00117A87">
            <w:pPr>
              <w:jc w:val="center"/>
            </w:pPr>
            <w:r>
              <w:rPr>
                <w:color w:val="000000"/>
                <w:sz w:val="18"/>
                <w:szCs w:val="18"/>
              </w:rPr>
              <w:t>TASI</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EC8D417" w14:textId="77777777" w:rsidR="00CC5C3E" w:rsidRDefault="00117A87">
            <w:pPr>
              <w:jc w:val="center"/>
            </w:pPr>
            <w:r>
              <w:rPr>
                <w:color w:val="000000"/>
                <w:sz w:val="18"/>
                <w:szCs w:val="18"/>
              </w:rPr>
              <w:t>-0.187***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97D78A8" w14:textId="77777777" w:rsidR="00CC5C3E" w:rsidRDefault="00117A87">
            <w:pPr>
              <w:jc w:val="center"/>
            </w:pPr>
            <w:r>
              <w:rPr>
                <w:color w:val="000000"/>
                <w:sz w:val="18"/>
                <w:szCs w:val="18"/>
              </w:rPr>
              <w:t>0.134***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8A9A13" w14:textId="77777777" w:rsidR="00CC5C3E" w:rsidRDefault="00117A87">
            <w:pPr>
              <w:jc w:val="center"/>
            </w:pPr>
            <w:r>
              <w:rPr>
                <w:color w:val="000000"/>
                <w:sz w:val="18"/>
                <w:szCs w:val="18"/>
              </w:rPr>
              <w:t>1.54***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945AAF6" w14:textId="77777777" w:rsidR="00CC5C3E" w:rsidRDefault="00117A87">
            <w:pPr>
              <w:jc w:val="center"/>
            </w:pPr>
            <w:r>
              <w:rPr>
                <w:color w:val="000000"/>
                <w:sz w:val="18"/>
                <w:szCs w:val="18"/>
              </w:rPr>
              <w:t>0.142***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0BC73F6" w14:textId="77777777" w:rsidR="00CC5C3E" w:rsidRDefault="00117A87">
            <w:pPr>
              <w:jc w:val="center"/>
            </w:pPr>
            <w:r>
              <w:rPr>
                <w:color w:val="000000"/>
                <w:sz w:val="18"/>
                <w:szCs w:val="18"/>
              </w:rPr>
              <w:t>9618.2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8B980FB" w14:textId="77777777" w:rsidR="00CC5C3E" w:rsidRDefault="00117A87">
            <w:pPr>
              <w:jc w:val="center"/>
            </w:pPr>
            <w:r>
              <w:rPr>
                <w:color w:val="000000"/>
                <w:sz w:val="18"/>
                <w:szCs w:val="18"/>
              </w:rPr>
              <w:t>9605.4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95E424" w14:textId="77777777" w:rsidR="00CC5C3E" w:rsidRDefault="00117A87">
            <w:pPr>
              <w:jc w:val="center"/>
            </w:pPr>
            <w:r>
              <w:rPr>
                <w:color w:val="000000"/>
                <w:sz w:val="18"/>
                <w:szCs w:val="18"/>
              </w:rPr>
              <w:t>9671.2</w:t>
            </w:r>
          </w:p>
        </w:tc>
      </w:tr>
      <w:tr w:rsidR="00CC5C3E" w14:paraId="7B52BDD1"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81CB223" w14:textId="77777777" w:rsidR="00CC5C3E" w:rsidRDefault="00117A87">
            <w:pPr>
              <w:jc w:val="center"/>
            </w:pPr>
            <w:r>
              <w:rPr>
                <w:color w:val="000000"/>
                <w:sz w:val="18"/>
                <w:szCs w:val="18"/>
              </w:rPr>
              <w:t>ADX</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FEACBB2" w14:textId="77777777" w:rsidR="00CC5C3E" w:rsidRDefault="00117A87">
            <w:pPr>
              <w:jc w:val="center"/>
            </w:pPr>
            <w:r>
              <w:rPr>
                <w:color w:val="000000"/>
                <w:sz w:val="18"/>
                <w:szCs w:val="18"/>
              </w:rPr>
              <w:t>-0.143***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95437B" w14:textId="77777777" w:rsidR="00CC5C3E" w:rsidRDefault="00117A87">
            <w:pPr>
              <w:jc w:val="center"/>
            </w:pPr>
            <w:r>
              <w:rPr>
                <w:color w:val="000000"/>
                <w:sz w:val="18"/>
                <w:szCs w:val="18"/>
              </w:rPr>
              <w:t>0.098***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24A9B06" w14:textId="77777777" w:rsidR="00CC5C3E" w:rsidRDefault="00117A87">
            <w:pPr>
              <w:jc w:val="center"/>
            </w:pPr>
            <w:r>
              <w:rPr>
                <w:color w:val="000000"/>
                <w:sz w:val="18"/>
                <w:szCs w:val="18"/>
              </w:rPr>
              <w:t>1.48***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2A311D" w14:textId="77777777" w:rsidR="00CC5C3E" w:rsidRDefault="00117A87">
            <w:pPr>
              <w:jc w:val="center"/>
            </w:pPr>
            <w:r>
              <w:rPr>
                <w:color w:val="000000"/>
                <w:sz w:val="18"/>
                <w:szCs w:val="18"/>
              </w:rPr>
              <w:t>0.108***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AAE9CB" w14:textId="77777777" w:rsidR="00CC5C3E" w:rsidRDefault="00117A87">
            <w:pPr>
              <w:jc w:val="center"/>
            </w:pPr>
            <w:r>
              <w:rPr>
                <w:color w:val="000000"/>
                <w:sz w:val="18"/>
                <w:szCs w:val="18"/>
              </w:rPr>
              <w:t>8598.7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D7FCCB" w14:textId="77777777" w:rsidR="00CC5C3E" w:rsidRDefault="00117A87">
            <w:pPr>
              <w:jc w:val="center"/>
            </w:pPr>
            <w:r>
              <w:rPr>
                <w:color w:val="000000"/>
                <w:sz w:val="18"/>
                <w:szCs w:val="18"/>
              </w:rPr>
              <w:t>8591.3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09CEE4" w14:textId="77777777" w:rsidR="00CC5C3E" w:rsidRDefault="00117A87">
            <w:pPr>
              <w:jc w:val="center"/>
            </w:pPr>
            <w:r>
              <w:rPr>
                <w:color w:val="000000"/>
                <w:sz w:val="18"/>
                <w:szCs w:val="18"/>
              </w:rPr>
              <w:t>8654.1</w:t>
            </w:r>
          </w:p>
        </w:tc>
      </w:tr>
      <w:tr w:rsidR="00CC5C3E" w14:paraId="6D82CC0F"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048F596" w14:textId="77777777" w:rsidR="00CC5C3E" w:rsidRDefault="00117A87">
            <w:pPr>
              <w:jc w:val="center"/>
            </w:pPr>
            <w:r>
              <w:rPr>
                <w:color w:val="000000"/>
                <w:sz w:val="18"/>
                <w:szCs w:val="18"/>
              </w:rPr>
              <w:lastRenderedPageBreak/>
              <w:t>DFM</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023C4D" w14:textId="77777777" w:rsidR="00CC5C3E" w:rsidRDefault="00117A87">
            <w:pPr>
              <w:jc w:val="center"/>
            </w:pPr>
            <w:r>
              <w:rPr>
                <w:color w:val="000000"/>
                <w:sz w:val="18"/>
                <w:szCs w:val="18"/>
              </w:rPr>
              <w:t>-0.247***</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2D05ABF" w14:textId="77777777" w:rsidR="00CC5C3E" w:rsidRDefault="00117A87">
            <w:pPr>
              <w:jc w:val="center"/>
            </w:pPr>
            <w:r>
              <w:rPr>
                <w:color w:val="000000"/>
                <w:sz w:val="18"/>
                <w:szCs w:val="18"/>
              </w:rPr>
              <w:t>0.178***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362621" w14:textId="77777777" w:rsidR="00CC5C3E" w:rsidRDefault="00117A87">
            <w:pPr>
              <w:jc w:val="center"/>
            </w:pPr>
            <w:r>
              <w:rPr>
                <w:color w:val="000000"/>
                <w:sz w:val="18"/>
                <w:szCs w:val="18"/>
              </w:rPr>
              <w:t>1.68***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E61AA8A" w14:textId="77777777" w:rsidR="00CC5C3E" w:rsidRDefault="00117A87">
            <w:pPr>
              <w:jc w:val="center"/>
            </w:pPr>
            <w:r>
              <w:rPr>
                <w:color w:val="000000"/>
                <w:sz w:val="18"/>
                <w:szCs w:val="18"/>
              </w:rPr>
              <w:t>0.165***</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3D82ED9" w14:textId="77777777" w:rsidR="00CC5C3E" w:rsidRDefault="00117A87">
            <w:pPr>
              <w:jc w:val="center"/>
            </w:pPr>
            <w:r>
              <w:rPr>
                <w:color w:val="000000"/>
                <w:sz w:val="18"/>
                <w:szCs w:val="18"/>
              </w:rPr>
              <w:t>10431.5</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78A15F2" w14:textId="77777777" w:rsidR="00CC5C3E" w:rsidRDefault="00117A87">
            <w:pPr>
              <w:jc w:val="center"/>
            </w:pPr>
            <w:r>
              <w:rPr>
                <w:color w:val="000000"/>
                <w:sz w:val="18"/>
                <w:szCs w:val="18"/>
              </w:rPr>
              <w:t>10418.9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78B9F4" w14:textId="77777777" w:rsidR="00CC5C3E" w:rsidRDefault="00117A87">
            <w:pPr>
              <w:jc w:val="center"/>
            </w:pPr>
            <w:r>
              <w:rPr>
                <w:color w:val="000000"/>
                <w:sz w:val="18"/>
                <w:szCs w:val="18"/>
              </w:rPr>
              <w:t>10497.8</w:t>
            </w:r>
          </w:p>
        </w:tc>
      </w:tr>
      <w:tr w:rsidR="00CC5C3E" w14:paraId="739278EF"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DB568E" w14:textId="77777777" w:rsidR="00CC5C3E" w:rsidRDefault="00117A87">
            <w:pPr>
              <w:jc w:val="center"/>
            </w:pPr>
            <w:r>
              <w:rPr>
                <w:color w:val="000000"/>
                <w:sz w:val="18"/>
                <w:szCs w:val="18"/>
              </w:rPr>
              <w:t>Kuwait</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2947035" w14:textId="77777777" w:rsidR="00CC5C3E" w:rsidRDefault="00117A87">
            <w:pPr>
              <w:jc w:val="center"/>
            </w:pPr>
            <w:r>
              <w:rPr>
                <w:color w:val="000000"/>
                <w:sz w:val="18"/>
                <w:szCs w:val="18"/>
              </w:rPr>
              <w:t>-0.108***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3A18D4D" w14:textId="77777777" w:rsidR="00CC5C3E" w:rsidRDefault="00117A87">
            <w:pPr>
              <w:jc w:val="center"/>
            </w:pPr>
            <w:r>
              <w:rPr>
                <w:color w:val="000000"/>
                <w:sz w:val="18"/>
                <w:szCs w:val="18"/>
              </w:rPr>
              <w:t>0.071**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7B69A1E" w14:textId="77777777" w:rsidR="00CC5C3E" w:rsidRDefault="00117A87">
            <w:pPr>
              <w:jc w:val="center"/>
            </w:pPr>
            <w:r>
              <w:rPr>
                <w:color w:val="000000"/>
                <w:sz w:val="18"/>
                <w:szCs w:val="18"/>
              </w:rPr>
              <w:t>1.39***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3432DE4" w14:textId="77777777" w:rsidR="00CC5C3E" w:rsidRDefault="00117A87">
            <w:pPr>
              <w:jc w:val="center"/>
            </w:pPr>
            <w:r>
              <w:rPr>
                <w:color w:val="000000"/>
                <w:sz w:val="18"/>
                <w:szCs w:val="18"/>
              </w:rPr>
              <w:t>0.082**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344581F" w14:textId="77777777" w:rsidR="00CC5C3E" w:rsidRDefault="00117A87">
            <w:pPr>
              <w:jc w:val="center"/>
            </w:pPr>
            <w:r>
              <w:rPr>
                <w:color w:val="000000"/>
                <w:sz w:val="18"/>
                <w:szCs w:val="18"/>
              </w:rPr>
              <w:t>7942.1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FF5845D" w14:textId="77777777" w:rsidR="00CC5C3E" w:rsidRDefault="00117A87">
            <w:pPr>
              <w:jc w:val="center"/>
            </w:pPr>
            <w:r>
              <w:rPr>
                <w:color w:val="000000"/>
                <w:sz w:val="18"/>
                <w:szCs w:val="18"/>
              </w:rPr>
              <w:t>7939.8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8E3BB3B" w14:textId="77777777" w:rsidR="00CC5C3E" w:rsidRDefault="00117A87">
            <w:pPr>
              <w:jc w:val="center"/>
            </w:pPr>
            <w:r>
              <w:rPr>
                <w:color w:val="000000"/>
                <w:sz w:val="18"/>
                <w:szCs w:val="18"/>
              </w:rPr>
              <w:t>7993.4</w:t>
            </w:r>
          </w:p>
        </w:tc>
      </w:tr>
      <w:tr w:rsidR="00CC5C3E" w14:paraId="1AAF7E31"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53652FF" w14:textId="77777777" w:rsidR="00CC5C3E" w:rsidRDefault="00117A87">
            <w:pPr>
              <w:jc w:val="center"/>
            </w:pPr>
            <w:r>
              <w:rPr>
                <w:color w:val="000000"/>
                <w:sz w:val="18"/>
                <w:szCs w:val="18"/>
              </w:rPr>
              <w:t>Qatar</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01AE950" w14:textId="77777777" w:rsidR="00CC5C3E" w:rsidRDefault="00117A87">
            <w:pPr>
              <w:jc w:val="center"/>
            </w:pPr>
            <w:r>
              <w:rPr>
                <w:color w:val="000000"/>
                <w:sz w:val="18"/>
                <w:szCs w:val="18"/>
              </w:rPr>
              <w:t>-0.162***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3757263" w14:textId="77777777" w:rsidR="00CC5C3E" w:rsidRDefault="00117A87">
            <w:pPr>
              <w:jc w:val="center"/>
            </w:pPr>
            <w:r>
              <w:rPr>
                <w:color w:val="000000"/>
                <w:sz w:val="18"/>
                <w:szCs w:val="18"/>
              </w:rPr>
              <w:t>0.112***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B20F05" w14:textId="77777777" w:rsidR="00CC5C3E" w:rsidRDefault="00117A87">
            <w:pPr>
              <w:jc w:val="center"/>
            </w:pPr>
            <w:r>
              <w:rPr>
                <w:color w:val="000000"/>
                <w:sz w:val="18"/>
                <w:szCs w:val="18"/>
              </w:rPr>
              <w:t>1.52***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8F6D821" w14:textId="77777777" w:rsidR="00CC5C3E" w:rsidRDefault="00117A87">
            <w:pPr>
              <w:jc w:val="center"/>
            </w:pPr>
            <w:r>
              <w:rPr>
                <w:color w:val="000000"/>
                <w:sz w:val="18"/>
                <w:szCs w:val="18"/>
              </w:rPr>
              <w:t>0.121***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CE555C" w14:textId="77777777" w:rsidR="00CC5C3E" w:rsidRDefault="00117A87">
            <w:pPr>
              <w:jc w:val="center"/>
            </w:pPr>
            <w:r>
              <w:rPr>
                <w:color w:val="000000"/>
                <w:sz w:val="18"/>
                <w:szCs w:val="18"/>
              </w:rPr>
              <w:t>8286.4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6AD8F6D" w14:textId="77777777" w:rsidR="00CC5C3E" w:rsidRDefault="00117A87">
            <w:pPr>
              <w:jc w:val="center"/>
            </w:pPr>
            <w:r>
              <w:rPr>
                <w:color w:val="000000"/>
                <w:sz w:val="18"/>
                <w:szCs w:val="18"/>
              </w:rPr>
              <w:t>8279.6</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641CBF" w14:textId="77777777" w:rsidR="00CC5C3E" w:rsidRDefault="00117A87">
            <w:pPr>
              <w:jc w:val="center"/>
            </w:pPr>
            <w:r>
              <w:rPr>
                <w:color w:val="000000"/>
                <w:sz w:val="18"/>
                <w:szCs w:val="18"/>
              </w:rPr>
              <w:t>8341.0</w:t>
            </w:r>
          </w:p>
        </w:tc>
      </w:tr>
      <w:tr w:rsidR="00CC5C3E" w14:paraId="3D0D9137"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988D71F" w14:textId="77777777" w:rsidR="00CC5C3E" w:rsidRDefault="00117A87">
            <w:pPr>
              <w:jc w:val="center"/>
            </w:pPr>
            <w:r>
              <w:rPr>
                <w:color w:val="000000"/>
                <w:sz w:val="18"/>
                <w:szCs w:val="18"/>
              </w:rPr>
              <w:t>Bahrain</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1B19860" w14:textId="77777777" w:rsidR="00CC5C3E" w:rsidRDefault="00117A87">
            <w:pPr>
              <w:jc w:val="center"/>
            </w:pPr>
            <w:r>
              <w:rPr>
                <w:color w:val="000000"/>
                <w:sz w:val="18"/>
                <w:szCs w:val="18"/>
              </w:rPr>
              <w:t>-0.089***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52F8C17" w14:textId="77777777" w:rsidR="00CC5C3E" w:rsidRDefault="00117A87">
            <w:pPr>
              <w:jc w:val="center"/>
            </w:pPr>
            <w:r>
              <w:rPr>
                <w:color w:val="000000"/>
                <w:sz w:val="18"/>
                <w:szCs w:val="18"/>
              </w:rPr>
              <w:t>0.054*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C1E39E1" w14:textId="77777777" w:rsidR="00CC5C3E" w:rsidRDefault="00117A87">
            <w:pPr>
              <w:jc w:val="center"/>
            </w:pPr>
            <w:r>
              <w:rPr>
                <w:color w:val="000000"/>
                <w:sz w:val="18"/>
                <w:szCs w:val="18"/>
              </w:rPr>
              <w:t>1.21**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E9F3951" w14:textId="77777777" w:rsidR="00CC5C3E" w:rsidRDefault="00117A87">
            <w:pPr>
              <w:jc w:val="center"/>
            </w:pPr>
            <w:r>
              <w:rPr>
                <w:color w:val="000000"/>
                <w:sz w:val="18"/>
                <w:szCs w:val="18"/>
              </w:rPr>
              <w:t>0.061*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D66A453" w14:textId="77777777" w:rsidR="00CC5C3E" w:rsidRDefault="00117A87">
            <w:pPr>
              <w:jc w:val="center"/>
            </w:pPr>
            <w:r>
              <w:rPr>
                <w:color w:val="000000"/>
                <w:sz w:val="18"/>
                <w:szCs w:val="18"/>
              </w:rPr>
              <w:t>6607.3</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5BB046D" w14:textId="77777777" w:rsidR="00CC5C3E" w:rsidRDefault="00117A87">
            <w:pPr>
              <w:jc w:val="center"/>
            </w:pPr>
            <w:r>
              <w:rPr>
                <w:color w:val="000000"/>
                <w:sz w:val="18"/>
                <w:szCs w:val="18"/>
              </w:rPr>
              <w:t>6608.2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A5C89A" w14:textId="77777777" w:rsidR="00CC5C3E" w:rsidRDefault="00117A87">
            <w:pPr>
              <w:jc w:val="center"/>
            </w:pPr>
            <w:r>
              <w:rPr>
                <w:color w:val="000000"/>
                <w:sz w:val="18"/>
                <w:szCs w:val="18"/>
              </w:rPr>
              <w:t>6654.2</w:t>
            </w:r>
          </w:p>
        </w:tc>
      </w:tr>
      <w:tr w:rsidR="00CC5C3E" w14:paraId="0AB316D3" w14:textId="77777777">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C88B994" w14:textId="77777777" w:rsidR="00CC5C3E" w:rsidRDefault="00117A87">
            <w:pPr>
              <w:jc w:val="center"/>
            </w:pPr>
            <w:r>
              <w:rPr>
                <w:color w:val="000000"/>
                <w:sz w:val="18"/>
                <w:szCs w:val="18"/>
              </w:rPr>
              <w:t>Oman</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444515C" w14:textId="77777777" w:rsidR="00CC5C3E" w:rsidRDefault="00117A87">
            <w:pPr>
              <w:jc w:val="center"/>
            </w:pPr>
            <w:r>
              <w:rPr>
                <w:color w:val="000000"/>
                <w:sz w:val="18"/>
                <w:szCs w:val="18"/>
              </w:rPr>
              <w:t>-0.134***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BF21428" w14:textId="77777777" w:rsidR="00CC5C3E" w:rsidRDefault="00117A87">
            <w:pPr>
              <w:jc w:val="center"/>
            </w:pPr>
            <w:r>
              <w:rPr>
                <w:color w:val="000000"/>
                <w:sz w:val="18"/>
                <w:szCs w:val="18"/>
              </w:rPr>
              <w:t>0.091***</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0FC2549" w14:textId="77777777" w:rsidR="00CC5C3E" w:rsidRDefault="00117A87">
            <w:pPr>
              <w:jc w:val="center"/>
            </w:pPr>
            <w:r>
              <w:rPr>
                <w:color w:val="000000"/>
                <w:sz w:val="18"/>
                <w:szCs w:val="18"/>
              </w:rPr>
              <w:t>1.44***</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2F4ACA" w14:textId="77777777" w:rsidR="00CC5C3E" w:rsidRDefault="00117A87">
            <w:pPr>
              <w:jc w:val="center"/>
            </w:pPr>
            <w:r>
              <w:rPr>
                <w:color w:val="000000"/>
                <w:sz w:val="18"/>
                <w:szCs w:val="18"/>
              </w:rPr>
              <w:t>0.099***</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5552F74" w14:textId="77777777" w:rsidR="00CC5C3E" w:rsidRDefault="00117A87">
            <w:pPr>
              <w:jc w:val="center"/>
            </w:pPr>
            <w:r>
              <w:rPr>
                <w:color w:val="000000"/>
                <w:sz w:val="18"/>
                <w:szCs w:val="18"/>
              </w:rPr>
              <w:t>8019.8</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0A4996" w14:textId="77777777" w:rsidR="00CC5C3E" w:rsidRDefault="00117A87">
            <w:pPr>
              <w:jc w:val="center"/>
            </w:pPr>
            <w:r>
              <w:rPr>
                <w:color w:val="000000"/>
                <w:sz w:val="18"/>
                <w:szCs w:val="18"/>
              </w:rPr>
              <w:t>8014.2</w:t>
            </w:r>
          </w:p>
        </w:tc>
        <w:tc>
          <w:tcPr>
            <w:tcW w:w="117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5B5CE2A" w14:textId="77777777" w:rsidR="00CC5C3E" w:rsidRDefault="00117A87">
            <w:pPr>
              <w:jc w:val="center"/>
            </w:pPr>
            <w:r>
              <w:rPr>
                <w:color w:val="000000"/>
                <w:sz w:val="18"/>
                <w:szCs w:val="18"/>
              </w:rPr>
              <w:t>8074.8</w:t>
            </w:r>
          </w:p>
        </w:tc>
      </w:tr>
    </w:tbl>
    <w:p w14:paraId="137F4FE8" w14:textId="77777777" w:rsidR="00CC5C3E" w:rsidRDefault="00CC5C3E">
      <w:pPr>
        <w:spacing w:before="60" w:after="60"/>
      </w:pPr>
    </w:p>
    <w:p w14:paraId="1629340D" w14:textId="77777777" w:rsidR="00CC5C3E" w:rsidRDefault="00117A87" w:rsidP="005B4A4B">
      <w:pPr>
        <w:bidi w:val="0"/>
        <w:spacing w:before="60" w:after="60"/>
        <w:jc w:val="both"/>
      </w:pPr>
      <w:r>
        <w:rPr>
          <w:i/>
          <w:iCs/>
        </w:rPr>
        <w:t>Table 3: Asymmetry Parameters Across GARCH Specifications. *** (**) (*) denotes significance at 1% (5%) (10%). AIC values are reported for model comparison.</w:t>
      </w:r>
    </w:p>
    <w:p w14:paraId="45BE961D" w14:textId="77777777" w:rsidR="00CC5C3E" w:rsidRDefault="00CC5C3E">
      <w:pPr>
        <w:spacing w:before="60" w:after="60"/>
      </w:pPr>
    </w:p>
    <w:p w14:paraId="3B91A3A3" w14:textId="77777777" w:rsidR="00CC5C3E" w:rsidRDefault="00117A87">
      <w:pPr>
        <w:pStyle w:val="2"/>
      </w:pPr>
      <w:r>
        <w:t>5.3 Regime-Switching Analysis</w:t>
      </w:r>
    </w:p>
    <w:p w14:paraId="5D3F7A88" w14:textId="77777777" w:rsidR="00CC5C3E" w:rsidRDefault="00117A87" w:rsidP="005B4A4B">
      <w:pPr>
        <w:bidi w:val="0"/>
        <w:spacing w:before="60" w:after="60" w:line="360" w:lineRule="auto"/>
        <w:ind w:firstLine="720"/>
        <w:jc w:val="both"/>
      </w:pPr>
      <w:r>
        <w:t>Table 4 presents the estimated parameters of the two-regime MS-GARCH(1,1) model. The classification of regimes is consistent across all seven markets: Regime 1 corresponds to a low-volatility, high-persistence state (low omega, high beta), while Regime 2 corresponds to a high-volatility, lower-persistence state (high omega, moderate alpha + beta).</w:t>
      </w:r>
    </w:p>
    <w:p w14:paraId="674C96D6" w14:textId="77777777" w:rsidR="00CC5C3E" w:rsidRDefault="00117A87" w:rsidP="005B4A4B">
      <w:pPr>
        <w:bidi w:val="0"/>
        <w:spacing w:before="60" w:after="60" w:line="360" w:lineRule="auto"/>
        <w:ind w:firstLine="720"/>
        <w:jc w:val="both"/>
      </w:pPr>
      <w:r>
        <w:t>The estimated unconditional probability of the high-volatility regime ranges from 0.21 (Kuwait) to 0.38 (DFM), indicating that GCC markets spend approximately 21-38% of the sample period in elevated volatility states. The transition probability p_{22} (probability of remaining in the high-volatility regime) ranges from 0.812 to 0.891, implying an expected duration of 5.3 to 9.2 trading days in the high-volatility state.</w:t>
      </w:r>
    </w:p>
    <w:p w14:paraId="00436B02" w14:textId="77777777" w:rsidR="00CC5C3E" w:rsidRDefault="00117A87" w:rsidP="005B4A4B">
      <w:pPr>
        <w:bidi w:val="0"/>
        <w:spacing w:before="60" w:after="60" w:line="360" w:lineRule="auto"/>
        <w:ind w:firstLine="720"/>
        <w:jc w:val="both"/>
      </w:pPr>
      <w:r>
        <w:t>The smoothed probability estimates from the Hamilton filter identify three principal episodes of elevated volatility across all GCC markets: the European debt crisis spillover (2011-2012), the oil price collapse (August 2014 to January 2016), and the COVID-19 pandemic onset (February to May 2020). The Qatar blockade (June 2017) is associated with a high-volatility regime for Qatar and Bahrain but not for the other markets, reflecting the idiosyncratic nature of this geopolitical event.</w:t>
      </w:r>
    </w:p>
    <w:p w14:paraId="356CE858" w14:textId="77777777" w:rsidR="00CC5C3E" w:rsidRDefault="00117A87">
      <w:pPr>
        <w:pStyle w:val="2"/>
      </w:pPr>
      <w:r>
        <w:t>5.4 Out-of-Sample Forecast Evaluation via MCS</w:t>
      </w:r>
    </w:p>
    <w:p w14:paraId="2E1A4FCA" w14:textId="77777777" w:rsidR="00CC5C3E" w:rsidRDefault="00117A87" w:rsidP="005B4A4B">
      <w:pPr>
        <w:bidi w:val="0"/>
        <w:spacing w:before="60" w:after="60" w:line="360" w:lineRule="auto"/>
        <w:ind w:firstLine="720"/>
        <w:jc w:val="both"/>
      </w:pPr>
      <w:r>
        <w:t>The Model Confidence Set results, based on a rolling one-step-ahead forecast window covering the last 500 trading days of the sample (approximately 2 years), are reported in Table 5. Under both the SE and QLIKE loss functions, the MCS at the 5% significance level consistently excludes the symmetric GARCH(1,1) with normal innovations from the superior set for all seven markets, confirming the inadequacy of this parsimonious benchmark.</w:t>
      </w:r>
    </w:p>
    <w:p w14:paraId="4273B5C0" w14:textId="77777777" w:rsidR="00CC5C3E" w:rsidRDefault="00117A87" w:rsidP="005B4A4B">
      <w:pPr>
        <w:bidi w:val="0"/>
        <w:spacing w:before="60" w:after="60" w:line="360" w:lineRule="auto"/>
        <w:ind w:firstLine="720"/>
        <w:jc w:val="both"/>
      </w:pPr>
      <w:r>
        <w:t xml:space="preserve">Under the QLIKE loss function, which is more sensitive to distributional misspecification, the MCS superior set for five out of seven markets (TASI, ADX, DFM, Qatar, Oman) contains only GJR-GARCH(1,1)-t and EGARCH(1,1)-t. For Kuwait and Bahrain, the MCS is broader, including the symmetric GARCH-t as well, likely reflecting the lower degree of asymmetric volatility in these less </w:t>
      </w:r>
      <w:r>
        <w:lastRenderedPageBreak/>
        <w:t>liquid markets. The MS-GARCH specification is included in the MCS superior set for all markets under the SE loss function, suggesting that regime-switching models add predictive value particularly during turbulent periods that dominate the evaluation window.</w:t>
      </w:r>
    </w:p>
    <w:p w14:paraId="6C105785" w14:textId="77777777" w:rsidR="00CC5C3E" w:rsidRDefault="00117A87" w:rsidP="005B4A4B">
      <w:pPr>
        <w:bidi w:val="0"/>
        <w:spacing w:before="60" w:after="60" w:line="360" w:lineRule="auto"/>
        <w:ind w:firstLine="720"/>
        <w:jc w:val="both"/>
      </w:pPr>
      <w:r>
        <w:t>These results collectively indicate that the GJR-GARCH(1,1) and EGARCH(1,1) models under Student-t innovations represent the best-practice specifications for modeling and forecasting GCC market volatility, providing superior fit and forecast accuracy relative to symmetric and normal-distribution counterparts.</w:t>
      </w:r>
    </w:p>
    <w:p w14:paraId="49FA822D" w14:textId="77777777" w:rsidR="00CC5C3E" w:rsidRDefault="00CC5C3E">
      <w:pPr>
        <w:spacing w:before="60" w:after="60"/>
      </w:pPr>
    </w:p>
    <w:p w14:paraId="2A60D1BD" w14:textId="77777777" w:rsidR="00CC5C3E" w:rsidRDefault="00117A87">
      <w:pPr>
        <w:pStyle w:val="1"/>
      </w:pPr>
      <w:r>
        <w:t>6. Discussion: Implications for Risk Management and Market Efficiency</w:t>
      </w:r>
    </w:p>
    <w:p w14:paraId="5F5B0DE2" w14:textId="77777777" w:rsidR="00CC5C3E" w:rsidRDefault="00117A87">
      <w:pPr>
        <w:pStyle w:val="2"/>
      </w:pPr>
      <w:r>
        <w:t>6.1 Portfolio Risk Management</w:t>
      </w:r>
    </w:p>
    <w:p w14:paraId="43308938" w14:textId="77777777" w:rsidR="00CC5C3E" w:rsidRDefault="00117A87" w:rsidP="005B4A4B">
      <w:pPr>
        <w:bidi w:val="0"/>
        <w:spacing w:before="60" w:after="60" w:line="360" w:lineRule="auto"/>
        <w:ind w:firstLine="720"/>
        <w:jc w:val="both"/>
      </w:pPr>
      <w:r>
        <w:t>The documented leverage effects and asymmetric volatility dynamics have direct implications for risk management practice in GCC equity markets. Value-at-Risk (VaR) and Expected Shortfall (ES) estimates computed under the symmetric GARCH(1,1)-Normal framework will systematically understate downside risk, particularly during periods of falling prices when volatility is amplified by the leverage mechanism. Our results imply that risk managers employing standard parametric VaR approaches should adopt asymmetric GARCH specifications with fat-tailed innovations — at a minimum, the GJR-GARCH(1,1)-t — to avoid material underestimation of tail risk.</w:t>
      </w:r>
    </w:p>
    <w:p w14:paraId="380CF552" w14:textId="77777777" w:rsidR="00CC5C3E" w:rsidRDefault="00117A87" w:rsidP="005B4A4B">
      <w:pPr>
        <w:bidi w:val="0"/>
        <w:spacing w:before="60" w:after="60" w:line="360" w:lineRule="auto"/>
        <w:ind w:firstLine="720"/>
        <w:jc w:val="both"/>
      </w:pPr>
      <w:r>
        <w:t>Specifically, the 99th percentile one-day VaR for the TASI under the GARCH(1,1)-Normal model is 2.61%, while the GJR-GARCH(1,1)-t estimate is 3.08% — a 17.6% increase that corresponds to a substantial difference in regulatory capital requirements under Basel III. For the more volatile DFM, the differential is even larger: 3.12% versus 3.89%, representing a 24.7% increase. These differences underscore the practical significance of model choice for institutional investors and financial regulators in the GCC region.</w:t>
      </w:r>
    </w:p>
    <w:p w14:paraId="642C2BAB" w14:textId="77777777" w:rsidR="00CC5C3E" w:rsidRDefault="00117A87" w:rsidP="005B4A4B">
      <w:pPr>
        <w:pStyle w:val="2"/>
      </w:pPr>
      <w:r>
        <w:t>6.2 Derivative Pricing and Options Markets</w:t>
      </w:r>
    </w:p>
    <w:p w14:paraId="0D943A02" w14:textId="77777777" w:rsidR="00CC5C3E" w:rsidRDefault="00117A87" w:rsidP="005B4A4B">
      <w:pPr>
        <w:bidi w:val="0"/>
        <w:spacing w:before="60" w:after="60" w:line="360" w:lineRule="auto"/>
        <w:ind w:firstLine="720"/>
        <w:jc w:val="both"/>
      </w:pPr>
      <w:r>
        <w:t>The development of listed options and structured products markets in the GCC region — particularly on the Tadawul following the launch of the Saudi Exchange Derivatives Market in 2020 — creates demand for accurate volatility models for derivative pricing. The Black-Scholes model's assumption of constant volatility is demonstrably violated in GCC markets; our results indicate that the volatility smile and skew documented in options prices across GCC exchanges are consistent with the asymmetric GARCH dynamics estimated from the underlying equity indices.</w:t>
      </w:r>
    </w:p>
    <w:p w14:paraId="0A820E03" w14:textId="77777777" w:rsidR="00CC5C3E" w:rsidRDefault="00117A87" w:rsidP="005B4A4B">
      <w:pPr>
        <w:bidi w:val="0"/>
        <w:spacing w:before="60" w:after="60" w:line="360" w:lineRule="auto"/>
        <w:ind w:firstLine="720"/>
        <w:jc w:val="both"/>
      </w:pPr>
      <w:r>
        <w:t>The MS-GARCH framework is particularly relevant for exotic derivative pricing, where the path-dependent payoff structure makes the distributional properties of the full return process — rather than the conditional variance alone — economically important. Our two-regime MS-GARCH estimates can be used to calibrate stochastic volatility models suitable for GCC derivative pricing applications.</w:t>
      </w:r>
    </w:p>
    <w:p w14:paraId="3A602DCE" w14:textId="77777777" w:rsidR="00CC5C3E" w:rsidRDefault="00117A87" w:rsidP="005B4A4B">
      <w:pPr>
        <w:pStyle w:val="2"/>
      </w:pPr>
      <w:r>
        <w:lastRenderedPageBreak/>
        <w:t>6.3 Market Efficiency Considerations</w:t>
      </w:r>
    </w:p>
    <w:p w14:paraId="16CA11D4" w14:textId="77777777" w:rsidR="00CC5C3E" w:rsidRDefault="00117A87" w:rsidP="005B4A4B">
      <w:pPr>
        <w:bidi w:val="0"/>
        <w:spacing w:before="60" w:after="60" w:line="360" w:lineRule="auto"/>
        <w:ind w:firstLine="720"/>
        <w:jc w:val="both"/>
      </w:pPr>
      <w:r>
        <w:t>The significant ARCH effects and volatility persistence documented across all GCC markets are consistent with weak-form market efficiency, in the sense that price changes are not autocorrelated in levels (the AR(1) coefficients in the conditional mean are economically small). However, the pronounced volatility clustering and fat-tailed return distributions suggest that the information environment in GCC markets remains imperfect, with return volatility exhibiting dependence structures that skilled traders could potentially exploit. The regime-switching dynamics further suggest that structural breaks induced by geopolitical shocks and oil price movements create periods of elevated informational inefficiency during which price discovery is impaired.</w:t>
      </w:r>
    </w:p>
    <w:p w14:paraId="611AAB42" w14:textId="77777777" w:rsidR="00CC5C3E" w:rsidRDefault="00CC5C3E" w:rsidP="005B4A4B">
      <w:pPr>
        <w:bidi w:val="0"/>
        <w:spacing w:before="60" w:after="60"/>
      </w:pPr>
    </w:p>
    <w:p w14:paraId="5728FA7C" w14:textId="77777777" w:rsidR="00CC5C3E" w:rsidRDefault="00117A87" w:rsidP="005B4A4B">
      <w:pPr>
        <w:pStyle w:val="1"/>
      </w:pPr>
      <w:r>
        <w:t>7. Conclusion</w:t>
      </w:r>
    </w:p>
    <w:p w14:paraId="5A1E5C62" w14:textId="77777777" w:rsidR="00CC5C3E" w:rsidRDefault="00117A87" w:rsidP="005B4A4B">
      <w:pPr>
        <w:bidi w:val="0"/>
        <w:spacing w:before="60" w:after="60" w:line="360" w:lineRule="auto"/>
        <w:ind w:firstLine="720"/>
        <w:jc w:val="both"/>
      </w:pPr>
      <w:r>
        <w:t>This paper has conducted a comprehensive empirical investigation of financial return volatility dynamics in the six Gulf Cooperation Council equity markets using a battery of nonlinear GARCH specifications estimated over a 13-year daily return sample. Our principal findings can be summarized as follows.</w:t>
      </w:r>
    </w:p>
    <w:p w14:paraId="59CB06AC" w14:textId="77777777" w:rsidR="00CC5C3E" w:rsidRDefault="00117A87" w:rsidP="005B4A4B">
      <w:pPr>
        <w:bidi w:val="0"/>
        <w:spacing w:before="60" w:after="60" w:line="360" w:lineRule="auto"/>
        <w:ind w:firstLine="720"/>
        <w:jc w:val="both"/>
      </w:pPr>
      <w:r>
        <w:t>First, all GCC equity markets exhibit strong and highly persistent volatility clustering, with the sum of ARCH and GARCH coefficients exceeding 0.96 for all markets under the baseline GARCH(1,1) specification. Second, significant leverage effects — asymmetric responses of conditional variance to positive versus negative return shocks — are documented across all markets under the EGARCH, GJR-GARCH, and APARCH specifications. The Dubai Financial Market exhibits the strongest asymmetry, while Bahrain shows the weakest. Third, the Student-t and GED distributional assumptions are uniformly superior to the normal distribution in terms of log-likelihood, AIC, and BIC, confirming the fat-tailed nature of GCC return distributions. Fourth, the Markov-Switching GARCH model identifies two distinct volatility regimes and attributes approximately 21-38% of the sample period to high-volatility states, with regime transitions corresponding to identifiable macroeconomic and geopolitical events. Fifth, the Model Confidence Set procedure confirms that asymmetric GARCH models with Student-t innovations statistically dominate symmetric, normally-distributed specifications in out-of-sample forecasting across all seven GCC markets.</w:t>
      </w:r>
    </w:p>
    <w:p w14:paraId="5CCBE3FA" w14:textId="77777777" w:rsidR="00CC5C3E" w:rsidRDefault="00117A87" w:rsidP="005B4A4B">
      <w:pPr>
        <w:bidi w:val="0"/>
        <w:spacing w:before="60" w:after="60" w:line="360" w:lineRule="auto"/>
        <w:ind w:firstLine="720"/>
        <w:jc w:val="both"/>
      </w:pPr>
      <w:r>
        <w:t>These findings carry important practical implications. For portfolio and risk managers, the adoption of asymmetric GARCH-t specifications is necessary for accurate VaR estimation and regulatory capital adequacy assessment. For derivative pricing, the asymmetric and regime-switching volatility dynamics provide a more realistic foundation than the Black-Scholes constant-volatility benchmark. For policymakers and market regulators, the documented volatility persistence and regime-switching behavior highlight the sensitivity of GCC financial stability to oil price shocks and geopolitical disruptions, with implications for macroprudential stress-testing frameworks.</w:t>
      </w:r>
    </w:p>
    <w:p w14:paraId="14F5D274" w14:textId="77777777" w:rsidR="00CC5C3E" w:rsidRDefault="00117A87" w:rsidP="005B4A4B">
      <w:pPr>
        <w:bidi w:val="0"/>
        <w:spacing w:before="60" w:after="60" w:line="360" w:lineRule="auto"/>
        <w:ind w:firstLine="720"/>
        <w:jc w:val="both"/>
      </w:pPr>
      <w:r>
        <w:lastRenderedPageBreak/>
        <w:t>Future research extensions include the development of multivariate DCC-GARCH frameworks to capture time-varying conditional correlations across GCC markets, the integration of realized volatility measures from high-frequency data to improve volatility proxy accuracy in the MCS evaluation, and the incorporation of macroeconomic factors — oil price returns, sovereign credit spreads, and geopolitical risk indices — into the conditional variance equations to assess whether exogenous predictors can improve upon purely time-series-based volatility models.</w:t>
      </w:r>
    </w:p>
    <w:p w14:paraId="35975D72" w14:textId="77777777" w:rsidR="00CC5C3E" w:rsidRDefault="00CC5C3E">
      <w:pPr>
        <w:spacing w:before="60" w:after="60"/>
      </w:pPr>
    </w:p>
    <w:p w14:paraId="0AE8A5D3" w14:textId="77777777" w:rsidR="00CC5C3E" w:rsidRDefault="00117A87">
      <w:pPr>
        <w:pStyle w:val="1"/>
      </w:pPr>
      <w:r>
        <w:t>References</w:t>
      </w:r>
    </w:p>
    <w:sdt>
      <w:sdtPr>
        <w:rPr>
          <w:sz w:val="24"/>
          <w:szCs w:val="24"/>
        </w:rPr>
        <w:tag w:val="MENDELEY_BIBLIOGRAPHY"/>
        <w:id w:val="2068757744"/>
        <w:placeholder>
          <w:docPart w:val="DefaultPlaceholder_-1854013440"/>
        </w:placeholder>
      </w:sdtPr>
      <w:sdtEndPr>
        <w:rPr>
          <w:color w:val="000000"/>
        </w:rPr>
      </w:sdtEndPr>
      <w:sdtContent>
        <w:p w14:paraId="5DD3C312" w14:textId="77777777" w:rsidR="00E47856" w:rsidRPr="00E47856" w:rsidRDefault="00E47856" w:rsidP="00E47856">
          <w:pPr>
            <w:pStyle w:val="a4"/>
            <w:numPr>
              <w:ilvl w:val="0"/>
              <w:numId w:val="2"/>
            </w:numPr>
            <w:autoSpaceDE w:val="0"/>
            <w:autoSpaceDN w:val="0"/>
            <w:spacing w:line="276" w:lineRule="auto"/>
            <w:jc w:val="both"/>
            <w:divId w:val="1363701821"/>
            <w:rPr>
              <w:color w:val="000000"/>
              <w:sz w:val="24"/>
              <w:szCs w:val="28"/>
            </w:rPr>
          </w:pPr>
          <w:r w:rsidRPr="00E47856">
            <w:rPr>
              <w:color w:val="000000"/>
              <w:sz w:val="24"/>
              <w:szCs w:val="24"/>
            </w:rPr>
            <w:t xml:space="preserve">AL-Besher, S., &amp; AL-Najjar, D. (2026). Modeling Saudi stock index returns and volatility: a dual approach using GARCH and neural networks. </w:t>
          </w:r>
          <w:r w:rsidRPr="00E47856">
            <w:rPr>
              <w:i/>
              <w:iCs/>
              <w:color w:val="000000"/>
              <w:sz w:val="24"/>
              <w:szCs w:val="24"/>
            </w:rPr>
            <w:t>Frontiers in Artificial Intelligence</w:t>
          </w:r>
          <w:r w:rsidRPr="00E47856">
            <w:rPr>
              <w:color w:val="000000"/>
              <w:sz w:val="24"/>
              <w:szCs w:val="24"/>
            </w:rPr>
            <w:t xml:space="preserve">, </w:t>
          </w:r>
          <w:r w:rsidRPr="00E47856">
            <w:rPr>
              <w:i/>
              <w:iCs/>
              <w:color w:val="000000"/>
              <w:sz w:val="24"/>
              <w:szCs w:val="24"/>
            </w:rPr>
            <w:t>9</w:t>
          </w:r>
          <w:r w:rsidRPr="00E47856">
            <w:rPr>
              <w:color w:val="000000"/>
              <w:sz w:val="24"/>
              <w:szCs w:val="24"/>
            </w:rPr>
            <w:t>. https://doi.org/10.3389/frai.2026.1714822</w:t>
          </w:r>
        </w:p>
        <w:p w14:paraId="1FEF61E2" w14:textId="77777777" w:rsidR="00E47856" w:rsidRPr="00E47856" w:rsidRDefault="00E47856" w:rsidP="00E47856">
          <w:pPr>
            <w:pStyle w:val="a4"/>
            <w:numPr>
              <w:ilvl w:val="0"/>
              <w:numId w:val="2"/>
            </w:numPr>
            <w:autoSpaceDE w:val="0"/>
            <w:autoSpaceDN w:val="0"/>
            <w:spacing w:line="276" w:lineRule="auto"/>
            <w:jc w:val="both"/>
            <w:divId w:val="1318532489"/>
            <w:rPr>
              <w:color w:val="000000"/>
              <w:sz w:val="24"/>
              <w:szCs w:val="24"/>
            </w:rPr>
          </w:pPr>
          <w:r w:rsidRPr="00E47856">
            <w:rPr>
              <w:color w:val="000000"/>
              <w:sz w:val="24"/>
              <w:szCs w:val="24"/>
            </w:rPr>
            <w:t xml:space="preserve">Al-Hajieh, H., Redhead, K., &amp; Rodgers, T. (n.d.). </w:t>
          </w:r>
          <w:r w:rsidRPr="00E47856">
            <w:rPr>
              <w:i/>
              <w:iCs/>
              <w:color w:val="000000"/>
              <w:sz w:val="24"/>
              <w:szCs w:val="24"/>
            </w:rPr>
            <w:t>Investor Sentiment And Calendar Anomaly Effects: A Case Study Of The Impact Of Ramadan On Islamic Middle Eastern Markets</w:t>
          </w:r>
          <w:r w:rsidRPr="00E47856">
            <w:rPr>
              <w:color w:val="000000"/>
              <w:sz w:val="24"/>
              <w:szCs w:val="24"/>
            </w:rPr>
            <w:t>.</w:t>
          </w:r>
        </w:p>
        <w:p w14:paraId="3D8AD47F" w14:textId="77777777" w:rsidR="00E47856" w:rsidRPr="00E47856" w:rsidRDefault="00E47856" w:rsidP="00E47856">
          <w:pPr>
            <w:pStyle w:val="a4"/>
            <w:numPr>
              <w:ilvl w:val="0"/>
              <w:numId w:val="2"/>
            </w:numPr>
            <w:autoSpaceDE w:val="0"/>
            <w:autoSpaceDN w:val="0"/>
            <w:spacing w:line="276" w:lineRule="auto"/>
            <w:jc w:val="both"/>
            <w:divId w:val="1910533487"/>
            <w:rPr>
              <w:color w:val="000000"/>
              <w:sz w:val="24"/>
              <w:szCs w:val="24"/>
            </w:rPr>
          </w:pPr>
          <w:r w:rsidRPr="00E47856">
            <w:rPr>
              <w:color w:val="000000"/>
              <w:sz w:val="24"/>
              <w:szCs w:val="24"/>
            </w:rPr>
            <w:t xml:space="preserve">Al-Hajieh, H., Redhead, K., &amp; Rodgers, T. (2011). Investor sentiment and calendar anomaly effects: A case study of the impact of Ramadan on Islamic Middle Eastern markets. </w:t>
          </w:r>
          <w:r w:rsidRPr="00E47856">
            <w:rPr>
              <w:i/>
              <w:iCs/>
              <w:color w:val="000000"/>
              <w:sz w:val="24"/>
              <w:szCs w:val="24"/>
            </w:rPr>
            <w:t>Research in International Business and Finance</w:t>
          </w:r>
          <w:r w:rsidRPr="00E47856">
            <w:rPr>
              <w:color w:val="000000"/>
              <w:sz w:val="24"/>
              <w:szCs w:val="24"/>
            </w:rPr>
            <w:t xml:space="preserve">, </w:t>
          </w:r>
          <w:r w:rsidRPr="00E47856">
            <w:rPr>
              <w:i/>
              <w:iCs/>
              <w:color w:val="000000"/>
              <w:sz w:val="24"/>
              <w:szCs w:val="24"/>
            </w:rPr>
            <w:t>25</w:t>
          </w:r>
          <w:r w:rsidRPr="00E47856">
            <w:rPr>
              <w:color w:val="000000"/>
              <w:sz w:val="24"/>
              <w:szCs w:val="24"/>
            </w:rPr>
            <w:t>(3), 345–356. https://doi.org/10.1016/j.ribaf.2011.03.004</w:t>
          </w:r>
        </w:p>
        <w:p w14:paraId="1206EB39" w14:textId="77777777" w:rsidR="00E47856" w:rsidRPr="00E47856" w:rsidRDefault="00E47856" w:rsidP="00E47856">
          <w:pPr>
            <w:pStyle w:val="a4"/>
            <w:numPr>
              <w:ilvl w:val="0"/>
              <w:numId w:val="2"/>
            </w:numPr>
            <w:autoSpaceDE w:val="0"/>
            <w:autoSpaceDN w:val="0"/>
            <w:spacing w:line="276" w:lineRule="auto"/>
            <w:jc w:val="both"/>
            <w:divId w:val="2078628759"/>
            <w:rPr>
              <w:color w:val="000000"/>
              <w:sz w:val="24"/>
              <w:szCs w:val="24"/>
            </w:rPr>
          </w:pPr>
          <w:r w:rsidRPr="00E47856">
            <w:rPr>
              <w:color w:val="000000"/>
              <w:sz w:val="24"/>
              <w:szCs w:val="24"/>
            </w:rPr>
            <w:t xml:space="preserve">Alotaibi, A. R., &amp; Mishra, A. V. (2015). Global and regional volatility spillovers to GCC stock markets. </w:t>
          </w:r>
          <w:r w:rsidRPr="00E47856">
            <w:rPr>
              <w:i/>
              <w:iCs/>
              <w:color w:val="000000"/>
              <w:sz w:val="24"/>
              <w:szCs w:val="24"/>
            </w:rPr>
            <w:t>Economic Modelling</w:t>
          </w:r>
          <w:r w:rsidRPr="00E47856">
            <w:rPr>
              <w:color w:val="000000"/>
              <w:sz w:val="24"/>
              <w:szCs w:val="24"/>
            </w:rPr>
            <w:t xml:space="preserve">, </w:t>
          </w:r>
          <w:r w:rsidRPr="00E47856">
            <w:rPr>
              <w:i/>
              <w:iCs/>
              <w:color w:val="000000"/>
              <w:sz w:val="24"/>
              <w:szCs w:val="24"/>
            </w:rPr>
            <w:t>45</w:t>
          </w:r>
          <w:r w:rsidRPr="00E47856">
            <w:rPr>
              <w:color w:val="000000"/>
              <w:sz w:val="24"/>
              <w:szCs w:val="24"/>
            </w:rPr>
            <w:t>, 38–49. https://doi.org/10.1016/j.econmod.2014.10.052</w:t>
          </w:r>
        </w:p>
        <w:p w14:paraId="2E7AB071" w14:textId="77777777" w:rsidR="00E47856" w:rsidRPr="00E47856" w:rsidRDefault="00E47856" w:rsidP="00E47856">
          <w:pPr>
            <w:pStyle w:val="a4"/>
            <w:numPr>
              <w:ilvl w:val="0"/>
              <w:numId w:val="2"/>
            </w:numPr>
            <w:autoSpaceDE w:val="0"/>
            <w:autoSpaceDN w:val="0"/>
            <w:spacing w:line="276" w:lineRule="auto"/>
            <w:jc w:val="both"/>
            <w:divId w:val="585463535"/>
            <w:rPr>
              <w:color w:val="000000"/>
              <w:sz w:val="24"/>
              <w:szCs w:val="24"/>
            </w:rPr>
          </w:pPr>
          <w:r w:rsidRPr="00E47856">
            <w:rPr>
              <w:color w:val="000000"/>
              <w:sz w:val="24"/>
              <w:szCs w:val="24"/>
            </w:rPr>
            <w:t xml:space="preserve">Arouri, M. E. H., Lahiani, A., &amp; Nguyen, D. K. (2011). Return and volatility transmission between world oil prices and stock markets of the GCC countries. </w:t>
          </w:r>
          <w:r w:rsidRPr="00E47856">
            <w:rPr>
              <w:i/>
              <w:iCs/>
              <w:color w:val="000000"/>
              <w:sz w:val="24"/>
              <w:szCs w:val="24"/>
            </w:rPr>
            <w:t>Economic Modelling</w:t>
          </w:r>
          <w:r w:rsidRPr="00E47856">
            <w:rPr>
              <w:color w:val="000000"/>
              <w:sz w:val="24"/>
              <w:szCs w:val="24"/>
            </w:rPr>
            <w:t xml:space="preserve">, </w:t>
          </w:r>
          <w:r w:rsidRPr="00E47856">
            <w:rPr>
              <w:i/>
              <w:iCs/>
              <w:color w:val="000000"/>
              <w:sz w:val="24"/>
              <w:szCs w:val="24"/>
            </w:rPr>
            <w:t>28</w:t>
          </w:r>
          <w:r w:rsidRPr="00E47856">
            <w:rPr>
              <w:color w:val="000000"/>
              <w:sz w:val="24"/>
              <w:szCs w:val="24"/>
            </w:rPr>
            <w:t>(4), 1815–1825. https://doi.org/10.1016/j.econmod.2011.03.012</w:t>
          </w:r>
        </w:p>
        <w:p w14:paraId="33CFA483" w14:textId="77777777" w:rsidR="00E47856" w:rsidRPr="00E47856" w:rsidRDefault="00E47856" w:rsidP="00E47856">
          <w:pPr>
            <w:pStyle w:val="a4"/>
            <w:numPr>
              <w:ilvl w:val="0"/>
              <w:numId w:val="2"/>
            </w:numPr>
            <w:autoSpaceDE w:val="0"/>
            <w:autoSpaceDN w:val="0"/>
            <w:spacing w:line="276" w:lineRule="auto"/>
            <w:jc w:val="both"/>
            <w:divId w:val="892887881"/>
            <w:rPr>
              <w:color w:val="000000"/>
              <w:sz w:val="24"/>
              <w:szCs w:val="24"/>
            </w:rPr>
          </w:pPr>
          <w:r w:rsidRPr="00E47856">
            <w:rPr>
              <w:color w:val="000000"/>
              <w:sz w:val="24"/>
              <w:szCs w:val="24"/>
            </w:rPr>
            <w:t xml:space="preserve">Baillie, R. T. (1993). Comment on Modeling Asset Returns with Alternative Stable Distributions. </w:t>
          </w:r>
          <w:r w:rsidRPr="00E47856">
            <w:rPr>
              <w:i/>
              <w:iCs/>
              <w:color w:val="000000"/>
              <w:sz w:val="24"/>
              <w:szCs w:val="24"/>
            </w:rPr>
            <w:t>Econometric Reviews</w:t>
          </w:r>
          <w:r w:rsidRPr="00E47856">
            <w:rPr>
              <w:color w:val="000000"/>
              <w:sz w:val="24"/>
              <w:szCs w:val="24"/>
            </w:rPr>
            <w:t xml:space="preserve">, </w:t>
          </w:r>
          <w:r w:rsidRPr="00E47856">
            <w:rPr>
              <w:i/>
              <w:iCs/>
              <w:color w:val="000000"/>
              <w:sz w:val="24"/>
              <w:szCs w:val="24"/>
            </w:rPr>
            <w:t>12</w:t>
          </w:r>
          <w:r w:rsidRPr="00E47856">
            <w:rPr>
              <w:color w:val="000000"/>
              <w:sz w:val="24"/>
              <w:szCs w:val="24"/>
            </w:rPr>
            <w:t>(3), 343–345. https://doi.org/10.1080/07474939308800269</w:t>
          </w:r>
        </w:p>
        <w:p w14:paraId="3FE6F7AD" w14:textId="77777777" w:rsidR="00E47856" w:rsidRPr="00E47856" w:rsidRDefault="00E47856" w:rsidP="00E47856">
          <w:pPr>
            <w:pStyle w:val="a4"/>
            <w:numPr>
              <w:ilvl w:val="0"/>
              <w:numId w:val="2"/>
            </w:numPr>
            <w:autoSpaceDE w:val="0"/>
            <w:autoSpaceDN w:val="0"/>
            <w:spacing w:line="276" w:lineRule="auto"/>
            <w:jc w:val="both"/>
            <w:divId w:val="29110448"/>
            <w:rPr>
              <w:color w:val="000000"/>
              <w:sz w:val="24"/>
              <w:szCs w:val="24"/>
            </w:rPr>
          </w:pPr>
          <w:r w:rsidRPr="00E47856">
            <w:rPr>
              <w:color w:val="000000"/>
              <w:sz w:val="24"/>
              <w:szCs w:val="24"/>
            </w:rPr>
            <w:t xml:space="preserve">Bayan Albahooth. (2025). Quantitative Analysis of Stock Market Volatility in GCC Economies_ A Formal Statistical-Approach. </w:t>
          </w:r>
          <w:r w:rsidRPr="00E47856">
            <w:rPr>
              <w:i/>
              <w:iCs/>
              <w:color w:val="000000"/>
              <w:sz w:val="24"/>
              <w:szCs w:val="24"/>
            </w:rPr>
            <w:t>Tikrit Journal of Administrative and Economic Sciences</w:t>
          </w:r>
          <w:r w:rsidRPr="00E47856">
            <w:rPr>
              <w:color w:val="000000"/>
              <w:sz w:val="24"/>
              <w:szCs w:val="24"/>
            </w:rPr>
            <w:t xml:space="preserve">, </w:t>
          </w:r>
          <w:r w:rsidRPr="00E47856">
            <w:rPr>
              <w:i/>
              <w:iCs/>
              <w:color w:val="000000"/>
              <w:sz w:val="24"/>
              <w:szCs w:val="24"/>
            </w:rPr>
            <w:t>18</w:t>
          </w:r>
          <w:r w:rsidRPr="00E47856">
            <w:rPr>
              <w:color w:val="000000"/>
              <w:sz w:val="24"/>
              <w:szCs w:val="24"/>
            </w:rPr>
            <w:t>(1).</w:t>
          </w:r>
        </w:p>
        <w:p w14:paraId="1AB889A2" w14:textId="77777777" w:rsidR="00E47856" w:rsidRPr="00E47856" w:rsidRDefault="00E47856" w:rsidP="00E47856">
          <w:pPr>
            <w:pStyle w:val="a4"/>
            <w:numPr>
              <w:ilvl w:val="0"/>
              <w:numId w:val="2"/>
            </w:numPr>
            <w:autoSpaceDE w:val="0"/>
            <w:autoSpaceDN w:val="0"/>
            <w:spacing w:line="276" w:lineRule="auto"/>
            <w:jc w:val="both"/>
            <w:divId w:val="2027368087"/>
            <w:rPr>
              <w:color w:val="000000"/>
              <w:sz w:val="24"/>
              <w:szCs w:val="24"/>
            </w:rPr>
          </w:pPr>
          <w:r w:rsidRPr="00E47856">
            <w:rPr>
              <w:color w:val="000000"/>
              <w:sz w:val="24"/>
              <w:szCs w:val="24"/>
            </w:rPr>
            <w:t xml:space="preserve">Bollerslev, T. (1986). GENERALIZED AUTOREGRESSIVE CONDITIONAL HETEROSKEDASTICITY. In </w:t>
          </w:r>
          <w:r w:rsidRPr="00E47856">
            <w:rPr>
              <w:i/>
              <w:iCs/>
              <w:color w:val="000000"/>
              <w:sz w:val="24"/>
              <w:szCs w:val="24"/>
            </w:rPr>
            <w:t>Journal of Econometrics</w:t>
          </w:r>
          <w:r w:rsidRPr="00E47856">
            <w:rPr>
              <w:color w:val="000000"/>
              <w:sz w:val="24"/>
              <w:szCs w:val="24"/>
            </w:rPr>
            <w:t xml:space="preserve"> (Vol. 31).</w:t>
          </w:r>
        </w:p>
        <w:p w14:paraId="3484C0E7" w14:textId="77777777" w:rsidR="00E47856" w:rsidRPr="00E47856" w:rsidRDefault="00E47856" w:rsidP="00E47856">
          <w:pPr>
            <w:pStyle w:val="a4"/>
            <w:numPr>
              <w:ilvl w:val="0"/>
              <w:numId w:val="2"/>
            </w:numPr>
            <w:autoSpaceDE w:val="0"/>
            <w:autoSpaceDN w:val="0"/>
            <w:spacing w:line="276" w:lineRule="auto"/>
            <w:jc w:val="both"/>
            <w:divId w:val="1594432182"/>
            <w:rPr>
              <w:color w:val="000000"/>
              <w:sz w:val="24"/>
              <w:szCs w:val="24"/>
            </w:rPr>
          </w:pPr>
          <w:r w:rsidRPr="00E47856">
            <w:rPr>
              <w:color w:val="000000"/>
              <w:sz w:val="24"/>
              <w:szCs w:val="24"/>
            </w:rPr>
            <w:t xml:space="preserve">Bollerslev, T., &amp; Wooldridge, J. M. (n.d.). </w:t>
          </w:r>
          <w:r w:rsidRPr="00E47856">
            <w:rPr>
              <w:i/>
              <w:iCs/>
              <w:color w:val="000000"/>
              <w:sz w:val="24"/>
              <w:szCs w:val="24"/>
            </w:rPr>
            <w:t>QUASI-MAXIMUM LIKELIHOOD ESTIMATION AND INFERENCE IN DYNAMIC MODELS WITH TIME-VARYING COVARIANCES</w:t>
          </w:r>
          <w:r w:rsidRPr="00E47856">
            <w:rPr>
              <w:color w:val="000000"/>
              <w:sz w:val="24"/>
              <w:szCs w:val="24"/>
            </w:rPr>
            <w:t>.</w:t>
          </w:r>
        </w:p>
        <w:p w14:paraId="63E92878" w14:textId="77777777" w:rsidR="00E47856" w:rsidRPr="00E47856" w:rsidRDefault="00E47856" w:rsidP="00E47856">
          <w:pPr>
            <w:pStyle w:val="a4"/>
            <w:numPr>
              <w:ilvl w:val="0"/>
              <w:numId w:val="2"/>
            </w:numPr>
            <w:autoSpaceDE w:val="0"/>
            <w:autoSpaceDN w:val="0"/>
            <w:spacing w:line="276" w:lineRule="auto"/>
            <w:jc w:val="both"/>
            <w:divId w:val="1583563890"/>
            <w:rPr>
              <w:color w:val="000000"/>
              <w:sz w:val="24"/>
              <w:szCs w:val="24"/>
            </w:rPr>
          </w:pPr>
          <w:r w:rsidRPr="00E47856">
            <w:rPr>
              <w:color w:val="000000"/>
              <w:sz w:val="24"/>
              <w:szCs w:val="24"/>
            </w:rPr>
            <w:t xml:space="preserve">Bouri, E., &amp; Gupta, R. (n.d.). </w:t>
          </w:r>
          <w:r w:rsidRPr="00E47856">
            <w:rPr>
              <w:i/>
              <w:iCs/>
              <w:color w:val="000000"/>
              <w:sz w:val="24"/>
              <w:szCs w:val="24"/>
            </w:rPr>
            <w:t>Predicting Bitcoin Returns: Comparing the Roles of Newspaper-and Internet Search-Based Measures of Uncertainty #</w:t>
          </w:r>
          <w:r w:rsidRPr="00E47856">
            <w:rPr>
              <w:color w:val="000000"/>
              <w:sz w:val="24"/>
              <w:szCs w:val="24"/>
            </w:rPr>
            <w:t>. Retrieved http://policyuncertainty.com/us_monthly.html</w:t>
          </w:r>
        </w:p>
        <w:p w14:paraId="02C27989" w14:textId="77777777" w:rsidR="00E47856" w:rsidRPr="00E47856" w:rsidRDefault="00E47856" w:rsidP="00E47856">
          <w:pPr>
            <w:pStyle w:val="a4"/>
            <w:numPr>
              <w:ilvl w:val="0"/>
              <w:numId w:val="2"/>
            </w:numPr>
            <w:autoSpaceDE w:val="0"/>
            <w:autoSpaceDN w:val="0"/>
            <w:spacing w:line="276" w:lineRule="auto"/>
            <w:jc w:val="both"/>
            <w:divId w:val="1307735987"/>
            <w:rPr>
              <w:color w:val="000000"/>
              <w:sz w:val="24"/>
              <w:szCs w:val="24"/>
            </w:rPr>
          </w:pPr>
          <w:r w:rsidRPr="00E47856">
            <w:rPr>
              <w:color w:val="000000"/>
              <w:sz w:val="24"/>
              <w:szCs w:val="24"/>
            </w:rPr>
            <w:t xml:space="preserve">Ding, Z., Granger, C. W. J., &amp; Engle, R. F. (1993). A long memory property of stock market returns and a new model*. In </w:t>
          </w:r>
          <w:r w:rsidRPr="00E47856">
            <w:rPr>
              <w:i/>
              <w:iCs/>
              <w:color w:val="000000"/>
              <w:sz w:val="24"/>
              <w:szCs w:val="24"/>
            </w:rPr>
            <w:t>Journal of Empirical Finance</w:t>
          </w:r>
          <w:r w:rsidRPr="00E47856">
            <w:rPr>
              <w:color w:val="000000"/>
              <w:sz w:val="24"/>
              <w:szCs w:val="24"/>
            </w:rPr>
            <w:t xml:space="preserve"> (Vol. 1).</w:t>
          </w:r>
        </w:p>
        <w:p w14:paraId="79BD2C7F" w14:textId="77777777" w:rsidR="00E47856" w:rsidRPr="00E47856" w:rsidRDefault="00E47856" w:rsidP="00E47856">
          <w:pPr>
            <w:pStyle w:val="a4"/>
            <w:numPr>
              <w:ilvl w:val="0"/>
              <w:numId w:val="2"/>
            </w:numPr>
            <w:autoSpaceDE w:val="0"/>
            <w:autoSpaceDN w:val="0"/>
            <w:spacing w:line="276" w:lineRule="auto"/>
            <w:jc w:val="both"/>
            <w:divId w:val="227302813"/>
            <w:rPr>
              <w:color w:val="000000"/>
              <w:sz w:val="24"/>
              <w:szCs w:val="24"/>
            </w:rPr>
          </w:pPr>
          <w:r w:rsidRPr="00E47856">
            <w:rPr>
              <w:color w:val="000000"/>
              <w:sz w:val="24"/>
              <w:szCs w:val="24"/>
            </w:rPr>
            <w:lastRenderedPageBreak/>
            <w:t xml:space="preserve">Epaphra, M. (2017). Modeling Exchange Rate Volatility: Application of the GARCH and EGARCH Models. </w:t>
          </w:r>
          <w:r w:rsidRPr="00E47856">
            <w:rPr>
              <w:i/>
              <w:iCs/>
              <w:color w:val="000000"/>
              <w:sz w:val="24"/>
              <w:szCs w:val="24"/>
            </w:rPr>
            <w:t>Journal of Mathematical Finance</w:t>
          </w:r>
          <w:r w:rsidRPr="00E47856">
            <w:rPr>
              <w:color w:val="000000"/>
              <w:sz w:val="24"/>
              <w:szCs w:val="24"/>
            </w:rPr>
            <w:t xml:space="preserve">, </w:t>
          </w:r>
          <w:r w:rsidRPr="00E47856">
            <w:rPr>
              <w:i/>
              <w:iCs/>
              <w:color w:val="000000"/>
              <w:sz w:val="24"/>
              <w:szCs w:val="24"/>
            </w:rPr>
            <w:t>07</w:t>
          </w:r>
          <w:r w:rsidRPr="00E47856">
            <w:rPr>
              <w:color w:val="000000"/>
              <w:sz w:val="24"/>
              <w:szCs w:val="24"/>
            </w:rPr>
            <w:t>(01), 121–143. https://doi.org/10.4236/jmf.2017.71007</w:t>
          </w:r>
        </w:p>
        <w:p w14:paraId="6960F906" w14:textId="77777777" w:rsidR="00E47856" w:rsidRPr="00E47856" w:rsidRDefault="00E47856" w:rsidP="00E47856">
          <w:pPr>
            <w:pStyle w:val="a4"/>
            <w:numPr>
              <w:ilvl w:val="0"/>
              <w:numId w:val="2"/>
            </w:numPr>
            <w:autoSpaceDE w:val="0"/>
            <w:autoSpaceDN w:val="0"/>
            <w:spacing w:line="276" w:lineRule="auto"/>
            <w:jc w:val="both"/>
            <w:divId w:val="1321616204"/>
            <w:rPr>
              <w:color w:val="000000"/>
              <w:sz w:val="24"/>
              <w:szCs w:val="24"/>
            </w:rPr>
          </w:pPr>
          <w:r w:rsidRPr="00E47856">
            <w:rPr>
              <w:color w:val="000000"/>
              <w:sz w:val="24"/>
              <w:szCs w:val="24"/>
            </w:rPr>
            <w:t xml:space="preserve">GLOSTEN, L. R., JAGANNATHAN, R., &amp; RUNKLE, D. E. (1993). On the Relation between the Expected Value and the Volatility of the Nominal Excess Return on Stocks. </w:t>
          </w:r>
          <w:r w:rsidRPr="00E47856">
            <w:rPr>
              <w:i/>
              <w:iCs/>
              <w:color w:val="000000"/>
              <w:sz w:val="24"/>
              <w:szCs w:val="24"/>
            </w:rPr>
            <w:t>The Journal of Finance</w:t>
          </w:r>
          <w:r w:rsidRPr="00E47856">
            <w:rPr>
              <w:color w:val="000000"/>
              <w:sz w:val="24"/>
              <w:szCs w:val="24"/>
            </w:rPr>
            <w:t xml:space="preserve">, </w:t>
          </w:r>
          <w:r w:rsidRPr="00E47856">
            <w:rPr>
              <w:i/>
              <w:iCs/>
              <w:color w:val="000000"/>
              <w:sz w:val="24"/>
              <w:szCs w:val="24"/>
            </w:rPr>
            <w:t>48</w:t>
          </w:r>
          <w:r w:rsidRPr="00E47856">
            <w:rPr>
              <w:color w:val="000000"/>
              <w:sz w:val="24"/>
              <w:szCs w:val="24"/>
            </w:rPr>
            <w:t>(5), 1779–1801. https://doi.org/10.1111/j.1540-6261.1993.tb05128.x</w:t>
          </w:r>
        </w:p>
        <w:p w14:paraId="483E59E2" w14:textId="77777777" w:rsidR="00E47856" w:rsidRPr="00E47856" w:rsidRDefault="00E47856" w:rsidP="00E47856">
          <w:pPr>
            <w:pStyle w:val="a4"/>
            <w:numPr>
              <w:ilvl w:val="0"/>
              <w:numId w:val="2"/>
            </w:numPr>
            <w:autoSpaceDE w:val="0"/>
            <w:autoSpaceDN w:val="0"/>
            <w:spacing w:line="276" w:lineRule="auto"/>
            <w:jc w:val="both"/>
            <w:divId w:val="1811627906"/>
            <w:rPr>
              <w:color w:val="000000"/>
              <w:sz w:val="24"/>
              <w:szCs w:val="24"/>
            </w:rPr>
          </w:pPr>
          <w:r w:rsidRPr="00E47856">
            <w:rPr>
              <w:color w:val="000000"/>
              <w:sz w:val="24"/>
              <w:szCs w:val="24"/>
            </w:rPr>
            <w:t xml:space="preserve">Hamilton*-A, J. D., &amp; Susmelb, R. (n.d.). </w:t>
          </w:r>
          <w:r w:rsidRPr="00E47856">
            <w:rPr>
              <w:i/>
              <w:iCs/>
              <w:color w:val="000000"/>
              <w:sz w:val="24"/>
              <w:szCs w:val="24"/>
            </w:rPr>
            <w:t>Autoregressive conditional heteroskedasticity and changes in regime</w:t>
          </w:r>
          <w:r w:rsidRPr="00E47856">
            <w:rPr>
              <w:color w:val="000000"/>
              <w:sz w:val="24"/>
              <w:szCs w:val="24"/>
            </w:rPr>
            <w:t>.</w:t>
          </w:r>
        </w:p>
        <w:p w14:paraId="1B0B12DD" w14:textId="77777777" w:rsidR="00E47856" w:rsidRPr="00E47856" w:rsidRDefault="00E47856" w:rsidP="00E47856">
          <w:pPr>
            <w:pStyle w:val="a4"/>
            <w:numPr>
              <w:ilvl w:val="0"/>
              <w:numId w:val="2"/>
            </w:numPr>
            <w:autoSpaceDE w:val="0"/>
            <w:autoSpaceDN w:val="0"/>
            <w:spacing w:line="276" w:lineRule="auto"/>
            <w:jc w:val="both"/>
            <w:divId w:val="267130428"/>
            <w:rPr>
              <w:color w:val="000000"/>
              <w:sz w:val="24"/>
              <w:szCs w:val="24"/>
            </w:rPr>
          </w:pPr>
          <w:r w:rsidRPr="00E47856">
            <w:rPr>
              <w:color w:val="000000"/>
              <w:sz w:val="24"/>
              <w:szCs w:val="24"/>
            </w:rPr>
            <w:t xml:space="preserve">Hammoudeh, S., &amp; Li, H. (2008). Sudden changes in volatility in emerging markets: The case of Gulf Arab stock markets. </w:t>
          </w:r>
          <w:r w:rsidRPr="00E47856">
            <w:rPr>
              <w:i/>
              <w:iCs/>
              <w:color w:val="000000"/>
              <w:sz w:val="24"/>
              <w:szCs w:val="24"/>
            </w:rPr>
            <w:t>International Review of Financial Analysis</w:t>
          </w:r>
          <w:r w:rsidRPr="00E47856">
            <w:rPr>
              <w:color w:val="000000"/>
              <w:sz w:val="24"/>
              <w:szCs w:val="24"/>
            </w:rPr>
            <w:t xml:space="preserve">, </w:t>
          </w:r>
          <w:r w:rsidRPr="00E47856">
            <w:rPr>
              <w:i/>
              <w:iCs/>
              <w:color w:val="000000"/>
              <w:sz w:val="24"/>
              <w:szCs w:val="24"/>
            </w:rPr>
            <w:t>17</w:t>
          </w:r>
          <w:r w:rsidRPr="00E47856">
            <w:rPr>
              <w:color w:val="000000"/>
              <w:sz w:val="24"/>
              <w:szCs w:val="24"/>
            </w:rPr>
            <w:t>(1), 47–63. https://doi.org/10.1016/j.irfa.2005.01.002</w:t>
          </w:r>
        </w:p>
        <w:p w14:paraId="12DF6102" w14:textId="77777777" w:rsidR="00E47856" w:rsidRPr="00E47856" w:rsidRDefault="00E47856" w:rsidP="00E47856">
          <w:pPr>
            <w:pStyle w:val="a4"/>
            <w:numPr>
              <w:ilvl w:val="0"/>
              <w:numId w:val="2"/>
            </w:numPr>
            <w:autoSpaceDE w:val="0"/>
            <w:autoSpaceDN w:val="0"/>
            <w:spacing w:line="276" w:lineRule="auto"/>
            <w:jc w:val="both"/>
            <w:divId w:val="1611937581"/>
            <w:rPr>
              <w:color w:val="000000"/>
              <w:sz w:val="24"/>
              <w:szCs w:val="24"/>
            </w:rPr>
          </w:pPr>
          <w:r w:rsidRPr="00E47856">
            <w:rPr>
              <w:color w:val="000000"/>
              <w:sz w:val="24"/>
              <w:szCs w:val="24"/>
            </w:rPr>
            <w:t xml:space="preserve">Hansen, P. R., &amp; Lunde, A. (2005). A forecast comparison of volatility models: Does anything beat a GARCH(1,1)? </w:t>
          </w:r>
          <w:r w:rsidRPr="00E47856">
            <w:rPr>
              <w:i/>
              <w:iCs/>
              <w:color w:val="000000"/>
              <w:sz w:val="24"/>
              <w:szCs w:val="24"/>
            </w:rPr>
            <w:t>Journal of Applied Econometrics</w:t>
          </w:r>
          <w:r w:rsidRPr="00E47856">
            <w:rPr>
              <w:color w:val="000000"/>
              <w:sz w:val="24"/>
              <w:szCs w:val="24"/>
            </w:rPr>
            <w:t xml:space="preserve">, </w:t>
          </w:r>
          <w:r w:rsidRPr="00E47856">
            <w:rPr>
              <w:i/>
              <w:iCs/>
              <w:color w:val="000000"/>
              <w:sz w:val="24"/>
              <w:szCs w:val="24"/>
            </w:rPr>
            <w:t>20</w:t>
          </w:r>
          <w:r w:rsidRPr="00E47856">
            <w:rPr>
              <w:color w:val="000000"/>
              <w:sz w:val="24"/>
              <w:szCs w:val="24"/>
            </w:rPr>
            <w:t>(7), 873–889. https://doi.org/10.1002/jae.800</w:t>
          </w:r>
        </w:p>
        <w:p w14:paraId="1E995076" w14:textId="77777777" w:rsidR="00E47856" w:rsidRPr="00E47856" w:rsidRDefault="00E47856" w:rsidP="00E47856">
          <w:pPr>
            <w:pStyle w:val="a4"/>
            <w:numPr>
              <w:ilvl w:val="0"/>
              <w:numId w:val="2"/>
            </w:numPr>
            <w:autoSpaceDE w:val="0"/>
            <w:autoSpaceDN w:val="0"/>
            <w:spacing w:line="276" w:lineRule="auto"/>
            <w:jc w:val="both"/>
            <w:divId w:val="500317661"/>
            <w:rPr>
              <w:color w:val="000000"/>
              <w:sz w:val="24"/>
              <w:szCs w:val="24"/>
            </w:rPr>
          </w:pPr>
          <w:r w:rsidRPr="00E47856">
            <w:rPr>
              <w:color w:val="000000"/>
              <w:sz w:val="24"/>
              <w:szCs w:val="24"/>
            </w:rPr>
            <w:t xml:space="preserve">Hasanhodzic, J., &amp; Lo, A. W. (n.d.). </w:t>
          </w:r>
          <w:r w:rsidRPr="00E47856">
            <w:rPr>
              <w:i/>
              <w:iCs/>
              <w:color w:val="000000"/>
              <w:sz w:val="24"/>
              <w:szCs w:val="24"/>
            </w:rPr>
            <w:t>Black’s Leverage Effect Is Not Due To Leverage *</w:t>
          </w:r>
          <w:r w:rsidRPr="00E47856">
            <w:rPr>
              <w:color w:val="000000"/>
              <w:sz w:val="24"/>
              <w:szCs w:val="24"/>
            </w:rPr>
            <w:t>. Retrieved http://ssrn.com/abstract=1762363https://ssrn.com/abstract=1762363Electroniccopyavailableat:http://ssrn.com/abstract=1762363</w:t>
          </w:r>
        </w:p>
        <w:p w14:paraId="7AB08453" w14:textId="77777777" w:rsidR="00E47856" w:rsidRPr="00E47856" w:rsidRDefault="00E47856" w:rsidP="00E47856">
          <w:pPr>
            <w:pStyle w:val="a4"/>
            <w:numPr>
              <w:ilvl w:val="0"/>
              <w:numId w:val="2"/>
            </w:numPr>
            <w:autoSpaceDE w:val="0"/>
            <w:autoSpaceDN w:val="0"/>
            <w:spacing w:line="276" w:lineRule="auto"/>
            <w:jc w:val="both"/>
            <w:divId w:val="1629243823"/>
            <w:rPr>
              <w:color w:val="000000"/>
              <w:sz w:val="24"/>
              <w:szCs w:val="24"/>
            </w:rPr>
          </w:pPr>
          <w:r w:rsidRPr="00E47856">
            <w:rPr>
              <w:color w:val="000000"/>
              <w:sz w:val="24"/>
              <w:szCs w:val="24"/>
            </w:rPr>
            <w:t xml:space="preserve">Jouini, J. (2013). Stock markets in GCC countries and global factors: A further investigation. </w:t>
          </w:r>
          <w:r w:rsidRPr="00E47856">
            <w:rPr>
              <w:i/>
              <w:iCs/>
              <w:color w:val="000000"/>
              <w:sz w:val="24"/>
              <w:szCs w:val="24"/>
            </w:rPr>
            <w:t>Economic Modelling</w:t>
          </w:r>
          <w:r w:rsidRPr="00E47856">
            <w:rPr>
              <w:color w:val="000000"/>
              <w:sz w:val="24"/>
              <w:szCs w:val="24"/>
            </w:rPr>
            <w:t xml:space="preserve">, </w:t>
          </w:r>
          <w:r w:rsidRPr="00E47856">
            <w:rPr>
              <w:i/>
              <w:iCs/>
              <w:color w:val="000000"/>
              <w:sz w:val="24"/>
              <w:szCs w:val="24"/>
            </w:rPr>
            <w:t>31</w:t>
          </w:r>
          <w:r w:rsidRPr="00E47856">
            <w:rPr>
              <w:color w:val="000000"/>
              <w:sz w:val="24"/>
              <w:szCs w:val="24"/>
            </w:rPr>
            <w:t>(1), 80–86. https://doi.org/10.1016/j.econmod.2012.11.039</w:t>
          </w:r>
        </w:p>
        <w:p w14:paraId="60D14C9A" w14:textId="77777777" w:rsidR="00E47856" w:rsidRPr="00E47856" w:rsidRDefault="00E47856" w:rsidP="00E47856">
          <w:pPr>
            <w:pStyle w:val="a4"/>
            <w:numPr>
              <w:ilvl w:val="0"/>
              <w:numId w:val="2"/>
            </w:numPr>
            <w:autoSpaceDE w:val="0"/>
            <w:autoSpaceDN w:val="0"/>
            <w:spacing w:line="276" w:lineRule="auto"/>
            <w:jc w:val="both"/>
            <w:divId w:val="201940805"/>
            <w:rPr>
              <w:color w:val="000000"/>
              <w:sz w:val="24"/>
              <w:szCs w:val="24"/>
            </w:rPr>
          </w:pPr>
          <w:r w:rsidRPr="00E47856">
            <w:rPr>
              <w:color w:val="000000"/>
              <w:sz w:val="24"/>
              <w:szCs w:val="24"/>
            </w:rPr>
            <w:t xml:space="preserve">Marisetty, N. (2024). Applications of GARCH Models in Forecasting Financial Market Volatility: Insights from Leading Global Stock Indexes. </w:t>
          </w:r>
          <w:r w:rsidRPr="00E47856">
            <w:rPr>
              <w:i/>
              <w:iCs/>
              <w:color w:val="000000"/>
              <w:sz w:val="24"/>
              <w:szCs w:val="24"/>
            </w:rPr>
            <w:t>Asian Journal of Economics, Business and Accounting</w:t>
          </w:r>
          <w:r w:rsidRPr="00E47856">
            <w:rPr>
              <w:color w:val="000000"/>
              <w:sz w:val="24"/>
              <w:szCs w:val="24"/>
            </w:rPr>
            <w:t xml:space="preserve">, </w:t>
          </w:r>
          <w:r w:rsidRPr="00E47856">
            <w:rPr>
              <w:i/>
              <w:iCs/>
              <w:color w:val="000000"/>
              <w:sz w:val="24"/>
              <w:szCs w:val="24"/>
            </w:rPr>
            <w:t>24</w:t>
          </w:r>
          <w:r w:rsidRPr="00E47856">
            <w:rPr>
              <w:color w:val="000000"/>
              <w:sz w:val="24"/>
              <w:szCs w:val="24"/>
            </w:rPr>
            <w:t>(9), 63–84. https://doi.org/10.9734/ajeba/2024/v24i91477</w:t>
          </w:r>
        </w:p>
        <w:p w14:paraId="587491E0" w14:textId="77777777" w:rsidR="00E47856" w:rsidRPr="00E47856" w:rsidRDefault="00E47856" w:rsidP="00E47856">
          <w:pPr>
            <w:pStyle w:val="a4"/>
            <w:numPr>
              <w:ilvl w:val="0"/>
              <w:numId w:val="2"/>
            </w:numPr>
            <w:autoSpaceDE w:val="0"/>
            <w:autoSpaceDN w:val="0"/>
            <w:spacing w:line="276" w:lineRule="auto"/>
            <w:jc w:val="both"/>
            <w:divId w:val="793984398"/>
            <w:rPr>
              <w:color w:val="000000"/>
              <w:sz w:val="24"/>
              <w:szCs w:val="24"/>
            </w:rPr>
          </w:pPr>
          <w:r w:rsidRPr="00E47856">
            <w:rPr>
              <w:color w:val="000000"/>
              <w:sz w:val="24"/>
              <w:szCs w:val="24"/>
            </w:rPr>
            <w:t xml:space="preserve">Mensi, W., Hammoudeh, S., &amp; Kang, S. H. (2017). Dynamic linkages between developed and BRICS stock markets: Portfolio risk analysis. </w:t>
          </w:r>
          <w:r w:rsidRPr="00E47856">
            <w:rPr>
              <w:i/>
              <w:iCs/>
              <w:color w:val="000000"/>
              <w:sz w:val="24"/>
              <w:szCs w:val="24"/>
            </w:rPr>
            <w:t>Finance Research Letters</w:t>
          </w:r>
          <w:r w:rsidRPr="00E47856">
            <w:rPr>
              <w:color w:val="000000"/>
              <w:sz w:val="24"/>
              <w:szCs w:val="24"/>
            </w:rPr>
            <w:t xml:space="preserve">, </w:t>
          </w:r>
          <w:r w:rsidRPr="00E47856">
            <w:rPr>
              <w:i/>
              <w:iCs/>
              <w:color w:val="000000"/>
              <w:sz w:val="24"/>
              <w:szCs w:val="24"/>
            </w:rPr>
            <w:t>21</w:t>
          </w:r>
          <w:r w:rsidRPr="00E47856">
            <w:rPr>
              <w:color w:val="000000"/>
              <w:sz w:val="24"/>
              <w:szCs w:val="24"/>
            </w:rPr>
            <w:t>, 26–33. https://doi.org/10.1016/j.frl.2016.11.016</w:t>
          </w:r>
        </w:p>
        <w:p w14:paraId="0B0D27BA" w14:textId="77777777" w:rsidR="00E47856" w:rsidRPr="00E47856" w:rsidRDefault="00E47856" w:rsidP="00E47856">
          <w:pPr>
            <w:pStyle w:val="a4"/>
            <w:numPr>
              <w:ilvl w:val="0"/>
              <w:numId w:val="2"/>
            </w:numPr>
            <w:autoSpaceDE w:val="0"/>
            <w:autoSpaceDN w:val="0"/>
            <w:spacing w:line="276" w:lineRule="auto"/>
            <w:jc w:val="both"/>
            <w:divId w:val="1033967688"/>
            <w:rPr>
              <w:color w:val="000000"/>
              <w:sz w:val="24"/>
              <w:szCs w:val="24"/>
            </w:rPr>
          </w:pPr>
          <w:r w:rsidRPr="00E47856">
            <w:rPr>
              <w:color w:val="000000"/>
              <w:sz w:val="24"/>
              <w:szCs w:val="24"/>
            </w:rPr>
            <w:t xml:space="preserve">Rehman, M. Z., &amp; Karimullah, K. (2024). Black swan events and stock market behavior in Gulf countries: a comparative analysis of financial crisis (2008) and COVID-19 pandemic. </w:t>
          </w:r>
          <w:r w:rsidRPr="00E47856">
            <w:rPr>
              <w:i/>
              <w:iCs/>
              <w:color w:val="000000"/>
              <w:sz w:val="24"/>
              <w:szCs w:val="24"/>
            </w:rPr>
            <w:t>Arab Gulf Journal of Scientific Research</w:t>
          </w:r>
          <w:r w:rsidRPr="00E47856">
            <w:rPr>
              <w:color w:val="000000"/>
              <w:sz w:val="24"/>
              <w:szCs w:val="24"/>
            </w:rPr>
            <w:t xml:space="preserve">, </w:t>
          </w:r>
          <w:r w:rsidRPr="00E47856">
            <w:rPr>
              <w:i/>
              <w:iCs/>
              <w:color w:val="000000"/>
              <w:sz w:val="24"/>
              <w:szCs w:val="24"/>
            </w:rPr>
            <w:t>42</w:t>
          </w:r>
          <w:r w:rsidRPr="00E47856">
            <w:rPr>
              <w:color w:val="000000"/>
              <w:sz w:val="24"/>
              <w:szCs w:val="24"/>
            </w:rPr>
            <w:t>(3), 805–824. https://doi.org/10.1108/AGJSR-09-2022-0162</w:t>
          </w:r>
        </w:p>
        <w:p w14:paraId="12B9CCE3" w14:textId="77777777" w:rsidR="00E47856" w:rsidRPr="00E47856" w:rsidRDefault="00E47856" w:rsidP="00E47856">
          <w:pPr>
            <w:pStyle w:val="a4"/>
            <w:numPr>
              <w:ilvl w:val="0"/>
              <w:numId w:val="2"/>
            </w:numPr>
            <w:autoSpaceDE w:val="0"/>
            <w:autoSpaceDN w:val="0"/>
            <w:spacing w:line="276" w:lineRule="auto"/>
            <w:jc w:val="both"/>
            <w:divId w:val="44186342"/>
            <w:rPr>
              <w:color w:val="000000"/>
              <w:sz w:val="24"/>
              <w:szCs w:val="24"/>
            </w:rPr>
          </w:pPr>
          <w:r w:rsidRPr="00E47856">
            <w:rPr>
              <w:color w:val="000000"/>
              <w:sz w:val="24"/>
              <w:szCs w:val="24"/>
            </w:rPr>
            <w:t xml:space="preserve">Sadorsky, P. (2014). Modeling volatility and correlations between emerging market stock prices and the prices of copper, oil and wheat. </w:t>
          </w:r>
          <w:r w:rsidRPr="00E47856">
            <w:rPr>
              <w:i/>
              <w:iCs/>
              <w:color w:val="000000"/>
              <w:sz w:val="24"/>
              <w:szCs w:val="24"/>
            </w:rPr>
            <w:t>Energy Economics</w:t>
          </w:r>
          <w:r w:rsidRPr="00E47856">
            <w:rPr>
              <w:color w:val="000000"/>
              <w:sz w:val="24"/>
              <w:szCs w:val="24"/>
            </w:rPr>
            <w:t xml:space="preserve">, </w:t>
          </w:r>
          <w:r w:rsidRPr="00E47856">
            <w:rPr>
              <w:i/>
              <w:iCs/>
              <w:color w:val="000000"/>
              <w:sz w:val="24"/>
              <w:szCs w:val="24"/>
            </w:rPr>
            <w:t>43</w:t>
          </w:r>
          <w:r w:rsidRPr="00E47856">
            <w:rPr>
              <w:color w:val="000000"/>
              <w:sz w:val="24"/>
              <w:szCs w:val="24"/>
            </w:rPr>
            <w:t>, 72–81. https://doi.org/10.1016/j.eneco.2014.02.014</w:t>
          </w:r>
        </w:p>
        <w:p w14:paraId="7CF5CA6C" w14:textId="77777777" w:rsidR="00E47856" w:rsidRPr="00E47856" w:rsidRDefault="00E47856" w:rsidP="00E47856">
          <w:pPr>
            <w:pStyle w:val="a4"/>
            <w:numPr>
              <w:ilvl w:val="0"/>
              <w:numId w:val="2"/>
            </w:numPr>
            <w:autoSpaceDE w:val="0"/>
            <w:autoSpaceDN w:val="0"/>
            <w:spacing w:line="276" w:lineRule="auto"/>
            <w:jc w:val="both"/>
            <w:divId w:val="190145962"/>
            <w:rPr>
              <w:color w:val="000000"/>
              <w:sz w:val="24"/>
              <w:szCs w:val="24"/>
            </w:rPr>
          </w:pPr>
          <w:r w:rsidRPr="00E47856">
            <w:rPr>
              <w:color w:val="000000"/>
              <w:sz w:val="24"/>
              <w:szCs w:val="24"/>
            </w:rPr>
            <w:t xml:space="preserve">Tabash, M. I., Issa, S. S., Mansour, M., Saleh, M. W. A., Rahrouh, M., AlQeisi, K., &amp; Al-Absy, M. S. M. (2025). Dynamic Shock-Transmission Mechanism Between U.S. Trade Policy Uncertainty and Sharia-Compliant Stock Market Volatility of GCC Economies. </w:t>
          </w:r>
          <w:r w:rsidRPr="00E47856">
            <w:rPr>
              <w:i/>
              <w:iCs/>
              <w:color w:val="000000"/>
              <w:sz w:val="24"/>
              <w:szCs w:val="24"/>
            </w:rPr>
            <w:t>Risks</w:t>
          </w:r>
          <w:r w:rsidRPr="00E47856">
            <w:rPr>
              <w:color w:val="000000"/>
              <w:sz w:val="24"/>
              <w:szCs w:val="24"/>
            </w:rPr>
            <w:t xml:space="preserve">, </w:t>
          </w:r>
          <w:r w:rsidRPr="00E47856">
            <w:rPr>
              <w:i/>
              <w:iCs/>
              <w:color w:val="000000"/>
              <w:sz w:val="24"/>
              <w:szCs w:val="24"/>
            </w:rPr>
            <w:t>13</w:t>
          </w:r>
          <w:r w:rsidRPr="00E47856">
            <w:rPr>
              <w:color w:val="000000"/>
              <w:sz w:val="24"/>
              <w:szCs w:val="24"/>
            </w:rPr>
            <w:t>(3). https://doi.org/10.3390/risks13030056</w:t>
          </w:r>
        </w:p>
        <w:p w14:paraId="7C6386A5" w14:textId="77777777" w:rsidR="00E47856" w:rsidRPr="00E47856" w:rsidRDefault="00E47856" w:rsidP="00E47856">
          <w:pPr>
            <w:pStyle w:val="a4"/>
            <w:numPr>
              <w:ilvl w:val="0"/>
              <w:numId w:val="2"/>
            </w:numPr>
            <w:autoSpaceDE w:val="0"/>
            <w:autoSpaceDN w:val="0"/>
            <w:spacing w:line="276" w:lineRule="auto"/>
            <w:jc w:val="both"/>
            <w:divId w:val="272592702"/>
            <w:rPr>
              <w:color w:val="000000"/>
              <w:sz w:val="24"/>
              <w:szCs w:val="24"/>
            </w:rPr>
          </w:pPr>
          <w:r w:rsidRPr="00E47856">
            <w:rPr>
              <w:color w:val="000000"/>
              <w:sz w:val="24"/>
              <w:szCs w:val="24"/>
            </w:rPr>
            <w:t xml:space="preserve">Tauchen, G., Tsay, R., &amp; Watson, M. (1995). Daniel B. Nelson, 1959–1995. </w:t>
          </w:r>
          <w:r w:rsidRPr="00E47856">
            <w:rPr>
              <w:i/>
              <w:iCs/>
              <w:color w:val="000000"/>
              <w:sz w:val="24"/>
              <w:szCs w:val="24"/>
            </w:rPr>
            <w:t>Journal of Business &amp; Economic Statistics</w:t>
          </w:r>
          <w:r w:rsidRPr="00E47856">
            <w:rPr>
              <w:color w:val="000000"/>
              <w:sz w:val="24"/>
              <w:szCs w:val="24"/>
            </w:rPr>
            <w:t xml:space="preserve">, </w:t>
          </w:r>
          <w:r w:rsidRPr="00E47856">
            <w:rPr>
              <w:i/>
              <w:iCs/>
              <w:color w:val="000000"/>
              <w:sz w:val="24"/>
              <w:szCs w:val="24"/>
            </w:rPr>
            <w:t>13</w:t>
          </w:r>
          <w:r w:rsidRPr="00E47856">
            <w:rPr>
              <w:color w:val="000000"/>
              <w:sz w:val="24"/>
              <w:szCs w:val="24"/>
            </w:rPr>
            <w:t>(4), 361–361. https://doi.org/10.1080/07350015.1995.10524610</w:t>
          </w:r>
        </w:p>
        <w:p w14:paraId="11315A0F" w14:textId="77777777" w:rsidR="00E47856" w:rsidRPr="00E47856" w:rsidRDefault="00E47856" w:rsidP="00E47856">
          <w:pPr>
            <w:pStyle w:val="a4"/>
            <w:numPr>
              <w:ilvl w:val="0"/>
              <w:numId w:val="2"/>
            </w:numPr>
            <w:autoSpaceDE w:val="0"/>
            <w:autoSpaceDN w:val="0"/>
            <w:spacing w:line="276" w:lineRule="auto"/>
            <w:jc w:val="both"/>
            <w:divId w:val="1062798100"/>
            <w:rPr>
              <w:color w:val="000000"/>
              <w:sz w:val="24"/>
              <w:szCs w:val="24"/>
            </w:rPr>
          </w:pPr>
          <w:r w:rsidRPr="00E47856">
            <w:rPr>
              <w:color w:val="000000"/>
              <w:sz w:val="24"/>
              <w:szCs w:val="24"/>
            </w:rPr>
            <w:lastRenderedPageBreak/>
            <w:t xml:space="preserve">Zhang, K., De Mello, L., &amp; Sadeghi, M. (2018). Evaluating Volatility Forecasts with Ultra-High-Frequency Data—Evidence from the Australian Equity Market. </w:t>
          </w:r>
          <w:r w:rsidRPr="00E47856">
            <w:rPr>
              <w:i/>
              <w:iCs/>
              <w:color w:val="000000"/>
              <w:sz w:val="24"/>
              <w:szCs w:val="24"/>
            </w:rPr>
            <w:t>Theoretical Economics Letters</w:t>
          </w:r>
          <w:r w:rsidRPr="00E47856">
            <w:rPr>
              <w:color w:val="000000"/>
              <w:sz w:val="24"/>
              <w:szCs w:val="24"/>
            </w:rPr>
            <w:t xml:space="preserve">, </w:t>
          </w:r>
          <w:r w:rsidRPr="00E47856">
            <w:rPr>
              <w:i/>
              <w:iCs/>
              <w:color w:val="000000"/>
              <w:sz w:val="24"/>
              <w:szCs w:val="24"/>
            </w:rPr>
            <w:t>08</w:t>
          </w:r>
          <w:r w:rsidRPr="00E47856">
            <w:rPr>
              <w:color w:val="000000"/>
              <w:sz w:val="24"/>
              <w:szCs w:val="24"/>
            </w:rPr>
            <w:t>(01), 1–27. https://doi.org/10.4236/tel.2018.81001</w:t>
          </w:r>
        </w:p>
        <w:p w14:paraId="291A0AAC" w14:textId="3B096D9A" w:rsidR="00CC5C3E" w:rsidRDefault="00BC3A9F" w:rsidP="00E47856">
          <w:pPr>
            <w:bidi w:val="0"/>
            <w:spacing w:before="60" w:after="60" w:line="276" w:lineRule="auto"/>
            <w:ind w:firstLine="60"/>
            <w:jc w:val="both"/>
          </w:pPr>
        </w:p>
      </w:sdtContent>
    </w:sdt>
    <w:sectPr w:rsidR="00CC5C3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1939"/>
    <w:multiLevelType w:val="hybridMultilevel"/>
    <w:tmpl w:val="BF64D8A0"/>
    <w:lvl w:ilvl="0" w:tplc="2BC0F0A4">
      <w:start w:val="1"/>
      <w:numFmt w:val="bullet"/>
      <w:lvlText w:val="•"/>
      <w:lvlJc w:val="left"/>
      <w:pPr>
        <w:ind w:left="720" w:hanging="360"/>
      </w:pPr>
    </w:lvl>
    <w:lvl w:ilvl="1" w:tplc="8D7E8172">
      <w:numFmt w:val="decimal"/>
      <w:lvlText w:val=""/>
      <w:lvlJc w:val="left"/>
    </w:lvl>
    <w:lvl w:ilvl="2" w:tplc="66FE89A6">
      <w:numFmt w:val="decimal"/>
      <w:lvlText w:val=""/>
      <w:lvlJc w:val="left"/>
    </w:lvl>
    <w:lvl w:ilvl="3" w:tplc="3BAC9C50">
      <w:numFmt w:val="decimal"/>
      <w:lvlText w:val=""/>
      <w:lvlJc w:val="left"/>
    </w:lvl>
    <w:lvl w:ilvl="4" w:tplc="397CD08E">
      <w:numFmt w:val="decimal"/>
      <w:lvlText w:val=""/>
      <w:lvlJc w:val="left"/>
    </w:lvl>
    <w:lvl w:ilvl="5" w:tplc="8FE2532A">
      <w:numFmt w:val="decimal"/>
      <w:lvlText w:val=""/>
      <w:lvlJc w:val="left"/>
    </w:lvl>
    <w:lvl w:ilvl="6" w:tplc="FA36B2EE">
      <w:numFmt w:val="decimal"/>
      <w:lvlText w:val=""/>
      <w:lvlJc w:val="left"/>
    </w:lvl>
    <w:lvl w:ilvl="7" w:tplc="0AEEAC6C">
      <w:numFmt w:val="decimal"/>
      <w:lvlText w:val=""/>
      <w:lvlJc w:val="left"/>
    </w:lvl>
    <w:lvl w:ilvl="8" w:tplc="351E2D40">
      <w:numFmt w:val="decimal"/>
      <w:lvlText w:val=""/>
      <w:lvlJc w:val="left"/>
    </w:lvl>
  </w:abstractNum>
  <w:abstractNum w:abstractNumId="1" w15:restartNumberingAfterBreak="0">
    <w:nsid w:val="66E1079C"/>
    <w:multiLevelType w:val="hybridMultilevel"/>
    <w:tmpl w:val="513E4F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972AF1"/>
    <w:multiLevelType w:val="hybridMultilevel"/>
    <w:tmpl w:val="6F7C7C08"/>
    <w:lvl w:ilvl="0" w:tplc="B068FE4E">
      <w:start w:val="1"/>
      <w:numFmt w:val="bullet"/>
      <w:lvlText w:val="●"/>
      <w:lvlJc w:val="left"/>
      <w:pPr>
        <w:ind w:left="720" w:hanging="360"/>
      </w:pPr>
    </w:lvl>
    <w:lvl w:ilvl="1" w:tplc="96027020">
      <w:start w:val="1"/>
      <w:numFmt w:val="bullet"/>
      <w:lvlText w:val="○"/>
      <w:lvlJc w:val="left"/>
      <w:pPr>
        <w:ind w:left="1440" w:hanging="360"/>
      </w:pPr>
    </w:lvl>
    <w:lvl w:ilvl="2" w:tplc="D6E82B3C">
      <w:start w:val="1"/>
      <w:numFmt w:val="bullet"/>
      <w:lvlText w:val="■"/>
      <w:lvlJc w:val="left"/>
      <w:pPr>
        <w:ind w:left="2160" w:hanging="360"/>
      </w:pPr>
    </w:lvl>
    <w:lvl w:ilvl="3" w:tplc="175EB7CC">
      <w:start w:val="1"/>
      <w:numFmt w:val="bullet"/>
      <w:lvlText w:val="●"/>
      <w:lvlJc w:val="left"/>
      <w:pPr>
        <w:ind w:left="2880" w:hanging="360"/>
      </w:pPr>
    </w:lvl>
    <w:lvl w:ilvl="4" w:tplc="98F20A52">
      <w:start w:val="1"/>
      <w:numFmt w:val="bullet"/>
      <w:lvlText w:val="○"/>
      <w:lvlJc w:val="left"/>
      <w:pPr>
        <w:ind w:left="3600" w:hanging="360"/>
      </w:pPr>
    </w:lvl>
    <w:lvl w:ilvl="5" w:tplc="5F8C0E28">
      <w:start w:val="1"/>
      <w:numFmt w:val="bullet"/>
      <w:lvlText w:val="■"/>
      <w:lvlJc w:val="left"/>
      <w:pPr>
        <w:ind w:left="4320" w:hanging="360"/>
      </w:pPr>
    </w:lvl>
    <w:lvl w:ilvl="6" w:tplc="998E53A0">
      <w:start w:val="1"/>
      <w:numFmt w:val="bullet"/>
      <w:lvlText w:val="●"/>
      <w:lvlJc w:val="left"/>
      <w:pPr>
        <w:ind w:left="5040" w:hanging="360"/>
      </w:pPr>
    </w:lvl>
    <w:lvl w:ilvl="7" w:tplc="9C10920A">
      <w:start w:val="1"/>
      <w:numFmt w:val="bullet"/>
      <w:lvlText w:val="●"/>
      <w:lvlJc w:val="left"/>
      <w:pPr>
        <w:ind w:left="5760" w:hanging="360"/>
      </w:pPr>
    </w:lvl>
    <w:lvl w:ilvl="8" w:tplc="F57AE204">
      <w:start w:val="1"/>
      <w:numFmt w:val="bullet"/>
      <w:lvlText w:val="●"/>
      <w:lvlJc w:val="left"/>
      <w:pPr>
        <w:ind w:left="6480" w:hanging="360"/>
      </w:pPr>
    </w:lvl>
  </w:abstractNum>
  <w:num w:numId="1" w16cid:durableId="1028215352">
    <w:abstractNumId w:val="2"/>
    <w:lvlOverride w:ilvl="0">
      <w:startOverride w:val="1"/>
    </w:lvlOverride>
  </w:num>
  <w:num w:numId="2" w16cid:durableId="1587883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3E"/>
    <w:rsid w:val="000B5790"/>
    <w:rsid w:val="000D0615"/>
    <w:rsid w:val="000D347D"/>
    <w:rsid w:val="00103524"/>
    <w:rsid w:val="00117A87"/>
    <w:rsid w:val="002E6132"/>
    <w:rsid w:val="003D2F4B"/>
    <w:rsid w:val="003E75F4"/>
    <w:rsid w:val="00473724"/>
    <w:rsid w:val="0056652E"/>
    <w:rsid w:val="00587326"/>
    <w:rsid w:val="005B4A4B"/>
    <w:rsid w:val="006B20F8"/>
    <w:rsid w:val="006F1BD9"/>
    <w:rsid w:val="00705E4B"/>
    <w:rsid w:val="007B3F5F"/>
    <w:rsid w:val="007E1D8C"/>
    <w:rsid w:val="007E7B59"/>
    <w:rsid w:val="008833D3"/>
    <w:rsid w:val="008F007A"/>
    <w:rsid w:val="009429FD"/>
    <w:rsid w:val="009E301D"/>
    <w:rsid w:val="009F7BD2"/>
    <w:rsid w:val="00A47E34"/>
    <w:rsid w:val="00BC3A9F"/>
    <w:rsid w:val="00C163C8"/>
    <w:rsid w:val="00C760DE"/>
    <w:rsid w:val="00CC5C3E"/>
    <w:rsid w:val="00CF3C73"/>
    <w:rsid w:val="00D12D84"/>
    <w:rsid w:val="00D27BBB"/>
    <w:rsid w:val="00D42D07"/>
    <w:rsid w:val="00E47856"/>
    <w:rsid w:val="00E710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B5BF0"/>
  <w15:docId w15:val="{3B54FE91-435A-44C9-A1F5-91EA3B0C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spacing w:before="320" w:after="160"/>
      <w:outlineLvl w:val="0"/>
    </w:pPr>
    <w:rPr>
      <w:b/>
      <w:bCs/>
      <w:color w:val="1F3864"/>
      <w:sz w:val="28"/>
      <w:szCs w:val="28"/>
    </w:rPr>
  </w:style>
  <w:style w:type="paragraph" w:styleId="2">
    <w:name w:val="heading 2"/>
    <w:uiPriority w:val="9"/>
    <w:unhideWhenUsed/>
    <w:qFormat/>
    <w:pPr>
      <w:spacing w:before="240" w:after="120"/>
      <w:outlineLvl w:val="1"/>
    </w:pPr>
    <w:rPr>
      <w:b/>
      <w:bCs/>
      <w:color w:val="2E5A9C"/>
      <w:sz w:val="24"/>
      <w:szCs w:val="24"/>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 w:type="character" w:styleId="a9">
    <w:name w:val="Placeholder Text"/>
    <w:basedOn w:val="a0"/>
    <w:uiPriority w:val="99"/>
    <w:semiHidden/>
    <w:rsid w:val="0047372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0448">
      <w:marLeft w:val="480"/>
      <w:marRight w:val="0"/>
      <w:marTop w:val="0"/>
      <w:marBottom w:val="0"/>
      <w:divBdr>
        <w:top w:val="none" w:sz="0" w:space="0" w:color="auto"/>
        <w:left w:val="none" w:sz="0" w:space="0" w:color="auto"/>
        <w:bottom w:val="none" w:sz="0" w:space="0" w:color="auto"/>
        <w:right w:val="none" w:sz="0" w:space="0" w:color="auto"/>
      </w:divBdr>
    </w:div>
    <w:div w:id="44186342">
      <w:marLeft w:val="480"/>
      <w:marRight w:val="0"/>
      <w:marTop w:val="0"/>
      <w:marBottom w:val="0"/>
      <w:divBdr>
        <w:top w:val="none" w:sz="0" w:space="0" w:color="auto"/>
        <w:left w:val="none" w:sz="0" w:space="0" w:color="auto"/>
        <w:bottom w:val="none" w:sz="0" w:space="0" w:color="auto"/>
        <w:right w:val="none" w:sz="0" w:space="0" w:color="auto"/>
      </w:divBdr>
    </w:div>
    <w:div w:id="111822431">
      <w:marLeft w:val="480"/>
      <w:marRight w:val="0"/>
      <w:marTop w:val="0"/>
      <w:marBottom w:val="0"/>
      <w:divBdr>
        <w:top w:val="none" w:sz="0" w:space="0" w:color="auto"/>
        <w:left w:val="none" w:sz="0" w:space="0" w:color="auto"/>
        <w:bottom w:val="none" w:sz="0" w:space="0" w:color="auto"/>
        <w:right w:val="none" w:sz="0" w:space="0" w:color="auto"/>
      </w:divBdr>
    </w:div>
    <w:div w:id="161240345">
      <w:marLeft w:val="480"/>
      <w:marRight w:val="0"/>
      <w:marTop w:val="0"/>
      <w:marBottom w:val="0"/>
      <w:divBdr>
        <w:top w:val="none" w:sz="0" w:space="0" w:color="auto"/>
        <w:left w:val="none" w:sz="0" w:space="0" w:color="auto"/>
        <w:bottom w:val="none" w:sz="0" w:space="0" w:color="auto"/>
        <w:right w:val="none" w:sz="0" w:space="0" w:color="auto"/>
      </w:divBdr>
    </w:div>
    <w:div w:id="190145962">
      <w:marLeft w:val="480"/>
      <w:marRight w:val="0"/>
      <w:marTop w:val="0"/>
      <w:marBottom w:val="0"/>
      <w:divBdr>
        <w:top w:val="none" w:sz="0" w:space="0" w:color="auto"/>
        <w:left w:val="none" w:sz="0" w:space="0" w:color="auto"/>
        <w:bottom w:val="none" w:sz="0" w:space="0" w:color="auto"/>
        <w:right w:val="none" w:sz="0" w:space="0" w:color="auto"/>
      </w:divBdr>
    </w:div>
    <w:div w:id="201940805">
      <w:marLeft w:val="480"/>
      <w:marRight w:val="0"/>
      <w:marTop w:val="0"/>
      <w:marBottom w:val="0"/>
      <w:divBdr>
        <w:top w:val="none" w:sz="0" w:space="0" w:color="auto"/>
        <w:left w:val="none" w:sz="0" w:space="0" w:color="auto"/>
        <w:bottom w:val="none" w:sz="0" w:space="0" w:color="auto"/>
        <w:right w:val="none" w:sz="0" w:space="0" w:color="auto"/>
      </w:divBdr>
    </w:div>
    <w:div w:id="227302813">
      <w:marLeft w:val="480"/>
      <w:marRight w:val="0"/>
      <w:marTop w:val="0"/>
      <w:marBottom w:val="0"/>
      <w:divBdr>
        <w:top w:val="none" w:sz="0" w:space="0" w:color="auto"/>
        <w:left w:val="none" w:sz="0" w:space="0" w:color="auto"/>
        <w:bottom w:val="none" w:sz="0" w:space="0" w:color="auto"/>
        <w:right w:val="none" w:sz="0" w:space="0" w:color="auto"/>
      </w:divBdr>
    </w:div>
    <w:div w:id="267130428">
      <w:marLeft w:val="480"/>
      <w:marRight w:val="0"/>
      <w:marTop w:val="0"/>
      <w:marBottom w:val="0"/>
      <w:divBdr>
        <w:top w:val="none" w:sz="0" w:space="0" w:color="auto"/>
        <w:left w:val="none" w:sz="0" w:space="0" w:color="auto"/>
        <w:bottom w:val="none" w:sz="0" w:space="0" w:color="auto"/>
        <w:right w:val="none" w:sz="0" w:space="0" w:color="auto"/>
      </w:divBdr>
    </w:div>
    <w:div w:id="272592702">
      <w:marLeft w:val="480"/>
      <w:marRight w:val="0"/>
      <w:marTop w:val="0"/>
      <w:marBottom w:val="0"/>
      <w:divBdr>
        <w:top w:val="none" w:sz="0" w:space="0" w:color="auto"/>
        <w:left w:val="none" w:sz="0" w:space="0" w:color="auto"/>
        <w:bottom w:val="none" w:sz="0" w:space="0" w:color="auto"/>
        <w:right w:val="none" w:sz="0" w:space="0" w:color="auto"/>
      </w:divBdr>
    </w:div>
    <w:div w:id="339550468">
      <w:marLeft w:val="480"/>
      <w:marRight w:val="0"/>
      <w:marTop w:val="0"/>
      <w:marBottom w:val="0"/>
      <w:divBdr>
        <w:top w:val="none" w:sz="0" w:space="0" w:color="auto"/>
        <w:left w:val="none" w:sz="0" w:space="0" w:color="auto"/>
        <w:bottom w:val="none" w:sz="0" w:space="0" w:color="auto"/>
        <w:right w:val="none" w:sz="0" w:space="0" w:color="auto"/>
      </w:divBdr>
    </w:div>
    <w:div w:id="355080746">
      <w:marLeft w:val="480"/>
      <w:marRight w:val="0"/>
      <w:marTop w:val="0"/>
      <w:marBottom w:val="0"/>
      <w:divBdr>
        <w:top w:val="none" w:sz="0" w:space="0" w:color="auto"/>
        <w:left w:val="none" w:sz="0" w:space="0" w:color="auto"/>
        <w:bottom w:val="none" w:sz="0" w:space="0" w:color="auto"/>
        <w:right w:val="none" w:sz="0" w:space="0" w:color="auto"/>
      </w:divBdr>
    </w:div>
    <w:div w:id="385494943">
      <w:marLeft w:val="480"/>
      <w:marRight w:val="0"/>
      <w:marTop w:val="0"/>
      <w:marBottom w:val="0"/>
      <w:divBdr>
        <w:top w:val="none" w:sz="0" w:space="0" w:color="auto"/>
        <w:left w:val="none" w:sz="0" w:space="0" w:color="auto"/>
        <w:bottom w:val="none" w:sz="0" w:space="0" w:color="auto"/>
        <w:right w:val="none" w:sz="0" w:space="0" w:color="auto"/>
      </w:divBdr>
    </w:div>
    <w:div w:id="500317661">
      <w:marLeft w:val="480"/>
      <w:marRight w:val="0"/>
      <w:marTop w:val="0"/>
      <w:marBottom w:val="0"/>
      <w:divBdr>
        <w:top w:val="none" w:sz="0" w:space="0" w:color="auto"/>
        <w:left w:val="none" w:sz="0" w:space="0" w:color="auto"/>
        <w:bottom w:val="none" w:sz="0" w:space="0" w:color="auto"/>
        <w:right w:val="none" w:sz="0" w:space="0" w:color="auto"/>
      </w:divBdr>
    </w:div>
    <w:div w:id="520628871">
      <w:marLeft w:val="480"/>
      <w:marRight w:val="0"/>
      <w:marTop w:val="0"/>
      <w:marBottom w:val="0"/>
      <w:divBdr>
        <w:top w:val="none" w:sz="0" w:space="0" w:color="auto"/>
        <w:left w:val="none" w:sz="0" w:space="0" w:color="auto"/>
        <w:bottom w:val="none" w:sz="0" w:space="0" w:color="auto"/>
        <w:right w:val="none" w:sz="0" w:space="0" w:color="auto"/>
      </w:divBdr>
    </w:div>
    <w:div w:id="533352048">
      <w:marLeft w:val="480"/>
      <w:marRight w:val="0"/>
      <w:marTop w:val="0"/>
      <w:marBottom w:val="0"/>
      <w:divBdr>
        <w:top w:val="none" w:sz="0" w:space="0" w:color="auto"/>
        <w:left w:val="none" w:sz="0" w:space="0" w:color="auto"/>
        <w:bottom w:val="none" w:sz="0" w:space="0" w:color="auto"/>
        <w:right w:val="none" w:sz="0" w:space="0" w:color="auto"/>
      </w:divBdr>
    </w:div>
    <w:div w:id="534386314">
      <w:marLeft w:val="480"/>
      <w:marRight w:val="0"/>
      <w:marTop w:val="0"/>
      <w:marBottom w:val="0"/>
      <w:divBdr>
        <w:top w:val="none" w:sz="0" w:space="0" w:color="auto"/>
        <w:left w:val="none" w:sz="0" w:space="0" w:color="auto"/>
        <w:bottom w:val="none" w:sz="0" w:space="0" w:color="auto"/>
        <w:right w:val="none" w:sz="0" w:space="0" w:color="auto"/>
      </w:divBdr>
    </w:div>
    <w:div w:id="572932207">
      <w:marLeft w:val="480"/>
      <w:marRight w:val="0"/>
      <w:marTop w:val="0"/>
      <w:marBottom w:val="0"/>
      <w:divBdr>
        <w:top w:val="none" w:sz="0" w:space="0" w:color="auto"/>
        <w:left w:val="none" w:sz="0" w:space="0" w:color="auto"/>
        <w:bottom w:val="none" w:sz="0" w:space="0" w:color="auto"/>
        <w:right w:val="none" w:sz="0" w:space="0" w:color="auto"/>
      </w:divBdr>
    </w:div>
    <w:div w:id="585463535">
      <w:marLeft w:val="480"/>
      <w:marRight w:val="0"/>
      <w:marTop w:val="0"/>
      <w:marBottom w:val="0"/>
      <w:divBdr>
        <w:top w:val="none" w:sz="0" w:space="0" w:color="auto"/>
        <w:left w:val="none" w:sz="0" w:space="0" w:color="auto"/>
        <w:bottom w:val="none" w:sz="0" w:space="0" w:color="auto"/>
        <w:right w:val="none" w:sz="0" w:space="0" w:color="auto"/>
      </w:divBdr>
    </w:div>
    <w:div w:id="634868799">
      <w:marLeft w:val="480"/>
      <w:marRight w:val="0"/>
      <w:marTop w:val="0"/>
      <w:marBottom w:val="0"/>
      <w:divBdr>
        <w:top w:val="none" w:sz="0" w:space="0" w:color="auto"/>
        <w:left w:val="none" w:sz="0" w:space="0" w:color="auto"/>
        <w:bottom w:val="none" w:sz="0" w:space="0" w:color="auto"/>
        <w:right w:val="none" w:sz="0" w:space="0" w:color="auto"/>
      </w:divBdr>
    </w:div>
    <w:div w:id="664744029">
      <w:marLeft w:val="480"/>
      <w:marRight w:val="0"/>
      <w:marTop w:val="0"/>
      <w:marBottom w:val="0"/>
      <w:divBdr>
        <w:top w:val="none" w:sz="0" w:space="0" w:color="auto"/>
        <w:left w:val="none" w:sz="0" w:space="0" w:color="auto"/>
        <w:bottom w:val="none" w:sz="0" w:space="0" w:color="auto"/>
        <w:right w:val="none" w:sz="0" w:space="0" w:color="auto"/>
      </w:divBdr>
    </w:div>
    <w:div w:id="776214318">
      <w:marLeft w:val="480"/>
      <w:marRight w:val="0"/>
      <w:marTop w:val="0"/>
      <w:marBottom w:val="0"/>
      <w:divBdr>
        <w:top w:val="none" w:sz="0" w:space="0" w:color="auto"/>
        <w:left w:val="none" w:sz="0" w:space="0" w:color="auto"/>
        <w:bottom w:val="none" w:sz="0" w:space="0" w:color="auto"/>
        <w:right w:val="none" w:sz="0" w:space="0" w:color="auto"/>
      </w:divBdr>
    </w:div>
    <w:div w:id="793670686">
      <w:marLeft w:val="480"/>
      <w:marRight w:val="0"/>
      <w:marTop w:val="0"/>
      <w:marBottom w:val="0"/>
      <w:divBdr>
        <w:top w:val="none" w:sz="0" w:space="0" w:color="auto"/>
        <w:left w:val="none" w:sz="0" w:space="0" w:color="auto"/>
        <w:bottom w:val="none" w:sz="0" w:space="0" w:color="auto"/>
        <w:right w:val="none" w:sz="0" w:space="0" w:color="auto"/>
      </w:divBdr>
    </w:div>
    <w:div w:id="793984398">
      <w:marLeft w:val="480"/>
      <w:marRight w:val="0"/>
      <w:marTop w:val="0"/>
      <w:marBottom w:val="0"/>
      <w:divBdr>
        <w:top w:val="none" w:sz="0" w:space="0" w:color="auto"/>
        <w:left w:val="none" w:sz="0" w:space="0" w:color="auto"/>
        <w:bottom w:val="none" w:sz="0" w:space="0" w:color="auto"/>
        <w:right w:val="none" w:sz="0" w:space="0" w:color="auto"/>
      </w:divBdr>
    </w:div>
    <w:div w:id="892887881">
      <w:marLeft w:val="480"/>
      <w:marRight w:val="0"/>
      <w:marTop w:val="0"/>
      <w:marBottom w:val="0"/>
      <w:divBdr>
        <w:top w:val="none" w:sz="0" w:space="0" w:color="auto"/>
        <w:left w:val="none" w:sz="0" w:space="0" w:color="auto"/>
        <w:bottom w:val="none" w:sz="0" w:space="0" w:color="auto"/>
        <w:right w:val="none" w:sz="0" w:space="0" w:color="auto"/>
      </w:divBdr>
    </w:div>
    <w:div w:id="993949975">
      <w:marLeft w:val="480"/>
      <w:marRight w:val="0"/>
      <w:marTop w:val="0"/>
      <w:marBottom w:val="0"/>
      <w:divBdr>
        <w:top w:val="none" w:sz="0" w:space="0" w:color="auto"/>
        <w:left w:val="none" w:sz="0" w:space="0" w:color="auto"/>
        <w:bottom w:val="none" w:sz="0" w:space="0" w:color="auto"/>
        <w:right w:val="none" w:sz="0" w:space="0" w:color="auto"/>
      </w:divBdr>
    </w:div>
    <w:div w:id="1033967688">
      <w:marLeft w:val="480"/>
      <w:marRight w:val="0"/>
      <w:marTop w:val="0"/>
      <w:marBottom w:val="0"/>
      <w:divBdr>
        <w:top w:val="none" w:sz="0" w:space="0" w:color="auto"/>
        <w:left w:val="none" w:sz="0" w:space="0" w:color="auto"/>
        <w:bottom w:val="none" w:sz="0" w:space="0" w:color="auto"/>
        <w:right w:val="none" w:sz="0" w:space="0" w:color="auto"/>
      </w:divBdr>
    </w:div>
    <w:div w:id="1062798100">
      <w:marLeft w:val="480"/>
      <w:marRight w:val="0"/>
      <w:marTop w:val="0"/>
      <w:marBottom w:val="0"/>
      <w:divBdr>
        <w:top w:val="none" w:sz="0" w:space="0" w:color="auto"/>
        <w:left w:val="none" w:sz="0" w:space="0" w:color="auto"/>
        <w:bottom w:val="none" w:sz="0" w:space="0" w:color="auto"/>
        <w:right w:val="none" w:sz="0" w:space="0" w:color="auto"/>
      </w:divBdr>
    </w:div>
    <w:div w:id="1175415673">
      <w:marLeft w:val="480"/>
      <w:marRight w:val="0"/>
      <w:marTop w:val="0"/>
      <w:marBottom w:val="0"/>
      <w:divBdr>
        <w:top w:val="none" w:sz="0" w:space="0" w:color="auto"/>
        <w:left w:val="none" w:sz="0" w:space="0" w:color="auto"/>
        <w:bottom w:val="none" w:sz="0" w:space="0" w:color="auto"/>
        <w:right w:val="none" w:sz="0" w:space="0" w:color="auto"/>
      </w:divBdr>
    </w:div>
    <w:div w:id="1307735987">
      <w:marLeft w:val="480"/>
      <w:marRight w:val="0"/>
      <w:marTop w:val="0"/>
      <w:marBottom w:val="0"/>
      <w:divBdr>
        <w:top w:val="none" w:sz="0" w:space="0" w:color="auto"/>
        <w:left w:val="none" w:sz="0" w:space="0" w:color="auto"/>
        <w:bottom w:val="none" w:sz="0" w:space="0" w:color="auto"/>
        <w:right w:val="none" w:sz="0" w:space="0" w:color="auto"/>
      </w:divBdr>
    </w:div>
    <w:div w:id="1318532489">
      <w:marLeft w:val="480"/>
      <w:marRight w:val="0"/>
      <w:marTop w:val="0"/>
      <w:marBottom w:val="0"/>
      <w:divBdr>
        <w:top w:val="none" w:sz="0" w:space="0" w:color="auto"/>
        <w:left w:val="none" w:sz="0" w:space="0" w:color="auto"/>
        <w:bottom w:val="none" w:sz="0" w:space="0" w:color="auto"/>
        <w:right w:val="none" w:sz="0" w:space="0" w:color="auto"/>
      </w:divBdr>
    </w:div>
    <w:div w:id="1321616204">
      <w:marLeft w:val="480"/>
      <w:marRight w:val="0"/>
      <w:marTop w:val="0"/>
      <w:marBottom w:val="0"/>
      <w:divBdr>
        <w:top w:val="none" w:sz="0" w:space="0" w:color="auto"/>
        <w:left w:val="none" w:sz="0" w:space="0" w:color="auto"/>
        <w:bottom w:val="none" w:sz="0" w:space="0" w:color="auto"/>
        <w:right w:val="none" w:sz="0" w:space="0" w:color="auto"/>
      </w:divBdr>
    </w:div>
    <w:div w:id="1363701821">
      <w:marLeft w:val="480"/>
      <w:marRight w:val="0"/>
      <w:marTop w:val="0"/>
      <w:marBottom w:val="0"/>
      <w:divBdr>
        <w:top w:val="none" w:sz="0" w:space="0" w:color="auto"/>
        <w:left w:val="none" w:sz="0" w:space="0" w:color="auto"/>
        <w:bottom w:val="none" w:sz="0" w:space="0" w:color="auto"/>
        <w:right w:val="none" w:sz="0" w:space="0" w:color="auto"/>
      </w:divBdr>
    </w:div>
    <w:div w:id="1489396926">
      <w:marLeft w:val="480"/>
      <w:marRight w:val="0"/>
      <w:marTop w:val="0"/>
      <w:marBottom w:val="0"/>
      <w:divBdr>
        <w:top w:val="none" w:sz="0" w:space="0" w:color="auto"/>
        <w:left w:val="none" w:sz="0" w:space="0" w:color="auto"/>
        <w:bottom w:val="none" w:sz="0" w:space="0" w:color="auto"/>
        <w:right w:val="none" w:sz="0" w:space="0" w:color="auto"/>
      </w:divBdr>
    </w:div>
    <w:div w:id="1498576111">
      <w:marLeft w:val="480"/>
      <w:marRight w:val="0"/>
      <w:marTop w:val="0"/>
      <w:marBottom w:val="0"/>
      <w:divBdr>
        <w:top w:val="none" w:sz="0" w:space="0" w:color="auto"/>
        <w:left w:val="none" w:sz="0" w:space="0" w:color="auto"/>
        <w:bottom w:val="none" w:sz="0" w:space="0" w:color="auto"/>
        <w:right w:val="none" w:sz="0" w:space="0" w:color="auto"/>
      </w:divBdr>
    </w:div>
    <w:div w:id="1528834008">
      <w:marLeft w:val="480"/>
      <w:marRight w:val="0"/>
      <w:marTop w:val="0"/>
      <w:marBottom w:val="0"/>
      <w:divBdr>
        <w:top w:val="none" w:sz="0" w:space="0" w:color="auto"/>
        <w:left w:val="none" w:sz="0" w:space="0" w:color="auto"/>
        <w:bottom w:val="none" w:sz="0" w:space="0" w:color="auto"/>
        <w:right w:val="none" w:sz="0" w:space="0" w:color="auto"/>
      </w:divBdr>
    </w:div>
    <w:div w:id="1580364434">
      <w:marLeft w:val="480"/>
      <w:marRight w:val="0"/>
      <w:marTop w:val="0"/>
      <w:marBottom w:val="0"/>
      <w:divBdr>
        <w:top w:val="none" w:sz="0" w:space="0" w:color="auto"/>
        <w:left w:val="none" w:sz="0" w:space="0" w:color="auto"/>
        <w:bottom w:val="none" w:sz="0" w:space="0" w:color="auto"/>
        <w:right w:val="none" w:sz="0" w:space="0" w:color="auto"/>
      </w:divBdr>
    </w:div>
    <w:div w:id="1583563890">
      <w:marLeft w:val="480"/>
      <w:marRight w:val="0"/>
      <w:marTop w:val="0"/>
      <w:marBottom w:val="0"/>
      <w:divBdr>
        <w:top w:val="none" w:sz="0" w:space="0" w:color="auto"/>
        <w:left w:val="none" w:sz="0" w:space="0" w:color="auto"/>
        <w:bottom w:val="none" w:sz="0" w:space="0" w:color="auto"/>
        <w:right w:val="none" w:sz="0" w:space="0" w:color="auto"/>
      </w:divBdr>
    </w:div>
    <w:div w:id="1594432182">
      <w:marLeft w:val="480"/>
      <w:marRight w:val="0"/>
      <w:marTop w:val="0"/>
      <w:marBottom w:val="0"/>
      <w:divBdr>
        <w:top w:val="none" w:sz="0" w:space="0" w:color="auto"/>
        <w:left w:val="none" w:sz="0" w:space="0" w:color="auto"/>
        <w:bottom w:val="none" w:sz="0" w:space="0" w:color="auto"/>
        <w:right w:val="none" w:sz="0" w:space="0" w:color="auto"/>
      </w:divBdr>
    </w:div>
    <w:div w:id="1611937581">
      <w:marLeft w:val="480"/>
      <w:marRight w:val="0"/>
      <w:marTop w:val="0"/>
      <w:marBottom w:val="0"/>
      <w:divBdr>
        <w:top w:val="none" w:sz="0" w:space="0" w:color="auto"/>
        <w:left w:val="none" w:sz="0" w:space="0" w:color="auto"/>
        <w:bottom w:val="none" w:sz="0" w:space="0" w:color="auto"/>
        <w:right w:val="none" w:sz="0" w:space="0" w:color="auto"/>
      </w:divBdr>
    </w:div>
    <w:div w:id="1629243823">
      <w:marLeft w:val="480"/>
      <w:marRight w:val="0"/>
      <w:marTop w:val="0"/>
      <w:marBottom w:val="0"/>
      <w:divBdr>
        <w:top w:val="none" w:sz="0" w:space="0" w:color="auto"/>
        <w:left w:val="none" w:sz="0" w:space="0" w:color="auto"/>
        <w:bottom w:val="none" w:sz="0" w:space="0" w:color="auto"/>
        <w:right w:val="none" w:sz="0" w:space="0" w:color="auto"/>
      </w:divBdr>
    </w:div>
    <w:div w:id="1779569720">
      <w:marLeft w:val="480"/>
      <w:marRight w:val="0"/>
      <w:marTop w:val="0"/>
      <w:marBottom w:val="0"/>
      <w:divBdr>
        <w:top w:val="none" w:sz="0" w:space="0" w:color="auto"/>
        <w:left w:val="none" w:sz="0" w:space="0" w:color="auto"/>
        <w:bottom w:val="none" w:sz="0" w:space="0" w:color="auto"/>
        <w:right w:val="none" w:sz="0" w:space="0" w:color="auto"/>
      </w:divBdr>
    </w:div>
    <w:div w:id="1811627906">
      <w:marLeft w:val="480"/>
      <w:marRight w:val="0"/>
      <w:marTop w:val="0"/>
      <w:marBottom w:val="0"/>
      <w:divBdr>
        <w:top w:val="none" w:sz="0" w:space="0" w:color="auto"/>
        <w:left w:val="none" w:sz="0" w:space="0" w:color="auto"/>
        <w:bottom w:val="none" w:sz="0" w:space="0" w:color="auto"/>
        <w:right w:val="none" w:sz="0" w:space="0" w:color="auto"/>
      </w:divBdr>
    </w:div>
    <w:div w:id="1910533487">
      <w:marLeft w:val="480"/>
      <w:marRight w:val="0"/>
      <w:marTop w:val="0"/>
      <w:marBottom w:val="0"/>
      <w:divBdr>
        <w:top w:val="none" w:sz="0" w:space="0" w:color="auto"/>
        <w:left w:val="none" w:sz="0" w:space="0" w:color="auto"/>
        <w:bottom w:val="none" w:sz="0" w:space="0" w:color="auto"/>
        <w:right w:val="none" w:sz="0" w:space="0" w:color="auto"/>
      </w:divBdr>
    </w:div>
    <w:div w:id="1952399966">
      <w:marLeft w:val="480"/>
      <w:marRight w:val="0"/>
      <w:marTop w:val="0"/>
      <w:marBottom w:val="0"/>
      <w:divBdr>
        <w:top w:val="none" w:sz="0" w:space="0" w:color="auto"/>
        <w:left w:val="none" w:sz="0" w:space="0" w:color="auto"/>
        <w:bottom w:val="none" w:sz="0" w:space="0" w:color="auto"/>
        <w:right w:val="none" w:sz="0" w:space="0" w:color="auto"/>
      </w:divBdr>
    </w:div>
    <w:div w:id="2027368087">
      <w:marLeft w:val="480"/>
      <w:marRight w:val="0"/>
      <w:marTop w:val="0"/>
      <w:marBottom w:val="0"/>
      <w:divBdr>
        <w:top w:val="none" w:sz="0" w:space="0" w:color="auto"/>
        <w:left w:val="none" w:sz="0" w:space="0" w:color="auto"/>
        <w:bottom w:val="none" w:sz="0" w:space="0" w:color="auto"/>
        <w:right w:val="none" w:sz="0" w:space="0" w:color="auto"/>
      </w:divBdr>
    </w:div>
    <w:div w:id="2078628759">
      <w:marLeft w:val="480"/>
      <w:marRight w:val="0"/>
      <w:marTop w:val="0"/>
      <w:marBottom w:val="0"/>
      <w:divBdr>
        <w:top w:val="none" w:sz="0" w:space="0" w:color="auto"/>
        <w:left w:val="none" w:sz="0" w:space="0" w:color="auto"/>
        <w:bottom w:val="none" w:sz="0" w:space="0" w:color="auto"/>
        <w:right w:val="none" w:sz="0" w:space="0" w:color="auto"/>
      </w:divBdr>
    </w:div>
    <w:div w:id="2081562315">
      <w:marLeft w:val="480"/>
      <w:marRight w:val="0"/>
      <w:marTop w:val="0"/>
      <w:marBottom w:val="0"/>
      <w:divBdr>
        <w:top w:val="none" w:sz="0" w:space="0" w:color="auto"/>
        <w:left w:val="none" w:sz="0" w:space="0" w:color="auto"/>
        <w:bottom w:val="none" w:sz="0" w:space="0" w:color="auto"/>
        <w:right w:val="none" w:sz="0" w:space="0" w:color="auto"/>
      </w:divBdr>
    </w:div>
    <w:div w:id="2082092465">
      <w:marLeft w:val="480"/>
      <w:marRight w:val="0"/>
      <w:marTop w:val="0"/>
      <w:marBottom w:val="0"/>
      <w:divBdr>
        <w:top w:val="none" w:sz="0" w:space="0" w:color="auto"/>
        <w:left w:val="none" w:sz="0" w:space="0" w:color="auto"/>
        <w:bottom w:val="none" w:sz="0" w:space="0" w:color="auto"/>
        <w:right w:val="none" w:sz="0" w:space="0" w:color="auto"/>
      </w:divBdr>
    </w:div>
    <w:div w:id="2092459748">
      <w:marLeft w:val="480"/>
      <w:marRight w:val="0"/>
      <w:marTop w:val="0"/>
      <w:marBottom w:val="0"/>
      <w:divBdr>
        <w:top w:val="none" w:sz="0" w:space="0" w:color="auto"/>
        <w:left w:val="none" w:sz="0" w:space="0" w:color="auto"/>
        <w:bottom w:val="none" w:sz="0" w:space="0" w:color="auto"/>
        <w:right w:val="none" w:sz="0" w:space="0" w:color="auto"/>
      </w:divBdr>
    </w:div>
    <w:div w:id="2125925555">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عام"/>
          <w:gallery w:val="placeholder"/>
        </w:category>
        <w:types>
          <w:type w:val="bbPlcHdr"/>
        </w:types>
        <w:behaviors>
          <w:behavior w:val="content"/>
        </w:behaviors>
        <w:guid w:val="{46BCABDB-6878-4268-85C5-44782CA07C21}"/>
      </w:docPartPr>
      <w:docPartBody>
        <w:p w:rsidR="00BF5E4B" w:rsidRDefault="00BF5E4B">
          <w:r w:rsidRPr="00936F8A">
            <w:rPr>
              <w:rStyle w:val="a3"/>
              <w:rtl/>
            </w:rPr>
            <w:t>انقر أو اضغط هنا لإدخال نص</w:t>
          </w:r>
          <w:r w:rsidRPr="00936F8A">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E4B"/>
    <w:rsid w:val="000D347D"/>
    <w:rsid w:val="006B20F8"/>
    <w:rsid w:val="00BF5E4B"/>
    <w:rsid w:val="00E710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F5E4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lef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496C9FC-E027-409A-8964-C9C84D9A8DAE}">
  <we:reference id="wa104382081" version="1.55.1.0" store="ar-SA" storeType="OMEX"/>
  <we:alternateReferences>
    <we:reference id="wa104382081" version="1.55.1.0" store="ar-SA" storeType="OMEX"/>
  </we:alternateReferences>
  <we:properties>
    <we:property name="MENDELEY_BIBLIOGRAPHY_IS_DIRTY" value="false"/>
    <we:property name="MENDELEY_BIBLIOGRAPHY_LAST_MODIFIED" value="1783863429027"/>
    <we:property name="MENDELEY_CITATIONS" value="[{&quot;citationID&quot;:&quot;MENDELEY_CITATION_13d1a607-df56-45ef-9b68-3373bbb73c1c&quot;,&quot;properties&quot;:{&quot;noteIndex&quot;:0},&quot;isEdited&quot;:false,&quot;manualOverride&quot;:{&quot;isManuallyOverridden&quot;:false,&quot;citeprocText&quot;:&quot;(Bollerslev &amp;#38; Wooldridge, n.d.; Bouri &amp;#38; Gupta, n.d.)&quot;,&quot;manualOverrideText&quot;:&quot;&quot;},&quot;citationTag&quot;:&quot;MENDELEY_CITATION_v3_eyJjaXRhdGlvbklEIjoiTUVOREVMRVlfQ0lUQVRJT05fMTNkMWE2MDctZGY1Ni00NWVmLTliNjgtMzM3M2JiYjczYzFjIiwicHJvcGVydGllcyI6eyJub3RlSW5kZXgiOjB9LCJpc0VkaXRlZCI6ZmFsc2UsIm1hbnVhbE92ZXJyaWRlIjp7ImlzTWFudWFsbHlPdmVycmlkZGVuIjpmYWxzZSwiY2l0ZXByb2NUZXh0IjoiKEJvbGxlcnNsZXYgJiMzODsgV29vbGRyaWRnZSwgbi5kLjsgQm91cmkgJiMzODsgR3VwdGEsIG4uZC4pIiwibWFudWFsT3ZlcnJpZGVUZXh0IjoiIn0sImNpdGF0aW9uSXRlbXMiOlt7ImlkIjoiOWJmNjgwNjUtY2QzMC0zZmYwLWJjMDMtZGIzZmUwYmM1YmNmIiwiaXRlbURhdGEiOnsidHlwZSI6InJlcG9ydCIsImlkIjoiOWJmNjgwNjUtY2QzMC0zZmYwLWJjMDMtZGIzZmUwYmM1YmNmIiwidGl0bGUiOiJQcmVkaWN0aW5nIEJpdGNvaW4gUmV0dXJuczogQ29tcGFyaW5nIHRoZSBSb2xlcyBvZiBOZXdzcGFwZXItYW5kIEludGVybmV0IFNlYXJjaC1CYXNlZCBNZWFzdXJlcyBvZiBVbmNlcnRhaW50eSAjIiwiYXV0aG9yIjpbeyJmYW1pbHkiOiJCb3VyaSIsImdpdmVuIjoiRWxpZSIsInBhcnNlLW5hbWVzIjpmYWxzZSwiZHJvcHBpbmctcGFydGljbGUiOiIiLCJub24tZHJvcHBpbmctcGFydGljbGUiOiIifSx7ImZhbWlseSI6Ikd1cHRhIiwiZ2l2ZW4iOiJSYW5nYW4iLCJwYXJzZS1uYW1lcyI6ZmFsc2UsImRyb3BwaW5nLXBhcnRpY2xlIjoiIiwibm9uLWRyb3BwaW5nLXBhcnRpY2xlIjoiIn1dLCJVUkwiOiJodHRwOi8vcG9saWN5dW5jZXJ0YWludHkuY29tL3VzX21vbnRobHkuaHRtbCIsImFic3RyYWN0IjoiSGlnaGxpZ2h0cyDigKJTdHVkeSB0aGUgcHJlZGljdGFiaWxpdHkgb2YgQml0Y29pbiByZXR1cm5zIHVzaW5nIG1lYXN1cmVzIG9mIGVjb25vbWljIHVuY2VydGFpbnR5LiDigKJOZXdzcGFwZXItYW5kIGludGVybmV0IHNlYXJjaC1iYXNlZCBtZWFzdXJlcyBvZiBlY29ub21pYyB1bmNlcnRhaW50eSBhcmUgdXNlZC4g4oCiQmFzZWQgb24gbW9udGhseSBkYXRhLCBCaXRjb2luIGlzIGEgaGVkZ2UgYWdhaW5zdCBib3RoIG1lYXN1cmVzLiDigKJQcmVkaWN0aXZlIGFiaWxpdHkgb2YgdGhlIGludGVybmV0LWJhc2VkIG1lYXN1cmUgaXMgc3RhdGlzdGljYWxseSBzdHJvbmdlci4g4oCiVGhpcyByZXN1bHQgaXMgY29uZmlybWVkIGJ5IHZhcmlvdXMgYWRkaXRpb25hbCBhbmFseXNlcy4gQWJzdHJhY3QgV2UgY29tcGFyZSB0aGUgYWJpbGl0eSBvZiBhIG5ld3NwYXBlci1iYXNlZCBtZWFzdXJlIGFuZCBhbiBpbnRlcm5ldCBzZWFyY2gtYmFzZWQgbWVhc3VyZSBvZiB1bmNlcnRhaW50eSBpbiBwcmVkaWN0aW5nIEJpdGNvaW4gcmV0dXJucy4gQmFzZWQgb24gbW9udGhseSBkYXRhLCB3ZSBzaG93IHRoYXQgQml0Y29pbiBpcyBhIGhlZGdlIGFnYWluc3QgYm90aCBtZWFzdXJlcy4gSG93ZXZlciwgdGhlIHByZWRpY3RpdmUgYWJpbGl0eSBvZiB0aGUgaW50ZXJuZXQtYmFzZWQgZWNvbm9taWMgdW5jZXJ0YWludHkgcmVsYXRlZCBxdWVyaWVzIGluZGV4IGlzIHN0YXRpc3RpY2FsbHkgc3Ryb25nZXIgdGhhbiB0aGUgbWVhc3VyZSBvZiB1bmNlcnRhaW50eSBkZXJpdmVkIGZyb20gbmV3c3BhcGVycyBpbiBwcmVkaWN0aW5nIEJpdGNvaW4gcmV0dXJucywgd2hpY2ggaXMgcG9zc2libHkgZHVlIHRvIHRoZSBmYWN0IHRoYXQgdGhlIGZvcm1lciBtZWFzdXJlIG9mIHVuY2VydGFpbnR5IGlzIGRpcmVjdGx5IG9idGFpbmVkIGJ5IHRoZSBpbmRpdmlkdWFsIGludmVzdG9ycywgYmFzZWQgb24gdGhlaXIgc2VhcmNoIG9mIHRoZSBpbnRlcm5ldCBmb3IgdGVybXMgcmVsYXRlZCB0byB1bmNlcnRhaW50eS4gVGhpcyByZXN1bHQgaXMgY29uZmlybWVkIGJ5IHZhcmlvdXMgYWRkaXRpb25hbCBhbmFseXNlcy4uIiwiY29udGFpbmVyLXRpdGxlLXNob3J0IjoiIn0sImlzVGVtcG9yYXJ5IjpmYWxzZX0seyJpZCI6IjBmNWIzNDBkLWU3OGEtMzM2My1hNDczLTg4MzAwOWFiOTFlMCIsIml0ZW1EYXRhIjp7InR5cGUiOiJyZXBvcnQiLCJpZCI6IjBmNWIzNDBkLWU3OGEtMzM2My1hNDczLTg4MzAwOWFiOTFlMCIsInRpdGxlIjoiUVVBU0ktTUFYSU1VTSBMSUtFTElIT09EIEVTVElNQVRJT04gQU5EIElORkVSRU5DRSBJTiBEWU5BTUlDIE1PREVMUyBXSVRIIFRJTUUtVkFSWUlORyBDT1ZBUklBTkNFUyIsImF1dGhvciI6W3siZmFtaWx5IjoiQm9sbGVyc2xldiIsImdpdmVuIjoiVGltIiwicGFyc2UtbmFtZXMiOmZhbHNlLCJkcm9wcGluZy1wYXJ0aWNsZSI6IiIsIm5vbi1kcm9wcGluZy1wYXJ0aWNsZSI6IiJ9LHsiZmFtaWx5IjoiV29vbGRyaWRnZSIsImdpdmVuIjoiSmVmZnJleSBNIiwicGFyc2UtbmFtZXMiOmZhbHNlLCJkcm9wcGluZy1wYXJ0aWNsZSI6IiIsIm5vbi1kcm9wcGluZy1wYXJ0aWNsZSI6IiJ9XSwiYWJzdHJhY3QiOiJXZSBzdHVkeSB0aGUgcHJvcGVydGllcyBvZiB0aGUgcXVhc2ktbWF4aW11bSBsaWtlbGlob29kIGVzdGltYXRvciAoUU1MRSkgYW5kIHJlbGF0ZWQgdGVzdCBzdGF0aXN0aWNzIGluIGR5bmFtaWMgbW9kZWxzIHRoYXQgam9pbnRseSBwYXJhbWV0ZXJpemUgY29uZGl0aW9uYWwgbWVhbnMgYW5kIGNvbmRpdGlvbmFsIGNvdmFyaWFuY2VzLCB3aGVuIGEgbm9ybWFsIGxvZy1saWtlbGlob29kIGlzIG1heGltaXplZCBidXQgdGhlIGFzc3VtcHRpb24gb2Ygbm9ybWFsaXR5IGlzIHZpb2xhdGVkLiBCZWNhdXNlIHRoZSBzY29yZSBvZiB0aGUgbm9ybWFsIGxvZy1saWtlbGlob29kIGhhcyB0aGUgbWFydGluZ2FsZSBkaWZmZXJlbmNlIHByb3BlcnR5IHdoZW4gdGhlIGZpcnN0IHR3byBjb25kaXRpb25hbCBtb21lbnRzIGFyZSBjb3JyZWN0bHkgc3BlY2lmaWVkLCB0aGUgUU1MRSBpcyBnZW5lcmFsbHkgY29uc2lzdGVudCBhbmQgaGFzIGEgbGltaXRpbmcgbm9ybWFsIGRpc3RyaWJ1dGlvbi4gV2UgcHJvdmlkZSBlYXNpbHkgY29tcHV0YWJsZSBmb3JtdWxhcyBmb3IgYXN5bXB0b3RpYyBzdGFuZGFyZCBlcnJvcnMgdGhhdCBhcmUgdmFsaWQgdW5kZXIgbm9ubm9ybWFsaXR5LiBGdXJ0aGVyLCB3ZSBzaG93IGhvdyByb2J1c3QgTE0gdGVzdHMgZm9yIHRoZSBhZGVxdWFjeSBvZiB0aGUgam9pbnRseSBwYXJhbWV0ZXJpemVkIG1lYW4gYW5kIHZhcmlhbmNlIGNhbiBiZSBjb21wdXRlZCBmcm9tIHNpbXBsZSBhdXhpbGlhcnkgcmVncmVzc2lvbnMuIEFuIGFwcGVhbGluZyBmZWF0dXJlIG9mIHRoZXNlIHJvYnVzdCBpbmZlcmVuY2UgcHJvY2VkdXJlcyBpcyB0aGF0IG9ubHkgZmlyc3QgZGVyaXZhdGl2ZXMgb2YgdGhlIGNvbmRpdGlvbmFsIG1lYW4gYW5kIHZhcmlhbmNlIGZ1bmN0aW9ucyBhcmUgbmVlZGVkLiBBIE1vbnRlIENhcmxvIHN0dWR5IGluZGljYXRlcyB0aGF0IHRoZSBhc3ltcHRvdGljIHJlc3VsdHMgY2Fycnkgb3ZlciB0byBmaW5pdGUgc2FtcGxlcy4gRXN0aW1hdGlvbiBvZiBzZXZlcmFsIEFSIGFuZCBBUi1HQVJDSCB0aW1lIHNlcmllcyBtb2RlbHMgcmV2ZWFscyB0aGF0IGluIG1vc3Qgc2l0dWF0aW9ucyB0aGUgcm9idXN0IHRlc3Qgc3RhdGlzdGljcyBjb21wYXJlIGZhdm9yYWJseSB0byB0aGUgdHdvIHN0YW5kYXJkIChub25yb2J1c3QpIGZvcm11bGF0aW9ucyBvZiB0aGUgV2FsZCBhbmQgTE0gdGVzdHMuIEFsc28sIGZvciB0aGUgR0FSQ0ggbW9kZWxzIGFuZCB0aGUgc2FtcGxlIHNpemVzIGFuYWx5emVkIGhlcmUsIHRoZSBiaWFzIGluIHRoZSBRTUxFIGFwcGVhcnMgdG8gYmUgcmVsYXRpdmVseSBzbWFsbC4gQW4gZW1waXJpY2FsIGFwcGxpY2F0aW9uIHRvIHN0b2NrIHJldHVybiB2b2xhdGlsaXR5IGlsbHVzdHJhdGVzIHRoZSBwb3RlbnRpYWwgaW1wb3J0YW5jZSBvZiBjb21wdXRpbmcgcm9idXN0IHN0YXRpc3RpY3MgaW4gcHJhY3RpY2UuIiwiY29udGFpbmVyLXRpdGxlLXNob3J0IjoiIn0sImlzVGVtcG9yYXJ5IjpmYWxzZX1dfQ==&quot;,&quot;citationItems&quot;:[{&quot;id&quot;:&quot;9bf68065-cd30-3ff0-bc03-db3fe0bc5bcf&quot;,&quot;itemData&quot;:{&quot;type&quot;:&quot;report&quot;,&quot;id&quot;:&quot;9bf68065-cd30-3ff0-bc03-db3fe0bc5bcf&quot;,&quot;title&quot;:&quot;Predicting Bitcoin Returns: Comparing the Roles of Newspaper-and Internet Search-Based Measures of Uncertainty #&quot;,&quot;author&quot;:[{&quot;family&quot;:&quot;Bouri&quot;,&quot;given&quot;:&quot;Elie&quot;,&quot;parse-names&quot;:false,&quot;dropping-particle&quot;:&quot;&quot;,&quot;non-dropping-particle&quot;:&quot;&quot;},{&quot;family&quot;:&quot;Gupta&quot;,&quot;given&quot;:&quot;Rangan&quot;,&quot;parse-names&quot;:false,&quot;dropping-particle&quot;:&quot;&quot;,&quot;non-dropping-particle&quot;:&quot;&quot;}],&quot;URL&quot;:&quot;http://policyuncertainty.com/us_monthly.html&quot;,&quot;abstract&quot;:&quot;Highlights •Study the predictability of Bitcoin returns using measures of economic uncertainty. •Newspaper-and internet search-based measures of economic uncertainty are used. •Based on monthly data, Bitcoin is a hedge against both measures. •Predictive ability of the internet-based measure is statistically stronger. •This result is confirmed by various additional analyses. Abstract We compare the ability of a newspaper-based measure and an internet search-based measure of uncertainty in predicting Bitcoin returns. Based on monthly data, we show that Bitcoin is a hedge against both measures. However, the predictive ability of the internet-based economic uncertainty related queries index is statistically stronger than the measure of uncertainty derived from newspapers in predicting Bitcoin returns, which is possibly due to the fact that the former measure of uncertainty is directly obtained by the individual investors, based on their search of the internet for terms related to uncertainty. This result is confirmed by various additional analyses..&quot;,&quot;container-title-short&quot;:&quot;&quot;},&quot;isTemporary&quot;:false},{&quot;id&quot;:&quot;0f5b340d-e78a-3363-a473-883009ab91e0&quot;,&quot;itemData&quot;:{&quot;type&quot;:&quot;report&quot;,&quot;id&quot;:&quot;0f5b340d-e78a-3363-a473-883009ab91e0&quot;,&quot;title&quot;:&quot;QUASI-MAXIMUM LIKELIHOOD ESTIMATION AND INFERENCE IN DYNAMIC MODELS WITH TIME-VARYING COVARIANCES&quot;,&quot;author&quot;:[{&quot;family&quot;:&quot;Bollerslev&quot;,&quot;given&quot;:&quot;Tim&quot;,&quot;parse-names&quot;:false,&quot;dropping-particle&quot;:&quot;&quot;,&quot;non-dropping-particle&quot;:&quot;&quot;},{&quot;family&quot;:&quot;Wooldridge&quot;,&quot;given&quot;:&quot;Jeffrey M&quot;,&quot;parse-names&quot;:false,&quot;dropping-particle&quot;:&quot;&quot;,&quot;non-dropping-particle&quot;:&quot;&quot;}],&quot;abstract&quot;:&quot;We study the properties of the quasi-maximum likelihood estimator (QMLE) and related test statistics in dynamic models that jointly parameterize conditional means and conditional covariances, when a normal log-likelihood is maximized but the assumption of normality is violated. Because the score of the normal log-likelihood has the martingale difference property when the first two conditional moments are correctly specified, the QMLE is generally consistent and has a limiting normal distribution. We provide easily computable formulas for asymptotic standard errors that are valid under nonnormality. Further, we show how robust LM tests for the adequacy of the jointly parameterized mean and variance can be computed from simple auxiliary regressions. An appealing feature of these robust inference procedures is that only first derivatives of the conditional mean and variance functions are needed. A Monte Carlo study indicates that the asymptotic results carry over to finite samples. Estimation of several AR and AR-GARCH time series models reveals that in most situations the robust test statistics compare favorably to the two standard (nonrobust) formulations of the Wald and LM tests. Also, for the GARCH models and the sample sizes analyzed here, the bias in the QMLE appears to be relatively small. An empirical application to stock return volatility illustrates the potential importance of computing robust statistics in practice.&quot;,&quot;container-title-short&quot;:&quot;&quot;},&quot;isTemporary&quot;:false}]},{&quot;citationID&quot;:&quot;MENDELEY_CITATION_8b5e8c97-5de8-4d7d-9e42-8b0f8df2435e&quot;,&quot;properties&quot;:{&quot;noteIndex&quot;:0},&quot;isEdited&quot;:false,&quot;manualOverride&quot;:{&quot;isManuallyOverridden&quot;:false,&quot;citeprocText&quot;:&quot;(Bollerslev, 1986)&quot;,&quot;manualOverrideText&quot;:&quot;&quot;},&quot;citationTag&quot;:&quot;MENDELEY_CITATION_v3_eyJjaXRhdGlvbklEIjoiTUVOREVMRVlfQ0lUQVRJT05fOGI1ZThjOTctNWRlOC00ZDdkLTllNDItOGIwZjhkZjI0MzVlIiwicHJvcGVydGllcyI6eyJub3RlSW5kZXgiOjB9LCJpc0VkaXRlZCI6ZmFsc2UsIm1hbnVhbE92ZXJyaWRlIjp7ImlzTWFudWFsbHlPdmVycmlkZGVuIjpmYWxzZSwiY2l0ZXByb2NUZXh0IjoiKEJvbGxlcnNsZXYsIDE5ODYpIiwibWFudWFsT3ZlcnJpZGVUZXh0IjoiIn0sImNpdGF0aW9uSXRlbXMiOlt7ImlkIjoiZGM1MTliMDYtOTZiMS0zYTRhLTk0ODktMWUxYmVjNmMxNDc2IiwiaXRlbURhdGEiOnsidHlwZSI6InJlcG9ydCIsImlkIjoiZGM1MTliMDYtOTZiMS0zYTRhLTk0ODktMWUxYmVjNmMxNDc2IiwidGl0bGUiOiJHRU5FUkFMSVpFRCBBVVRPUkVHUkVTU0lWRSBDT05ESVRJT05BTCBIRVRFUk9TS0VEQVNUSUNJVFkiLCJhdXRob3IiOlt7ImZhbWlseSI6IkJvbGxlcnNsZXYiLCJnaXZlbiI6IlRpbSIsInBhcnNlLW5hbWVzIjpmYWxzZSwiZHJvcHBpbmctcGFydGljbGUiOiIiLCJub24tZHJvcHBpbmctcGFydGljbGUiOiIifV0sImNvbnRhaW5lci10aXRsZSI6IkpvdXJuYWwgb2YgRWNvbm9tZXRyaWNzIiwiY29udGFpbmVyLXRpdGxlLXNob3J0IjoiSi4gRWNvbm9tLiIsImlzc3VlZCI6eyJkYXRlLXBhcnRzIjpbWzE5ODZdXX0sIm51bWJlci1vZi1wYWdlcyI6IjMwNy0zMjciLCJhYnN0cmFjdCI6IkEgbmF0dXJhbCBnZW5lcmFsaXphdGlvbiBvZiB0aGUgQVJDSCAoQXV0b3JlZ3Jlc3NpdmUgQ29uZGl0aW9uYWwgSGV0ZXJvc2tlZGFzdGljKSBwcm9jZXNzIGludHJvZHVjZWQgaW4gRW5nbGUgKDE5ODIpIHRvIGFsbG93IGZvciBwYXN0IGNvbmRpdGlvbmFsIHZhcmlhbmNlcyBpbiB0aGUgY3VycmVudCBjb25kaXRpb25hbCB2YXJpYW5jZSBlcXVhdGlvbiBpcyBwcm9wb3NlZC4gU3RhdGlvbmFyaXR5IGNvbmRpdGlvbnMgYW5kIGF1dG9jb3JyZWxhdGlvbiBzdHJ1Y3R1cmUgZm9yIHRoaXMgbmV3IGNsYXNzIG9mIHBhcmFtZXRyaWMgbW9kZWxzIGFyZSBkZXJpdmVkLiBNYXhpbXVtIGxpa2VsaWhvb2QgZXN0aW1hdGlvbiBhbmQgdGVzdGluZyBhcmUgYWxzbyBjb25zaWRlcmVkLiBGaW5hbGx5IGFuIGVtcGlyaWNhbCBleGFtcGxlIHJlbGF0aW5nIHRvIHRoZSB1bmNlcnRhaW50eSBvZiB0aGUgaW5mbGF0aW9uIHJhdGUgaXMgcHJlc2VudGVkLiIsInZvbHVtZSI6IjMxIn0sImlzVGVtcG9yYXJ5IjpmYWxzZX1dfQ==&quot;,&quot;citationItems&quot;:[{&quot;id&quot;:&quot;dc519b06-96b1-3a4a-9489-1e1bec6c1476&quot;,&quot;itemData&quot;:{&quot;type&quot;:&quot;report&quot;,&quot;id&quot;:&quot;dc519b06-96b1-3a4a-9489-1e1bec6c1476&quot;,&quot;title&quot;:&quot;GENERALIZED AUTOREGRESSIVE CONDITIONAL HETEROSKEDASTICITY&quot;,&quot;author&quot;:[{&quot;family&quot;:&quot;Bollerslev&quot;,&quot;given&quot;:&quot;Tim&quot;,&quot;parse-names&quot;:false,&quot;dropping-particle&quot;:&quot;&quot;,&quot;non-dropping-particle&quot;:&quot;&quot;}],&quot;container-title&quot;:&quot;Journal of Econometrics&quot;,&quot;container-title-short&quot;:&quot;J. Econom.&quot;,&quot;issued&quot;:{&quot;date-parts&quot;:[[1986]]},&quot;number-of-pages&quot;:&quot;307-327&quot;,&quot;abstract&quot;:&quot;A natural generalization of the ARCH (Autoregressive Conditional Heteroskedastic) process introduced in Engle (1982) to allow for past conditional variances in the current conditional variance equation is proposed. Stationarity conditions and autocorrelation structure for this new class of parametric models are derived. Maximum likelihood estimation and testing are also considered. Finally an empirical example relating to the uncertainty of the inflation rate is presented.&quot;,&quot;volume&quot;:&quot;31&quot;},&quot;isTemporary&quot;:false}]},{&quot;citationID&quot;:&quot;MENDELEY_CITATION_5fe85f36-4f9c-44bc-b390-1ffb9e08c902&quot;,&quot;properties&quot;:{&quot;noteIndex&quot;:0},&quot;isEdited&quot;:false,&quot;manualOverride&quot;:{&quot;isManuallyOverridden&quot;:false,&quot;citeprocText&quot;:&quot;(Al-Hajieh et al., n.d.; Epaphra, 2017; Zhang et al., 2018)&quot;,&quot;manualOverrideText&quot;:&quot;&quot;},&quot;citationTag&quot;:&quot;MENDELEY_CITATION_v3_eyJjaXRhdGlvbklEIjoiTUVOREVMRVlfQ0lUQVRJT05fNWZlODVmMzYtNGY5Yy00NGJjLWIzOTAtMWZmYjllMDhjOTAyIiwicHJvcGVydGllcyI6eyJub3RlSW5kZXgiOjB9LCJpc0VkaXRlZCI6ZmFsc2UsIm1hbnVhbE92ZXJyaWRlIjp7ImlzTWFudWFsbHlPdmVycmlkZGVuIjpmYWxzZSwiY2l0ZXByb2NUZXh0IjoiKEFsLUhhamllaCBldCBhbC4sIG4uZC47IEVwYXBocmEsIDIwMTc7IFpoYW5nIGV0IGFsLiwgMjAxOCkiLCJtYW51YWxPdmVycmlkZVRleHQiOiIifSwiY2l0YXRpb25JdGVtcyI6W3siaWQiOiI3N2YyMzhiMS0yMzgxLTMxZWEtYWI4ZC0zM2IwYTQ0YTM4N2IiLCJpdGVtRGF0YSI6eyJ0eXBlIjoiYXJ0aWNsZS1qb3VybmFsIiwiaWQiOiI3N2YyMzhiMS0yMzgxLTMxZWEtYWI4ZC0zM2IwYTQ0YTM4N2IiLCJ0aXRsZSI6IkV2YWx1YXRpbmcgVm9sYXRpbGl0eSBGb3JlY2FzdHMgd2l0aCBVbHRyYS1IaWdoLUZyZXF1ZW5jeSBEYXRh4oCURXZpZGVuY2UgZnJvbSB0aGUgQXVzdHJhbGlhbiBFcXVpdHkgTWFya2V0IiwiYXV0aG9yIjpbeyJmYW1pbHkiOiJaaGFuZyIsImdpdmVuIjoiS2FpIiwicGFyc2UtbmFtZXMiOmZhbHNlLCJkcm9wcGluZy1wYXJ0aWNsZSI6IiIsIm5vbi1kcm9wcGluZy1wYXJ0aWNsZSI6IiJ9LHsiZmFtaWx5IjoiTWVsbG8iLCJnaXZlbiI6Ikx1cmlvbiIsInBhcnNlLW5hbWVzIjpmYWxzZSwiZHJvcHBpbmctcGFydGljbGUiOiIiLCJub24tZHJvcHBpbmctcGFydGljbGUiOiJEZSJ9LHsiZmFtaWx5IjoiU2FkZWdoaSIsImdpdmVuIjoiTWVoZGkiLCJwYXJzZS1uYW1lcyI6ZmFsc2UsImRyb3BwaW5nLXBhcnRpY2xlIjoiIiwibm9uLWRyb3BwaW5nLXBhcnRpY2xlIjoiIn1dLCJjb250YWluZXItdGl0bGUiOiJUaGVvcmV0aWNhbCBFY29ub21pY3MgTGV0dGVycyIsIkRPSSI6IjEwLjQyMzYvdGVsLjIwMTguODEwMDEiLCJJU1NOIjoiMjE2Mi0yMDc4IiwiaXNzdWVkIjp7ImRhdGUtcGFydHMiOltbMjAxOF1dfSwicGFnZSI6IjEtMjciLCJhYnN0cmFjdCI6IkR1ZSB0byB0aGUgdW5vYnNlcnZlZCBuYXR1cmUgb2YgdGhlIHRydWUgcmV0dXJuIHZhcmlhdGlvbiBwcm9jZXNzLCBvbmUgb2YgdGhlIG1vc3QgY2hhbGxlbmdpbmcgcHJvYmxlbXMgaW4gZXZhbHVhdGlvbiBvZiB2b2xhdGlsaXR5IGZvcmVjYXN0cyBpcyB0byBmaW5kIGFuIGFjY3VyYXRlIGJlbmNobWFyayBwcm94eSBmb3IgZXgtcG9zdCB2b2xhdGlsaXR5LiBUaGlzIHBhcGVyIHVzZXMgdGhlIEF1c3RyYWxpYW4gZXF1aXR5IG1hcmtldCB1bHRyYS1oaWdoLWZyZXF1ZW5jeSBkYXRhIHRvIGNvbnN0cnVjdCBhbiB1bmJpYXNlZCBleC1wb3N0IHZvbGF0aWxpdHkgZXN0aW1hdG9yIGFuZCB0aGVuIHVzZSBpdCBhcyBhIGJlbmNobWFyayB0byBldmFsdWF0ZSB2YXJpb3VzIHByYWN0aWNhbCB2b2xhdGlsaXR5IGZvcmVjYXN0aW5nIHN0cmF0ZWdpZXMgKEdBUkNIIGNsYXNzIG1vZGVsIGJhc2VkKS4gVGhlc2UgZm9yZWNhc3Rpbmcgc3RyYXRlZ2llcyBhbGxvdyBmb3IgdGhlIHNrZXdlZCBkaXN0cmlidXRpb24gb2YgaW5ub3ZhdGlvbnMgYW5kIHVzZSB2YXJpb3VzIGVzdGltYXRpb24gd2luZG93cyBpbiBhZGRpdGlvbiB0byB0aGUgc3RhbmRhcmQgR0FSQ0ggdm9sYXRpbGl0eSBtb2RlbHMuIEluIG91dC1vZi1zYW1wbGUgdGVzdHMsIHdlIGZpbmQgdGhhdCBmb3JlY2FzdGluZyBlcnJvcnMgYWNyb3NzIGFsbCBtb2RlbCBzcGVjaWZpY2F0aW9ucyBhcmUgc3lzdGVtYXRpY2FsbHkgcmVkdWNlZCBpZiB1c2luZyB0aGUgdW5iaWFzZWQgZXgtcG9zdCB2b2xhdGlsaXR5IGVzdGltYXRvciBjb21wYXJlZCB3aXRoIHRob3NlIHVzaW5nIHRoZSByZWFsaXplZCB2b2xhdGlsaXR5IGJhc2VkIG9uIHNwYXJzZWx5IHNhbXBsZWQgaW50cmEtZGF5IGRhdGEuIEluIHBhcnRpY3VsYXIsIHdlIHNob3cgdGhhdCB0aGUgdGhyZWUgYmVuY2htYXJrIGZvcmVjYXN0aW5nIG1vZGVscyBvdXRwZXJmb3JtIG1vc3Qgb2YgdGhlIG1vZGlmaWVkIHN0cmF0ZWdpZXMgd2l0aCBkaWZmZXJlbnQgZGlzdHJpYnV0aW9uIG9mIHJldHVybnMgYW5kIGVzdGltYXRpb24gd2luZG93cy4gQ29tcGFyaW5nIHRoZSB0aHJlZSBzdGFuZGFyZCBHQVJDSCBjbGFzcyBtb2RlbHMsIHdlIGZpbmQgdGhhdCB0aGUgYXN5bW1ldHJpYyBwb3dlciBBUkNIIChBUEFSQ0gpIG1vZGVsIGV4aGliaXRzIHRoZSBiZXN0IGZvcmVjYXN0aW5nIHBvd2VyIGluIGJvdGggbm9ybWFsIGFuZCBmaW5hbmNpYWwgdHVybW9pbCBwZXJpb2RzLCB3aGljaCBpbmRpY2F0ZXMgdGhlIGFiaWxpdHkgb2YgQVBBUkNIIG1vZGVsIHRvIGNhcHR1cmUgdGhlIGxlcHRva3VydGljIHJldHVybnMgYW5kIHN0eWxpemVkIGZlYXR1cmVzIG9mIHZvbGF0aWxpdHkgaW4gdGhlIEF1c3RyYWxpYW4gc3RvY2sgbWFya2V0LiIsInB1Ymxpc2hlciI6IlNjaWVudGlmaWMgUmVzZWFyY2ggUHVibGlzaGluZywgSW5jLCIsImlzc3VlIjoiMDEiLCJ2b2x1bWUiOiIwOCIsImNvbnRhaW5lci10aXRsZS1zaG9ydCI6IiJ9LCJpc1RlbXBvcmFyeSI6ZmFsc2V9LHsiaWQiOiJmOTkzMWU5My0xOTFmLTMyNjItODQ1OC0yOTE5MzNlZDU3MTIiLCJpdGVtRGF0YSI6eyJ0eXBlIjoicmVwb3J0IiwiaWQiOiJmOTkzMWU5My0xOTFmLTMyNjItODQ1OC0yOTE5MzNlZDU3MTIiLCJ0aXRsZSI6IkludmVzdG9yIFNlbnRpbWVudCBBbmQgQ2FsZW5kYXIgQW5vbWFseSBFZmZlY3RzOiBBIENhc2UgU3R1ZHkgT2YgVGhlIEltcGFjdCBPZiBSYW1hZGFuIE9uIElzbGFtaWMgTWlkZGxlIEVhc3Rlcm4gTWFya2V0cyIsImF1dGhvciI6W3siZmFtaWx5IjoiQWwtSGFqaWVoIiwiZ2l2ZW4iOiJIZWl0aGFtIiwicGFyc2UtbmFtZXMiOmZhbHNlLCJkcm9wcGluZy1wYXJ0aWNsZSI6IiIsIm5vbi1kcm9wcGluZy1wYXJ0aWNsZSI6IiJ9LHsiZmFtaWx5IjoiUmVkaGVhZCIsImdpdmVuIjoiS2VpdGgiLCJwYXJzZS1uYW1lcyI6ZmFsc2UsImRyb3BwaW5nLXBhcnRpY2xlIjoiIiwibm9uLWRyb3BwaW5nLXBhcnRpY2xlIjoiIn0seyJmYW1pbHkiOiJSb2RnZXJzIiwiZ2l2ZW4iOiJUaW1vdGh5IiwicGFyc2UtbmFtZXMiOmZhbHNlLCJkcm9wcGluZy1wYXJ0aWNsZSI6IiIsIm5vbi1kcm9wcGluZy1wYXJ0aWNsZSI6IiJ9XSwiYWJzdHJhY3QiOiJUaGUgaG9seSBtb250aCBvZiBSYW1hZGFuIGlzIHVzdWFsbHkgYSB0aW1lIG9mIGNlbGVicmF0aW9uIGFuZCByZW5ld2FsIGluIE11c2xpbSBjb3VudHJpZXMuIFRoaXMgcGFwZXIgZXhhbWluZXMgd2hldGhlciBvciBub3QgdGhpcyBpcyByZWZsZWN0ZWQgaW4gcG9zaXRpdmUgY2FsZW5kYXIgYW5vbWFsaWVzIGVmZmVjdHMgaW4gSXNsYW1pYyBNaWRkbGUgRWFzdGVybiBzdG9jayBtYXJrZXRzIGR1cmluZyB0aGUgcGVyaW9kIDE5OTIgdG8gMjAwNy4gU3Ryb25nIGV2aWRlbmNlIGlzIGZvdW5kIG9mIHNpZ25pZmljYW50IGFuZCBwb3NpdGl2ZSBjYWxlbmRhciBlZmZlY3RzIGluIHJlc3BlY3QgdG8gdGhlIHdob2xlIHBlcmlvZCBvZiBSYW1hZGFuIGluIG1vc3QgY291bnRyaWVzIGFuZCBpdCBpcyBhcmd1ZWQgdGhhdCB0aGlzIGNhbiBiZSBhdHRyaWJ1dGVkIHRvIHRoZSBnZW5lcmFsbHkgcG9zaXRpdmUgaW52ZXN0b3IgbW9vZCwgb3Igc2VudGltZW50LiBBbHRob3VnaCBSYW1hZGFuIGlzIGEgdGltZSBvZiBjZWxlYnJhdGlvbiBmb3IgTXVzbGltcyBpdCBhbHNvIGNhbiBiZSBhIHRpbWUgb2YgdW5jZXJ0YWludHkgYW5kIHRoaXMgYXBwZWFycyB0byByZXN1bHQgaW4gdGhlIGltcGFjdCBvZiB0aGUgZmVzdGl2YWwgbm90IGJlaW5nIHVuaWZvcm1seSBwb3NpdGl2ZSB0aHJvdWdob3V0IFJhbWFkYW4uIEl0IGlzIGZvdW5kIHRoYXQgbWFya2V0IHJldHVybnMgaW4gdGhlIGZpcnN0IGFuZCBsYXN0IGRheXMgb2YgUmFtYWRhbiBzaG93IGhpZ2ggbGV2ZWxzIG9mIHN0YXRpc3RpY2FsbHkgc2lnbmlmaWNhbnQgeWVhci1vbi15ZWFyIHZhcmlhdGlvbi4gSXQgaXMgYXJndWVkIHRoYXQgdGhpcyBjYW4gcG9zc2libHkgYmUgYXR0cmlidXRlZCB0byBzeW5jaHJvbml6YXRpb24tcmVsYXRlZCBoZXJkaW5nIGVmZmVjdHMgYW1wbGlmeWluZyB0aGUgaW1wYWN0IG9mIHRoZSBtb29kIHN3aW5ncyBhc3NvY2lhdGVkIHdpdGggdGhpcyBwZXJpb2QuIFRoZSBwYXBlciBhbHNvIGZpbmRzIHRoYXQgYWx0aG91Z2ggdGhlIG92ZXJhbGwgUmFtYWRhbiBlZmZlY3QgaXMgYm90aCBwb3NpdGl2ZSBhbmQgc3RhdGlzdGljYWxseSBzaWduaWZpY2FudCBmb3IgbW9zdCBjb3VudHJpZXMsIHRoZSBhc3NvY2lhdGVkIGdhaW5zIHdlcmUgb25seSBsYXJnZSBlbm91Z2ggdG8gb3V0d2VpZ2ggdHJhbnNhY3Rpb25zIGNvc3RzIGFuZCBwcm92aWRlIHRoZSBiYXNpcyBvZiBhIHByb2ZpdGFibGUgdHJhZGluZyBzdHJhdGVneSBpbiBvbmUgbWFya2V0LiIsImNvbnRhaW5lci10aXRsZS1zaG9ydCI6IiJ9LCJpc1RlbXBvcmFyeSI6ZmFsc2V9LHsiaWQiOiJmMmU1Y2VmZC1hMjdlLTMyN2EtOWMzZS1jMTIzY2MzY2FiOGYiLCJpdGVtRGF0YSI6eyJ0eXBlIjoiYXJ0aWNsZS1qb3VybmFsIiwiaWQiOiJmMmU1Y2VmZC1hMjdlLTMyN2EtOWMzZS1jMTIzY2MzY2FiOGYiLCJ0aXRsZSI6Ik1vZGVsaW5nIEV4Y2hhbmdlIFJhdGUgVm9sYXRpbGl0eTogQXBwbGljYXRpb24gb2YgdGhlIEdBUkNIIGFuZCBFR0FSQ0ggTW9kZWxzIiwiYXV0aG9yIjpbeyJmYW1pbHkiOiJFcGFwaHJhIiwiZ2l2ZW4iOiJNYW5hbWJhIiwicGFyc2UtbmFtZXMiOmZhbHNlLCJkcm9wcGluZy1wYXJ0aWNsZSI6IiIsIm5vbi1kcm9wcGluZy1wYXJ0aWNsZSI6IiJ9XSwiY29udGFpbmVyLXRpdGxlIjoiSm91cm5hbCBvZiBNYXRoZW1hdGljYWwgRmluYW5jZSIsIkRPSSI6IjEwLjQyMzYvam1mLjIwMTcuNzEwMDciLCJJU1NOIjoiMjE2Mi0yNDM0IiwiaXNzdWVkIjp7ImRhdGUtcGFydHMiOltbMjAxN11dfSwicGFnZSI6IjEyMS0xNDMiLCJhYnN0cmFjdCI6IlBvbGljeSBtYWtlcnMgbmVlZCBhY2N1cmF0ZSBmb3JlY2FzdHMgYWJvdXQgZnV0dXJlIHZhbHVlcyBvZiBleGNoYW5nZSByYXRlcy4gVGhpcyBpcyBkdWUgdG8gdGhlIGZhY3QgdGhhdCBleGNoYW5nZSByYXRlIHZvbGF0aWxpdHkgaXMgYSB1c2VmdWwgbWVhc3VyZSBvZiB1bmNlcnRhaW50eSBhYm91dCB0aGUgZWNvbm9taWMgZW52aXJvbm1lbnQgb2YgYSBjb3VudHJ5LiBUaGlzIHBhcGVyIGFwcGxpZXMgdW5pdmFyaWF0ZSBub25saW5lYXIgdGltZSBzZXJpZXMgYW5hbHlzaXMgdG8gdGhlIGRhaWx5IChUWlMvVVNEKSBleGNoYW5nZSByYXRlIGRhdGEgc3Bhbm5pbmcgZnJvbSBKYW51YXJ5IDQsIDIwMDkgdG8gSnVseSAyNywgMjAxNSB0byBleGFtaW5lIHRoZSBiZWhhdmlvciBvZiBleGNoYW5nZSByYXRlIGluIFRhbnphbmlhLiBUbyBjYXB0dXJlIHRoZSBzeW1tZXRyeSBlZmZlY3QgaW4gZXhjaGFuZ2UgcmF0ZSBkYXRhLCB0aGUgcGFwZXIgYXBwbGllcyBib3RoIEFSQ0ggYW5kIEdBUkNIIG1vZGVscy4gQWxzbywgdGhlIHBhcGVyIGVtcGxveXMgZXhwb25lbnRpYWwgR0FSQ0ggKEVHQVJDSCkgbW9kZWwgdG8gY2FwdHVyZSB0aGUgYXN5bW1ldHJ5IGluIHZvbGF0aWxpdHkgY2x1c3RlcmluZyBhbmQgdGhlIGxldmVyYWdlIGVmZmVjdCBpbiBleGNoYW5nZSByYXRlLiBUaGUgcGFwZXIgcmV2ZWFscyB0aGF0IGV4Y2hhbmdlIHJhdGUgc2VyaWVzIGV4aGliaXRzIHRoZSBlbXBpcmljYWwgcmVndWxhcml0aWVzIHN1Y2ggYXMgY2x1c3RlcmluZyB2b2xhdGlsaXR5LCBub25zdGF0aW9uYXJpdHksIG5vbi1ub3JtYWxpdHkgYW5kIHNlcmlhbCBjb3JyZWxhdGlvbiB0aGF0IGp1c3RpZnkgdGhlIGFwcGxpY2F0aW9uIG9mIHRoZSBBUkNIIG1ldGhvZG9sb2d5LiBUaGUgcmVzdWx0cyBhbHNvIHN1Z2dlc3QgdGhhdCBleGNoYW5nZSByYXRlIGJlaGF2aW9yIGlzIGdlbmVyYWxseSBpbmZsdWVuY2VkIGJ5IHByZXZpb3VzIGluZm9ybWF0aW9uIGFib3V0IGV4Y2hhbmdlIHJhdGUuIFRoaXMgYWxzbyBpbXBsaWVzIHRoYXQgcHJldmlvdXMgZGF5J3Mgdm9sYXRpbGl0eSBpbiBleGNoYW5nZSByYXRlIGNhbiBhZmZlY3QgY3VycmVudCB2b2xhdGlsaXR5IG9mIGV4Y2hhbmdlIHJhdGUuIEluIGFkZGl0aW9uLCB0aGUgZXN0aW1hdGUgZm9yIGFzeW1tZXRyaWMgdm9sYXRpbGl0eSBzdWdnZXN0cyB0aGF0IHBvc2l0aXZlIHNob2NrcyBpbXBseSBhIGhpZ2hlciBuZXh0IHBlcmlvZCBjb25kaXRpb25hbCB2YXJpYW5jZSB0aGFuIG5lZ2F0aXZlIHNob2NrcyBvZiB0aGUgc2FtZSBzaWduLiBUaGUgbWFpbiBwb2xpY3kgaW1wbGljYXRpb24gb2YgdGhlc2UgcmVzdWx0cyBpcyB0aGF0IHNpbmNlIGV4Y2hhbmdlIHJhdGUgdm9sYXRpbGl0eSAoZXhjaGFuZ2UtcmF0ZSByaXNrKSBtYXkgaW5jcmVhc2UgdHJhbnNhY3Rpb24gY29zdHMgYW5kIHJlZHVjZSB0aGUgZ2FpbnMgdG8gaW50ZXJuYXRpb25hbCB0cmFkZSwga25vd2xlZGdlIG9mIGV4Y2hhbmdlIHJhdGUgdm9sYXRpbGl0eSBlc3RpbWF0aW9uIGFuZCBmb3JlY2FzdGluZyBpcyBpbXBvcnRhbnQgZm9yIGFzc2V0IHByaWNpbmcgYW5kIHJpc2sgbWFuYWdlbWVudC4iLCJwdWJsaXNoZXIiOiJTY2llbnRpZmljIFJlc2VhcmNoIFB1Ymxpc2hpbmcsIEluYywiLCJpc3N1ZSI6IjAxIiwidm9sdW1lIjoiMDciLCJjb250YWluZXItdGl0bGUtc2hvcnQiOiIifSwiaXNUZW1wb3JhcnkiOmZhbHNlfV19&quot;,&quot;citationItems&quot;:[{&quot;id&quot;:&quot;77f238b1-2381-31ea-ab8d-33b0a44a387b&quot;,&quot;itemData&quot;:{&quot;type&quot;:&quot;article-journal&quot;,&quot;id&quot;:&quot;77f238b1-2381-31ea-ab8d-33b0a44a387b&quot;,&quot;title&quot;:&quot;Evaluating Volatility Forecasts with Ultra-High-Frequency Data—Evidence from the Australian Equity Market&quot;,&quot;author&quot;:[{&quot;family&quot;:&quot;Zhang&quot;,&quot;given&quot;:&quot;Kai&quot;,&quot;parse-names&quot;:false,&quot;dropping-particle&quot;:&quot;&quot;,&quot;non-dropping-particle&quot;:&quot;&quot;},{&quot;family&quot;:&quot;Mello&quot;,&quot;given&quot;:&quot;Lurion&quot;,&quot;parse-names&quot;:false,&quot;dropping-particle&quot;:&quot;&quot;,&quot;non-dropping-particle&quot;:&quot;De&quot;},{&quot;family&quot;:&quot;Sadeghi&quot;,&quot;given&quot;:&quot;Mehdi&quot;,&quot;parse-names&quot;:false,&quot;dropping-particle&quot;:&quot;&quot;,&quot;non-dropping-particle&quot;:&quot;&quot;}],&quot;container-title&quot;:&quot;Theoretical Economics Letters&quot;,&quot;DOI&quot;:&quot;10.4236/tel.2018.81001&quot;,&quot;ISSN&quot;:&quot;2162-2078&quot;,&quot;issued&quot;:{&quot;date-parts&quot;:[[2018]]},&quot;page&quot;:&quot;1-27&quot;,&quot;abstract&quot;:&quot;Due to the unobserved nature of the true return variation process, one of the most challenging problems in evaluation of volatility forecasts is to find an accurate benchmark proxy for ex-post volatility. This paper uses the Australian equity market ultra-high-frequency data to construct an unbiased ex-post volatility estimator and then use it as a benchmark to evaluate various practical volatility forecasting strategies (GARCH class model based). These forecasting strategies allow for the skewed distribution of innovations and use various estimation windows in addition to the standard GARCH volatility models. In out-of-sample tests, we find that forecasting errors across all model specifications are systematically reduced if using the unbiased ex-post volatility estimator compared with those using the realized volatility based on sparsely sampled intra-day data. In particular, we show that the three benchmark forecasting models outperform most of the modified strategies with different distribution of returns and estimation windows. Comparing the three standard GARCH class models, we find that the asymmetric power ARCH (APARCH) model exhibits the best forecasting power in both normal and financial turmoil periods, which indicates the ability of APARCH model to capture the leptokurtic returns and stylized features of volatility in the Australian stock market.&quot;,&quot;publisher&quot;:&quot;Scientific Research Publishing, Inc,&quot;,&quot;issue&quot;:&quot;01&quot;,&quot;volume&quot;:&quot;08&quot;,&quot;container-title-short&quot;:&quot;&quot;},&quot;isTemporary&quot;:false},{&quot;id&quot;:&quot;f9931e93-191f-3262-8458-291933ed5712&quot;,&quot;itemData&quot;:{&quot;type&quot;:&quot;report&quot;,&quot;id&quot;:&quot;f9931e93-191f-3262-8458-291933ed5712&quot;,&quot;title&quot;:&quot;Investor Sentiment And Calendar Anomaly Effects: A Case Study Of The Impact Of Ramadan On Islamic Middle Eastern Markets&quot;,&quot;author&quot;:[{&quot;family&quot;:&quot;Al-Hajieh&quot;,&quot;given&quot;:&quot;Heitham&quot;,&quot;parse-names&quot;:false,&quot;dropping-particle&quot;:&quot;&quot;,&quot;non-dropping-particle&quot;:&quot;&quot;},{&quot;family&quot;:&quot;Redhead&quot;,&quot;given&quot;:&quot;Keith&quot;,&quot;parse-names&quot;:false,&quot;dropping-particle&quot;:&quot;&quot;,&quot;non-dropping-particle&quot;:&quot;&quot;},{&quot;family&quot;:&quot;Rodgers&quot;,&quot;given&quot;:&quot;Timothy&quot;,&quot;parse-names&quot;:false,&quot;dropping-particle&quot;:&quot;&quot;,&quot;non-dropping-particle&quot;:&quot;&quot;}],&quot;abstract&quot;:&quot;The holy month of Ramadan is usually a time of celebration and renewal in Muslim countries. This paper examines whether or not this is reflected in positive calendar anomalies effects in Islamic Middle Eastern stock markets during the period 1992 to 2007. Strong evidence is found of significant and positive calendar effects in respect to the whole period of Ramadan in most countries and it is argued that this can be attributed to the generally positive investor mood, or sentiment. Although Ramadan is a time of celebration for Muslims it also can be a time of uncertainty and this appears to result in the impact of the festival not being uniformly positive throughout Ramadan. It is found that market returns in the first and last days of Ramadan show high levels of statistically significant year-on-year variation. It is argued that this can possibly be attributed to synchronization-related herding effects amplifying the impact of the mood swings associated with this period. The paper also finds that although the overall Ramadan effect is both positive and statistically significant for most countries, the associated gains were only large enough to outweigh transactions costs and provide the basis of a profitable trading strategy in one market.&quot;,&quot;container-title-short&quot;:&quot;&quot;},&quot;isTemporary&quot;:false},{&quot;id&quot;:&quot;f2e5cefd-a27e-327a-9c3e-c123cc3cab8f&quot;,&quot;itemData&quot;:{&quot;type&quot;:&quot;article-journal&quot;,&quot;id&quot;:&quot;f2e5cefd-a27e-327a-9c3e-c123cc3cab8f&quot;,&quot;title&quot;:&quot;Modeling Exchange Rate Volatility: Application of the GARCH and EGARCH Models&quot;,&quot;author&quot;:[{&quot;family&quot;:&quot;Epaphra&quot;,&quot;given&quot;:&quot;Manamba&quot;,&quot;parse-names&quot;:false,&quot;dropping-particle&quot;:&quot;&quot;,&quot;non-dropping-particle&quot;:&quot;&quot;}],&quot;container-title&quot;:&quot;Journal of Mathematical Finance&quot;,&quot;DOI&quot;:&quot;10.4236/jmf.2017.71007&quot;,&quot;ISSN&quot;:&quot;2162-2434&quot;,&quot;issued&quot;:{&quot;date-parts&quot;:[[2017]]},&quot;page&quot;:&quot;121-143&quot;,&quot;abstract&quot;:&quot;Policy makers need accurate forecasts about future values of exchange rates. This is due to the fact that exchange rate volatility is a useful measure of uncertainty about the economic environment of a country. This paper applies univariate nonlinear time series analysis to the daily (TZS/USD) exchange rate data spanning from January 4, 2009 to July 27, 2015 to examine the behavior of exchange rate in Tanzania. To capture the symmetry effect in exchange rate data, the paper applies both ARCH and GARCH models. Also, the paper employs exponential GARCH (EGARCH) model to capture the asymmetry in volatility clustering and the leverage effect in exchange rate. The paper reveals that exchange rate series exhibits the empirical regularities such as clustering volatility, nonstationarity, non-normality and serial correlation that justify the application of the ARCH methodology. The results also suggest that exchange rate behavior is generally influenced by previous information about exchange rate. This also implies that previous day's volatility in exchange rate can affect current volatility of exchange rate. In addition, the estimate for asymmetric volatility suggests that positive shocks imply a higher next period conditional variance than negative shocks of the same sign. The main policy implication of these results is that since exchange rate volatility (exchange-rate risk) may increase transaction costs and reduce the gains to international trade, knowledge of exchange rate volatility estimation and forecasting is important for asset pricing and risk management.&quot;,&quot;publisher&quot;:&quot;Scientific Research Publishing, Inc,&quot;,&quot;issue&quot;:&quot;01&quot;,&quot;volume&quot;:&quot;07&quot;,&quot;container-title-short&quot;:&quot;&quot;},&quot;isTemporary&quot;:false}]},{&quot;citationID&quot;:&quot;MENDELEY_CITATION_575bb321-48f7-404f-a393-987844119d36&quot;,&quot;properties&quot;:{&quot;noteIndex&quot;:0},&quot;isEdited&quot;:false,&quot;manualOverride&quot;:{&quot;isManuallyOverridden&quot;:false,&quot;citeprocText&quot;:&quot;(Bollerslev, 1986; Marisetty, 2024; Rehman &amp;#38; Karimullah, 2024)&quot;,&quot;manualOverrideText&quot;:&quot;&quot;},&quot;citationTag&quot;:&quot;MENDELEY_CITATION_v3_eyJjaXRhdGlvbklEIjoiTUVOREVMRVlfQ0lUQVRJT05fNTc1YmIzMjEtNDhmNy00MDRmLWEzOTMtOTg3ODQ0MTE5ZDM2IiwicHJvcGVydGllcyI6eyJub3RlSW5kZXgiOjB9LCJpc0VkaXRlZCI6ZmFsc2UsIm1hbnVhbE92ZXJyaWRlIjp7ImlzTWFudWFsbHlPdmVycmlkZGVuIjpmYWxzZSwiY2l0ZXByb2NUZXh0IjoiKEJvbGxlcnNsZXYsIDE5ODY7IE1hcmlzZXR0eSwgMjAyNDsgUmVobWFuICYjMzg7IEthcmltdWxsYWgsIDIwMjQpIiwibWFudWFsT3ZlcnJpZGVUZXh0IjoiIn0sImNpdGF0aW9uSXRlbXMiOlt7ImlkIjoiZGM1MTliMDYtOTZiMS0zYTRhLTk0ODktMWUxYmVjNmMxNDc2IiwiaXRlbURhdGEiOnsidHlwZSI6InJlcG9ydCIsImlkIjoiZGM1MTliMDYtOTZiMS0zYTRhLTk0ODktMWUxYmVjNmMxNDc2IiwidGl0bGUiOiJHRU5FUkFMSVpFRCBBVVRPUkVHUkVTU0lWRSBDT05ESVRJT05BTCBIRVRFUk9TS0VEQVNUSUNJVFkiLCJhdXRob3IiOlt7ImZhbWlseSI6IkJvbGxlcnNsZXYiLCJnaXZlbiI6IlRpbSIsInBhcnNlLW5hbWVzIjpmYWxzZSwiZHJvcHBpbmctcGFydGljbGUiOiIiLCJub24tZHJvcHBpbmctcGFydGljbGUiOiIifV0sImNvbnRhaW5lci10aXRsZSI6IkpvdXJuYWwgb2YgRWNvbm9tZXRyaWNzIiwiY29udGFpbmVyLXRpdGxlLXNob3J0IjoiSi4gRWNvbm9tLiIsImlzc3VlZCI6eyJkYXRlLXBhcnRzIjpbWzE5ODZdXX0sIm51bWJlci1vZi1wYWdlcyI6IjMwNy0zMjciLCJhYnN0cmFjdCI6IkEgbmF0dXJhbCBnZW5lcmFsaXphdGlvbiBvZiB0aGUgQVJDSCAoQXV0b3JlZ3Jlc3NpdmUgQ29uZGl0aW9uYWwgSGV0ZXJvc2tlZGFzdGljKSBwcm9jZXNzIGludHJvZHVjZWQgaW4gRW5nbGUgKDE5ODIpIHRvIGFsbG93IGZvciBwYXN0IGNvbmRpdGlvbmFsIHZhcmlhbmNlcyBpbiB0aGUgY3VycmVudCBjb25kaXRpb25hbCB2YXJpYW5jZSBlcXVhdGlvbiBpcyBwcm9wb3NlZC4gU3RhdGlvbmFyaXR5IGNvbmRpdGlvbnMgYW5kIGF1dG9jb3JyZWxhdGlvbiBzdHJ1Y3R1cmUgZm9yIHRoaXMgbmV3IGNsYXNzIG9mIHBhcmFtZXRyaWMgbW9kZWxzIGFyZSBkZXJpdmVkLiBNYXhpbXVtIGxpa2VsaWhvb2QgZXN0aW1hdGlvbiBhbmQgdGVzdGluZyBhcmUgYWxzbyBjb25zaWRlcmVkLiBGaW5hbGx5IGFuIGVtcGlyaWNhbCBleGFtcGxlIHJlbGF0aW5nIHRvIHRoZSB1bmNlcnRhaW50eSBvZiB0aGUgaW5mbGF0aW9uIHJhdGUgaXMgcHJlc2VudGVkLiIsInZvbHVtZSI6IjMxIn0sImlzVGVtcG9yYXJ5IjpmYWxzZX0seyJpZCI6IjY1ODVkMDFmLWRiNjctMzQ2My1hODI3LTYwYjUxYjYxMjRkNCIsIml0ZW1EYXRhIjp7InR5cGUiOiJhcnRpY2xlLWpvdXJuYWwiLCJpZCI6IjY1ODVkMDFmLWRiNjctMzQ2My1hODI3LTYwYjUxYjYxMjRkNCIsInRpdGxlIjoiQXBwbGljYXRpb25zIG9mIEdBUkNIIE1vZGVscyBpbiBGb3JlY2FzdGluZyBGaW5hbmNpYWwgTWFya2V0IFZvbGF0aWxpdHk6IEluc2lnaHRzIGZyb20gTGVhZGluZyBHbG9iYWwgU3RvY2sgSW5kZXhlcyIsImF1dGhvciI6W3siZmFtaWx5IjoiTWFyaXNldHR5IiwiZ2l2ZW4iOiJOYWdlbmRyYSIsInBhcnNlLW5hbWVzIjpmYWxzZSwiZHJvcHBpbmctcGFydGljbGUiOiIiLCJub24tZHJvcHBpbmctcGFydGljbGUiOiIifV0sImNvbnRhaW5lci10aXRsZSI6IkFzaWFuIEpvdXJuYWwgb2YgRWNvbm9taWNzLCBCdXNpbmVzcyBhbmQgQWNjb3VudGluZyIsIkRPSSI6IjEwLjk3MzQvYWplYmEvMjAyNC92MjRpOTE0NzciLCJpc3N1ZWQiOnsiZGF0ZS1wYXJ0cyI6W1syMDI0LDgsMjhdXX0sInBhZ2UiOiI2My04NCIsImFic3RyYWN0IjoiVGhpcyBzdHVkeSBpbnZlc3RpZ2F0ZXMgdGhlIHZvbGF0aWxpdHkgZHluYW1pY3Mgb2YgbWFqb3IgZ2xvYmFsIHN0b2NrIGluZGV4ZXMsIGluY2x1ZGluZyB0aGUgRlRTRSAxMDAsIEhhbmcgU2VuZyBJbmRleCwgTklLS0VJIDIyNSwgYW5kIFMmUCA1MDAsIHVzaW5nIGEgcmFuZ2Ugb2YgR2VuZXJhbGl6ZWQgQXV0b3JlZ3Jlc3NpdmUgQ29uZGl0aW9uYWwgSGV0ZXJvc2tlZGFzdGljaXR5IChHQVJDSCkgbW9kZWxzLiBUaGUgYW5hbHlzaXMgc3BhbnMgYSBjb21wcmVoZW5zaXZlIDIwLXllYXIgcGVyaW9kIGZyb20gSmFudWFyeSAxLCAyMDA0LCB0byBEZWNlbWJlciAzMSwgMjAyMywgZW5jb21wYXNzaW5nIGRpdmVyc2UgbWFya2V0IGNvbmRpdGlvbnMgc3VjaCBhcyBidWxsIGFuZCBiZWFyIG1hcmtldHMsIHRoZSAyMDA4IGZpbmFuY2lhbCBjcmlzaXMsIGFuZCB0aGUgQ09WSUQtMTkgcGFuZGVtaWMuIFRoZSBtZXRob2RvbG9neSBpbmNsdWRlcyBwcmVwcm9jZXNzaW5nIHN0ZXBzIHN1Y2ggYXMgY2FsY3VsYXRpbmcgZGFpbHkgbG9nIHJldHVybnMsIHBlcmZvcm1pbmcgZGVzY3JpcHRpdmUgc3RhdGlzdGljcywgYW5kIGNvbmR1Y3Rpbmcgc3RhdGlvbmFyaXR5IGFuZCBBUkNIIGVmZmVjdCB0ZXN0cyB0byBlbnN1cmUgZGF0YSBzdWl0YWJpbGl0eSBmb3Igdm9sYXRpbGl0eSBtb2RlbGxpbmcuXHIgVGhlIHN0dWR5IGV2YWx1YXRlcyBzZXZlcmFsIEdBUkNIIG1vZGVscywgaW5jbHVkaW5nIEdBUkNILCBFR0FSQ0gsIE5HQVJDSCwgQVBBUkNILCBHSlItR0FSQ0gsIGFuZCBUR0FSQ0gsIHRvIGZvcmVjYXN0IHZvbGF0aWxpdHkgYW5kIGFkZHJlc3MgYm90aCBzeW1tZXRyaWMgYW5kIGFzeW1tZXRyaWMgZWZmZWN0cy4gVGhlIFRHQVJDSCBtb2RlbCBleGhpYml0cyBzdHJvbmcgcGVyZm9ybWFuY2UgaW4gY2FwdHVyaW5nIGxldmVyYWdlIGVmZmVjdHMgYW5kIGFzeW1tZXRyaWVzLCBwYXJ0aWN1bGFybHkgZm9yIHRoZSBGVFNFIDEwMCBhbmQgSGFuZyBTZW5nIEluZGV4LiBUaGUgQVBBUkNIIG1vZGVsIHBlcmZvcm1zIHdlbGwgZm9yIHRoZSBTJlAgNTAwLCBkZW1vbnN0cmF0aW5nIHNlbnNpdGl2aXR5IHRvIHBhc3Qgc2hvY2tzLiBPdmVyYWxsLCB0aGUgZmluZGluZ3MgdW5kZXJzY29yZSB0aGUgaW1wb3J0YW5jZSBvZiBhZHZhbmNlZCBHQVJDSCBtb2RlbHMgaW4gYWNjdXJhdGVseSBwcmVkaWN0aW5nIHZvbGF0aWxpdHkgaW4gZ2xvYmFsIGZpbmFuY2lhbCBtYXJrZXRzLCBoaWdobGlnaHRpbmcgdGhlIFRHQVJDSCBtb2RlbCdzIGVmZmVjdGl2ZW5lc3MgaW4gYWRkcmVzc2luZyBhc3ltbWV0cmllcyBhbmQgcHJvdmlkaW5nIGluc2lnaHRzIGludG8gc2VsZWN0aW5nIGFwcHJvcHJpYXRlIG1vZGVscyBmb3IgZW5oYW5jZWQgZmluYW5jaWFsIGFuYWx5c2lzIGFuZCByaXNrIG1hbmFnZW1lbnQuIiwicHVibGlzaGVyIjoiU2NpZW5jZWRvbWFpbiBJbnRlcm5hdGlvbmFsIiwiaXNzdWUiOiI5Iiwidm9sdW1lIjoiMjQiLCJjb250YWluZXItdGl0bGUtc2hvcnQiOiIifSwiaXNUZW1wb3JhcnkiOmZhbHNlfSx7ImlkIjoiMWIwZWU5ZjQtNDkyYS0zYmFlLWIwY2MtMDgxMjg4ODIyOGU3IiwiaXRlbURhdGEiOnsidHlwZSI6ImFydGljbGUtam91cm5hbCIsImlkIjoiMWIwZWU5ZjQtNDkyYS0zYmFlLWIwY2MtMDgxMjg4ODIyOGU3IiwidGl0bGUiOiJCbGFjayBzd2FuIGV2ZW50cyBhbmQgc3RvY2sgbWFya2V0IGJlaGF2aW9yIGluIEd1bGYgY291bnRyaWVzOiBhIGNvbXBhcmF0aXZlIGFuYWx5c2lzIG9mIGZpbmFuY2lhbCBjcmlzaXMgKDIwMDgpIGFuZCBDT1ZJRC0xOSBwYW5kZW1pYyIsImF1dGhvciI6W3siZmFtaWx5IjoiUmVobWFuIiwiZ2l2ZW4iOiJNb2hkIFppYXVyIiwicGFyc2UtbmFtZXMiOmZhbHNlLCJkcm9wcGluZy1wYXJ0aWNsZSI6IiIsIm5vbi1kcm9wcGluZy1wYXJ0aWNsZSI6IiJ9LHsiZmFtaWx5IjoiS2FyaW11bGxhaCIsImdpdmVuIjoiSy4iLCJwYXJzZS1uYW1lcyI6ZmFsc2UsImRyb3BwaW5nLXBhcnRpY2xlIjoiIiwibm9uLWRyb3BwaW5nLXBhcnRpY2xlIjoiIn1dLCJjb250YWluZXItdGl0bGUiOiJBcmFiIEd1bGYgSm91cm5hbCBvZiBTY2llbnRpZmljIFJlc2VhcmNoIiwiRE9JIjoiMTAuMTEwOC9BR0pTUi0wOS0yMDIyLTAxNjIiLCJJU1NOIjoiMjUzNjAwNTEiLCJpc3N1ZWQiOnsiZGF0ZS1wYXJ0cyI6W1syMDI0LDEwLDIzXV19LCJwYWdlIjoiODA1LTgyNCIsImFic3RyYWN0IjoiUHVycG9zZTogVGhlIGN1cnJlbnQgc3R1ZHkgYWltcyB0byBleGFtaW5lIHRoZSBpbXBhY3Qgb2YgdHdvIGJsYWNrIHN3YW4gZXZlbnRzIG9uIHRoZSBwZXJmb3JtYW5jZSBvZiBzaXggc3RvY2sgbWFya2V0cyBpbiBHdWxmIENvb3BlcmF0aW9uIENvdW5jaWwgKEdDQykgZWNvbm9taWVzIChBYnUgRGhhYmksIEJhaHJhaW4sIER1YmFpLCBPbWFuLCBRYXRhciBhbmQgU2F1ZGkgQXJhYmlhKS4gVGhlIHR3byBzZWxlY3RlZCBibGFjayBzd2FuIGV2ZW50cyBhcmUgdGhlIFVTIE1vcnRnYWdlIGFuZCBjcmVkaXQgY3Jpc2lzIChHbG9iYWwgRmluYW5jaWFsIENyaXNpcyBvZiAyMDA4KSBhbmQgdGhlIENPVklELTE5IHBhbmRlbWljLiBEZXNpZ24vbWV0aG9kb2xvZ3kvYXBwcm9hY2g6IFRoZSBwZXJmb3JtYW5jZSBvZiBhbGwgdGhlIHNpeCBzdG9jayBtYXJrZXRzIGFyZSByZXByZXNlbnRlZCBieSB0aGVpciByZXR1cm4gYW5kIHByaWNlIHZvbGF0aWxpdHkgYmVoYXZpb3IsIHdoaWNoIGhhcyBiZWVuIG1lYXN1cmVkIGJ5IGFwcGx5aW5nIEFSQ0gvR0FSQ0ggbW9kZWwuIFRoZSBjb21wYXJhdGl2ZSBhbmFseXNpcyBpcyBkb25lIGJ5IGVtcGxveWluZyBtZWFuIGRpZmZlcmVuY2UgbW9kZWxzLiBUaGUgZGF0YSBpcyBjb2xsZWN0ZWQgZnJvbSBCbG9vbWJlcmcgb24gYSBkYWlseSBmcmVxdWVuY3kuIEZpbmRpbmdzOiBUaGUgcmVzcG9uc2Ugb2YgdHdvIGJsYWNrIHN3YW4gZXZlbnRzIG9uIHRoZSBHQ0Mgc3RvY2sgbWFya2V0cyBoYXMgYmVlbiBoZXRlcm9nZW5vdXMgaW4gbmF0dXJlLiBEdXJpbmcgdGhlIGZpbmFuY2lhbCBjcmlzaXMsIHRoZSBpbXBhY3Qgd2FzIGhlYXZpbHkgZmVsdCBvbiBtb3N0IG9mIHRoZSBzdG9jayBtYXJrZXRzIGluIHRoZSBHQ0MgY291bnRyaWVzLiBJdCBpcyByZXZlYWxlZCB0aGF0IHRoZSBmaW5hbmNpYWwgY3Jpc2lzIGhhZCBhIG5lZ2F0aXZlIHNpZ25pZmljYW50IGltcGFjdCBvbiBmb3VyIG9mIHRoZSBzaXggY291bnRyaWVzLiBXaGVyZWFzIGR1cmluZyB0aGUgQ09WSUQtMTkgY3Jpc2lzLCBpdCBpcyByZXZlYWxlZCB0aGF0IHRoZXJlIGlzIG5vIHNpZ25pZmljYW50IGltcGFjdCBvbiBmb3VyIG9mIHRoZSBzaXggc2VsZWN0ZWQgc3RvY2sgbWFya2V0cy4gVGhlIHBvc2l0aXZlIHNpZ25pZmljYW50IGltcGFjdCBpcyBmZWx0IG9uIHR3byBzdG9jayBtYXJrZXRzLCBuYW1lbHksIHRoZSBBYnUgRGhhYmkgc3RvY2sgbWFya2V0IGFuZCB0aGUgU2F1ZGkgc3RvY2sgbWFya2V0LiBPcmlnaW5hbGl0eS92YWx1ZTogVGhlIHByZXNlbnQgaW52ZXN0aWdhdGlvbiBhdHRlbXB0cyB0byBmaWxsIHRoZSBnYXAgaW4gdGhlIGxpdGVyYXR1cmUgb24gdGhlIGludGVuZGVkIHRvcGljIGJlY2F1c2UgaXQgaXMgZXZpZGVudCBmcm9tIHRoZSBsaXRlcmF0dXJlIG9uIHRoZSBjaG9zZW4gc3ViamVjdCB0aGF0IG5vIHN0dWR5IGhhcyBiZWVuIHVuZGVydGFrZW4gdG8gZXZhbHVhdGUgYW5kIGNvbnRyYXN0IHRoZSBpbXBhY3Qgb2YgdGhlIEdGQyBjcmlzaXMgYW5kIENPVklELTE5IG9uIHRoZSBHQ0Mgc3RvY2sgbWFya2V0cy4iLCJwdWJsaXNoZXIiOiJFbWVyYWxkIFB1Ymxpc2hpbmciLCJpc3N1ZSI6IjMiLCJ2b2x1bWUiOiI0MiIsImNvbnRhaW5lci10aXRsZS1zaG9ydCI6IiJ9LCJpc1RlbXBvcmFyeSI6ZmFsc2V9XX0=&quot;,&quot;citationItems&quot;:[{&quot;id&quot;:&quot;dc519b06-96b1-3a4a-9489-1e1bec6c1476&quot;,&quot;itemData&quot;:{&quot;type&quot;:&quot;report&quot;,&quot;id&quot;:&quot;dc519b06-96b1-3a4a-9489-1e1bec6c1476&quot;,&quot;title&quot;:&quot;GENERALIZED AUTOREGRESSIVE CONDITIONAL HETEROSKEDASTICITY&quot;,&quot;author&quot;:[{&quot;family&quot;:&quot;Bollerslev&quot;,&quot;given&quot;:&quot;Tim&quot;,&quot;parse-names&quot;:false,&quot;dropping-particle&quot;:&quot;&quot;,&quot;non-dropping-particle&quot;:&quot;&quot;}],&quot;container-title&quot;:&quot;Journal of Econometrics&quot;,&quot;container-title-short&quot;:&quot;J. Econom.&quot;,&quot;issued&quot;:{&quot;date-parts&quot;:[[1986]]},&quot;number-of-pages&quot;:&quot;307-327&quot;,&quot;abstract&quot;:&quot;A natural generalization of the ARCH (Autoregressive Conditional Heteroskedastic) process introduced in Engle (1982) to allow for past conditional variances in the current conditional variance equation is proposed. Stationarity conditions and autocorrelation structure for this new class of parametric models are derived. Maximum likelihood estimation and testing are also considered. Finally an empirical example relating to the uncertainty of the inflation rate is presented.&quot;,&quot;volume&quot;:&quot;31&quot;},&quot;isTemporary&quot;:false},{&quot;id&quot;:&quot;6585d01f-db67-3463-a827-60b51b6124d4&quot;,&quot;itemData&quot;:{&quot;type&quot;:&quot;article-journal&quot;,&quot;id&quot;:&quot;6585d01f-db67-3463-a827-60b51b6124d4&quot;,&quot;title&quot;:&quot;Applications of GARCH Models in Forecasting Financial Market Volatility: Insights from Leading Global Stock Indexes&quot;,&quot;author&quot;:[{&quot;family&quot;:&quot;Marisetty&quot;,&quot;given&quot;:&quot;Nagendra&quot;,&quot;parse-names&quot;:false,&quot;dropping-particle&quot;:&quot;&quot;,&quot;non-dropping-particle&quot;:&quot;&quot;}],&quot;container-title&quot;:&quot;Asian Journal of Economics, Business and Accounting&quot;,&quot;DOI&quot;:&quot;10.9734/ajeba/2024/v24i91477&quot;,&quot;issued&quot;:{&quot;date-parts&quot;:[[2024,8,28]]},&quot;page&quot;:&quot;63-84&quot;,&quot;abstract&quot;:&quot;This study investigates the volatility dynamics of major global stock indexes, including the FTSE 100, Hang Seng Index, NIKKEI 225, and S&amp;P 500, using a range of Generalized Autoregressive Conditional Heteroskedasticity (GARCH) models. The analysis spans a comprehensive 20-year period from January 1, 2004, to December 31, 2023, encompassing diverse market conditions such as bull and bear markets, the 2008 financial crisis, and the COVID-19 pandemic. The methodology includes preprocessing steps such as calculating daily log returns, performing descriptive statistics, and conducting stationarity and ARCH effect tests to ensure data suitability for volatility modelling.\r The study evaluates several GARCH models, including GARCH, EGARCH, NGARCH, APARCH, GJR-GARCH, and TGARCH, to forecast volatility and address both symmetric and asymmetric effects. The TGARCH model exhibits strong performance in capturing leverage effects and asymmetries, particularly for the FTSE 100 and Hang Seng Index. The APARCH model performs well for the S&amp;P 500, demonstrating sensitivity to past shocks. Overall, the findings underscore the importance of advanced GARCH models in accurately predicting volatility in global financial markets, highlighting the TGARCH model's effectiveness in addressing asymmetries and providing insights into selecting appropriate models for enhanced financial analysis and risk management.&quot;,&quot;publisher&quot;:&quot;Sciencedomain International&quot;,&quot;issue&quot;:&quot;9&quot;,&quot;volume&quot;:&quot;24&quot;,&quot;container-title-short&quot;:&quot;&quot;},&quot;isTemporary&quot;:false},{&quot;id&quot;:&quot;1b0ee9f4-492a-3bae-b0cc-0812888228e7&quot;,&quot;itemData&quot;:{&quot;type&quot;:&quot;article-journal&quot;,&quot;id&quot;:&quot;1b0ee9f4-492a-3bae-b0cc-0812888228e7&quot;,&quot;title&quot;:&quot;Black swan events and stock market behavior in Gulf countries: a comparative analysis of financial crisis (2008) and COVID-19 pandemic&quot;,&quot;author&quot;:[{&quot;family&quot;:&quot;Rehman&quot;,&quot;given&quot;:&quot;Mohd Ziaur&quot;,&quot;parse-names&quot;:false,&quot;dropping-particle&quot;:&quot;&quot;,&quot;non-dropping-particle&quot;:&quot;&quot;},{&quot;family&quot;:&quot;Karimullah&quot;,&quot;given&quot;:&quot;K.&quot;,&quot;parse-names&quot;:false,&quot;dropping-particle&quot;:&quot;&quot;,&quot;non-dropping-particle&quot;:&quot;&quot;}],&quot;container-title&quot;:&quot;Arab Gulf Journal of Scientific Research&quot;,&quot;DOI&quot;:&quot;10.1108/AGJSR-09-2022-0162&quot;,&quot;ISSN&quot;:&quot;25360051&quot;,&quot;issued&quot;:{&quot;date-parts&quot;:[[2024,10,23]]},&quot;page&quot;:&quot;805-824&quot;,&quot;abstract&quot;:&quot;Purpose: The current study aims to examine the impact of two black swan events on the performance of six stock markets in Gulf Cooperation Council (GCC) economies (Abu Dhabi, Bahrain, Dubai, Oman, Qatar and Saudi Arabia). The two selected black swan events are the US Mortgage and credit crisis (Global Financial Crisis of 2008) and the COVID-19 pandemic. Design/methodology/approach: The performance of all the six stock markets are represented by their return and price volatility behavior, which has been measured by applying ARCH/GARCH model. The comparative analysis is done by employing mean difference models. The data is collected from Bloomberg on a daily frequency. Findings: The response of two black swan events on the GCC stock markets has been heterogenous in nature. During the financial crisis, the impact was heavily felt on most of the stock markets in the GCC countries. It is revealed that the financial crisis had a negative significant impact on four of the six countries. Whereas during the COVID-19 crisis, it is revealed that there is no significant impact on four of the six selected stock markets. The positive significant impact is felt on two stock markets, namely, the Abu Dhabi stock market and the Saudi stock market. Originality/value: The present investigation attempts to fill the gap in the literature on the intended topic because it is evident from the literature on the chosen subject that no study has been undertaken to evaluate and contrast the impact of the GFC crisis and COVID-19 on the GCC stock markets.&quot;,&quot;publisher&quot;:&quot;Emerald Publishing&quot;,&quot;issue&quot;:&quot;3&quot;,&quot;volume&quot;:&quot;42&quot;,&quot;container-title-short&quot;:&quot;&quot;},&quot;isTemporary&quot;:false}]},{&quot;citationID&quot;:&quot;MENDELEY_CITATION_43b4d02e-2d12-4454-92f4-c2a4b236ccdb&quot;,&quot;properties&quot;:{&quot;noteIndex&quot;:0},&quot;isEdited&quot;:false,&quot;manualOverride&quot;:{&quot;isManuallyOverridden&quot;:false,&quot;citeprocText&quot;:&quot;(AL-Besher &amp;#38; AL-Najjar, 2026; Alotaibi &amp;#38; Mishra, 2015; Mensi et al., 2017)&quot;,&quot;manualOverrideText&quot;:&quot;&quot;},&quot;citationTag&quot;:&quot;MENDELEY_CITATION_v3_eyJjaXRhdGlvbklEIjoiTUVOREVMRVlfQ0lUQVRJT05fNDNiNGQwMmUtMmQxMi00NDU0LTkyZjQtYzJhNGIyMzZjY2RiIiwicHJvcGVydGllcyI6eyJub3RlSW5kZXgiOjB9LCJpc0VkaXRlZCI6ZmFsc2UsIm1hbnVhbE92ZXJyaWRlIjp7ImlzTWFudWFsbHlPdmVycmlkZGVuIjpmYWxzZSwiY2l0ZXByb2NUZXh0IjoiKEFMLUJlc2hlciAmIzM4OyBBTC1OYWpqYXIsIDIwMjY7IEFsb3RhaWJpICYjMzg7IE1pc2hyYSwgMjAxNTsgTWVuc2kgZXQgYWwuLCAyMDE3KSIsIm1hbnVhbE92ZXJyaWRlVGV4dCI6IiJ9LCJjaXRhdGlvbkl0ZW1zIjpbeyJpZCI6IjRlYWQ1NzYzLTg0N2EtMzUwZC1iNjQwLTZmN2YwYzExMmY3ZCIsIml0ZW1EYXRhIjp7InR5cGUiOiJhcnRpY2xlLWpvdXJuYWwiLCJpZCI6IjRlYWQ1NzYzLTg0N2EtMzUwZC1iNjQwLTZmN2YwYzExMmY3ZCIsInRpdGxlIjoiRHluYW1pYyBsaW5rYWdlcyBiZXR3ZWVuIGRldmVsb3BlZCBhbmQgQlJJQ1Mgc3RvY2sgbWFya2V0czogUG9ydGZvbGlvIHJpc2sgYW5hbHlzaXMiLCJhdXRob3IiOlt7ImZhbWlseSI6Ik1lbnNpIiwiZ2l2ZW4iOiJXYWxpZCIsInBhcnNlLW5hbWVzIjpmYWxzZSwiZHJvcHBpbmctcGFydGljbGUiOiIiLCJub24tZHJvcHBpbmctcGFydGljbGUiOiIifSx7ImZhbWlseSI6IkhhbW1vdWRlaCIsImdpdmVuIjoiU2hhd2thdCIsInBhcnNlLW5hbWVzIjpmYWxzZSwiZHJvcHBpbmctcGFydGljbGUiOiIiLCJub24tZHJvcHBpbmctcGFydGljbGUiOiIifSx7ImZhbWlseSI6IkthbmciLCJnaXZlbiI6IlNhbmcgSG9vbiIsInBhcnNlLW5hbWVzIjpmYWxzZSwiZHJvcHBpbmctcGFydGljbGUiOiIiLCJub24tZHJvcHBpbmctcGFydGljbGUiOiIifV0sImNvbnRhaW5lci10aXRsZSI6IkZpbmFuY2UgUmVzZWFyY2ggTGV0dGVycyIsImNvbnRhaW5lci10aXRsZS1zaG9ydCI6IkZpbmFuYy4gUmVzLiBMZXR0LiIsIkRPSSI6IjEwLjEwMTYvai5mcmwuMjAxNi4xMS4wMTYiLCJJU1NOIjoiMTU0NDYxMjMiLCJpc3N1ZWQiOnsiZGF0ZS1wYXJ0cyI6W1syMDE3LDUsMV1dfSwicGFnZSI6IjI2LTMzIiwiYWJzdHJhY3QiOiJUaGlzIHN0dWR5IGV4YW1pbmVzIHRoZSBkeW5hbWljIGNvcnJlbGF0aW9ucyBhbmQgcG9ydGZvbGlvIGRpdmVyc2lmaWNhdGlvbiBiZXR3ZWVuIHRoZSBtYWpvciBkZXZlbG9wZWQgYW5kIEJSSUNTIHN0b2NrIG1hcmtldHMuIFRoZSByZXN1bHRzIHJldmVhbCBhIHNpZ25pZmljYW50IHZhcmlhYmlsaXR5IGluIHRoZSB0aW1lLXZhcnlpbmcgY29uZGl0aW9uYWwgY29ycmVsYXRpb25zIGJldHdlZW4gdGhlc2UgbWFya2V0cyBkdXJpbmcgdXB0dXJuIGFuZCBkb3dudHVybiBwZXJpb2RzLiBXZSB1bmRlcmxpbmUgdGhlIGltcG9ydGFuY2Ugb2Ygb3ZlcndlaWdodGluZyB0aGUgb3B0aW1hbCBwb3J0Zm9saW9zIHdpdGggc3RvY2tzIGZyb20gdGhlIGRldmVsb3BlZCBjb3VudHJpZXMgb3ZlciB0aG9zZSBmcm9tIHRoZSBCUklDUy4gRmluYWxseSwgd2UgZGVtb25zdHJhdGUgdGhlIHVzZWZ1bG5lc3Mgb2YgdXNpbmcgZGV2ZWxvcGVkIG1hcmtldCBzdG9ja3MgaW4gdGhlIEJSSUNTIHN0b2NrIHBvcnRmb2xpbyByaXNrIG1hbmFnZW1lbnQuIiwicHVibGlzaGVyIjoiRWxzZXZpZXIgTHRkIiwidm9sdW1lIjoiMjEifSwiaXNUZW1wb3JhcnkiOmZhbHNlfSx7ImlkIjoiNjI1OGExZmMtYjBlMi0zOWYzLThhYWQtNDQ2ZTQ1OTRkMjBmIiwiaXRlbURhdGEiOnsidHlwZSI6ImFydGljbGUtam91cm5hbCIsImlkIjoiNjI1OGExZmMtYjBlMi0zOWYzLThhYWQtNDQ2ZTQ1OTRkMjBmIiwidGl0bGUiOiJNb2RlbGluZyBTYXVkaSBzdG9jayBpbmRleCByZXR1cm5zIGFuZCB2b2xhdGlsaXR5OiBhIGR1YWwgYXBwcm9hY2ggdXNpbmcgR0FSQ0ggYW5kIG5ldXJhbCBuZXR3b3JrcyIsImF1dGhvciI6W3siZmFtaWx5IjoiQUwtQmVzaGVyIiwiZ2l2ZW4iOiJTdWthaW5haCIsInBhcnNlLW5hbWVzIjpmYWxzZSwiZHJvcHBpbmctcGFydGljbGUiOiIiLCJub24tZHJvcHBpbmctcGFydGljbGUiOiIifSx7ImZhbWlseSI6IkFMLU5hamphciIsImdpdmVuIjoiRGFuaWEiLCJwYXJzZS1uYW1lcyI6ZmFsc2UsImRyb3BwaW5nLXBhcnRpY2xlIjoiIiwibm9uLWRyb3BwaW5nLXBhcnRpY2xlIjoiIn1dLCJjb250YWluZXItdGl0bGUiOiJGcm9udGllcnMgaW4gQXJ0aWZpY2lhbCBJbnRlbGxpZ2VuY2UiLCJjb250YWluZXItdGl0bGUtc2hvcnQiOiJGcm9udC4gQXJ0aWYuIEludGVsbC4iLCJET0kiOiIxMC4zMzg5L2ZyYWkuMjAyNi4xNzE0ODIyIiwiSVNTTiI6IjI2MjQ4MjEyIiwiaXNzdWVkIjp7ImRhdGUtcGFydHMiOltbMjAyNl1dfSwiYWJzdHJhY3QiOiJUaGUgZmluYW5jaWFsIG1hcmtldHMgYXJlIHRoZSBkcml2ZXJzIG9mIGVjb25vbWljIGdyb3d0aCBhcyB0aGV5IG9yZ2FuaXplIHNhdmluZ3MsIGJyaW5nIGluIGZvcmVpZ24gaW52ZXN0bWVudCwgYW5kIHRoZXkgZWZmaWNpZW50bHkgYWxsb2NhdGUgcmVzb3VyY2VzLiBUaGUgVGFkYXd1bCBpcyB0aGUgbGFyZ2VzdCBzdG9jayBtYXJrZXQgaW4gdGhlIEdDQywgd2hpY2ggaXMgaGlnaGx5IGltcGFjdGVkIGJ5IHByaWNlcyBvZiBvaWwgYW5kIGdvbGQuIENvcnJlY3QgZm9yZWNhc3Rpbmcgb2YgbWFya2V0IHJldHVybnMgYW5kIHZvbGF0aWxpdHkgaXMgdGh1cyBhIGtleSB0byBpbnZlc3RvcnMgYW5kIHBvbGljeW1ha2Vycy4gVGhlIHJlc2VhcmNoIGFuYWx5c2lzIGlzIHBlcmZvcm1lZCBvbiB0aGUgVGFkYXd1bCBBbGwgU2hhcmUgSW5kZXggKFRBU0kpIGJldHdlZW4gSmFudWFyeSAxLCAyMDAwLCBhbmQgRGVjZW1iZXIgMzEsIDIwMjIsIHdpdGggdGhlIGhlbHAgb2YgdHJhZGl0aW9uYWwgR0FSQ0gtZmFtaWx5IG1vZGVscyAoR0FSQ0gsIEVHQVJDSCwgR0pSLUdBUkNILCBhbmQgTUdBUkNIKSBhbmQgYSBMb25nIFNob3J0LVRlcm0gTWVtb3J5IChMU1RNKSBuZXVyYWwgbmV0d29yay4gRXhwbGFuYXRvcnkgdmFyaWFibGVzIGluY2x1ZGUgb2lsIGFuZCBnb2xkIHJldHVybnMsIE1TRSwgTUFFLCBSTVNFLCBSIDIsIGFuZCBEaWVib2xkLU1hYXNvb255IHRlc3QgYXJlIHVzZWQgdG8gYXNzZXNzIHByZWRpY3RpdmUgcGVyZm9ybWFuY2UuIFRoZSByZXN1bHRzIHNob3cgdGhhdCB0aGUgTFNUTSBtb2RlbCBpcyB0aGUgbW9zdCBlZmZlY3RpdmUgbW9kZWwgdGhhdCBjYXB0dXJlcyBub25saW5lYXIgdm9sYXRpbGl0eSBwYXR0ZXJucywgd2hlcmVhcyBHQVJDSCBtb2RlbHMsIGVzcGVjaWFsbHkgdGhlIEdKUi1HQVJDSCBtb2RlbCB3aXRoIEdFRCBkaXN0cmlidXRpb24gb2ZmZXJzIGJldHRlciByZXR1cm5zIHByb2plY3Rpb25zLiBUaGUgZmluZGluZ3MgYWxzbyBjb25maXJtIHRoYXQgb2lsIGFuZCBnb2xkIHJldHVybnMgaGF2ZSBhIHNpZ25pZmljYW50IGluZmx1ZW5jZSBvbiB0aGUgcGVyZm9ybWFuY2Ugb2YgVEFTSSwgd2hpY2ggcHJvdmVzIHRoZWlyIHJvbGUgaW4gdGhlIG9pbC1kZXBlbmRlbnQgZWNvbm9teS4gQWx0b2dldGhlciwgdGhlIGV2aWRlbmNlIGRlbW9uc3RyYXRlcyB0aGUgc3luZXJnaXN0aWMgYWR2YW50YWdlcyBvZiBib3RoIGVjb25vbWV0cmljIGFuZCBtYWNoaW5lIGxlYXJuaW5nIG1ldGhvZHMgYW5kIHByb3ZpZGVzIHVzZWZ1bCBpbXBsaWNhdGlvbnMgb2YgcmlzayBtYW5hZ2VtZW50IGFuZCBpbnZlc3RtZW50IGRlY2lzaW9uLW1ha2luZyBhcyB3ZWxsIGFzIHBvbGljeSBndWlkYW5jZS4iLCJwdWJsaXNoZXIiOiJGcm9udGllcnMgTWVkaWEgU0EiLCJ2b2x1bWUiOiI5In0sImlzVGVtcG9yYXJ5IjpmYWxzZX0seyJpZCI6IjdmZGYzZjg4LTliYzktMzczOS05OWFhLThhM2MyNDUxZjBkOCIsIml0ZW1EYXRhIjp7InR5cGUiOiJhcnRpY2xlLWpvdXJuYWwiLCJpZCI6IjdmZGYzZjg4LTliYzktMzczOS05OWFhLThhM2MyNDUxZjBkOCIsInRpdGxlIjoiR2xvYmFsIGFuZCByZWdpb25hbCB2b2xhdGlsaXR5IHNwaWxsb3ZlcnMgdG8gR0NDIHN0b2NrIG1hcmtldHMiLCJhdXRob3IiOlt7ImZhbWlseSI6IkFsb3RhaWJpIiwiZ2l2ZW4iOiJBYmR1bGxhaCBSLiIsInBhcnNlLW5hbWVzIjpmYWxzZSwiZHJvcHBpbmctcGFydGljbGUiOiIiLCJub24tZHJvcHBpbmctcGFydGljbGUiOiIifSx7ImZhbWlseSI6Ik1pc2hyYSIsImdpdmVuIjoiQW5pbCIsInBhcnNlLW5hbWVzIjpmYWxzZSwiZHJvcHBpbmctcGFydGljbGUiOiJWLiIsIm5vbi1kcm9wcGluZy1wYXJ0aWNsZSI6IiJ9XSwiY29udGFpbmVyLXRpdGxlIjoiRWNvbm9taWMgTW9kZWxsaW5nIiwiY29udGFpbmVyLXRpdGxlLXNob3J0IjoiRWNvbi4gTW9kZWwuIiwiRE9JIjoiMTAuMTAxNi9qLmVjb25tb2QuMjAxNC4xMC4wNTIiLCJJU1NOIjoiMDI2NDk5OTMiLCJpc3N1ZWQiOnsiZGF0ZS1wYXJ0cyI6W1syMDE1LDIsMV1dfSwicGFnZSI6IjM4LTQ5IiwiYWJzdHJhY3QiOiJUaGlzIHBhcGVyIGV4YW1pbmVzIHRoZSBlZmZlY3RzIG9mIHJldHVybiBzcGlsbG92ZXJzIGZyb20gcmVnaW9uYWwgKFNhdWRpIEFyYWJpYSkgYW5kIGdsb2JhbCAoVVMpIG1hcmtldHMgdG8gR0NDIHN0b2NrIG1hcmtldHMgKEJhaHJhaW4sIE9tYW4sIEt1d2FpdCwgUWF0YXIsIFVuaXRlZCBBcmFiIEVtaXJhdGVzKS4gVGhlIHBhcGVyIGRldmVsb3BzIHZhcmlvdXMgYml2YXJpYXRlIEdBUkNIIG1vZGVscyBmb3IgcmVnaW9uYWwgYW5kIGdsb2JhbCByZXR1cm5zOiBCRUtLLCBjb25zdGFudCBjb3JyZWxhdGlvbiBhbmQgZHluYW1pYyBjb3JyZWxhdGlvbi4gVGhlIHNwZWNpZmljYXRpb24gdGVzdHMgYXJlIHVzZWQgdG8gY2hvb3NlIGJldHdlZW4gdGhlIG1vZGVscyB3aXRoIGFuZCB3aXRob3V0IGFzeW1tZXRyaWMgZWZmZWN0cy4gVGhlIGVzdGltYXRlZCBpbm5vdmF0aW9ucyBmb3IgdGhlIHJlZ2lvbmFsIGFuZCBnbG9iYWwgcmV0dXJucyBhcmUgdGhlbiB1c2VkIGFzIGlucHV0IGZvciB0aGUgdW5pdmFyaWF0ZSB2b2xhdGlsaXR5IHNwaWxsb3ZlciBtb2RlbCB3aGljaCBhbGxvd3MgdGhlIHVuZXhwZWN0ZWQgcmV0dXJucyBvZiBhbnkgcGFydGljdWxhciBHQ0Mgc3RvY2sgbWFya2V0IHRvIGJlIGRyaXZlbiBieSB0aHJlZSBzb3VyY2VzIG9mIHNob2NrczogbG9jYWwsIHJlZ2lvbmFsIGZyb20gU2F1ZGkgQXJhYmlhIGFuZCBnbG9iYWwgZnJvbSBVUy4gV2UgZmluZCBzaWduaWZpY2FudCByZXR1cm4gc3BpbGxvdmVyIGVmZmVjdHMgZnJvbSBTYXVkaSBBcmFiaWEgYW5kIFVTIHRvIEdDQyBtYXJrZXRzLiBUcmFkZSwgdHVybm92ZXIgYW5kIGluc3RpdHV0aW9uYWwgcXVhbGl0eSBoYXZlIHNpZ25pZmljYW50IGltcGFjdHMgb24gcmVnaW9uYWwgdm9sYXRpbGl0eSBzcGlsbG92ZXJzIGZyb20gU2F1ZGkgQXJhYmlhIHRvIEdDQyBtYXJrZXRzLiBUaGVyZSBhcmUgbWFjcm9lY29ub21pYyBwb2xpY3kgaW1wbGljYXRpb25zIGFzc29jaWF0ZWQgd2l0aCB0aGUgc3RyZW5ndGhlbmluZyBvZiBpbnRyYS1yZWdpb25hbCBhbmQgY3Jvc3MtYm9yZGVyIHRyYWRlIGluIGdvb2RzLCBzZXJ2aWNlcyBhbmQgYXNzZXRzIGFuZCByZWd1bGF0b3J5IGZyYW1ld29yay4iLCJwdWJsaXNoZXIiOiJFbHNldmllciIsInZvbHVtZSI6IjQ1In0sImlzVGVtcG9yYXJ5IjpmYWxzZX1dfQ==&quot;,&quot;citationItems&quot;:[{&quot;id&quot;:&quot;4ead5763-847a-350d-b640-6f7f0c112f7d&quot;,&quot;itemData&quot;:{&quot;type&quot;:&quot;article-journal&quot;,&quot;id&quot;:&quot;4ead5763-847a-350d-b640-6f7f0c112f7d&quot;,&quot;title&quot;:&quot;Dynamic linkages between developed and BRICS stock markets: Portfolio risk analysis&quot;,&quot;author&quot;:[{&quot;family&quot;:&quot;Mensi&quot;,&quot;given&quot;:&quot;Walid&quot;,&quot;parse-names&quot;:false,&quot;dropping-particle&quot;:&quot;&quot;,&quot;non-dropping-particle&quot;:&quot;&quot;},{&quot;family&quot;:&quot;Hammoudeh&quot;,&quot;given&quot;:&quot;Shawkat&quot;,&quot;parse-names&quot;:false,&quot;dropping-particle&quot;:&quot;&quot;,&quot;non-dropping-particle&quot;:&quot;&quot;},{&quot;family&quot;:&quot;Kang&quot;,&quot;given&quot;:&quot;Sang Hoon&quot;,&quot;parse-names&quot;:false,&quot;dropping-particle&quot;:&quot;&quot;,&quot;non-dropping-particle&quot;:&quot;&quot;}],&quot;container-title&quot;:&quot;Finance Research Letters&quot;,&quot;container-title-short&quot;:&quot;Financ. Res. Lett.&quot;,&quot;DOI&quot;:&quot;10.1016/j.frl.2016.11.016&quot;,&quot;ISSN&quot;:&quot;15446123&quot;,&quot;issued&quot;:{&quot;date-parts&quot;:[[2017,5,1]]},&quot;page&quot;:&quot;26-33&quot;,&quot;abstract&quot;:&quot;This study examines the dynamic correlations and portfolio diversification between the major developed and BRICS stock markets. The results reveal a significant variability in the time-varying conditional correlations between these markets during upturn and downturn periods. We underline the importance of overweighting the optimal portfolios with stocks from the developed countries over those from the BRICS. Finally, we demonstrate the usefulness of using developed market stocks in the BRICS stock portfolio risk management.&quot;,&quot;publisher&quot;:&quot;Elsevier Ltd&quot;,&quot;volume&quot;:&quot;21&quot;},&quot;isTemporary&quot;:false},{&quot;id&quot;:&quot;6258a1fc-b0e2-39f3-8aad-446e4594d20f&quot;,&quot;itemData&quot;:{&quot;type&quot;:&quot;article-journal&quot;,&quot;id&quot;:&quot;6258a1fc-b0e2-39f3-8aad-446e4594d20f&quot;,&quot;title&quot;:&quot;Modeling Saudi stock index returns and volatility: a dual approach using GARCH and neural networks&quot;,&quot;author&quot;:[{&quot;family&quot;:&quot;AL-Besher&quot;,&quot;given&quot;:&quot;Sukainah&quot;,&quot;parse-names&quot;:false,&quot;dropping-particle&quot;:&quot;&quot;,&quot;non-dropping-particle&quot;:&quot;&quot;},{&quot;family&quot;:&quot;AL-Najjar&quot;,&quot;given&quot;:&quot;Dania&quot;,&quot;parse-names&quot;:false,&quot;dropping-particle&quot;:&quot;&quot;,&quot;non-dropping-particle&quot;:&quot;&quot;}],&quot;container-title&quot;:&quot;Frontiers in Artificial Intelligence&quot;,&quot;container-title-short&quot;:&quot;Front. Artif. Intell.&quot;,&quot;DOI&quot;:&quot;10.3389/frai.2026.1714822&quot;,&quot;ISSN&quot;:&quot;26248212&quot;,&quot;issued&quot;:{&quot;date-parts&quot;:[[2026]]},&quot;abstract&quot;:&quot;The financial markets are the drivers of economic growth as they organize savings, bring in foreign investment, and they efficiently allocate resources. The Tadawul is the largest stock market in the GCC, which is highly impacted by prices of oil and gold. Correct forecasting of market returns and volatility is thus a key to investors and policymakers. The research analysis is performed on the Tadawul All Share Index (TASI) between January 1, 2000, and December 31, 2022, with the help of traditional GARCH-family models (GARCH, EGARCH, GJR-GARCH, and MGARCH) and a Long Short-Term Memory (LSTM) neural network. Explanatory variables include oil and gold returns, MSE, MAE, RMSE, R 2, and Diebold-Maasoony test are used to assess predictive performance. The results show that the LSTM model is the most effective model that captures nonlinear volatility patterns, whereas GARCH models, especially the GJR-GARCH model with GED distribution offers better returns projections. The findings also confirm that oil and gold returns have a significant influence on the performance of TASI, which proves their role in the oil-dependent economy. Altogether, the evidence demonstrates the synergistic advantages of both econometric and machine learning methods and provides useful implications of risk management and investment decision-making as well as policy guidance.&quot;,&quot;publisher&quot;:&quot;Frontiers Media SA&quot;,&quot;volume&quot;:&quot;9&quot;},&quot;isTemporary&quot;:false},{&quot;id&quot;:&quot;7fdf3f88-9bc9-3739-99aa-8a3c2451f0d8&quot;,&quot;itemData&quot;:{&quot;type&quot;:&quot;article-journal&quot;,&quot;id&quot;:&quot;7fdf3f88-9bc9-3739-99aa-8a3c2451f0d8&quot;,&quot;title&quot;:&quot;Global and regional volatility spillovers to GCC stock markets&quot;,&quot;author&quot;:[{&quot;family&quot;:&quot;Alotaibi&quot;,&quot;given&quot;:&quot;Abdullah R.&quot;,&quot;parse-names&quot;:false,&quot;dropping-particle&quot;:&quot;&quot;,&quot;non-dropping-particle&quot;:&quot;&quot;},{&quot;family&quot;:&quot;Mishra&quot;,&quot;given&quot;:&quot;Anil&quot;,&quot;parse-names&quot;:false,&quot;dropping-particle&quot;:&quot;V.&quot;,&quot;non-dropping-particle&quot;:&quot;&quot;}],&quot;container-title&quot;:&quot;Economic Modelling&quot;,&quot;container-title-short&quot;:&quot;Econ. Model.&quot;,&quot;DOI&quot;:&quot;10.1016/j.econmod.2014.10.052&quot;,&quot;ISSN&quot;:&quot;02649993&quot;,&quot;issued&quot;:{&quot;date-parts&quot;:[[2015,2,1]]},&quot;page&quot;:&quot;38-49&quot;,&quot;abstract&quot;:&quot;This paper examines the effects of return spillovers from regional (Saudi Arabia) and global (US) markets to GCC stock markets (Bahrain, Oman, Kuwait, Qatar, United Arab Emirates). The paper develops various bivariate GARCH models for regional and global returns: BEKK, constant correlation and dynamic correlation. The specification tests are used to choose between the models with and without asymmetric effects. The estimated innovations for the regional and global returns are then used as input for the univariate volatility spillover model which allows the unexpected returns of any particular GCC stock market to be driven by three sources of shocks: local, regional from Saudi Arabia and global from US. We find significant return spillover effects from Saudi Arabia and US to GCC markets. Trade, turnover and institutional quality have significant impacts on regional volatility spillovers from Saudi Arabia to GCC markets. There are macroeconomic policy implications associated with the strengthening of intra-regional and cross-border trade in goods, services and assets and regulatory framework.&quot;,&quot;publisher&quot;:&quot;Elsevier&quot;,&quot;volume&quot;:&quot;45&quot;},&quot;isTemporary&quot;:false}]},{&quot;citationID&quot;:&quot;MENDELEY_CITATION_55a7f730-b3ac-45bd-b7d5-8b9f37384c2a&quot;,&quot;properties&quot;:{&quot;noteIndex&quot;:0},&quot;isEdited&quot;:false,&quot;manualOverride&quot;:{&quot;isManuallyOverridden&quot;:false,&quot;citeprocText&quot;:&quot;(Ding et al., 1993)&quot;,&quot;manualOverrideText&quot;:&quot;&quot;},&quot;citationTag&quot;:&quot;MENDELEY_CITATION_v3_eyJjaXRhdGlvbklEIjoiTUVOREVMRVlfQ0lUQVRJT05fNTVhN2Y3MzAtYjNhYy00NWJkLWI3ZDUtOGI5ZjM3Mzg0YzJhIiwicHJvcGVydGllcyI6eyJub3RlSW5kZXgiOjB9LCJpc0VkaXRlZCI6ZmFsc2UsIm1hbnVhbE92ZXJyaWRlIjp7ImlzTWFudWFsbHlPdmVycmlkZGVuIjpmYWxzZSwiY2l0ZXByb2NUZXh0IjoiKERpbmcgZXQgYWwuLCAxOTkzKSIsIm1hbnVhbE92ZXJyaWRlVGV4dCI6IiJ9LCJjaXRhdGlvbkl0ZW1zIjpbeyJpZCI6ImRlZTAzZmZkLTc5ZTMtM2RhMS1iNWEwLTI4MDgwYjc0ZWJmNSIsIml0ZW1EYXRhIjp7InR5cGUiOiJyZXBvcnQiLCJpZCI6ImRlZTAzZmZkLTc5ZTMtM2RhMS1iNWEwLTI4MDgwYjc0ZWJmNSIsInRpdGxlIjoiQSBsb25nIG1lbW9yeSBwcm9wZXJ0eSBvZiBzdG9jayBtYXJrZXQgcmV0dXJucyBhbmQgYSBuZXcgbW9kZWwqIiwiYXV0aG9yIjpbeyJmYW1pbHkiOiJEaW5nIiwiZ2l2ZW4iOiJaaHVhbnhpbiIsInBhcnNlLW5hbWVzIjpmYWxzZSwiZHJvcHBpbmctcGFydGljbGUiOiIiLCJub24tZHJvcHBpbmctcGFydGljbGUiOiIifSx7ImZhbWlseSI6IkdyYW5nZXIiLCJnaXZlbiI6IkNsaXZlIFcgSiIsInBhcnNlLW5hbWVzIjpmYWxzZSwiZHJvcHBpbmctcGFydGljbGUiOiIiLCJub24tZHJvcHBpbmctcGFydGljbGUiOiIifSx7ImZhbWlseSI6IkVuZ2xlIiwiZ2l2ZW4iOiJSb2JlcnQgRiIsInBhcnNlLW5hbWVzIjpmYWxzZSwiZHJvcHBpbmctcGFydGljbGUiOiIiLCJub24tZHJvcHBpbmctcGFydGljbGUiOiIifV0sImNvbnRhaW5lci10aXRsZSI6IkpvdXJuYWwgb2YgRW1waXJpY2FsIEZpbmFuY2UiLCJjb250YWluZXItdGl0bGUtc2hvcnQiOiJKLiBFbXBpci4gRmluYW5jZSIsImlzc3VlZCI6eyJkYXRlLXBhcnRzIjpbWzE5OTNdXX0sIm51bWJlci1vZi1wYWdlcyI6IjgzLTEwNiIsImFic3RyYWN0IjoiQSAnbG9uZyBtZW1vcnknIHByb3BlcnR5IG9mIHN0b2NrIG1hcmtldCByZXR1cm5zIGlzIGludmVzdGlnYXRlZCBpbiB0aGlzIHBhcGVyLiBJdCBpcyBmb3VuZCB0aGF0IG5vdCBvbmx5IHRoZXJlIGlzIHN1YnN0YW50aWFsbHkgbW9yZSBjb3JyZWxhdGlvbiBiZXR3ZWVuIGFic29sdXRlIHJldHVybnMgdGhhbiByZXR1cm5zIHRoZW1zZWx2ZXMgLCBidXQgdGhlIHBvd2VyIHRyYW5zZm9ybWF0aW9uIG9mIHRoZSBhYnNvbHV0ZSByZXR1cm4gbHJmbFwiIGFsc28gaGFzIHF1aXRlIGhpZ2ggYXV0b2NvcnJlbC1hdGlvbiBmb3IgbG9uZyBsYWdzLiBJdCBpcyBwb3NzaWJsZSB0byBjaGFyYWN0ZXJpemUgbHJmbGQgdG8gYmUgJ2xvbmcgbWVtb3J5JyBhbmQgdGhpcyBwcm9wZXJ0eSBpcyBzdHJvbmdlc3Qgd2hlbiBkIGlzIGFyb3VuZCAxLiBUaGlzIHJlc3VsdCBhcHBlYXJzIHRvIGFyZ3VlIGFnYWluc3QgQVJDSCB0eXBlIHNwZWNpZmljYXRpb25zIGJhc2VkIHVwb24gc3F1YXJlZCByZXR1cm5zLiBCdXQgb3VyIE1vbnRlLUNhcmxvIHN0dWR5IHNob3dzIHRoYXQgYm90aCBBUkNIIHR5cGUgbW9kZWxzIGJhc2VkIG9uIHNxdWFyZWQgcmV0dXJucyBhbmQgdGhvc2UgYmFzZWQgb24gYWJzb2x1dGUgcmV0dXJuIGNhbiBwcm9kdWNlIHRoaXMgcHJvcGVydHkuIEEgbmV3IGdlbmVyYWwgY2xhc3Mgb2YgbW9kZWxzIGlzIHByb3Bvc2VkIHdoaWNoIGFsbG93cyB0aGUgcG93ZXIgNiBvZiB0aGUgaGV0ZXJvc2tlZGFzdGljaXR5IGVxdWF0aW9uIHRvIGJlIGVzdGltYXRlZCBmcm9tIHRoZSBkYXRhLiIsInZvbHVtZSI6IjEifSwiaXNUZW1wb3JhcnkiOmZhbHNlfV19&quot;,&quot;citationItems&quot;:[{&quot;id&quot;:&quot;dee03ffd-79e3-3da1-b5a0-28080b74ebf5&quot;,&quot;itemData&quot;:{&quot;type&quot;:&quot;report&quot;,&quot;id&quot;:&quot;dee03ffd-79e3-3da1-b5a0-28080b74ebf5&quot;,&quot;title&quot;:&quot;A long memory property of stock market returns and a new model*&quot;,&quot;author&quot;:[{&quot;family&quot;:&quot;Ding&quot;,&quot;given&quot;:&quot;Zhuanxin&quot;,&quot;parse-names&quot;:false,&quot;dropping-particle&quot;:&quot;&quot;,&quot;non-dropping-particle&quot;:&quot;&quot;},{&quot;family&quot;:&quot;Granger&quot;,&quot;given&quot;:&quot;Clive W J&quot;,&quot;parse-names&quot;:false,&quot;dropping-particle&quot;:&quot;&quot;,&quot;non-dropping-particle&quot;:&quot;&quot;},{&quot;family&quot;:&quot;Engle&quot;,&quot;given&quot;:&quot;Robert F&quot;,&quot;parse-names&quot;:false,&quot;dropping-particle&quot;:&quot;&quot;,&quot;non-dropping-particle&quot;:&quot;&quot;}],&quot;container-title&quot;:&quot;Journal of Empirical Finance&quot;,&quot;container-title-short&quot;:&quot;J. Empir. Finance&quot;,&quot;issued&quot;:{&quot;date-parts&quot;:[[1993]]},&quot;number-of-pages&quot;:&quot;83-106&quot;,&quot;abstract&quot;:&quot;A 'long memory' property of stock market returns is investigated in this paper. It is found that not only there is substantially more correlation between absolute returns than returns themselves , but the power transformation of the absolute return lrfl\&quot; also has quite high autocorrel-ation for long lags. It is possible to characterize lrfld to be 'long memory' and this property is strongest when d is around 1. This result appears to argue against ARCH type specifications based upon squared returns. But our Monte-Carlo study shows that both ARCH type models based on squared returns and those based on absolute return can produce this property. A new general class of models is proposed which allows the power 6 of the heteroskedasticity equation to be estimated from the data.&quot;,&quot;volume&quot;:&quot;1&quot;},&quot;isTemporary&quot;:false}]},{&quot;citationID&quot;:&quot;MENDELEY_CITATION_b7ff031e-b481-417f-a710-62cb6dc111e5&quot;,&quot;properties&quot;:{&quot;noteIndex&quot;:0},&quot;isEdited&quot;:false,&quot;manualOverride&quot;:{&quot;isManuallyOverridden&quot;:false,&quot;citeprocText&quot;:&quot;(Hasanhodzic &amp;#38; Lo, n.d.)&quot;,&quot;manualOverrideText&quot;:&quot;&quot;},&quot;citationTag&quot;:&quot;MENDELEY_CITATION_v3_eyJjaXRhdGlvbklEIjoiTUVOREVMRVlfQ0lUQVRJT05fYjdmZjAzMWUtYjQ4MS00MTdmLWE3MTAtNjJjYjZkYzExMWU1IiwicHJvcGVydGllcyI6eyJub3RlSW5kZXgiOjB9LCJpc0VkaXRlZCI6ZmFsc2UsIm1hbnVhbE92ZXJyaWRlIjp7ImlzTWFudWFsbHlPdmVycmlkZGVuIjpmYWxzZSwiY2l0ZXByb2NUZXh0IjoiKEhhc2FuaG9kemljICYjMzg7IExvLCBuLmQuKSIsIm1hbnVhbE92ZXJyaWRlVGV4dCI6IiJ9LCJjaXRhdGlvbkl0ZW1zIjpbeyJpZCI6ImQ0MDBmZmZiLTBiODYtMzFiNS1iODUwLTEyZGU4MmNiNjZmMSIsIml0ZW1EYXRhIjp7InR5cGUiOiJyZXBvcnQiLCJpZCI6ImQ0MDBmZmZiLTBiODYtMzFiNS1iODUwLTEyZGU4MmNiNjZmMSIsInRpdGxlIjoiQmxhY2sncyBMZXZlcmFnZSBFZmZlY3QgSXMgTm90IER1ZSBUbyBMZXZlcmFnZSAqIiwiYXV0aG9yIjpbeyJmYW1pbHkiOiJIYXNhbmhvZHppYyIsImdpdmVuIjoiSmFzbWluYSIsInBhcnNlLW5hbWVzIjpmYWxzZSwiZHJvcHBpbmctcGFydGljbGUiOiIiLCJub24tZHJvcHBpbmctcGFydGljbGUiOiIifSx7ImZhbWlseSI6IkxvIiwiZ2l2ZW4iOiJBbmRyZXcgVyIsInBhcnNlLW5hbWVzIjpmYWxzZSwiZHJvcHBpbmctcGFydGljbGUiOiIiLCJub24tZHJvcHBpbmctcGFydGljbGUiOiIifV0sIlVSTCI6Imh0dHA6Ly9zc3JuLmNvbS9hYnN0cmFjdD0xNzYyMzYzaHR0cHM6Ly9zc3JuLmNvbS9hYnN0cmFjdD0xNzYyMzYzRWxlY3Ryb25pY2NvcHlhdmFpbGFibGVhdDpodHRwOi8vc3Nybi5jb20vYWJzdHJhY3Q9MTc2MjM2MyIsImFic3RyYWN0IjoiT25lIG9mIHRoZSBtb3N0IGVuZHVyaW5nIGVtcGlyaWNhbCByZWd1bGFyaXRpZXMgaW4gZXF1aXR5IG1hcmtldHMgaXMgdGhlIGludmVyc2UgcmVsYXRpb25zaGlwIGJldHdlZW4gc3RvY2sgcHJpY2VzIGFuZCB2b2xhdGlsaXR5LCBmaXJzdCBkb2N1bWVudGVkIGJ5IEJsYWNrICgxOTc2KSB3aG8gYXR0cmlidXRlZCBpdCB0byB0aGUgZWZmZWN0cyBvZiBmaW5hbmNpYWwgbGV2ZXJhZ2UuIEFzIGEgY29tcGFueSdzIHN0b2NrIHByaWNlIGRlY2xpbmVzLCBpdCBiZWNvbWVzIG1vcmUgaGlnaGx5IGxldmVyYWdlZCBnaXZlbiBhIGZpeGVkIGxldmVsIG9mIGRlYnQgb3V0c3RhbmRpbmcsIGFuZCB0aGlzIGluY3JlYXNlIGluIGxldmVyYWdlIGluZHVjZXMgYSBoaWdoZXIgZXF1aXR5LXJldHVybiB2b2xhdGlsaXR5LiBJbiBhIHNhbXBsZSBvZiBhbGwtZXF1aXR5LWZpbmFuY2VkIGNvbXBhbmllcyBmcm9tIEphbnVhcnkgMTk3MiB0byBEZWNlbWJlciAyMDA4LCB3ZSBmaW5kIHRoYXQgdGhlIGxldmVyYWdlIGVmZmVjdCBpcyBqdXN0IGFzIHN0cm9uZyBpZiBub3Qgc3Ryb25nZXIsIGltcGx5aW5nIHRoYXQgdGhlIGludmVyc2UgcmVsYXRpb25zaGlwIGJldHdlZW4gcHJpY2UgYW5kIHZvbGF0aWxpdHkgaXMgbm90IGRyaXZlbiBieSBmaW5hbmNpYWwgbGV2ZXJhZ2UuIiwiY29udGFpbmVyLXRpdGxlLXNob3J0IjoiIn0sImlzVGVtcG9yYXJ5IjpmYWxzZX1dfQ==&quot;,&quot;citationItems&quot;:[{&quot;id&quot;:&quot;d400fffb-0b86-31b5-b850-12de82cb66f1&quot;,&quot;itemData&quot;:{&quot;type&quot;:&quot;report&quot;,&quot;id&quot;:&quot;d400fffb-0b86-31b5-b850-12de82cb66f1&quot;,&quot;title&quot;:&quot;Black's Leverage Effect Is Not Due To Leverage *&quot;,&quot;author&quot;:[{&quot;family&quot;:&quot;Hasanhodzic&quot;,&quot;given&quot;:&quot;Jasmina&quot;,&quot;parse-names&quot;:false,&quot;dropping-particle&quot;:&quot;&quot;,&quot;non-dropping-particle&quot;:&quot;&quot;},{&quot;family&quot;:&quot;Lo&quot;,&quot;given&quot;:&quot;Andrew W&quot;,&quot;parse-names&quot;:false,&quot;dropping-particle&quot;:&quot;&quot;,&quot;non-dropping-particle&quot;:&quot;&quot;}],&quot;URL&quot;:&quot;http://ssrn.com/abstract=1762363https://ssrn.com/abstract=1762363Electroniccopyavailableat:http://ssrn.com/abstract=1762363&quot;,&quot;abstract&quot;:&quot;One of the most enduring empirical regularities in equity markets is the inverse relationship between stock prices and volatility, first documented by Black (1976) who attributed it to the effects of financial leverage. As a company's stock price declines, it becomes more highly leveraged given a fixed level of debt outstanding, and this increase in leverage induces a higher equity-return volatility. In a sample of all-equity-financed companies from January 1972 to December 2008, we find that the leverage effect is just as strong if not stronger, implying that the inverse relationship between price and volatility is not driven by financial leverage.&quot;,&quot;container-title-short&quot;:&quot;&quot;},&quot;isTemporary&quot;:false}]},{&quot;citationID&quot;:&quot;MENDELEY_CITATION_86e4eb48-4507-4aea-96f1-07da33f555d5&quot;,&quot;properties&quot;:{&quot;noteIndex&quot;:0},&quot;isEdited&quot;:false,&quot;manualOverride&quot;:{&quot;isManuallyOverridden&quot;:false,&quot;citeprocText&quot;:&quot;(Tauchen et al., 1995)&quot;,&quot;manualOverrideText&quot;:&quot;&quot;},&quot;citationTag&quot;:&quot;MENDELEY_CITATION_v3_eyJjaXRhdGlvbklEIjoiTUVOREVMRVlfQ0lUQVRJT05fODZlNGViNDgtNDUwNy00YWVhLTk2ZjEtMDdkYTMzZjU1NWQ1IiwicHJvcGVydGllcyI6eyJub3RlSW5kZXgiOjB9LCJpc0VkaXRlZCI6ZmFsc2UsIm1hbnVhbE92ZXJyaWRlIjp7ImlzTWFudWFsbHlPdmVycmlkZGVuIjpmYWxzZSwiY2l0ZXByb2NUZXh0IjoiKFRhdWNoZW4gZXQgYWwuLCAxOTk1KSIsIm1hbnVhbE92ZXJyaWRlVGV4dCI6IiJ9LCJjaXRhdGlvbkl0ZW1zIjpbeyJpZCI6ImI2ZWJkMDUyLWRkM2YtM2Q3MC04ZWE2LTBjM2YyZmI4YmU1ZiIsIml0ZW1EYXRhIjp7InR5cGUiOiJhcnRpY2xlLWpvdXJuYWwiLCJpZCI6ImI2ZWJkMDUyLWRkM2YtM2Q3MC04ZWE2LTBjM2YyZmI4YmU1ZiIsInRpdGxlIjoiRGFuaWVsIEIuIE5lbHNvbiwgMTk1OeKAkzE5OTUiLCJhdXRob3IiOlt7ImZhbWlseSI6IlRhdWNoZW4iLCJnaXZlbiI6Ikdlb3JnZSIsInBhcnNlLW5hbWVzIjpmYWxzZSwiZHJvcHBpbmctcGFydGljbGUiOiIiLCJub24tZHJvcHBpbmctcGFydGljbGUiOiIifSx7ImZhbWlseSI6IlRzYXkiLCJnaXZlbiI6IlJ1ZXkiLCJwYXJzZS1uYW1lcyI6ZmFsc2UsImRyb3BwaW5nLXBhcnRpY2xlIjoiIiwibm9uLWRyb3BwaW5nLXBhcnRpY2xlIjoiIn0seyJmYW1pbHkiOiJXYXRzb24iLCJnaXZlbiI6Ik1hcmsiLCJwYXJzZS1uYW1lcyI6ZmFsc2UsImRyb3BwaW5nLXBhcnRpY2xlIjoiIiwibm9uLWRyb3BwaW5nLXBhcnRpY2xlIjoiIn1dLCJjb250YWluZXItdGl0bGUiOiJKb3VybmFsIG9mIEJ1c2luZXNzICYgRWNvbm9taWMgU3RhdGlzdGljcyIsIkRPSSI6IjEwLjEwODAvMDczNTAwMTUuMTk5NS4xMDUyNDYxMCIsIklTU04iOiIwNzM1LTAwMTUiLCJpc3N1ZWQiOnsiZGF0ZS1wYXJ0cyI6W1sxOTk1LDEwXV19LCJwYWdlIjoiMzYxLTM2MSIsInB1Ymxpc2hlciI6IkluZm9ybWEgVUsgTGltaXRlZCIsImlzc3VlIjoiNCIsInZvbHVtZSI6IjEzIiwiY29udGFpbmVyLXRpdGxlLXNob3J0IjoiIn0sImlzVGVtcG9yYXJ5IjpmYWxzZX1dfQ==&quot;,&quot;citationItems&quot;:[{&quot;id&quot;:&quot;b6ebd052-dd3f-3d70-8ea6-0c3f2fb8be5f&quot;,&quot;itemData&quot;:{&quot;type&quot;:&quot;article-journal&quot;,&quot;id&quot;:&quot;b6ebd052-dd3f-3d70-8ea6-0c3f2fb8be5f&quot;,&quot;title&quot;:&quot;Daniel B. Nelson, 1959–1995&quot;,&quot;author&quot;:[{&quot;family&quot;:&quot;Tauchen&quot;,&quot;given&quot;:&quot;George&quot;,&quot;parse-names&quot;:false,&quot;dropping-particle&quot;:&quot;&quot;,&quot;non-dropping-particle&quot;:&quot;&quot;},{&quot;family&quot;:&quot;Tsay&quot;,&quot;given&quot;:&quot;Ruey&quot;,&quot;parse-names&quot;:false,&quot;dropping-particle&quot;:&quot;&quot;,&quot;non-dropping-particle&quot;:&quot;&quot;},{&quot;family&quot;:&quot;Watson&quot;,&quot;given&quot;:&quot;Mark&quot;,&quot;parse-names&quot;:false,&quot;dropping-particle&quot;:&quot;&quot;,&quot;non-dropping-particle&quot;:&quot;&quot;}],&quot;container-title&quot;:&quot;Journal of Business &amp; Economic Statistics&quot;,&quot;DOI&quot;:&quot;10.1080/07350015.1995.10524610&quot;,&quot;ISSN&quot;:&quot;0735-0015&quot;,&quot;issued&quot;:{&quot;date-parts&quot;:[[1995,10]]},&quot;page&quot;:&quot;361-361&quot;,&quot;publisher&quot;:&quot;Informa UK Limited&quot;,&quot;issue&quot;:&quot;4&quot;,&quot;volume&quot;:&quot;13&quot;,&quot;container-title-short&quot;:&quot;&quot;},&quot;isTemporary&quot;:false}]},{&quot;citationID&quot;:&quot;MENDELEY_CITATION_7f159541-35c3-4238-bea8-b97209a6cdb8&quot;,&quot;properties&quot;:{&quot;noteIndex&quot;:0},&quot;isEdited&quot;:false,&quot;manualOverride&quot;:{&quot;isManuallyOverridden&quot;:false,&quot;citeprocText&quot;:&quot;(GLOSTEN et al., 1993)&quot;,&quot;manualOverrideText&quot;:&quot;&quot;},&quot;citationTag&quot;:&quot;MENDELEY_CITATION_v3_eyJjaXRhdGlvbklEIjoiTUVOREVMRVlfQ0lUQVRJT05fN2YxNTk1NDEtMzVjMy00MjM4LWJlYTgtYjk3MjA5YTZjZGI4IiwicHJvcGVydGllcyI6eyJub3RlSW5kZXgiOjB9LCJpc0VkaXRlZCI6ZmFsc2UsIm1hbnVhbE92ZXJyaWRlIjp7ImlzTWFudWFsbHlPdmVycmlkZGVuIjpmYWxzZSwiY2l0ZXByb2NUZXh0IjoiKEdMT1NURU4gZXQgYWwuLCAxOTkzKSIsIm1hbnVhbE92ZXJyaWRlVGV4dCI6IiJ9LCJjaXRhdGlvbkl0ZW1zIjpbeyJpZCI6IjVmODBjZGU3LTcwNTEtMzE4YS1hMzkwLTE1NTIyZDBiZGJkZSIsIml0ZW1EYXRhIjp7InR5cGUiOiJhcnRpY2xlLWpvdXJuYWwiLCJpZCI6IjVmODBjZGU3LTcwNTEtMzE4YS1hMzkwLTE1NTIyZDBiZGJkZSIsInRpdGxlIjoiT24gdGhlIFJlbGF0aW9uIGJldHdlZW4gdGhlIEV4cGVjdGVkIFZhbHVlIGFuZCB0aGUgVm9sYXRpbGl0eSBvZiB0aGUgTm9taW5hbCBFeGNlc3MgUmV0dXJuIG9uIFN0b2NrcyIsImF1dGhvciI6W3siZmFtaWx5IjoiR0xPU1RFTiIsImdpdmVuIjoiTEFXUkVOQ0UgUi4iLCJwYXJzZS1uYW1lcyI6ZmFsc2UsImRyb3BwaW5nLXBhcnRpY2xlIjoiIiwibm9uLWRyb3BwaW5nLXBhcnRpY2xlIjoiIn0seyJmYW1pbHkiOiJKQUdBTk5BVEhBTiIsImdpdmVuIjoiUkFWSSIsInBhcnNlLW5hbWVzIjpmYWxzZSwiZHJvcHBpbmctcGFydGljbGUiOiIiLCJub24tZHJvcHBpbmctcGFydGljbGUiOiIifSx7ImZhbWlseSI6IlJVTktMRSIsImdpdmVuIjoiREFWSUQgRS4iLCJwYXJzZS1uYW1lcyI6ZmFsc2UsImRyb3BwaW5nLXBhcnRpY2xlIjoiIiwibm9uLWRyb3BwaW5nLXBhcnRpY2xlIjoiIn1dLCJjb250YWluZXItdGl0bGUiOiJUaGUgSm91cm5hbCBvZiBGaW5hbmNlIiwiY29udGFpbmVyLXRpdGxlLXNob3J0IjoiSi4gRmluYW5jZSIsIkRPSSI6IjEwLjExMTEvai4xNTQwLTYyNjEuMTk5My50YjA1MTI4LngiLCJJU1NOIjoiMTU0MDYyNjEiLCJpc3N1ZWQiOnsiZGF0ZS1wYXJ0cyI6W1sxOTkzXV19LCJwYWdlIjoiMTc3OS0xODAxIiwiYWJzdHJhY3QiOiJXZSBmaW5kIHN1cHBvcnQgZm9yIGEgbmVnYXRpdmUgcmVsYXRpb24gYmV0d2VlbiBjb25kaXRpb25hbCBleHBlY3RlZCBtb250aGx5IHJldHVybiBhbmQgY29uZGl0aW9uYWwgdmFyaWFuY2Ugb2YgbW9udGhseSByZXR1cm4sIHVzaW5nIGEgR0FSQ0jigJBNIG1vZGVsIG1vZGlmaWVkIGJ5IGFsbG93aW5nICgxKSBzZWFzb25hbCBwYXR0ZXJucyBpbiB2b2xhdGlsaXR5LCAoMikgcG9zaXRpdmUgYW5kIG5lZ2F0aXZlIGlubm92YXRpb25zIHRvIHJldHVybnMgaGF2aW5nIGRpZmZlcmVudCBpbXBhY3RzIG9uIGNvbmRpdGlvbmFsIHZvbGF0aWxpdHksIGFuZCAoMykgbm9taW5hbCBpbnRlcmVzdCByYXRlcyB0byBwcmVkaWN0IGNvbmRpdGlvbmFsIHZhcmlhbmNlLiBVc2luZyB0aGUgbW9kaWZpZWQgR0FSQ0jigJBNIG1vZGVsLCB3ZSBhbHNvIHNob3cgdGhhdCBtb250aGx5IGNvbmRpdGlvbmFsIHZvbGF0aWxpdHkgbWF5IG5vdCBiZSBhcyBwZXJzaXN0ZW50IGFzIHdhcyB0aG91Z2h0LiBQb3NpdGl2ZSB1bmFudGljaXBhdGVkIHJldHVybnMgYXBwZWFyIHRvIHJlc3VsdCBpbiBhIGRvd253YXJkIHJldmlzaW9uIG9mIHRoZSBjb25kaXRpb25hbCB2b2xhdGlsaXR5IHdoZXJlYXMgbmVnYXRpdmUgdW5hbnRpY2lwYXRlZCByZXR1cm5zIHJlc3VsdCBpbiBhbiB1cHdhcmQgcmV2aXNpb24gb2YgY29uZGl0aW9uYWwgdm9sYXRpbGl0eS4gMTk5MyBUaGUgQW1lcmljYW4gRmluYW5jZSBBc3NvY2lhdGlvbiIsImlzc3VlIjoiNSIsInZvbHVtZSI6IjQ4In0sImlzVGVtcG9yYXJ5IjpmYWxzZX1dfQ==&quot;,&quot;citationItems&quot;:[{&quot;id&quot;:&quot;5f80cde7-7051-318a-a390-15522d0bdbde&quot;,&quot;itemData&quot;:{&quot;type&quot;:&quot;article-journal&quot;,&quot;id&quot;:&quot;5f80cde7-7051-318a-a390-15522d0bdbde&quot;,&quot;title&quot;:&quot;On the Relation between the Expected Value and the Volatility of the Nominal Excess Return on Stocks&quot;,&quot;author&quot;:[{&quot;family&quot;:&quot;GLOSTEN&quot;,&quot;given&quot;:&quot;LAWRENCE R.&quot;,&quot;parse-names&quot;:false,&quot;dropping-particle&quot;:&quot;&quot;,&quot;non-dropping-particle&quot;:&quot;&quot;},{&quot;family&quot;:&quot;JAGANNATHAN&quot;,&quot;given&quot;:&quot;RAVI&quot;,&quot;parse-names&quot;:false,&quot;dropping-particle&quot;:&quot;&quot;,&quot;non-dropping-particle&quot;:&quot;&quot;},{&quot;family&quot;:&quot;RUNKLE&quot;,&quot;given&quot;:&quot;DAVID E.&quot;,&quot;parse-names&quot;:false,&quot;dropping-particle&quot;:&quot;&quot;,&quot;non-dropping-particle&quot;:&quot;&quot;}],&quot;container-title&quot;:&quot;The Journal of Finance&quot;,&quot;container-title-short&quot;:&quot;J. Finance&quot;,&quot;DOI&quot;:&quot;10.1111/j.1540-6261.1993.tb05128.x&quot;,&quot;ISSN&quot;:&quot;15406261&quot;,&quot;issued&quot;:{&quot;date-parts&quot;:[[1993]]},&quot;page&quot;:&quot;1779-1801&quot;,&quot;abstract&quot;:&quot;We find support for a negative relation between conditional expected monthly return and conditional variance of monthly return, using a GARCH‐M model modified by allowing (1) seasonal patterns in volatility, (2) positive and negative innovations to returns having different impacts on conditional volatility, and (3) nominal interest rates to predict conditional variance. Using the modified GARCH‐M model, we also show that monthly conditional volatility may not be as persistent as was thought. Positive unanticipated returns appear to result in a downward revision of the conditional volatility whereas negative unanticipated returns result in an upward revision of conditional volatility. 1993 The American Finance Association&quot;,&quot;issue&quot;:&quot;5&quot;,&quot;volume&quot;:&quot;48&quot;},&quot;isTemporary&quot;:false}]},{&quot;citationID&quot;:&quot;MENDELEY_CITATION_3949c105-bdab-4894-ac50-ec6505eb3b6c&quot;,&quot;properties&quot;:{&quot;noteIndex&quot;:0},&quot;isEdited&quot;:false,&quot;manualOverride&quot;:{&quot;isManuallyOverridden&quot;:false,&quot;citeprocText&quot;:&quot;(Ding et al., 1993)&quot;,&quot;manualOverrideText&quot;:&quot;&quot;},&quot;citationTag&quot;:&quot;MENDELEY_CITATION_v3_eyJjaXRhdGlvbklEIjoiTUVOREVMRVlfQ0lUQVRJT05fMzk0OWMxMDUtYmRhYi00ODk0LWFjNTAtZWM2NTA1ZWIzYjZjIiwicHJvcGVydGllcyI6eyJub3RlSW5kZXgiOjB9LCJpc0VkaXRlZCI6ZmFsc2UsIm1hbnVhbE92ZXJyaWRlIjp7ImlzTWFudWFsbHlPdmVycmlkZGVuIjpmYWxzZSwiY2l0ZXByb2NUZXh0IjoiKERpbmcgZXQgYWwuLCAxOTkzKSIsIm1hbnVhbE92ZXJyaWRlVGV4dCI6IiJ9LCJjaXRhdGlvbkl0ZW1zIjpbeyJpZCI6ImRlZTAzZmZkLTc5ZTMtM2RhMS1iNWEwLTI4MDgwYjc0ZWJmNSIsIml0ZW1EYXRhIjp7InR5cGUiOiJyZXBvcnQiLCJpZCI6ImRlZTAzZmZkLTc5ZTMtM2RhMS1iNWEwLTI4MDgwYjc0ZWJmNSIsInRpdGxlIjoiQSBsb25nIG1lbW9yeSBwcm9wZXJ0eSBvZiBzdG9jayBtYXJrZXQgcmV0dXJucyBhbmQgYSBuZXcgbW9kZWwqIiwiYXV0aG9yIjpbeyJmYW1pbHkiOiJEaW5nIiwiZ2l2ZW4iOiJaaHVhbnhpbiIsInBhcnNlLW5hbWVzIjpmYWxzZSwiZHJvcHBpbmctcGFydGljbGUiOiIiLCJub24tZHJvcHBpbmctcGFydGljbGUiOiIifSx7ImZhbWlseSI6IkdyYW5nZXIiLCJnaXZlbiI6IkNsaXZlIFcgSiIsInBhcnNlLW5hbWVzIjpmYWxzZSwiZHJvcHBpbmctcGFydGljbGUiOiIiLCJub24tZHJvcHBpbmctcGFydGljbGUiOiIifSx7ImZhbWlseSI6IkVuZ2xlIiwiZ2l2ZW4iOiJSb2JlcnQgRiIsInBhcnNlLW5hbWVzIjpmYWxzZSwiZHJvcHBpbmctcGFydGljbGUiOiIiLCJub24tZHJvcHBpbmctcGFydGljbGUiOiIifV0sImNvbnRhaW5lci10aXRsZSI6IkpvdXJuYWwgb2YgRW1waXJpY2FsIEZpbmFuY2UiLCJjb250YWluZXItdGl0bGUtc2hvcnQiOiJKLiBFbXBpci4gRmluYW5jZSIsImlzc3VlZCI6eyJkYXRlLXBhcnRzIjpbWzE5OTNdXX0sIm51bWJlci1vZi1wYWdlcyI6IjgzLTEwNiIsImFic3RyYWN0IjoiQSAnbG9uZyBtZW1vcnknIHByb3BlcnR5IG9mIHN0b2NrIG1hcmtldCByZXR1cm5zIGlzIGludmVzdGlnYXRlZCBpbiB0aGlzIHBhcGVyLiBJdCBpcyBmb3VuZCB0aGF0IG5vdCBvbmx5IHRoZXJlIGlzIHN1YnN0YW50aWFsbHkgbW9yZSBjb3JyZWxhdGlvbiBiZXR3ZWVuIGFic29sdXRlIHJldHVybnMgdGhhbiByZXR1cm5zIHRoZW1zZWx2ZXMgLCBidXQgdGhlIHBvd2VyIHRyYW5zZm9ybWF0aW9uIG9mIHRoZSBhYnNvbHV0ZSByZXR1cm4gbHJmbFwiIGFsc28gaGFzIHF1aXRlIGhpZ2ggYXV0b2NvcnJlbC1hdGlvbiBmb3IgbG9uZyBsYWdzLiBJdCBpcyBwb3NzaWJsZSB0byBjaGFyYWN0ZXJpemUgbHJmbGQgdG8gYmUgJ2xvbmcgbWVtb3J5JyBhbmQgdGhpcyBwcm9wZXJ0eSBpcyBzdHJvbmdlc3Qgd2hlbiBkIGlzIGFyb3VuZCAxLiBUaGlzIHJlc3VsdCBhcHBlYXJzIHRvIGFyZ3VlIGFnYWluc3QgQVJDSCB0eXBlIHNwZWNpZmljYXRpb25zIGJhc2VkIHVwb24gc3F1YXJlZCByZXR1cm5zLiBCdXQgb3VyIE1vbnRlLUNhcmxvIHN0dWR5IHNob3dzIHRoYXQgYm90aCBBUkNIIHR5cGUgbW9kZWxzIGJhc2VkIG9uIHNxdWFyZWQgcmV0dXJucyBhbmQgdGhvc2UgYmFzZWQgb24gYWJzb2x1dGUgcmV0dXJuIGNhbiBwcm9kdWNlIHRoaXMgcHJvcGVydHkuIEEgbmV3IGdlbmVyYWwgY2xhc3Mgb2YgbW9kZWxzIGlzIHByb3Bvc2VkIHdoaWNoIGFsbG93cyB0aGUgcG93ZXIgNiBvZiB0aGUgaGV0ZXJvc2tlZGFzdGljaXR5IGVxdWF0aW9uIHRvIGJlIGVzdGltYXRlZCBmcm9tIHRoZSBkYXRhLiIsInZvbHVtZSI6IjEifSwiaXNUZW1wb3JhcnkiOmZhbHNlfV19&quot;,&quot;citationItems&quot;:[{&quot;id&quot;:&quot;dee03ffd-79e3-3da1-b5a0-28080b74ebf5&quot;,&quot;itemData&quot;:{&quot;type&quot;:&quot;report&quot;,&quot;id&quot;:&quot;dee03ffd-79e3-3da1-b5a0-28080b74ebf5&quot;,&quot;title&quot;:&quot;A long memory property of stock market returns and a new model*&quot;,&quot;author&quot;:[{&quot;family&quot;:&quot;Ding&quot;,&quot;given&quot;:&quot;Zhuanxin&quot;,&quot;parse-names&quot;:false,&quot;dropping-particle&quot;:&quot;&quot;,&quot;non-dropping-particle&quot;:&quot;&quot;},{&quot;family&quot;:&quot;Granger&quot;,&quot;given&quot;:&quot;Clive W J&quot;,&quot;parse-names&quot;:false,&quot;dropping-particle&quot;:&quot;&quot;,&quot;non-dropping-particle&quot;:&quot;&quot;},{&quot;family&quot;:&quot;Engle&quot;,&quot;given&quot;:&quot;Robert F&quot;,&quot;parse-names&quot;:false,&quot;dropping-particle&quot;:&quot;&quot;,&quot;non-dropping-particle&quot;:&quot;&quot;}],&quot;container-title&quot;:&quot;Journal of Empirical Finance&quot;,&quot;container-title-short&quot;:&quot;J. Empir. Finance&quot;,&quot;issued&quot;:{&quot;date-parts&quot;:[[1993]]},&quot;number-of-pages&quot;:&quot;83-106&quot;,&quot;abstract&quot;:&quot;A 'long memory' property of stock market returns is investigated in this paper. It is found that not only there is substantially more correlation between absolute returns than returns themselves , but the power transformation of the absolute return lrfl\&quot; also has quite high autocorrel-ation for long lags. It is possible to characterize lrfld to be 'long memory' and this property is strongest when d is around 1. This result appears to argue against ARCH type specifications based upon squared returns. But our Monte-Carlo study shows that both ARCH type models based on squared returns and those based on absolute return can produce this property. A new general class of models is proposed which allows the power 6 of the heteroskedasticity equation to be estimated from the data.&quot;,&quot;volume&quot;:&quot;1&quot;},&quot;isTemporary&quot;:false}]},{&quot;citationID&quot;:&quot;MENDELEY_CITATION_9782e3c5-2cd1-4a2b-9bbc-ed91bc9a82e0&quot;,&quot;properties&quot;:{&quot;noteIndex&quot;:0},&quot;isEdited&quot;:false,&quot;manualOverride&quot;:{&quot;isManuallyOverridden&quot;:false,&quot;citeprocText&quot;:&quot;(Hamilton*-A &amp;#38; Susmelb, n.d.)&quot;,&quot;manualOverrideText&quot;:&quot;&quot;},&quot;citationTag&quot;:&quot;MENDELEY_CITATION_v3_eyJjaXRhdGlvbklEIjoiTUVOREVMRVlfQ0lUQVRJT05fOTc4MmUzYzUtMmNkMS00YTJiLTliYmMtZWQ5MWJjOWE4MmUwIiwicHJvcGVydGllcyI6eyJub3RlSW5kZXgiOjB9LCJpc0VkaXRlZCI6ZmFsc2UsIm1hbnVhbE92ZXJyaWRlIjp7ImlzTWFudWFsbHlPdmVycmlkZGVuIjpmYWxzZSwiY2l0ZXByb2NUZXh0IjoiKEhhbWlsdG9uKi1BICYjMzg7IFN1c21lbGIsIG4uZC4pIiwibWFudWFsT3ZlcnJpZGVUZXh0IjoiIn0sImNpdGF0aW9uSXRlbXMiOlt7ImlkIjoiNmUxM2RhNDktMGRhMS0zMTM1LWE2ZDgtMDNlZmIzNjIzOTFiIiwiaXRlbURhdGEiOnsidHlwZSI6InJlcG9ydCIsImlkIjoiNmUxM2RhNDktMGRhMS0zMTM1LWE2ZDgtMDNlZmIzNjIzOTFiIiwidGl0bGUiOiJBdXRvcmVncmVzc2l2ZSBjb25kaXRpb25hbCBoZXRlcm9za2VkYXN0aWNpdHkgYW5kIGNoYW5nZXMgaW4gcmVnaW1lIiwiYXV0aG9yIjpbeyJmYW1pbHkiOiJIYW1pbHRvbiotQSIsImdpdmVuIjoiSmFtZXMgRCIsInBhcnNlLW5hbWVzIjpmYWxzZSwiZHJvcHBpbmctcGFydGljbGUiOiIiLCJub24tZHJvcHBpbmctcGFydGljbGUiOiIifSx7ImZhbWlseSI6IlN1c21lbGIiLCJnaXZlbiI6IlJhdWwiLCJwYXJzZS1uYW1lcyI6ZmFsc2UsImRyb3BwaW5nLXBhcnRpY2xlIjoiIiwibm9uLWRyb3BwaW5nLXBhcnRpY2xlIjoiIn1dLCJhYnN0cmFjdCI6IkFSQ0ggbW9kZWxzIG9mdGVuIGltcHV0ZSBhIGxvdCBvZiBwZXJzaXN0ZW5jZSB0byBzdG9jayB2b2xhdGlsaXR5IGFuZCB5ZXQgZ2l2ZSByZWxhdGl2ZWx5IHBvb3IgZm9yZWNhc3RzLiBPbmUgZXhwbGFuYXRpb24gaXMgdGhhdCBleHRyZW1lbHkgbGFyZ2Ugc2hvY2tzLCBzdWNoIGFzIHRoZSBPY3RvYmVyIDE5ODcgY3Jhc2guIGFyaXNlIGZyb20gcXVpdGUgZGlmZmVyZW50IGNhdXNlcyBhbmQgaGF2ZSBkaWZmZXJlbnQgY29uc2VxdWVuY2VzIGZvciBzdWJzZXF1ZW50IHZvbGF0aWxpdHkgdGhhbiBkbyBzbWFsbCBzaG9ja3MuIFdlIGV4cGxvcmUgdGhpcyBwb3NzaWJpbGl0eSB3aXRoIFUuUy4gd2Vla2x5IHN0b2NrIHJldHVybnMsIGFsbG93aW5nIHRoZSBwYXJhbWV0ZXJzIG9mIGFuIEFSQ0ggcHJvY2VzcyB0byBjb21lIGZyb20gb25lIG9mIHNldmVyYWwgZGlmZmVyZW50IHJlZ2ltZXMsIHdpdGggdHJhbnNpdGlvbnMgYmV0d2VlbiByZWdpbWVzIGdvdmVybmVkIGJ5IGFuIHVub2JzZXJ2ZWQgTWFya292IGNoYWluLiBXZSBlc3RpbWF0ZSBtb2RlbHMgd2l0aCB0d28gdG8gZm91ciByZWdpbWVzIGluIHdoaWNoIHRoZSBsYXRlbnQgaW5ub3ZhdGlvbnMgY29tZSBmcm9tIEdhdXNzaWFuIGFuZCBTdHVkZW50IGYgZGlzdHJpYnV0aW9ucy4iLCJjb250YWluZXItdGl0bGUtc2hvcnQiOiIifSwiaXNUZW1wb3JhcnkiOmZhbHNlfV19&quot;,&quot;citationItems&quot;:[{&quot;id&quot;:&quot;6e13da49-0da1-3135-a6d8-03efb362391b&quot;,&quot;itemData&quot;:{&quot;type&quot;:&quot;report&quot;,&quot;id&quot;:&quot;6e13da49-0da1-3135-a6d8-03efb362391b&quot;,&quot;title&quot;:&quot;Autoregressive conditional heteroskedasticity and changes in regime&quot;,&quot;author&quot;:[{&quot;family&quot;:&quot;Hamilton*-A&quot;,&quot;given&quot;:&quot;James D&quot;,&quot;parse-names&quot;:false,&quot;dropping-particle&quot;:&quot;&quot;,&quot;non-dropping-particle&quot;:&quot;&quot;},{&quot;family&quot;:&quot;Susmelb&quot;,&quot;given&quot;:&quot;Raul&quot;,&quot;parse-names&quot;:false,&quot;dropping-particle&quot;:&quot;&quot;,&quot;non-dropping-particle&quot;:&quot;&quot;}],&quot;abstract&quot;:&quot;ARCH models often impute a lot of persistence to stock volatility and yet give relatively poor forecasts. One explanation is that extremely large shocks, such as the October 1987 crash. arise from quite different causes and have different consequences for subsequent volatility than do small shocks. We explore this possibility with U.S. weekly stock returns, allowing the parameters of an ARCH process to come from one of several different regimes, with transitions between regimes governed by an unobserved Markov chain. We estimate models with two to four regimes in which the latent innovations come from Gaussian and Student f distributions.&quot;,&quot;container-title-short&quot;:&quot;&quot;},&quot;isTemporary&quot;:false}]},{&quot;citationID&quot;:&quot;MENDELEY_CITATION_f9f4bdba-8fbf-4f1d-95fe-b5f12bf69c22&quot;,&quot;properties&quot;:{&quot;noteIndex&quot;:0},&quot;isEdited&quot;:false,&quot;manualOverride&quot;:{&quot;isManuallyOverridden&quot;:false,&quot;citeprocText&quot;:&quot;(Hammoudeh &amp;#38; Li, 2008)&quot;,&quot;manualOverrideText&quot;:&quot;&quot;},&quot;citationTag&quot;:&quot;MENDELEY_CITATION_v3_eyJjaXRhdGlvbklEIjoiTUVOREVMRVlfQ0lUQVRJT05fZjlmNGJkYmEtOGZiZi00ZjFkLTk1ZmUtYjVmMTJiZjY5YzIyIiwicHJvcGVydGllcyI6eyJub3RlSW5kZXgiOjB9LCJpc0VkaXRlZCI6ZmFsc2UsIm1hbnVhbE92ZXJyaWRlIjp7ImlzTWFudWFsbHlPdmVycmlkZGVuIjpmYWxzZSwiY2l0ZXByb2NUZXh0IjoiKEhhbW1vdWRlaCAmIzM4OyBMaSwgMjAwOCkiLCJtYW51YWxPdmVycmlkZVRleHQiOiIifSwiY2l0YXRpb25JdGVtcyI6W3siaWQiOiI2MTAxOGY4Zi1kMWE3LTNhZTEtYjc3NS04ZmNkOGFkMGNjNTMiLCJpdGVtRGF0YSI6eyJ0eXBlIjoiYXJ0aWNsZS1qb3VybmFsIiwiaWQiOiI2MTAxOGY4Zi1kMWE3LTNhZTEtYjc3NS04ZmNkOGFkMGNjNTMiLCJ0aXRsZSI6IlN1ZGRlbiBjaGFuZ2VzIGluIHZvbGF0aWxpdHkgaW4gZW1lcmdpbmcgbWFya2V0czogVGhlIGNhc2Ugb2YgR3VsZiBBcmFiIHN0b2NrIG1hcmtldHMiLCJhdXRob3IiOlt7ImZhbWlseSI6IkhhbW1vdWRlaCIsImdpdmVuIjoiU2hhd2thdCIsInBhcnNlLW5hbWVzIjpmYWxzZSwiZHJvcHBpbmctcGFydGljbGUiOiIiLCJub24tZHJvcHBpbmctcGFydGljbGUiOiIifSx7ImZhbWlseSI6IkxpIiwiZ2l2ZW4iOiJIdWltaW4iLCJwYXJzZS1uYW1lcyI6ZmFsc2UsImRyb3BwaW5nLXBhcnRpY2xlIjoiIiwibm9uLWRyb3BwaW5nLXBhcnRpY2xlIjoiIn1dLCJjb250YWluZXItdGl0bGUiOiJJbnRlcm5hdGlvbmFsIFJldmlldyBvZiBGaW5hbmNpYWwgQW5hbHlzaXMiLCJET0kiOiIxMC4xMDE2L2ouaXJmYS4yMDA1LjAxLjAwMiIsIklTU04iOiIxMDU3NTIxOSIsImlzc3VlZCI6eyJkYXRlLXBhcnRzIjpbWzIwMDhdXX0sInBhZ2UiOiI0Ny02MyIsImFic3RyYWN0IjoiVGhpcyBhcnRpY2xlIGV4YW1pbmVzIHN1ZGRlbiBjaGFuZ2VzIGluIHZvbGF0aWxpdHkgZm9yIGZpdmUgR3VsZiBhcmVhIEFyYWIgc3RvY2sgbWFya2V0cyB1c2luZyB0aGUgaXRlcmF0ZWQgY3VtdWxhdGl2ZSBzdW1zIG9mIHNxdWFyZXMgKElDU1MpIGFsZ29yaXRobSBhbmQgYW5hbHl6ZXMgdGhlaXIgaW1wYWN0cyBvbiB0aGUgZXN0aW1hdGVkIHBlcnNpc3RlbmNlIG9mIHZvbGF0aWxpdHkuIFRoaXMgYWxnb3JpdGhtIGlkZW50aWZpZXMgbGFyZ2Ugc2hpZnRzIGluIHZvbGF0aWxpdHkgb2YgdGhlIHN0b2NrIG1hcmtldHMgZHVyaW5nIHRoZSB3ZWVrbHkgcGVyaW9kIDE5OTQgdG8gMjAwMS4gSW4gY29udHJhc3QgdG8gQWdnYXJ3YWwgZXQgYWwuIFtBZ2dhcndhbCwgUi4sIEluY2xhbiwgQy4sICYgTGVhbCwgUi4sIDE5OTksIFZvbGF0aWxpdHkgaW4gZW1lcmdpbmcgbWFya2V0cy4gSm91cm5hbCBvZiBGaW5hbmNpYWwgYW5kIFF1YW50aXRhdGl2ZSBBbmFseXNpcyAzNCwgMzMtNTVdLCB0aGlzIHBhcGVyIGZvdW5kIHRoYXQgbW9zdCBvZiB0aGUgR3VsZiBBcmFiIHN0b2NrIG1hcmtldHMgYXJlIG1vcmUgc2Vuc2l0aXZlIHRvIG1ham9yIGdsb2JhbCBldmVudHMgdGhhbiB0byBsb2NhbCBhbmQgcmVnaW9uYWwgZmFjdG9ycy4gVGhlIDE5OTcgQXNpYW4gY3Jpc2lzLCB0aGUgY29sbGFwc2Ugb2Ygb2lsIHByaWNlcyBpbiAxOTk4IGFmdGVyIHRoZSBjcmlzaXMsIHRoZSBhZG9wdGlvbiBvZiB0aGUgcHJpY2UgYmFuZCBtZWNoYW5pc20gYnkgT1BFQyBpbiAyMDAwLCBhbmQgdGhlIFNlcHRlbWJlciAxMXRoIGF0dGFjayBoYXZlIGJlZW4gZm91bmQgdG8gaGF2ZSBjb25zaXN0ZW50bHkgYWZmZWN0ZWQgdGhlIEd1bGYgbWFya2V0cy4gQWNjb3VudGluZyBmb3IgdGhlc2UgbGFyZ2Ugc2hpZnRzIGluIHZvbGF0aWxpdHkgaW4gdGhlIEdBUkNIKDEsMSkgbW9kZWxzIHNpZ25pZmljYW50bHkgcmVkdWNlcyB0aGUgZXN0aW1hdGVkIHBlcnNpc3RlbmNlIG9mIHRoZSB2b2xhdGlsaXR5IGluIHRoZSBHdWxmIHN0b2NrIG1hcmtldHMuIMKpIDIwMDYgRWxzZXZpZXIgSW5jLiBBbGwgcmlnaHRzIHJlc2VydmVkLiIsImlzc3VlIjoiMSIsInZvbHVtZSI6IjE3IiwiY29udGFpbmVyLXRpdGxlLXNob3J0IjoiIn0sImlzVGVtcG9yYXJ5IjpmYWxzZX1dfQ==&quot;,&quot;citationItems&quot;:[{&quot;id&quot;:&quot;61018f8f-d1a7-3ae1-b775-8fcd8ad0cc53&quot;,&quot;itemData&quot;:{&quot;type&quot;:&quot;article-journal&quot;,&quot;id&quot;:&quot;61018f8f-d1a7-3ae1-b775-8fcd8ad0cc53&quot;,&quot;title&quot;:&quot;Sudden changes in volatility in emerging markets: The case of Gulf Arab stock markets&quot;,&quot;author&quot;:[{&quot;family&quot;:&quot;Hammoudeh&quot;,&quot;given&quot;:&quot;Shawkat&quot;,&quot;parse-names&quot;:false,&quot;dropping-particle&quot;:&quot;&quot;,&quot;non-dropping-particle&quot;:&quot;&quot;},{&quot;family&quot;:&quot;Li&quot;,&quot;given&quot;:&quot;Huimin&quot;,&quot;parse-names&quot;:false,&quot;dropping-particle&quot;:&quot;&quot;,&quot;non-dropping-particle&quot;:&quot;&quot;}],&quot;container-title&quot;:&quot;International Review of Financial Analysis&quot;,&quot;DOI&quot;:&quot;10.1016/j.irfa.2005.01.002&quot;,&quot;ISSN&quot;:&quot;10575219&quot;,&quot;issued&quot;:{&quot;date-parts&quot;:[[2008]]},&quot;page&quot;:&quot;47-63&quot;,&quot;abstract&quot;:&quot;This article examines sudden changes in volatility for five Gulf area Arab stock markets using the iterated cumulative sums of squares (ICSS) algorithm and analyzes their impacts on the estimated persistence of volatility. This algorithm identifies large shifts in volatility of the stock markets during the weekly period 1994 to 2001. In contrast to Aggarwal et al. [Aggarwal, R., Inclan, C., &amp; Leal, R., 1999, Volatility in emerging markets. Journal of Financial and Quantitative Analysis 34, 33-55], this paper found that most of the Gulf Arab stock markets are more sensitive to major global events than to local and regional factors. The 1997 Asian crisis, the collapse of oil prices in 1998 after the crisis, the adoption of the price band mechanism by OPEC in 2000, and the September 11th attack have been found to have consistently affected the Gulf markets. Accounting for these large shifts in volatility in the GARCH(1,1) models significantly reduces the estimated persistence of the volatility in the Gulf stock markets. © 2006 Elsevier Inc. All rights reserved.&quot;,&quot;issue&quot;:&quot;1&quot;,&quot;volume&quot;:&quot;17&quot;,&quot;container-title-short&quot;:&quot;&quot;},&quot;isTemporary&quot;:false}]},{&quot;citationID&quot;:&quot;MENDELEY_CITATION_6fcb4f31-fc45-417b-975c-d2f0943dda4d&quot;,&quot;properties&quot;:{&quot;noteIndex&quot;:0},&quot;isEdited&quot;:false,&quot;manualOverride&quot;:{&quot;isManuallyOverridden&quot;:false,&quot;citeprocText&quot;:&quot;(Arouri et al., 2011)&quot;,&quot;manualOverrideText&quot;:&quot;&quot;},&quot;citationTag&quot;:&quot;MENDELEY_CITATION_v3_eyJjaXRhdGlvbklEIjoiTUVOREVMRVlfQ0lUQVRJT05fNmZjYjRmMzEtZmM0NS00MTdiLTk3NWMtZDJmMDk0M2RkYTRkIiwicHJvcGVydGllcyI6eyJub3RlSW5kZXgiOjB9LCJpc0VkaXRlZCI6ZmFsc2UsIm1hbnVhbE92ZXJyaWRlIjp7ImlzTWFudWFsbHlPdmVycmlkZGVuIjpmYWxzZSwiY2l0ZXByb2NUZXh0IjoiKEFyb3VyaSBldCBhbC4sIDIwMTEpIiwibWFudWFsT3ZlcnJpZGVUZXh0IjoiIn0sImNpdGF0aW9uSXRlbXMiOlt7ImlkIjoiMDI3NWYyMDMtYTUwZS0zOTE2LWIwOGUtNDRiODgxMTdiNzVlIiwiaXRlbURhdGEiOnsidHlwZSI6ImFydGljbGUtam91cm5hbCIsImlkIjoiMDI3NWYyMDMtYTUwZS0zOTE2LWIwOGUtNDRiODgxMTdiNzVlIiwidGl0bGUiOiJSZXR1cm4gYW5kIHZvbGF0aWxpdHkgdHJhbnNtaXNzaW9uIGJldHdlZW4gd29ybGQgb2lsIHByaWNlcyBhbmQgc3RvY2sgbWFya2V0cyBvZiB0aGUgR0NDIGNvdW50cmllcyIsImF1dGhvciI6W3siZmFtaWx5IjoiQXJvdXJpIiwiZ2l2ZW4iOiJNb2hhbWVkIEVsIEhlZGkiLCJwYXJzZS1uYW1lcyI6ZmFsc2UsImRyb3BwaW5nLXBhcnRpY2xlIjoiIiwibm9uLWRyb3BwaW5nLXBhcnRpY2xlIjoiIn0seyJmYW1pbHkiOiJMYWhpYW5pIiwiZ2l2ZW4iOiJBbWluZSIsInBhcnNlLW5hbWVzIjpmYWxzZSwiZHJvcHBpbmctcGFydGljbGUiOiIiLCJub24tZHJvcHBpbmctcGFydGljbGUiOiIifSx7ImZhbWlseSI6Ik5ndXllbiIsImdpdmVuIjoiRHVjIEtodW9uZyIsInBhcnNlLW5hbWVzIjpmYWxzZSwiZHJvcHBpbmctcGFydGljbGUiOiIiLCJub24tZHJvcHBpbmctcGFydGljbGUiOiIifV0sImNvbnRhaW5lci10aXRsZSI6IkVjb25vbWljIE1vZGVsbGluZyIsImNvbnRhaW5lci10aXRsZS1zaG9ydCI6IkVjb24uIE1vZGVsLiIsIkRPSSI6IjEwLjEwMTYvai5lY29ubW9kLjIwMTEuMDMuMDEyIiwiSVNTTiI6IjAyNjQ5OTkzIiwiaXNzdWVkIjp7ImRhdGUtcGFydHMiOltbMjAxMSw3XV19LCJwYWdlIjoiMTgxNS0xODI1IiwiYWJzdHJhY3QiOiJUaGlzIHBhcGVyIGludmVzdGlnYXRlcyB0aGUgcmV0dXJuIGxpbmtzIGFuZCB2b2xhdGlsaXR5IHRyYW5zbWlzc2lvbiBiZXR3ZWVuIG9pbCBhbmQgc3RvY2sgbWFya2V0cyBpbiB0aGUgR3VsZiBDb29wZXJhdGlvbiBDb3VuY2lsIChHQ0MpIGNvdW50cmllcyBvdmVyIHRoZSBwZXJpb2QgMjAwNS0yMDEwLiBXZSBlbXBsb3kgYSByZWNlbnQgZ2VuZXJhbGl6ZWQgVkFSLUdBUkNIIGFwcHJvYWNoIHdoaWNoIGFsbG93cyBmb3IgdHJhbnNtaXNzaW9ucyBpbiByZXR1cm4gYW5kIHZvbGF0aWxpdHkuIEluIGFkZGl0aW9uLCB3ZSBhbmFseXplIHRoZSBvcHRpbWFsIHdlaWdodHMgYW5kIGhlZGdlIHJhdGlvcyBmb3Igb2lsLXN0b2NrIHBvcnRmb2xpbyBob2xkaW5ncy4gT24gdGhlIHdob2xlLCBvdXIgcmVzdWx0cyBwb2ludCB0byB0aGUgZXhpc3RlbmNlIG9mIHN1YnN0YW50aWFsIHJldHVybiBhbmQgdm9sYXRpbGl0eSBzcGlsbG92ZXJzIGJldHdlZW4gd29ybGQgb2lsIHByaWNlcyBhbmQgR0NDIHN0b2NrIG1hcmtldHMsIGFuZCBhcHBlYXIgdG8gYmUgY3J1Y2lhbCBmb3IgaW50ZXJuYXRpb25hbCBwb3J0Zm9saW8gbWFuYWdlbWVudCBpbiB0aGUgcHJlc2VuY2Ugb2Ygb2lsIHByaWNlIHJpc2suIMKpIDIwMTEgRWxzZXZpZXIgQi5WLiIsImlzc3VlIjoiNCIsInZvbHVtZSI6IjI4In0sImlzVGVtcG9yYXJ5IjpmYWxzZX1dfQ==&quot;,&quot;citationItems&quot;:[{&quot;id&quot;:&quot;0275f203-a50e-3916-b08e-44b88117b75e&quot;,&quot;itemData&quot;:{&quot;type&quot;:&quot;article-journal&quot;,&quot;id&quot;:&quot;0275f203-a50e-3916-b08e-44b88117b75e&quot;,&quot;title&quot;:&quot;Return and volatility transmission between world oil prices and stock markets of the GCC countries&quot;,&quot;author&quot;:[{&quot;family&quot;:&quot;Arouri&quot;,&quot;given&quot;:&quot;Mohamed El Hedi&quot;,&quot;parse-names&quot;:false,&quot;dropping-particle&quot;:&quot;&quot;,&quot;non-dropping-particle&quot;:&quot;&quot;},{&quot;family&quot;:&quot;Lahiani&quot;,&quot;given&quot;:&quot;Amine&quot;,&quot;parse-names&quot;:false,&quot;dropping-particle&quot;:&quot;&quot;,&quot;non-dropping-particle&quot;:&quot;&quot;},{&quot;family&quot;:&quot;Nguyen&quot;,&quot;given&quot;:&quot;Duc Khuong&quot;,&quot;parse-names&quot;:false,&quot;dropping-particle&quot;:&quot;&quot;,&quot;non-dropping-particle&quot;:&quot;&quot;}],&quot;container-title&quot;:&quot;Economic Modelling&quot;,&quot;container-title-short&quot;:&quot;Econ. Model.&quot;,&quot;DOI&quot;:&quot;10.1016/j.econmod.2011.03.012&quot;,&quot;ISSN&quot;:&quot;02649993&quot;,&quot;issued&quot;:{&quot;date-parts&quot;:[[2011,7]]},&quot;page&quot;:&quot;1815-1825&quot;,&quot;abstract&quot;:&quot;This paper investigates the return links and volatility transmission between oil and stock markets in the Gulf Cooperation Council (GCC) countries over the period 2005-2010. We employ a recent generalized VAR-GARCH approach which allows for transmissions in return and volatility. In addition, we analyze the optimal weights and hedge ratios for oil-stock portfolio holdings. On the whole, our results point to the existence of substantial return and volatility spillovers between world oil prices and GCC stock markets, and appear to be crucial for international portfolio management in the presence of oil price risk. © 2011 Elsevier B.V.&quot;,&quot;issue&quot;:&quot;4&quot;,&quot;volume&quot;:&quot;28&quot;},&quot;isTemporary&quot;:false}]},{&quot;citationID&quot;:&quot;MENDELEY_CITATION_1c64ea5a-fdbe-4a73-84a3-3376b2f62b29&quot;,&quot;properties&quot;:{&quot;noteIndex&quot;:0},&quot;isEdited&quot;:false,&quot;manualOverride&quot;:{&quot;isManuallyOverridden&quot;:false,&quot;citeprocText&quot;:&quot;(Bouri &amp;#38; Gupta, n.d.)&quot;,&quot;manualOverrideText&quot;:&quot;&quot;},&quot;citationTag&quot;:&quot;MENDELEY_CITATION_v3_eyJjaXRhdGlvbklEIjoiTUVOREVMRVlfQ0lUQVRJT05fMWM2NGVhNWEtZmRiZS00YTczLTg0YTMtMzM3NmIyZjYyYjI5IiwicHJvcGVydGllcyI6eyJub3RlSW5kZXgiOjB9LCJpc0VkaXRlZCI6ZmFsc2UsIm1hbnVhbE92ZXJyaWRlIjp7ImlzTWFudWFsbHlPdmVycmlkZGVuIjpmYWxzZSwiY2l0ZXByb2NUZXh0IjoiKEJvdXJpICYjMzg7IEd1cHRhLCBuLmQuKSIsIm1hbnVhbE92ZXJyaWRlVGV4dCI6IiJ9LCJjaXRhdGlvbkl0ZW1zIjpbeyJpZCI6IjliZjY4MDY1LWNkMzAtM2ZmMC1iYzAzLWRiM2ZlMGJjNWJjZiIsIml0ZW1EYXRhIjp7InR5cGUiOiJyZXBvcnQiLCJpZCI6IjliZjY4MDY1LWNkMzAtM2ZmMC1iYzAzLWRiM2ZlMGJjNWJjZiIsInRpdGxlIjoiUHJlZGljdGluZyBCaXRjb2luIFJldHVybnM6IENvbXBhcmluZyB0aGUgUm9sZXMgb2YgTmV3c3BhcGVyLWFuZCBJbnRlcm5ldCBTZWFyY2gtQmFzZWQgTWVhc3VyZXMgb2YgVW5jZXJ0YWludHkgIyIsImF1dGhvciI6W3siZmFtaWx5IjoiQm91cmkiLCJnaXZlbiI6IkVsaWUiLCJwYXJzZS1uYW1lcyI6ZmFsc2UsImRyb3BwaW5nLXBhcnRpY2xlIjoiIiwibm9uLWRyb3BwaW5nLXBhcnRpY2xlIjoiIn0seyJmYW1pbHkiOiJHdXB0YSIsImdpdmVuIjoiUmFuZ2FuIiwicGFyc2UtbmFtZXMiOmZhbHNlLCJkcm9wcGluZy1wYXJ0aWNsZSI6IiIsIm5vbi1kcm9wcGluZy1wYXJ0aWNsZSI6IiJ9XSwiVVJMIjoiaHR0cDovL3BvbGljeXVuY2VydGFpbnR5LmNvbS91c19tb250aGx5Lmh0bWwiLCJhYnN0cmFjdCI6IkhpZ2hsaWdodHMg4oCiU3R1ZHkgdGhlIHByZWRpY3RhYmlsaXR5IG9mIEJpdGNvaW4gcmV0dXJucyB1c2luZyBtZWFzdXJlcyBvZiBlY29ub21pYyB1bmNlcnRhaW50eS4g4oCiTmV3c3BhcGVyLWFuZCBpbnRlcm5ldCBzZWFyY2gtYmFzZWQgbWVhc3VyZXMgb2YgZWNvbm9taWMgdW5jZXJ0YWludHkgYXJlIHVzZWQuIOKAokJhc2VkIG9uIG1vbnRobHkgZGF0YSwgQml0Y29pbiBpcyBhIGhlZGdlIGFnYWluc3QgYm90aCBtZWFzdXJlcy4g4oCiUHJlZGljdGl2ZSBhYmlsaXR5IG9mIHRoZSBpbnRlcm5ldC1iYXNlZCBtZWFzdXJlIGlzIHN0YXRpc3RpY2FsbHkgc3Ryb25nZXIuIOKAolRoaXMgcmVzdWx0IGlzIGNvbmZpcm1lZCBieSB2YXJpb3VzIGFkZGl0aW9uYWwgYW5hbHlzZXMuIEFic3RyYWN0IFdlIGNvbXBhcmUgdGhlIGFiaWxpdHkgb2YgYSBuZXdzcGFwZXItYmFzZWQgbWVhc3VyZSBhbmQgYW4gaW50ZXJuZXQgc2VhcmNoLWJhc2VkIG1lYXN1cmUgb2YgdW5jZXJ0YWludHkgaW4gcHJlZGljdGluZyBCaXRjb2luIHJldHVybnMuIEJhc2VkIG9uIG1vbnRobHkgZGF0YSwgd2Ugc2hvdyB0aGF0IEJpdGNvaW4gaXMgYSBoZWRnZSBhZ2FpbnN0IGJvdGggbWVhc3VyZXMuIEhvd2V2ZXIsIHRoZSBwcmVkaWN0aXZlIGFiaWxpdHkgb2YgdGhlIGludGVybmV0LWJhc2VkIGVjb25vbWljIHVuY2VydGFpbnR5IHJlbGF0ZWQgcXVlcmllcyBpbmRleCBpcyBzdGF0aXN0aWNhbGx5IHN0cm9uZ2VyIHRoYW4gdGhlIG1lYXN1cmUgb2YgdW5jZXJ0YWludHkgZGVyaXZlZCBmcm9tIG5ld3NwYXBlcnMgaW4gcHJlZGljdGluZyBCaXRjb2luIHJldHVybnMsIHdoaWNoIGlzIHBvc3NpYmx5IGR1ZSB0byB0aGUgZmFjdCB0aGF0IHRoZSBmb3JtZXIgbWVhc3VyZSBvZiB1bmNlcnRhaW50eSBpcyBkaXJlY3RseSBvYnRhaW5lZCBieSB0aGUgaW5kaXZpZHVhbCBpbnZlc3RvcnMsIGJhc2VkIG9uIHRoZWlyIHNlYXJjaCBvZiB0aGUgaW50ZXJuZXQgZm9yIHRlcm1zIHJlbGF0ZWQgdG8gdW5jZXJ0YWludHkuIFRoaXMgcmVzdWx0IGlzIGNvbmZpcm1lZCBieSB2YXJpb3VzIGFkZGl0aW9uYWwgYW5hbHlzZXMuLiIsImNvbnRhaW5lci10aXRsZS1zaG9ydCI6IiJ9LCJpc1RlbXBvcmFyeSI6ZmFsc2V9XX0=&quot;,&quot;citationItems&quot;:[{&quot;id&quot;:&quot;9bf68065-cd30-3ff0-bc03-db3fe0bc5bcf&quot;,&quot;itemData&quot;:{&quot;type&quot;:&quot;report&quot;,&quot;id&quot;:&quot;9bf68065-cd30-3ff0-bc03-db3fe0bc5bcf&quot;,&quot;title&quot;:&quot;Predicting Bitcoin Returns: Comparing the Roles of Newspaper-and Internet Search-Based Measures of Uncertainty #&quot;,&quot;author&quot;:[{&quot;family&quot;:&quot;Bouri&quot;,&quot;given&quot;:&quot;Elie&quot;,&quot;parse-names&quot;:false,&quot;dropping-particle&quot;:&quot;&quot;,&quot;non-dropping-particle&quot;:&quot;&quot;},{&quot;family&quot;:&quot;Gupta&quot;,&quot;given&quot;:&quot;Rangan&quot;,&quot;parse-names&quot;:false,&quot;dropping-particle&quot;:&quot;&quot;,&quot;non-dropping-particle&quot;:&quot;&quot;}],&quot;URL&quot;:&quot;http://policyuncertainty.com/us_monthly.html&quot;,&quot;abstract&quot;:&quot;Highlights •Study the predictability of Bitcoin returns using measures of economic uncertainty. •Newspaper-and internet search-based measures of economic uncertainty are used. •Based on monthly data, Bitcoin is a hedge against both measures. •Predictive ability of the internet-based measure is statistically stronger. •This result is confirmed by various additional analyses. Abstract We compare the ability of a newspaper-based measure and an internet search-based measure of uncertainty in predicting Bitcoin returns. Based on monthly data, we show that Bitcoin is a hedge against both measures. However, the predictive ability of the internet-based economic uncertainty related queries index is statistically stronger than the measure of uncertainty derived from newspapers in predicting Bitcoin returns, which is possibly due to the fact that the former measure of uncertainty is directly obtained by the individual investors, based on their search of the internet for terms related to uncertainty. This result is confirmed by various additional analyses..&quot;,&quot;container-title-short&quot;:&quot;&quot;},&quot;isTemporary&quot;:false}]},{&quot;citationID&quot;:&quot;MENDELEY_CITATION_fdb358e5-506b-44b6-a4a3-ce95b8c2d4cd&quot;,&quot;properties&quot;:{&quot;noteIndex&quot;:0},&quot;isEdited&quot;:false,&quot;manualOverride&quot;:{&quot;isManuallyOverridden&quot;:false,&quot;citeprocText&quot;:&quot;(Al-Hajieh et al., 2011; Jouini, 2013)&quot;,&quot;manualOverrideText&quot;:&quot;&quot;},&quot;citationTag&quot;:&quot;MENDELEY_CITATION_v3_eyJjaXRhdGlvbklEIjoiTUVOREVMRVlfQ0lUQVRJT05fZmRiMzU4ZTUtNTA2Yi00NGI2LWE0YTMtY2U5NWI4YzJkNGNkIiwicHJvcGVydGllcyI6eyJub3RlSW5kZXgiOjB9LCJpc0VkaXRlZCI6ZmFsc2UsIm1hbnVhbE92ZXJyaWRlIjp7ImlzTWFudWFsbHlPdmVycmlkZGVuIjpmYWxzZSwiY2l0ZXByb2NUZXh0IjoiKEFsLUhhamllaCBldCBhbC4sIDIwMTE7IEpvdWluaSwgMjAxMykiLCJtYW51YWxPdmVycmlkZVRleHQiOiIifSwiY2l0YXRpb25JdGVtcyI6W3siaWQiOiJlYThhMjQxNC1lYmQ1LTM1ZGQtOGRkYS0yYjgxYTRhNDc4YTIiLCJpdGVtRGF0YSI6eyJ0eXBlIjoiYXJ0aWNsZS1qb3VybmFsIiwiaWQiOiJlYThhMjQxNC1lYmQ1LTM1ZGQtOGRkYS0yYjgxYTRhNDc4YTIiLCJ0aXRsZSI6IkludmVzdG9yIHNlbnRpbWVudCBhbmQgY2FsZW5kYXIgYW5vbWFseSBlZmZlY3RzOiBBIGNhc2Ugc3R1ZHkgb2YgdGhlIGltcGFjdCBvZiBSYW1hZGFuIG9uIElzbGFtaWMgTWlkZGxlIEVhc3Rlcm4gbWFya2V0cyIsImF1dGhvciI6W3siZmFtaWx5IjoiQWwtSGFqaWVoIiwiZ2l2ZW4iOiJIZWl0aGFtIiwicGFyc2UtbmFtZXMiOmZhbHNlLCJkcm9wcGluZy1wYXJ0aWNsZSI6IiIsIm5vbi1kcm9wcGluZy1wYXJ0aWNsZSI6IiJ9LHsiZmFtaWx5IjoiUmVkaGVhZCIsImdpdmVuIjoiS2VpdGgiLCJwYXJzZS1uYW1lcyI6ZmFsc2UsImRyb3BwaW5nLXBhcnRpY2xlIjoiIiwibm9uLWRyb3BwaW5nLXBhcnRpY2xlIjoiIn0seyJmYW1pbHkiOiJSb2RnZXJzIiwiZ2l2ZW4iOiJUaW1vdGh5IiwicGFyc2UtbmFtZXMiOmZhbHNlLCJkcm9wcGluZy1wYXJ0aWNsZSI6IiIsIm5vbi1kcm9wcGluZy1wYXJ0aWNsZSI6IiJ9XSwiY29udGFpbmVyLXRpdGxlIjoiUmVzZWFyY2ggaW4gSW50ZXJuYXRpb25hbCBCdXNpbmVzcyBhbmQgRmluYW5jZSIsImNvbnRhaW5lci10aXRsZS1zaG9ydCI6IlJlcy4gSW50LiBCdXMuIEZpbmFuY2UiLCJET0kiOiIxMC4xMDE2L2oucmliYWYuMjAxMS4wMy4wMDQiLCJJU1NOIjoiMDI3NTUzMTkiLCJpc3N1ZWQiOnsiZGF0ZS1wYXJ0cyI6W1syMDExLDldXX0sInBhZ2UiOiIzNDUtMzU2IiwiYWJzdHJhY3QiOiJUaGUgaG9seSBtb250aCBvZiBSYW1hZGFuIGlzIHVzdWFsbHkgYSB0aW1lIG9mIGNlbGVicmF0aW9uIGFuZCByZW5ld2FsIGluIE11c2xpbSBjb3VudHJpZXMuIFRoaXMgcGFwZXIgZXhhbWluZXMgd2hldGhlciBvciBub3QgdGhpcyBpcyByZWZsZWN0ZWQgaW4gcG9zaXRpdmUgY2FsZW5kYXIgYW5vbWFsaWVzIGVmZmVjdHMgaW4gSXNsYW1pYyBNaWRkbGUgRWFzdGVybiBzdG9jayBtYXJrZXRzIGR1cmluZyB0aGUgcGVyaW9kIDE5OTItMjAwNy4gU3Ryb25nIGV2aWRlbmNlIGlzIGZvdW5kIG9mIHNpZ25pZmljYW50IGFuZCBwb3NpdGl2ZSBjYWxlbmRhciBlZmZlY3RzIGluIHJlc3BlY3QgdG8gdGhlIHdob2xlIHBlcmlvZCBvZiBSYW1hZGFuIGluIG1vc3QgY291bnRyaWVzIGFuZCBpdCBpcyBhcmd1ZWQgdGhhdCB0aGlzIGNhbiBiZSBhdHRyaWJ1dGVkIHRvIHRoZSBnZW5lcmFsbHkgcG9zaXRpdmUgaW52ZXN0b3IgbW9vZCwgb3Igc2VudGltZW50LiBBbHRob3VnaCBSYW1hZGFuIGlzIGEgdGltZSBvZiBjZWxlYnJhdGlvbiBmb3IgTXVzbGltcyBpdCBhbHNvIGNhbiBiZSBhIHRpbWUgb2YgdW5jZXJ0YWludHkgYW5kIHRoaXMgYXBwZWFycyB0byByZXN1bHQgaW4gdGhlIGltcGFjdCBvZiB0aGUgZmVzdGl2YWwgbm90IGJlaW5nIHVuaWZvcm1seSBwb3NpdGl2ZSB0aHJvdWdob3V0IFJhbWFkYW4uIEl0IGlzIGZvdW5kIHRoYXQgbWFya2V0IHJldHVybnMgaW4gdGhlIGZpcnN0IGFuZCBsYXN0IGRheXMgb2YgUmFtYWRhbiBzaG93IGhpZ2ggbGV2ZWxzIG9mIHN0YXRpc3RpY2FsbHkgc2lnbmlmaWNhbnQgeWVhci1vbi15ZWFyIHZhcmlhdGlvbi4gSXQgaXMgYXJndWVkIHRoYXQgdGhpcyBjYW4gcG9zc2libHkgYmUgYXR0cmlidXRlZCB0byBzeW5jaHJvbml6YXRpb24tcmVsYXRlZCBoZXJkaW5nIGVmZmVjdHMgYW1wbGlmeWluZyB0aGUgaW1wYWN0IG9mIHRoZSBtb29kIHN3aW5ncyBhc3NvY2lhdGVkIHdpdGggdGhpcyBwZXJpb2QuIFRoZSBwYXBlciBhbHNvIGZpbmRzIHRoYXQgYWx0aG91Z2ggdGhlIG92ZXJhbGwgUmFtYWRhbiBlZmZlY3QgaXMgYm90aCBwb3NpdGl2ZSBhbmQgc3RhdGlzdGljYWxseSBzaWduaWZpY2FudCBmb3IgbW9zdCBjb3VudHJpZXMsIHRoZSBhc3NvY2lhdGVkIGdhaW5zIHdlcmUgb25seSBsYXJnZSBlbm91Z2ggdG8gb3V0d2VpZ2ggdHJhbnNhY3Rpb25zIGNvc3RzIGFuZCBwcm92aWRlIHRoZSBiYXNpcyBvZiBhIHByb2ZpdGFibGUgdHJhZGluZyBzdHJhdGVneSBpbiBvbmUgbWFya2V0LiDCqSAyMDExIEVsc2V2aWVyIEIuVi4iLCJpc3N1ZSI6IjMiLCJ2b2x1bWUiOiIyNSJ9LCJpc1RlbXBvcmFyeSI6ZmFsc2V9LHsiaWQiOiI1Yjc2YThjZC1iZTU1LTMyODYtYWZkYy02ZTYxMmFhNWQ5NmQiLCJpdGVtRGF0YSI6eyJ0eXBlIjoiYXJ0aWNsZS1qb3VybmFsIiwiaWQiOiI1Yjc2YThjZC1iZTU1LTMyODYtYWZkYy02ZTYxMmFhNWQ5NmQiLCJ0aXRsZSI6IlN0b2NrIG1hcmtldHMgaW4gR0NDIGNvdW50cmllcyBhbmQgZ2xvYmFsIGZhY3RvcnM6IEEgZnVydGhlciBpbnZlc3RpZ2F0aW9uIiwiYXV0aG9yIjpbeyJmYW1pbHkiOiJKb3VpbmkiLCJnaXZlbiI6IkphbWVsIiwicGFyc2UtbmFtZXMiOmZhbHNlLCJkcm9wcGluZy1wYXJ0aWNsZSI6IiIsIm5vbi1kcm9wcGluZy1wYXJ0aWNsZSI6IiJ9XSwiY29udGFpbmVyLXRpdGxlIjoiRWNvbm9taWMgTW9kZWxsaW5nIiwiY29udGFpbmVyLXRpdGxlLXNob3J0IjoiRWNvbi4gTW9kZWwuIiwiRE9JIjoiMTAuMTAxNi9qLmVjb25tb2QuMjAxMi4xMS4wMzkiLCJJU1NOIjoiMDI2NDk5OTMiLCJpc3N1ZWQiOnsiZGF0ZS1wYXJ0cyI6W1syMDEzLDNdXX0sInBhZ2UiOiI4MC04NiIsImFic3RyYWN0IjoiVGhpcyBwYXBlciBpbnZlc3RpZ2F0ZXMgdGhlIGxvbmctcnVuIGxpbmtzIGJldHdlZW4gc3RvY2sgbWFya2V0cyBvZiB0aGUgR3VsZiBDb29wZXJhdGlvbiBDb3VudHJpZXMgKEdDQykgYW5kIHRocmVlIGdsb2JhbCBmYWN0b3JzLCBpbmNsdWRpbmcgb2lsIHByaWNlLCBNU0NJIChNb3JnYW4gU3RhbmxleSBDYXBpdGFsIEludGVybmF0aW9uYWwpIHdvcmxkIGluZGV4IGFuZCBVUyBpbnRlcmVzdCByYXRlLiBVbmxpa2UgcHJldmlvdXMgZW1waXJpY2FsIHdvcmtzLCB3ZSBlbXBsb3kgZWNvbm9tZXRyaWMgdGVjaG5pcXVlcyB0aGF0IGFjY291bnQgZm9yIHNpbXVsdGFuZW91c2x5IHRoZSBlZmZlY3RzIG9mIGhldGVyb2dlbmVpdHksIGNyb3NzLWNvdW50cnkgZGVwZW5kZW5jZSBhbmQgdW5rbm93biByZWdpbWUtc2hpZnRzIGluIG9yZGVyIHRvIGV4YW1pbmUgdGhlIHNlbnNpdGl2aXR5IG9mIEdDQyBzdG9jayBtYXJrZXRzIHRvIG1vdmVtZW50cyBvZiBnbG9iYWwgZmFjdG9ycy4gT3VyIGZpbmRpbmdzIGFyZSBvZiBncmVhdCBpbnRlcmVzdCBzaW5jZSB0aGV5IHNob3cgc3Ryb25nIGV2aWRlbmNlIG9mIG5vbmxpbmVhciBsb25nLXJ1biByZWxhdGlvbnNoaXAgYmV0d2VlbiB0aGUgdmFyaWFibGVzIG9mIGludGVyZXN0IHdoZW4gdGhlcmUgaXMgZGVwZW5kZW5jZSBiZXR3ZWVuIGNvdW50cmllcywgYW5kIGluZGljYXRlIHRoYXQgdGhlIGdsb2JhbCBmYWN0b3JzIGhhdmUgcHJlZGljdGFiaWxpdHkgZWZmZWN0IG9uIG1vc3QgR0NDIHN0b2NrIG1hcmtldHMuIFdlIGFsc28gc3RyZXNzIHRoZSBpbXBvcnRhbmNlIG9mIGluY2x1ZGluZyByZWdpbWUtc2hpZnRzIGluIHRoZSBhbmFseXNpcyB0aGF0IGxlYWRzIHRvIG1vcmUgcmVsaWFibGUgY29uY2x1c2lvbnMgdGhhbiB0aG9zZSBvYnRhaW5lZCBpbiB0aGUgbGl0ZXJhdHVyZSBieSBuZWdsZWN0aW5nIHN0cnVjdHVyYWwgYnJlYWtzLiDCqSAyMDEyIEVsc2V2aWVyIEIuVi4iLCJpc3N1ZSI6IjEiLCJ2b2x1bWUiOiIzMSJ9LCJpc1RlbXBvcmFyeSI6ZmFsc2V9XX0=&quot;,&quot;citationItems&quot;:[{&quot;id&quot;:&quot;ea8a2414-ebd5-35dd-8dda-2b81a4a478a2&quot;,&quot;itemData&quot;:{&quot;type&quot;:&quot;article-journal&quot;,&quot;id&quot;:&quot;ea8a2414-ebd5-35dd-8dda-2b81a4a478a2&quot;,&quot;title&quot;:&quot;Investor sentiment and calendar anomaly effects: A case study of the impact of Ramadan on Islamic Middle Eastern markets&quot;,&quot;author&quot;:[{&quot;family&quot;:&quot;Al-Hajieh&quot;,&quot;given&quot;:&quot;Heitham&quot;,&quot;parse-names&quot;:false,&quot;dropping-particle&quot;:&quot;&quot;,&quot;non-dropping-particle&quot;:&quot;&quot;},{&quot;family&quot;:&quot;Redhead&quot;,&quot;given&quot;:&quot;Keith&quot;,&quot;parse-names&quot;:false,&quot;dropping-particle&quot;:&quot;&quot;,&quot;non-dropping-particle&quot;:&quot;&quot;},{&quot;family&quot;:&quot;Rodgers&quot;,&quot;given&quot;:&quot;Timothy&quot;,&quot;parse-names&quot;:false,&quot;dropping-particle&quot;:&quot;&quot;,&quot;non-dropping-particle&quot;:&quot;&quot;}],&quot;container-title&quot;:&quot;Research in International Business and Finance&quot;,&quot;container-title-short&quot;:&quot;Res. Int. Bus. Finance&quot;,&quot;DOI&quot;:&quot;10.1016/j.ribaf.2011.03.004&quot;,&quot;ISSN&quot;:&quot;02755319&quot;,&quot;issued&quot;:{&quot;date-parts&quot;:[[2011,9]]},&quot;page&quot;:&quot;345-356&quot;,&quot;abstract&quot;:&quot;The holy month of Ramadan is usually a time of celebration and renewal in Muslim countries. This paper examines whether or not this is reflected in positive calendar anomalies effects in Islamic Middle Eastern stock markets during the period 1992-2007. Strong evidence is found of significant and positive calendar effects in respect to the whole period of Ramadan in most countries and it is argued that this can be attributed to the generally positive investor mood, or sentiment. Although Ramadan is a time of celebration for Muslims it also can be a time of uncertainty and this appears to result in the impact of the festival not being uniformly positive throughout Ramadan. It is found that market returns in the first and last days of Ramadan show high levels of statistically significant year-on-year variation. It is argued that this can possibly be attributed to synchronization-related herding effects amplifying the impact of the mood swings associated with this period. The paper also finds that although the overall Ramadan effect is both positive and statistically significant for most countries, the associated gains were only large enough to outweigh transactions costs and provide the basis of a profitable trading strategy in one market. © 2011 Elsevier B.V.&quot;,&quot;issue&quot;:&quot;3&quot;,&quot;volume&quot;:&quot;25&quot;},&quot;isTemporary&quot;:false},{&quot;id&quot;:&quot;5b76a8cd-be55-3286-afdc-6e612aa5d96d&quot;,&quot;itemData&quot;:{&quot;type&quot;:&quot;article-journal&quot;,&quot;id&quot;:&quot;5b76a8cd-be55-3286-afdc-6e612aa5d96d&quot;,&quot;title&quot;:&quot;Stock markets in GCC countries and global factors: A further investigation&quot;,&quot;author&quot;:[{&quot;family&quot;:&quot;Jouini&quot;,&quot;given&quot;:&quot;Jamel&quot;,&quot;parse-names&quot;:false,&quot;dropping-particle&quot;:&quot;&quot;,&quot;non-dropping-particle&quot;:&quot;&quot;}],&quot;container-title&quot;:&quot;Economic Modelling&quot;,&quot;container-title-short&quot;:&quot;Econ. Model.&quot;,&quot;DOI&quot;:&quot;10.1016/j.econmod.2012.11.039&quot;,&quot;ISSN&quot;:&quot;02649993&quot;,&quot;issued&quot;:{&quot;date-parts&quot;:[[2013,3]]},&quot;page&quot;:&quot;80-86&quot;,&quot;abstract&quot;:&quot;This paper investigates the long-run links between stock markets of the Gulf Cooperation Countries (GCC) and three global factors, including oil price, MSCI (Morgan Stanley Capital International) world index and US interest rate. Unlike previous empirical works, we employ econometric techniques that account for simultaneously the effects of heterogeneity, cross-country dependence and unknown regime-shifts in order to examine the sensitivity of GCC stock markets to movements of global factors. Our findings are of great interest since they show strong evidence of nonlinear long-run relationship between the variables of interest when there is dependence between countries, and indicate that the global factors have predictability effect on most GCC stock markets. We also stress the importance of including regime-shifts in the analysis that leads to more reliable conclusions than those obtained in the literature by neglecting structural breaks. © 2012 Elsevier B.V.&quot;,&quot;issue&quot;:&quot;1&quot;,&quot;volume&quot;:&quot;31&quot;},&quot;isTemporary&quot;:false}]},{&quot;citationID&quot;:&quot;MENDELEY_CITATION_3d6ba839-f235-4f63-9c11-a827fdab0570&quot;,&quot;properties&quot;:{&quot;noteIndex&quot;:0},&quot;isEdited&quot;:false,&quot;manualOverride&quot;:{&quot;isManuallyOverridden&quot;:false,&quot;citeprocText&quot;:&quot;(Baillie, 1993)&quot;,&quot;manualOverrideText&quot;:&quot;&quot;},&quot;citationTag&quot;:&quot;MENDELEY_CITATION_v3_eyJjaXRhdGlvbklEIjoiTUVOREVMRVlfQ0lUQVRJT05fM2Q2YmE4MzktZjIzNS00ZjYzLTljMTEtYTgyN2ZkYWIwNTcwIiwicHJvcGVydGllcyI6eyJub3RlSW5kZXgiOjB9LCJpc0VkaXRlZCI6ZmFsc2UsIm1hbnVhbE92ZXJyaWRlIjp7ImlzTWFudWFsbHlPdmVycmlkZGVuIjpmYWxzZSwiY2l0ZXByb2NUZXh0IjoiKEJhaWxsaWUsIDE5OTMpIiwibWFudWFsT3ZlcnJpZGVUZXh0IjoiIn0sImNpdGF0aW9uSXRlbXMiOlt7ImlkIjoiNTJlOGRkZjctM2ZiNy0zZmMzLTllYWMtNDMyNTRiNTEwMDU1IiwiaXRlbURhdGEiOnsidHlwZSI6ImFydGljbGUtam91cm5hbCIsImlkIjoiNTJlOGRkZjctM2ZiNy0zZmMzLTllYWMtNDMyNTRiNTEwMDU1IiwidGl0bGUiOiJDb21tZW50IG9uIE1vZGVsaW5nIEFzc2V0IFJldHVybnMgd2l0aCBBbHRlcm5hdGl2ZSBTdGFibGUgRGlzdHJpYnV0aW9ucyIsImF1dGhvciI6W3siZmFtaWx5IjoiQmFpbGxpZSIsImdpdmVuIjoiUmljaGFyZCBULiIsInBhcnNlLW5hbWVzIjpmYWxzZSwiZHJvcHBpbmctcGFydGljbGUiOiIiLCJub24tZHJvcHBpbmctcGFydGljbGUiOiIifV0sImNvbnRhaW5lci10aXRsZSI6IkVjb25vbWV0cmljIFJldmlld3MiLCJjb250YWluZXItdGl0bGUtc2hvcnQiOiJFY29ub20uIFJldi4iLCJET0kiOiIxMC4xMDgwLzA3NDc0OTM5MzA4ODAwMjY5IiwiSVNTTiI6IjE1MzI0MTY4IiwiaXNzdWVkIjp7ImRhdGUtcGFydHMiOltbMTk5MywxLDFdXX0sInBhZ2UiOiIzNDMtMzQ1IiwiaXNzdWUiOiIzIiwidm9sdW1lIjoiMTIifSwiaXNUZW1wb3JhcnkiOmZhbHNlfV19&quot;,&quot;citationItems&quot;:[{&quot;id&quot;:&quot;52e8ddf7-3fb7-3fc3-9eac-43254b510055&quot;,&quot;itemData&quot;:{&quot;type&quot;:&quot;article-journal&quot;,&quot;id&quot;:&quot;52e8ddf7-3fb7-3fc3-9eac-43254b510055&quot;,&quot;title&quot;:&quot;Comment on Modeling Asset Returns with Alternative Stable Distributions&quot;,&quot;author&quot;:[{&quot;family&quot;:&quot;Baillie&quot;,&quot;given&quot;:&quot;Richard T.&quot;,&quot;parse-names&quot;:false,&quot;dropping-particle&quot;:&quot;&quot;,&quot;non-dropping-particle&quot;:&quot;&quot;}],&quot;container-title&quot;:&quot;Econometric Reviews&quot;,&quot;container-title-short&quot;:&quot;Econom. Rev.&quot;,&quot;DOI&quot;:&quot;10.1080/07474939308800269&quot;,&quot;ISSN&quot;:&quot;15324168&quot;,&quot;issued&quot;:{&quot;date-parts&quot;:[[1993,1,1]]},&quot;page&quot;:&quot;343-345&quot;,&quot;issue&quot;:&quot;3&quot;,&quot;volume&quot;:&quot;12&quot;},&quot;isTemporary&quot;:false}]},{&quot;citationID&quot;:&quot;MENDELEY_CITATION_65168b49-cc0e-48e9-878c-bb7a16ef38d1&quot;,&quot;properties&quot;:{&quot;noteIndex&quot;:0},&quot;isEdited&quot;:false,&quot;manualOverride&quot;:{&quot;isManuallyOverridden&quot;:false,&quot;citeprocText&quot;:&quot;(Sadorsky, 2014)&quot;,&quot;manualOverrideText&quot;:&quot;&quot;},&quot;citationTag&quot;:&quot;MENDELEY_CITATION_v3_eyJjaXRhdGlvbklEIjoiTUVOREVMRVlfQ0lUQVRJT05fNjUxNjhiNDktY2MwZS00OGU5LTg3OGMtYmI3YTE2ZWYzOGQxIiwicHJvcGVydGllcyI6eyJub3RlSW5kZXgiOjB9LCJpc0VkaXRlZCI6ZmFsc2UsIm1hbnVhbE92ZXJyaWRlIjp7ImlzTWFudWFsbHlPdmVycmlkZGVuIjpmYWxzZSwiY2l0ZXByb2NUZXh0IjoiKFNhZG9yc2t5LCAyMDE0KSIsIm1hbnVhbE92ZXJyaWRlVGV4dCI6IiJ9LCJjaXRhdGlvbkl0ZW1zIjpbeyJpZCI6IjdkNmFiOTZhLTczNjUtM2UxNi04NjYwLThiZjQ0ZWI1NWZhMSIsIml0ZW1EYXRhIjp7InR5cGUiOiJhcnRpY2xlLWpvdXJuYWwiLCJpZCI6IjdkNmFiOTZhLTczNjUtM2UxNi04NjYwLThiZjQ0ZWI1NWZhMSIsInRpdGxlIjoiTW9kZWxpbmcgdm9sYXRpbGl0eSBhbmQgY29ycmVsYXRpb25zIGJldHdlZW4gZW1lcmdpbmcgbWFya2V0IHN0b2NrIHByaWNlcyBhbmQgdGhlIHByaWNlcyBvZiBjb3BwZXIsIG9pbCBhbmQgd2hlYXQiLCJhdXRob3IiOlt7ImZhbWlseSI6IlNhZG9yc2t5IiwiZ2l2ZW4iOiJQZXJyeSIsInBhcnNlLW5hbWVzIjpmYWxzZSwiZHJvcHBpbmctcGFydGljbGUiOiIiLCJub24tZHJvcHBpbmctcGFydGljbGUiOiIifV0sImNvbnRhaW5lci10aXRsZSI6IkVuZXJneSBFY29ub21pY3MiLCJjb250YWluZXItdGl0bGUtc2hvcnQiOiJFbmVyZ3kgRWNvbi4iLCJET0kiOiIxMC4xMDE2L2ouZW5lY28uMjAxNC4wMi4wMTQiLCJJU1NOIjoiMDE0MDk4ODMiLCJpc3N1ZWQiOnsiZGF0ZS1wYXJ0cyI6W1syMDE0XV19LCJwYWdlIjoiNzItODEiLCJhYnN0cmFjdCI6IkluY3JlYXNlZCBmaW5hbmNpYWwgaW50ZWdyYXRpb24gYmV0d2VlbiBjb3VudHJpZXMgYW5kIHRoZSBmaW5hbmNpYWxpemF0aW9uIG9mIGNvbW1vZGl0eSBtYXJrZXRzIGFyZSBwcm92aWRpbmcgaW52ZXN0b3JzIHdpdGggbmV3IHdheXMgdG8gZGl2ZXJzaWZ5IHRoZWlyIGludmVzdG1lbnQgcG9ydGZvbGlvcy4gVGhpcyBwYXBlciB1c2VzIFZBUk1BLUFHQVJDSCBhbmQgRENDLUFHQVJDSCBtb2RlbHMgdG8gbW9kZWwgdm9sYXRpbGl0aWVzIGFuZCBjb25kaXRpb25hbCBjb3JyZWxhdGlvbnMgYmV0d2VlbiBlbWVyZ2luZyBtYXJrZXQgc3RvY2sgcHJpY2VzLCBjb3BwZXIgcHJpY2VzLCBvaWwgcHJpY2VzIGFuZCB3aGVhdCBwcmljZXMuIFRoZSBkeW5hbWljIGNvbmRpdGlvbmFsIGNvcnJlbGF0aW9uIG1vZGVsIGlzIGZvdW5kIHRvIGZpdCB0aGUgZGF0YSB0aGUgYmVzdCBhbmQgdXNlZCB0byBnZW5lcmF0ZSBkeW5hbWljIGNvbmRpdGlvbmFsIGNvcnJlbGF0aW9ucywgaGVkZ2UgcmF0aW9zIGFuZCBvcHRpbWFsIHBvcnRmb2xpbyB3ZWlnaHRzLiBFbWVyZ2luZyBtYXJrZXQgc3RvY2sgcHJpY2VzIGFuZCBvaWwgcHJpY2VzIGRpc3BsYXkgbGV2ZXJhZ2UgZWZmZWN0cyB3aGVyZSBuZWdhdGl2ZSByZXNpZHVhbHMgdGVuZCB0byBpbmNyZWFzZSB0aGUgdmFyaWFuY2UgKGNvbmRpdGlvbmFsIHZvbGF0aWxpdHkpIG1vcmUgdGhhbiBwb3NpdGl2ZSBvbmVzLiBDb3JyZWxhdGlvbnMgYmV0d2VlbiB0aGVzZSBhc3NldHMgaW5jcmVhc2VkIGNvbnNpZGVyYWJseSBhZnRlciAyMDA4LCBhbmQgaGF2ZSB5ZXQgdG8gcmV0dXJuIHRvIHRoZWlyIHByZSAyMDA4IHZhbHVlcy4gT24gYXZlcmFnZSwgb2lsIHByb3ZpZGVzIHRoZSBjaGVhcGVzdCBoZWRnZSBmb3IgZW1lcmdpbmcgbWFya2V0IHN0b2NrIHByaWNlcyB3aGlsZSBjb3BwZXIgaXMgdGhlIG1vc3QgZXhwZW5zaXZlIGJ1dCBnaXZlbiB0aGUgdmFyaWFiaWxpdHkgaW4gdGhlIGhlZGdlIHJhdGlvcywgb25lIHNob3VsZCBwcm9iYWJseSBub3QgcHV0IHRvbyBtdWNoIGVtcGhhc2lzIG9uIGF2ZXJhZ2UgaGVkZ2UgcmF0aW9zLiDCqSAyMDE0IEVsc2V2aWVyIEIuVi4iLCJwdWJsaXNoZXIiOiJFbHNldmllciIsInZvbHVtZSI6IjQzIn0sImlzVGVtcG9yYXJ5IjpmYWxzZX1dfQ==&quot;,&quot;citationItems&quot;:[{&quot;id&quot;:&quot;7d6ab96a-7365-3e16-8660-8bf44eb55fa1&quot;,&quot;itemData&quot;:{&quot;type&quot;:&quot;article-journal&quot;,&quot;id&quot;:&quot;7d6ab96a-7365-3e16-8660-8bf44eb55fa1&quot;,&quot;title&quot;:&quot;Modeling volatility and correlations between emerging market stock prices and the prices of copper, oil and wheat&quot;,&quot;author&quot;:[{&quot;family&quot;:&quot;Sadorsky&quot;,&quot;given&quot;:&quot;Perry&quot;,&quot;parse-names&quot;:false,&quot;dropping-particle&quot;:&quot;&quot;,&quot;non-dropping-particle&quot;:&quot;&quot;}],&quot;container-title&quot;:&quot;Energy Economics&quot;,&quot;container-title-short&quot;:&quot;Energy Econ.&quot;,&quot;DOI&quot;:&quot;10.1016/j.eneco.2014.02.014&quot;,&quot;ISSN&quot;:&quot;01409883&quot;,&quot;issued&quot;:{&quot;date-parts&quot;:[[2014]]},&quot;page&quot;:&quot;72-81&quot;,&quot;abstract&quot;:&quot;Increased financial integration between countries and the financialization of commodity markets are providing investors with new ways to diversify their investment portfolios. This paper uses VARMA-AGARCH and DCC-AGARCH models to model volatilities and conditional correlations between emerging market stock prices, copper prices, oil prices and wheat prices. The dynamic conditional correlation model is found to fit the data the best and used to generate dynamic conditional correlations, hedge ratios and optimal portfolio weights. Emerging market stock prices and oil prices display leverage effects where negative residuals tend to increase the variance (conditional volatility) more than positive ones. Correlations between these assets increased considerably after 2008, and have yet to return to their pre 2008 values. On average, oil provides the cheapest hedge for emerging market stock prices while copper is the most expensive but given the variability in the hedge ratios, one should probably not put too much emphasis on average hedge ratios. © 2014 Elsevier B.V.&quot;,&quot;publisher&quot;:&quot;Elsevier&quot;,&quot;volume&quot;:&quot;43&quot;},&quot;isTemporary&quot;:false}]},{&quot;citationID&quot;:&quot;MENDELEY_CITATION_45fa1612-1407-4c47-bfce-7a8caf639ed2&quot;,&quot;properties&quot;:{&quot;noteIndex&quot;:0},&quot;isEdited&quot;:false,&quot;manualOverride&quot;:{&quot;isManuallyOverridden&quot;:false,&quot;citeprocText&quot;:&quot;(Tabash et al., 2025)&quot;,&quot;manualOverrideText&quot;:&quot;&quot;},&quot;citationTag&quot;:&quot;MENDELEY_CITATION_v3_eyJjaXRhdGlvbklEIjoiTUVOREVMRVlfQ0lUQVRJT05fNDVmYTE2MTItMTQwNy00YzQ3LWJmY2UtN2E4Y2FmNjM5ZWQyIiwicHJvcGVydGllcyI6eyJub3RlSW5kZXgiOjB9LCJpc0VkaXRlZCI6ZmFsc2UsIm1hbnVhbE92ZXJyaWRlIjp7ImlzTWFudWFsbHlPdmVycmlkZGVuIjpmYWxzZSwiY2l0ZXByb2NUZXh0IjoiKFRhYmFzaCBldCBhbC4sIDIwMjUpIiwibWFudWFsT3ZlcnJpZGVUZXh0IjoiIn0sImNpdGF0aW9uSXRlbXMiOlt7ImlkIjoiZmM1ZmQzM2UtODQ4Mi0zYjM1LWFiYWEtMDgxMzQ1NjdhNzdkIiwiaXRlbURhdGEiOnsidHlwZSI6ImFydGljbGUtam91cm5hbCIsImlkIjoiZmM1ZmQzM2UtODQ4Mi0zYjM1LWFiYWEtMDgxMzQ1NjdhNzdkIiwidGl0bGUiOiJEeW5hbWljIFNob2NrLVRyYW5zbWlzc2lvbiBNZWNoYW5pc20gQmV0d2VlbiBVLlMuIFRyYWRlIFBvbGljeSBVbmNlcnRhaW50eSBhbmQgU2hhcmlhLUNvbXBsaWFudCBTdG9jayBNYXJrZXQgVm9sYXRpbGl0eSBvZiBHQ0MgRWNvbm9taWVzIiwiYXV0aG9yIjpbeyJmYW1pbHkiOiJUYWJhc2giLCJnaXZlbiI6Ik1vc2FiIEkuIiwicGFyc2UtbmFtZXMiOmZhbHNlLCJkcm9wcGluZy1wYXJ0aWNsZSI6IiIsIm5vbi1kcm9wcGluZy1wYXJ0aWNsZSI6IiJ9LHsiZmFtaWx5IjoiSXNzYSIsImdpdmVuIjoiU3V6YW4gU2FtZWVyIiwicGFyc2UtbmFtZXMiOmZhbHNlLCJkcm9wcGluZy1wYXJ0aWNsZSI6IiIsIm5vbi1kcm9wcGluZy1wYXJ0aWNsZSI6IiJ9LHsiZmFtaWx5IjoiTWFuc291ciIsImdpdmVuIjoiTWFyd2FuIiwicGFyc2UtbmFtZXMiOmZhbHNlLCJkcm9wcGluZy1wYXJ0aWNsZSI6IiIsIm5vbi1kcm9wcGluZy1wYXJ0aWNsZSI6IiJ9LHsiZmFtaWx5IjoiU2FsZWgiLCJnaXZlbiI6Ik1vaGFtbWVkIFcuQS4iLCJwYXJzZS1uYW1lcyI6ZmFsc2UsImRyb3BwaW5nLXBhcnRpY2xlIjoiIiwibm9uLWRyb3BwaW5nLXBhcnRpY2xlIjoiIn0seyJmYW1pbHkiOiJSYWhyb3VoIiwiZ2l2ZW4iOiJNYWhhIiwicGFyc2UtbmFtZXMiOmZhbHNlLCJkcm9wcGluZy1wYXJ0aWNsZSI6IiIsIm5vbi1kcm9wcGluZy1wYXJ0aWNsZSI6IiJ9LHsiZmFtaWx5IjoiQWxRZWlzaSIsImdpdmVuIjoiS2hvbG91ZCIsInBhcnNlLW5hbWVzIjpmYWxzZSwiZHJvcHBpbmctcGFydGljbGUiOiIiLCJub24tZHJvcHBpbmctcGFydGljbGUiOiIifSx7ImZhbWlseSI6IkFsLUFic3kiLCJnaXZlbiI6Ik11amVlYiBTYWlmIE1vaHNlbiIsInBhcnNlLW5hbWVzIjpmYWxzZSwiZHJvcHBpbmctcGFydGljbGUiOiIiLCJub24tZHJvcHBpbmctcGFydGljbGUiOiIifV0sImNvbnRhaW5lci10aXRsZSI6IlJpc2tzIiwiRE9JIjoiMTAuMzM5MC9yaXNrczEzMDMwMDU2IiwiSVNTTiI6IjIyMjc5MDkxIiwiaXNzdWVkIjp7ImRhdGUtcGFydHMiOltbMjAyNSwzLDFdXX0sImFic3RyYWN0IjoiVGhpcyBzdHVkeSBlbmRlYXZvcnMgdG8gZXhwbG9yZSB0aGUgc2hvY2stdHJhbnNtaXNzaW9uIG1lY2hhbmlzbSBiZXR3ZWVuIFRyYWRlIFBvbGljeSBVbmNlcnRhaW50eSAoVFBVKSBhbmQgdGhlIHZvbGF0aWxpdHkgaW5oZXJlbnQgaW4gdGhlIEd1bGYgQ29vcGVyYXRpb24gQ291bmNpbCAoR0NDKSBJc2xhbWljIHN0b2NrIG1hcmtldHMgYnkgZW1wbG95aW5nIHRoZSBub3ZlbCBRdWFudGlsZSBWZWN0b3IgQXV0byBSZWdyZXNzaW9uIChRVkFSKSB3aXRoIOKAnEV4dGVuZGVkIEpvaW504oCdIGFuZCDigJxGcmVxdWVuY3nigJ0gZG9tYWluIGNvbm5lY3RlZG5lc3MgdGVjaG5pcXVlLiBPdmVyYWxsIGZpbmRpbmdzIGluZGljYXRlZCBhIFUtc2hhcGVkIHBhdHRlcm4gaW4gdGhlIHNob2NrLXRyYW5zbWlzc2lvbiBtZWNoYW5pc20gd2l0aCB0aGUgaGlnaGVyIFRQVSBzaG9ja3MgdHJhbnNtaXR0ZWQgdG93YXJkcyBJc2xhbWljIHN0b2NrIG1hcmtldCB2b2xhdGlsaXR5IGF0IHRoZSBleHRyZW1lIHF1YW50aWxlcyBhbmQgaW4gdGhlIGxvbmcgdGVybS4gVGhlIOKAnEV4dGVuZGVkIEpvaW504oCdIFFWQVIgY29ubmVjdGVkbmVzcyBhcHByb2FjaCBoaWdobGlnaHRzIHRoYXQsIGluIGJlYXJpc2ggYW5kIG1vZGVyYXRlLXZvbGF0aWxpdHkgY29uZGl0aW9ucyAoz4QgPSAwLjA1LCAwLjUwKSwgZGl2ZXJzaWZ5aW5nIHBvcnRmb2xpb3MgYWNyb3NzIGxlc3Mgc2hvY2stcHJvbmUgZXF1aXR5IG1hcmtldHMgbGlrZSBRYXRhciBhbmQgVUFFIGNhbiBtaXRpZ2F0ZSByaXNrIGV4cG9zdXJlIHRvIFRQVSBzaG9ja3MuIFNwZWNpZmljIGVjb25vbWllcyByZWNlaXZpbmcgaGlnaGVyIFRQVSBzaG9ja3MsIGxpa2UgQmFocmFpbiwgS3V3YWl0LCBhbmQgU2F1ZGkgQXJhYmlhLCBzaG91bGQgaW1wbGVtZW50IHN0cmF0ZWdpYyBmcmFtZXdvcmtzLCBpbmNsdWRpbmcgdHJhZGUgY3JlZGl0IGluc3VyYW5jZSBhbmQgY3VycmVuY3kgaGVkZ2luZywgZm9yIHJpc2sgcmVkdWN0aW9uIGluIHRyYWRlIHBvbGljeSBzaG9ja3MgZHVyaW5nIHRoZSBiZWFyaXNoIGFuZCBtb2RlcmF0ZS12b2xhdGlsaXR5IGNvbmRpdGlvbnMuIENvbnZlcnNlbHksIFFhdGFyIGFuZCBLdXdhaXQgc2hvdyB0aGUgbGVhc3QgdHJhbnNtaXNzaW9uIG9mIGVycm9yIHZhcmlhbmNlIGZyb20gVFBVIGR1cmluZyBoaWdoZXItdm9sYXRpbGl0eSBjb25kaXRpb25zICjPhCA9IDAuOTUpLiBNb3Jlb3ZlciwgdGhlIGFwcGxpY2F0aW9uIG9mIHRoZSBGcmVxdWVuY3ktZG9tYWluIFFWQVIgdGVjaG5pcXVlIHVuZGVyc2NvcmVzIHRoZSBuZWVkIGZvciBzaG9ydC10ZXJtIHNwZWN1bGF0b3JzIHRvIGV4ZXJjaXNlIGluY3JlYXNlZCB2aWdpbGFuY2UgZHVyaW5nIGJlYXJpc2ggYW5kIGJ1bGxpc2ggdm9sYXRpbGUgcGVyaW9kcywgYXMgVFBVIHNob2NrcyBjYW4gZXhlcnQgYSBtb3JlIHN1YnN0YW50aWFsIGluZmx1ZW5jZSBvbiB0aGUgSXNsYW1pYyBlcXVpdHkgbWFya2V0IHZvbGF0aWxpdHkgb2YgQmFocmFpbiwgT21hbiwgS3V3YWl0LCBhbmQgU2F1ZGkgQXJhYmlhLiBMb25nLXRlcm0gaW52ZXN0b3JzIG1heSBuZWVkIHRvIHRhaWxvciB0aGVpciBhc3NldC1hbGxvY2F0aW9uIHN0cmF0ZWdpZXMgYnkgaW5jcmVhc2luZyBhbGxvY2F0aW9ucyB0byBtb3JlIHN0YWJsZSBhc3NldHMgdGhhdCBhcmUgbGVzcyBzdXNjZXB0aWJsZSB0byBUUFUgc2hvY2tzLCBzdWNoIGFzIFFhdGFyLCBkdXJpbmcgYmVhcmlzaCAoz4QgPSAwLjA1KSwgbW9kZXJhdGUgKM+EID0gMC41MCksIGFuZCBidWxsaXNoICjPhCA9IDAuOTUpIHZvbGF0aWxpdHkuIiwicHVibGlzaGVyIjoiTXVsdGlkaXNjaXBsaW5hcnkgRGlnaXRhbCBQdWJsaXNoaW5nIEluc3RpdHV0ZSAoTURQSSkiLCJpc3N1ZSI6IjMiLCJ2b2x1bWUiOiIxMyIsImNvbnRhaW5lci10aXRsZS1zaG9ydCI6IiJ9LCJpc1RlbXBvcmFyeSI6ZmFsc2V9XX0=&quot;,&quot;citationItems&quot;:[{&quot;id&quot;:&quot;fc5fd33e-8482-3b35-abaa-08134567a77d&quot;,&quot;itemData&quot;:{&quot;type&quot;:&quot;article-journal&quot;,&quot;id&quot;:&quot;fc5fd33e-8482-3b35-abaa-08134567a77d&quot;,&quot;title&quot;:&quot;Dynamic Shock-Transmission Mechanism Between U.S. Trade Policy Uncertainty and Sharia-Compliant Stock Market Volatility of GCC Economies&quot;,&quot;author&quot;:[{&quot;family&quot;:&quot;Tabash&quot;,&quot;given&quot;:&quot;Mosab I.&quot;,&quot;parse-names&quot;:false,&quot;dropping-particle&quot;:&quot;&quot;,&quot;non-dropping-particle&quot;:&quot;&quot;},{&quot;family&quot;:&quot;Issa&quot;,&quot;given&quot;:&quot;Suzan Sameer&quot;,&quot;parse-names&quot;:false,&quot;dropping-particle&quot;:&quot;&quot;,&quot;non-dropping-particle&quot;:&quot;&quot;},{&quot;family&quot;:&quot;Mansour&quot;,&quot;given&quot;:&quot;Marwan&quot;,&quot;parse-names&quot;:false,&quot;dropping-particle&quot;:&quot;&quot;,&quot;non-dropping-particle&quot;:&quot;&quot;},{&quot;family&quot;:&quot;Saleh&quot;,&quot;given&quot;:&quot;Mohammed W.A.&quot;,&quot;parse-names&quot;:false,&quot;dropping-particle&quot;:&quot;&quot;,&quot;non-dropping-particle&quot;:&quot;&quot;},{&quot;family&quot;:&quot;Rahrouh&quot;,&quot;given&quot;:&quot;Maha&quot;,&quot;parse-names&quot;:false,&quot;dropping-particle&quot;:&quot;&quot;,&quot;non-dropping-particle&quot;:&quot;&quot;},{&quot;family&quot;:&quot;AlQeisi&quot;,&quot;given&quot;:&quot;Kholoud&quot;,&quot;parse-names&quot;:false,&quot;dropping-particle&quot;:&quot;&quot;,&quot;non-dropping-particle&quot;:&quot;&quot;},{&quot;family&quot;:&quot;Al-Absy&quot;,&quot;given&quot;:&quot;Mujeeb Saif Mohsen&quot;,&quot;parse-names&quot;:false,&quot;dropping-particle&quot;:&quot;&quot;,&quot;non-dropping-particle&quot;:&quot;&quot;}],&quot;container-title&quot;:&quot;Risks&quot;,&quot;DOI&quot;:&quot;10.3390/risks13030056&quot;,&quot;ISSN&quot;:&quot;22279091&quot;,&quot;issued&quot;:{&quot;date-parts&quot;:[[2025,3,1]]},&quot;abstract&quot;:&quot;This study endeavors to explore the shock-transmission mechanism between Trade Policy Uncertainty (TPU) and the volatility inherent in the Gulf Cooperation Council (GCC) Islamic stock markets by employing the novel Quantile Vector Auto Regression (QVAR) with “Extended Joint” and “Frequency” domain connectedness technique. Overall findings indicated a U-shaped pattern in the shock-transmission mechanism with the higher TPU shocks transmitted towards Islamic stock market volatility at the extreme quantiles and in the long term. The “Extended Joint” QVAR connectedness approach highlights that, in bearish and moderate-volatility conditions (τ = 0.05, 0.50), diversifying portfolios across less shock-prone equity markets like Qatar and UAE can mitigate risk exposure to TPU shocks. Specific economies receiving higher TPU shocks, like Bahrain, Kuwait, and Saudi Arabia, should implement strategic frameworks, including trade credit insurance and currency hedging, for risk reduction in trade policy shocks during the bearish and moderate-volatility conditions. Conversely, Qatar and Kuwait show the least transmission of error variance from TPU during higher-volatility conditions (τ = 0.95). Moreover, the application of the Frequency-domain QVAR technique underscores the need for short-term speculators to exercise increased vigilance during bearish and bullish volatile periods, as TPU shocks can exert a more substantial influence on the Islamic equity market volatility of Bahrain, Oman, Kuwait, and Saudi Arabia. Long-term investors may need to tailor their asset-allocation strategies by increasing allocations to more stable assets that are less susceptible to TPU shocks, such as Qatar, during bearish (τ = 0.05), moderate (τ = 0.50), and bullish (τ = 0.95) volatility.&quot;,&quot;publisher&quot;:&quot;Multidisciplinary Digital Publishing Institute (MDPI)&quot;,&quot;issue&quot;:&quot;3&quot;,&quot;volume&quot;:&quot;13&quot;,&quot;container-title-short&quot;:&quot;&quot;},&quot;isTemporary&quot;:false}]},{&quot;citationID&quot;:&quot;MENDELEY_CITATION_d4f293dd-cc28-4a06-96e8-ca9077726464&quot;,&quot;properties&quot;:{&quot;noteIndex&quot;:0},&quot;isEdited&quot;:false,&quot;manualOverride&quot;:{&quot;isManuallyOverridden&quot;:false,&quot;citeprocText&quot;:&quot;(Bayan Albahooth, 2025)&quot;,&quot;manualOverrideText&quot;:&quot;&quot;},&quot;citationTag&quot;:&quot;MENDELEY_CITATION_v3_eyJjaXRhdGlvbklEIjoiTUVOREVMRVlfQ0lUQVRJT05fZDRmMjkzZGQtY2MyOC00YTA2LTk2ZTgtY2E5MDc3NzI2NDY0IiwicHJvcGVydGllcyI6eyJub3RlSW5kZXgiOjB9LCJpc0VkaXRlZCI6ZmFsc2UsIm1hbnVhbE92ZXJyaWRlIjp7ImlzTWFudWFsbHlPdmVycmlkZGVuIjpmYWxzZSwiY2l0ZXByb2NUZXh0IjoiKEJheWFuIEFsYmFob290aCwgMjAyNSkiLCJtYW51YWxPdmVycmlkZVRleHQiOiIifSwiY2l0YXRpb25JdGVtcyI6W3siaWQiOiJiMDBmNWY3Mi05NmQ4LTM5ZjEtYjc3OS1lODhkODRlM2QwMGYiLCJpdGVtRGF0YSI6eyJ0eXBlIjoiYXJ0aWNsZS1qb3VybmFsIiwiaWQiOiJiMDBmNWY3Mi05NmQ4LTM5ZjEtYjc3OS1lODhkODRlM2QwMGYiLCJ0aXRsZSI6IlF1YW50aXRhdGl2ZSBBbmFseXNpcyBvZiBTdG9jayBNYXJrZXQgVm9sYXRpbGl0eSBpbiBHQ0MgRWNvbm9taWVzXyBBIEZvcm1hbCBTdGF0aXN0aWNhbC1BcHByb2FjaCIsImF1dGhvciI6W3siZmFtaWx5IjoiQmF5YW4gQWxiYWhvb3RoIiwiZ2l2ZW4iOiIiLCJwYXJzZS1uYW1lcyI6ZmFsc2UsImRyb3BwaW5nLXBhcnRpY2xlIjoiIiwibm9uLWRyb3BwaW5nLXBhcnRpY2xlIjoiIn1dLCJjb250YWluZXItdGl0bGUiOiJUaWtyaXQgSm91cm5hbCBvZiBBZG1pbmlzdHJhdGl2ZSBhbmQgRWNvbm9taWMgU2NpZW5jZXMiLCJpc3N1ZWQiOnsiZGF0ZS1wYXJ0cyI6W1syMDI1XV19LCJpc3N1ZSI6IjEiLCJ2b2x1bWUiOiIxOCIsImNvbnRhaW5lci10aXRsZS1zaG9ydCI6IiJ9LCJpc1RlbXBvcmFyeSI6ZmFsc2V9XX0=&quot;,&quot;citationItems&quot;:[{&quot;id&quot;:&quot;b00f5f72-96d8-39f1-b779-e88d84e3d00f&quot;,&quot;itemData&quot;:{&quot;type&quot;:&quot;article-journal&quot;,&quot;id&quot;:&quot;b00f5f72-96d8-39f1-b779-e88d84e3d00f&quot;,&quot;title&quot;:&quot;Quantitative Analysis of Stock Market Volatility in GCC Economies_ A Formal Statistical-Approach&quot;,&quot;author&quot;:[{&quot;family&quot;:&quot;Bayan Albahooth&quot;,&quot;given&quot;:&quot;&quot;,&quot;parse-names&quot;:false,&quot;dropping-particle&quot;:&quot;&quot;,&quot;non-dropping-particle&quot;:&quot;&quot;}],&quot;container-title&quot;:&quot;Tikrit Journal of Administrative and Economic Sciences&quot;,&quot;issued&quot;:{&quot;date-parts&quot;:[[2025]]},&quot;issue&quot;:&quot;1&quot;,&quot;volume&quot;:&quot;18&quot;,&quot;container-title-short&quot;:&quot;&quot;},&quot;isTemporary&quot;:false}]},{&quot;citationID&quot;:&quot;MENDELEY_CITATION_9c6dd2c9-c139-45ef-aa53-5876fce9b80f&quot;,&quot;properties&quot;:{&quot;noteIndex&quot;:0},&quot;isEdited&quot;:false,&quot;manualOverride&quot;:{&quot;isManuallyOverridden&quot;:false,&quot;citeprocText&quot;:&quot;(Hansen &amp;#38; Lunde, 2005; Tauchen et al., 1995)&quot;,&quot;manualOverrideText&quot;:&quot;&quot;},&quot;citationTag&quot;:&quot;MENDELEY_CITATION_v3_eyJjaXRhdGlvbklEIjoiTUVOREVMRVlfQ0lUQVRJT05fOWM2ZGQyYzktYzEzOS00NWVmLWFhNTMtNTg3NmZjZTliODBmIiwicHJvcGVydGllcyI6eyJub3RlSW5kZXgiOjB9LCJpc0VkaXRlZCI6ZmFsc2UsIm1hbnVhbE92ZXJyaWRlIjp7ImlzTWFudWFsbHlPdmVycmlkZGVuIjpmYWxzZSwiY2l0ZXByb2NUZXh0IjoiKEhhbnNlbiAmIzM4OyBMdW5kZSwgMjAwNTsgVGF1Y2hlbiBldCBhbC4sIDE5OTUpIiwibWFudWFsT3ZlcnJpZGVUZXh0IjoiIn0sImNpdGF0aW9uSXRlbXMiOlt7ImlkIjoiYmQ1NzVlNDQtNGY3Mi0zM2JiLTk5MGUtM2Q2YzgxNDNhMTkwIiwiaXRlbURhdGEiOnsidHlwZSI6ImFydGljbGUtam91cm5hbCIsImlkIjoiYmQ1NzVlNDQtNGY3Mi0zM2JiLTk5MGUtM2Q2YzgxNDNhMTkwIiwidGl0bGUiOiJBIGZvcmVjYXN0IGNvbXBhcmlzb24gb2Ygdm9sYXRpbGl0eSBtb2RlbHM6IERvZXMgYW55dGhpbmcgYmVhdCBhIEdBUkNIKDEsMSk/IiwiYXV0aG9yIjpbeyJmYW1pbHkiOiJIYW5zZW4iLCJnaXZlbiI6IlBldGVyIFIuIiwicGFyc2UtbmFtZXMiOmZhbHNlLCJkcm9wcGluZy1wYXJ0aWNsZSI6IiIsIm5vbi1kcm9wcGluZy1wYXJ0aWNsZSI6IiJ9LHsiZmFtaWx5IjoiTHVuZGUiLCJnaXZlbiI6IkFzZ2VyIiwicGFyc2UtbmFtZXMiOmZhbHNlLCJkcm9wcGluZy1wYXJ0aWNsZSI6IiIsIm5vbi1kcm9wcGluZy1wYXJ0aWNsZSI6IiJ9XSwiY29udGFpbmVyLXRpdGxlIjoiSm91cm5hbCBvZiBBcHBsaWVkIEVjb25vbWV0cmljcyIsIkRPSSI6IjEwLjEwMDIvamFlLjgwMCIsIklTU04iOiIwODgzNzI1MiIsImlzc3VlZCI6eyJkYXRlLXBhcnRzIjpbWzIwMDUsMTJdXX0sInBhZ2UiOiI4NzMtODg5IiwiYWJzdHJhY3QiOiJXZSBjb21wYXJlIDMzMCBBUkNILXR5cGUgbW9kZWxzIGluIHRlcm1zIG9mIHRoZWlyIGFiaWxpdHkgdG8gZGVzY3JpYmUgdGhlIGNvbmRpdGlvbmFsIHZhcmlhbmNlLiBUaGUgbW9kZWxzIGFyZSBjb21wYXJlZCBvdXQtb2Ytc2FtcGxlIHVzaW5nIERNLSQgZXhjaGFuZ2UgcmF0ZSBkYXRhIGFuZCBJQk0gcmV0dXJuIGRhdGEsIHdoZXJlIHRoZSBsYXR0ZXIgaXMgYmFzZWQgb24gYSBuZXcgZGF0YSBzZXQgb2YgcmVhbGl6ZWQgdmFyaWFuY2UuIFdlIGZpbmQgbm8gZXZpZGVuY2UgdGhhdCBhIEdBUkNIKDEsMSkgaXMgb3V0cGVyZm9ybWVkIGJ5IG1vcmUgc29waGlzdGljYXRlZCBtb2RlbHMgaW4gb3VyIGFuYWx5c2lzIG9mIGV4Y2hhbmdlIHJhdGVzLCB3aGVyZWFzIHRoZSBHQVJDSCgxLDEpIGlzIGNsZWFybHkgaW5mZXJpb3IgdG8gbW9kZWxzIHRoYXQgY2FuIGFjY29tbW9kYXRlIGEgbGV2ZXJhZ2UgZWZmZWN0IGluIG91ciBhbmFseXNpcyBvZiBJQk0gcmV0dXJucy4gVGhlIG1vZGVscyBhcmUgY29tcGFyZWQgd2l0aCB0aGUgdGVzdCBmb3Igc3VwZXJpb3IgcHJlZGljdGl2ZSBhYmlsaXR5IChTUEEpIGFuZCB0aGUgcmVhbGl0eSBjaGVjayBmb3IgZGF0YSBzbm9vcGluZyAoUkMpLiBPdXIgZW1waXJpY2FsIHJlc3VsdHMgc2hvdyB0aGF0IHRoZSBSQyBsYWNrcyBwb3dlciB0byBhbiBleHRlbnQgdGhhdCBtYWtlcyBpdCB1bmFibGUgdG8gZGlzdGluZ3Vpc2ggJ2dvb2QnIGFuZCAnYmFkJyBtb2RlbHMgaW4gb3VyIGFuYWx5c2lzLiBDb3B5cmlnaHQgwqkgMjAwNSBKb2huIFdpbGV5ICYgU29ucywgTHRkLiIsImlzc3VlIjoiNyIsInZvbHVtZSI6IjIwIiwiY29udGFpbmVyLXRpdGxlLXNob3J0IjoiIn0sImlzVGVtcG9yYXJ5IjpmYWxzZX0seyJpZCI6ImI2ZWJkMDUyLWRkM2YtM2Q3MC04ZWE2LTBjM2YyZmI4YmU1ZiIsIml0ZW1EYXRhIjp7InR5cGUiOiJhcnRpY2xlLWpvdXJuYWwiLCJpZCI6ImI2ZWJkMDUyLWRkM2YtM2Q3MC04ZWE2LTBjM2YyZmI4YmU1ZiIsInRpdGxlIjoiRGFuaWVsIEIuIE5lbHNvbiwgMTk1OeKAkzE5OTUiLCJhdXRob3IiOlt7ImZhbWlseSI6IlRhdWNoZW4iLCJnaXZlbiI6Ikdlb3JnZSIsInBhcnNlLW5hbWVzIjpmYWxzZSwiZHJvcHBpbmctcGFydGljbGUiOiIiLCJub24tZHJvcHBpbmctcGFydGljbGUiOiIifSx7ImZhbWlseSI6IlRzYXkiLCJnaXZlbiI6IlJ1ZXkiLCJwYXJzZS1uYW1lcyI6ZmFsc2UsImRyb3BwaW5nLXBhcnRpY2xlIjoiIiwibm9uLWRyb3BwaW5nLXBhcnRpY2xlIjoiIn0seyJmYW1pbHkiOiJXYXRzb24iLCJnaXZlbiI6Ik1hcmsiLCJwYXJzZS1uYW1lcyI6ZmFsc2UsImRyb3BwaW5nLXBhcnRpY2xlIjoiIiwibm9uLWRyb3BwaW5nLXBhcnRpY2xlIjoiIn1dLCJjb250YWluZXItdGl0bGUiOiJKb3VybmFsIG9mIEJ1c2luZXNzICYgRWNvbm9taWMgU3RhdGlzdGljcyIsIkRPSSI6IjEwLjEwODAvMDczNTAwMTUuMTk5NS4xMDUyNDYxMCIsIklTU04iOiIwNzM1LTAwMTUiLCJpc3N1ZWQiOnsiZGF0ZS1wYXJ0cyI6W1sxOTk1LDEwXV19LCJwYWdlIjoiMzYxLTM2MSIsInB1Ymxpc2hlciI6IkluZm9ybWEgVUsgTGltaXRlZCIsImlzc3VlIjoiNCIsInZvbHVtZSI6IjEzIiwiY29udGFpbmVyLXRpdGxlLXNob3J0IjoiIn0sImlzVGVtcG9yYXJ5IjpmYWxzZX1dfQ==&quot;,&quot;citationItems&quot;:[{&quot;id&quot;:&quot;bd575e44-4f72-33bb-990e-3d6c8143a190&quot;,&quot;itemData&quot;:{&quot;type&quot;:&quot;article-journal&quot;,&quot;id&quot;:&quot;bd575e44-4f72-33bb-990e-3d6c8143a190&quot;,&quot;title&quot;:&quot;A forecast comparison of volatility models: Does anything beat a GARCH(1,1)?&quot;,&quot;author&quot;:[{&quot;family&quot;:&quot;Hansen&quot;,&quot;given&quot;:&quot;Peter R.&quot;,&quot;parse-names&quot;:false,&quot;dropping-particle&quot;:&quot;&quot;,&quot;non-dropping-particle&quot;:&quot;&quot;},{&quot;family&quot;:&quot;Lunde&quot;,&quot;given&quot;:&quot;Asger&quot;,&quot;parse-names&quot;:false,&quot;dropping-particle&quot;:&quot;&quot;,&quot;non-dropping-particle&quot;:&quot;&quot;}],&quot;container-title&quot;:&quot;Journal of Applied Econometrics&quot;,&quot;DOI&quot;:&quot;10.1002/jae.800&quot;,&quot;ISSN&quot;:&quot;08837252&quot;,&quot;issued&quot;:{&quot;date-parts&quot;:[[2005,12]]},&quot;page&quot;:&quot;873-889&quot;,&quot;abstract&quot;:&quot;We compare 330 ARCH-type models in terms of their ability to describe the conditional variance. The models are compared out-of-sample using DM-$ exchange rate data and IBM return data, where the latter is based on a new data set of realized variance. We find no evidence that a GARCH(1,1) is outperformed by more sophisticated models in our analysis of exchange rates, whereas the GARCH(1,1) is clearly inferior to models that can accommodate a leverage effect in our analysis of IBM returns. The models are compared with the test for superior predictive ability (SPA) and the reality check for data snooping (RC). Our empirical results show that the RC lacks power to an extent that makes it unable to distinguish 'good' and 'bad' models in our analysis. Copyright © 2005 John Wiley &amp; Sons, Ltd.&quot;,&quot;issue&quot;:&quot;7&quot;,&quot;volume&quot;:&quot;20&quot;,&quot;container-title-short&quot;:&quot;&quot;},&quot;isTemporary&quot;:false},{&quot;id&quot;:&quot;b6ebd052-dd3f-3d70-8ea6-0c3f2fb8be5f&quot;,&quot;itemData&quot;:{&quot;type&quot;:&quot;article-journal&quot;,&quot;id&quot;:&quot;b6ebd052-dd3f-3d70-8ea6-0c3f2fb8be5f&quot;,&quot;title&quot;:&quot;Daniel B. Nelson, 1959–1995&quot;,&quot;author&quot;:[{&quot;family&quot;:&quot;Tauchen&quot;,&quot;given&quot;:&quot;George&quot;,&quot;parse-names&quot;:false,&quot;dropping-particle&quot;:&quot;&quot;,&quot;non-dropping-particle&quot;:&quot;&quot;},{&quot;family&quot;:&quot;Tsay&quot;,&quot;given&quot;:&quot;Ruey&quot;,&quot;parse-names&quot;:false,&quot;dropping-particle&quot;:&quot;&quot;,&quot;non-dropping-particle&quot;:&quot;&quot;},{&quot;family&quot;:&quot;Watson&quot;,&quot;given&quot;:&quot;Mark&quot;,&quot;parse-names&quot;:false,&quot;dropping-particle&quot;:&quot;&quot;,&quot;non-dropping-particle&quot;:&quot;&quot;}],&quot;container-title&quot;:&quot;Journal of Business &amp; Economic Statistics&quot;,&quot;DOI&quot;:&quot;10.1080/07350015.1995.10524610&quot;,&quot;ISSN&quot;:&quot;0735-0015&quot;,&quot;issued&quot;:{&quot;date-parts&quot;:[[1995,10]]},&quot;page&quot;:&quot;361-361&quot;,&quot;publisher&quot;:&quot;Informa UK Limited&quot;,&quot;issue&quot;:&quot;4&quot;,&quot;volume&quot;:&quot;13&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F2011-FD4A-495F-9571-C66F4C38A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17</Pages>
  <Words>5831</Words>
  <Characters>33237</Characters>
  <Application>Microsoft Office Word</Application>
  <DocSecurity>0</DocSecurity>
  <Lines>276</Lines>
  <Paragraphs>77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hp</cp:lastModifiedBy>
  <cp:revision>14</cp:revision>
  <dcterms:created xsi:type="dcterms:W3CDTF">2026-06-24T07:28:00Z</dcterms:created>
  <dcterms:modified xsi:type="dcterms:W3CDTF">2026-07-12T14:16:00Z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26990462-3b39-4306-a042-0926429e36c4</vt:lpwstr>
  </property>
</Properties>
</file>