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C8D4FF">
      <w:pPr>
        <w:jc w:val="center"/>
        <w:rPr>
          <w:rFonts w:hint="default" w:ascii="Times New Roman Regular" w:hAnsi="Times New Roman Regular" w:cs="Times New Roman Regular"/>
          <w:b/>
          <w:sz w:val="22"/>
          <w:szCs w:val="22"/>
        </w:rPr>
      </w:pPr>
      <w:r>
        <w:rPr>
          <w:rFonts w:hint="default" w:ascii="Times New Roman Regular" w:hAnsi="Times New Roman Regular" w:cs="Times New Roman Regular"/>
          <w:b/>
          <w:sz w:val="22"/>
          <w:szCs w:val="22"/>
          <w:lang w:val="en-US"/>
        </w:rPr>
        <w:t xml:space="preserve">THE </w:t>
      </w:r>
      <w:r>
        <w:rPr>
          <w:rFonts w:hint="default" w:ascii="Times New Roman Regular" w:hAnsi="Times New Roman Regular" w:cs="Times New Roman Regular"/>
          <w:b/>
          <w:sz w:val="22"/>
          <w:szCs w:val="22"/>
        </w:rPr>
        <w:t>FEMALE-HUSBAND CULTURE IN IGBOLAND: A CRITICAL DISCOURSE</w:t>
      </w:r>
    </w:p>
    <w:p w14:paraId="4DA03777">
      <w:pPr>
        <w:jc w:val="center"/>
        <w:rPr>
          <w:rFonts w:hint="default" w:ascii="Times New Roman Regular" w:hAnsi="Times New Roman Regular" w:cs="Times New Roman Regular"/>
          <w:b/>
          <w:sz w:val="22"/>
          <w:szCs w:val="22"/>
        </w:rPr>
      </w:pPr>
    </w:p>
    <w:p w14:paraId="5CD1EB3C">
      <w:pPr>
        <w:jc w:val="center"/>
        <w:rPr>
          <w:rFonts w:hint="default" w:ascii="Times New Roman Regular" w:hAnsi="Times New Roman Regular" w:cs="Times New Roman Regular"/>
          <w:b/>
          <w:sz w:val="22"/>
          <w:szCs w:val="22"/>
        </w:rPr>
      </w:pPr>
    </w:p>
    <w:p w14:paraId="05CB63A3">
      <w:pPr>
        <w:jc w:val="center"/>
        <w:rPr>
          <w:rFonts w:hint="default" w:ascii="Times New Roman Regular" w:hAnsi="Times New Roman Regular" w:cs="Times New Roman Regular"/>
          <w:b/>
          <w:sz w:val="22"/>
          <w:szCs w:val="22"/>
        </w:rPr>
      </w:pPr>
    </w:p>
    <w:p w14:paraId="0DF4BE6A">
      <w:pPr>
        <w:jc w:val="center"/>
        <w:rPr>
          <w:rFonts w:hint="default" w:ascii="Times New Roman Regular" w:hAnsi="Times New Roman Regular" w:cs="Times New Roman Regular"/>
          <w:b/>
          <w:sz w:val="22"/>
          <w:szCs w:val="22"/>
        </w:rPr>
      </w:pPr>
    </w:p>
    <w:p w14:paraId="199ACA4D">
      <w:pPr>
        <w:jc w:val="center"/>
        <w:rPr>
          <w:rFonts w:hint="default" w:ascii="Times New Roman Regular" w:hAnsi="Times New Roman Regular" w:cs="Times New Roman Regular"/>
          <w:b/>
          <w:sz w:val="22"/>
          <w:szCs w:val="22"/>
        </w:rPr>
      </w:pPr>
    </w:p>
    <w:p w14:paraId="23DB797F">
      <w:pPr>
        <w:jc w:val="center"/>
        <w:rPr>
          <w:rFonts w:hint="default" w:ascii="Times New Roman Regular" w:hAnsi="Times New Roman Regular" w:cs="Times New Roman Regular"/>
          <w:b/>
          <w:sz w:val="22"/>
          <w:szCs w:val="22"/>
        </w:rPr>
      </w:pPr>
    </w:p>
    <w:p w14:paraId="4C3FF8C0">
      <w:pPr>
        <w:jc w:val="center"/>
        <w:rPr>
          <w:rFonts w:hint="default" w:ascii="Times New Roman Regular" w:hAnsi="Times New Roman Regular" w:cs="Times New Roman Regular"/>
          <w:b/>
          <w:sz w:val="22"/>
          <w:szCs w:val="22"/>
        </w:rPr>
      </w:pPr>
    </w:p>
    <w:p w14:paraId="7B54C793">
      <w:pPr>
        <w:jc w:val="center"/>
        <w:rPr>
          <w:rFonts w:hint="default" w:ascii="Times New Roman Regular" w:hAnsi="Times New Roman Regular" w:cs="Times New Roman Regular"/>
          <w:b/>
          <w:sz w:val="22"/>
          <w:szCs w:val="22"/>
        </w:rPr>
      </w:pPr>
    </w:p>
    <w:p w14:paraId="2367E659">
      <w:pPr>
        <w:jc w:val="center"/>
        <w:rPr>
          <w:rFonts w:hint="default" w:ascii="Times New Roman Regular" w:hAnsi="Times New Roman Regular" w:cs="Times New Roman Regular"/>
          <w:b/>
          <w:sz w:val="22"/>
          <w:szCs w:val="22"/>
        </w:rPr>
      </w:pPr>
    </w:p>
    <w:p w14:paraId="54EFBA11">
      <w:pPr>
        <w:jc w:val="center"/>
        <w:rPr>
          <w:rFonts w:hint="default" w:ascii="Times New Roman Regular" w:hAnsi="Times New Roman Regular" w:cs="Times New Roman Regular"/>
          <w:b/>
          <w:sz w:val="22"/>
          <w:szCs w:val="22"/>
        </w:rPr>
      </w:pPr>
    </w:p>
    <w:p w14:paraId="5ACEF7F5">
      <w:pPr>
        <w:jc w:val="center"/>
        <w:rPr>
          <w:rFonts w:hint="default" w:ascii="Times New Roman Regular" w:hAnsi="Times New Roman Regular" w:cs="Times New Roman Regular"/>
          <w:b/>
          <w:sz w:val="22"/>
          <w:szCs w:val="22"/>
        </w:rPr>
      </w:pPr>
    </w:p>
    <w:p w14:paraId="701F354E">
      <w:pPr>
        <w:jc w:val="center"/>
        <w:rPr>
          <w:rFonts w:hint="default" w:ascii="Times New Roman Regular" w:hAnsi="Times New Roman Regular" w:cs="Times New Roman Regular"/>
          <w:b/>
          <w:sz w:val="22"/>
          <w:szCs w:val="22"/>
        </w:rPr>
      </w:pPr>
    </w:p>
    <w:p w14:paraId="78B0C082">
      <w:pPr>
        <w:jc w:val="center"/>
        <w:rPr>
          <w:rFonts w:hint="default" w:ascii="Times New Roman Regular" w:hAnsi="Times New Roman Regular" w:cs="Times New Roman Regular"/>
          <w:b/>
          <w:sz w:val="22"/>
          <w:szCs w:val="22"/>
        </w:rPr>
      </w:pPr>
    </w:p>
    <w:p w14:paraId="4A6FFCFA">
      <w:pPr>
        <w:jc w:val="center"/>
        <w:rPr>
          <w:rFonts w:hint="default" w:ascii="Times New Roman Regular" w:hAnsi="Times New Roman Regular" w:cs="Times New Roman Regular"/>
          <w:b/>
          <w:sz w:val="22"/>
          <w:szCs w:val="22"/>
        </w:rPr>
      </w:pPr>
    </w:p>
    <w:p w14:paraId="7C056405">
      <w:pPr>
        <w:jc w:val="center"/>
        <w:rPr>
          <w:rFonts w:hint="default" w:ascii="Times New Roman Regular" w:hAnsi="Times New Roman Regular" w:cs="Times New Roman Regular"/>
          <w:b/>
          <w:sz w:val="22"/>
          <w:szCs w:val="22"/>
        </w:rPr>
      </w:pPr>
    </w:p>
    <w:p w14:paraId="5444CF6E">
      <w:pPr>
        <w:jc w:val="center"/>
        <w:rPr>
          <w:rFonts w:hint="default" w:ascii="Times New Roman Regular" w:hAnsi="Times New Roman Regular" w:cs="Times New Roman Regular"/>
          <w:b/>
          <w:sz w:val="22"/>
          <w:szCs w:val="22"/>
        </w:rPr>
      </w:pPr>
    </w:p>
    <w:p w14:paraId="5C64C0A0">
      <w:pPr>
        <w:jc w:val="center"/>
        <w:rPr>
          <w:rFonts w:hint="default" w:ascii="Times New Roman Regular" w:hAnsi="Times New Roman Regular" w:cs="Times New Roman Regular"/>
          <w:b/>
          <w:sz w:val="22"/>
          <w:szCs w:val="22"/>
        </w:rPr>
      </w:pPr>
    </w:p>
    <w:p w14:paraId="3510AAB8">
      <w:pPr>
        <w:jc w:val="center"/>
        <w:rPr>
          <w:rFonts w:hint="default" w:ascii="Times New Roman Regular" w:hAnsi="Times New Roman Regular" w:cs="Times New Roman Regular"/>
          <w:b/>
          <w:sz w:val="22"/>
          <w:szCs w:val="22"/>
        </w:rPr>
      </w:pPr>
    </w:p>
    <w:p w14:paraId="3504C8D6">
      <w:pPr>
        <w:jc w:val="center"/>
        <w:rPr>
          <w:rFonts w:hint="default" w:ascii="Times New Roman Regular" w:hAnsi="Times New Roman Regular" w:cs="Times New Roman Regular"/>
          <w:b/>
          <w:sz w:val="22"/>
          <w:szCs w:val="22"/>
        </w:rPr>
      </w:pPr>
    </w:p>
    <w:p w14:paraId="5E99E3EE">
      <w:pPr>
        <w:jc w:val="center"/>
        <w:rPr>
          <w:rFonts w:hint="default" w:ascii="Times New Roman Regular" w:hAnsi="Times New Roman Regular" w:cs="Times New Roman Regular"/>
          <w:b/>
          <w:sz w:val="22"/>
          <w:szCs w:val="22"/>
        </w:rPr>
      </w:pPr>
    </w:p>
    <w:p w14:paraId="261D7BAE">
      <w:pPr>
        <w:jc w:val="center"/>
        <w:rPr>
          <w:rFonts w:hint="default" w:ascii="Times New Roman Regular" w:hAnsi="Times New Roman Regular" w:cs="Times New Roman Regular"/>
          <w:b/>
          <w:sz w:val="22"/>
          <w:szCs w:val="22"/>
        </w:rPr>
      </w:pPr>
    </w:p>
    <w:p w14:paraId="074126C3">
      <w:pPr>
        <w:jc w:val="center"/>
        <w:rPr>
          <w:rFonts w:hint="default" w:ascii="Times New Roman Regular" w:hAnsi="Times New Roman Regular" w:cs="Times New Roman Regular"/>
          <w:b/>
          <w:sz w:val="22"/>
          <w:szCs w:val="22"/>
        </w:rPr>
      </w:pPr>
    </w:p>
    <w:p w14:paraId="6E8269FB">
      <w:pPr>
        <w:jc w:val="center"/>
        <w:rPr>
          <w:rFonts w:hint="default" w:ascii="Times New Roman Regular" w:hAnsi="Times New Roman Regular" w:cs="Times New Roman Regular"/>
          <w:b/>
          <w:sz w:val="22"/>
          <w:szCs w:val="22"/>
        </w:rPr>
      </w:pPr>
    </w:p>
    <w:p w14:paraId="4B7BCE8F">
      <w:pPr>
        <w:jc w:val="center"/>
        <w:rPr>
          <w:rFonts w:hint="default" w:ascii="Times New Roman Regular" w:hAnsi="Times New Roman Regular" w:cs="Times New Roman Regular"/>
          <w:b/>
          <w:sz w:val="22"/>
          <w:szCs w:val="22"/>
        </w:rPr>
      </w:pPr>
    </w:p>
    <w:p w14:paraId="2BD180CF">
      <w:pPr>
        <w:jc w:val="center"/>
        <w:rPr>
          <w:rFonts w:hint="default" w:ascii="Times New Roman Regular" w:hAnsi="Times New Roman Regular" w:cs="Times New Roman Regular"/>
          <w:b/>
          <w:sz w:val="22"/>
          <w:szCs w:val="22"/>
        </w:rPr>
      </w:pPr>
    </w:p>
    <w:p w14:paraId="1F3D77B8">
      <w:pPr>
        <w:jc w:val="center"/>
        <w:rPr>
          <w:rFonts w:hint="default" w:ascii="Times New Roman Regular" w:hAnsi="Times New Roman Regular" w:cs="Times New Roman Regular"/>
          <w:b/>
          <w:sz w:val="22"/>
          <w:szCs w:val="22"/>
        </w:rPr>
      </w:pPr>
    </w:p>
    <w:p w14:paraId="4D28B10A">
      <w:pPr>
        <w:jc w:val="center"/>
        <w:rPr>
          <w:rFonts w:hint="default" w:ascii="Times New Roman Regular" w:hAnsi="Times New Roman Regular" w:cs="Times New Roman Regular"/>
          <w:b/>
          <w:sz w:val="22"/>
          <w:szCs w:val="22"/>
        </w:rPr>
      </w:pPr>
    </w:p>
    <w:p w14:paraId="09C5DB94">
      <w:pPr>
        <w:jc w:val="center"/>
        <w:rPr>
          <w:rFonts w:hint="default" w:ascii="Times New Roman Regular" w:hAnsi="Times New Roman Regular" w:cs="Times New Roman Regular"/>
          <w:b/>
          <w:sz w:val="22"/>
          <w:szCs w:val="22"/>
        </w:rPr>
      </w:pPr>
      <w:r>
        <w:rPr>
          <w:rFonts w:hint="default" w:ascii="Times New Roman Regular" w:hAnsi="Times New Roman Regular" w:cs="Times New Roman Regular"/>
          <w:b/>
          <w:sz w:val="22"/>
          <w:szCs w:val="22"/>
        </w:rPr>
        <w:t>Abstract</w:t>
      </w:r>
    </w:p>
    <w:p w14:paraId="06857318">
      <w:pPr>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The institution of the female-husband in Igboland is a complex, indigenous, and non-sexualised customary practice that allows a woman to act as a "husband" to a younger woman, with the primary goal of securing lineage continuity, preserving inheritance rights, and mitigating the social stigma of childlessness or barrenness within a deeply patriarchal society. Using qualitative data from oral interviews with 18 respondents, observation, and ethnographic sources, it situates the institution within Igbo kinship ideology. Findings show that although </w:t>
      </w:r>
      <w:r>
        <w:rPr>
          <w:rFonts w:hint="default" w:ascii="Times New Roman Regular" w:hAnsi="Times New Roman Regular" w:cs="Times New Roman Regular"/>
          <w:sz w:val="22"/>
          <w:szCs w:val="22"/>
          <w:lang w:val="en-US"/>
        </w:rPr>
        <w:t xml:space="preserve">the </w:t>
      </w:r>
      <w:r>
        <w:rPr>
          <w:rFonts w:hint="default" w:ascii="Times New Roman Regular" w:hAnsi="Times New Roman Regular" w:cs="Times New Roman Regular"/>
          <w:sz w:val="22"/>
          <w:szCs w:val="22"/>
        </w:rPr>
        <w:t xml:space="preserve">female-husbands </w:t>
      </w:r>
      <w:r>
        <w:rPr>
          <w:rFonts w:hint="default" w:ascii="Times New Roman Regular" w:hAnsi="Times New Roman Regular" w:cs="Times New Roman Regular"/>
          <w:sz w:val="22"/>
          <w:szCs w:val="22"/>
          <w:lang w:val="en-US"/>
        </w:rPr>
        <w:t xml:space="preserve">culture </w:t>
      </w:r>
      <w:r>
        <w:rPr>
          <w:rFonts w:hint="default" w:ascii="Times New Roman Regular" w:hAnsi="Times New Roman Regular" w:cs="Times New Roman Regular"/>
          <w:sz w:val="22"/>
          <w:szCs w:val="22"/>
        </w:rPr>
        <w:t>exercised economic and social authority, this power depended on adopting a symbolic male identity. In conclusion, the practice preserved male-centred lineage, property transmission, and ancestral legitimacy, demonstrating Igbo society’s cultural flexibility while sustaining patriarchal foundations.</w:t>
      </w:r>
    </w:p>
    <w:p w14:paraId="489D0748">
      <w:pPr>
        <w:jc w:val="both"/>
        <w:rPr>
          <w:rFonts w:hint="default" w:ascii="Times New Roman Regular" w:hAnsi="Times New Roman Regular" w:cs="Times New Roman Regular"/>
          <w:sz w:val="22"/>
          <w:szCs w:val="22"/>
        </w:rPr>
      </w:pPr>
    </w:p>
    <w:p w14:paraId="4B2D2B66">
      <w:pPr>
        <w:rPr>
          <w:rFonts w:hint="default" w:ascii="Times New Roman Regular" w:hAnsi="Times New Roman Regular" w:cs="Times New Roman Regular"/>
          <w:sz w:val="22"/>
          <w:szCs w:val="22"/>
        </w:rPr>
      </w:pPr>
      <w:r>
        <w:rPr>
          <w:rFonts w:hint="default" w:ascii="Times New Roman Regular" w:hAnsi="Times New Roman Regular" w:cs="Times New Roman Regular"/>
          <w:b/>
          <w:bCs/>
          <w:sz w:val="22"/>
          <w:szCs w:val="22"/>
        </w:rPr>
        <w:t xml:space="preserve">Keywords: </w:t>
      </w:r>
      <w:r>
        <w:rPr>
          <w:rFonts w:hint="default" w:ascii="Times New Roman Regular" w:hAnsi="Times New Roman Regular" w:cs="Times New Roman Regular"/>
          <w:sz w:val="22"/>
          <w:szCs w:val="22"/>
        </w:rPr>
        <w:t>Female-husband, Igboland, patriarchy, lineage, gender roles, indigenous institutions</w:t>
      </w:r>
    </w:p>
    <w:p w14:paraId="1EE6C485">
      <w:pPr>
        <w:rPr>
          <w:rFonts w:hint="default" w:ascii="Times New Roman Regular" w:hAnsi="Times New Roman Regular" w:cs="Times New Roman Regular"/>
          <w:sz w:val="22"/>
          <w:szCs w:val="22"/>
        </w:rPr>
      </w:pPr>
    </w:p>
    <w:p w14:paraId="160DDB57">
      <w:pPr>
        <w:rPr>
          <w:rFonts w:hint="default" w:ascii="Times New Roman Regular" w:hAnsi="Times New Roman Regular" w:cs="Times New Roman Regular"/>
          <w:sz w:val="22"/>
          <w:szCs w:val="22"/>
        </w:rPr>
      </w:pPr>
    </w:p>
    <w:p w14:paraId="01C7EF01">
      <w:pPr>
        <w:spacing w:line="480" w:lineRule="auto"/>
        <w:rPr>
          <w:rFonts w:hint="default" w:ascii="Times New Roman Regular" w:hAnsi="Times New Roman Regular" w:cs="Times New Roman Regular"/>
          <w:b/>
          <w:sz w:val="22"/>
          <w:szCs w:val="22"/>
        </w:rPr>
      </w:pPr>
    </w:p>
    <w:p w14:paraId="301F536D">
      <w:pPr>
        <w:spacing w:line="480" w:lineRule="auto"/>
        <w:rPr>
          <w:rFonts w:hint="default" w:ascii="Times New Roman Regular" w:hAnsi="Times New Roman Regular" w:cs="Times New Roman Regular"/>
          <w:b/>
          <w:sz w:val="22"/>
          <w:szCs w:val="22"/>
        </w:rPr>
      </w:pPr>
    </w:p>
    <w:p w14:paraId="5D39F059">
      <w:pPr>
        <w:spacing w:line="480" w:lineRule="auto"/>
        <w:rPr>
          <w:rFonts w:hint="default" w:ascii="Times New Roman Regular" w:hAnsi="Times New Roman Regular" w:cs="Times New Roman Regular"/>
          <w:b/>
          <w:sz w:val="22"/>
          <w:szCs w:val="22"/>
        </w:rPr>
      </w:pPr>
    </w:p>
    <w:p w14:paraId="66FB2417">
      <w:pPr>
        <w:spacing w:line="480" w:lineRule="auto"/>
        <w:rPr>
          <w:rFonts w:hint="default" w:ascii="Times New Roman Regular" w:hAnsi="Times New Roman Regular" w:cs="Times New Roman Regular"/>
          <w:b/>
          <w:sz w:val="22"/>
          <w:szCs w:val="22"/>
        </w:rPr>
      </w:pPr>
    </w:p>
    <w:p w14:paraId="7BBC596A">
      <w:pPr>
        <w:spacing w:line="480" w:lineRule="auto"/>
        <w:rPr>
          <w:rFonts w:hint="default" w:ascii="Times New Roman Regular" w:hAnsi="Times New Roman Regular" w:cs="Times New Roman Regular"/>
          <w:b/>
          <w:sz w:val="22"/>
          <w:szCs w:val="22"/>
        </w:rPr>
      </w:pPr>
    </w:p>
    <w:p w14:paraId="677F4415">
      <w:pPr>
        <w:spacing w:line="480" w:lineRule="auto"/>
        <w:rPr>
          <w:rFonts w:hint="default" w:ascii="Times New Roman Regular" w:hAnsi="Times New Roman Regular" w:cs="Times New Roman Regular"/>
          <w:b/>
          <w:sz w:val="22"/>
          <w:szCs w:val="22"/>
        </w:rPr>
      </w:pPr>
    </w:p>
    <w:p w14:paraId="5E02CFF5">
      <w:pPr>
        <w:spacing w:line="480" w:lineRule="auto"/>
        <w:rPr>
          <w:rFonts w:hint="default" w:ascii="Times New Roman Regular" w:hAnsi="Times New Roman Regular" w:cs="Times New Roman Regular"/>
          <w:b/>
          <w:sz w:val="22"/>
          <w:szCs w:val="22"/>
        </w:rPr>
      </w:pPr>
    </w:p>
    <w:p w14:paraId="4D3A2F63">
      <w:pPr>
        <w:spacing w:line="480" w:lineRule="auto"/>
        <w:rPr>
          <w:rFonts w:hint="default" w:ascii="Times New Roman Regular" w:hAnsi="Times New Roman Regular" w:cs="Times New Roman Regular"/>
          <w:b/>
          <w:sz w:val="22"/>
          <w:szCs w:val="22"/>
        </w:rPr>
      </w:pPr>
    </w:p>
    <w:p w14:paraId="55F8C2BA">
      <w:pPr>
        <w:spacing w:line="480" w:lineRule="auto"/>
        <w:rPr>
          <w:rFonts w:hint="default" w:ascii="Times New Roman Regular" w:hAnsi="Times New Roman Regular" w:cs="Times New Roman Regular"/>
          <w:b/>
          <w:sz w:val="22"/>
          <w:szCs w:val="22"/>
        </w:rPr>
      </w:pPr>
    </w:p>
    <w:p w14:paraId="0A30AD6B">
      <w:pPr>
        <w:spacing w:line="480" w:lineRule="auto"/>
        <w:rPr>
          <w:rFonts w:hint="default" w:ascii="Times New Roman Regular" w:hAnsi="Times New Roman Regular" w:cs="Times New Roman Regular"/>
          <w:b/>
          <w:sz w:val="22"/>
          <w:szCs w:val="22"/>
        </w:rPr>
      </w:pPr>
    </w:p>
    <w:p w14:paraId="565F57D5">
      <w:pPr>
        <w:spacing w:line="480" w:lineRule="auto"/>
        <w:rPr>
          <w:rFonts w:hint="default" w:ascii="Times New Roman Regular" w:hAnsi="Times New Roman Regular" w:cs="Times New Roman Regular"/>
          <w:b/>
          <w:sz w:val="22"/>
          <w:szCs w:val="22"/>
        </w:rPr>
      </w:pPr>
    </w:p>
    <w:p w14:paraId="18790929">
      <w:pPr>
        <w:spacing w:line="480" w:lineRule="auto"/>
        <w:rPr>
          <w:rFonts w:hint="default" w:ascii="Times New Roman Regular" w:hAnsi="Times New Roman Regular" w:cs="Times New Roman Regular"/>
          <w:b/>
          <w:sz w:val="22"/>
          <w:szCs w:val="22"/>
        </w:rPr>
      </w:pPr>
    </w:p>
    <w:p w14:paraId="39B54D04">
      <w:pPr>
        <w:spacing w:line="480" w:lineRule="auto"/>
        <w:rPr>
          <w:rFonts w:hint="default" w:ascii="Times New Roman Regular" w:hAnsi="Times New Roman Regular" w:cs="Times New Roman Regular"/>
          <w:b/>
          <w:sz w:val="22"/>
          <w:szCs w:val="22"/>
        </w:rPr>
      </w:pPr>
      <w:r>
        <w:rPr>
          <w:rFonts w:hint="default" w:ascii="Times New Roman Regular" w:hAnsi="Times New Roman Regular" w:cs="Times New Roman Regular"/>
          <w:b/>
          <w:sz w:val="22"/>
          <w:szCs w:val="22"/>
        </w:rPr>
        <w:t>INTRODUCTION</w:t>
      </w:r>
    </w:p>
    <w:p w14:paraId="7B58647F">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In Igbo-land, marriage is a sign of adulthood and responsibility; it allows people to fully participate in the community and acts as a vehicle for establishing economic, military, and political ties (Uchendu, 2007a). According to Uchendu, the main purpose of marriage in Igbo-land throughout the pre-colonial and early colonial eras was to create a legal foundation for procreation, which the Igbo saw as a duty to the ancestors due to the emphasis on offspring (2007a). This was based on the understanding that those born owe the debt of begetting others.</w:t>
      </w:r>
    </w:p>
    <w:p w14:paraId="0914585F">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To achieve this, Igbo-land had several marriage practices, including concubinage, marriage by abduction (practised in Anioma), marriage through pawning (which permitted fathers to use their daughters as collateral for loans but was outlawed by British legislation during the colonial era), and marriage contract (marriage between exogamous families) (Uchendu, 2007b). However, one of the sporadic forms of marriage that existed in Igbo-land during the pre-colonial rule was the female-husband marriage/culture. The practice of female husband in Igbo land was different from the lesbianism practice in the West and other societies, as will be seen in this paper. Though this practice of female-husband marriage was not common, its rarity did not deny its existence.</w:t>
      </w:r>
    </w:p>
    <w:p w14:paraId="6C8EEE47">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The female-husband culture was not only a customary way in Igboland for singles during the pre-colonial era, but also for wealthy women, who could not have their own children, to procreate (Nwoko, 2012). The improvisation of the male child's personality, with the corresponding roles and obligations, was the primary cause of the female-husband practice. According to patriarchal customs and ancient Igbo culture, a man's heritage was perpetuated in his sons' characteristics (2012). According to the female-husband practice, when a man is unable to have a male child, he appoints one of his daughters, in most cases, the first daughter, to stay back in the family and procreate, hence, identified as the female-husband. </w:t>
      </w:r>
    </w:p>
    <w:p w14:paraId="42581BB8">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Although quite similar, this culture poses some variations in Igboland as compared to its practice in Onitsha. Its motif varies from a means of kin continuation, preservation, accentuation and social interconnectedness; however, it ultimately promotes the cultural norm of patriarchal tradition as compared to its appraisal on other Igbo cultural values. Thus, this draws a requirement for scholarly assessment on female husband culture in Onitsha, Anambra State. </w:t>
      </w:r>
    </w:p>
    <w:p w14:paraId="492C3A7C">
      <w:pPr>
        <w:spacing w:line="480" w:lineRule="auto"/>
        <w:jc w:val="both"/>
        <w:rPr>
          <w:rFonts w:hint="default" w:ascii="Times New Roman Regular" w:hAnsi="Times New Roman Regular" w:cs="Times New Roman Regular"/>
          <w:b/>
          <w:sz w:val="22"/>
          <w:szCs w:val="22"/>
        </w:rPr>
      </w:pPr>
      <w:r>
        <w:rPr>
          <w:rFonts w:hint="default" w:ascii="Times New Roman Regular" w:hAnsi="Times New Roman Regular" w:cs="Times New Roman Regular"/>
          <w:b/>
          <w:sz w:val="22"/>
          <w:szCs w:val="22"/>
        </w:rPr>
        <w:t>METHODOLOGY</w:t>
      </w:r>
    </w:p>
    <w:p w14:paraId="40CC7C51">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This research employs both primary and secondary sources of data. The primary source comprises oral interviews and non-participant observation. Oral interviews were conducted with seven (7) titled chiefs in Igboland</w:t>
      </w:r>
      <w:r>
        <w:rPr>
          <w:rFonts w:hint="default" w:ascii="Times New Roman Regular" w:hAnsi="Times New Roman Regular" w:cs="Times New Roman Regular"/>
          <w:i/>
          <w:sz w:val="22"/>
          <w:szCs w:val="22"/>
        </w:rPr>
        <w:t xml:space="preserve">, </w:t>
      </w:r>
      <w:r>
        <w:rPr>
          <w:rFonts w:hint="default" w:ascii="Times New Roman Regular" w:hAnsi="Times New Roman Regular" w:cs="Times New Roman Regular"/>
          <w:sz w:val="22"/>
          <w:szCs w:val="22"/>
        </w:rPr>
        <w:t>seven (7) community residential and four (4) female husbands. The secondary source includes books, journal articles and the internet. The data collected were analysed using sociological approaches.</w:t>
      </w:r>
    </w:p>
    <w:p w14:paraId="720AD359">
      <w:pPr>
        <w:spacing w:line="480" w:lineRule="auto"/>
        <w:jc w:val="both"/>
        <w:rPr>
          <w:rFonts w:hint="default" w:ascii="Times New Roman Bold" w:hAnsi="Times New Roman Bold" w:cs="Times New Roman Bold"/>
          <w:b/>
          <w:bCs/>
          <w:sz w:val="22"/>
          <w:szCs w:val="22"/>
          <w:lang w:val="en-US"/>
        </w:rPr>
      </w:pPr>
      <w:r>
        <w:rPr>
          <w:rFonts w:hint="default" w:ascii="Times New Roman Bold" w:hAnsi="Times New Roman Bold" w:cs="Times New Roman Bold"/>
          <w:b/>
          <w:bCs/>
          <w:sz w:val="22"/>
          <w:szCs w:val="22"/>
          <w:lang w:val="en-US"/>
        </w:rPr>
        <w:t>MARRIAGE IN IGBO LAND</w:t>
      </w:r>
    </w:p>
    <w:p w14:paraId="328A2B44">
      <w:pPr>
        <w:spacing w:line="480" w:lineRule="auto"/>
        <w:jc w:val="both"/>
        <w:rPr>
          <w:rFonts w:hint="default" w:ascii="Times New Roman Regular" w:hAnsi="Times New Roman Regular" w:cs="Times New Roman Regular"/>
          <w:sz w:val="22"/>
          <w:szCs w:val="22"/>
          <w:lang w:val="en-US"/>
        </w:rPr>
      </w:pPr>
      <w:r>
        <w:rPr>
          <w:rFonts w:hint="default" w:ascii="Times New Roman Regular" w:hAnsi="Times New Roman Regular" w:cs="Times New Roman Regular"/>
          <w:sz w:val="22"/>
          <w:szCs w:val="22"/>
          <w:lang w:val="en-US"/>
        </w:rPr>
        <w:t>According to the conventional perspective, marriage is an agreement between two families, regardless of their socioeconomic situation, to live together for the rest of their lives and to share certain basic needs. It also involves two adults of different sexes joining together to take on the obligations and responsibilities that come with becoming a man or a woman for the rest of their lives. It is an institution that grants its members the sole authority to live together and have children (Igodu, 2020).</w:t>
      </w:r>
    </w:p>
    <w:p w14:paraId="3684568B">
      <w:pPr>
        <w:spacing w:line="480" w:lineRule="auto"/>
        <w:jc w:val="both"/>
        <w:rPr>
          <w:rFonts w:hint="default" w:ascii="Times New Roman Regular" w:hAnsi="Times New Roman Regular" w:cs="Times New Roman Regular"/>
          <w:sz w:val="22"/>
          <w:szCs w:val="22"/>
          <w:lang w:val="en-US"/>
        </w:rPr>
      </w:pPr>
      <w:r>
        <w:rPr>
          <w:rFonts w:hint="default" w:ascii="Times New Roman Regular" w:hAnsi="Times New Roman Regular" w:cs="Times New Roman Regular"/>
          <w:sz w:val="22"/>
          <w:szCs w:val="22"/>
          <w:lang w:val="en-US"/>
        </w:rPr>
        <w:t>According to Williams (1987), traditional Igbo marriage is typically a union of families rather than just two individuals. This is due to the belief that a husband and wife's families are bound together in a cordial connection just by virtue of their marriage. However, it is not only a social gathering; rather, it is deeply rooted in a religious context that includes praying to the ancestors. It is clear from the above that marriage is the center of life for the Igbo people. It is the pinnacle of a community's membership where the living, the dead, and the unborn come together. Therefore, marriage is a requirement of life in which everyone must take part, an obligation, and a responsibility from the corporate society (Chukwuokolo, 2019).</w:t>
      </w:r>
    </w:p>
    <w:p w14:paraId="6CF75EC2">
      <w:pPr>
        <w:spacing w:line="480" w:lineRule="auto"/>
        <w:jc w:val="both"/>
        <w:rPr>
          <w:rFonts w:hint="default" w:ascii="Times New Roman Regular" w:hAnsi="Times New Roman Regular" w:cs="Times New Roman Regular"/>
          <w:sz w:val="22"/>
          <w:szCs w:val="22"/>
          <w:lang w:val="en-US"/>
        </w:rPr>
      </w:pPr>
      <w:r>
        <w:rPr>
          <w:rFonts w:hint="default" w:ascii="Times New Roman Regular" w:hAnsi="Times New Roman Regular" w:cs="Times New Roman Regular"/>
          <w:sz w:val="22"/>
          <w:szCs w:val="22"/>
          <w:lang w:val="en-US"/>
        </w:rPr>
        <w:t>Traditionally, a marriage contract is made between two families, two umunna (extended family), or perhaps two villages rather than two individuals. Marriage creates a web-like link between villages, which improves peace in the communities where it occurs. The two families' members become "ogo" (in-laws) to one another. This new "ogo" link deepens to the level of blood ties. Thus, 'ogo mmadu bu nwanne ya' (a person's in-law is also his brother) is an Igbo proverb. When the couple and their folks are at home in each other's homes, this leads to the expansion of social ties. In their mothers' homes, the union's attendant children become "nwadiana," or nwa nwa, with several privileges (Nwabude, 2022). As a result, marriage alters everyone's social standing. Many clans and lineages are brought together for commerce, defence, and mutual aid as a result of the exogamy and polygyny systems. Legal, moral, and ceremonial duties aimed at safeguarding the common interest, life, and property of all members of the marital groups bind lineages or families that have united via the marriage of any of their offspring. The widespread friendship that arises from marriage also contributes significantly to the improvement of ties across villages and even between village groupings (Chukwuokolo, 2019).</w:t>
      </w:r>
    </w:p>
    <w:p w14:paraId="034C9DF8">
      <w:pPr>
        <w:spacing w:line="480" w:lineRule="auto"/>
        <w:jc w:val="both"/>
        <w:rPr>
          <w:rFonts w:hint="default" w:ascii="Times New Roman Regular" w:hAnsi="Times New Roman Regular" w:cs="Times New Roman Regular"/>
          <w:sz w:val="22"/>
          <w:szCs w:val="22"/>
          <w:lang w:val="en-US"/>
        </w:rPr>
      </w:pPr>
      <w:r>
        <w:rPr>
          <w:rFonts w:hint="default" w:ascii="Times New Roman Regular" w:hAnsi="Times New Roman Regular" w:cs="Times New Roman Regular"/>
          <w:sz w:val="22"/>
          <w:szCs w:val="22"/>
          <w:lang w:val="en-US"/>
        </w:rPr>
        <w:t>Igbo marriages are patrilineal, meaning that property and rank are passed down through the paternal line. When women go in with their husbands' paternal family instead of their own, it is likewise linked to virilocality. However, the matriliny system, in which rank and property are passed down through the maternal line, is documented in Ohafia, Afikpo, Edda, and Arochukwu. These communities are still virilocal, as in the patrilineal systems of the other Igbo country, despite the fact that this kind of extended family structure is typically linked to uxorilocality, a circumstance in which the man is supposed to go to the family of his wife (Nwoko, 2012).</w:t>
      </w:r>
    </w:p>
    <w:p w14:paraId="29A45119">
      <w:pPr>
        <w:spacing w:line="480" w:lineRule="auto"/>
        <w:jc w:val="both"/>
        <w:rPr>
          <w:rFonts w:hint="default" w:ascii="Times New Roman Regular" w:hAnsi="Times New Roman Regular" w:cs="Times New Roman Regular"/>
          <w:sz w:val="22"/>
          <w:szCs w:val="22"/>
          <w:lang w:val="en-US"/>
        </w:rPr>
      </w:pPr>
      <w:r>
        <w:rPr>
          <w:rFonts w:hint="default" w:ascii="Times New Roman Regular" w:hAnsi="Times New Roman Regular" w:cs="Times New Roman Regular"/>
          <w:sz w:val="22"/>
          <w:szCs w:val="22"/>
          <w:lang w:val="en-US"/>
        </w:rPr>
        <w:t xml:space="preserve">The Igbo people also practise other forms of marriage, such as "ikuchi nwanyi," or marriage by inheritance. Igbo custom permits inheritance-based marriage. It usually happens when a man passes away and leaves a widow. As long as the widow is still of childbearing age, tradition allows any interested member of the deceased man's family to inherit her; this is known as "ikuchi nwanyi" (to inherit a wife) in some part of Igbo land. In many Igbo communities, the original spouse inherits all children from this marriage. In some cases, however, this relationship is contracted as a distinct marriage; as a result, the children belong to the new spouse. Because marriage was seen as a bond between two families rather than two individuals, one could see why these marriages were successful. In any event, the new spouse is in charge of raising the deceased man's children (Chukwuokolo, 2019). </w:t>
      </w:r>
    </w:p>
    <w:p w14:paraId="4E1D6373">
      <w:pPr>
        <w:keepNext w:val="0"/>
        <w:keepLines w:val="0"/>
        <w:widowControl/>
        <w:suppressLineNumbers w:val="0"/>
        <w:spacing w:line="480" w:lineRule="auto"/>
        <w:jc w:val="both"/>
        <w:rPr>
          <w:rFonts w:hint="default" w:ascii="Times New Roman Regular" w:hAnsi="Times New Roman Regular" w:eastAsia="SimSun" w:cs="Times New Roman Regular"/>
          <w:kern w:val="0"/>
          <w:sz w:val="22"/>
          <w:szCs w:val="22"/>
          <w:lang w:val="en-US" w:eastAsia="zh-CN" w:bidi="ar"/>
          <w14:ligatures w14:val="none"/>
        </w:rPr>
      </w:pPr>
      <w:r>
        <w:rPr>
          <w:rFonts w:hint="default" w:ascii="Times New Roman Regular" w:hAnsi="Times New Roman Regular" w:cs="Times New Roman Regular"/>
          <w:sz w:val="22"/>
          <w:szCs w:val="22"/>
          <w:lang w:val="en-US"/>
        </w:rPr>
        <w:t>One may conclude from the aforementioned that the pursuit of children is a fundamental aspect of marriage. In these ways, the Igbo demonstrate that they make these agreements for the benefit of their male progeny. It is impossible to overstate the importance of male concerns. One of the Igbo tribe's most enduring cultural values is the preference for male offspring. This phenomena is seen in many communities, where male children are given more prestige and/or particular acknowledgement than their female counterparts (Akinlawon, 2010)</w:t>
      </w:r>
      <w:r>
        <w:rPr>
          <w:rFonts w:hint="default" w:ascii="Times New Roman Regular" w:hAnsi="Times New Roman Regular" w:eastAsia="SimSun" w:cs="Times New Roman Regular"/>
          <w:kern w:val="0"/>
          <w:sz w:val="22"/>
          <w:szCs w:val="22"/>
          <w:lang w:val="en-US" w:eastAsia="zh-CN" w:bidi="ar"/>
          <w14:ligatures w14:val="none"/>
        </w:rPr>
        <w:t>. One of the main causes of the patriarchal aspect of most Igbo communities is the widespread belief that when male children grow up, they would support their families and care for their ageing parents. The norms governing a person's right to succession and inheritance under Igbo custom law and traditions are another significant factor contributing to the preference for male offspring among Igbo communities (Ani &amp; Chime, 2021).</w:t>
      </w:r>
    </w:p>
    <w:p w14:paraId="7BBA149B">
      <w:pPr>
        <w:keepNext w:val="0"/>
        <w:keepLines w:val="0"/>
        <w:widowControl/>
        <w:suppressLineNumbers w:val="0"/>
        <w:spacing w:line="480" w:lineRule="auto"/>
        <w:jc w:val="both"/>
        <w:rPr>
          <w:rFonts w:hint="default" w:ascii="Times New Roman Regular" w:hAnsi="Times New Roman Regular" w:eastAsia="SimSun" w:cs="Times New Roman Regular"/>
          <w:kern w:val="0"/>
          <w:sz w:val="22"/>
          <w:szCs w:val="22"/>
          <w:lang w:val="en-US" w:eastAsia="zh-CN" w:bidi="ar"/>
          <w14:ligatures w14:val="none"/>
        </w:rPr>
      </w:pPr>
      <w:r>
        <w:rPr>
          <w:rFonts w:hint="default" w:ascii="Times New Roman Regular" w:hAnsi="Times New Roman Regular" w:eastAsia="SimSun" w:cs="Times New Roman Regular"/>
          <w:kern w:val="0"/>
          <w:sz w:val="22"/>
          <w:szCs w:val="22"/>
          <w:lang w:val="en-US" w:eastAsia="zh-CN" w:bidi="ar"/>
          <w14:ligatures w14:val="none"/>
        </w:rPr>
        <w:t xml:space="preserve">Furthermore, the Okpala is entitled to inherit both the immediate surrounding property and his late father's residential compound, known as Obi. One distinguishing feature of these Igbo communities is the view of male progeny as inheritors of immovable property, holders of central and frequently most important positions of authority, and lineage keepers (Ani and Chime, 2021). The Igbo custom that allows the first son (Okpala) to get the Ofor title, which denotes family leadership, also justifies the preference for male offspring. Throughout each planting season, the Okpala is automatically tasked with resolving disputes and assigning farmland among family members. In some parts of Igboland, such as Mbaise, Obowo, Ngwa, Umuahia and Owerri, the Okpala performs unique ceremonies for his late father's second burial. Because of the customary significance of this second burial, male children, particularly the Okpala who holds the Ofor title, are regarded as a great blessing for the family because female members are not permitted to perform this monumental task (Nwokocha, 2007; Ani &amp; Chime, 2021). </w:t>
      </w:r>
    </w:p>
    <w:p w14:paraId="16B94449">
      <w:pPr>
        <w:keepNext w:val="0"/>
        <w:keepLines w:val="0"/>
        <w:widowControl/>
        <w:suppressLineNumbers w:val="0"/>
        <w:spacing w:line="480" w:lineRule="auto"/>
        <w:jc w:val="both"/>
        <w:rPr>
          <w:rFonts w:hint="default" w:ascii="Times New Roman Regular" w:hAnsi="Times New Roman Regular" w:eastAsia="SimSun" w:cs="Times New Roman Regular"/>
          <w:kern w:val="0"/>
          <w:sz w:val="22"/>
          <w:szCs w:val="22"/>
          <w:lang w:val="en-US" w:eastAsia="zh-CN" w:bidi="ar"/>
          <w14:ligatures w14:val="none"/>
        </w:rPr>
      </w:pPr>
      <w:r>
        <w:rPr>
          <w:rFonts w:hint="default" w:ascii="Times New Roman Regular" w:hAnsi="Times New Roman Regular" w:eastAsia="SimSun" w:cs="Times New Roman Regular"/>
          <w:kern w:val="0"/>
          <w:sz w:val="22"/>
          <w:szCs w:val="22"/>
          <w:lang w:val="en-US" w:eastAsia="zh-CN" w:bidi="ar"/>
          <w14:ligatures w14:val="none"/>
        </w:rPr>
        <w:t>"Female husband" marriages are another type of union in Igbo territory. In Igbo land, the custom of a female husband is not new. Unlike lesbianism, the practice did not involve sexual activity between the partners. In ancient Igbo society, patriarchal rules dictated that a man's genealogy and lineage be passed down to his sons. When a father is unable to conceive a male, he would designate one of his daughters, usually the first daughter, to stay in the family and bear children (Nwoko, 2012). The Igbo land have varied prctices about female husbands, which will subsequently be discussed.</w:t>
      </w:r>
    </w:p>
    <w:p w14:paraId="7FC9FE06">
      <w:pPr>
        <w:spacing w:line="480" w:lineRule="auto"/>
        <w:jc w:val="both"/>
        <w:rPr>
          <w:rFonts w:hint="default" w:ascii="Times New Roman Regular" w:hAnsi="Times New Roman Regular" w:cs="Times New Roman Regular"/>
          <w:b/>
          <w:bCs/>
          <w:sz w:val="22"/>
          <w:szCs w:val="22"/>
        </w:rPr>
      </w:pPr>
      <w:r>
        <w:rPr>
          <w:rFonts w:hint="default" w:ascii="Times New Roman Regular" w:hAnsi="Times New Roman Regular" w:cs="Times New Roman Regular"/>
          <w:b/>
          <w:bCs/>
          <w:sz w:val="22"/>
          <w:szCs w:val="22"/>
        </w:rPr>
        <w:t>THE ORIGIN OF FEMALE-HUSBAND IN IGBOLAND</w:t>
      </w:r>
    </w:p>
    <w:p w14:paraId="50D07C51">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The female-husband tradition in Igboland has a little-known history. People who were questioned about this tradition mentioned how old it is, but they were unable to pinpoint its specific origins. We may deduce that the presence of female-husband culture or its growth in Igboland must have resulted from cultural innovation that occurred within the people's history, given that a typical marriage contract has typically been between a man and a woman. </w:t>
      </w:r>
    </w:p>
    <w:p w14:paraId="74C6FBA9">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The earliest recorded Igbo tale mentioning the concept of female-husband marriage was the one shared with Talbot during his 1914-1915 research on the traditional practices of communities in southeastern Nigeria (Talbot, 1967). Ogugu and Wiyeke, two female goddesses in Igboland, are at the center of the ritual. The primary female deity of Ohambele and the neighboring towns in the Owerri District, Ogugu, was reputed to be famous for bestowing children to her female devotees. Another female divinity named Wiyeke, Akwete, was revered in another place. Wiyeke eventually pursued marriage with Ogugu for unspecified reasons. On the understanding that Wiyeke would live with her in Ohambele, Ogugu consented. Wiyeke agreed, assuming the role of Ogugu's spouse and joining Ogugu's female deities. It is unclear what inspired this tradition, which appears to validate female-husband marriage in Igboland. Nonetheless, female-husband marriages were common in towns within the old Owerri and Aba Districts, as well as in northern Igboland’s areas around Awka, Udi, and Nsukka before the 1930s (Uchendu, 2007a).</w:t>
      </w:r>
    </w:p>
    <w:p w14:paraId="4B522EF2">
      <w:pPr>
        <w:spacing w:line="480" w:lineRule="auto"/>
        <w:jc w:val="both"/>
        <w:rPr>
          <w:rFonts w:hint="default" w:ascii="Times New Roman Regular" w:hAnsi="Times New Roman Regular" w:cs="Times New Roman Regular"/>
          <w:sz w:val="22"/>
          <w:szCs w:val="22"/>
          <w:lang w:val="en-US"/>
        </w:rPr>
      </w:pPr>
      <w:r>
        <w:rPr>
          <w:rFonts w:hint="default" w:ascii="Times New Roman Regular" w:hAnsi="Times New Roman Regular" w:cs="Times New Roman Regular"/>
          <w:sz w:val="22"/>
          <w:szCs w:val="22"/>
          <w:lang w:val="en-US"/>
        </w:rPr>
        <w:t>According to Uchendu (2007a), one of the factors that may have contributed to the formation of the female-husband in Igbo land is that women were the backbone of agriculture, which was the Igbo staple in the pre-colonial era. Successful Igbo men were distinguished by the quantity of their yam barns and the total amount of produce they gathered on their farms. A man's labour force consisted of his wives and occasionally his kids. In certain instances, the first spouses of men who were unable to marry more than one lady helped them find a second wife. In order to relieve her domestic load and receive help with farm work, a woman would marry a wife and offer to her husband to be his second wife. Price (1954) noted that any African marriage was a social investment that absorbed some resources and had the potential to eventually replace them in part because of this practice. Polygyny was a status symbol and an investment that allowed a man to increase his agricultural output, the proceeds of which he could use to obtain social titles that entitled him to an honoured place in his community, even though it also gave him more opportunities for sexual gratification.. Women who married wives for their husbands for the aforementioned reasons entered into female husband marriage, which were supported and accepted by society because to the numerous benefits they provided to men in particular (Uchendu, 2007a).</w:t>
      </w:r>
    </w:p>
    <w:p w14:paraId="406D7587">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According to Adimora-Ezeigbo, Igbo women's "male daughters," "female husbands," and "same-sex marriage" are cultural constructs designed to solve issues with male child succession or inheritance syndrome, impotence, and barrenness. She contends that the ancestors in Igboland adopted these indigenous models to ease their suffering and get around the "problem" of not having a male kid, which in turn resolved the "problem" of inheritance. They might stop financial flight from the patriarchal lineage and safeguard the family's property and investment in this way (Adimora-Ezeigbo, 1996). According to Uchendu, nothing is known about the origins of female-husband marriage in Igboland; nevertheless, the fact that it was practised by the Kalabari, an Ijaw subgroup in the Niger Delta, during the first decade of the 20th century supports the idea that societies have interpenetrated. It is quite possible that the Igbo adopted the Kalabari custom of female-husband marriage, or the other way around (Uchendu, 2007a).</w:t>
      </w:r>
    </w:p>
    <w:p w14:paraId="10B18B85">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The Igbo people's strong regard for children, particularly male offspring, may have contributed to the development of female-husband marriage in Igboland. </w:t>
      </w:r>
      <w:r>
        <w:rPr>
          <w:rFonts w:hint="default" w:ascii="Times New Roman Regular" w:hAnsi="Times New Roman Regular" w:cs="Times New Roman Regular"/>
          <w:sz w:val="22"/>
          <w:szCs w:val="22"/>
          <w:lang w:val="en-US"/>
        </w:rPr>
        <w:t xml:space="preserve">According to Uchendu (2007a), this may be another factor that possibly led to this practice. </w:t>
      </w:r>
      <w:r>
        <w:rPr>
          <w:rFonts w:hint="default" w:ascii="Times New Roman Regular" w:hAnsi="Times New Roman Regular" w:cs="Times New Roman Regular"/>
          <w:sz w:val="22"/>
          <w:szCs w:val="22"/>
        </w:rPr>
        <w:t xml:space="preserve">The people believed that male offspring were essential to maintaining a family's possession of its property and to carrying on the ancestral line. Infertile women and those who had only female children sought to marry additional wives to ensure they could have children, ideally sons. This was especially true because an Igbo woman's social standing was, in part, dependent on her capacity to bear children and produce male offspring, in addition to her economic achievements and management skills (Urama, 2019). Despite her other achievements, a childless woman in pre-colonial Igboland was certainly disadvantaged and was often pitied for her plight (Talbot, 1967). </w:t>
      </w:r>
    </w:p>
    <w:p w14:paraId="064220F2">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Because there was no authority above the male elders of a community in pre-colonial Igboland, Igbo women had few avenues for recourse when confronted with discriminatory cultural practices, such as inheritance rights. In order to overcome their situation, ladies married other women in order to produce children. A widow who had no children could only inherit anything from her husband's family in this way. Where a widow had daughters, one of the daughters might remain unmarried in the hope that she might have a son for the family. The deceased's possessions rightfully became his, and any son she had was welcomed into the family as her father's. By this agreement, the daughter can keep the father's possessions and guarantees that her father's relatives will not mistreat her widowed mother (Uchendu, 2007a).</w:t>
      </w:r>
    </w:p>
    <w:p w14:paraId="2ADB875C">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During pre-colonial and early colonial times, female-husband marriages were consummated similarly to other marriages. The communities of the prospective female husbands were the remote ones from whom prospective wives were sought. Due to the lack of written resources on the subject, the current writer is unaware of the circumstances under which women were permitted to marry other women in that era; however, conclusions might be drawn from the current situation (Uchendu, 2007a).</w:t>
      </w:r>
      <w:r>
        <w:rPr>
          <w:rFonts w:hint="default" w:ascii="Times New Roman Regular" w:hAnsi="Times New Roman Regular" w:cs="Times New Roman Regular"/>
          <w:sz w:val="22"/>
          <w:szCs w:val="22"/>
          <w:lang w:val="en-US"/>
        </w:rPr>
        <w:t xml:space="preserve"> </w:t>
      </w:r>
      <w:r>
        <w:rPr>
          <w:rFonts w:hint="default" w:ascii="Times New Roman Regular" w:hAnsi="Times New Roman Regular" w:cs="Times New Roman Regular"/>
          <w:sz w:val="22"/>
          <w:szCs w:val="22"/>
        </w:rPr>
        <w:t>When women were married, their female husbands paid their bride-wealth just like men did. There were benefits to having a wife. In addition to the possibility of having children through someone else, it raised a daughter's status and made some of them eligible to lead homes.</w:t>
      </w:r>
    </w:p>
    <w:p w14:paraId="310017F9">
      <w:pPr>
        <w:spacing w:line="480" w:lineRule="auto"/>
        <w:jc w:val="both"/>
        <w:rPr>
          <w:rFonts w:hint="default" w:ascii="Times New Roman Regular" w:hAnsi="Times New Roman Regular" w:cs="Times New Roman Regular"/>
          <w:b/>
          <w:sz w:val="22"/>
          <w:szCs w:val="22"/>
        </w:rPr>
      </w:pPr>
      <w:r>
        <w:rPr>
          <w:rFonts w:hint="default" w:ascii="Times New Roman Regular" w:hAnsi="Times New Roman Regular" w:cs="Times New Roman Regular"/>
          <w:b/>
          <w:sz w:val="22"/>
          <w:szCs w:val="22"/>
        </w:rPr>
        <w:t>FEMALE-HUSBAND AND LESBIANISM</w:t>
      </w:r>
    </w:p>
    <w:p w14:paraId="31638F32">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The</w:t>
      </w:r>
      <w:r>
        <w:rPr>
          <w:rFonts w:hint="default" w:ascii="Times New Roman Regular" w:hAnsi="Times New Roman Regular" w:cs="Times New Roman Regular"/>
          <w:sz w:val="22"/>
          <w:szCs w:val="22"/>
          <w:lang w:val="en-US"/>
        </w:rPr>
        <w:t>re is a popular misappropriated view</w:t>
      </w:r>
      <w:r>
        <w:rPr>
          <w:rFonts w:hint="default" w:ascii="Times New Roman Regular" w:hAnsi="Times New Roman Regular" w:cs="Times New Roman Regular"/>
          <w:sz w:val="22"/>
          <w:szCs w:val="22"/>
        </w:rPr>
        <w:t xml:space="preserve"> on marriage in Igbo traditional communities, specifically that it promoted lesbianism. This is due to some types of marriages, in which a woman marries another woman </w:t>
      </w:r>
      <w:r>
        <w:rPr>
          <w:rFonts w:hint="default" w:ascii="Times New Roman Regular" w:hAnsi="Times New Roman Regular" w:cs="Times New Roman Regular"/>
          <w:sz w:val="22"/>
          <w:szCs w:val="22"/>
          <w:lang w:val="en-US"/>
        </w:rPr>
        <w:t xml:space="preserve">(the female-husband culture) </w:t>
      </w:r>
      <w:r>
        <w:rPr>
          <w:rFonts w:hint="default" w:ascii="Times New Roman Regular" w:hAnsi="Times New Roman Regular" w:cs="Times New Roman Regular"/>
          <w:sz w:val="22"/>
          <w:szCs w:val="22"/>
        </w:rPr>
        <w:t xml:space="preserve">to guarantee her father's family will have children. This system's misinterpretation might seem like cultural shock. In addition to being unfounded, the fact </w:t>
      </w:r>
      <w:r>
        <w:rPr>
          <w:rFonts w:hint="default" w:ascii="Times New Roman Regular" w:hAnsi="Times New Roman Regular" w:cs="Times New Roman Regular"/>
          <w:sz w:val="22"/>
          <w:szCs w:val="22"/>
          <w:lang w:val="en-US"/>
        </w:rPr>
        <w:t xml:space="preserve">is </w:t>
      </w:r>
      <w:r>
        <w:rPr>
          <w:rFonts w:hint="default" w:ascii="Times New Roman Regular" w:hAnsi="Times New Roman Regular" w:cs="Times New Roman Regular"/>
          <w:sz w:val="22"/>
          <w:szCs w:val="22"/>
        </w:rPr>
        <w:t xml:space="preserve">that there was never any form of sexual activity between two women in </w:t>
      </w:r>
      <w:r>
        <w:rPr>
          <w:rFonts w:hint="default" w:ascii="Times New Roman Regular" w:hAnsi="Times New Roman Regular" w:cs="Times New Roman Regular"/>
          <w:sz w:val="22"/>
          <w:szCs w:val="22"/>
          <w:lang w:val="en-US"/>
        </w:rPr>
        <w:t xml:space="preserve">marriages in </w:t>
      </w:r>
      <w:r>
        <w:rPr>
          <w:rFonts w:hint="default" w:ascii="Times New Roman Regular" w:hAnsi="Times New Roman Regular" w:cs="Times New Roman Regular"/>
          <w:sz w:val="22"/>
          <w:szCs w:val="22"/>
        </w:rPr>
        <w:t>Igbo society</w:t>
      </w:r>
      <w:r>
        <w:rPr>
          <w:rFonts w:hint="default" w:ascii="Times New Roman Regular" w:hAnsi="Times New Roman Regular" w:cs="Times New Roman Regular"/>
          <w:sz w:val="22"/>
          <w:szCs w:val="22"/>
          <w:lang w:val="en-US"/>
        </w:rPr>
        <w:t xml:space="preserve"> (Chukwuokolo, 2019)</w:t>
      </w:r>
      <w:r>
        <w:rPr>
          <w:rFonts w:hint="default" w:ascii="Times New Roman Regular" w:hAnsi="Times New Roman Regular" w:cs="Times New Roman Regular"/>
          <w:sz w:val="22"/>
          <w:szCs w:val="22"/>
        </w:rPr>
        <w:t>.</w:t>
      </w:r>
    </w:p>
    <w:p w14:paraId="41231BF6">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One of the most persistent misconceptions surrounding the institution of the female-husband in Igbo society is its frequent conflation with lesbianism. This confusion, largely traceable to Western analytical categories, has led to serious misreadings of African indigenous social systems (Nicolazzo, 2014). While both phenomena involve relationships between women, their motivations, meanings, and social functions are fundamentally different.</w:t>
      </w:r>
    </w:p>
    <w:p w14:paraId="1403B774">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One definition of lesbianism is an intimate, romantic, or emotional relationship between women. Lesbians, tribades, gay women, sapphics and dyke are some of the names given to women who have this kind of sexual orientation. In addition, lesbianism was considered a mental illness by psychologists and a hidden sin by religious leaders in the past. Nonetheless, several recent studies on lesbians have benefited from the contributions of the psychology community. As a result, for many years, society's perceptions of lesbianism have been constantly shifting (Shree and Gayathri, 2022).</w:t>
      </w:r>
    </w:p>
    <w:p w14:paraId="1F8DA284">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It is crucial to remember that, although being of the same gender, the female-husband marriage is not in any sense a lesbian union. This type of marriage, which is entered into for the purpose of reproducing to maintain a family name, is both customary and socially acceptable. Since there is undoubtedly no sexual desire between the "female husband" and the married individual, there is no sexual contact between the spouses in these types of marriages. Since the lady is being married for the late husband or, if applicable, the offspring of the "female husband," such cultural weddings are completely distinct from the current problem of homosexual or lesbian marriages.</w:t>
      </w:r>
    </w:p>
    <w:p w14:paraId="468DAC61">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Unlike lesbianism, which is primarily defined by emotional and sexual attraction between persons of the same sex, the female-husband institution was not predicated on sexual relations between the female-husband and her wife. Sexual intercourse was neither expected nor culturally sanctioned between the two women. Instead, the wife was permitted, and often encouraged, to engage in heterosexual relations with a selected man for procreation, while the female-husband retained full paternal and social rights over the children so produced (Amadiume, 1987). The children were legally and ritually recognised as belonging to the female husband’s lineage, not to their biological parents (Okide, 2016).</w:t>
      </w:r>
    </w:p>
    <w:p w14:paraId="441ADCE8">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This arrangement clearly demonstrates that the institution functioned within a heteronormative reproductive framework, even though it subverted conventional gender roles. The female-husband did not cease to be biologically female, but she was socially reclassified as male for legal, ritual, and economic purposes. Gender, in this context, was a flexible social category rather than a fixed biological determinant (Oyěwùmí, 1997).</w:t>
      </w:r>
    </w:p>
    <w:p w14:paraId="559977B0">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Lesbianism, as understood in contemporary discourse, emphasises personal identity, affective bonds, and sexual preference. These elements are largely absent in traditional accounts of female-husband marriages in Igboland. There is no evidence that such unions were celebrated or sustained based on romantic love or erotic fulfilment between women. To retroactively impose modern sexual identity categories on pre-colonial African institutions is, therefore, methodologically flawed and historically inaccurate (Tamale, 2011).</w:t>
      </w:r>
    </w:p>
    <w:p w14:paraId="61FD1E07">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Furthermore, the female-husband system ultimately reinforced, rather than dismantled, patriarchal values. Its primary goal was the preservation of male lineage, property, and ancestral continuity. Even when women exercised agency within this system, their power operated in service of male-defined social norms (Uchendu, 1965). Lesbianism, by contrast, often challenges dominant heteropatriarchal structures by asserting alternative sexual identities and relational models.</w:t>
      </w:r>
    </w:p>
    <w:p w14:paraId="5572FE06">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Although long-held beliefs that homosexuality in Africa is nonexistent, accidental, or the product of western influences were disproved by Murray &amp; Roscoe (1998), the fact that female-husband culture in Igbo land did not entail sexual relationships between the spouses will undoubtedly stay true. Rather, it was a customary method of legalising what would have otherwise been the birth of illegitimate offspring who would not have been allowed to inherit. To put it another way, the female spouse acted as the offspring's sociological father. The children have inheritance rights as they were descended from her. Consequently, there was no real contraction of female-husband culture in reaction to the couples' sexual feelings or desires, but simply an instrument for the preservation and extension of patriarchy</w:t>
      </w:r>
      <w:r>
        <w:rPr>
          <w:rFonts w:hint="default" w:ascii="Times New Roman Regular" w:hAnsi="Times New Roman Regular" w:cs="Times New Roman Regular"/>
          <w:sz w:val="22"/>
          <w:szCs w:val="22"/>
          <w:lang w:val="en-US"/>
        </w:rPr>
        <w:t xml:space="preserve"> </w:t>
      </w:r>
      <w:r>
        <w:rPr>
          <w:rFonts w:hint="default" w:ascii="Times New Roman Regular" w:hAnsi="Times New Roman Regular" w:cs="Times New Roman Regular"/>
          <w:sz w:val="22"/>
          <w:szCs w:val="22"/>
        </w:rPr>
        <w:t>and its traditions.</w:t>
      </w:r>
    </w:p>
    <w:p w14:paraId="164D1467">
      <w:pPr>
        <w:spacing w:line="480" w:lineRule="auto"/>
        <w:jc w:val="both"/>
        <w:rPr>
          <w:rFonts w:hint="default" w:ascii="Times New Roman Regular" w:hAnsi="Times New Roman Regular" w:cs="Times New Roman Regular"/>
          <w:b/>
          <w:sz w:val="22"/>
          <w:szCs w:val="22"/>
        </w:rPr>
      </w:pPr>
      <w:r>
        <w:rPr>
          <w:rFonts w:hint="default" w:ascii="Times New Roman Regular" w:hAnsi="Times New Roman Regular" w:cs="Times New Roman Regular"/>
          <w:b/>
          <w:sz w:val="22"/>
          <w:szCs w:val="22"/>
        </w:rPr>
        <w:t xml:space="preserve">VARIATIONS OF FEMALE-HUSBAND IN IGBO COMMUNITIES </w:t>
      </w:r>
    </w:p>
    <w:p w14:paraId="2614761B">
      <w:pPr>
        <w:pStyle w:val="35"/>
        <w:numPr>
          <w:ilvl w:val="0"/>
          <w:numId w:val="1"/>
        </w:numPr>
        <w:spacing w:line="480" w:lineRule="auto"/>
        <w:jc w:val="both"/>
        <w:rPr>
          <w:rFonts w:hint="default" w:ascii="Times New Roman Regular" w:hAnsi="Times New Roman Regular" w:cs="Times New Roman Regular"/>
          <w:b/>
          <w:bCs/>
          <w:sz w:val="22"/>
          <w:szCs w:val="22"/>
        </w:rPr>
      </w:pPr>
      <w:r>
        <w:rPr>
          <w:rFonts w:hint="default" w:ascii="Times New Roman Regular" w:hAnsi="Times New Roman Regular" w:cs="Times New Roman Regular"/>
          <w:b/>
          <w:bCs/>
          <w:sz w:val="22"/>
          <w:szCs w:val="22"/>
        </w:rPr>
        <w:t>Female Husband as a “Male Daughter” (Northern and Central Igboland)</w:t>
      </w:r>
    </w:p>
    <w:p w14:paraId="7A03B69B">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In certain situations, and in certain regions of Igboland, this tradition varies. According to Amadiume, if his daughters were acknowledged, a father without a boy might give them property and financial assets (</w:t>
      </w:r>
      <w:r>
        <w:rPr>
          <w:rFonts w:hint="default" w:ascii="Times New Roman Regular" w:hAnsi="Times New Roman Regular" w:cs="Times New Roman Regular"/>
          <w:i/>
          <w:iCs/>
          <w:sz w:val="22"/>
          <w:szCs w:val="22"/>
        </w:rPr>
        <w:t>nwanyi di nna</w:t>
      </w:r>
      <w:r>
        <w:rPr>
          <w:rFonts w:hint="default" w:ascii="Times New Roman Regular" w:hAnsi="Times New Roman Regular" w:cs="Times New Roman Regular"/>
          <w:sz w:val="22"/>
          <w:szCs w:val="22"/>
        </w:rPr>
        <w:t>). However, only via rituals could this transition from female to male identity and the rights of "sons" be completed and acknowledged (Amadiume, 1987). However, with the practice of female-husbands being conferred on daughters (who are identified as such), these inheritance rights are granted to them even without the rituals (Chief Mrs. Ifunanya Okeke, 2025, personal communication).</w:t>
      </w:r>
    </w:p>
    <w:p w14:paraId="7B815F7A">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In such cases, the daughter could marry a younger woman after paying the required bride price and performing the necessary rites, or she could procreate directly by seeking a sex partner known as an </w:t>
      </w:r>
      <w:r>
        <w:rPr>
          <w:rFonts w:hint="default" w:ascii="Times New Roman Regular" w:hAnsi="Times New Roman Regular" w:cs="Times New Roman Regular"/>
          <w:i/>
          <w:iCs/>
          <w:sz w:val="22"/>
          <w:szCs w:val="22"/>
        </w:rPr>
        <w:t>ikonwanna</w:t>
      </w:r>
      <w:r>
        <w:rPr>
          <w:rFonts w:hint="default" w:ascii="Times New Roman Regular" w:hAnsi="Times New Roman Regular" w:cs="Times New Roman Regular"/>
          <w:sz w:val="22"/>
          <w:szCs w:val="22"/>
        </w:rPr>
        <w:t>. She thus took on the customary role of a husband and a man in the eyes of the gods and society (Chief Anthony Ezeilo, 2025, personal communication). It is important to note that the female husband still requires a male relative to represent her or speak for her in front of her in-laws during conventional marriage ceremonies (Mrs. Veronica Anikwe, 2025, personal communication). This unique form of female-husband culture is practised in Awka, Nsukka, Udi, and sections of Owerri.</w:t>
      </w:r>
    </w:p>
    <w:p w14:paraId="47C4FC16">
      <w:pPr>
        <w:pStyle w:val="35"/>
        <w:numPr>
          <w:ilvl w:val="0"/>
          <w:numId w:val="1"/>
        </w:numPr>
        <w:spacing w:line="480" w:lineRule="auto"/>
        <w:jc w:val="both"/>
        <w:rPr>
          <w:rFonts w:hint="default" w:ascii="Times New Roman Regular" w:hAnsi="Times New Roman Regular" w:cs="Times New Roman Regular"/>
          <w:b/>
          <w:bCs/>
          <w:sz w:val="22"/>
          <w:szCs w:val="22"/>
        </w:rPr>
      </w:pPr>
      <w:r>
        <w:rPr>
          <w:rFonts w:hint="default" w:ascii="Times New Roman Regular" w:hAnsi="Times New Roman Regular" w:cs="Times New Roman Regular"/>
          <w:b/>
          <w:bCs/>
          <w:sz w:val="22"/>
          <w:szCs w:val="22"/>
        </w:rPr>
        <w:t>Female Husband as a Wealthy or Titled Woman (Nnobi, Onitsha, Ossomari)</w:t>
      </w:r>
    </w:p>
    <w:p w14:paraId="750D3AA2">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In Onitsha, Nnobi, and Ossomari, women's gain of riches, the number of spouses they take, and their use of power and authority are all directly related (Amadiume, 1987). It could be economically exploitative. A woman's husband hired a man to satisfy her sexual desires, but she claimed her services and played the role of mother to her, increasing her status and luxury (Mrs. Pauline Chiamaka Nwoye, 2025, personal communication). Because the marriage was clearly profitable, some affluent women had up to nine spouses. Because of the exploitative nature of these relationships, some Onitsha residents saw them as </w:t>
      </w:r>
      <w:r>
        <w:rPr>
          <w:rFonts w:hint="default" w:ascii="Times New Roman Regular" w:hAnsi="Times New Roman Regular" w:cs="Times New Roman Regular"/>
          <w:i/>
          <w:iCs/>
          <w:sz w:val="22"/>
          <w:szCs w:val="22"/>
        </w:rPr>
        <w:t>Igba-ohu</w:t>
      </w:r>
      <w:r>
        <w:rPr>
          <w:rFonts w:hint="default" w:ascii="Times New Roman Regular" w:hAnsi="Times New Roman Regular" w:cs="Times New Roman Regular"/>
          <w:sz w:val="22"/>
          <w:szCs w:val="22"/>
        </w:rPr>
        <w:t>, or slavery (Chief Benjamin Nwankwo, 2025, personal communication).</w:t>
      </w:r>
    </w:p>
    <w:p w14:paraId="178F50E4">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Although this was not the norm in Igbo land, the female husband at this level theoretically possessed equal rank with her male kit and kin. She was considered a man and the first among equals, </w:t>
      </w:r>
      <w:r>
        <w:rPr>
          <w:rFonts w:hint="default" w:ascii="Times New Roman Regular" w:hAnsi="Times New Roman Regular" w:cs="Times New Roman Regular"/>
          <w:i/>
          <w:iCs/>
          <w:sz w:val="22"/>
          <w:szCs w:val="22"/>
        </w:rPr>
        <w:t>Okenwanyi</w:t>
      </w:r>
      <w:r>
        <w:rPr>
          <w:rFonts w:hint="default" w:ascii="Times New Roman Regular" w:hAnsi="Times New Roman Regular" w:cs="Times New Roman Regular"/>
          <w:sz w:val="22"/>
          <w:szCs w:val="22"/>
        </w:rPr>
        <w:t xml:space="preserve">, among her female mates, the </w:t>
      </w:r>
      <w:r>
        <w:rPr>
          <w:rFonts w:hint="default" w:ascii="Times New Roman Regular" w:hAnsi="Times New Roman Regular" w:cs="Times New Roman Regular"/>
          <w:i/>
          <w:iCs/>
          <w:sz w:val="22"/>
          <w:szCs w:val="22"/>
        </w:rPr>
        <w:t>Umuada</w:t>
      </w:r>
      <w:r>
        <w:rPr>
          <w:rFonts w:hint="default" w:ascii="Times New Roman Regular" w:hAnsi="Times New Roman Regular" w:cs="Times New Roman Regular"/>
          <w:sz w:val="22"/>
          <w:szCs w:val="22"/>
        </w:rPr>
        <w:t>. In the collecting of opinions, her opinion was sought first, and she was treated as though she were a man. She had the same privileges as her male counterparts in any ritual, and in some Igbo villages, such as Uguta, she was allowed to break kola nuts, but only with her female relatives. She blended her duties and responsibilities in a secular and spiritual way. She took part in clandestine ceremonies and occasionally joined the male elders in group rites (Nwoko, 2012).</w:t>
      </w:r>
    </w:p>
    <w:p w14:paraId="701EEE00">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She might offer sacrifices and make spiritual supplications on behalf of her family before the gods, but her extended family would not be included in her offerings. At this stage, it was thought, the gods no longer regarded her as a woman but as a male. Her capacity to carry out this religious role showed that, like her male counterparts, she possessed authority and power within her community (2012).</w:t>
      </w:r>
    </w:p>
    <w:p w14:paraId="6D9D7886">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In certain Igbo villages, including Onitsha and the surrounding areas, the female husband was also permitted to assume titles. Male and female titles coexisted in areas where title systems were in place (Ogbomo, 2005), indicating the twofold pantheon of the Igbo Godhead. For instance, Ozo was the male title in Nnobi, while </w:t>
      </w:r>
      <w:r>
        <w:rPr>
          <w:rFonts w:hint="default" w:ascii="Times New Roman Regular" w:hAnsi="Times New Roman Regular" w:cs="Times New Roman Regular"/>
          <w:i/>
          <w:iCs/>
          <w:sz w:val="22"/>
          <w:szCs w:val="22"/>
        </w:rPr>
        <w:t>Ekwe</w:t>
      </w:r>
      <w:r>
        <w:rPr>
          <w:rFonts w:hint="default" w:ascii="Times New Roman Regular" w:hAnsi="Times New Roman Regular" w:cs="Times New Roman Regular"/>
          <w:sz w:val="22"/>
          <w:szCs w:val="22"/>
        </w:rPr>
        <w:t xml:space="preserve"> was the female equivalent (2005). This was the height of her masculinity. She inherited her late father's assets, which included domestic animals, farms, and economic trees. In fact, the patriarchal privileges and functions were completely transplanted. Additionally, her ancestry was impartially counted among the extended family tree's lineage, demonstrating how matrilinealism is ingrained in patrilinealism. But the emotional and biological realities were what limited her. It was also anticipated that this female spouse had a male friend, often referred to as </w:t>
      </w:r>
      <w:r>
        <w:rPr>
          <w:rFonts w:hint="default" w:ascii="Times New Roman Regular" w:hAnsi="Times New Roman Regular" w:cs="Times New Roman Regular"/>
          <w:i/>
          <w:iCs/>
          <w:sz w:val="22"/>
          <w:szCs w:val="22"/>
        </w:rPr>
        <w:t>dinwanna</w:t>
      </w:r>
      <w:r>
        <w:rPr>
          <w:rFonts w:hint="default" w:ascii="Times New Roman Regular" w:hAnsi="Times New Roman Regular" w:cs="Times New Roman Regular"/>
          <w:sz w:val="22"/>
          <w:szCs w:val="22"/>
        </w:rPr>
        <w:t>, who satiated her carnal urges and supported her when the biological realities were inescapable, while her wife went out in quest of a bedmate. Since she had crossed the maternal Rubicon, it was not anticipated of her to become pregnant at this time or be publicly spotted with any male. Any children born to her were viewed as illegitimate, social outcasts, and punished accordingly. Her direct children may not benefit from any community inheritance, in contrast to her wife's children (Chief Benjamin Nwankwo, 2025, personal communication).</w:t>
      </w:r>
    </w:p>
    <w:p w14:paraId="4D2596B4">
      <w:pPr>
        <w:pStyle w:val="35"/>
        <w:numPr>
          <w:ilvl w:val="0"/>
          <w:numId w:val="1"/>
        </w:numPr>
        <w:spacing w:line="480" w:lineRule="auto"/>
        <w:ind w:left="567"/>
        <w:jc w:val="both"/>
        <w:rPr>
          <w:rFonts w:hint="default" w:ascii="Times New Roman Regular" w:hAnsi="Times New Roman Regular" w:cs="Times New Roman Regular"/>
          <w:b/>
          <w:bCs/>
          <w:sz w:val="22"/>
          <w:szCs w:val="22"/>
        </w:rPr>
      </w:pPr>
      <w:r>
        <w:rPr>
          <w:rFonts w:hint="default" w:ascii="Times New Roman Regular" w:hAnsi="Times New Roman Regular" w:cs="Times New Roman Regular"/>
          <w:b/>
          <w:bCs/>
          <w:sz w:val="22"/>
          <w:szCs w:val="22"/>
        </w:rPr>
        <w:t>Female Husband as a Barren Wife within Marriage (Mbaise and Parts of Imo State)</w:t>
      </w:r>
    </w:p>
    <w:p w14:paraId="36135221">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In a case where a wife is barren, it is the barren wife in a marriage who takes a younger wife for herself, while in others, it is not related to barrenness in marriage, wealth and influence or the single wealthy woman who takes a wife. Elsewhere, especially in some parts of Imo state area, a barren woman can take a wife, which was the paraphernalia of her status, in some cases, more than one (Eskridge, 1993). This engagement of female-husband marriage is to preserve the lineage of the patriarch. As a result, female-husband marriage is only a tool for maintaining and extending patriarchy rather than being a real reaction to sexual feelings or desires between the husband and wife. </w:t>
      </w:r>
    </w:p>
    <w:p w14:paraId="1E42948E">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In addition, women who were infertile or had only daughters tried to find brides to produce children for them, ideally males. This was especially true because Igbo women's social standing depended on their capacity to procreate and bear male offspring. In pre-colonial Igboland, a woman without children was undoubtedly at the bottom of the social scale and did not have any desirable standing. Her incapacity to procreate was viewed as a misfortune, and she occasionally endured humiliation. Therefore, women turned to female husband marriages as a means of escaping the predicament of being infertile or having exclusively female offspring (Chief Benjamin Nwankwo, 2025, personal communication). Wives of female husbands are often free to pick the men they want to mate with, but when a woman marries a guy who is still living, and she is a barren woman, the husband performs the mating.</w:t>
      </w:r>
    </w:p>
    <w:p w14:paraId="7B49D9E2">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A woman is not always married for herself if she is married for her spouse. If she is marrying for her husband, she will accept the new wife and treat her as a co-wife. Her spouse will be the sole owner of the children from the relationship. Even if the husband consents to meet her sexual needs, he has no claim to her when she marries for her own sake, and the two women will continue to share custody of her children. When the wife misbehaves, he is not allowed to correct or reprimand her. Furthermore, he won't be obligated to the new bride or her family. He and the new wife continue to have a solely sexual connection. The female spouse has a responsibility to manage and correct his wife. Indiscretions committed by the wife are reported to her. She keeps an eye on her social behaviour and makes sure it complies with their society's standards (Uchendu, 2007a).</w:t>
      </w:r>
    </w:p>
    <w:p w14:paraId="00115C7C">
      <w:pPr>
        <w:pStyle w:val="35"/>
        <w:numPr>
          <w:ilvl w:val="0"/>
          <w:numId w:val="1"/>
        </w:numPr>
        <w:spacing w:line="480" w:lineRule="auto"/>
        <w:jc w:val="both"/>
        <w:rPr>
          <w:rFonts w:hint="default" w:ascii="Times New Roman Regular" w:hAnsi="Times New Roman Regular" w:cs="Times New Roman Regular"/>
          <w:b/>
          <w:bCs/>
          <w:sz w:val="22"/>
          <w:szCs w:val="22"/>
        </w:rPr>
      </w:pPr>
      <w:r>
        <w:rPr>
          <w:rFonts w:hint="default" w:ascii="Times New Roman Regular" w:hAnsi="Times New Roman Regular" w:cs="Times New Roman Regular"/>
          <w:b/>
          <w:bCs/>
          <w:sz w:val="22"/>
          <w:szCs w:val="22"/>
        </w:rPr>
        <w:t>Collective Female-Husband Arrangement</w:t>
      </w:r>
    </w:p>
    <w:p w14:paraId="2832754C">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To preserve the family lineage by permitting the new wife to bear children and raise male descendants, the female children of a family jointly paid the bride price of a younger lady in the name of their eldest sister after their father passed away. This is another unusual practice of female husbands in Onitsha (Chief Mrs Felicia Nnenna Ekwueme, 2025, personal communication). In any event, the young bride's female husband then expected her to choose a good-behaved young man from the family, usually the female husband's blood relative, to be her bedmate (Eskridge, 1993). The family was certain that the young bride would not contaminate the family by bearing children fathered by criminals, thieves, or even people with odd illnesses. This had major ramifications. First, it was thought that by doing this, the blood tie of that specific family was preserved. Additionally, it was done to keep unwanted and unwholesome characteristics like Osu (social outcasts) from entering the family (Chief Anthony Ezeilo, 2025, personal communication).</w:t>
      </w:r>
    </w:p>
    <w:p w14:paraId="32CA9F81">
      <w:pPr>
        <w:spacing w:line="480" w:lineRule="auto"/>
        <w:jc w:val="both"/>
        <w:rPr>
          <w:rFonts w:hint="default" w:ascii="Times New Roman Regular" w:hAnsi="Times New Roman Regular" w:cs="Times New Roman Regular"/>
          <w:b/>
          <w:bCs/>
          <w:sz w:val="22"/>
          <w:szCs w:val="22"/>
        </w:rPr>
      </w:pPr>
      <w:r>
        <w:rPr>
          <w:rFonts w:hint="default" w:ascii="Times New Roman Regular" w:hAnsi="Times New Roman Regular" w:cs="Times New Roman Regular"/>
          <w:b/>
          <w:bCs/>
          <w:sz w:val="22"/>
          <w:szCs w:val="22"/>
        </w:rPr>
        <w:t>FEMALE-HUSBAND IN CONTEMPORARY IGBO COMMUNITY</w:t>
      </w:r>
    </w:p>
    <w:p w14:paraId="2255E8DD">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Christian missionary efforts in Igboland were a significant factor in the setback to the female-husband culture that occurred midway through the colonial era. Early Igbo Christians were urged to disregard and separate themselves from traditional marriage practices that were not found in the Bible or the British family structure. Church members were discouraged from becoming polygynists, and the Roman Catholic Mission specifically forbade polygynists from receiving communion (Mba, 1982). </w:t>
      </w:r>
    </w:p>
    <w:p w14:paraId="54D32752">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This disapproval by the Church on polygyny also extended to marriages between women and husbands (Price, 1954). Consequently, the prevalence of female-husband marriage steadily chipped away in Igboland. Until the 1980s, those who contradicted Church regulations handled themselves with extreme delicacy and were cautious not to flaunt behaviours that were objectionable to the Church. In order to protect themselves and their female spouses' male partners, women with wives kept them and their presence hidden (Uchendu, 2007a). But because the syncretic organisations were more accepting of the female-husband marriage and other indigenous cultural practices, women who were unwilling to go underground deserted the orthodox churches (Chief Benjamin Nwankwo, 2025, personal communication). Aside from the Christian Church's stance against female-to-female marriage, modernisation brought about by Western education also had a role in the practice's decline. Its existence in Igboland has also been threatened by the Igbo people's steady conversion to Islam over the past 20 years, which is viewed as abhorrent by Igbo Muslims (2025).</w:t>
      </w:r>
    </w:p>
    <w:p w14:paraId="4398681B">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In recent times, the female-husband institution in Igboland has gradually declined in relevance and practice due to the combined influences of Christianization, Western education, and socio-cultural change often described as civilisation. These forces have significantly reshaped indigenous marriage systems, gender roles, and kinship structures.</w:t>
      </w:r>
    </w:p>
    <w:p w14:paraId="6E087FF1">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The emergence of Christianity and the missionary activities gave rise to the promotion of heterosexual marriage, which is seen as the only marital form that was morally acceptable. The female husband culture practised by the indigenes was frowned upon by Christian doctrines and also labelled as incompatible with the Christian doctrine and unbiblical. Furthermore, there was a shift of emphasis from the continuity of lineage community and ancestral obligation to the structure of nuclear family and individual achievement through Western education. This deteriorated this traditional institution by redefining success and social status. Women who were educated gradually found other means of social security and mobility through their professional careers instead of the original traditional kingship role.</w:t>
      </w:r>
    </w:p>
    <w:p w14:paraId="48DE9C30">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Legal reforms influenced by colonial and postcolonial governance also privileged statutory inheritance laws, reducing dependence on customary arrangements. Finally, broader processes of social change, including urbanisation and economic modernisation, disrupted extended family systems that sustained the female-husband practice. Urban living reduced communal enforcement of tradition, while increased mobility weakened kinship control over marriage and reproduction.</w:t>
      </w:r>
    </w:p>
    <w:p w14:paraId="1F1AC91D">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Together, Christianization, education, and modern socio-legal systems have rendered the female-husband institution largely obsolete. While it remains an important subject of historical and anthropological inquiry, its practical relevance has been significantly diminished in contemporary Igbo society.</w:t>
      </w:r>
    </w:p>
    <w:p w14:paraId="61A211AF">
      <w:pPr>
        <w:spacing w:line="480" w:lineRule="auto"/>
        <w:jc w:val="both"/>
        <w:rPr>
          <w:rFonts w:hint="default" w:ascii="Times New Roman Regular" w:hAnsi="Times New Roman Regular" w:cs="Times New Roman Regular"/>
          <w:b/>
          <w:sz w:val="22"/>
          <w:szCs w:val="22"/>
        </w:rPr>
      </w:pPr>
      <w:r>
        <w:rPr>
          <w:rFonts w:hint="default" w:ascii="Times New Roman Regular" w:hAnsi="Times New Roman Regular" w:cs="Times New Roman Regular"/>
          <w:b/>
          <w:sz w:val="22"/>
          <w:szCs w:val="22"/>
        </w:rPr>
        <w:t>Conclusion</w:t>
      </w:r>
    </w:p>
    <w:p w14:paraId="57230E82">
      <w:pPr>
        <w:spacing w:line="480" w:lineRule="auto"/>
        <w:jc w:val="both"/>
        <w:rPr>
          <w:rFonts w:hint="default" w:ascii="Times New Roman Regular" w:hAnsi="Times New Roman Regular" w:cs="Times New Roman Regular"/>
          <w:bCs/>
          <w:sz w:val="22"/>
          <w:szCs w:val="22"/>
        </w:rPr>
      </w:pPr>
      <w:r>
        <w:rPr>
          <w:rFonts w:hint="default" w:ascii="Times New Roman Regular" w:hAnsi="Times New Roman Regular" w:cs="Times New Roman Regular"/>
          <w:bCs/>
          <w:sz w:val="22"/>
          <w:szCs w:val="22"/>
        </w:rPr>
        <w:t>This study has examined the female-husband institution in Igboland not only as an indigenous response to the challenges of barrenness, inheritance, and lineage continuity in a deeply patriarchal Igbo society, but also as one avenue through which Igbo women address their social problems within the limits of their culture and its strong patriarchal structure. The practice, though uncommon, served a clear social function by ensuring the survival of family lines and the retention of property within patrilineal structures. The study clarifies that female-husband marriage should not be conflated with lesbianism. It was neither rooted in sexual orientation nor based on erotic relationships between women, but on social necessity and reproductive goals. Sexual relations were instrumental and aimed solely at producing heirs for the lineage. Ultimately, the female-husband culture illustrates the flexibility of Igbo society in solving social problems without abandoning its patriarchal foundations, offering important insight into indigenous constructions of gender and power.</w:t>
      </w:r>
    </w:p>
    <w:p w14:paraId="244AA2F9">
      <w:pPr>
        <w:spacing w:after="0" w:line="480" w:lineRule="auto"/>
        <w:jc w:val="both"/>
        <w:rPr>
          <w:rFonts w:hint="default" w:ascii="Times New Roman Regular" w:hAnsi="Times New Roman Regular" w:cs="Times New Roman Regular"/>
          <w:b/>
          <w:bCs/>
          <w:sz w:val="22"/>
          <w:szCs w:val="22"/>
        </w:rPr>
      </w:pPr>
    </w:p>
    <w:p w14:paraId="292294E2">
      <w:pPr>
        <w:spacing w:after="0"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b/>
          <w:bCs/>
          <w:sz w:val="22"/>
          <w:szCs w:val="22"/>
        </w:rPr>
        <w:t>Ethical Consideration</w:t>
      </w:r>
    </w:p>
    <w:p w14:paraId="24F51551">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This study adhered to established ethical standards for social and cultural research, ensuring informed consent, voluntary participation, and the right to withdraw for all participants. Confidentiality, anonymity, and respect for cultural practices were maintained, with data used exclusively for academic purposes.</w:t>
      </w:r>
    </w:p>
    <w:p w14:paraId="693F94AC">
      <w:pPr>
        <w:spacing w:after="0"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b/>
          <w:bCs/>
          <w:sz w:val="22"/>
          <w:szCs w:val="22"/>
        </w:rPr>
        <w:t>Consent to participate</w:t>
      </w:r>
      <w:r>
        <w:rPr>
          <w:rFonts w:hint="default" w:ascii="Times New Roman Regular" w:hAnsi="Times New Roman Regular" w:cs="Times New Roman Regular"/>
          <w:sz w:val="22"/>
          <w:szCs w:val="22"/>
        </w:rPr>
        <w:t xml:space="preserve"> </w:t>
      </w:r>
    </w:p>
    <w:p w14:paraId="0A8FFF50">
      <w:pPr>
        <w:spacing w:line="480" w:lineRule="auto"/>
        <w:jc w:val="both"/>
        <w:rPr>
          <w:rFonts w:hint="default" w:ascii="Times New Roman Regular" w:hAnsi="Times New Roman Regular" w:cs="Times New Roman Regular"/>
          <w:b/>
          <w:bCs/>
          <w:sz w:val="22"/>
          <w:szCs w:val="22"/>
        </w:rPr>
      </w:pPr>
      <w:r>
        <w:rPr>
          <w:rFonts w:hint="default" w:ascii="Times New Roman Regular" w:hAnsi="Times New Roman Regular" w:cs="Times New Roman Regular"/>
          <w:sz w:val="22"/>
          <w:szCs w:val="22"/>
        </w:rPr>
        <w:t>The Researcher obtained consent from all participants for their participation in this research and maintained a record of their consent. The respondents were fully informed and were provided with key information about the study before deciding whether to take part or not.</w:t>
      </w:r>
    </w:p>
    <w:p w14:paraId="13F458FA">
      <w:pPr>
        <w:spacing w:after="0" w:line="480" w:lineRule="auto"/>
        <w:jc w:val="both"/>
        <w:rPr>
          <w:rFonts w:hint="default" w:ascii="Times New Roman Regular" w:hAnsi="Times New Roman Regular" w:cs="Times New Roman Regular"/>
          <w:b/>
          <w:bCs/>
          <w:sz w:val="22"/>
          <w:szCs w:val="22"/>
        </w:rPr>
      </w:pPr>
      <w:r>
        <w:rPr>
          <w:rFonts w:hint="default" w:ascii="Times New Roman Regular" w:hAnsi="Times New Roman Regular" w:cs="Times New Roman Regular"/>
          <w:b/>
          <w:bCs/>
          <w:sz w:val="22"/>
          <w:szCs w:val="22"/>
        </w:rPr>
        <w:t>Declaration of conflicting interests</w:t>
      </w:r>
    </w:p>
    <w:p w14:paraId="07253DE3">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The author(s) declared no potential conflicts of interest with respect to the research, authorship, and/or publication of this article.</w:t>
      </w:r>
    </w:p>
    <w:p w14:paraId="17853DD1">
      <w:pPr>
        <w:spacing w:after="0" w:line="480" w:lineRule="auto"/>
        <w:jc w:val="both"/>
        <w:rPr>
          <w:rFonts w:hint="default" w:ascii="Times New Roman Regular" w:hAnsi="Times New Roman Regular" w:cs="Times New Roman Regular"/>
          <w:b/>
          <w:bCs/>
          <w:sz w:val="22"/>
          <w:szCs w:val="22"/>
        </w:rPr>
      </w:pPr>
    </w:p>
    <w:p w14:paraId="39A85E5B">
      <w:pPr>
        <w:spacing w:after="0" w:line="480" w:lineRule="auto"/>
        <w:jc w:val="both"/>
        <w:rPr>
          <w:rFonts w:hint="default" w:ascii="Times New Roman Regular" w:hAnsi="Times New Roman Regular" w:cs="Times New Roman Regular"/>
          <w:b/>
          <w:bCs/>
          <w:sz w:val="22"/>
          <w:szCs w:val="22"/>
        </w:rPr>
      </w:pPr>
      <w:r>
        <w:rPr>
          <w:rFonts w:hint="default" w:ascii="Times New Roman Regular" w:hAnsi="Times New Roman Regular" w:cs="Times New Roman Regular"/>
          <w:b/>
          <w:bCs/>
          <w:sz w:val="22"/>
          <w:szCs w:val="22"/>
        </w:rPr>
        <w:t>Funding</w:t>
      </w:r>
    </w:p>
    <w:p w14:paraId="08BBA22A">
      <w:pPr>
        <w:spacing w:line="480" w:lineRule="auto"/>
        <w:jc w:val="both"/>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The authors received no financial support for the research, authorship, and/or publication of this article.</w:t>
      </w:r>
    </w:p>
    <w:p w14:paraId="2891F5EF">
      <w:pPr>
        <w:jc w:val="both"/>
        <w:rPr>
          <w:rFonts w:hint="default" w:ascii="Times New Roman Regular" w:hAnsi="Times New Roman Regular" w:cs="Times New Roman Regular"/>
          <w:sz w:val="22"/>
          <w:szCs w:val="22"/>
        </w:rPr>
      </w:pPr>
    </w:p>
    <w:p w14:paraId="0AB0F14B">
      <w:pPr>
        <w:spacing w:line="480" w:lineRule="auto"/>
        <w:jc w:val="both"/>
        <w:rPr>
          <w:rFonts w:hint="default" w:ascii="Times New Roman Regular" w:hAnsi="Times New Roman Regular" w:cs="Times New Roman Regular"/>
          <w:b/>
          <w:sz w:val="22"/>
          <w:szCs w:val="22"/>
        </w:rPr>
      </w:pPr>
    </w:p>
    <w:p w14:paraId="4559D83F">
      <w:pPr>
        <w:spacing w:line="480" w:lineRule="auto"/>
        <w:jc w:val="center"/>
        <w:rPr>
          <w:rFonts w:hint="default" w:ascii="Times New Roman Regular" w:hAnsi="Times New Roman Regular" w:cs="Times New Roman Regular"/>
          <w:b/>
          <w:sz w:val="22"/>
          <w:szCs w:val="22"/>
        </w:rPr>
      </w:pPr>
      <w:bookmarkStart w:id="0" w:name="_GoBack"/>
      <w:bookmarkEnd w:id="0"/>
      <w:r>
        <w:rPr>
          <w:rFonts w:hint="default" w:ascii="Times New Roman Regular" w:hAnsi="Times New Roman Regular" w:cs="Times New Roman Regular"/>
          <w:b/>
          <w:sz w:val="22"/>
          <w:szCs w:val="22"/>
        </w:rPr>
        <w:t>References</w:t>
      </w:r>
    </w:p>
    <w:p w14:paraId="4EDDF18E">
      <w:pPr>
        <w:pStyle w:val="19"/>
        <w:keepNext w:val="0"/>
        <w:keepLines w:val="0"/>
        <w:widowControl/>
        <w:suppressLineNumbers w:val="0"/>
        <w:spacing w:before="0" w:beforeAutospacing="1" w:after="0" w:afterAutospacing="1"/>
        <w:ind w:left="717" w:leftChars="0" w:right="0" w:hanging="717" w:hangingChars="326"/>
        <w:jc w:val="both"/>
        <w:rPr>
          <w:sz w:val="22"/>
          <w:szCs w:val="22"/>
        </w:rPr>
      </w:pPr>
      <w:r>
        <w:rPr>
          <w:sz w:val="22"/>
          <w:szCs w:val="22"/>
        </w:rPr>
        <w:t xml:space="preserve">Adimora-Ezeigbo, A. (1996). </w:t>
      </w:r>
      <w:r>
        <w:rPr>
          <w:rStyle w:val="13"/>
          <w:sz w:val="22"/>
          <w:szCs w:val="22"/>
        </w:rPr>
        <w:t>The last of the strong ones</w:t>
      </w:r>
      <w:r>
        <w:rPr>
          <w:sz w:val="22"/>
          <w:szCs w:val="22"/>
        </w:rPr>
        <w:t>. Lantern Books.</w:t>
      </w:r>
    </w:p>
    <w:p w14:paraId="6B91DA43">
      <w:pPr>
        <w:pStyle w:val="19"/>
        <w:keepNext w:val="0"/>
        <w:keepLines w:val="0"/>
        <w:widowControl/>
        <w:suppressLineNumbers w:val="0"/>
        <w:spacing w:before="0" w:beforeAutospacing="1" w:after="0" w:afterAutospacing="1"/>
        <w:ind w:left="717" w:leftChars="0" w:right="0" w:hanging="717" w:hangingChars="326"/>
        <w:jc w:val="both"/>
        <w:rPr>
          <w:sz w:val="22"/>
          <w:szCs w:val="22"/>
        </w:rPr>
      </w:pPr>
      <w:r>
        <w:rPr>
          <w:sz w:val="22"/>
          <w:szCs w:val="22"/>
        </w:rPr>
        <w:t xml:space="preserve">Akinlawon, T. (2010). </w:t>
      </w:r>
      <w:r>
        <w:rPr>
          <w:rStyle w:val="13"/>
          <w:sz w:val="22"/>
          <w:szCs w:val="22"/>
        </w:rPr>
        <w:t>Widowhood in Nigerian society</w:t>
      </w:r>
      <w:r>
        <w:rPr>
          <w:sz w:val="22"/>
          <w:szCs w:val="22"/>
        </w:rPr>
        <w:t xml:space="preserve"> [Paper presentation]. Widows Support Program of Catholic Diocese of Lagos State, Nigeria.</w:t>
      </w:r>
    </w:p>
    <w:p w14:paraId="1DA7CC4A">
      <w:pPr>
        <w:pStyle w:val="19"/>
        <w:keepNext w:val="0"/>
        <w:keepLines w:val="0"/>
        <w:widowControl/>
        <w:suppressLineNumbers w:val="0"/>
        <w:spacing w:before="0" w:beforeAutospacing="1" w:after="0" w:afterAutospacing="1"/>
        <w:ind w:left="717" w:leftChars="0" w:right="0" w:hanging="717" w:hangingChars="326"/>
        <w:jc w:val="both"/>
        <w:rPr>
          <w:sz w:val="22"/>
          <w:szCs w:val="22"/>
        </w:rPr>
      </w:pPr>
      <w:r>
        <w:rPr>
          <w:sz w:val="22"/>
          <w:szCs w:val="22"/>
        </w:rPr>
        <w:t xml:space="preserve">Amadiume, I. (1987). </w:t>
      </w:r>
      <w:r>
        <w:rPr>
          <w:rStyle w:val="13"/>
          <w:sz w:val="22"/>
          <w:szCs w:val="22"/>
        </w:rPr>
        <w:t>Male daughters, female husbands: Gender and sex in an African society</w:t>
      </w:r>
      <w:r>
        <w:rPr>
          <w:sz w:val="22"/>
          <w:szCs w:val="22"/>
        </w:rPr>
        <w:t>. Zed Books.</w:t>
      </w:r>
    </w:p>
    <w:p w14:paraId="13E1EADF">
      <w:pPr>
        <w:pStyle w:val="19"/>
        <w:keepNext w:val="0"/>
        <w:keepLines w:val="0"/>
        <w:widowControl/>
        <w:suppressLineNumbers w:val="0"/>
        <w:spacing w:before="0" w:beforeAutospacing="1" w:after="0" w:afterAutospacing="1"/>
        <w:ind w:left="717" w:leftChars="0" w:right="0" w:hanging="717" w:hangingChars="326"/>
        <w:jc w:val="both"/>
        <w:rPr>
          <w:sz w:val="22"/>
          <w:szCs w:val="22"/>
        </w:rPr>
      </w:pPr>
      <w:r>
        <w:rPr>
          <w:sz w:val="22"/>
          <w:szCs w:val="22"/>
        </w:rPr>
        <w:t xml:space="preserve">Ani, C. C., &amp; Chime, O. H. (2021). Male gender preference amongst the Igbo tribe of South-Eastern part of Nigeria and its attendant hanker for continuity of family line: Finding healthier solutions in assisted reproductive technology. </w:t>
      </w:r>
      <w:r>
        <w:rPr>
          <w:rStyle w:val="13"/>
          <w:sz w:val="22"/>
          <w:szCs w:val="22"/>
        </w:rPr>
        <w:t>International Journal of Law, 7</w:t>
      </w:r>
      <w:r>
        <w:rPr>
          <w:sz w:val="22"/>
          <w:szCs w:val="22"/>
        </w:rPr>
        <w:t>(4), 215–225.</w:t>
      </w:r>
    </w:p>
    <w:p w14:paraId="47DD8C7A">
      <w:pPr>
        <w:pStyle w:val="19"/>
        <w:keepNext w:val="0"/>
        <w:keepLines w:val="0"/>
        <w:widowControl/>
        <w:suppressLineNumbers w:val="0"/>
        <w:spacing w:before="0" w:beforeAutospacing="1" w:after="0" w:afterAutospacing="1"/>
        <w:ind w:left="717" w:leftChars="0" w:right="0" w:hanging="717" w:hangingChars="326"/>
        <w:jc w:val="both"/>
        <w:rPr>
          <w:sz w:val="22"/>
          <w:szCs w:val="22"/>
        </w:rPr>
      </w:pPr>
      <w:r>
        <w:rPr>
          <w:sz w:val="22"/>
          <w:szCs w:val="22"/>
        </w:rPr>
        <w:t xml:space="preserve">Chukwuokolo, J. C. (2019). Igbo philosophy of marriage: Towards the revival of family values for veritable development of Igbo land. </w:t>
      </w:r>
      <w:r>
        <w:rPr>
          <w:rStyle w:val="13"/>
          <w:sz w:val="22"/>
          <w:szCs w:val="22"/>
        </w:rPr>
        <w:t>Journal of African Studies and Sustainable Development, 2</w:t>
      </w:r>
      <w:r>
        <w:rPr>
          <w:sz w:val="22"/>
          <w:szCs w:val="22"/>
        </w:rPr>
        <w:t>(8), 120–141.</w:t>
      </w:r>
    </w:p>
    <w:p w14:paraId="3012BE6F">
      <w:pPr>
        <w:pStyle w:val="19"/>
        <w:keepNext w:val="0"/>
        <w:keepLines w:val="0"/>
        <w:widowControl/>
        <w:suppressLineNumbers w:val="0"/>
        <w:spacing w:before="0" w:beforeAutospacing="1" w:after="0" w:afterAutospacing="1"/>
        <w:ind w:left="717" w:leftChars="0" w:right="0" w:hanging="717" w:hangingChars="326"/>
        <w:jc w:val="both"/>
        <w:rPr>
          <w:sz w:val="22"/>
          <w:szCs w:val="22"/>
        </w:rPr>
      </w:pPr>
      <w:r>
        <w:rPr>
          <w:sz w:val="22"/>
          <w:szCs w:val="22"/>
        </w:rPr>
        <w:t xml:space="preserve">Eskridge, W. N., Jr. (1993). A history of same-sex marriage. </w:t>
      </w:r>
      <w:r>
        <w:rPr>
          <w:rStyle w:val="13"/>
          <w:sz w:val="22"/>
          <w:szCs w:val="22"/>
        </w:rPr>
        <w:t>Virginia Law Review, 79</w:t>
      </w:r>
      <w:r>
        <w:rPr>
          <w:sz w:val="22"/>
          <w:szCs w:val="22"/>
        </w:rPr>
        <w:t>(7), 1419–1513.</w:t>
      </w:r>
    </w:p>
    <w:p w14:paraId="4E7B57F0">
      <w:pPr>
        <w:pStyle w:val="19"/>
        <w:keepNext w:val="0"/>
        <w:keepLines w:val="0"/>
        <w:widowControl/>
        <w:suppressLineNumbers w:val="0"/>
        <w:spacing w:before="0" w:beforeAutospacing="1" w:after="0" w:afterAutospacing="1"/>
        <w:ind w:left="717" w:leftChars="0" w:right="0" w:hanging="717" w:hangingChars="326"/>
        <w:jc w:val="both"/>
        <w:rPr>
          <w:sz w:val="22"/>
          <w:szCs w:val="22"/>
        </w:rPr>
      </w:pPr>
      <w:r>
        <w:rPr>
          <w:sz w:val="22"/>
          <w:szCs w:val="22"/>
        </w:rPr>
        <w:t xml:space="preserve">Igodo, E. O. (2020). An appraisal of traditional marriage rites in Onicha sub-culture area, Ebonyi State, Nigeria. </w:t>
      </w:r>
      <w:r>
        <w:rPr>
          <w:rStyle w:val="13"/>
          <w:sz w:val="22"/>
          <w:szCs w:val="22"/>
        </w:rPr>
        <w:t>African Journal of Culture, History, Religion and Traditions, 2</w:t>
      </w:r>
      <w:r>
        <w:rPr>
          <w:sz w:val="22"/>
          <w:szCs w:val="22"/>
        </w:rPr>
        <w:t>(1), 18–27.</w:t>
      </w:r>
    </w:p>
    <w:p w14:paraId="63962502">
      <w:pPr>
        <w:pStyle w:val="19"/>
        <w:keepNext w:val="0"/>
        <w:keepLines w:val="0"/>
        <w:widowControl/>
        <w:suppressLineNumbers w:val="0"/>
        <w:spacing w:before="0" w:beforeAutospacing="1" w:after="0" w:afterAutospacing="1"/>
        <w:ind w:left="717" w:leftChars="0" w:right="0" w:hanging="717" w:hangingChars="326"/>
        <w:jc w:val="both"/>
        <w:rPr>
          <w:sz w:val="22"/>
          <w:szCs w:val="22"/>
        </w:rPr>
      </w:pPr>
      <w:r>
        <w:rPr>
          <w:sz w:val="22"/>
          <w:szCs w:val="22"/>
        </w:rPr>
        <w:t xml:space="preserve">Mba, N. (1982). </w:t>
      </w:r>
      <w:r>
        <w:rPr>
          <w:rStyle w:val="13"/>
          <w:sz w:val="22"/>
          <w:szCs w:val="22"/>
        </w:rPr>
        <w:t>Nigerian women mobilized</w:t>
      </w:r>
      <w:r>
        <w:rPr>
          <w:sz w:val="22"/>
          <w:szCs w:val="22"/>
        </w:rPr>
        <w:t>. University of California Press.</w:t>
      </w:r>
    </w:p>
    <w:p w14:paraId="1436E14D">
      <w:pPr>
        <w:pStyle w:val="19"/>
        <w:keepNext w:val="0"/>
        <w:keepLines w:val="0"/>
        <w:widowControl/>
        <w:suppressLineNumbers w:val="0"/>
        <w:spacing w:before="0" w:beforeAutospacing="1" w:after="0" w:afterAutospacing="1"/>
        <w:ind w:left="717" w:leftChars="0" w:right="0" w:hanging="717" w:hangingChars="326"/>
        <w:jc w:val="both"/>
        <w:rPr>
          <w:sz w:val="22"/>
          <w:szCs w:val="22"/>
        </w:rPr>
      </w:pPr>
      <w:r>
        <w:rPr>
          <w:sz w:val="22"/>
          <w:szCs w:val="22"/>
        </w:rPr>
        <w:t xml:space="preserve">Murray, S. O., &amp; Roscoe, W. (Eds.). (1998). </w:t>
      </w:r>
      <w:r>
        <w:rPr>
          <w:rStyle w:val="13"/>
          <w:sz w:val="22"/>
          <w:szCs w:val="22"/>
        </w:rPr>
        <w:t>Boy-wives and female husbands: Studies of African homosexualities</w:t>
      </w:r>
      <w:r>
        <w:rPr>
          <w:sz w:val="22"/>
          <w:szCs w:val="22"/>
        </w:rPr>
        <w:t>. St. Martin’s Press.</w:t>
      </w:r>
    </w:p>
    <w:p w14:paraId="66064FAB">
      <w:pPr>
        <w:pStyle w:val="19"/>
        <w:keepNext w:val="0"/>
        <w:keepLines w:val="0"/>
        <w:widowControl/>
        <w:suppressLineNumbers w:val="0"/>
        <w:spacing w:before="0" w:beforeAutospacing="1" w:after="0" w:afterAutospacing="1"/>
        <w:ind w:left="717" w:leftChars="0" w:right="0" w:hanging="717" w:hangingChars="326"/>
        <w:jc w:val="both"/>
        <w:rPr>
          <w:sz w:val="22"/>
          <w:szCs w:val="22"/>
        </w:rPr>
      </w:pPr>
      <w:r>
        <w:rPr>
          <w:sz w:val="22"/>
          <w:szCs w:val="22"/>
        </w:rPr>
        <w:t xml:space="preserve">Nicolazzo, S. (2014). Henry Fielding’s “The female husband” and the sexuality of vagrancy. </w:t>
      </w:r>
      <w:r>
        <w:rPr>
          <w:rStyle w:val="13"/>
          <w:sz w:val="22"/>
          <w:szCs w:val="22"/>
        </w:rPr>
        <w:t>The Eighteenth Century, 55</w:t>
      </w:r>
      <w:r>
        <w:rPr>
          <w:sz w:val="22"/>
          <w:szCs w:val="22"/>
        </w:rPr>
        <w:t>(4), 335–353.</w:t>
      </w:r>
    </w:p>
    <w:p w14:paraId="296DF0FB">
      <w:pPr>
        <w:pStyle w:val="19"/>
        <w:keepNext w:val="0"/>
        <w:keepLines w:val="0"/>
        <w:widowControl/>
        <w:suppressLineNumbers w:val="0"/>
        <w:spacing w:before="0" w:beforeAutospacing="1" w:after="0" w:afterAutospacing="1"/>
        <w:ind w:left="717" w:leftChars="0" w:right="0" w:hanging="717" w:hangingChars="326"/>
        <w:jc w:val="both"/>
        <w:rPr>
          <w:sz w:val="22"/>
          <w:szCs w:val="22"/>
        </w:rPr>
      </w:pPr>
      <w:r>
        <w:rPr>
          <w:sz w:val="22"/>
          <w:szCs w:val="22"/>
        </w:rPr>
        <w:t xml:space="preserve">Nwabude, A. A. R. (2022). Traditional African (the Igbo) marriage customs and the influence of Western culture: Marxist approach. </w:t>
      </w:r>
      <w:r>
        <w:rPr>
          <w:rStyle w:val="13"/>
          <w:sz w:val="22"/>
          <w:szCs w:val="22"/>
        </w:rPr>
        <w:t>Open Journal of Social Sciences, 10</w:t>
      </w:r>
      <w:r>
        <w:rPr>
          <w:sz w:val="22"/>
          <w:szCs w:val="22"/>
        </w:rPr>
        <w:t>(1), 224–239.</w:t>
      </w:r>
    </w:p>
    <w:p w14:paraId="7B286662">
      <w:pPr>
        <w:pStyle w:val="19"/>
        <w:keepNext w:val="0"/>
        <w:keepLines w:val="0"/>
        <w:widowControl/>
        <w:suppressLineNumbers w:val="0"/>
        <w:spacing w:before="0" w:beforeAutospacing="1" w:after="0" w:afterAutospacing="1"/>
        <w:ind w:left="717" w:leftChars="0" w:right="0" w:hanging="717" w:hangingChars="326"/>
        <w:jc w:val="both"/>
        <w:rPr>
          <w:sz w:val="22"/>
          <w:szCs w:val="22"/>
        </w:rPr>
      </w:pPr>
      <w:r>
        <w:rPr>
          <w:sz w:val="22"/>
          <w:szCs w:val="22"/>
        </w:rPr>
        <w:t xml:space="preserve">Nwoko, K. C. (2012). Female husbands in Igbo land: Southeast Nigeria. </w:t>
      </w:r>
      <w:r>
        <w:rPr>
          <w:rStyle w:val="13"/>
          <w:sz w:val="22"/>
          <w:szCs w:val="22"/>
        </w:rPr>
        <w:t>The Journal of Pan African Studies, 5</w:t>
      </w:r>
      <w:r>
        <w:rPr>
          <w:sz w:val="22"/>
          <w:szCs w:val="22"/>
        </w:rPr>
        <w:t>(1), 69–82.</w:t>
      </w:r>
    </w:p>
    <w:p w14:paraId="370DA938">
      <w:pPr>
        <w:pStyle w:val="19"/>
        <w:keepNext w:val="0"/>
        <w:keepLines w:val="0"/>
        <w:widowControl/>
        <w:suppressLineNumbers w:val="0"/>
        <w:spacing w:before="0" w:beforeAutospacing="1" w:after="0" w:afterAutospacing="1"/>
        <w:ind w:left="717" w:leftChars="0" w:right="0" w:hanging="717" w:hangingChars="326"/>
        <w:jc w:val="both"/>
        <w:rPr>
          <w:sz w:val="22"/>
          <w:szCs w:val="22"/>
        </w:rPr>
      </w:pPr>
      <w:r>
        <w:rPr>
          <w:sz w:val="22"/>
          <w:szCs w:val="22"/>
        </w:rPr>
        <w:t xml:space="preserve">Nwokocha, E. E. (2007). Male-child syndrome and the agony of motherhood among the Igbo of Nigeria. </w:t>
      </w:r>
      <w:r>
        <w:rPr>
          <w:rStyle w:val="13"/>
          <w:sz w:val="22"/>
          <w:szCs w:val="22"/>
        </w:rPr>
        <w:t>International Journal of Sociology of the Family, 33</w:t>
      </w:r>
      <w:r>
        <w:rPr>
          <w:sz w:val="22"/>
          <w:szCs w:val="22"/>
        </w:rPr>
        <w:t>(1), 219–234.</w:t>
      </w:r>
    </w:p>
    <w:p w14:paraId="277DCB64">
      <w:pPr>
        <w:pStyle w:val="19"/>
        <w:keepNext w:val="0"/>
        <w:keepLines w:val="0"/>
        <w:widowControl/>
        <w:suppressLineNumbers w:val="0"/>
        <w:spacing w:before="0" w:beforeAutospacing="1" w:after="0" w:afterAutospacing="1"/>
        <w:ind w:left="717" w:leftChars="0" w:right="0" w:hanging="717" w:hangingChars="326"/>
        <w:jc w:val="both"/>
        <w:rPr>
          <w:sz w:val="22"/>
          <w:szCs w:val="22"/>
        </w:rPr>
      </w:pPr>
      <w:r>
        <w:rPr>
          <w:sz w:val="22"/>
          <w:szCs w:val="22"/>
        </w:rPr>
        <w:t xml:space="preserve">Ogbomo, O. W. (2005). Women, power and society in pre-colonial Africa. </w:t>
      </w:r>
      <w:r>
        <w:rPr>
          <w:rStyle w:val="13"/>
          <w:sz w:val="22"/>
          <w:szCs w:val="22"/>
        </w:rPr>
        <w:t>Lagos Historical Review, 5</w:t>
      </w:r>
      <w:r>
        <w:rPr>
          <w:sz w:val="22"/>
          <w:szCs w:val="22"/>
        </w:rPr>
        <w:t xml:space="preserve">(1), 49–74. </w:t>
      </w:r>
      <w:r>
        <w:rPr>
          <w:sz w:val="22"/>
          <w:szCs w:val="22"/>
        </w:rPr>
        <w:fldChar w:fldCharType="begin"/>
      </w:r>
      <w:r>
        <w:rPr>
          <w:sz w:val="22"/>
          <w:szCs w:val="22"/>
        </w:rPr>
        <w:instrText xml:space="preserve"> HYPERLINK "https://doi.org/10.4314/lhr.v5i1.32524" </w:instrText>
      </w:r>
      <w:r>
        <w:rPr>
          <w:sz w:val="22"/>
          <w:szCs w:val="22"/>
        </w:rPr>
        <w:fldChar w:fldCharType="separate"/>
      </w:r>
      <w:r>
        <w:rPr>
          <w:rStyle w:val="18"/>
          <w:sz w:val="22"/>
          <w:szCs w:val="22"/>
        </w:rPr>
        <w:t>https://doi.org/10.4314/lhr.v5i1.32524</w:t>
      </w:r>
      <w:r>
        <w:rPr>
          <w:sz w:val="22"/>
          <w:szCs w:val="22"/>
        </w:rPr>
        <w:fldChar w:fldCharType="end"/>
      </w:r>
    </w:p>
    <w:p w14:paraId="388C2C90">
      <w:pPr>
        <w:pStyle w:val="19"/>
        <w:keepNext w:val="0"/>
        <w:keepLines w:val="0"/>
        <w:widowControl/>
        <w:suppressLineNumbers w:val="0"/>
        <w:spacing w:before="0" w:beforeAutospacing="1" w:after="0" w:afterAutospacing="1"/>
        <w:ind w:left="717" w:leftChars="0" w:right="0" w:hanging="717" w:hangingChars="326"/>
        <w:jc w:val="both"/>
        <w:rPr>
          <w:sz w:val="22"/>
          <w:szCs w:val="22"/>
        </w:rPr>
      </w:pPr>
      <w:r>
        <w:rPr>
          <w:sz w:val="22"/>
          <w:szCs w:val="22"/>
        </w:rPr>
        <w:t xml:space="preserve">Okide, U. J. (2016). Same-sex (gay/lesbian) marriage and inter-female hostility in Igbo society. </w:t>
      </w:r>
      <w:r>
        <w:rPr>
          <w:rStyle w:val="13"/>
          <w:sz w:val="22"/>
          <w:szCs w:val="22"/>
        </w:rPr>
        <w:t>International Journal of Humanities and Cultural Studies, 3</w:t>
      </w:r>
      <w:r>
        <w:rPr>
          <w:sz w:val="22"/>
          <w:szCs w:val="22"/>
        </w:rPr>
        <w:t>(2), 1378–1389.</w:t>
      </w:r>
    </w:p>
    <w:p w14:paraId="2BB5C60D">
      <w:pPr>
        <w:pStyle w:val="19"/>
        <w:keepNext w:val="0"/>
        <w:keepLines w:val="0"/>
        <w:widowControl/>
        <w:suppressLineNumbers w:val="0"/>
        <w:spacing w:before="0" w:beforeAutospacing="1" w:after="0" w:afterAutospacing="1"/>
        <w:ind w:left="717" w:leftChars="0" w:right="0" w:hanging="717" w:hangingChars="326"/>
        <w:jc w:val="both"/>
        <w:rPr>
          <w:sz w:val="22"/>
          <w:szCs w:val="22"/>
        </w:rPr>
      </w:pPr>
      <w:r>
        <w:rPr>
          <w:sz w:val="22"/>
          <w:szCs w:val="22"/>
        </w:rPr>
        <w:t xml:space="preserve">Oyěwùmí, O. (1997). </w:t>
      </w:r>
      <w:r>
        <w:rPr>
          <w:rStyle w:val="13"/>
          <w:sz w:val="22"/>
          <w:szCs w:val="22"/>
        </w:rPr>
        <w:t>The invention of women: Making an African sense of Western gender discourses</w:t>
      </w:r>
      <w:r>
        <w:rPr>
          <w:sz w:val="22"/>
          <w:szCs w:val="22"/>
        </w:rPr>
        <w:t>. University of Minnesota Press.</w:t>
      </w:r>
    </w:p>
    <w:p w14:paraId="56407930">
      <w:pPr>
        <w:pStyle w:val="19"/>
        <w:keepNext w:val="0"/>
        <w:keepLines w:val="0"/>
        <w:widowControl/>
        <w:suppressLineNumbers w:val="0"/>
        <w:spacing w:before="0" w:beforeAutospacing="1" w:after="0" w:afterAutospacing="1"/>
        <w:ind w:left="717" w:leftChars="0" w:right="0" w:hanging="717" w:hangingChars="326"/>
        <w:jc w:val="both"/>
        <w:rPr>
          <w:sz w:val="22"/>
          <w:szCs w:val="22"/>
        </w:rPr>
      </w:pPr>
      <w:r>
        <w:rPr>
          <w:sz w:val="22"/>
          <w:szCs w:val="22"/>
        </w:rPr>
        <w:t xml:space="preserve">Price, T. (1954). </w:t>
      </w:r>
      <w:r>
        <w:rPr>
          <w:rStyle w:val="13"/>
          <w:sz w:val="22"/>
          <w:szCs w:val="22"/>
        </w:rPr>
        <w:t>African marriage</w:t>
      </w:r>
      <w:r>
        <w:rPr>
          <w:sz w:val="22"/>
          <w:szCs w:val="22"/>
        </w:rPr>
        <w:t>. SCM Press.</w:t>
      </w:r>
    </w:p>
    <w:p w14:paraId="1DAB74B7">
      <w:pPr>
        <w:pStyle w:val="19"/>
        <w:keepNext w:val="0"/>
        <w:keepLines w:val="0"/>
        <w:widowControl/>
        <w:suppressLineNumbers w:val="0"/>
        <w:spacing w:before="0" w:beforeAutospacing="1" w:after="0" w:afterAutospacing="1"/>
        <w:ind w:left="717" w:leftChars="0" w:right="0" w:hanging="717" w:hangingChars="326"/>
        <w:jc w:val="both"/>
        <w:rPr>
          <w:sz w:val="22"/>
          <w:szCs w:val="22"/>
        </w:rPr>
      </w:pPr>
      <w:r>
        <w:rPr>
          <w:sz w:val="22"/>
          <w:szCs w:val="22"/>
        </w:rPr>
        <w:t xml:space="preserve">Shree, K. R., &amp; Gayathri, N. (2022). Understanding the concept of lesbianism: From lifestyle to social phenomenon. </w:t>
      </w:r>
      <w:r>
        <w:rPr>
          <w:rStyle w:val="13"/>
          <w:sz w:val="22"/>
          <w:szCs w:val="22"/>
        </w:rPr>
        <w:t>Journal of Positive School Psychology, 6</w:t>
      </w:r>
      <w:r>
        <w:rPr>
          <w:sz w:val="22"/>
          <w:szCs w:val="22"/>
        </w:rPr>
        <w:t>(12), 1002–1012.</w:t>
      </w:r>
    </w:p>
    <w:p w14:paraId="3E71A4F1">
      <w:pPr>
        <w:pStyle w:val="19"/>
        <w:keepNext w:val="0"/>
        <w:keepLines w:val="0"/>
        <w:widowControl/>
        <w:suppressLineNumbers w:val="0"/>
        <w:spacing w:before="0" w:beforeAutospacing="1" w:after="0" w:afterAutospacing="1"/>
        <w:ind w:left="717" w:leftChars="0" w:right="0" w:hanging="717" w:hangingChars="326"/>
        <w:jc w:val="both"/>
        <w:rPr>
          <w:sz w:val="22"/>
          <w:szCs w:val="22"/>
        </w:rPr>
      </w:pPr>
      <w:r>
        <w:rPr>
          <w:sz w:val="22"/>
          <w:szCs w:val="22"/>
        </w:rPr>
        <w:t xml:space="preserve">Talbot, P. A. (1967). </w:t>
      </w:r>
      <w:r>
        <w:rPr>
          <w:rStyle w:val="13"/>
          <w:sz w:val="22"/>
          <w:szCs w:val="22"/>
        </w:rPr>
        <w:t>Tribes of the Niger Delta</w:t>
      </w:r>
      <w:r>
        <w:rPr>
          <w:sz w:val="22"/>
          <w:szCs w:val="22"/>
        </w:rPr>
        <w:t>. Frank Cass.</w:t>
      </w:r>
    </w:p>
    <w:p w14:paraId="4DA0A94D">
      <w:pPr>
        <w:pStyle w:val="19"/>
        <w:keepNext w:val="0"/>
        <w:keepLines w:val="0"/>
        <w:widowControl/>
        <w:suppressLineNumbers w:val="0"/>
        <w:spacing w:before="0" w:beforeAutospacing="1" w:after="0" w:afterAutospacing="1"/>
        <w:ind w:left="717" w:leftChars="0" w:right="0" w:hanging="717" w:hangingChars="326"/>
        <w:jc w:val="both"/>
        <w:rPr>
          <w:sz w:val="22"/>
          <w:szCs w:val="22"/>
        </w:rPr>
      </w:pPr>
      <w:r>
        <w:rPr>
          <w:sz w:val="22"/>
          <w:szCs w:val="22"/>
        </w:rPr>
        <w:t xml:space="preserve">Tamale, S. (Ed.). (2011). </w:t>
      </w:r>
      <w:r>
        <w:rPr>
          <w:rStyle w:val="13"/>
          <w:sz w:val="22"/>
          <w:szCs w:val="22"/>
        </w:rPr>
        <w:t>African sexualities: A reader</w:t>
      </w:r>
      <w:r>
        <w:rPr>
          <w:sz w:val="22"/>
          <w:szCs w:val="22"/>
        </w:rPr>
        <w:t>. Pambazuka Press.</w:t>
      </w:r>
    </w:p>
    <w:p w14:paraId="1BE6F09F">
      <w:pPr>
        <w:pStyle w:val="19"/>
        <w:keepNext w:val="0"/>
        <w:keepLines w:val="0"/>
        <w:widowControl/>
        <w:suppressLineNumbers w:val="0"/>
        <w:spacing w:before="0" w:beforeAutospacing="1" w:after="0" w:afterAutospacing="1"/>
        <w:ind w:left="717" w:leftChars="0" w:right="0" w:hanging="717" w:hangingChars="326"/>
        <w:jc w:val="both"/>
        <w:rPr>
          <w:sz w:val="22"/>
          <w:szCs w:val="22"/>
        </w:rPr>
      </w:pPr>
      <w:r>
        <w:rPr>
          <w:sz w:val="22"/>
          <w:szCs w:val="22"/>
        </w:rPr>
        <w:t xml:space="preserve">Uchendu, E. (2007a). Woman–woman marriage in Igboland. In A. U. Azodo &amp; M. N. Eke (Eds.), </w:t>
      </w:r>
      <w:r>
        <w:rPr>
          <w:rStyle w:val="13"/>
          <w:sz w:val="22"/>
          <w:szCs w:val="22"/>
        </w:rPr>
        <w:t>Gender and sexuality in African literature and film</w:t>
      </w:r>
      <w:r>
        <w:rPr>
          <w:sz w:val="22"/>
          <w:szCs w:val="22"/>
        </w:rPr>
        <w:t xml:space="preserve"> (pp. 141–154). Africa World Press.</w:t>
      </w:r>
    </w:p>
    <w:p w14:paraId="4E576634">
      <w:pPr>
        <w:pStyle w:val="19"/>
        <w:keepNext w:val="0"/>
        <w:keepLines w:val="0"/>
        <w:widowControl/>
        <w:suppressLineNumbers w:val="0"/>
        <w:spacing w:before="0" w:beforeAutospacing="1" w:after="0" w:afterAutospacing="1"/>
        <w:ind w:left="717" w:leftChars="0" w:right="0" w:hanging="717" w:hangingChars="326"/>
        <w:jc w:val="both"/>
        <w:rPr>
          <w:sz w:val="22"/>
          <w:szCs w:val="22"/>
        </w:rPr>
      </w:pPr>
      <w:r>
        <w:rPr>
          <w:sz w:val="22"/>
          <w:szCs w:val="22"/>
        </w:rPr>
        <w:t xml:space="preserve">Uchendu, E. (2007b). </w:t>
      </w:r>
      <w:r>
        <w:rPr>
          <w:rStyle w:val="13"/>
          <w:sz w:val="22"/>
          <w:szCs w:val="22"/>
        </w:rPr>
        <w:t>Anioma women and conflict in the Nigerian Civil War</w:t>
      </w:r>
      <w:r>
        <w:rPr>
          <w:sz w:val="22"/>
          <w:szCs w:val="22"/>
        </w:rPr>
        <w:t>. Africa World Press.</w:t>
      </w:r>
    </w:p>
    <w:p w14:paraId="14E22A7C">
      <w:pPr>
        <w:pStyle w:val="19"/>
        <w:keepNext w:val="0"/>
        <w:keepLines w:val="0"/>
        <w:widowControl/>
        <w:suppressLineNumbers w:val="0"/>
        <w:spacing w:before="0" w:beforeAutospacing="1" w:after="0" w:afterAutospacing="1"/>
        <w:ind w:left="717" w:leftChars="0" w:right="0" w:hanging="717" w:hangingChars="326"/>
        <w:jc w:val="both"/>
        <w:rPr>
          <w:sz w:val="22"/>
          <w:szCs w:val="22"/>
        </w:rPr>
      </w:pPr>
      <w:r>
        <w:rPr>
          <w:sz w:val="22"/>
          <w:szCs w:val="22"/>
        </w:rPr>
        <w:t xml:space="preserve">Uchendu, V. C. (1965). </w:t>
      </w:r>
      <w:r>
        <w:rPr>
          <w:rStyle w:val="13"/>
          <w:sz w:val="22"/>
          <w:szCs w:val="22"/>
        </w:rPr>
        <w:t>The Igbo of Southeast Nigeria</w:t>
      </w:r>
      <w:r>
        <w:rPr>
          <w:sz w:val="22"/>
          <w:szCs w:val="22"/>
        </w:rPr>
        <w:t>. Holt, Rinehart and Winston.</w:t>
      </w:r>
    </w:p>
    <w:p w14:paraId="7AD489E8">
      <w:pPr>
        <w:pStyle w:val="19"/>
        <w:keepNext w:val="0"/>
        <w:keepLines w:val="0"/>
        <w:widowControl/>
        <w:suppressLineNumbers w:val="0"/>
        <w:spacing w:before="0" w:beforeAutospacing="1" w:after="0" w:afterAutospacing="1"/>
        <w:ind w:left="717" w:leftChars="0" w:right="0" w:hanging="717" w:hangingChars="326"/>
        <w:jc w:val="both"/>
        <w:rPr>
          <w:sz w:val="22"/>
          <w:szCs w:val="22"/>
        </w:rPr>
      </w:pPr>
      <w:r>
        <w:rPr>
          <w:sz w:val="22"/>
          <w:szCs w:val="22"/>
        </w:rPr>
        <w:t xml:space="preserve">Urama, E. N. (2019). The values and usefulness of same-sex marriages among females in Igbo culture in the continuity of lineage or posterity. </w:t>
      </w:r>
      <w:r>
        <w:rPr>
          <w:rStyle w:val="13"/>
          <w:sz w:val="22"/>
          <w:szCs w:val="22"/>
        </w:rPr>
        <w:t>SAGE Open, 9</w:t>
      </w:r>
      <w:r>
        <w:rPr>
          <w:sz w:val="22"/>
          <w:szCs w:val="22"/>
        </w:rPr>
        <w:t xml:space="preserve">(2), 1–9. </w:t>
      </w:r>
      <w:r>
        <w:rPr>
          <w:sz w:val="22"/>
          <w:szCs w:val="22"/>
        </w:rPr>
        <w:fldChar w:fldCharType="begin"/>
      </w:r>
      <w:r>
        <w:rPr>
          <w:sz w:val="22"/>
          <w:szCs w:val="22"/>
        </w:rPr>
        <w:instrText xml:space="preserve"> HYPERLINK "https://doi.org/10.1177/2158244019" </w:instrText>
      </w:r>
      <w:r>
        <w:rPr>
          <w:sz w:val="22"/>
          <w:szCs w:val="22"/>
        </w:rPr>
        <w:fldChar w:fldCharType="separate"/>
      </w:r>
      <w:r>
        <w:rPr>
          <w:rStyle w:val="18"/>
          <w:sz w:val="22"/>
          <w:szCs w:val="22"/>
        </w:rPr>
        <w:t>https://doi.org/10.1177/2158244019</w:t>
      </w:r>
      <w:r>
        <w:rPr>
          <w:sz w:val="22"/>
          <w:szCs w:val="22"/>
        </w:rPr>
        <w:fldChar w:fldCharType="end"/>
      </w:r>
    </w:p>
    <w:p w14:paraId="034B2F7B">
      <w:pPr>
        <w:pStyle w:val="19"/>
        <w:keepNext w:val="0"/>
        <w:keepLines w:val="0"/>
        <w:widowControl/>
        <w:suppressLineNumbers w:val="0"/>
        <w:ind w:left="717" w:leftChars="0" w:hanging="717" w:hangingChars="326"/>
        <w:jc w:val="both"/>
        <w:rPr>
          <w:sz w:val="22"/>
          <w:szCs w:val="22"/>
        </w:rPr>
      </w:pPr>
      <w:r>
        <w:rPr>
          <w:sz w:val="22"/>
          <w:szCs w:val="22"/>
        </w:rPr>
        <w:t xml:space="preserve">William, A. (1987). Sources of African identity. In A. Diemer (Ed.), </w:t>
      </w:r>
      <w:r>
        <w:rPr>
          <w:rStyle w:val="13"/>
          <w:sz w:val="22"/>
          <w:szCs w:val="22"/>
        </w:rPr>
        <w:t>Africa and the problem of its identity</w:t>
      </w:r>
      <w:r>
        <w:rPr>
          <w:sz w:val="22"/>
          <w:szCs w:val="22"/>
        </w:rPr>
        <w:t>. Peter Lang.</w:t>
      </w:r>
    </w:p>
    <w:p w14:paraId="17DCF93B">
      <w:pPr>
        <w:ind w:left="720" w:hanging="720"/>
        <w:jc w:val="both"/>
        <w:rPr>
          <w:rFonts w:hint="default" w:ascii="Times New Roman Regular" w:hAnsi="Times New Roman Regular" w:cs="Times New Roman Regular"/>
          <w:sz w:val="22"/>
          <w:szCs w:val="22"/>
          <w:lang w:val="en-US"/>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等线">
    <w:altName w:val="苹方-简"/>
    <w:panose1 w:val="00000000000000000000"/>
    <w:charset w:val="86"/>
    <w:family w:val="auto"/>
    <w:pitch w:val="default"/>
    <w:sig w:usb0="00000000" w:usb1="00000000" w:usb2="00000000" w:usb3="00000000" w:csb0="00000000" w:csb1="00000000"/>
  </w:font>
  <w:font w:name="Aptos">
    <w:altName w:val="Helvetica Neue"/>
    <w:panose1 w:val="00000000000000000000"/>
    <w:charset w:val="86"/>
    <w:family w:val="swiss"/>
    <w:pitch w:val="default"/>
    <w:sig w:usb0="00000000" w:usb1="00000000" w:usb2="00000000" w:usb3="00000000" w:csb0="0000019F" w:csb1="00000000"/>
  </w:font>
  <w:font w:name="Verdana">
    <w:panose1 w:val="020B0804030504040204"/>
    <w:charset w:val="00"/>
    <w:family w:val="swiss"/>
    <w:pitch w:val="default"/>
    <w:sig w:usb0="A10006FF" w:usb1="4000205B" w:usb2="00000010" w:usb3="00000000" w:csb0="2000019F" w:csb1="00000000"/>
  </w:font>
  <w:font w:name="Aptos Display">
    <w:altName w:val="Helvetica Neue"/>
    <w:panose1 w:val="00000000000000000000"/>
    <w:charset w:val="00"/>
    <w:family w:val="swiss"/>
    <w:pitch w:val="default"/>
    <w:sig w:usb0="00000000" w:usb1="00000000" w:usb2="00000000" w:usb3="00000000" w:csb0="0000019F" w:csb1="00000000"/>
  </w:font>
  <w:font w:name="等线 Light">
    <w:altName w:val="苹方-简"/>
    <w:panose1 w:val="00000000000000000000"/>
    <w:charset w:val="00"/>
    <w:family w:val="auto"/>
    <w:pitch w:val="default"/>
    <w:sig w:usb0="00000000" w:usb1="00000000" w:usb2="00000000" w:usb3="00000000" w:csb0="00000000" w:csb1="00000000"/>
  </w:font>
  <w:font w:name="Times New Roman Regular">
    <w:panose1 w:val="02020503050405090304"/>
    <w:charset w:val="00"/>
    <w:family w:val="auto"/>
    <w:pitch w:val="default"/>
    <w:sig w:usb0="E0000AFF" w:usb1="00007843" w:usb2="00000001" w:usb3="00000000" w:csb0="400001BF" w:csb1="DFF70000"/>
  </w:font>
  <w:font w:name="Times New Roman Bold">
    <w:panose1 w:val="02020503050405090304"/>
    <w:charset w:val="00"/>
    <w:family w:val="auto"/>
    <w:pitch w:val="default"/>
    <w:sig w:usb0="E0000AFF" w:usb1="00007843" w:usb2="00000001" w:usb3="00000000" w:csb0="400001BF" w:csb1="DFF70000"/>
  </w:font>
  <w:font w:name="Times New Roman Italic">
    <w:panose1 w:val="02020503050405090304"/>
    <w:charset w:val="00"/>
    <w:family w:val="auto"/>
    <w:pitch w:val="default"/>
    <w:sig w:usb0="E0000AFF" w:usb1="00007843" w:usb2="00000001" w:usb3="00000000" w:csb0="400001BF" w:csb1="DFF70000"/>
  </w:font>
  <w:font w:name="宋体-简">
    <w:panose1 w:val="02010800040101010101"/>
    <w:charset w:val="86"/>
    <w:family w:val="auto"/>
    <w:pitch w:val="default"/>
    <w:sig w:usb0="00000001" w:usb1="080F0000" w:usb2="00000000" w:usb3="00000000" w:csb0="00040000" w:csb1="00000000"/>
  </w:font>
  <w:font w:name="SimSun">
    <w:altName w:val="宋体-简"/>
    <w:panose1 w:val="02010600030101010101"/>
    <w:charset w:val="86"/>
    <w:family w:val="roman"/>
    <w:pitch w:val="variable"/>
    <w:sig w:usb0="00000003" w:usb1="288F0000" w:usb2="00000016" w:usb3="00000000" w:csb0="00040001" w:csb1="00000000"/>
  </w:font>
  <w:font w:name="黑体-简">
    <w:panose1 w:val="02000000000000000000"/>
    <w:charset w:val="86"/>
    <w:family w:val="auto"/>
    <w:pitch w:val="default"/>
    <w:sig w:usb0="8000002F" w:usb1="0800004A" w:usb2="00000000" w:usb3="00000000" w:csb0="203E0000"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53611">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24B4C">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3650E">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60262">
    <w:pPr>
      <w:pStyle w:val="1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E9797">
    <w:pPr>
      <w:pStyle w:val="1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8577E">
    <w:pPr>
      <w:pStyle w:val="1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672880"/>
    <w:multiLevelType w:val="multilevel"/>
    <w:tmpl w:val="76672880"/>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removePersonalInformation/>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0A5"/>
    <w:rsid w:val="000164F1"/>
    <w:rsid w:val="00025491"/>
    <w:rsid w:val="0007068D"/>
    <w:rsid w:val="000A528B"/>
    <w:rsid w:val="000D514D"/>
    <w:rsid w:val="000D5FFE"/>
    <w:rsid w:val="000E2C90"/>
    <w:rsid w:val="001B43F3"/>
    <w:rsid w:val="001C3069"/>
    <w:rsid w:val="001E6CAF"/>
    <w:rsid w:val="002163D4"/>
    <w:rsid w:val="00225944"/>
    <w:rsid w:val="002567E5"/>
    <w:rsid w:val="002A24CE"/>
    <w:rsid w:val="002D1B88"/>
    <w:rsid w:val="002E24BB"/>
    <w:rsid w:val="002F00A6"/>
    <w:rsid w:val="002F4A35"/>
    <w:rsid w:val="00330E63"/>
    <w:rsid w:val="003430E2"/>
    <w:rsid w:val="00365C21"/>
    <w:rsid w:val="0037619C"/>
    <w:rsid w:val="003B4EA1"/>
    <w:rsid w:val="003C3758"/>
    <w:rsid w:val="003F25B5"/>
    <w:rsid w:val="004169E9"/>
    <w:rsid w:val="00430E48"/>
    <w:rsid w:val="00440EF6"/>
    <w:rsid w:val="004F4A4E"/>
    <w:rsid w:val="00510EE5"/>
    <w:rsid w:val="005155CE"/>
    <w:rsid w:val="00543573"/>
    <w:rsid w:val="00545916"/>
    <w:rsid w:val="00596A8D"/>
    <w:rsid w:val="005B6103"/>
    <w:rsid w:val="005B6FB2"/>
    <w:rsid w:val="005D32B5"/>
    <w:rsid w:val="00621AD1"/>
    <w:rsid w:val="0065538F"/>
    <w:rsid w:val="00671FCD"/>
    <w:rsid w:val="006A2D6C"/>
    <w:rsid w:val="0079051B"/>
    <w:rsid w:val="007E1E40"/>
    <w:rsid w:val="007E4A45"/>
    <w:rsid w:val="00803EDC"/>
    <w:rsid w:val="009457FD"/>
    <w:rsid w:val="0098272C"/>
    <w:rsid w:val="00995D8A"/>
    <w:rsid w:val="009E013C"/>
    <w:rsid w:val="009E4C88"/>
    <w:rsid w:val="009E6D38"/>
    <w:rsid w:val="00A26C5B"/>
    <w:rsid w:val="00A271C1"/>
    <w:rsid w:val="00A416FA"/>
    <w:rsid w:val="00A91424"/>
    <w:rsid w:val="00AA1697"/>
    <w:rsid w:val="00AA647D"/>
    <w:rsid w:val="00AD5F56"/>
    <w:rsid w:val="00AD6654"/>
    <w:rsid w:val="00AE13C6"/>
    <w:rsid w:val="00B16E60"/>
    <w:rsid w:val="00B461CE"/>
    <w:rsid w:val="00B627DC"/>
    <w:rsid w:val="00B62F49"/>
    <w:rsid w:val="00B713B7"/>
    <w:rsid w:val="00BB1BAC"/>
    <w:rsid w:val="00BE47F6"/>
    <w:rsid w:val="00BF1365"/>
    <w:rsid w:val="00C017E5"/>
    <w:rsid w:val="00C23E88"/>
    <w:rsid w:val="00C27D07"/>
    <w:rsid w:val="00C70C56"/>
    <w:rsid w:val="00CD5939"/>
    <w:rsid w:val="00CD6B1B"/>
    <w:rsid w:val="00D32FF9"/>
    <w:rsid w:val="00D874AB"/>
    <w:rsid w:val="00D9176A"/>
    <w:rsid w:val="00DA732A"/>
    <w:rsid w:val="00DE2124"/>
    <w:rsid w:val="00DE26CB"/>
    <w:rsid w:val="00DE6848"/>
    <w:rsid w:val="00E560F2"/>
    <w:rsid w:val="00EB50FD"/>
    <w:rsid w:val="00EC6187"/>
    <w:rsid w:val="00EC77F7"/>
    <w:rsid w:val="00EF5BAE"/>
    <w:rsid w:val="00F4506F"/>
    <w:rsid w:val="00F5466A"/>
    <w:rsid w:val="00F61A5F"/>
    <w:rsid w:val="00F730AA"/>
    <w:rsid w:val="00FA6889"/>
    <w:rsid w:val="00FD6ACC"/>
    <w:rsid w:val="00FE1E13"/>
    <w:rsid w:val="03FF3714"/>
    <w:rsid w:val="12FF3410"/>
    <w:rsid w:val="18FF914C"/>
    <w:rsid w:val="1FAF3A28"/>
    <w:rsid w:val="2487CE7F"/>
    <w:rsid w:val="2FB6B21F"/>
    <w:rsid w:val="36BF7CA5"/>
    <w:rsid w:val="3D2F75BA"/>
    <w:rsid w:val="43FD61AB"/>
    <w:rsid w:val="4BEF4F74"/>
    <w:rsid w:val="575B11DF"/>
    <w:rsid w:val="5B7DABB6"/>
    <w:rsid w:val="5CEF19FD"/>
    <w:rsid w:val="6BD49346"/>
    <w:rsid w:val="6BDBEC01"/>
    <w:rsid w:val="6FF77B42"/>
    <w:rsid w:val="76371969"/>
    <w:rsid w:val="76CE952F"/>
    <w:rsid w:val="76F2E9BF"/>
    <w:rsid w:val="79597F35"/>
    <w:rsid w:val="7DBF643E"/>
    <w:rsid w:val="7E972E7C"/>
    <w:rsid w:val="7EE7C522"/>
    <w:rsid w:val="7F66B44D"/>
    <w:rsid w:val="7FE3A2A9"/>
    <w:rsid w:val="7FE64798"/>
    <w:rsid w:val="7FF9C05D"/>
    <w:rsid w:val="7FFA70E3"/>
    <w:rsid w:val="7FFB20A5"/>
    <w:rsid w:val="7FFD9111"/>
    <w:rsid w:val="8DB3A8BB"/>
    <w:rsid w:val="8F779D08"/>
    <w:rsid w:val="9F7EE011"/>
    <w:rsid w:val="B34BE0C1"/>
    <w:rsid w:val="BD22CFC1"/>
    <w:rsid w:val="BEBFD9B4"/>
    <w:rsid w:val="BEFF2850"/>
    <w:rsid w:val="D2CE27F7"/>
    <w:rsid w:val="DF754FDF"/>
    <w:rsid w:val="DFFF6DD5"/>
    <w:rsid w:val="E7FE0B8D"/>
    <w:rsid w:val="EDFF844D"/>
    <w:rsid w:val="EFB581F0"/>
    <w:rsid w:val="EFEFC4E2"/>
    <w:rsid w:val="EFF6810E"/>
    <w:rsid w:val="EFF7EC78"/>
    <w:rsid w:val="F3FF62ED"/>
    <w:rsid w:val="F6FF8BE2"/>
    <w:rsid w:val="F7CBA63C"/>
    <w:rsid w:val="FA3F1AB9"/>
    <w:rsid w:val="FAFB1F76"/>
    <w:rsid w:val="FBB90FD2"/>
    <w:rsid w:val="FDEFEC1E"/>
    <w:rsid w:val="FE571BA8"/>
    <w:rsid w:val="FEEFE7AF"/>
    <w:rsid w:val="FF5864A6"/>
    <w:rsid w:val="FF5FDEE5"/>
    <w:rsid w:val="FFBB963D"/>
    <w:rsid w:val="FFCFFD9E"/>
    <w:rsid w:val="FFE1727A"/>
    <w:rsid w:val="FFE7C461"/>
    <w:rsid w:val="FFF924BB"/>
    <w:rsid w:val="FFFD8C7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qFormat="1" w:unhideWhenUsed="0" w:uiPriority="64" w:semiHidden="0" w:name="Medium Shading 2 Accent 6"/>
    <w:lsdException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cs="Verdana" w:eastAsiaTheme="minorHAnsi"/>
      <w:kern w:val="0"/>
      <w:sz w:val="24"/>
      <w:szCs w:val="19"/>
      <w:lang w:val="en-GB" w:eastAsia="en-US" w:bidi="ar-SA"/>
      <w14:ligatures w14:val="none"/>
    </w:rPr>
  </w:style>
  <w:style w:type="paragraph" w:styleId="2">
    <w:name w:val="heading 1"/>
    <w:basedOn w:val="1"/>
    <w:next w:val="1"/>
    <w:link w:val="22"/>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23"/>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24"/>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25"/>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6"/>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7"/>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8"/>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9"/>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30"/>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Emphasis"/>
    <w:basedOn w:val="11"/>
    <w:qFormat/>
    <w:uiPriority w:val="20"/>
    <w:rPr>
      <w:i/>
      <w:iCs/>
    </w:rPr>
  </w:style>
  <w:style w:type="paragraph" w:styleId="14">
    <w:name w:val="footer"/>
    <w:basedOn w:val="1"/>
    <w:link w:val="42"/>
    <w:unhideWhenUsed/>
    <w:qFormat/>
    <w:uiPriority w:val="99"/>
    <w:pPr>
      <w:tabs>
        <w:tab w:val="center" w:pos="4513"/>
        <w:tab w:val="right" w:pos="9026"/>
      </w:tabs>
      <w:spacing w:after="0" w:line="240" w:lineRule="auto"/>
    </w:pPr>
  </w:style>
  <w:style w:type="character" w:styleId="15">
    <w:name w:val="footnote reference"/>
    <w:basedOn w:val="11"/>
    <w:semiHidden/>
    <w:unhideWhenUsed/>
    <w:qFormat/>
    <w:uiPriority w:val="99"/>
    <w:rPr>
      <w:vertAlign w:val="superscript"/>
    </w:rPr>
  </w:style>
  <w:style w:type="paragraph" w:styleId="16">
    <w:name w:val="footnote text"/>
    <w:basedOn w:val="1"/>
    <w:link w:val="40"/>
    <w:unhideWhenUsed/>
    <w:qFormat/>
    <w:uiPriority w:val="99"/>
    <w:pPr>
      <w:spacing w:after="0" w:line="240" w:lineRule="auto"/>
    </w:pPr>
    <w:rPr>
      <w:sz w:val="20"/>
      <w:szCs w:val="20"/>
    </w:rPr>
  </w:style>
  <w:style w:type="paragraph" w:styleId="17">
    <w:name w:val="header"/>
    <w:basedOn w:val="1"/>
    <w:link w:val="41"/>
    <w:unhideWhenUsed/>
    <w:qFormat/>
    <w:uiPriority w:val="99"/>
    <w:pPr>
      <w:tabs>
        <w:tab w:val="center" w:pos="4513"/>
        <w:tab w:val="right" w:pos="9026"/>
      </w:tabs>
      <w:spacing w:after="0" w:line="240" w:lineRule="auto"/>
    </w:pPr>
  </w:style>
  <w:style w:type="character" w:styleId="18">
    <w:name w:val="Hyperlink"/>
    <w:basedOn w:val="11"/>
    <w:unhideWhenUsed/>
    <w:qFormat/>
    <w:uiPriority w:val="99"/>
    <w:rPr>
      <w:color w:val="467886" w:themeColor="hyperlink"/>
      <w:u w:val="single"/>
      <w14:textFill>
        <w14:solidFill>
          <w14:schemeClr w14:val="hlink"/>
        </w14:solidFill>
      </w14:textFill>
    </w:rPr>
  </w:style>
  <w:style w:type="paragraph" w:styleId="19">
    <w:name w:val="Normal (Web)"/>
    <w:semiHidden/>
    <w:unhideWhenUsed/>
    <w:uiPriority w:val="99"/>
    <w:pPr>
      <w:spacing w:before="0" w:beforeAutospacing="1" w:after="0" w:afterAutospacing="1"/>
      <w:ind w:left="0" w:right="0"/>
      <w:jc w:val="left"/>
    </w:pPr>
    <w:rPr>
      <w:kern w:val="0"/>
      <w:sz w:val="24"/>
      <w:szCs w:val="24"/>
      <w:lang w:val="en-US" w:eastAsia="zh-CN" w:bidi="ar"/>
    </w:rPr>
  </w:style>
  <w:style w:type="paragraph" w:styleId="20">
    <w:name w:val="Subtitle"/>
    <w:basedOn w:val="1"/>
    <w:next w:val="1"/>
    <w:link w:val="32"/>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1">
    <w:name w:val="Title"/>
    <w:basedOn w:val="1"/>
    <w:next w:val="1"/>
    <w:link w:val="31"/>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22">
    <w:name w:val="Heading 1 Char"/>
    <w:basedOn w:val="11"/>
    <w:link w:val="2"/>
    <w:qFormat/>
    <w:uiPriority w:val="9"/>
    <w:rPr>
      <w:rFonts w:asciiTheme="majorHAnsi" w:hAnsiTheme="majorHAnsi" w:eastAsiaTheme="majorEastAsia" w:cstheme="majorBidi"/>
      <w:color w:val="104862" w:themeColor="accent1" w:themeShade="BF"/>
      <w:sz w:val="40"/>
      <w:szCs w:val="40"/>
    </w:rPr>
  </w:style>
  <w:style w:type="character" w:customStyle="1" w:styleId="23">
    <w:name w:val="Heading 2 Char"/>
    <w:basedOn w:val="11"/>
    <w:link w:val="3"/>
    <w:semiHidden/>
    <w:qFormat/>
    <w:uiPriority w:val="9"/>
    <w:rPr>
      <w:rFonts w:asciiTheme="majorHAnsi" w:hAnsiTheme="majorHAnsi" w:eastAsiaTheme="majorEastAsia" w:cstheme="majorBidi"/>
      <w:color w:val="104862" w:themeColor="accent1" w:themeShade="BF"/>
      <w:sz w:val="32"/>
      <w:szCs w:val="32"/>
    </w:rPr>
  </w:style>
  <w:style w:type="character" w:customStyle="1" w:styleId="24">
    <w:name w:val="Heading 3 Char"/>
    <w:basedOn w:val="11"/>
    <w:link w:val="4"/>
    <w:semiHidden/>
    <w:qFormat/>
    <w:uiPriority w:val="9"/>
    <w:rPr>
      <w:rFonts w:eastAsiaTheme="majorEastAsia" w:cstheme="majorBidi"/>
      <w:color w:val="104862" w:themeColor="accent1" w:themeShade="BF"/>
      <w:sz w:val="28"/>
      <w:szCs w:val="28"/>
    </w:rPr>
  </w:style>
  <w:style w:type="character" w:customStyle="1" w:styleId="25">
    <w:name w:val="Heading 4 Char"/>
    <w:basedOn w:val="11"/>
    <w:link w:val="5"/>
    <w:semiHidden/>
    <w:qFormat/>
    <w:uiPriority w:val="9"/>
    <w:rPr>
      <w:rFonts w:eastAsiaTheme="majorEastAsia" w:cstheme="majorBidi"/>
      <w:i/>
      <w:iCs/>
      <w:color w:val="104862" w:themeColor="accent1" w:themeShade="BF"/>
    </w:rPr>
  </w:style>
  <w:style w:type="character" w:customStyle="1" w:styleId="26">
    <w:name w:val="Heading 5 Char"/>
    <w:basedOn w:val="11"/>
    <w:link w:val="6"/>
    <w:semiHidden/>
    <w:qFormat/>
    <w:uiPriority w:val="9"/>
    <w:rPr>
      <w:rFonts w:eastAsiaTheme="majorEastAsia" w:cstheme="majorBidi"/>
      <w:color w:val="104862" w:themeColor="accent1" w:themeShade="BF"/>
    </w:rPr>
  </w:style>
  <w:style w:type="character" w:customStyle="1" w:styleId="27">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8">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30">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1">
    <w:name w:val="Title Char"/>
    <w:basedOn w:val="11"/>
    <w:link w:val="21"/>
    <w:qFormat/>
    <w:uiPriority w:val="10"/>
    <w:rPr>
      <w:rFonts w:asciiTheme="majorHAnsi" w:hAnsiTheme="majorHAnsi" w:eastAsiaTheme="majorEastAsia" w:cstheme="majorBidi"/>
      <w:spacing w:val="-10"/>
      <w:kern w:val="28"/>
      <w:sz w:val="56"/>
      <w:szCs w:val="56"/>
    </w:rPr>
  </w:style>
  <w:style w:type="character" w:customStyle="1" w:styleId="32">
    <w:name w:val="Subtitle Char"/>
    <w:basedOn w:val="11"/>
    <w:link w:val="20"/>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3">
    <w:name w:val="Quote"/>
    <w:basedOn w:val="1"/>
    <w:next w:val="1"/>
    <w:link w:val="34"/>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4">
    <w:name w:val="Quote Char"/>
    <w:basedOn w:val="11"/>
    <w:link w:val="33"/>
    <w:qFormat/>
    <w:uiPriority w:val="29"/>
    <w:rPr>
      <w:i/>
      <w:iCs/>
      <w:color w:val="404040" w:themeColor="text1" w:themeTint="BF"/>
      <w14:textFill>
        <w14:solidFill>
          <w14:schemeClr w14:val="tx1">
            <w14:lumMod w14:val="75000"/>
            <w14:lumOff w14:val="25000"/>
          </w14:schemeClr>
        </w14:solidFill>
      </w14:textFill>
    </w:rPr>
  </w:style>
  <w:style w:type="paragraph" w:styleId="35">
    <w:name w:val="List Paragraph"/>
    <w:basedOn w:val="1"/>
    <w:qFormat/>
    <w:uiPriority w:val="34"/>
    <w:pPr>
      <w:ind w:left="720"/>
      <w:contextualSpacing/>
    </w:pPr>
  </w:style>
  <w:style w:type="character" w:customStyle="1" w:styleId="36">
    <w:name w:val="Intense Emphasis"/>
    <w:basedOn w:val="11"/>
    <w:qFormat/>
    <w:uiPriority w:val="21"/>
    <w:rPr>
      <w:i/>
      <w:iCs/>
      <w:color w:val="104862" w:themeColor="accent1" w:themeShade="BF"/>
    </w:rPr>
  </w:style>
  <w:style w:type="paragraph" w:styleId="37">
    <w:name w:val="Intense Quote"/>
    <w:basedOn w:val="1"/>
    <w:next w:val="1"/>
    <w:link w:val="38"/>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8">
    <w:name w:val="Intense Quote Char"/>
    <w:basedOn w:val="11"/>
    <w:link w:val="37"/>
    <w:qFormat/>
    <w:uiPriority w:val="30"/>
    <w:rPr>
      <w:i/>
      <w:iCs/>
      <w:color w:val="104862" w:themeColor="accent1" w:themeShade="BF"/>
    </w:rPr>
  </w:style>
  <w:style w:type="character" w:customStyle="1" w:styleId="39">
    <w:name w:val="Intense Reference"/>
    <w:basedOn w:val="11"/>
    <w:qFormat/>
    <w:uiPriority w:val="32"/>
    <w:rPr>
      <w:b/>
      <w:bCs/>
      <w:smallCaps/>
      <w:color w:val="104862" w:themeColor="accent1" w:themeShade="BF"/>
      <w:spacing w:val="5"/>
    </w:rPr>
  </w:style>
  <w:style w:type="character" w:customStyle="1" w:styleId="40">
    <w:name w:val="Footnote Text Char"/>
    <w:basedOn w:val="11"/>
    <w:link w:val="16"/>
    <w:qFormat/>
    <w:uiPriority w:val="99"/>
    <w:rPr>
      <w:rFonts w:ascii="Times New Roman" w:hAnsi="Times New Roman" w:cs="Verdana"/>
      <w:kern w:val="0"/>
      <w:sz w:val="20"/>
      <w:szCs w:val="20"/>
      <w14:ligatures w14:val="none"/>
    </w:rPr>
  </w:style>
  <w:style w:type="character" w:customStyle="1" w:styleId="41">
    <w:name w:val="Header Char"/>
    <w:basedOn w:val="11"/>
    <w:link w:val="17"/>
    <w:qFormat/>
    <w:uiPriority w:val="99"/>
    <w:rPr>
      <w:rFonts w:ascii="Times New Roman" w:hAnsi="Times New Roman" w:cs="Verdana"/>
      <w:kern w:val="0"/>
      <w:sz w:val="24"/>
      <w:szCs w:val="19"/>
      <w14:ligatures w14:val="none"/>
    </w:rPr>
  </w:style>
  <w:style w:type="character" w:customStyle="1" w:styleId="42">
    <w:name w:val="Footer Char"/>
    <w:basedOn w:val="11"/>
    <w:link w:val="14"/>
    <w:qFormat/>
    <w:uiPriority w:val="99"/>
    <w:rPr>
      <w:rFonts w:ascii="Times New Roman" w:hAnsi="Times New Roman" w:cs="Verdana"/>
      <w:kern w:val="0"/>
      <w:sz w:val="24"/>
      <w:szCs w:val="19"/>
      <w14:ligatures w14:val="none"/>
    </w:rPr>
  </w:style>
  <w:style w:type="character" w:customStyle="1" w:styleId="43">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19</Pages>
  <Words>4257</Words>
  <Characters>24265</Characters>
  <Lines>202</Lines>
  <Paragraphs>56</Paragraphs>
  <TotalTime>26</TotalTime>
  <ScaleCrop>false</ScaleCrop>
  <LinksUpToDate>false</LinksUpToDate>
  <CharactersWithSpaces>28466</CharactersWithSpaces>
  <Application>WPS Office_12.1.25897.25897_F1E327BC-269C-435d-A152-05C5408002CA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2026-03-19T23:42:00Z</dcterms:created>
  <dcterms:modified xsi:type="dcterms:W3CDTF">2026-05-29T02:36:22Z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aa5387b0-6298-410f-8d36-ae5a1f50d97f</vt:lpwstr>
  </property>
  <property fmtid="{D5CDD505-2E9C-101B-9397-08002B2CF9AE}" pid="3" name="KSOProductBuildVer">
    <vt:lpwstr>1033-12.1.25897.25897</vt:lpwstr>
  </property>
  <property fmtid="{D5CDD505-2E9C-101B-9397-08002B2CF9AE}" pid="4" name="ICV">
    <vt:lpwstr>BFFDB5121259E12E236EE969320FB1CA_42</vt:lpwstr>
  </property>
</Properties>
</file>