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8FB25" w14:textId="77777777" w:rsidR="00037A35" w:rsidRDefault="00000000">
      <w:pPr>
        <w:pStyle w:val="NormalWeb"/>
        <w:widowControl/>
        <w:jc w:val="both"/>
        <w:rPr>
          <w:rFonts w:ascii="Times New Roman" w:hAnsi="Times New Roman"/>
          <w:kern w:val="2"/>
        </w:rPr>
      </w:pPr>
      <w:r>
        <w:rPr>
          <w:rFonts w:ascii="Times New Roman" w:hAnsi="Times New Roman"/>
          <w:b/>
          <w:bCs/>
          <w:kern w:val="2"/>
          <w:sz w:val="32"/>
          <w:szCs w:val="32"/>
        </w:rPr>
        <w:t xml:space="preserve">Customer Engagement in Customized </w:t>
      </w:r>
      <w:proofErr w:type="spellStart"/>
      <w:proofErr w:type="gramStart"/>
      <w:r>
        <w:rPr>
          <w:rFonts w:ascii="Times New Roman" w:hAnsi="Times New Roman"/>
          <w:b/>
          <w:bCs/>
          <w:kern w:val="2"/>
          <w:sz w:val="32"/>
          <w:szCs w:val="32"/>
        </w:rPr>
        <w:t>Courses:The</w:t>
      </w:r>
      <w:proofErr w:type="spellEnd"/>
      <w:proofErr w:type="gramEnd"/>
      <w:r>
        <w:rPr>
          <w:rFonts w:ascii="Times New Roman" w:hAnsi="Times New Roman"/>
          <w:b/>
          <w:bCs/>
          <w:kern w:val="2"/>
          <w:sz w:val="32"/>
          <w:szCs w:val="32"/>
        </w:rPr>
        <w:t xml:space="preserve"> Mediating Role of Experiential Value and the Moderating Effect of Unique Needs</w:t>
      </w:r>
    </w:p>
    <w:p w14:paraId="464770EA" w14:textId="38006EA0" w:rsidR="00037A35" w:rsidRPr="00CA1B70" w:rsidRDefault="00CA1B70">
      <w:pPr>
        <w:jc w:val="center"/>
        <w:rPr>
          <w:rFonts w:ascii="Times New Roman" w:hAnsi="Times New Roman" w:cs="Times New Roman"/>
          <w:sz w:val="24"/>
        </w:rPr>
      </w:pPr>
      <w:r w:rsidRPr="00CA1B70">
        <w:rPr>
          <w:rFonts w:ascii="Times New Roman" w:hAnsi="Times New Roman" w:cs="Times New Roman"/>
          <w:sz w:val="24"/>
        </w:rPr>
        <w:t>1WANG ZI XING,</w:t>
      </w:r>
      <w:r w:rsidRPr="00CA1B70">
        <w:rPr>
          <w:rFonts w:ascii="Times New Roman" w:hAnsi="Times New Roman" w:cs="Times New Roman"/>
          <w:sz w:val="24"/>
          <w:vertAlign w:val="superscript"/>
        </w:rPr>
        <w:t xml:space="preserve"> 2</w:t>
      </w:r>
      <w:r w:rsidRPr="00CA1B70">
        <w:rPr>
          <w:rFonts w:ascii="Times New Roman" w:hAnsi="Times New Roman" w:cs="Times New Roman"/>
          <w:sz w:val="24"/>
        </w:rPr>
        <w:t>LYU YANG, 3WONG CHEE HOO,</w:t>
      </w:r>
      <w:r w:rsidRPr="00CA1B70">
        <w:rPr>
          <w:rFonts w:ascii="Times New Roman" w:hAnsi="Times New Roman" w:cs="Times New Roman"/>
          <w:sz w:val="24"/>
          <w:vertAlign w:val="superscript"/>
        </w:rPr>
        <w:t xml:space="preserve"> 4</w:t>
      </w:r>
      <w:r w:rsidRPr="00CA1B70">
        <w:rPr>
          <w:rFonts w:ascii="Times New Roman" w:hAnsi="Times New Roman" w:cs="Times New Roman"/>
          <w:sz w:val="24"/>
        </w:rPr>
        <w:t>LI GUANGYU, 5LUO XIYUAN, 6CHRISTIAN WIRADENDI WOLOR</w:t>
      </w:r>
    </w:p>
    <w:p w14:paraId="3DC39CDF" w14:textId="77777777" w:rsidR="00037A35" w:rsidRPr="00CA1B70" w:rsidRDefault="00037A35">
      <w:pPr>
        <w:jc w:val="center"/>
        <w:rPr>
          <w:rFonts w:ascii="Times New Roman" w:hAnsi="Times New Roman" w:cs="Times New Roman"/>
          <w:sz w:val="24"/>
        </w:rPr>
      </w:pPr>
    </w:p>
    <w:p w14:paraId="240F814D" w14:textId="2BFFE716" w:rsidR="00037A35" w:rsidRPr="00CA1B70" w:rsidRDefault="00CA1B70" w:rsidP="00CA1B70">
      <w:pPr>
        <w:jc w:val="center"/>
        <w:rPr>
          <w:rFonts w:ascii="Times New Roman" w:hAnsi="Times New Roman" w:cs="Times New Roman"/>
          <w:sz w:val="24"/>
        </w:rPr>
      </w:pPr>
      <w:r w:rsidRPr="00CA1B70">
        <w:rPr>
          <w:rFonts w:ascii="Times New Roman" w:hAnsi="Times New Roman" w:cs="Times New Roman"/>
          <w:sz w:val="24"/>
        </w:rPr>
        <w:t>1,2,3,4</w:t>
      </w:r>
      <w:r w:rsidR="00000000" w:rsidRPr="00CA1B70">
        <w:rPr>
          <w:rFonts w:ascii="Times New Roman" w:hAnsi="Times New Roman" w:cs="Times New Roman"/>
          <w:sz w:val="24"/>
        </w:rPr>
        <w:t>Faculty of Business and Communications (FBC)</w:t>
      </w:r>
      <w:r w:rsidR="00000000" w:rsidRPr="00CA1B70">
        <w:rPr>
          <w:rFonts w:ascii="Times New Roman" w:hAnsi="Times New Roman" w:cs="Times New Roman"/>
          <w:sz w:val="24"/>
        </w:rPr>
        <w:t>，</w:t>
      </w:r>
      <w:r w:rsidR="00000000" w:rsidRPr="00CA1B70">
        <w:rPr>
          <w:rFonts w:ascii="Times New Roman" w:hAnsi="Times New Roman" w:cs="Times New Roman"/>
          <w:sz w:val="24"/>
        </w:rPr>
        <w:t>INTI International</w:t>
      </w:r>
      <w:r>
        <w:rPr>
          <w:rFonts w:ascii="Times New Roman" w:hAnsi="Times New Roman" w:cs="Times New Roman"/>
          <w:sz w:val="24"/>
        </w:rPr>
        <w:t xml:space="preserve"> </w:t>
      </w:r>
      <w:r w:rsidR="00000000" w:rsidRPr="00CA1B70">
        <w:rPr>
          <w:rFonts w:ascii="Times New Roman" w:hAnsi="Times New Roman" w:cs="Times New Roman"/>
          <w:sz w:val="24"/>
        </w:rPr>
        <w:t>University, MALAYSIA</w:t>
      </w:r>
    </w:p>
    <w:p w14:paraId="01E03F51" w14:textId="442A2F68" w:rsidR="00037A35" w:rsidRPr="00CA1B70" w:rsidRDefault="00000000">
      <w:pPr>
        <w:jc w:val="center"/>
        <w:rPr>
          <w:rFonts w:ascii="Times New Roman" w:hAnsi="Times New Roman" w:cs="Times New Roman"/>
          <w:sz w:val="24"/>
        </w:rPr>
      </w:pPr>
      <w:r w:rsidRPr="00CA1B70">
        <w:rPr>
          <w:rFonts w:ascii="Times New Roman" w:hAnsi="Times New Roman" w:cs="Times New Roman"/>
          <w:sz w:val="24"/>
          <w:vertAlign w:val="superscript"/>
        </w:rPr>
        <w:t xml:space="preserve"> </w:t>
      </w:r>
      <w:r w:rsidR="00CA1B70" w:rsidRPr="00CA1B70">
        <w:rPr>
          <w:rFonts w:ascii="Times New Roman" w:hAnsi="Times New Roman" w:cs="Times New Roman"/>
          <w:sz w:val="24"/>
          <w:vertAlign w:val="superscript"/>
        </w:rPr>
        <w:t>5</w:t>
      </w:r>
      <w:r w:rsidRPr="00CA1B70">
        <w:rPr>
          <w:rFonts w:ascii="Times New Roman" w:hAnsi="Times New Roman" w:cs="Times New Roman"/>
          <w:sz w:val="24"/>
        </w:rPr>
        <w:t xml:space="preserve">School of Digital Economy and Management, Guilin </w:t>
      </w:r>
      <w:proofErr w:type="spellStart"/>
      <w:r w:rsidRPr="00CA1B70">
        <w:rPr>
          <w:rFonts w:ascii="Times New Roman" w:hAnsi="Times New Roman" w:cs="Times New Roman"/>
          <w:sz w:val="24"/>
        </w:rPr>
        <w:t>Shanshui</w:t>
      </w:r>
      <w:proofErr w:type="spellEnd"/>
      <w:r w:rsidRPr="00CA1B70">
        <w:rPr>
          <w:rFonts w:ascii="Times New Roman" w:hAnsi="Times New Roman" w:cs="Times New Roman"/>
          <w:sz w:val="24"/>
        </w:rPr>
        <w:t xml:space="preserve"> Vocational College</w:t>
      </w:r>
    </w:p>
    <w:p w14:paraId="359ABCA7" w14:textId="3BE7EC89" w:rsidR="00CA1B70" w:rsidRPr="00CA1B70" w:rsidRDefault="00CA1B70" w:rsidP="00CA1B70">
      <w:pPr>
        <w:jc w:val="center"/>
        <w:rPr>
          <w:rFonts w:ascii="Times New Roman" w:hAnsi="Times New Roman" w:cs="Times New Roman"/>
          <w:bCs/>
          <w:iCs/>
          <w:sz w:val="24"/>
        </w:rPr>
      </w:pPr>
      <w:r w:rsidRPr="00CA1B70">
        <w:rPr>
          <w:rFonts w:ascii="Times New Roman" w:eastAsia="SimSun" w:hAnsi="Times New Roman" w:cs="Times New Roman"/>
          <w:color w:val="24292F"/>
          <w:sz w:val="24"/>
        </w:rPr>
        <w:t>6</w:t>
      </w:r>
      <w:r w:rsidRPr="00CA1B70">
        <w:rPr>
          <w:rFonts w:ascii="Times New Roman" w:hAnsi="Times New Roman" w:cs="Times New Roman"/>
          <w:bCs/>
          <w:iCs/>
          <w:sz w:val="24"/>
        </w:rPr>
        <w:t>Faculty of Economics and Business, Universitas Negeri Jakarta, Indonesia</w:t>
      </w:r>
    </w:p>
    <w:p w14:paraId="12E9BFD3" w14:textId="0C442192" w:rsidR="00037A35" w:rsidRDefault="00037A35">
      <w:pPr>
        <w:pStyle w:val="NormalWeb"/>
        <w:widowControl/>
        <w:spacing w:beforeAutospacing="0" w:afterAutospacing="0"/>
        <w:ind w:firstLineChars="200" w:firstLine="480"/>
        <w:jc w:val="center"/>
        <w:rPr>
          <w:rFonts w:ascii="SimSun" w:eastAsia="SimSun" w:hAnsi="SimSun" w:cs="SimSun"/>
          <w:color w:val="24292F"/>
        </w:rPr>
      </w:pPr>
    </w:p>
    <w:p w14:paraId="2C70BA60" w14:textId="77777777" w:rsidR="00037A35" w:rsidRDefault="00000000">
      <w:pPr>
        <w:widowControl/>
        <w:rPr>
          <w:rFonts w:ascii="Times New Roman" w:hAnsi="Times New Roman" w:cs="Times New Roman"/>
          <w:b/>
          <w:bCs/>
          <w:sz w:val="24"/>
        </w:rPr>
      </w:pPr>
      <w:r>
        <w:rPr>
          <w:rFonts w:ascii="Times New Roman" w:hAnsi="Times New Roman" w:cs="Times New Roman" w:hint="eastAsia"/>
          <w:b/>
          <w:bCs/>
          <w:sz w:val="24"/>
        </w:rPr>
        <w:t>Abstract</w:t>
      </w:r>
      <w:r>
        <w:rPr>
          <w:rFonts w:ascii="Times New Roman" w:hAnsi="Times New Roman" w:cs="Times New Roman" w:hint="eastAsia"/>
          <w:b/>
          <w:bCs/>
          <w:sz w:val="24"/>
        </w:rPr>
        <w:t>：</w:t>
      </w:r>
      <w:r>
        <w:rPr>
          <w:rFonts w:ascii="Times New Roman" w:hAnsi="Times New Roman" w:cs="Times New Roman" w:hint="eastAsia"/>
          <w:b/>
          <w:bCs/>
          <w:sz w:val="24"/>
        </w:rPr>
        <w:t xml:space="preserve"> </w:t>
      </w:r>
    </w:p>
    <w:p w14:paraId="7BAAD29B" w14:textId="77777777" w:rsidR="00037A35" w:rsidRDefault="00000000">
      <w:pPr>
        <w:widowControl/>
        <w:ind w:firstLineChars="200" w:firstLine="480"/>
        <w:rPr>
          <w:rFonts w:ascii="Times New Roman" w:hAnsi="Times New Roman" w:cs="Times New Roman"/>
          <w:sz w:val="24"/>
        </w:rPr>
      </w:pPr>
      <w:r>
        <w:rPr>
          <w:rFonts w:ascii="Times New Roman" w:hAnsi="Times New Roman" w:cs="Times New Roman"/>
          <w:sz w:val="24"/>
        </w:rPr>
        <w:t>In the context of digital transformation, educational services are evolving towards personalization and customization. Customer engagement has become a crucial mechanism for customized course platforms to achieve value creation and user retention. This study constructs a "customer engagement</w:t>
      </w:r>
      <w:r>
        <w:rPr>
          <w:rFonts w:ascii="Times New Roman" w:hAnsi="Times New Roman" w:cs="Times New Roman" w:hint="eastAsia"/>
          <w:sz w:val="24"/>
        </w:rPr>
        <w:t>-</w:t>
      </w:r>
      <w:r>
        <w:rPr>
          <w:rFonts w:ascii="Times New Roman" w:hAnsi="Times New Roman" w:cs="Times New Roman"/>
          <w:sz w:val="24"/>
        </w:rPr>
        <w:t>functional value/hedonic value</w:t>
      </w:r>
      <w:r>
        <w:rPr>
          <w:rFonts w:ascii="Times New Roman" w:hAnsi="Times New Roman" w:cs="Times New Roman" w:hint="eastAsia"/>
          <w:sz w:val="24"/>
        </w:rPr>
        <w:t>-</w:t>
      </w:r>
      <w:r>
        <w:rPr>
          <w:rFonts w:ascii="Times New Roman" w:hAnsi="Times New Roman" w:cs="Times New Roman"/>
          <w:sz w:val="24"/>
        </w:rPr>
        <w:t>customer retention" model based on value co-creation theory and examines the moderating effect of unique requirements. Using 279 customized course user questionnaires as a sample, SPSS 27.0 and AMOS 26.0 were employed for empirical analysis. The results show that customer engagement significantly and positively impacts customer retention; both hedonic and functional experiential values ​​play a partial mediating role; and unique requirements positively moderate the relationship between engagement and experiential value. This study reveals the intrinsic mechanism by which customer engagement affects customer retention in the context of customized courses, expands the application of relevant theories in the field of education, and provides practical insights for platforms to optimize engagement mechanisms and improve retention.</w:t>
      </w:r>
    </w:p>
    <w:p w14:paraId="635E8D6D" w14:textId="77777777" w:rsidR="00037A35" w:rsidRDefault="00037A35">
      <w:pPr>
        <w:ind w:firstLineChars="200" w:firstLine="422"/>
        <w:rPr>
          <w:rFonts w:ascii="SimSun" w:eastAsia="SimSun" w:hAnsi="SimSun" w:cs="SimSun"/>
          <w:b/>
          <w:bCs/>
        </w:rPr>
      </w:pPr>
    </w:p>
    <w:p w14:paraId="3D647806" w14:textId="3FBA417B" w:rsidR="00037A35" w:rsidRDefault="00000000">
      <w:pPr>
        <w:rPr>
          <w:rFonts w:ascii="Times New Roman" w:hAnsi="Times New Roman" w:cs="Times New Roman"/>
          <w:sz w:val="24"/>
        </w:rPr>
      </w:pPr>
      <w:r>
        <w:rPr>
          <w:rFonts w:ascii="Times New Roman" w:eastAsia="SimSun" w:hAnsi="Times New Roman" w:cs="Times New Roman"/>
          <w:b/>
          <w:bCs/>
          <w:sz w:val="24"/>
        </w:rPr>
        <w:t>Keywords:</w:t>
      </w:r>
      <w:r>
        <w:rPr>
          <w:rFonts w:ascii="Times New Roman" w:eastAsia="SimSun" w:hAnsi="Times New Roman" w:cs="Times New Roman"/>
          <w:sz w:val="24"/>
        </w:rPr>
        <w:t xml:space="preserve"> </w:t>
      </w:r>
      <w:r w:rsidR="00CA1B70">
        <w:rPr>
          <w:rFonts w:ascii="Times New Roman" w:eastAsia="SimSun" w:hAnsi="Times New Roman" w:cs="Times New Roman"/>
          <w:sz w:val="24"/>
        </w:rPr>
        <w:t xml:space="preserve">Consumer </w:t>
      </w:r>
      <w:proofErr w:type="spellStart"/>
      <w:r w:rsidR="00CA1B70">
        <w:rPr>
          <w:rFonts w:ascii="Times New Roman" w:eastAsia="SimSun" w:hAnsi="Times New Roman" w:cs="Times New Roman"/>
          <w:sz w:val="24"/>
        </w:rPr>
        <w:t>behaviour</w:t>
      </w:r>
      <w:proofErr w:type="spellEnd"/>
      <w:r w:rsidR="00CA1B70">
        <w:rPr>
          <w:rFonts w:ascii="Times New Roman" w:eastAsia="SimSun" w:hAnsi="Times New Roman" w:cs="Times New Roman"/>
          <w:sz w:val="24"/>
        </w:rPr>
        <w:t xml:space="preserve">, </w:t>
      </w:r>
      <w:r>
        <w:rPr>
          <w:rFonts w:ascii="Times New Roman" w:hAnsi="Times New Roman" w:cs="Times New Roman"/>
          <w:sz w:val="24"/>
        </w:rPr>
        <w:t xml:space="preserve">Customized </w:t>
      </w:r>
      <w:r>
        <w:rPr>
          <w:rFonts w:ascii="Times New Roman" w:hAnsi="Times New Roman" w:cs="Times New Roman" w:hint="eastAsia"/>
          <w:sz w:val="24"/>
        </w:rPr>
        <w:t>C</w:t>
      </w:r>
      <w:r>
        <w:rPr>
          <w:rFonts w:ascii="Times New Roman" w:hAnsi="Times New Roman" w:cs="Times New Roman"/>
          <w:sz w:val="24"/>
        </w:rPr>
        <w:t xml:space="preserve">ourses; </w:t>
      </w:r>
      <w:r>
        <w:rPr>
          <w:rFonts w:ascii="Times New Roman" w:hAnsi="Times New Roman" w:cs="Times New Roman" w:hint="eastAsia"/>
          <w:sz w:val="24"/>
        </w:rPr>
        <w:t>C</w:t>
      </w:r>
      <w:r>
        <w:rPr>
          <w:rFonts w:ascii="Times New Roman" w:hAnsi="Times New Roman" w:cs="Times New Roman"/>
          <w:sz w:val="24"/>
        </w:rPr>
        <w:t xml:space="preserve">ustomer </w:t>
      </w:r>
      <w:r>
        <w:rPr>
          <w:rFonts w:ascii="Times New Roman" w:hAnsi="Times New Roman" w:cs="Times New Roman" w:hint="eastAsia"/>
          <w:sz w:val="24"/>
        </w:rPr>
        <w:t>E</w:t>
      </w:r>
      <w:r>
        <w:rPr>
          <w:rFonts w:ascii="Times New Roman" w:hAnsi="Times New Roman" w:cs="Times New Roman"/>
          <w:sz w:val="24"/>
        </w:rPr>
        <w:t xml:space="preserve">ngagement; </w:t>
      </w:r>
      <w:r>
        <w:rPr>
          <w:rFonts w:ascii="Times New Roman" w:hAnsi="Times New Roman" w:cs="Times New Roman" w:hint="eastAsia"/>
          <w:sz w:val="24"/>
        </w:rPr>
        <w:t>E</w:t>
      </w:r>
      <w:r>
        <w:rPr>
          <w:rFonts w:ascii="Times New Roman" w:hAnsi="Times New Roman" w:cs="Times New Roman"/>
          <w:sz w:val="24"/>
        </w:rPr>
        <w:t xml:space="preserve">xperiential </w:t>
      </w:r>
      <w:r>
        <w:rPr>
          <w:rFonts w:ascii="Times New Roman" w:hAnsi="Times New Roman" w:cs="Times New Roman" w:hint="eastAsia"/>
          <w:sz w:val="24"/>
        </w:rPr>
        <w:t>V</w:t>
      </w:r>
      <w:r>
        <w:rPr>
          <w:rFonts w:ascii="Times New Roman" w:hAnsi="Times New Roman" w:cs="Times New Roman"/>
          <w:sz w:val="24"/>
        </w:rPr>
        <w:t xml:space="preserve">alue; </w:t>
      </w:r>
      <w:r>
        <w:rPr>
          <w:rFonts w:ascii="Times New Roman" w:hAnsi="Times New Roman" w:cs="Times New Roman" w:hint="eastAsia"/>
          <w:sz w:val="24"/>
        </w:rPr>
        <w:t>C</w:t>
      </w:r>
      <w:r>
        <w:rPr>
          <w:rFonts w:ascii="Times New Roman" w:hAnsi="Times New Roman" w:cs="Times New Roman"/>
          <w:sz w:val="24"/>
        </w:rPr>
        <w:t xml:space="preserve">ustomer </w:t>
      </w:r>
      <w:r>
        <w:rPr>
          <w:rFonts w:ascii="Times New Roman" w:hAnsi="Times New Roman" w:cs="Times New Roman" w:hint="eastAsia"/>
          <w:sz w:val="24"/>
        </w:rPr>
        <w:t>R</w:t>
      </w:r>
      <w:r>
        <w:rPr>
          <w:rFonts w:ascii="Times New Roman" w:hAnsi="Times New Roman" w:cs="Times New Roman"/>
          <w:sz w:val="24"/>
        </w:rPr>
        <w:t xml:space="preserve">etention; </w:t>
      </w:r>
      <w:r>
        <w:rPr>
          <w:rFonts w:ascii="Times New Roman" w:hAnsi="Times New Roman" w:cs="Times New Roman" w:hint="eastAsia"/>
          <w:sz w:val="24"/>
        </w:rPr>
        <w:t>U</w:t>
      </w:r>
      <w:r>
        <w:rPr>
          <w:rFonts w:ascii="Times New Roman" w:hAnsi="Times New Roman" w:cs="Times New Roman"/>
          <w:sz w:val="24"/>
        </w:rPr>
        <w:t xml:space="preserve">nique </w:t>
      </w:r>
      <w:r>
        <w:rPr>
          <w:rFonts w:ascii="Times New Roman" w:hAnsi="Times New Roman" w:cs="Times New Roman" w:hint="eastAsia"/>
          <w:sz w:val="24"/>
        </w:rPr>
        <w:t>N</w:t>
      </w:r>
      <w:r>
        <w:rPr>
          <w:rFonts w:ascii="Times New Roman" w:hAnsi="Times New Roman" w:cs="Times New Roman"/>
          <w:sz w:val="24"/>
        </w:rPr>
        <w:t>eeds</w:t>
      </w:r>
    </w:p>
    <w:p w14:paraId="525D4775" w14:textId="77777777" w:rsidR="00037A35" w:rsidRDefault="00037A35">
      <w:pPr>
        <w:ind w:firstLineChars="200" w:firstLine="480"/>
        <w:rPr>
          <w:rFonts w:ascii="Times New Roman" w:eastAsia="SimSun" w:hAnsi="Times New Roman" w:cs="Times New Roman"/>
          <w:sz w:val="24"/>
        </w:rPr>
      </w:pPr>
    </w:p>
    <w:p w14:paraId="5F8B4611" w14:textId="77777777" w:rsidR="00037A35" w:rsidRDefault="00037A35">
      <w:pPr>
        <w:ind w:firstLineChars="200" w:firstLine="480"/>
        <w:rPr>
          <w:rFonts w:ascii="Times New Roman" w:eastAsia="SimSun" w:hAnsi="Times New Roman" w:cs="Times New Roman"/>
          <w:sz w:val="24"/>
        </w:rPr>
      </w:pPr>
    </w:p>
    <w:p w14:paraId="7D0BEFF6" w14:textId="77777777" w:rsidR="00037A35" w:rsidRDefault="00000000">
      <w:pPr>
        <w:rPr>
          <w:rFonts w:ascii="Times New Roman" w:hAnsi="Times New Roman" w:cs="Times New Roman"/>
          <w:b/>
          <w:bCs/>
          <w:sz w:val="24"/>
        </w:rPr>
      </w:pPr>
      <w:r>
        <w:rPr>
          <w:rFonts w:ascii="Times New Roman" w:hAnsi="Times New Roman" w:cs="Times New Roman" w:hint="eastAsia"/>
          <w:b/>
          <w:bCs/>
          <w:sz w:val="24"/>
        </w:rPr>
        <w:t xml:space="preserve">1. </w:t>
      </w:r>
      <w:r>
        <w:rPr>
          <w:rFonts w:ascii="Times New Roman" w:hAnsi="Times New Roman" w:cs="Times New Roman"/>
          <w:b/>
          <w:bCs/>
          <w:sz w:val="24"/>
        </w:rPr>
        <w:t xml:space="preserve">Introduction </w:t>
      </w:r>
    </w:p>
    <w:p w14:paraId="4E019EE3" w14:textId="77777777" w:rsidR="00037A35" w:rsidRDefault="00037A35">
      <w:pPr>
        <w:rPr>
          <w:rFonts w:ascii="Times New Roman" w:hAnsi="Times New Roman" w:cs="Times New Roman"/>
          <w:sz w:val="24"/>
        </w:rPr>
      </w:pPr>
    </w:p>
    <w:p w14:paraId="2F39414F" w14:textId="77777777" w:rsidR="00037A35" w:rsidRDefault="00000000">
      <w:pPr>
        <w:ind w:firstLineChars="200" w:firstLine="480"/>
        <w:rPr>
          <w:rFonts w:ascii="Times New Roman" w:hAnsi="Times New Roman" w:cs="Times New Roman"/>
          <w:sz w:val="24"/>
        </w:rPr>
      </w:pPr>
      <w:r>
        <w:rPr>
          <w:rFonts w:ascii="Times New Roman" w:hAnsi="Times New Roman" w:cs="Times New Roman"/>
          <w:sz w:val="24"/>
        </w:rPr>
        <w:t xml:space="preserve">The rise of digital technology and the increasing demand for personalization are accelerating the transformation of course design and delivery toward course-level customization models. Learners, through participation in customized course content and learning pathway design, are transforming from passive recipients to active value co-creators, significantly enhancing their perceived course experience and influencing subsequent behavior </w:t>
      </w:r>
      <w:r>
        <w:rPr>
          <w:rFonts w:ascii="Times New Roman" w:hAnsi="Times New Roman" w:cs="Times New Roman"/>
          <w:sz w:val="24"/>
        </w:rPr>
        <w:fldChar w:fldCharType="begin"/>
      </w:r>
      <w:r>
        <w:rPr>
          <w:rFonts w:ascii="Times New Roman" w:hAnsi="Times New Roman" w:cs="Times New Roman"/>
          <w:sz w:val="24"/>
        </w:rPr>
        <w:instrText xml:space="preserve"> ADDIN ZOTERO_ITEM CSL_CITATION {"citationID":"a1uou9545ji","properties":{"formattedCitation":"(Dziewanowska &amp; Kacprzak, 2023)","plainCitation":"(Dziewanowska &amp; Kacprzak, 2023)","noteIndex":0},"citationItems":[{"id":2615,"uris":["http://zotero.org/users/14361536/items/H4ZB7RXT"],"itemData":{"id":2615,"type":"article-journal","abstract":"ABSTRACT\n            The objective of this paper is to investigate the impact of students’ engagement in value co-creation on the perception of online learning experience and the effect of online learning experience on student satisfaction. The research method was a survey conducted on a sample of 532 respondents from a public business school. The findings show that increased students’ engagement in value co-creation results in their improved perception of e-learning experience, which in turn influences student satisfaction. Thus, in order to facilitate the engagement of students in the value co-creation process, it is imperative to optimise the quality of dialogue, enhance the availability of pertinent information, promote intellectual stimulation, increase participation in scholarly pursuits, and foster opportunities for inter-student interactions. The study also complements the current body of knowledge on value co-creation in higher education with an online context.","container-title":"Marketing of Scientific and Research Organizations","DOI":"10.2478/minib-2023-0010","ISSN":"2353-8414","issue":"2","language":"en","license":"http://creativecommons.org/licenses/by-nc-nd/4.0","page":"61-80","source":"DOI.org (Crossref)","title":"The Influence of Engagement in Value Co-Creation on E-Learning Experience and Student Satisfaction: An Empirical Study","title-short":"The Influence of Engagement in Value Co-Creation on E-Learning Experience and Student Satisfaction","volume":"48","author":[{"family":"Dziewanowska","given":"Katarzyna"},{"family":"Kacprzak","given":"Agnieszka"}],"issued":{"date-parts":[["2023",6,1]]}}}],"schema":"https://github.com/citation-style-language/schema/raw/master/csl-citation.json"} </w:instrText>
      </w:r>
      <w:r>
        <w:rPr>
          <w:rFonts w:ascii="Times New Roman" w:hAnsi="Times New Roman" w:cs="Times New Roman"/>
          <w:sz w:val="24"/>
        </w:rPr>
        <w:fldChar w:fldCharType="separate"/>
      </w:r>
      <w:r>
        <w:rPr>
          <w:rFonts w:ascii="Times New Roman" w:hAnsi="Times New Roman" w:cs="Times New Roman"/>
          <w:kern w:val="0"/>
          <w:sz w:val="24"/>
        </w:rPr>
        <w:t>(Dziewanowska &amp; Kacprzak, 2023)</w:t>
      </w:r>
      <w:r>
        <w:rPr>
          <w:rFonts w:ascii="Times New Roman" w:hAnsi="Times New Roman" w:cs="Times New Roman"/>
          <w:sz w:val="24"/>
        </w:rPr>
        <w:fldChar w:fldCharType="end"/>
      </w:r>
      <w:r>
        <w:rPr>
          <w:rFonts w:ascii="Times New Roman" w:hAnsi="Times New Roman" w:cs="Times New Roman"/>
          <w:sz w:val="24"/>
        </w:rPr>
        <w:t xml:space="preserve">. However, existing research </w:t>
      </w:r>
      <w:r>
        <w:rPr>
          <w:rFonts w:ascii="Times New Roman" w:hAnsi="Times New Roman" w:cs="Times New Roman"/>
          <w:sz w:val="24"/>
        </w:rPr>
        <w:lastRenderedPageBreak/>
        <w:t xml:space="preserve">largely focuses on traditional service domains and general educational contexts, lacking a systematic exploration of how customer participation in customized course-based services influences customer retention through functional and hedonic course experiential value </w:t>
      </w:r>
      <w:r>
        <w:rPr>
          <w:rFonts w:ascii="Times New Roman" w:hAnsi="Times New Roman" w:cs="Times New Roman"/>
          <w:sz w:val="24"/>
        </w:rPr>
        <w:fldChar w:fldCharType="begin"/>
      </w:r>
      <w:r>
        <w:rPr>
          <w:rFonts w:ascii="Times New Roman" w:hAnsi="Times New Roman" w:cs="Times New Roman"/>
          <w:sz w:val="24"/>
        </w:rPr>
        <w:instrText xml:space="preserve"> ADDIN ZOTERO_ITEM CSL_CITATION {"citationID":"a1746a5cqb8","properties":{"formattedCitation":"(Amjad &amp; Azhar, 2023; Zhang et al., 2024)","plainCitation":"(Amjad &amp; Azhar, 2023; Zhang et al., 2024)","noteIndex":0},"citationItems":[{"id":2622,"uris":["http://zotero.org/users/14361536/items/UTS969TX"],"itemData":{"id":2622,"type":"article-journal","abstract":"Bringing innovation to organizations is not only considered to be a growth strategy but also a way to survive in the current technological era. Technological innovation involves customer participation and engagement for value co-creation and co-destruction, which raises new challenges in theory and practice. It becomes more challenging in the service industry, specifically the education sector. Limited literature is available regarding different roles played by the participating customers during technology innovation. Therefore, an empirical study was needed to explore the role(s) of customer participation in the entire process of co-creation, the drivers for customers’ positive engagement, and the reasons behind the negative engagement of customers while participating in technology innovation process. The negative engagement of the customers not only hinders the success of the co-creation process, rather it also causes co-destruction from multiple aspects. The current study followed the qualitative method to explore the phenomenon of value co-creation and co-destruction. In order to perform this task, semi-structured in-depth interviews were conducted with the representatives of Information and Communication Technologies (ICT) firms and Higher Education Institutions (HEIs) of Pakistan. The collected qualitative data was sorted in Nvivo 13 and thematic analysis was performed. The study concluded with the identification of multiple roles/dimensions of customer participation to foster or hinder the cocreation process. The major beneficiaries of the study include ICT firms and HEIs which need to re-assess their business processes. The study also contributes to the evolving theory of value co-creation, while engaging the actors (customers).","container-title":"Journal of Management and Research","DOI":"10.29145/jmr.101.01","ISSN":"2519-7924, 2218-2705","issue":"1","journalAbbreviation":"JMR","language":"en","license":"http://creativecommons.org/licenses/by/4.0","source":"DOI.org (Crossref)","title":"Role of Customer Participation in Technology Innovation in Higher Education Institutions (HEIs): A Qualitative Study on Value Co-Creation and Co-Destruction","title-short":"Role of Customer Participation in Technology Innovation in Higher Education Institutions (HEIs)","URL":"https://ojs.umt.edu.pk/index.php/jmr/article/view/1636","volume":"10","author":[{"family":"Amjad","given":"Muhammad Yasir"},{"family":"Azhar","given":"Tashfeen Mahmood"}],"accessed":{"date-parts":[["2026",1,26]]},"issued":{"date-parts":[["2023",6,27]]}}},{"id":2618,"uris":["http://zotero.org/users/14361536/items/DIFJ72CS"],"itemData":{"id":2618,"type":"article-journal","container-title":"Jo</w:instrText>
      </w:r>
      <w:r>
        <w:rPr>
          <w:rFonts w:ascii="Times New Roman" w:hAnsi="Times New Roman" w:cs="Times New Roman" w:hint="eastAsia"/>
          <w:sz w:val="24"/>
        </w:rPr>
        <w:instrText>urnal of Retailing and Consumer Services","DOI":"10.1016/j.jretconser.2023.103619","ISSN":"09696989","journalAbbreviation":"Journal of Retailing and Consumer Services","language":"en","note":"</w:instrText>
      </w:r>
      <w:r>
        <w:rPr>
          <w:rFonts w:ascii="Times New Roman" w:hAnsi="Times New Roman" w:cs="Times New Roman" w:hint="eastAsia"/>
          <w:sz w:val="24"/>
        </w:rPr>
        <w:instrText>中科院分区升级版</w:instrText>
      </w:r>
      <w:r>
        <w:rPr>
          <w:rFonts w:ascii="Times New Roman" w:hAnsi="Times New Roman" w:cs="Times New Roman" w:hint="eastAsia"/>
          <w:sz w:val="24"/>
        </w:rPr>
        <w:instrText xml:space="preserve">: </w:instrText>
      </w:r>
      <w:r>
        <w:rPr>
          <w:rFonts w:ascii="Times New Roman" w:hAnsi="Times New Roman" w:cs="Times New Roman" w:hint="eastAsia"/>
          <w:sz w:val="24"/>
        </w:rPr>
        <w:instrText>管理学</w:instrText>
      </w:r>
      <w:r>
        <w:rPr>
          <w:rFonts w:ascii="Times New Roman" w:hAnsi="Times New Roman" w:cs="Times New Roman" w:hint="eastAsia"/>
          <w:sz w:val="24"/>
        </w:rPr>
        <w:instrText>1</w:instrText>
      </w:r>
      <w:r>
        <w:rPr>
          <w:rFonts w:ascii="Times New Roman" w:hAnsi="Times New Roman" w:cs="Times New Roman" w:hint="eastAsia"/>
          <w:sz w:val="24"/>
        </w:rPr>
        <w:instrText>区</w:instrText>
      </w:r>
      <w:r>
        <w:rPr>
          <w:rFonts w:ascii="Times New Roman" w:hAnsi="Times New Roman" w:cs="Times New Roman" w:hint="eastAsia"/>
          <w:sz w:val="24"/>
        </w:rPr>
        <w:instrText>\n</w:instrText>
      </w:r>
      <w:r>
        <w:rPr>
          <w:rFonts w:ascii="Times New Roman" w:hAnsi="Times New Roman" w:cs="Times New Roman" w:hint="eastAsia"/>
          <w:sz w:val="24"/>
        </w:rPr>
        <w:instrText>影响因子</w:instrText>
      </w:r>
      <w:r>
        <w:rPr>
          <w:rFonts w:ascii="Times New Roman" w:hAnsi="Times New Roman" w:cs="Times New Roman" w:hint="eastAsia"/>
          <w:sz w:val="24"/>
        </w:rPr>
        <w:instrText>: 13.1\n5</w:instrText>
      </w:r>
      <w:r>
        <w:rPr>
          <w:rFonts w:ascii="Times New Roman" w:hAnsi="Times New Roman" w:cs="Times New Roman" w:hint="eastAsia"/>
          <w:sz w:val="24"/>
        </w:rPr>
        <w:instrText>年影响因子</w:instrText>
      </w:r>
      <w:r>
        <w:rPr>
          <w:rFonts w:ascii="Times New Roman" w:hAnsi="Times New Roman" w:cs="Times New Roman" w:hint="eastAsia"/>
          <w:sz w:val="24"/>
        </w:rPr>
        <w:instrText>: 12.8\n</w:instrText>
      </w:r>
      <w:r>
        <w:rPr>
          <w:rFonts w:ascii="Times New Roman" w:hAnsi="Times New Roman" w:cs="Times New Roman" w:hint="eastAsia"/>
          <w:sz w:val="24"/>
        </w:rPr>
        <w:instrText>南农高质量</w:instrText>
      </w:r>
      <w:r>
        <w:rPr>
          <w:rFonts w:ascii="Times New Roman" w:hAnsi="Times New Roman" w:cs="Times New Roman" w:hint="eastAsia"/>
          <w:sz w:val="24"/>
        </w:rPr>
        <w:instrText>: B","page":"10</w:instrText>
      </w:r>
      <w:r>
        <w:rPr>
          <w:rFonts w:ascii="Times New Roman" w:hAnsi="Times New Roman" w:cs="Times New Roman"/>
          <w:sz w:val="24"/>
        </w:rPr>
        <w:instrText xml:space="preserve">3619","source":"10.4","title":"Exploring the effects of value co-creation strategies in event services on attendees’ citizenship behaviors: The roles of customer empowerment and psychological ownership","title-short":"Exploring the effects of value co-creation strategies in event services on attendees’ citizenship behaviors","volume":"76","author":[{"family":"Zhang","given":"Xingyi"},{"family":"Singh","given":"Smita"},{"family":"Li","given":"Jing"},{"family":"Shao","given":"Xiaolong"}],"issued":{"date-parts":[["2024",1]]}}}],"schema":"https://github.com/citation-style-language/schema/raw/master/csl-citation.json"} </w:instrText>
      </w:r>
      <w:r>
        <w:rPr>
          <w:rFonts w:ascii="Times New Roman" w:hAnsi="Times New Roman" w:cs="Times New Roman"/>
          <w:sz w:val="24"/>
        </w:rPr>
        <w:fldChar w:fldCharType="separate"/>
      </w:r>
      <w:r>
        <w:rPr>
          <w:rFonts w:ascii="Times New Roman" w:hAnsi="Times New Roman" w:cs="Times New Roman"/>
          <w:kern w:val="0"/>
          <w:sz w:val="24"/>
        </w:rPr>
        <w:t>(Amjad &amp; Azhar, 2023; Zhang et al., 2024)</w:t>
      </w:r>
      <w:r>
        <w:rPr>
          <w:rFonts w:ascii="Times New Roman" w:hAnsi="Times New Roman" w:cs="Times New Roman"/>
          <w:sz w:val="24"/>
        </w:rPr>
        <w:fldChar w:fldCharType="end"/>
      </w:r>
      <w:r>
        <w:rPr>
          <w:rFonts w:ascii="Times New Roman" w:hAnsi="Times New Roman" w:cs="Times New Roman"/>
          <w:sz w:val="24"/>
        </w:rPr>
        <w:t>. Furthermore, the boundary effects of course-related customer-specific needs in customized course settings have not been adequately examined.</w:t>
      </w:r>
    </w:p>
    <w:p w14:paraId="428B3B2E" w14:textId="77777777" w:rsidR="00037A35" w:rsidRDefault="00037A35">
      <w:pPr>
        <w:rPr>
          <w:rFonts w:ascii="Times New Roman" w:hAnsi="Times New Roman" w:cs="Times New Roman"/>
          <w:sz w:val="24"/>
        </w:rPr>
      </w:pPr>
    </w:p>
    <w:p w14:paraId="726A387D" w14:textId="77777777" w:rsidR="00037A35" w:rsidRDefault="00000000">
      <w:pPr>
        <w:ind w:firstLineChars="200" w:firstLine="480"/>
        <w:rPr>
          <w:rFonts w:ascii="Times New Roman" w:hAnsi="Times New Roman" w:cs="Times New Roman"/>
          <w:sz w:val="24"/>
        </w:rPr>
      </w:pPr>
      <w:r>
        <w:rPr>
          <w:rFonts w:ascii="Times New Roman" w:hAnsi="Times New Roman" w:cs="Times New Roman"/>
          <w:sz w:val="24"/>
        </w:rPr>
        <w:t xml:space="preserve">Based on the value co-creation theory </w:t>
      </w:r>
      <w:r>
        <w:rPr>
          <w:rFonts w:ascii="Times New Roman" w:hAnsi="Times New Roman" w:cs="Times New Roman"/>
          <w:sz w:val="24"/>
        </w:rPr>
        <w:fldChar w:fldCharType="begin"/>
      </w:r>
      <w:r>
        <w:rPr>
          <w:rFonts w:ascii="Times New Roman" w:hAnsi="Times New Roman" w:cs="Times New Roman"/>
          <w:sz w:val="24"/>
        </w:rPr>
        <w:instrText xml:space="preserve"> ADDIN ZOTERO_ITEM CSL_CITATION {"citationID":"a20oc9t3lnk","properties":{"formattedCitation":"(Nguyen et al., 2021)","plainCitation":"(Nguyen et al., 2021)","noteIndex":0},"citationItems":[{"id":2619,"uris":["http://zotero.org/users/14361536/items/NIEX3M56"],"itemData":{"id":2619,"type":"article-journal","abstract":"This study examines the role of student co-creation behavior in contributing to student satisfaction, perceived university image, and student positive word of mouth (WOM). Using a sample of 513 students from a Taiwanese university and conducting partial least squares structural equation modeling, the findings indicate that co-creating value is critical to student satisfaction, university image, and positive WOM. The results also show the effect of student satisfaction and university image on student positive WOM. This study confirms the pivotal role of student participation in co-creating value in enhancing satisfaction with the university experience, creating and sustaining a positive image, and building the credibility of the university. This research is particularly important to higher education institutions because it has practical implications for decision-makers, brand managers, and HE marketers who wish to improve understanding of the relationship between the university and students in the process of co-creating value and its outcomes.","call-number":"3","container-title":"Sustainability","DOI":"10.3390/su13126724","ISSN":"2071-1050","issue":"12","journalAbbreviation":"Sustainability",</w:instrText>
      </w:r>
      <w:r>
        <w:rPr>
          <w:rFonts w:ascii="Times New Roman" w:hAnsi="Times New Roman" w:cs="Times New Roman" w:hint="eastAsia"/>
          <w:sz w:val="24"/>
        </w:rPr>
        <w:instrText>"language":"en","note":"JCR</w:instrText>
      </w:r>
      <w:r>
        <w:rPr>
          <w:rFonts w:ascii="Times New Roman" w:hAnsi="Times New Roman" w:cs="Times New Roman" w:hint="eastAsia"/>
          <w:sz w:val="24"/>
        </w:rPr>
        <w:instrText>分区</w:instrText>
      </w:r>
      <w:r>
        <w:rPr>
          <w:rFonts w:ascii="Times New Roman" w:hAnsi="Times New Roman" w:cs="Times New Roman" w:hint="eastAsia"/>
          <w:sz w:val="24"/>
        </w:rPr>
        <w:instrText>: Q2\n</w:instrText>
      </w:r>
      <w:r>
        <w:rPr>
          <w:rFonts w:ascii="Times New Roman" w:hAnsi="Times New Roman" w:cs="Times New Roman" w:hint="eastAsia"/>
          <w:sz w:val="24"/>
        </w:rPr>
        <w:instrText>中科院分区升级版</w:instrText>
      </w:r>
      <w:r>
        <w:rPr>
          <w:rFonts w:ascii="Times New Roman" w:hAnsi="Times New Roman" w:cs="Times New Roman" w:hint="eastAsia"/>
          <w:sz w:val="24"/>
        </w:rPr>
        <w:instrText xml:space="preserve">: </w:instrText>
      </w:r>
      <w:r>
        <w:rPr>
          <w:rFonts w:ascii="Times New Roman" w:hAnsi="Times New Roman" w:cs="Times New Roman" w:hint="eastAsia"/>
          <w:sz w:val="24"/>
        </w:rPr>
        <w:instrText>环境科学与生态学</w:instrText>
      </w:r>
      <w:r>
        <w:rPr>
          <w:rFonts w:ascii="Times New Roman" w:hAnsi="Times New Roman" w:cs="Times New Roman" w:hint="eastAsia"/>
          <w:sz w:val="24"/>
        </w:rPr>
        <w:instrText>3</w:instrText>
      </w:r>
      <w:r>
        <w:rPr>
          <w:rFonts w:ascii="Times New Roman" w:hAnsi="Times New Roman" w:cs="Times New Roman" w:hint="eastAsia"/>
          <w:sz w:val="24"/>
        </w:rPr>
        <w:instrText>区</w:instrText>
      </w:r>
      <w:r>
        <w:rPr>
          <w:rFonts w:ascii="Times New Roman" w:hAnsi="Times New Roman" w:cs="Times New Roman" w:hint="eastAsia"/>
          <w:sz w:val="24"/>
        </w:rPr>
        <w:instrText>\n</w:instrText>
      </w:r>
      <w:r>
        <w:rPr>
          <w:rFonts w:ascii="Times New Roman" w:hAnsi="Times New Roman" w:cs="Times New Roman" w:hint="eastAsia"/>
          <w:sz w:val="24"/>
        </w:rPr>
        <w:instrText>影响因子</w:instrText>
      </w:r>
      <w:r>
        <w:rPr>
          <w:rFonts w:ascii="Times New Roman" w:hAnsi="Times New Roman" w:cs="Times New Roman" w:hint="eastAsia"/>
          <w:sz w:val="24"/>
        </w:rPr>
        <w:instrText>: 3.3\n5</w:instrText>
      </w:r>
      <w:r>
        <w:rPr>
          <w:rFonts w:ascii="Times New Roman" w:hAnsi="Times New Roman" w:cs="Times New Roman" w:hint="eastAsia"/>
          <w:sz w:val="24"/>
        </w:rPr>
        <w:instrText>年影响因子</w:instrText>
      </w:r>
      <w:r>
        <w:rPr>
          <w:rFonts w:ascii="Times New Roman" w:hAnsi="Times New Roman" w:cs="Times New Roman" w:hint="eastAsia"/>
          <w:sz w:val="24"/>
        </w:rPr>
        <w:instrText>: 3.6","page":"6724","source":"3.9","title":"The Role of Co-Creating Value and Its Outcomes in Higher Education Marketing","volume":"13","author":[{"family":"Nguyen","given":"Lien T</w:instrText>
      </w:r>
      <w:r>
        <w:rPr>
          <w:rFonts w:ascii="Times New Roman" w:hAnsi="Times New Roman" w:cs="Times New Roman"/>
          <w:sz w:val="24"/>
        </w:rPr>
        <w:instrText xml:space="preserve">hi Kim"},{"family":"Lin","given":"Tom M. Y."},{"family":"Lam","given":"Hoang Phuong"}],"issued":{"date-parts":[["2021",6,14]]}}}],"schema":"https://github.com/citation-style-language/schema/raw/master/csl-citation.json"} </w:instrText>
      </w:r>
      <w:r>
        <w:rPr>
          <w:rFonts w:ascii="Times New Roman" w:hAnsi="Times New Roman" w:cs="Times New Roman"/>
          <w:sz w:val="24"/>
        </w:rPr>
        <w:fldChar w:fldCharType="separate"/>
      </w:r>
      <w:r>
        <w:rPr>
          <w:rFonts w:ascii="Times New Roman" w:hAnsi="Times New Roman" w:cs="Times New Roman"/>
          <w:kern w:val="0"/>
          <w:sz w:val="24"/>
        </w:rPr>
        <w:t>(Nguyen et al., 2021)</w:t>
      </w:r>
      <w:r>
        <w:rPr>
          <w:rFonts w:ascii="Times New Roman" w:hAnsi="Times New Roman" w:cs="Times New Roman"/>
          <w:sz w:val="24"/>
        </w:rPr>
        <w:fldChar w:fldCharType="end"/>
      </w:r>
      <w:r>
        <w:rPr>
          <w:rFonts w:ascii="Times New Roman" w:hAnsi="Times New Roman" w:cs="Times New Roman"/>
          <w:sz w:val="24"/>
        </w:rPr>
        <w:t>, this study constructs a course-level mechanism model to examine how customer engagement influences customer retention through functional and hedonic experiential value, and investigates the moderating effect of unique requirements. This study expands the applicability of this theory to the context of customized course-based services, providing empirical evidence for customized course platforms and providers to optimize engagement mechanisms and enhance user loyalty.</w:t>
      </w:r>
    </w:p>
    <w:p w14:paraId="7005F903" w14:textId="77777777" w:rsidR="00037A35" w:rsidRDefault="00037A35">
      <w:pPr>
        <w:ind w:firstLineChars="200" w:firstLine="480"/>
        <w:rPr>
          <w:rFonts w:ascii="Times New Roman" w:hAnsi="Times New Roman" w:cs="Times New Roman"/>
          <w:sz w:val="24"/>
        </w:rPr>
      </w:pPr>
    </w:p>
    <w:p w14:paraId="302ECD9E" w14:textId="77777777" w:rsidR="00037A35" w:rsidRDefault="00000000">
      <w:pPr>
        <w:rPr>
          <w:rFonts w:ascii="Times New Roman" w:hAnsi="Times New Roman" w:cs="Times New Roman"/>
          <w:b/>
          <w:bCs/>
          <w:sz w:val="24"/>
        </w:rPr>
      </w:pPr>
      <w:r>
        <w:rPr>
          <w:rFonts w:ascii="Times New Roman" w:hAnsi="Times New Roman" w:cs="Times New Roman"/>
          <w:b/>
          <w:bCs/>
          <w:sz w:val="24"/>
        </w:rPr>
        <w:t>2. Literature Review</w:t>
      </w:r>
    </w:p>
    <w:p w14:paraId="0E930509" w14:textId="77777777" w:rsidR="00037A35" w:rsidRDefault="00000000">
      <w:pPr>
        <w:rPr>
          <w:rFonts w:ascii="Times New Roman" w:hAnsi="Times New Roman" w:cs="Times New Roman"/>
          <w:b/>
          <w:bCs/>
          <w:sz w:val="24"/>
        </w:rPr>
      </w:pPr>
      <w:r>
        <w:rPr>
          <w:rFonts w:ascii="Times New Roman" w:hAnsi="Times New Roman" w:cs="Times New Roman"/>
          <w:b/>
          <w:bCs/>
          <w:sz w:val="24"/>
        </w:rPr>
        <w:t>2.1 Customized Course Services and Value Co-Creation Theory</w:t>
      </w:r>
    </w:p>
    <w:p w14:paraId="3934ED8E" w14:textId="77777777" w:rsidR="00037A35" w:rsidRDefault="00037A35">
      <w:pPr>
        <w:rPr>
          <w:rFonts w:ascii="Times New Roman" w:hAnsi="Times New Roman" w:cs="Times New Roman"/>
          <w:sz w:val="24"/>
        </w:rPr>
      </w:pPr>
    </w:p>
    <w:p w14:paraId="3E8A3EC5" w14:textId="77777777" w:rsidR="00037A35" w:rsidRDefault="00000000">
      <w:pPr>
        <w:ind w:firstLineChars="200" w:firstLine="480"/>
        <w:rPr>
          <w:rFonts w:ascii="Times New Roman" w:hAnsi="Times New Roman" w:cs="Times New Roman"/>
          <w:sz w:val="24"/>
        </w:rPr>
      </w:pPr>
      <w:r>
        <w:rPr>
          <w:rFonts w:ascii="Times New Roman" w:hAnsi="Times New Roman" w:cs="Times New Roman"/>
          <w:sz w:val="24"/>
        </w:rPr>
        <w:t xml:space="preserve">Value co-creation theory argues that value is not delivered solely by firms but is generated through interaction and resource integration between providers and customers </w:t>
      </w:r>
      <w:r>
        <w:rPr>
          <w:rFonts w:ascii="Times New Roman" w:hAnsi="Times New Roman" w:cs="Times New Roman"/>
          <w:sz w:val="24"/>
        </w:rPr>
        <w:fldChar w:fldCharType="begin"/>
      </w:r>
      <w:r>
        <w:rPr>
          <w:rFonts w:ascii="Times New Roman" w:hAnsi="Times New Roman" w:cs="Times New Roman"/>
          <w:sz w:val="24"/>
        </w:rPr>
        <w:instrText xml:space="preserve"> ADDIN ZOTERO_ITEM CSL_CITATION {"citationID":"a2d3mh0hadg","properties":{"formattedCitation":"(Vargo &amp; Lusch, 2016)","plainCitation":"(Vargo &amp; Lusch, 2016)","noteIndex":0},"citationItems":[{"id":2623,"uris":["http://zotero.org/users/14361536/items/5494DTUY"],"itemData":{"id":2623,"type":"article-journal","container-title":"Journal of the Academy of Marketing Science","DOI":"10.1007/s11747-015-0456-3","ISSN":"0092-0703, 1552-7824","issue":"1","journalAbbreviation":"J. of the Acad. Mark. Sci.","language":"en","page":"5-23","source":"18.2","title":"Institutions and axioms: an extension and update of service-dominant logic","title-short":"Institutions and axioms","volume":"44","author":[{"family":"Vargo","given":"Stephen L."},{"family":"Lusch","given":"Robert F."}],"issued":{"date-parts":[["2016",1]]}}}],"schema":"https://github.com/citation-style-language/schema/raw/master/csl-citation.json"} </w:instrText>
      </w:r>
      <w:r>
        <w:rPr>
          <w:rFonts w:ascii="Times New Roman" w:hAnsi="Times New Roman" w:cs="Times New Roman"/>
          <w:sz w:val="24"/>
        </w:rPr>
        <w:fldChar w:fldCharType="separate"/>
      </w:r>
      <w:r>
        <w:rPr>
          <w:rFonts w:ascii="Times New Roman" w:hAnsi="Times New Roman" w:cs="Times New Roman"/>
          <w:kern w:val="0"/>
          <w:sz w:val="24"/>
        </w:rPr>
        <w:t>(Vargo &amp; Lusch, 2016)</w:t>
      </w:r>
      <w:r>
        <w:rPr>
          <w:rFonts w:ascii="Times New Roman" w:hAnsi="Times New Roman" w:cs="Times New Roman"/>
          <w:sz w:val="24"/>
        </w:rPr>
        <w:fldChar w:fldCharType="end"/>
      </w:r>
      <w:r>
        <w:rPr>
          <w:rFonts w:ascii="Times New Roman" w:hAnsi="Times New Roman" w:cs="Times New Roman"/>
          <w:sz w:val="24"/>
        </w:rPr>
        <w:t xml:space="preserve">. </w:t>
      </w:r>
    </w:p>
    <w:p w14:paraId="5896F1C4" w14:textId="77777777" w:rsidR="00037A35" w:rsidRDefault="00037A35">
      <w:pPr>
        <w:ind w:firstLineChars="200" w:firstLine="480"/>
        <w:rPr>
          <w:rFonts w:ascii="SimSun" w:eastAsia="SimSun" w:hAnsi="SimSun" w:cs="Times New Roman"/>
          <w:sz w:val="24"/>
        </w:rPr>
      </w:pPr>
    </w:p>
    <w:p w14:paraId="31C5E31E" w14:textId="77777777" w:rsidR="00037A35" w:rsidRDefault="00000000">
      <w:pPr>
        <w:ind w:firstLineChars="200" w:firstLine="480"/>
        <w:rPr>
          <w:rFonts w:ascii="Times New Roman" w:hAnsi="Times New Roman" w:cs="Times New Roman"/>
          <w:sz w:val="24"/>
        </w:rPr>
      </w:pPr>
      <w:r>
        <w:rPr>
          <w:rFonts w:ascii="Times New Roman" w:hAnsi="Times New Roman" w:cs="Times New Roman"/>
          <w:sz w:val="24"/>
        </w:rPr>
        <w:t>In customized course service contexts, learners have shifted from passive recipients to active participants in the course creation and delivery process. By engaging with learning content and interacting online, students significantly enhance their perceived value and learning satisfaction, thereby strengthening their identification with the platform and their willingness to continue using it</w:t>
      </w:r>
      <w:r>
        <w:rPr>
          <w:rFonts w:ascii="Times New Roman" w:hAnsi="Times New Roman" w:cs="Times New Roman" w:hint="eastAsia"/>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ADDIN ZOTERO_ITEM CSL_CITATION {"citationID":"aquee5596u","properties":{"formattedCitation":"(Dziewanowska &amp; Kacprzak, 2023)","plainCitation":"(Dziewanowska &amp; Kacprzak, 2023)","noteIndex":0},"citationItems":[{"id":2615,"uris":["http://zotero.org/users/14361536/items/H4ZB7RXT"],"itemData":{"id":2615,"type":"article-journal","abstract":"ABSTRACT\n            The objective of this paper is to investigate the impact of students’ engagement in value co-creation on the perception of online learning experience and the effect of online learning experience on student satisfaction. The research method was a survey conducted on a sample of 532 respondents from a public business school. The findings show that increased students’ engagement in value co-creation results in their improved perception of e-learning experience, which in turn influences student satisfaction. Thus, in order to facilitate the engagement of students in the value co-creation process, it is imperative to optimise the quality of dialogue, enhance the availability of pertinent information, promote intellectual stimulation, increase participation in scholarly pursuits, and foster opportunities for inter-student interactions. The study also complements the current body of knowledge on value co-creation in higher education with an online context.","container-title":"Marketing of Scientific and Research Organizations","DOI":"10.2478/minib-2023-0010","ISSN":"2353-8414","issue":"2","language":"en","license":"http://creativecommons.org/licenses/by-nc-nd/4.0","page":"61-80","source":"DOI.org (Crossref)","title":"The Influence of Engagement in Value Co-Creation on E-Learning Experience and Student Satisfaction: An Empirical Study","title-short":"The Influence of Engagement in Value Co-Creation on E-Learning Experience and Student Satisfaction","volume":"48","author":[{"family":"Dziewanowska","given":"Katarzyna"},{"family":"Kacprzak","given":"Agnieszka"}],"issued":{"date-parts":[["2023",6,1]]}}}],"schema":"https://github.com/citation-style-language/schema/raw/master/csl-citation.json"} </w:instrText>
      </w:r>
      <w:r>
        <w:rPr>
          <w:rFonts w:ascii="Times New Roman" w:hAnsi="Times New Roman" w:cs="Times New Roman"/>
          <w:sz w:val="24"/>
        </w:rPr>
        <w:fldChar w:fldCharType="separate"/>
      </w:r>
      <w:r>
        <w:rPr>
          <w:rFonts w:ascii="Times New Roman" w:hAnsi="Times New Roman" w:cs="Times New Roman"/>
          <w:kern w:val="0"/>
          <w:sz w:val="24"/>
        </w:rPr>
        <w:t>(Dziewanowska &amp; Kacprzak, 2023)</w:t>
      </w:r>
      <w:r>
        <w:rPr>
          <w:rFonts w:ascii="Times New Roman" w:hAnsi="Times New Roman" w:cs="Times New Roman"/>
          <w:sz w:val="24"/>
        </w:rPr>
        <w:fldChar w:fldCharType="end"/>
      </w:r>
      <w:r>
        <w:rPr>
          <w:rFonts w:ascii="Times New Roman" w:hAnsi="Times New Roman" w:cs="Times New Roman" w:hint="eastAsia"/>
          <w:sz w:val="24"/>
        </w:rPr>
        <w:t>.</w:t>
      </w:r>
    </w:p>
    <w:p w14:paraId="0FA6B37E" w14:textId="77777777" w:rsidR="00037A35" w:rsidRDefault="00037A35">
      <w:pPr>
        <w:ind w:firstLineChars="200" w:firstLine="480"/>
        <w:rPr>
          <w:rFonts w:ascii="SimSun" w:eastAsia="SimSun" w:hAnsi="SimSun" w:cs="Times New Roman"/>
          <w:sz w:val="24"/>
        </w:rPr>
      </w:pPr>
    </w:p>
    <w:p w14:paraId="0940A817" w14:textId="77777777" w:rsidR="00037A35" w:rsidRDefault="00000000">
      <w:pPr>
        <w:ind w:firstLineChars="200" w:firstLine="480"/>
        <w:rPr>
          <w:rFonts w:ascii="Times New Roman" w:hAnsi="Times New Roman" w:cs="Times New Roman"/>
          <w:sz w:val="24"/>
        </w:rPr>
      </w:pPr>
      <w:r>
        <w:rPr>
          <w:rFonts w:ascii="Times New Roman" w:hAnsi="Times New Roman" w:cs="Times New Roman"/>
          <w:sz w:val="24"/>
        </w:rPr>
        <w:t>Customized course services emphasize learners' active contribution of information and resources, co-creating value through participation in course content customization, learning pathway adjustment, and course feedback cycles during service use</w:t>
      </w:r>
      <w:r>
        <w:rPr>
          <w:rFonts w:ascii="Times New Roman" w:hAnsi="Times New Roman" w:cs="Times New Roman" w:hint="eastAsia"/>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ADDIN ZOTERO_ITEM CSL_CITATION {"citationID":"a199domhm6s","properties":{"formattedCitation":"(Soleymani et al., 2025)","plainCitation":"(Soleymani et al., 2025)","noteIndex":0},"citationItems":[{"id":2625,"uris":["http://zotero.org/users/14361536/items/WGGKX995"],"itemData":{"id":2625,"type":"article-journal","abstract":"Abstract\n            This study explores how participants of massive open online courses (MOOCs) perceive value creation within online learning environments. Drawing on the value creation framework (VCF), we developed and empirically validated a questionnaire, which was completed by 1227 learners enrolled in MOOCs offered by TU Delft. The aim was to provide deeper insight into participants’ experiences and the perceived impact of MOOCs on their personal and professional development. More specifically, this research explores the immediate, potential, applied, realized, and transformative value creation cycles. Our findings reveal significant insights into the multifaceted impacts of study behavior on learners’ perceptions. Participants reported benefits such as skill acquisition, professional development, and enhanced confidence while highlighting areas needing improvement, such as practical application opportunities and course relevance. This study highlights the importance of aligning MOOC content with learner needs and providing ongoing support to maximize the educational value that online courses can offer. These insights contribute to understanding educational value in the postdigital age, advocating for the development and support of MOOCs to foster continued personal and professional growth.","container-title":"Postdigital Science and Education","DOI":"10.1007/s42438-025-00561-0","ISSN":"2524-485X, 2524-4868","journalAbbreviation":"Postdigit Sci Educ","language":"en","source":"DOI.org (Crossref)","title":"Exploring Personal Experience and Value Creation in Postdigital Education: Insights from a Large-Scale MOOC Survey","title-short":"Exploring Personal Experience and Value Creation in Postdigital Education","URL":"https://link.springer.com/10.1007/s42438-025-00561-0","author":[{"family":"Soleymani","given":"Ali"},{"family":"De Laat","given":"Maarten"},{"family":"Specht","given":"Marcus"}],"accessed":{"date-parts":[["2026",1,26]]},"issued":{"date-parts":[["2025",6,12]]}}}],"schema":"https://github.com/citation-style-language/schema/raw/master/csl-citation.json"} </w:instrText>
      </w:r>
      <w:r>
        <w:rPr>
          <w:rFonts w:ascii="Times New Roman" w:hAnsi="Times New Roman" w:cs="Times New Roman"/>
          <w:sz w:val="24"/>
        </w:rPr>
        <w:fldChar w:fldCharType="separate"/>
      </w:r>
      <w:r>
        <w:rPr>
          <w:rFonts w:ascii="Times New Roman" w:hAnsi="Times New Roman" w:cs="Times New Roman"/>
          <w:kern w:val="0"/>
          <w:sz w:val="24"/>
        </w:rPr>
        <w:t>(Soleymani et al., 2025)</w:t>
      </w:r>
      <w:r>
        <w:rPr>
          <w:rFonts w:ascii="Times New Roman" w:hAnsi="Times New Roman" w:cs="Times New Roman"/>
          <w:sz w:val="24"/>
        </w:rPr>
        <w:fldChar w:fldCharType="end"/>
      </w:r>
      <w:r>
        <w:rPr>
          <w:rFonts w:ascii="Times New Roman" w:hAnsi="Times New Roman" w:cs="Times New Roman"/>
          <w:sz w:val="24"/>
        </w:rPr>
        <w:t>. This study is based on value co-creation theory, emphasizing that learners actively contribute information and resources within customized courses, rather than simply consuming pre-designed course content.</w:t>
      </w:r>
    </w:p>
    <w:p w14:paraId="107D407E" w14:textId="77777777" w:rsidR="00037A35" w:rsidRDefault="00037A35">
      <w:pPr>
        <w:ind w:firstLineChars="200" w:firstLine="480"/>
        <w:rPr>
          <w:rFonts w:ascii="SimSun" w:eastAsia="SimSun" w:hAnsi="SimSun" w:cs="Times New Roman"/>
          <w:sz w:val="24"/>
        </w:rPr>
      </w:pPr>
    </w:p>
    <w:p w14:paraId="301FD5DA" w14:textId="77777777" w:rsidR="00037A35" w:rsidRDefault="00000000">
      <w:pPr>
        <w:rPr>
          <w:rFonts w:ascii="Times New Roman" w:hAnsi="Times New Roman" w:cs="Times New Roman"/>
          <w:b/>
          <w:bCs/>
          <w:sz w:val="24"/>
        </w:rPr>
      </w:pPr>
      <w:r>
        <w:rPr>
          <w:rFonts w:ascii="Times New Roman" w:hAnsi="Times New Roman" w:cs="Times New Roman"/>
          <w:b/>
          <w:bCs/>
          <w:sz w:val="24"/>
        </w:rPr>
        <w:t>2.2 Customer Participation</w:t>
      </w:r>
    </w:p>
    <w:p w14:paraId="505BC8E3" w14:textId="77777777" w:rsidR="00037A35" w:rsidRDefault="00037A35">
      <w:pPr>
        <w:rPr>
          <w:rFonts w:ascii="Times New Roman" w:hAnsi="Times New Roman" w:cs="Times New Roman"/>
          <w:sz w:val="24"/>
        </w:rPr>
      </w:pPr>
    </w:p>
    <w:p w14:paraId="6C368B3F" w14:textId="77777777" w:rsidR="00037A35" w:rsidRDefault="00000000">
      <w:pPr>
        <w:ind w:firstLineChars="200" w:firstLine="480"/>
        <w:rPr>
          <w:rFonts w:ascii="Times New Roman" w:hAnsi="Times New Roman" w:cs="Times New Roman"/>
          <w:sz w:val="24"/>
        </w:rPr>
      </w:pPr>
      <w:r>
        <w:rPr>
          <w:rFonts w:ascii="Times New Roman" w:hAnsi="Times New Roman" w:cs="Times New Roman"/>
          <w:sz w:val="24"/>
        </w:rPr>
        <w:t xml:space="preserve">Customer engagement is a core mechanism for value co-creation in customized course services, significantly influencing course co-creation, satisfaction, and retention. </w:t>
      </w:r>
      <w:r>
        <w:rPr>
          <w:rFonts w:ascii="Times New Roman" w:hAnsi="Times New Roman" w:cs="Times New Roman" w:hint="eastAsia"/>
          <w:sz w:val="24"/>
        </w:rPr>
        <w:t>S</w:t>
      </w:r>
      <w:r>
        <w:rPr>
          <w:rFonts w:ascii="Times New Roman" w:hAnsi="Times New Roman" w:cs="Times New Roman"/>
          <w:sz w:val="24"/>
        </w:rPr>
        <w:t>tudents' participation in online learning through discussions, feedback, and interaction significantly enhances their course experience and satisfaction</w:t>
      </w:r>
      <w:r>
        <w:rPr>
          <w:rFonts w:ascii="Times New Roman" w:hAnsi="Times New Roman" w:cs="Times New Roman" w:hint="eastAsia"/>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ADDIN ZOTERO_ITEM CSL_CITATION {"citationID":"a13o103ougt","properties":{"formattedCitation":"(Dewarani &amp; Alversia, 2023)","plainCitation":"(Dewarani &amp; Alversia, 2023)","noteIndex":0},"citationItems":[{"id":2626,"uris":["http://zotero.org/users/14361536/items/UFXUIKIN"],"itemData":{"id":2626,"type":"article-journal","abstract":"Software as a digital product has been shown to improve companies’ performance and efficiency. One product that is now at the core of many businesses is Software as a Service (SaaS). By utilizing cloud computing platforms, SaaS is a method of providing applications as a service. SaaS applications have unique characteristics that can be customized to meet customers’ needs. Hence, SaaS has become suitable for companies of all types and sizes, including small- and medium-sized enterprises. The purpose of this study is to examine the effect of customer involvement on the development of SaaS applications and the impact of customer engagement on the co-creation of services, satisfaction, and loyalty, with the co-creation level used as a moderating variable. Data were collected from responses to an online questionnaire by 282 users of a SaaS application in Indonesia who were the decision-makers of the selected SaaS provider. The data were then analyzed using structural equation modeling. The results show that customer involvement in developing SaaS applications significantly positively affects the co-creation of services, satisfaction, and loyalty (t-value &amp;amp;gt; 1.645). Moreover, the level of co-creation was proven to strengthen the impact of customer involvement on the co-creation of services with an interaction Standardize Loading Factor (SLF) path of 1.36. Hence, the findings indicate that higher customer involvement promotes collaborative activities with service providers, and the optimum level of co-creation raises customer satisfaction.","container-title":"Innovative Marketing","DOI":"10.21511/im.19(2).2023.03","ISSN":"18142427, 18166326","issue":"2","journalAbbreviation":"Innov</w:instrText>
      </w:r>
      <w:r>
        <w:rPr>
          <w:rFonts w:ascii="Times New Roman" w:hAnsi="Times New Roman" w:cs="Times New Roman" w:hint="eastAsia"/>
          <w:sz w:val="24"/>
        </w:rPr>
        <w:instrText>ative Marketing","license":"http://creativecommons.org/licenses/by/3.0/deed.en_US","note":"</w:instrText>
      </w:r>
      <w:r>
        <w:rPr>
          <w:rFonts w:ascii="Times New Roman" w:hAnsi="Times New Roman" w:cs="Times New Roman" w:hint="eastAsia"/>
          <w:sz w:val="24"/>
        </w:rPr>
        <w:instrText>中科院分区升级版</w:instrText>
      </w:r>
      <w:r>
        <w:rPr>
          <w:rFonts w:ascii="Times New Roman" w:hAnsi="Times New Roman" w:cs="Times New Roman" w:hint="eastAsia"/>
          <w:sz w:val="24"/>
        </w:rPr>
        <w:instrText xml:space="preserve">: </w:instrText>
      </w:r>
      <w:r>
        <w:rPr>
          <w:rFonts w:ascii="Times New Roman" w:hAnsi="Times New Roman" w:cs="Times New Roman" w:hint="eastAsia"/>
          <w:sz w:val="24"/>
        </w:rPr>
        <w:instrText>管理学</w:instrText>
      </w:r>
      <w:r>
        <w:rPr>
          <w:rFonts w:ascii="Times New Roman" w:hAnsi="Times New Roman" w:cs="Times New Roman" w:hint="eastAsia"/>
          <w:sz w:val="24"/>
        </w:rPr>
        <w:instrText>4</w:instrText>
      </w:r>
      <w:r>
        <w:rPr>
          <w:rFonts w:ascii="Times New Roman" w:hAnsi="Times New Roman" w:cs="Times New Roman" w:hint="eastAsia"/>
          <w:sz w:val="24"/>
        </w:rPr>
        <w:instrText>区</w:instrText>
      </w:r>
      <w:r>
        <w:rPr>
          <w:rFonts w:ascii="Times New Roman" w:hAnsi="Times New Roman" w:cs="Times New Roman" w:hint="eastAsia"/>
          <w:sz w:val="24"/>
        </w:rPr>
        <w:instrText>\n</w:instrText>
      </w:r>
      <w:r>
        <w:rPr>
          <w:rFonts w:ascii="Times New Roman" w:hAnsi="Times New Roman" w:cs="Times New Roman" w:hint="eastAsia"/>
          <w:sz w:val="24"/>
        </w:rPr>
        <w:instrText>影响因子</w:instrText>
      </w:r>
      <w:r>
        <w:rPr>
          <w:rFonts w:ascii="Times New Roman" w:hAnsi="Times New Roman" w:cs="Times New Roman" w:hint="eastAsia"/>
          <w:sz w:val="24"/>
        </w:rPr>
        <w:instrText>: 1.2\n5</w:instrText>
      </w:r>
      <w:r>
        <w:rPr>
          <w:rFonts w:ascii="Times New Roman" w:hAnsi="Times New Roman" w:cs="Times New Roman" w:hint="eastAsia"/>
          <w:sz w:val="24"/>
        </w:rPr>
        <w:instrText>年影响因子</w:instrText>
      </w:r>
      <w:r>
        <w:rPr>
          <w:rFonts w:ascii="Times New Roman" w:hAnsi="Times New Roman" w:cs="Times New Roman" w:hint="eastAsia"/>
          <w:sz w:val="24"/>
        </w:rPr>
        <w:instrText>: N/A","page":"27-37","source":"1.1","title":"The influence of customer involvement and engagement on co-creation of services, sat</w:instrText>
      </w:r>
      <w:r>
        <w:rPr>
          <w:rFonts w:ascii="Times New Roman" w:hAnsi="Times New Roman" w:cs="Times New Roman"/>
          <w:sz w:val="24"/>
        </w:rPr>
        <w:instrText xml:space="preserve">isfaction, and loyalty: The case of Software as a Service","title-short":"The influence of customer involvement and engagement on co-creation of services, satisfaction, and loyalty","volume":"19","author":[{"family":"Dewarani","given":"Geraldine"},{"family":"Alversia","given":"Yeshika"}],"issued":{"date-parts":[["2023",4,12]]}}}],"schema":"https://github.com/citation-style-language/schema/raw/master/csl-citation.json"} </w:instrText>
      </w:r>
      <w:r>
        <w:rPr>
          <w:rFonts w:ascii="Times New Roman" w:hAnsi="Times New Roman" w:cs="Times New Roman"/>
          <w:sz w:val="24"/>
        </w:rPr>
        <w:fldChar w:fldCharType="separate"/>
      </w:r>
      <w:r>
        <w:rPr>
          <w:rFonts w:ascii="Times New Roman" w:hAnsi="Times New Roman" w:cs="Times New Roman"/>
          <w:kern w:val="0"/>
          <w:sz w:val="24"/>
        </w:rPr>
        <w:t>(Dewarani &amp; Alversia, 2023)</w:t>
      </w:r>
      <w:r>
        <w:rPr>
          <w:rFonts w:ascii="Times New Roman" w:hAnsi="Times New Roman" w:cs="Times New Roman"/>
          <w:sz w:val="24"/>
        </w:rPr>
        <w:fldChar w:fldCharType="end"/>
      </w:r>
      <w:r>
        <w:rPr>
          <w:rFonts w:ascii="Times New Roman" w:hAnsi="Times New Roman" w:cs="Times New Roman"/>
          <w:sz w:val="24"/>
        </w:rPr>
        <w:t xml:space="preserve">. From a behavioral perspective, customer engagement in customized courses includes information provision related to learning needs and collaborative behaviors </w:t>
      </w:r>
      <w:r>
        <w:rPr>
          <w:rFonts w:ascii="Times New Roman" w:hAnsi="Times New Roman" w:cs="Times New Roman"/>
          <w:sz w:val="24"/>
        </w:rPr>
        <w:lastRenderedPageBreak/>
        <w:t>during course participation</w:t>
      </w:r>
      <w:r>
        <w:rPr>
          <w:rFonts w:ascii="Times New Roman" w:hAnsi="Times New Roman" w:cs="Times New Roman" w:hint="eastAsia"/>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ADDIN ZOTERO_ITEM CSL_CITATION {"citationID":"a24ujh1fime","properties":{"formattedCitation":"(Wayne et al., 2024)","plainCitation":"(Wayne et al., 2024)","noteIndex":0},"citationItems":[{"id":2649,"uris":["http://zotero.org/users/14361536/items/GZ23A2DT"],"itemData":{"id":2649,"type":"article-journal","container-title":"Research Involvement and Engagement","DOI":"10.1186/s40900-024-00629-4","ISSN":"2056-7529","issue":"1","journalAbbreviation":"Res Involv Engagem","language":"en","page":"93","source":"DOI.org (Crossref)","title":"Enhancing patient-oriented research training: participant perceptions of an online course","title-short":"Enhancing patient-oriented research training","volume":"10","author":[{"family":"Wayne","given":"Katherine"},{"family":"MacNeill","given":"Lillian"},{"family":"Luke","given":"Alison"},{"family":"Anthonisen","given":"Grailing"},{"family":"McGavin","given":"Colleen"},{"family":"Wilhelm","given":"Linda"},{"family":"Doucet","given":"Shelley"}],"issued":{"date-parts":[["2024",9,6]]}}}],"schema":"https://github.com/citation-style-language/schema/raw/master/csl-citation.json"} </w:instrText>
      </w:r>
      <w:r>
        <w:rPr>
          <w:rFonts w:ascii="Times New Roman" w:hAnsi="Times New Roman" w:cs="Times New Roman"/>
          <w:sz w:val="24"/>
        </w:rPr>
        <w:fldChar w:fldCharType="separate"/>
      </w:r>
      <w:r>
        <w:rPr>
          <w:rFonts w:ascii="Times New Roman" w:hAnsi="Times New Roman" w:cs="Times New Roman"/>
          <w:kern w:val="0"/>
          <w:sz w:val="24"/>
        </w:rPr>
        <w:t>(Wayne et al., 2024)</w:t>
      </w:r>
      <w:r>
        <w:rPr>
          <w:rFonts w:ascii="Times New Roman" w:hAnsi="Times New Roman" w:cs="Times New Roman"/>
          <w:sz w:val="24"/>
        </w:rPr>
        <w:fldChar w:fldCharType="end"/>
      </w:r>
      <w:r>
        <w:rPr>
          <w:rFonts w:ascii="Times New Roman" w:hAnsi="Times New Roman" w:cs="Times New Roman"/>
          <w:sz w:val="24"/>
        </w:rPr>
        <w:t>. From a process perspective, it manifests as continuous interaction and resource contribution throughout the customized course lifecycle</w:t>
      </w:r>
      <w:r>
        <w:rPr>
          <w:rFonts w:ascii="Times New Roman" w:hAnsi="Times New Roman" w:cs="Times New Roman" w:hint="eastAsia"/>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ADDIN ZOTERO_ITEM CSL_CITATION {"citationID":"an8e0kkllr","properties":{"formattedCitation":"(Zhang et al., 2023)","plainCitation":"(Zhang et al., 2023)","noteIndex":0},"citationItems":[{"id":2650,"uris":["http://zotero.org/users/14361536/items/CU4FPEID"],"itemData":{"id":2650,"type":"article-journal","abstract":"Learning from online videos using synchronized Danmu comments provides a co-learning experience. To explore the factors influencing learning with or without Danmu videos, an initial set of reasons and impediments was compiled based on a pilot study of 24 Chinese university students with learning experience using Danmu videos. Three hundred such students were surveyed to determine the factors that influence their motivations and hindrances with regard to using Danmu videos. The potential predictors of users’ continuance intentions were also examined. The results showed that the frequency of using Danmu videos is related to the continuous learning intention. Seeking information, social presence, and perceived entertainment motivate learners and positively impact their intention to continue learning using Danmu videos. Hindrances such as information pollution, attention failure, and visual obstacle were found to be negatively associated with learners’ continuance intention in the long run. Our findings provided constructive suggestions for addressing the issue of dropout rates, and novel ideas for future studies were proposed.","container-title":"Frontiers in Psychology","DOI":"10.3389/fpsyg.2023.1</w:instrText>
      </w:r>
      <w:r>
        <w:rPr>
          <w:rFonts w:ascii="Times New Roman" w:hAnsi="Times New Roman" w:cs="Times New Roman" w:hint="eastAsia"/>
          <w:sz w:val="24"/>
        </w:rPr>
        <w:instrText>098110","ISSN":"1664-1078","journalAbbreviation":"Front. Psychol.","note":"</w:instrText>
      </w:r>
      <w:r>
        <w:rPr>
          <w:rFonts w:ascii="Times New Roman" w:hAnsi="Times New Roman" w:cs="Times New Roman" w:hint="eastAsia"/>
          <w:sz w:val="24"/>
        </w:rPr>
        <w:instrText>中科院分区升级版</w:instrText>
      </w:r>
      <w:r>
        <w:rPr>
          <w:rFonts w:ascii="Times New Roman" w:hAnsi="Times New Roman" w:cs="Times New Roman" w:hint="eastAsia"/>
          <w:sz w:val="24"/>
        </w:rPr>
        <w:instrText xml:space="preserve">: </w:instrText>
      </w:r>
      <w:r>
        <w:rPr>
          <w:rFonts w:ascii="Times New Roman" w:hAnsi="Times New Roman" w:cs="Times New Roman" w:hint="eastAsia"/>
          <w:sz w:val="24"/>
        </w:rPr>
        <w:instrText>心理学</w:instrText>
      </w:r>
      <w:r>
        <w:rPr>
          <w:rFonts w:ascii="Times New Roman" w:hAnsi="Times New Roman" w:cs="Times New Roman" w:hint="eastAsia"/>
          <w:sz w:val="24"/>
        </w:rPr>
        <w:instrText>3</w:instrText>
      </w:r>
      <w:r>
        <w:rPr>
          <w:rFonts w:ascii="Times New Roman" w:hAnsi="Times New Roman" w:cs="Times New Roman" w:hint="eastAsia"/>
          <w:sz w:val="24"/>
        </w:rPr>
        <w:instrText>区</w:instrText>
      </w:r>
      <w:r>
        <w:rPr>
          <w:rFonts w:ascii="Times New Roman" w:hAnsi="Times New Roman" w:cs="Times New Roman" w:hint="eastAsia"/>
          <w:sz w:val="24"/>
        </w:rPr>
        <w:instrText>\n</w:instrText>
      </w:r>
      <w:r>
        <w:rPr>
          <w:rFonts w:ascii="Times New Roman" w:hAnsi="Times New Roman" w:cs="Times New Roman" w:hint="eastAsia"/>
          <w:sz w:val="24"/>
        </w:rPr>
        <w:instrText>影响因子</w:instrText>
      </w:r>
      <w:r>
        <w:rPr>
          <w:rFonts w:ascii="Times New Roman" w:hAnsi="Times New Roman" w:cs="Times New Roman" w:hint="eastAsia"/>
          <w:sz w:val="24"/>
        </w:rPr>
        <w:instrText>: 2.9\n5</w:instrText>
      </w:r>
      <w:r>
        <w:rPr>
          <w:rFonts w:ascii="Times New Roman" w:hAnsi="Times New Roman" w:cs="Times New Roman" w:hint="eastAsia"/>
          <w:sz w:val="24"/>
        </w:rPr>
        <w:instrText>年影响因子</w:instrText>
      </w:r>
      <w:r>
        <w:rPr>
          <w:rFonts w:ascii="Times New Roman" w:hAnsi="Times New Roman" w:cs="Times New Roman" w:hint="eastAsia"/>
          <w:sz w:val="24"/>
        </w:rPr>
        <w:instrText>: 3.7\n</w:instrText>
      </w:r>
      <w:r>
        <w:rPr>
          <w:rFonts w:ascii="Times New Roman" w:hAnsi="Times New Roman" w:cs="Times New Roman" w:hint="eastAsia"/>
          <w:sz w:val="24"/>
        </w:rPr>
        <w:instrText>南农高质量</w:instrText>
      </w:r>
      <w:r>
        <w:rPr>
          <w:rFonts w:ascii="Times New Roman" w:hAnsi="Times New Roman" w:cs="Times New Roman" w:hint="eastAsia"/>
          <w:sz w:val="24"/>
        </w:rPr>
        <w:instrText>: B","page":"1098110","source":"3.8","title":"How does online social interaction promote students</w:instrText>
      </w:r>
      <w:r>
        <w:rPr>
          <w:rFonts w:ascii="Times New Roman" w:hAnsi="Times New Roman" w:cs="Times New Roman" w:hint="eastAsia"/>
          <w:sz w:val="24"/>
        </w:rPr>
        <w:instrText>’</w:instrText>
      </w:r>
      <w:r>
        <w:rPr>
          <w:rFonts w:ascii="Times New Roman" w:hAnsi="Times New Roman" w:cs="Times New Roman" w:hint="eastAsia"/>
          <w:sz w:val="24"/>
        </w:rPr>
        <w:instrText xml:space="preserve"> continuous learning intentions?","v</w:instrText>
      </w:r>
      <w:r>
        <w:rPr>
          <w:rFonts w:ascii="Times New Roman" w:hAnsi="Times New Roman" w:cs="Times New Roman"/>
          <w:sz w:val="24"/>
        </w:rPr>
        <w:instrText xml:space="preserve">olume":"14","author":[{"family":"Zhang","given":"Shunan"},{"family":"Che","given":"ShaoPeng"},{"family":"Nan","given":"Dongyan"},{"family":"Kim","given":"Jang Hyun"}],"issued":{"date-parts":[["2023",1,30]]}}}],"schema":"https://github.com/citation-style-language/schema/raw/master/csl-citation.json"} </w:instrText>
      </w:r>
      <w:r>
        <w:rPr>
          <w:rFonts w:ascii="Times New Roman" w:hAnsi="Times New Roman" w:cs="Times New Roman"/>
          <w:sz w:val="24"/>
        </w:rPr>
        <w:fldChar w:fldCharType="separate"/>
      </w:r>
      <w:r>
        <w:rPr>
          <w:rFonts w:ascii="Times New Roman" w:hAnsi="Times New Roman" w:cs="Times New Roman"/>
          <w:kern w:val="0"/>
          <w:sz w:val="24"/>
        </w:rPr>
        <w:t>(Zhang et al., 2023)</w:t>
      </w:r>
      <w:r>
        <w:rPr>
          <w:rFonts w:ascii="Times New Roman" w:hAnsi="Times New Roman" w:cs="Times New Roman"/>
          <w:sz w:val="24"/>
        </w:rPr>
        <w:fldChar w:fldCharType="end"/>
      </w:r>
      <w:r>
        <w:rPr>
          <w:rFonts w:ascii="Times New Roman" w:hAnsi="Times New Roman" w:cs="Times New Roman"/>
          <w:sz w:val="24"/>
        </w:rPr>
        <w:t>.</w:t>
      </w:r>
    </w:p>
    <w:p w14:paraId="0388E77A" w14:textId="77777777" w:rsidR="00037A35" w:rsidRDefault="00037A35">
      <w:pPr>
        <w:ind w:firstLineChars="200" w:firstLine="480"/>
        <w:rPr>
          <w:rFonts w:ascii="SimSun" w:eastAsia="SimSun" w:hAnsi="SimSun" w:cs="Times New Roman"/>
          <w:sz w:val="24"/>
        </w:rPr>
      </w:pPr>
    </w:p>
    <w:p w14:paraId="3624E2E7" w14:textId="77777777" w:rsidR="00037A35" w:rsidRDefault="00000000">
      <w:pPr>
        <w:rPr>
          <w:rFonts w:ascii="Times New Roman" w:hAnsi="Times New Roman" w:cs="Times New Roman"/>
          <w:b/>
          <w:bCs/>
          <w:sz w:val="24"/>
        </w:rPr>
      </w:pPr>
      <w:r>
        <w:rPr>
          <w:rFonts w:ascii="Times New Roman" w:hAnsi="Times New Roman" w:cs="Times New Roman"/>
          <w:b/>
          <w:bCs/>
          <w:sz w:val="24"/>
        </w:rPr>
        <w:t>2.3 Experience Value</w:t>
      </w:r>
    </w:p>
    <w:p w14:paraId="40217882" w14:textId="77777777" w:rsidR="00037A35" w:rsidRDefault="00037A35">
      <w:pPr>
        <w:rPr>
          <w:rFonts w:ascii="Times New Roman" w:hAnsi="Times New Roman" w:cs="Times New Roman"/>
          <w:b/>
          <w:bCs/>
          <w:sz w:val="24"/>
        </w:rPr>
      </w:pPr>
    </w:p>
    <w:p w14:paraId="5F18DCBB" w14:textId="77777777" w:rsidR="00037A35" w:rsidRDefault="00000000">
      <w:pPr>
        <w:ind w:firstLineChars="200" w:firstLine="480"/>
        <w:rPr>
          <w:rFonts w:ascii="Times New Roman" w:hAnsi="Times New Roman" w:cs="Times New Roman"/>
          <w:sz w:val="24"/>
        </w:rPr>
      </w:pPr>
      <w:r>
        <w:rPr>
          <w:rFonts w:ascii="Times New Roman" w:hAnsi="Times New Roman" w:cs="Times New Roman"/>
          <w:sz w:val="24"/>
        </w:rPr>
        <w:t>Customer experience value in customized courses encompasses two dimensions: functional value and hedonic value. Functional value relates to the effectiveness, efficiency, and performance of services, manifesting as learning efficiency and a sense of goal achievement, with significantly improved learner engagement leading to better learning outcomes and continued use</w:t>
      </w:r>
      <w:r>
        <w:rPr>
          <w:rFonts w:ascii="Times New Roman" w:hAnsi="Times New Roman" w:cs="Times New Roman" w:hint="eastAsia"/>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ADDIN ZOTERO_ITEM CSL_CITATION {"citationID":"a15req2mivm","properties":{"formattedCitation":"(Dziewanowska &amp; Kacprzak, 2023; Singh et al., 2025)","plainCitation":"(Dziewanowska &amp; Kacprzak, 2023; Singh et al., 2025)","noteIndex":0},"citationItems":[{"id":2615,"uris":["http://zotero.org/users/14361536/items/H4ZB7RXT"],"itemData":{"id":2615,"type":"article-journal","abstract":"ABSTRACT\n            The objective of this paper is to investigate the impact of students’ engagement in value co-creation on the perception of online learning experience and the effect of online learning experience on student satisfaction. The research method was a survey conducted on a sample of 532 respondents from a public business school. The findings show that increased students’ engagement in value co-creation results in their improved perception of e-learning experience, which in turn influences student satisfaction. Thus, in order to facilitate the engagement of students in the value co-creation process, it is imperative to optimise the quality of dialogue, enhance the availability of pertinent information, promote intellectual stimulation, increase participation in scholarly pursuits, and foster opportunities for inter-student interactions. The study also complements the current body of knowledge on value co-creation in higher education with an online context.","container-title":"Marketing of Scientific and Research Organizations","DOI":"10.2478/minib-2023-0010","ISSN":"2353-8414","issue":"2","language":"en","license":"http://creativecommons.org/licenses/by-nc-nd/4.0","page":"61-80","source":"DOI.org (Crossref)","title":"The Influence of Engagement in Value Co-Creation on E-Learning Experience and Student Satisfaction: An Empirical Study","title-short":"The Influence of Engagement in Value Co-Creation on E-Learning Experience and Student Satisfaction","volume":"48","author":[{"family":"Dziewanowska","given":"Katarzyna"},{"family":"Kacprzak","given":"Agnieszka"}],"issued":{"date-parts":[["2023",6,1]]}}},{"id":2628,"uris":["http://zotero.org/users/14361536/items/C7PYQWQR"],"itemData":{"id":2628,"type":"article-journal","abstract":"Purpose\n              The study aims to identify the key factors influencing online learning engagement and explore their impact on value co-creation among students. It seeks to offer insights into enhancing student experiences in digital education environments.\n            \n            \n              Design/methodology/approach\n              This study uses a quantitative research design, using structural equation modelling (SEM) to analyse data collected via structured questionnaire. Participants were graduate students from tier 1 cities in India, representing diverse academic disciplines. The study focuses on four key dimensions of online learning engagement: behavioural, cognitive, emotional and social. SEM was used to investigate the relationships between engagement factors, student motivation and value co-creation in online learning.\n            \n            \n              Findings\n              The results reveal that behavioural and social engagement (SE) are strong positive predictors of student motivation, fostering active participation and a sense of community. Conversely, cognitive and emotional engagement negatively correlates with motivation, highlighting the need to manage these dimensions to avoid decreasing student motivation carefully.\n            \n            \n              Research limitations/implications\n              The study is limited to graduate students from tier 1 cities in India. Further research could explore diverse student groups across educational contexts to validate the results. The study highlights the need for a balanced approach to online learning design.\n            \n            \n              Practical implications\n              Educators and administrators can use the findings to design more engaging and motivating online learning environments. Emphasis on fostering behavioural and SE, alongside managing cognitive and emotional aspects, can lead to enhanced student motivation and better value co-creation in digital education settings.\n            \n            \n              Social implications\n              The study emphasises the importance of community building in online learning environments, which can improve students’ educational experience and outcomes. Promoting engagement through social interaction may help bridge gaps in social connectivity, particularly in remote learning contexts, contributing to a more inclusive and supportive learning environment.\n            \n            \n              Originality/value\n              This research offers novel insights into the relationship between different dimensions of online learning engagement and value co-creation. Using SEM, the study presents a robust framework for understanding how engagement factors influence motivation and educational outcomes, adding value to online education strategies and fostering more effective learning experiences.","container-title":"On the Horizon: The International Journal of Learning Futures","DOI":"10.1108/OTH-11-2024-0075","ISSN":"1074-8121, 2054-1708","issue":"2","language":"en","page":"199-222","source":"DOI.org (Crossref)","title":"Factors of online learning engagement and their impact on value co-creation among students: a structural equation modelling approach","title-short":"Factors of online learning engagement and their impact on value co-creation among students","volume":"33","author":[{"family":"Singh","given":"Anjali"},{"family":"Ishrat","given":"Azra"},{"family":"Barthwal","given":"Tripti"},{"family":"Rani","given":"Ankur"},{"family":"Mishra","given":"Manish"}],"issued":{"date-parts":[["2025",6,11]]}}}],"schema":"https://github.com/citation-style-language/schema/raw/master/csl-citation.json"} </w:instrText>
      </w:r>
      <w:r>
        <w:rPr>
          <w:rFonts w:ascii="Times New Roman" w:hAnsi="Times New Roman" w:cs="Times New Roman"/>
          <w:sz w:val="24"/>
        </w:rPr>
        <w:fldChar w:fldCharType="separate"/>
      </w:r>
      <w:r>
        <w:rPr>
          <w:rFonts w:ascii="Times New Roman" w:hAnsi="Times New Roman" w:cs="Times New Roman"/>
          <w:kern w:val="0"/>
          <w:sz w:val="24"/>
        </w:rPr>
        <w:t>(Dziewanowska &amp; Kacprzak, 2023; Singh et al., 2025)</w:t>
      </w:r>
      <w:r>
        <w:rPr>
          <w:rFonts w:ascii="Times New Roman" w:hAnsi="Times New Roman" w:cs="Times New Roman"/>
          <w:sz w:val="24"/>
        </w:rPr>
        <w:fldChar w:fldCharType="end"/>
      </w:r>
      <w:r>
        <w:rPr>
          <w:rFonts w:ascii="Times New Roman" w:hAnsi="Times New Roman" w:cs="Times New Roman"/>
          <w:sz w:val="24"/>
        </w:rPr>
        <w:t xml:space="preserve">. Hedonic value emphasizes pleasure and immersion, reflected in emotional engagement and social enjoyment, with positive interaction enhancing platform attachment </w:t>
      </w:r>
      <w:r>
        <w:rPr>
          <w:rFonts w:ascii="Times New Roman" w:hAnsi="Times New Roman" w:cs="Times New Roman"/>
          <w:sz w:val="24"/>
        </w:rPr>
        <w:fldChar w:fldCharType="begin"/>
      </w:r>
      <w:r>
        <w:rPr>
          <w:rFonts w:ascii="Times New Roman" w:hAnsi="Times New Roman" w:cs="Times New Roman"/>
          <w:sz w:val="24"/>
        </w:rPr>
        <w:instrText xml:space="preserve"> ADDIN ZOTERO_ITEM CSL_CITATION {"citationID":"a1d8cvqutl0","properties":{"formattedCitation":"(Soleymani et al., 2025)","plainCitation":"(Soleymani et al., 2025)","noteIndex":0},"citationItems":[{"id":2625,"uris":["http://zotero.org/users/14361536/items/WGGKX995"],"itemData":{"id":2625,"type":"article-journal","abstract":"Abstract\n            This study explores how participants of massive open online courses (MOOCs) perceive value creation within online learning environments. Drawing on the value creation framework (VCF), we developed and empirically validated a questionnaire, which was completed by 1227 learners enrolled in MOOCs offered by TU Delft. The aim was to provide deeper insight into participants’ experiences and the perceived impact of MOOCs on their personal and professional development. More specifically, this research explores the immediate, potential, applied, realized, and transformative value creation cycles. Our findings reveal significant insights into the multifaceted impacts of study behavior on learners’ perceptions. Participants reported benefits such as skill acquisition, professional development, and enhanced confidence while highlighting areas needing improvement, such as practical application opportunities and course relevance. This study highlights the importance of aligning MOOC content with learner needs and providing ongoing support to maximize the educational value that online courses can offer. These insights contribute to understanding educational value in the postdigital age, advocating for the development and support of MOOCs to foster continued personal and professional growth.","container-title":"Postdigital Science and Education","DOI":"10.1007/s42438-025-00561-0","ISSN":"2524-485X, 2524-4868","journalAbbreviation":"Postdigit Sci Educ","language":"en","source":"DOI.org (Crossref)","title":"Exploring Personal Experience and Value Creation in Postdigital Education: Insights from a Large-Scale MOOC Survey","title-short":"Exploring Personal Experience and Value Creation in Postdigital Education","URL":"https://link.springer.com/10.1007/s42438-025-00561-0","author":[{"family":"Soleymani","given":"Ali"},{"family":"De Laat","given":"Maarten"},{"family":"Specht","given":"Marcus"}],"accessed":{"date-parts":[["2026",1,26]]},"issued":{"date-parts":[["2025",6,12]]}}}],"schema":"https://github.com/citation-style-language/schema/raw/master/csl-citation.json"} </w:instrText>
      </w:r>
      <w:r>
        <w:rPr>
          <w:rFonts w:ascii="Times New Roman" w:hAnsi="Times New Roman" w:cs="Times New Roman"/>
          <w:sz w:val="24"/>
        </w:rPr>
        <w:fldChar w:fldCharType="separate"/>
      </w:r>
      <w:r>
        <w:rPr>
          <w:rFonts w:ascii="Times New Roman" w:hAnsi="Times New Roman" w:cs="Times New Roman"/>
          <w:kern w:val="0"/>
          <w:sz w:val="24"/>
        </w:rPr>
        <w:t>(Soleymani et al., 2025)</w:t>
      </w:r>
      <w:r>
        <w:rPr>
          <w:rFonts w:ascii="Times New Roman" w:hAnsi="Times New Roman" w:cs="Times New Roman"/>
          <w:sz w:val="24"/>
        </w:rPr>
        <w:fldChar w:fldCharType="end"/>
      </w:r>
      <w:r>
        <w:rPr>
          <w:rFonts w:ascii="Times New Roman" w:hAnsi="Times New Roman" w:cs="Times New Roman"/>
          <w:sz w:val="24"/>
        </w:rPr>
        <w:t>.</w:t>
      </w:r>
    </w:p>
    <w:p w14:paraId="57D8D30A" w14:textId="77777777" w:rsidR="00037A35" w:rsidRDefault="00037A35">
      <w:pPr>
        <w:ind w:firstLineChars="200" w:firstLine="480"/>
        <w:rPr>
          <w:rFonts w:ascii="Times New Roman" w:hAnsi="Times New Roman" w:cs="Times New Roman"/>
          <w:sz w:val="24"/>
        </w:rPr>
      </w:pPr>
    </w:p>
    <w:p w14:paraId="3425100F" w14:textId="77777777" w:rsidR="00037A35" w:rsidRDefault="00000000">
      <w:pPr>
        <w:rPr>
          <w:rFonts w:ascii="Times New Roman" w:hAnsi="Times New Roman" w:cs="Times New Roman"/>
          <w:b/>
          <w:bCs/>
          <w:sz w:val="24"/>
        </w:rPr>
      </w:pPr>
      <w:r>
        <w:rPr>
          <w:rFonts w:ascii="Times New Roman" w:hAnsi="Times New Roman" w:cs="Times New Roman"/>
          <w:b/>
          <w:bCs/>
          <w:sz w:val="24"/>
        </w:rPr>
        <w:t>2.4 Customer retention and unique requirements</w:t>
      </w:r>
    </w:p>
    <w:p w14:paraId="0CE5D8BC" w14:textId="77777777" w:rsidR="00037A35" w:rsidRDefault="00037A35">
      <w:pPr>
        <w:ind w:firstLineChars="200" w:firstLine="480"/>
        <w:rPr>
          <w:rFonts w:ascii="SimSun" w:eastAsia="SimSun" w:hAnsi="SimSun" w:cs="Times New Roman"/>
          <w:sz w:val="24"/>
        </w:rPr>
      </w:pPr>
    </w:p>
    <w:p w14:paraId="68B84A22" w14:textId="77777777" w:rsidR="00037A35" w:rsidRDefault="00000000">
      <w:pPr>
        <w:ind w:firstLineChars="200" w:firstLine="480"/>
        <w:rPr>
          <w:rFonts w:ascii="Times New Roman" w:hAnsi="Times New Roman" w:cs="Times New Roman"/>
          <w:sz w:val="24"/>
        </w:rPr>
      </w:pPr>
      <w:r>
        <w:rPr>
          <w:rFonts w:ascii="Times New Roman" w:hAnsi="Times New Roman" w:cs="Times New Roman"/>
          <w:sz w:val="24"/>
        </w:rPr>
        <w:t xml:space="preserve">Customer retention reflects the quality of long-term learner–provider relationships in customized course contexts. Value co-creation improves retention rates by enhancing experience and satisfaction </w:t>
      </w:r>
      <w:r>
        <w:rPr>
          <w:rFonts w:ascii="Times New Roman" w:hAnsi="Times New Roman" w:cs="Times New Roman"/>
          <w:sz w:val="24"/>
        </w:rPr>
        <w:fldChar w:fldCharType="begin"/>
      </w:r>
      <w:r>
        <w:rPr>
          <w:rFonts w:ascii="Times New Roman" w:hAnsi="Times New Roman" w:cs="Times New Roman"/>
          <w:sz w:val="24"/>
        </w:rPr>
        <w:instrText xml:space="preserve"> ADDIN ZOTERO_ITEM CSL_CITATION {"citationID":"aurqll8bgt","properties":{"formattedCitation":"(Dewarani &amp; Alversia, 2023)","plainCitation":"(Dewarani &amp; Alversia, 2023)","noteIndex":0},"citationItems":[{"id":2626,"uris":["http://zotero.org/users/14361536/items/UFXUIKIN"],"itemData":{"id":2626,"type":"article-journal","abstract":"Software as a digital product has been shown to improve companies’ performance and efficiency. One product that is now at the core of many businesses is Software as a Service (SaaS). By utilizing cloud computing platforms, SaaS is a method of providing applications as a service. SaaS applications have unique characteristics that can be customized to meet customers’ needs. Hence, SaaS has become suitable for companies of all types and sizes, including small- and medium-sized enterprises. The purpose of this study is to examine the effect of customer involvement on the development of SaaS applications and the impact of customer engagement on the co-creation of services, satisfaction, and loyalty, with the co-creation level used as a moderating variable. Data were collected from responses to an online questionnaire by 282 users of a SaaS application in Indonesia who were the decision-makers of the selected SaaS provider. The data were then analyzed using structural equation modeling. The results show that customer involvement in developing SaaS applications significantly positively affects the co-creation of services, satisfaction, and loyalty (t-value &amp;amp;gt; 1.645). Moreover, the level of co-creation was proven to strengthen the impact of customer involvement on the co-creation of services with an interaction Standardize Loading Factor (SLF) path of 1.36. Hence, the findings indicate that higher customer involvement promotes collaborative activities with service providers, and the optimum level of co-creation raises customer satisfaction.","container-title":"Innovative Marketing","DOI":"10.21511/im.19(2).2023.03","ISSN":"18142427, 18166326","issue":"2","journalAbbreviation":"Innova</w:instrText>
      </w:r>
      <w:r>
        <w:rPr>
          <w:rFonts w:ascii="Times New Roman" w:hAnsi="Times New Roman" w:cs="Times New Roman" w:hint="eastAsia"/>
          <w:sz w:val="24"/>
        </w:rPr>
        <w:instrText>tive Marketing","license":"http://creativecommons.org/licenses/by/3.0/deed.en_US","note":"</w:instrText>
      </w:r>
      <w:r>
        <w:rPr>
          <w:rFonts w:ascii="Times New Roman" w:hAnsi="Times New Roman" w:cs="Times New Roman" w:hint="eastAsia"/>
          <w:sz w:val="24"/>
        </w:rPr>
        <w:instrText>中科院分区升级版</w:instrText>
      </w:r>
      <w:r>
        <w:rPr>
          <w:rFonts w:ascii="Times New Roman" w:hAnsi="Times New Roman" w:cs="Times New Roman" w:hint="eastAsia"/>
          <w:sz w:val="24"/>
        </w:rPr>
        <w:instrText xml:space="preserve">: </w:instrText>
      </w:r>
      <w:r>
        <w:rPr>
          <w:rFonts w:ascii="Times New Roman" w:hAnsi="Times New Roman" w:cs="Times New Roman" w:hint="eastAsia"/>
          <w:sz w:val="24"/>
        </w:rPr>
        <w:instrText>管理学</w:instrText>
      </w:r>
      <w:r>
        <w:rPr>
          <w:rFonts w:ascii="Times New Roman" w:hAnsi="Times New Roman" w:cs="Times New Roman" w:hint="eastAsia"/>
          <w:sz w:val="24"/>
        </w:rPr>
        <w:instrText>4</w:instrText>
      </w:r>
      <w:r>
        <w:rPr>
          <w:rFonts w:ascii="Times New Roman" w:hAnsi="Times New Roman" w:cs="Times New Roman" w:hint="eastAsia"/>
          <w:sz w:val="24"/>
        </w:rPr>
        <w:instrText>区</w:instrText>
      </w:r>
      <w:r>
        <w:rPr>
          <w:rFonts w:ascii="Times New Roman" w:hAnsi="Times New Roman" w:cs="Times New Roman" w:hint="eastAsia"/>
          <w:sz w:val="24"/>
        </w:rPr>
        <w:instrText>\n</w:instrText>
      </w:r>
      <w:r>
        <w:rPr>
          <w:rFonts w:ascii="Times New Roman" w:hAnsi="Times New Roman" w:cs="Times New Roman" w:hint="eastAsia"/>
          <w:sz w:val="24"/>
        </w:rPr>
        <w:instrText>影响因子</w:instrText>
      </w:r>
      <w:r>
        <w:rPr>
          <w:rFonts w:ascii="Times New Roman" w:hAnsi="Times New Roman" w:cs="Times New Roman" w:hint="eastAsia"/>
          <w:sz w:val="24"/>
        </w:rPr>
        <w:instrText>: 1.2\n5</w:instrText>
      </w:r>
      <w:r>
        <w:rPr>
          <w:rFonts w:ascii="Times New Roman" w:hAnsi="Times New Roman" w:cs="Times New Roman" w:hint="eastAsia"/>
          <w:sz w:val="24"/>
        </w:rPr>
        <w:instrText>年影响因子</w:instrText>
      </w:r>
      <w:r>
        <w:rPr>
          <w:rFonts w:ascii="Times New Roman" w:hAnsi="Times New Roman" w:cs="Times New Roman" w:hint="eastAsia"/>
          <w:sz w:val="24"/>
        </w:rPr>
        <w:instrText>: N/A","page":"27-37","source":"1.1","title":"The influence of customer involvement and engagement on co-creation of services, sati</w:instrText>
      </w:r>
      <w:r>
        <w:rPr>
          <w:rFonts w:ascii="Times New Roman" w:hAnsi="Times New Roman" w:cs="Times New Roman"/>
          <w:sz w:val="24"/>
        </w:rPr>
        <w:instrText xml:space="preserve">sfaction, and loyalty: The case of Software as a Service","title-short":"The influence of customer involvement and engagement on co-creation of services, satisfaction, and loyalty","volume":"19","author":[{"family":"Dewarani","given":"Geraldine"},{"family":"Alversia","given":"Yeshika"}],"issued":{"date-parts":[["2023",4,12]]}}}],"schema":"https://github.com/citation-style-language/schema/raw/master/csl-citation.json"} </w:instrText>
      </w:r>
      <w:r>
        <w:rPr>
          <w:rFonts w:ascii="Times New Roman" w:hAnsi="Times New Roman" w:cs="Times New Roman"/>
          <w:sz w:val="24"/>
        </w:rPr>
        <w:fldChar w:fldCharType="separate"/>
      </w:r>
      <w:r>
        <w:rPr>
          <w:rFonts w:ascii="Times New Roman" w:hAnsi="Times New Roman" w:cs="Times New Roman"/>
          <w:kern w:val="0"/>
          <w:sz w:val="24"/>
        </w:rPr>
        <w:t>(Dewarani &amp; Alversia, 2023)</w:t>
      </w:r>
      <w:r>
        <w:rPr>
          <w:rFonts w:ascii="Times New Roman" w:hAnsi="Times New Roman" w:cs="Times New Roman"/>
          <w:sz w:val="24"/>
        </w:rPr>
        <w:fldChar w:fldCharType="end"/>
      </w:r>
      <w:r>
        <w:rPr>
          <w:rFonts w:ascii="Times New Roman" w:hAnsi="Times New Roman" w:cs="Times New Roman"/>
          <w:sz w:val="24"/>
        </w:rPr>
        <w:t>, reflecting their recognition of the value of customized courses. Unique needs moderate the relationship between participation behavior and value perception</w:t>
      </w:r>
      <w:r>
        <w:rPr>
          <w:rFonts w:ascii="Times New Roman" w:hAnsi="Times New Roman" w:cs="Times New Roman" w:hint="eastAsia"/>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ADDIN ZOTERO_ITEM CSL_CITATION {"citationID":"a2e2bl9h8cf","properties":{"formattedCitation":"(Yin et al., 2025)","plainCitation":"(Yin et al., 2025)","noteIndex":0},"citationItems":[{"id":2629,"uris":["http://zotero.org/users/14361536/items/CC5J635F"],"itemData":{"id":2629,"type":"article-journal","abstract":"Abstract\n            The accelerating advancement of the digital economy has shortened the distance between customers and organizations, prompting customers to participate in value creation process. The role of customers has changed from passive receiver to value co-creator. This study explores the impact of customer citizenship behavior (CCB) on co-creation experience and then on customer perceived value (CPV) based on value co-creation theory under the service-dominant logic (SDL). We introduce co-creation experience as a mediating variable and propose a mediated model of CCB on CPV. We then conduct two rounds of data collection with a total of 642 matched questionnaires in virtual brand communities to test the proposed model. The findings show that different dimensions of CCB exert distinct influences on different dimensions of value co-creation experience. Moreover, different dimensions of co-creation experiences have different impacts on CPV. The findings also show that co-creation experience mediates the relationship between CCB and CPV. This study offers theoretical and practical insights for organizations to enhance customers’ roles in value co-creation process.","container-title":"Humanit</w:instrText>
      </w:r>
      <w:r>
        <w:rPr>
          <w:rFonts w:ascii="Times New Roman" w:hAnsi="Times New Roman" w:cs="Times New Roman" w:hint="eastAsia"/>
          <w:sz w:val="24"/>
        </w:rPr>
        <w:instrText>ies and Social Sciences Communications","DOI":"10.1057/s41599-025-06223-7","ISSN":"2662-9992","issue":"1","journalAbbreviation":"Humanit Soc Sci Commun","language":"en","note":"</w:instrText>
      </w:r>
      <w:r>
        <w:rPr>
          <w:rFonts w:ascii="Times New Roman" w:hAnsi="Times New Roman" w:cs="Times New Roman" w:hint="eastAsia"/>
          <w:sz w:val="24"/>
        </w:rPr>
        <w:instrText>中科院分区升级版</w:instrText>
      </w:r>
      <w:r>
        <w:rPr>
          <w:rFonts w:ascii="Times New Roman" w:hAnsi="Times New Roman" w:cs="Times New Roman" w:hint="eastAsia"/>
          <w:sz w:val="24"/>
        </w:rPr>
        <w:instrText xml:space="preserve">: </w:instrText>
      </w:r>
      <w:r>
        <w:rPr>
          <w:rFonts w:ascii="Times New Roman" w:hAnsi="Times New Roman" w:cs="Times New Roman" w:hint="eastAsia"/>
          <w:sz w:val="24"/>
        </w:rPr>
        <w:instrText>社会学</w:instrText>
      </w:r>
      <w:r>
        <w:rPr>
          <w:rFonts w:ascii="Times New Roman" w:hAnsi="Times New Roman" w:cs="Times New Roman" w:hint="eastAsia"/>
          <w:sz w:val="24"/>
        </w:rPr>
        <w:instrText>2</w:instrText>
      </w:r>
      <w:r>
        <w:rPr>
          <w:rFonts w:ascii="Times New Roman" w:hAnsi="Times New Roman" w:cs="Times New Roman" w:hint="eastAsia"/>
          <w:sz w:val="24"/>
        </w:rPr>
        <w:instrText>区</w:instrText>
      </w:r>
      <w:r>
        <w:rPr>
          <w:rFonts w:ascii="Times New Roman" w:hAnsi="Times New Roman" w:cs="Times New Roman" w:hint="eastAsia"/>
          <w:sz w:val="24"/>
        </w:rPr>
        <w:instrText>\n</w:instrText>
      </w:r>
      <w:r>
        <w:rPr>
          <w:rFonts w:ascii="Times New Roman" w:hAnsi="Times New Roman" w:cs="Times New Roman" w:hint="eastAsia"/>
          <w:sz w:val="24"/>
        </w:rPr>
        <w:instrText>影响因子</w:instrText>
      </w:r>
      <w:r>
        <w:rPr>
          <w:rFonts w:ascii="Times New Roman" w:hAnsi="Times New Roman" w:cs="Times New Roman" w:hint="eastAsia"/>
          <w:sz w:val="24"/>
        </w:rPr>
        <w:instrText>: 3.6\n5</w:instrText>
      </w:r>
      <w:r>
        <w:rPr>
          <w:rFonts w:ascii="Times New Roman" w:hAnsi="Times New Roman" w:cs="Times New Roman" w:hint="eastAsia"/>
          <w:sz w:val="24"/>
        </w:rPr>
        <w:instrText>年影响因子</w:instrText>
      </w:r>
      <w:r>
        <w:rPr>
          <w:rFonts w:ascii="Times New Roman" w:hAnsi="Times New Roman" w:cs="Times New Roman" w:hint="eastAsia"/>
          <w:sz w:val="24"/>
        </w:rPr>
        <w:instrText>: 3.9","page":"1987","source":"DOI.org (Cros</w:instrText>
      </w:r>
      <w:r>
        <w:rPr>
          <w:rFonts w:ascii="Times New Roman" w:hAnsi="Times New Roman" w:cs="Times New Roman"/>
          <w:sz w:val="24"/>
        </w:rPr>
        <w:instrText xml:space="preserve">sref)","title":"Customer citizenship behavior and customer perceived value in China: the mediating role of value co-creation experience","title-short":"Customer citizenship behavior and customer perceived value in China","volume":"12","author":[{"family":"Yin","given":"Jielin"},{"family":"Zhao","given":"Yangyang"},{"family":"Ma","given":"Zhenzhong"},{"family":"Chen","given":"Siqi"},{"family":"Li","given":"Miaomiao"}],"issued":{"date-parts":[["2025",11,21]]}}}],"schema":"https://github.com/citation-style-language/schema/raw/master/csl-citation.json"} </w:instrText>
      </w:r>
      <w:r>
        <w:rPr>
          <w:rFonts w:ascii="Times New Roman" w:hAnsi="Times New Roman" w:cs="Times New Roman"/>
          <w:sz w:val="24"/>
        </w:rPr>
        <w:fldChar w:fldCharType="separate"/>
      </w:r>
      <w:r>
        <w:rPr>
          <w:rFonts w:ascii="Times New Roman" w:hAnsi="Times New Roman" w:cs="Times New Roman"/>
          <w:kern w:val="0"/>
          <w:sz w:val="24"/>
        </w:rPr>
        <w:t>(Yin et al., 2025)</w:t>
      </w:r>
      <w:r>
        <w:rPr>
          <w:rFonts w:ascii="Times New Roman" w:hAnsi="Times New Roman" w:cs="Times New Roman"/>
          <w:sz w:val="24"/>
        </w:rPr>
        <w:fldChar w:fldCharType="end"/>
      </w:r>
      <w:r>
        <w:rPr>
          <w:rFonts w:ascii="Times New Roman" w:hAnsi="Times New Roman" w:cs="Times New Roman"/>
          <w:sz w:val="24"/>
        </w:rPr>
        <w:t>; such that learners with higher unique needs are more likely to gain added-value experiences from customized course co-creation.</w:t>
      </w:r>
    </w:p>
    <w:p w14:paraId="0100F025" w14:textId="77777777" w:rsidR="00037A35" w:rsidRDefault="00037A35">
      <w:pPr>
        <w:widowControl/>
        <w:rPr>
          <w:rFonts w:ascii="SimSun" w:eastAsia="SimSun" w:hAnsi="SimSun" w:cs="SimSun"/>
          <w:color w:val="000000"/>
          <w:sz w:val="24"/>
        </w:rPr>
      </w:pPr>
    </w:p>
    <w:p w14:paraId="1C095D3D" w14:textId="77777777" w:rsidR="00037A35" w:rsidRDefault="00000000">
      <w:pPr>
        <w:rPr>
          <w:rFonts w:ascii="Times New Roman" w:hAnsi="Times New Roman" w:cs="Times New Roman"/>
          <w:b/>
          <w:bCs/>
          <w:sz w:val="24"/>
        </w:rPr>
      </w:pPr>
      <w:r>
        <w:rPr>
          <w:rFonts w:ascii="Times New Roman" w:hAnsi="Times New Roman" w:cs="Times New Roman" w:hint="eastAsia"/>
          <w:b/>
          <w:bCs/>
          <w:sz w:val="24"/>
        </w:rPr>
        <w:t xml:space="preserve">2.5 </w:t>
      </w:r>
      <w:r>
        <w:rPr>
          <w:rFonts w:ascii="Times New Roman" w:hAnsi="Times New Roman" w:cs="Times New Roman"/>
          <w:b/>
          <w:bCs/>
          <w:sz w:val="24"/>
        </w:rPr>
        <w:t>Hypothetical Development</w:t>
      </w:r>
    </w:p>
    <w:p w14:paraId="2E4A9D91" w14:textId="77777777" w:rsidR="00037A35" w:rsidRDefault="00037A35">
      <w:pPr>
        <w:widowControl/>
        <w:ind w:firstLine="500"/>
        <w:rPr>
          <w:rFonts w:ascii="SimSun" w:eastAsia="SimSun" w:hAnsi="SimSun" w:cs="SimSun"/>
          <w:color w:val="000000"/>
          <w:sz w:val="24"/>
          <w:lang w:bidi="ar"/>
        </w:rPr>
      </w:pPr>
    </w:p>
    <w:p w14:paraId="7F8B8FB0" w14:textId="77777777" w:rsidR="00037A35" w:rsidRDefault="00000000">
      <w:pPr>
        <w:widowControl/>
        <w:ind w:firstLine="500"/>
        <w:rPr>
          <w:rFonts w:ascii="Times New Roman" w:eastAsia="SimSun" w:hAnsi="Times New Roman" w:cs="Times New Roman"/>
          <w:sz w:val="24"/>
        </w:rPr>
      </w:pPr>
      <w:r>
        <w:rPr>
          <w:rFonts w:ascii="Times New Roman" w:eastAsia="SimSun" w:hAnsi="Times New Roman" w:cs="Times New Roman"/>
          <w:sz w:val="24"/>
        </w:rPr>
        <w:t>The concept of customer participation is generally divided into two perspectives in research. One is the behavioral perspective: customer participation involves the degree to which customers participate in production and operation services. The other perspective focuses on the degree of customer investment in participation: customer participation is the behavior jointly created by enterprises and customers in the production process</w:t>
      </w:r>
      <w:r>
        <w:rPr>
          <w:rFonts w:ascii="Times New Roman" w:eastAsia="SimSun" w:hAnsi="Times New Roman" w:cs="Times New Roman"/>
          <w:sz w:val="24"/>
        </w:rPr>
        <w:fldChar w:fldCharType="begin"/>
      </w:r>
      <w:r>
        <w:rPr>
          <w:rFonts w:ascii="Times New Roman" w:eastAsia="SimSun" w:hAnsi="Times New Roman" w:cs="Times New Roman"/>
          <w:sz w:val="24"/>
        </w:rPr>
        <w:instrText xml:space="preserve"> ADDIN ZOTERO_ITEM CSL_CITATION {"citationID":"aeov3dveea","properties":{"formattedCitation":"\\uldash{(Sadighha et al., 2024; Xu et al., 2024)}","plainCitation":"(Sadighha et al., 2024; Xu et al., 2024)","dontUpdate":true,"noteIndex":0},"citationItems":[{"id":2651,"uris":["http://zotero.org/users/14361536/items/ZF8987PV"],"itemData":{"id":2651,"type":"article-journal","container-title":"International Journal of Hospitality Management","DOI":"10.1016/j.ijhm.2024.103733","ISSN":"02784319","journalAbbreviat</w:instrText>
      </w:r>
      <w:r>
        <w:rPr>
          <w:rFonts w:ascii="Times New Roman" w:eastAsia="SimSun" w:hAnsi="Times New Roman" w:cs="Times New Roman" w:hint="eastAsia"/>
          <w:sz w:val="24"/>
        </w:rPr>
        <w:instrText>ion":"International Journal of Hospitality Management","language":"en","note":"</w:instrText>
      </w:r>
      <w:r>
        <w:rPr>
          <w:rFonts w:ascii="Times New Roman" w:eastAsia="SimSun" w:hAnsi="Times New Roman" w:cs="Times New Roman" w:hint="eastAsia"/>
          <w:sz w:val="24"/>
        </w:rPr>
        <w:instrText>中科院分区升级版</w:instrText>
      </w:r>
      <w:r>
        <w:rPr>
          <w:rFonts w:ascii="Times New Roman" w:eastAsia="SimSun" w:hAnsi="Times New Roman" w:cs="Times New Roman" w:hint="eastAsia"/>
          <w:sz w:val="24"/>
        </w:rPr>
        <w:instrText xml:space="preserve">: </w:instrText>
      </w:r>
      <w:r>
        <w:rPr>
          <w:rFonts w:ascii="Times New Roman" w:eastAsia="SimSun" w:hAnsi="Times New Roman" w:cs="Times New Roman" w:hint="eastAsia"/>
          <w:sz w:val="24"/>
        </w:rPr>
        <w:instrText>管理学</w:instrText>
      </w:r>
      <w:r>
        <w:rPr>
          <w:rFonts w:ascii="Times New Roman" w:eastAsia="SimSun" w:hAnsi="Times New Roman" w:cs="Times New Roman" w:hint="eastAsia"/>
          <w:sz w:val="24"/>
        </w:rPr>
        <w:instrText>1</w:instrText>
      </w:r>
      <w:r>
        <w:rPr>
          <w:rFonts w:ascii="Times New Roman" w:eastAsia="SimSun" w:hAnsi="Times New Roman" w:cs="Times New Roman" w:hint="eastAsia"/>
          <w:sz w:val="24"/>
        </w:rPr>
        <w:instrText>区</w:instrText>
      </w:r>
      <w:r>
        <w:rPr>
          <w:rFonts w:ascii="Times New Roman" w:eastAsia="SimSun" w:hAnsi="Times New Roman" w:cs="Times New Roman" w:hint="eastAsia"/>
          <w:sz w:val="24"/>
        </w:rPr>
        <w:instrText>\n</w:instrText>
      </w:r>
      <w:r>
        <w:rPr>
          <w:rFonts w:ascii="Times New Roman" w:eastAsia="SimSun" w:hAnsi="Times New Roman" w:cs="Times New Roman" w:hint="eastAsia"/>
          <w:sz w:val="24"/>
        </w:rPr>
        <w:instrText>影响因子</w:instrText>
      </w:r>
      <w:r>
        <w:rPr>
          <w:rFonts w:ascii="Times New Roman" w:eastAsia="SimSun" w:hAnsi="Times New Roman" w:cs="Times New Roman" w:hint="eastAsia"/>
          <w:sz w:val="24"/>
        </w:rPr>
        <w:instrText>: 8.3\n5</w:instrText>
      </w:r>
      <w:r>
        <w:rPr>
          <w:rFonts w:ascii="Times New Roman" w:eastAsia="SimSun" w:hAnsi="Times New Roman" w:cs="Times New Roman" w:hint="eastAsia"/>
          <w:sz w:val="24"/>
        </w:rPr>
        <w:instrText>年影响因子</w:instrText>
      </w:r>
      <w:r>
        <w:rPr>
          <w:rFonts w:ascii="Times New Roman" w:eastAsia="SimSun" w:hAnsi="Times New Roman" w:cs="Times New Roman" w:hint="eastAsia"/>
          <w:sz w:val="24"/>
        </w:rPr>
        <w:instrText>: 10.3\n</w:instrText>
      </w:r>
      <w:r>
        <w:rPr>
          <w:rFonts w:ascii="Times New Roman" w:eastAsia="SimSun" w:hAnsi="Times New Roman" w:cs="Times New Roman" w:hint="eastAsia"/>
          <w:sz w:val="24"/>
        </w:rPr>
        <w:instrText>南农高质量</w:instrText>
      </w:r>
      <w:r>
        <w:rPr>
          <w:rFonts w:ascii="Times New Roman" w:eastAsia="SimSun" w:hAnsi="Times New Roman" w:cs="Times New Roman" w:hint="eastAsia"/>
          <w:sz w:val="24"/>
        </w:rPr>
        <w:instrText>: A","page":"103733","source":"11.7","title":"Stimulating customer participation behaviour and boosting value co-creation in hote</w:instrText>
      </w:r>
      <w:r>
        <w:rPr>
          <w:rFonts w:ascii="Times New Roman" w:eastAsia="SimSun" w:hAnsi="Times New Roman" w:cs="Times New Roman"/>
          <w:sz w:val="24"/>
        </w:rPr>
        <w:instrText>ls","volume":"119","author":[{"family":"Sadighha","given":"Jinous"},{"family":"Pinto","given":"Patrícia"},{"family":"Guerreiro","given":"Manuela"},{"family":"Campos","given":"Ana Cláudia"}],"issued":{"date-parts":[["2024",5]]}},"label":"page"},{"id":2652,"uris":["http://zotero.org/users/14361536/items/PJY44BC6"],"itemData":{"id":2652,"type":"article-journal","abstract":"Based on service-dominant logic and service quality theory, this study explores the influence mechanism of customer participation on value co-creation of service-oriented enterprises. Employing a quantitative approach, the study utilized a questionnaire survey administered to 400 participants, examining the mediating and moderating effects of platform service quality and digital technology. The research results indicate that all three dimensions of customer participation have a significant positive impact on the value co-creation of service-oriented enterprises. Customer participation can also have a significant positive impact on the value co-creation of service-oriented enterprises through the mediating variable of platform service quality. Digital technology plays a significant positive moderating role between customer participation and platform service quality, as well as between platf</w:instrText>
      </w:r>
      <w:r>
        <w:rPr>
          <w:rFonts w:ascii="Times New Roman" w:eastAsia="SimSun" w:hAnsi="Times New Roman" w:cs="Times New Roman" w:hint="eastAsia"/>
          <w:sz w:val="24"/>
        </w:rPr>
        <w:instrText>orm service quality and value co-creation of service-oriented enterprises.","call-number":"3","container-title":"Sustainability","DOI":"10.3390/su16083310","ISSN":"2071-1050","issue":"8","journalAbbreviation":"Sustainability","language":"en","note":"JCR</w:instrText>
      </w:r>
      <w:r>
        <w:rPr>
          <w:rFonts w:ascii="Times New Roman" w:eastAsia="SimSun" w:hAnsi="Times New Roman" w:cs="Times New Roman" w:hint="eastAsia"/>
          <w:sz w:val="24"/>
        </w:rPr>
        <w:instrText>分区</w:instrText>
      </w:r>
      <w:r>
        <w:rPr>
          <w:rFonts w:ascii="Times New Roman" w:eastAsia="SimSun" w:hAnsi="Times New Roman" w:cs="Times New Roman" w:hint="eastAsia"/>
          <w:sz w:val="24"/>
        </w:rPr>
        <w:instrText>: Q2\n</w:instrText>
      </w:r>
      <w:r>
        <w:rPr>
          <w:rFonts w:ascii="Times New Roman" w:eastAsia="SimSun" w:hAnsi="Times New Roman" w:cs="Times New Roman" w:hint="eastAsia"/>
          <w:sz w:val="24"/>
        </w:rPr>
        <w:instrText>中科院分区升级版</w:instrText>
      </w:r>
      <w:r>
        <w:rPr>
          <w:rFonts w:ascii="Times New Roman" w:eastAsia="SimSun" w:hAnsi="Times New Roman" w:cs="Times New Roman" w:hint="eastAsia"/>
          <w:sz w:val="24"/>
        </w:rPr>
        <w:instrText xml:space="preserve">: </w:instrText>
      </w:r>
      <w:r>
        <w:rPr>
          <w:rFonts w:ascii="Times New Roman" w:eastAsia="SimSun" w:hAnsi="Times New Roman" w:cs="Times New Roman" w:hint="eastAsia"/>
          <w:sz w:val="24"/>
        </w:rPr>
        <w:instrText>环境科学与生态学</w:instrText>
      </w:r>
      <w:r>
        <w:rPr>
          <w:rFonts w:ascii="Times New Roman" w:eastAsia="SimSun" w:hAnsi="Times New Roman" w:cs="Times New Roman" w:hint="eastAsia"/>
          <w:sz w:val="24"/>
        </w:rPr>
        <w:instrText>3</w:instrText>
      </w:r>
      <w:r>
        <w:rPr>
          <w:rFonts w:ascii="Times New Roman" w:eastAsia="SimSun" w:hAnsi="Times New Roman" w:cs="Times New Roman" w:hint="eastAsia"/>
          <w:sz w:val="24"/>
        </w:rPr>
        <w:instrText>区</w:instrText>
      </w:r>
      <w:r>
        <w:rPr>
          <w:rFonts w:ascii="Times New Roman" w:eastAsia="SimSun" w:hAnsi="Times New Roman" w:cs="Times New Roman" w:hint="eastAsia"/>
          <w:sz w:val="24"/>
        </w:rPr>
        <w:instrText>\n</w:instrText>
      </w:r>
      <w:r>
        <w:rPr>
          <w:rFonts w:ascii="Times New Roman" w:eastAsia="SimSun" w:hAnsi="Times New Roman" w:cs="Times New Roman" w:hint="eastAsia"/>
          <w:sz w:val="24"/>
        </w:rPr>
        <w:instrText>影响因子</w:instrText>
      </w:r>
      <w:r>
        <w:rPr>
          <w:rFonts w:ascii="Times New Roman" w:eastAsia="SimSun" w:hAnsi="Times New Roman" w:cs="Times New Roman" w:hint="eastAsia"/>
          <w:sz w:val="24"/>
        </w:rPr>
        <w:instrText>: 3.3\n5</w:instrText>
      </w:r>
      <w:r>
        <w:rPr>
          <w:rFonts w:ascii="Times New Roman" w:eastAsia="SimSun" w:hAnsi="Times New Roman" w:cs="Times New Roman" w:hint="eastAsia"/>
          <w:sz w:val="24"/>
        </w:rPr>
        <w:instrText>年影响因子</w:instrText>
      </w:r>
      <w:r>
        <w:rPr>
          <w:rFonts w:ascii="Times New Roman" w:eastAsia="SimSun" w:hAnsi="Times New Roman" w:cs="Times New Roman" w:hint="eastAsia"/>
          <w:sz w:val="24"/>
        </w:rPr>
        <w:instrText>: 3.6","page":"3310","source":"3.9","title":"Driving Mechanism of Customer Participation in Service-Oriented Enterprises: A Perspective of Value Co-Creation","title-short":"Driving Mechanism of Customer Partici</w:instrText>
      </w:r>
      <w:r>
        <w:rPr>
          <w:rFonts w:ascii="Times New Roman" w:eastAsia="SimSun" w:hAnsi="Times New Roman" w:cs="Times New Roman"/>
          <w:sz w:val="24"/>
        </w:rPr>
        <w:instrText xml:space="preserve">pation in Service-Oriented Enterprises","volume":"16","author":[{"family":"Xu","given":"Hongyi"},{"family":"Chen","given":"Yaqi"},{"family":"Xu","given":"Peng"}],"issued":{"date-parts":[["2024",4,16]]}}}],"schema":"https://github.com/citation-style-language/schema/raw/master/csl-citation.json"} </w:instrText>
      </w:r>
      <w:r>
        <w:rPr>
          <w:rFonts w:ascii="Times New Roman" w:eastAsia="SimSun" w:hAnsi="Times New Roman" w:cs="Times New Roman"/>
          <w:sz w:val="24"/>
        </w:rPr>
        <w:fldChar w:fldCharType="separate"/>
      </w:r>
      <w:r>
        <w:rPr>
          <w:rFonts w:ascii="Times New Roman" w:eastAsia="SimSun" w:hAnsi="Times New Roman" w:cs="Times New Roman" w:hint="eastAsia"/>
          <w:sz w:val="24"/>
        </w:rPr>
        <w:t xml:space="preserve"> </w:t>
      </w:r>
      <w:r>
        <w:rPr>
          <w:rFonts w:ascii="Times New Roman" w:hAnsi="Times New Roman" w:cs="Times New Roman"/>
          <w:kern w:val="0"/>
          <w:sz w:val="24"/>
        </w:rPr>
        <w:t>(Sadighha et al., 2024; Xu et al., 2024)</w:t>
      </w:r>
      <w:r>
        <w:rPr>
          <w:rFonts w:ascii="Times New Roman" w:eastAsia="SimSun" w:hAnsi="Times New Roman" w:cs="Times New Roman"/>
          <w:sz w:val="24"/>
        </w:rPr>
        <w:fldChar w:fldCharType="end"/>
      </w:r>
      <w:r>
        <w:rPr>
          <w:rFonts w:ascii="Times New Roman" w:eastAsia="SimSun" w:hAnsi="Times New Roman" w:cs="Times New Roman"/>
          <w:sz w:val="24"/>
        </w:rPr>
        <w:t>. Customer satisfaction has a significant impact on customer retention</w:t>
      </w:r>
      <w:r>
        <w:rPr>
          <w:rFonts w:ascii="Times New Roman" w:eastAsia="SimSun" w:hAnsi="Times New Roman" w:cs="Times New Roman" w:hint="eastAsia"/>
          <w:sz w:val="24"/>
        </w:rPr>
        <w:t xml:space="preserve"> </w:t>
      </w:r>
      <w:r>
        <w:rPr>
          <w:rFonts w:ascii="Times New Roman" w:eastAsia="SimSun" w:hAnsi="Times New Roman" w:cs="Times New Roman"/>
          <w:sz w:val="24"/>
        </w:rPr>
        <w:fldChar w:fldCharType="begin"/>
      </w:r>
      <w:r>
        <w:rPr>
          <w:rFonts w:ascii="Times New Roman" w:eastAsia="SimSun" w:hAnsi="Times New Roman" w:cs="Times New Roman"/>
          <w:sz w:val="24"/>
        </w:rPr>
        <w:instrText xml:space="preserve"> ADDIN ZOTERO_ITEM CSL_CITATION {"citationID":"atd49gbj8p","properties":{"formattedCitation":"(Payne et al., 2008)","plainCitation":"(Payne et al., 2008)","noteIndex":0},"citationItems":[{"id":2631,"uris":["http://zotero.org/users/14361536/items/QVTJ65VD"],"itemData":{"id":2631,"type":"article-journal","container-title":"Journal of the Academy of Marketing Science","DOI":"10.1007/s11747-007-0070-0","ISSN":"0092-0703, 1552-7824","issue":"1","journalAbbreviation":"J. of the Acad. Mark. Sci.","language":"en"</w:instrText>
      </w:r>
      <w:r>
        <w:rPr>
          <w:rFonts w:ascii="Times New Roman" w:eastAsia="SimSun" w:hAnsi="Times New Roman" w:cs="Times New Roman" w:hint="eastAsia"/>
          <w:sz w:val="24"/>
        </w:rPr>
        <w:instrText>,"license":"http://www.springer.com/tdm","note":"</w:instrText>
      </w:r>
      <w:r>
        <w:rPr>
          <w:rFonts w:ascii="Times New Roman" w:eastAsia="SimSun" w:hAnsi="Times New Roman" w:cs="Times New Roman" w:hint="eastAsia"/>
          <w:sz w:val="24"/>
        </w:rPr>
        <w:instrText>中科院分区升级版</w:instrText>
      </w:r>
      <w:r>
        <w:rPr>
          <w:rFonts w:ascii="Times New Roman" w:eastAsia="SimSun" w:hAnsi="Times New Roman" w:cs="Times New Roman" w:hint="eastAsia"/>
          <w:sz w:val="24"/>
        </w:rPr>
        <w:instrText xml:space="preserve">: </w:instrText>
      </w:r>
      <w:r>
        <w:rPr>
          <w:rFonts w:ascii="Times New Roman" w:eastAsia="SimSun" w:hAnsi="Times New Roman" w:cs="Times New Roman" w:hint="eastAsia"/>
          <w:sz w:val="24"/>
        </w:rPr>
        <w:instrText>管理学</w:instrText>
      </w:r>
      <w:r>
        <w:rPr>
          <w:rFonts w:ascii="Times New Roman" w:eastAsia="SimSun" w:hAnsi="Times New Roman" w:cs="Times New Roman" w:hint="eastAsia"/>
          <w:sz w:val="24"/>
        </w:rPr>
        <w:instrText>2</w:instrText>
      </w:r>
      <w:r>
        <w:rPr>
          <w:rFonts w:ascii="Times New Roman" w:eastAsia="SimSun" w:hAnsi="Times New Roman" w:cs="Times New Roman" w:hint="eastAsia"/>
          <w:sz w:val="24"/>
        </w:rPr>
        <w:instrText>区</w:instrText>
      </w:r>
      <w:r>
        <w:rPr>
          <w:rFonts w:ascii="Times New Roman" w:eastAsia="SimSun" w:hAnsi="Times New Roman" w:cs="Times New Roman" w:hint="eastAsia"/>
          <w:sz w:val="24"/>
        </w:rPr>
        <w:instrText>\n</w:instrText>
      </w:r>
      <w:r>
        <w:rPr>
          <w:rFonts w:ascii="Times New Roman" w:eastAsia="SimSun" w:hAnsi="Times New Roman" w:cs="Times New Roman" w:hint="eastAsia"/>
          <w:sz w:val="24"/>
        </w:rPr>
        <w:instrText>影响因子</w:instrText>
      </w:r>
      <w:r>
        <w:rPr>
          <w:rFonts w:ascii="Times New Roman" w:eastAsia="SimSun" w:hAnsi="Times New Roman" w:cs="Times New Roman" w:hint="eastAsia"/>
          <w:sz w:val="24"/>
        </w:rPr>
        <w:instrText>: 10.1\n5</w:instrText>
      </w:r>
      <w:r>
        <w:rPr>
          <w:rFonts w:ascii="Times New Roman" w:eastAsia="SimSun" w:hAnsi="Times New Roman" w:cs="Times New Roman" w:hint="eastAsia"/>
          <w:sz w:val="24"/>
        </w:rPr>
        <w:instrText>年影响因子</w:instrText>
      </w:r>
      <w:r>
        <w:rPr>
          <w:rFonts w:ascii="Times New Roman" w:eastAsia="SimSun" w:hAnsi="Times New Roman" w:cs="Times New Roman" w:hint="eastAsia"/>
          <w:sz w:val="24"/>
        </w:rPr>
        <w:instrText>: 15.8\n</w:instrText>
      </w:r>
      <w:r>
        <w:rPr>
          <w:rFonts w:ascii="Times New Roman" w:eastAsia="SimSun" w:hAnsi="Times New Roman" w:cs="Times New Roman" w:hint="eastAsia"/>
          <w:sz w:val="24"/>
        </w:rPr>
        <w:instrText>南农高质量</w:instrText>
      </w:r>
      <w:r>
        <w:rPr>
          <w:rFonts w:ascii="Times New Roman" w:eastAsia="SimSun" w:hAnsi="Times New Roman" w:cs="Times New Roman" w:hint="eastAsia"/>
          <w:sz w:val="24"/>
        </w:rPr>
        <w:instrText>: A","page":"83-96","source":"18.2","title":"Managing the co-creation of value","volume":"36","author":[{"family":"Payne","given":"Adrian F."},{"family":"Stor</w:instrText>
      </w:r>
      <w:r>
        <w:rPr>
          <w:rFonts w:ascii="Times New Roman" w:eastAsia="SimSun" w:hAnsi="Times New Roman" w:cs="Times New Roman"/>
          <w:sz w:val="24"/>
        </w:rPr>
        <w:instrText xml:space="preserve">backa","given":"Kaj"},{"family":"Frow","given":"Pennie"}],"issued":{"date-parts":[["2008",3]]}}}],"schema":"https://github.com/citation-style-language/schema/raw/master/csl-citation.json"} </w:instrText>
      </w:r>
      <w:r>
        <w:rPr>
          <w:rFonts w:ascii="Times New Roman" w:eastAsia="SimSun" w:hAnsi="Times New Roman" w:cs="Times New Roman"/>
          <w:sz w:val="24"/>
        </w:rPr>
        <w:fldChar w:fldCharType="separate"/>
      </w:r>
      <w:r>
        <w:rPr>
          <w:rFonts w:ascii="Times New Roman" w:hAnsi="Times New Roman" w:cs="Times New Roman"/>
          <w:kern w:val="0"/>
          <w:sz w:val="24"/>
        </w:rPr>
        <w:t>(Payne et al., 2008)</w:t>
      </w:r>
      <w:r>
        <w:rPr>
          <w:rFonts w:ascii="Times New Roman" w:eastAsia="SimSun" w:hAnsi="Times New Roman" w:cs="Times New Roman"/>
          <w:sz w:val="24"/>
        </w:rPr>
        <w:fldChar w:fldCharType="end"/>
      </w:r>
      <w:r>
        <w:rPr>
          <w:rFonts w:ascii="Times New Roman" w:eastAsia="SimSun" w:hAnsi="Times New Roman" w:cs="Times New Roman"/>
          <w:sz w:val="24"/>
        </w:rPr>
        <w:t xml:space="preserve">, while customer participation has a significant positive impact on customer satisfaction </w:t>
      </w:r>
      <w:r>
        <w:rPr>
          <w:rFonts w:ascii="Times New Roman" w:eastAsia="SimSun" w:hAnsi="Times New Roman" w:cs="Times New Roman"/>
          <w:sz w:val="24"/>
        </w:rPr>
        <w:fldChar w:fldCharType="begin"/>
      </w:r>
      <w:r>
        <w:rPr>
          <w:rFonts w:ascii="Times New Roman" w:eastAsia="SimSun" w:hAnsi="Times New Roman" w:cs="Times New Roman"/>
          <w:sz w:val="24"/>
        </w:rPr>
        <w:instrText xml:space="preserve"> ADDIN ZOTERO_ITEM CSL_CITATION {"citationID":"a1t7arn339a","properties":{"formattedCitation":"(Souza et al., 2023)","plainCitation":"(Souza et al., 2023)","noteIndex":0},"citationItems":[{"id":2644,"uris":["http://zotero.org/users/14361536/items/GH593B75"],"itemData":{"id":2644,"type":"article-journal","abstract":"Purpose -The purpose of this paper is to present a model that connects predictors of customer satisfaction considering Service Domain-Logic assumption and convenience and quality of service as sources that were identified as relevant aspects for customer satisfaction related to financial services.\nDesign/methodology/approach – Survey of a sample of six hundred and eight respondents was obtained. Structural equation modeling was used for data analysis to test research hypotheses.\nFindings - The predictive effects of convenience, economic value, and quality of service have proved to be significant for customer satisfaction. Perceived service quality was identified as a mediator of the relationship between convenience and customer satisfaction.\nResearch limitations - This sample may have caused a few biases in the results, because it was selected by convenience.\nPractical implications - The findings have implications for organizations since they demonstrate that improving service value is a means of increasing customer satisfaction. To ensure that the customer finds the interaction with the banking service to be appealing and to offer valuable benefits, the banking service should therefore allow for customer participation to increase the perception of economic value and, more importantly, to facilitate the dissemination of information\nOriginality/Value - This study brings results that show that customer participation impacts positively on the perception of economic value, but it is not the key for customer satisfaction in financial services. This result proves that the effects of customer participation are more complex than others before mentioned.","container-title":"Revista de Administração da UFSM","DOI":"10.5902/1983465971688","ISSN":"1983-4659, 1983-4659","issue":"2","journalAbbreviation":"ReA UFSM","license":"https://creativecommons.org/licenses/by/4.0/","page":"e5","source":"DOI.org (Crossref)","title":"The influence of customer participation and convenience on customer satisfaction: a multiple mediation","title-short":"The influence of customer participation and convenience on customer satisfaction","volume":"16","author":[{"family":"Souza","given":"Alan Andrew De"},{"family":"Damacena","given":"Cláudio"},{"family":"Araújo","given":"Clécio Falcão"},{"family":"Carvalho","given":"Bianca Pinto"},{"family":"Seibt","given":"Nathália Gris"}],"issued":{"date-parts":[["2023",6,30]]}}}],"schema":"https://github.com/citation-style-language/schema/raw/master/csl-citation.json"} </w:instrText>
      </w:r>
      <w:r>
        <w:rPr>
          <w:rFonts w:ascii="Times New Roman" w:eastAsia="SimSun" w:hAnsi="Times New Roman" w:cs="Times New Roman"/>
          <w:sz w:val="24"/>
        </w:rPr>
        <w:fldChar w:fldCharType="separate"/>
      </w:r>
      <w:r>
        <w:rPr>
          <w:rFonts w:ascii="Times New Roman" w:hAnsi="Times New Roman" w:cs="Times New Roman"/>
          <w:kern w:val="0"/>
          <w:sz w:val="24"/>
        </w:rPr>
        <w:t>(Souza et al., 2023)</w:t>
      </w:r>
      <w:r>
        <w:rPr>
          <w:rFonts w:ascii="Times New Roman" w:eastAsia="SimSun" w:hAnsi="Times New Roman" w:cs="Times New Roman"/>
          <w:sz w:val="24"/>
        </w:rPr>
        <w:fldChar w:fldCharType="end"/>
      </w:r>
      <w:r>
        <w:rPr>
          <w:rFonts w:ascii="Times New Roman" w:eastAsia="SimSun" w:hAnsi="Times New Roman" w:cs="Times New Roman"/>
          <w:sz w:val="24"/>
        </w:rPr>
        <w:t>. Therefore, based on the above relationships, the following hypothesis is proposed:</w:t>
      </w:r>
    </w:p>
    <w:p w14:paraId="28144A7D" w14:textId="77777777" w:rsidR="00037A35" w:rsidRDefault="00000000">
      <w:pPr>
        <w:pStyle w:val="Default"/>
        <w:widowControl/>
        <w:ind w:firstLineChars="200" w:firstLine="480"/>
        <w:jc w:val="both"/>
        <w:rPr>
          <w:rFonts w:ascii="Times New Roman" w:hAnsi="Times New Roman" w:hint="default"/>
          <w:i/>
          <w:iCs/>
          <w:color w:val="auto"/>
          <w:kern w:val="2"/>
          <w:szCs w:val="24"/>
        </w:rPr>
      </w:pPr>
      <w:r>
        <w:rPr>
          <w:rFonts w:ascii="Times New Roman" w:hAnsi="Times New Roman"/>
          <w:i/>
          <w:iCs/>
          <w:color w:val="auto"/>
          <w:kern w:val="2"/>
          <w:szCs w:val="24"/>
        </w:rPr>
        <w:t>H1: Customer engagement has a significant positive impact on customer retention;</w:t>
      </w:r>
    </w:p>
    <w:p w14:paraId="2D7A5CBA" w14:textId="77777777" w:rsidR="00037A35" w:rsidRDefault="00037A35">
      <w:pPr>
        <w:pStyle w:val="Default"/>
        <w:widowControl/>
        <w:ind w:firstLineChars="200" w:firstLine="480"/>
        <w:jc w:val="both"/>
        <w:rPr>
          <w:rFonts w:ascii="Times New Roman" w:hAnsi="Times New Roman" w:hint="default"/>
          <w:i/>
          <w:iCs/>
          <w:color w:val="auto"/>
          <w:kern w:val="2"/>
          <w:szCs w:val="24"/>
        </w:rPr>
      </w:pPr>
    </w:p>
    <w:p w14:paraId="4A4411B4" w14:textId="77777777" w:rsidR="00037A35" w:rsidRDefault="00000000">
      <w:pPr>
        <w:widowControl/>
        <w:ind w:firstLineChars="200" w:firstLine="480"/>
        <w:rPr>
          <w:rFonts w:ascii="Times New Roman" w:eastAsia="SimSun" w:hAnsi="Times New Roman" w:cs="Times New Roman"/>
          <w:sz w:val="24"/>
        </w:rPr>
      </w:pPr>
      <w:r>
        <w:rPr>
          <w:rFonts w:ascii="Times New Roman" w:eastAsia="SimSun" w:hAnsi="Times New Roman" w:cs="Times New Roman"/>
          <w:sz w:val="24"/>
        </w:rPr>
        <w:t xml:space="preserve">This study selects information provision and co-creation in customer participation as dimensions for research. In the process of customer participation and co-creation of products, companies exchange information with customers, jointly overcome problems, and bring them better services and benefits, thereby increasing the functional value for customers. At the same time, it also enhances customers' sense of control over the </w:t>
      </w:r>
      <w:r>
        <w:rPr>
          <w:rFonts w:ascii="Times New Roman" w:eastAsia="SimSun" w:hAnsi="Times New Roman" w:cs="Times New Roman"/>
          <w:sz w:val="24"/>
        </w:rPr>
        <w:lastRenderedPageBreak/>
        <w:t xml:space="preserve">development process, thus increasing their enjoyment value. Therefore, this </w:t>
      </w:r>
      <w:r>
        <w:rPr>
          <w:rFonts w:ascii="Times New Roman" w:eastAsia="SimSun" w:hAnsi="Times New Roman" w:cs="Times New Roman" w:hint="eastAsia"/>
          <w:sz w:val="24"/>
        </w:rPr>
        <w:t>study</w:t>
      </w:r>
      <w:r>
        <w:rPr>
          <w:rFonts w:ascii="Times New Roman" w:eastAsia="SimSun" w:hAnsi="Times New Roman" w:cs="Times New Roman"/>
          <w:sz w:val="24"/>
        </w:rPr>
        <w:t xml:space="preserve"> makes the following hypotheses</w:t>
      </w:r>
      <w:r>
        <w:rPr>
          <w:rFonts w:ascii="Times New Roman" w:eastAsia="SimSun" w:hAnsi="Times New Roman" w:cs="Times New Roman" w:hint="eastAsia"/>
          <w:sz w:val="24"/>
        </w:rPr>
        <w:t>:</w:t>
      </w:r>
    </w:p>
    <w:p w14:paraId="306800D5" w14:textId="77777777" w:rsidR="00037A35" w:rsidRDefault="00000000">
      <w:pPr>
        <w:widowControl/>
        <w:ind w:firstLineChars="200" w:firstLine="480"/>
        <w:rPr>
          <w:rFonts w:ascii="Times New Roman" w:eastAsia="SimSun" w:hAnsi="Times New Roman" w:cs="Times New Roman"/>
          <w:i/>
          <w:iCs/>
          <w:sz w:val="24"/>
        </w:rPr>
      </w:pPr>
      <w:r>
        <w:rPr>
          <w:rFonts w:ascii="Times New Roman" w:eastAsia="SimSun" w:hAnsi="Times New Roman" w:cs="Times New Roman"/>
          <w:i/>
          <w:iCs/>
          <w:sz w:val="24"/>
        </w:rPr>
        <w:t>H2a: Customer engagement has a significant positive impact on hedonic value;</w:t>
      </w:r>
    </w:p>
    <w:p w14:paraId="20F4A813" w14:textId="77777777" w:rsidR="00037A35" w:rsidRDefault="00000000">
      <w:pPr>
        <w:widowControl/>
        <w:ind w:firstLineChars="200" w:firstLine="480"/>
        <w:rPr>
          <w:rFonts w:ascii="Times New Roman" w:eastAsia="SimSun" w:hAnsi="Times New Roman" w:cs="Times New Roman"/>
          <w:i/>
          <w:iCs/>
          <w:sz w:val="24"/>
        </w:rPr>
      </w:pPr>
      <w:r>
        <w:rPr>
          <w:rFonts w:ascii="Times New Roman" w:eastAsia="SimSun" w:hAnsi="Times New Roman" w:cs="Times New Roman"/>
          <w:i/>
          <w:iCs/>
          <w:sz w:val="24"/>
        </w:rPr>
        <w:t>H2b: Customer engagement has a significant positive impact on functional value;</w:t>
      </w:r>
    </w:p>
    <w:p w14:paraId="64E09952" w14:textId="77777777" w:rsidR="00037A35" w:rsidRDefault="00037A35">
      <w:pPr>
        <w:widowControl/>
        <w:rPr>
          <w:rFonts w:cs="SimSun"/>
          <w:lang w:bidi="ar"/>
        </w:rPr>
      </w:pPr>
    </w:p>
    <w:p w14:paraId="1766D661" w14:textId="77777777" w:rsidR="00037A35" w:rsidRDefault="00000000">
      <w:pPr>
        <w:pStyle w:val="Default"/>
        <w:ind w:firstLineChars="200" w:firstLine="480"/>
        <w:jc w:val="both"/>
        <w:rPr>
          <w:rFonts w:ascii="Times New Roman" w:hAnsi="Times New Roman" w:hint="default"/>
          <w:color w:val="auto"/>
          <w:kern w:val="2"/>
          <w:szCs w:val="24"/>
        </w:rPr>
      </w:pPr>
      <w:r>
        <w:rPr>
          <w:rFonts w:ascii="Times New Roman" w:hAnsi="Times New Roman"/>
          <w:color w:val="auto"/>
          <w:kern w:val="2"/>
          <w:szCs w:val="24"/>
        </w:rPr>
        <w:t xml:space="preserve">Customer experience value is a crucial factor in customer retention, and it significantly impacts retention during customized activities </w:t>
      </w:r>
      <w:r>
        <w:rPr>
          <w:rFonts w:ascii="Times New Roman" w:hAnsi="Times New Roman" w:hint="default"/>
          <w:color w:val="auto"/>
          <w:kern w:val="2"/>
          <w:szCs w:val="24"/>
        </w:rPr>
        <w:fldChar w:fldCharType="begin"/>
      </w:r>
      <w:r>
        <w:rPr>
          <w:rFonts w:ascii="Times New Roman" w:hAnsi="Times New Roman" w:hint="default"/>
          <w:color w:val="auto"/>
          <w:kern w:val="2"/>
          <w:szCs w:val="24"/>
        </w:rPr>
        <w:instrText xml:space="preserve"> ADDIN ZOTERO_ITEM CSL_CITATION {"citationID":"ap2lhd5a9r","properties":{"formattedCitation":"(Nwankwo &amp; Kanyangale, 2023)","plainCitation":"(Nwankwo &amp; Kanyangale, 2023)","noteIndex":0},"citationItems":[{"id":2647,"uris":["http://zotero.org/users/14361536/items/RKRTX2GI"],"itemData":{"id":2647,"type":"article-journal","abstract":"Abstract\n            This study examined the effect of customer experience management (CEM) on customer retention in restaurants in Anambra State, Nigeria. Specifically, the study sought to investigate the influence of affective customer experience, cognitive customer experience, physical customer experience and social-identity customer experience on customer retention in restaurants in Anambra State, Nigeria. The study adopted a survey research method. The study found that affective customer experience, cognitive customer experience, physical customer experience and social-identity customer experiences have a significant effect on customer retention in restaurants in Anambra State, Nigeria. Based on the foregoing, the study concluded that CEM had a significant effect on customer retention in restaurants in Anambra State, Nigeria. The study recommended, amongst others, that management of restaurants should deliberately focus on humanic clues in terms of providing a conducive environment, especially one that is always clean for its customers.","container-title":"Marketing of Scientific and Research Organizations","DOI":"10.2478/minib-2023-0013","ISSN":"2353-8414","issue":"3","language":"en","license":"http://creativecommons.org/licenses/by-nc-nd/4.0","page":"1-26","source":"DOI.org (Crossref)","title":"Customer Experience Management: Analysis of Customer Retention in Restaurants in Anambra State, Nigeria","title-short":"Customer Experience Management","volume":"49","author":[{"family":"Nwankwo","given":"Cosmas Anayochukwu"},{"family":"Kanyangale","given":"MacDonald Isaac"}],"issued":{"date-parts":[["2023",9,1]]}}}],"schema":"https://github.com/citation-style-language/schema/raw/master/csl-citation.json"} </w:instrText>
      </w:r>
      <w:r>
        <w:rPr>
          <w:rFonts w:ascii="Times New Roman" w:hAnsi="Times New Roman" w:hint="default"/>
          <w:color w:val="auto"/>
          <w:kern w:val="2"/>
          <w:szCs w:val="24"/>
        </w:rPr>
        <w:fldChar w:fldCharType="separate"/>
      </w:r>
      <w:r>
        <w:rPr>
          <w:rFonts w:ascii="Times New Roman" w:hAnsi="Times New Roman"/>
        </w:rPr>
        <w:t>(Nwankwo &amp; Kanyangale, 2023)</w:t>
      </w:r>
      <w:r>
        <w:rPr>
          <w:rFonts w:ascii="Times New Roman" w:hAnsi="Times New Roman" w:hint="default"/>
          <w:color w:val="auto"/>
          <w:kern w:val="2"/>
          <w:szCs w:val="24"/>
        </w:rPr>
        <w:fldChar w:fldCharType="end"/>
      </w:r>
      <w:r>
        <w:rPr>
          <w:rFonts w:ascii="Times New Roman" w:hAnsi="Times New Roman"/>
          <w:color w:val="auto"/>
          <w:kern w:val="2"/>
          <w:szCs w:val="24"/>
        </w:rPr>
        <w:t xml:space="preserve">. If a customer's functional and hedonic values </w:t>
      </w:r>
      <w:r>
        <w:rPr>
          <w:rFonts w:ascii="Times New Roman" w:hAnsi="Times New Roman" w:hint="default"/>
          <w:color w:val="auto"/>
          <w:kern w:val="2"/>
          <w:szCs w:val="24"/>
        </w:rPr>
        <w:t>​​</w:t>
      </w:r>
      <w:r>
        <w:rPr>
          <w:rFonts w:ascii="Times New Roman" w:hAnsi="Times New Roman"/>
          <w:color w:val="auto"/>
          <w:kern w:val="2"/>
          <w:szCs w:val="24"/>
        </w:rPr>
        <w:t>are satisfied during the product creation process, it has a chance to increase their willingness to retain customers. Therefore, the following hypotheses are proposed:</w:t>
      </w:r>
    </w:p>
    <w:p w14:paraId="5F3AF6D1" w14:textId="77777777" w:rsidR="00037A35" w:rsidRDefault="00000000">
      <w:pPr>
        <w:widowControl/>
        <w:ind w:firstLineChars="200" w:firstLine="480"/>
        <w:rPr>
          <w:rFonts w:ascii="Times New Roman" w:eastAsia="SimSun" w:hAnsi="Times New Roman" w:cs="Times New Roman"/>
          <w:i/>
          <w:iCs/>
          <w:sz w:val="24"/>
        </w:rPr>
      </w:pPr>
      <w:r>
        <w:rPr>
          <w:rFonts w:ascii="Times New Roman" w:eastAsia="SimSun" w:hAnsi="Times New Roman" w:cs="Times New Roman"/>
          <w:i/>
          <w:iCs/>
          <w:sz w:val="24"/>
        </w:rPr>
        <w:t>H3a: Hedonic value has a significant positive impact on customer retention;</w:t>
      </w:r>
    </w:p>
    <w:p w14:paraId="741B96E0" w14:textId="77777777" w:rsidR="00037A35" w:rsidRDefault="00000000">
      <w:pPr>
        <w:widowControl/>
        <w:ind w:firstLineChars="200" w:firstLine="480"/>
        <w:rPr>
          <w:rFonts w:ascii="Times New Roman" w:eastAsia="SimSun" w:hAnsi="Times New Roman" w:cs="Times New Roman"/>
          <w:i/>
          <w:iCs/>
          <w:sz w:val="24"/>
        </w:rPr>
      </w:pPr>
      <w:r>
        <w:rPr>
          <w:rFonts w:ascii="Times New Roman" w:eastAsia="SimSun" w:hAnsi="Times New Roman" w:cs="Times New Roman"/>
          <w:i/>
          <w:iCs/>
          <w:sz w:val="24"/>
        </w:rPr>
        <w:t>H3b: Functional value has a significant positive impact on customer retention;</w:t>
      </w:r>
    </w:p>
    <w:p w14:paraId="6177FF3E" w14:textId="77777777" w:rsidR="00037A35" w:rsidRDefault="00037A35">
      <w:pPr>
        <w:pStyle w:val="Default"/>
        <w:ind w:firstLineChars="200" w:firstLine="480"/>
        <w:jc w:val="both"/>
        <w:rPr>
          <w:rFonts w:ascii="Times New Roman" w:hAnsi="Times New Roman" w:hint="default"/>
          <w:color w:val="auto"/>
          <w:kern w:val="2"/>
          <w:szCs w:val="24"/>
        </w:rPr>
      </w:pPr>
    </w:p>
    <w:p w14:paraId="5387CEB4" w14:textId="77777777" w:rsidR="00037A35" w:rsidRDefault="00000000">
      <w:pPr>
        <w:pStyle w:val="Default"/>
        <w:ind w:firstLineChars="200" w:firstLine="480"/>
        <w:jc w:val="both"/>
        <w:rPr>
          <w:rFonts w:ascii="Times New Roman" w:hAnsi="Times New Roman" w:hint="default"/>
          <w:color w:val="auto"/>
          <w:kern w:val="2"/>
          <w:szCs w:val="24"/>
        </w:rPr>
      </w:pPr>
      <w:r>
        <w:rPr>
          <w:rFonts w:ascii="Times New Roman" w:hAnsi="Times New Roman"/>
          <w:color w:val="auto"/>
          <w:kern w:val="2"/>
          <w:szCs w:val="24"/>
        </w:rPr>
        <w:t>Combining Hypotheses 1 and 2, in customized marketing, if customers receive positive experiential value during the engagement process, they are more likely to continue purchasing and maintain or expand their future purchasing scope. Therefore, the following hypotheses are proposed:</w:t>
      </w:r>
    </w:p>
    <w:p w14:paraId="1C11BFC9" w14:textId="77777777" w:rsidR="00037A35" w:rsidRDefault="00000000">
      <w:pPr>
        <w:pStyle w:val="Default"/>
        <w:ind w:firstLineChars="200" w:firstLine="480"/>
        <w:jc w:val="both"/>
        <w:rPr>
          <w:rFonts w:ascii="Times New Roman" w:hAnsi="Times New Roman" w:hint="default"/>
          <w:i/>
          <w:iCs/>
          <w:color w:val="auto"/>
          <w:kern w:val="2"/>
          <w:szCs w:val="24"/>
        </w:rPr>
      </w:pPr>
      <w:r>
        <w:rPr>
          <w:rFonts w:ascii="Times New Roman" w:hAnsi="Times New Roman"/>
          <w:i/>
          <w:iCs/>
          <w:color w:val="auto"/>
          <w:kern w:val="2"/>
          <w:szCs w:val="24"/>
        </w:rPr>
        <w:t>H4a: Hedonic value mediates the relationship between customer engagement and customer retention;</w:t>
      </w:r>
    </w:p>
    <w:p w14:paraId="6FF7472D" w14:textId="77777777" w:rsidR="00037A35" w:rsidRDefault="00000000">
      <w:pPr>
        <w:pStyle w:val="Default"/>
        <w:ind w:firstLineChars="200" w:firstLine="480"/>
        <w:jc w:val="both"/>
        <w:rPr>
          <w:rFonts w:ascii="Times New Roman" w:hAnsi="Times New Roman" w:hint="default"/>
          <w:i/>
          <w:iCs/>
          <w:color w:val="auto"/>
          <w:kern w:val="2"/>
          <w:szCs w:val="24"/>
        </w:rPr>
      </w:pPr>
      <w:r>
        <w:rPr>
          <w:rFonts w:ascii="Times New Roman" w:hAnsi="Times New Roman"/>
          <w:i/>
          <w:iCs/>
          <w:color w:val="auto"/>
          <w:kern w:val="2"/>
          <w:szCs w:val="24"/>
        </w:rPr>
        <w:t>H4b: Functional value mediates the relationship between customer engagement and customer retention.</w:t>
      </w:r>
    </w:p>
    <w:p w14:paraId="7C727C49" w14:textId="77777777" w:rsidR="00037A35" w:rsidRDefault="00037A35">
      <w:pPr>
        <w:pStyle w:val="Default"/>
        <w:ind w:firstLineChars="200" w:firstLine="480"/>
        <w:jc w:val="both"/>
        <w:rPr>
          <w:rFonts w:cs="SimSun" w:hint="default"/>
          <w:szCs w:val="24"/>
        </w:rPr>
      </w:pPr>
    </w:p>
    <w:p w14:paraId="4F16EEEF" w14:textId="77777777" w:rsidR="00037A35" w:rsidRDefault="00000000">
      <w:pPr>
        <w:ind w:firstLineChars="200" w:firstLine="480"/>
        <w:rPr>
          <w:rFonts w:ascii="Times New Roman" w:eastAsia="SimSun" w:hAnsi="Times New Roman" w:cs="Times New Roman"/>
          <w:sz w:val="24"/>
        </w:rPr>
      </w:pPr>
      <w:r>
        <w:rPr>
          <w:rFonts w:ascii="Times New Roman" w:eastAsia="SimSun" w:hAnsi="Times New Roman" w:cs="Times New Roman"/>
          <w:sz w:val="24"/>
        </w:rPr>
        <w:t>When individuals perceive themselves as highly similar to others, they attempt to build self-esteem and reduce negative impacts by differentiating themselves through their behavior</w:t>
      </w:r>
      <w:r>
        <w:rPr>
          <w:rFonts w:ascii="Times New Roman" w:eastAsia="SimSun" w:hAnsi="Times New Roman" w:cs="Times New Roman" w:hint="eastAsia"/>
          <w:sz w:val="24"/>
        </w:rPr>
        <w:t xml:space="preserve"> </w:t>
      </w:r>
      <w:r>
        <w:rPr>
          <w:rFonts w:ascii="Times New Roman" w:eastAsia="SimSun" w:hAnsi="Times New Roman" w:cs="Times New Roman"/>
          <w:sz w:val="24"/>
        </w:rPr>
        <w:fldChar w:fldCharType="begin"/>
      </w:r>
      <w:r>
        <w:rPr>
          <w:rFonts w:ascii="Times New Roman" w:eastAsia="SimSun" w:hAnsi="Times New Roman" w:cs="Times New Roman"/>
          <w:sz w:val="24"/>
        </w:rPr>
        <w:instrText xml:space="preserve"> ADDIN ZOTERO_ITEM CSL_CITATION {"citationID":"a1fbmnugf87","properties":{"formattedCitation":"(Taylor &amp; Armes, 2024)","plainCitation":"(Taylor &amp; Armes, 2024)","noteIndex":0},"citationItems":[{"id":2646,"uris":["http://zotero.org/users/14361536/items/A8CK</w:instrText>
      </w:r>
      <w:r>
        <w:rPr>
          <w:rFonts w:ascii="Times New Roman" w:eastAsia="SimSun" w:hAnsi="Times New Roman" w:cs="Times New Roman" w:hint="eastAsia"/>
          <w:sz w:val="24"/>
        </w:rPr>
        <w:instrText>F7T7"],"itemData":{"id":2646,"type":"article-journal","container-title":"Discover Psychology","DOI":"10.1007/s44202-024-00241-3","ISSN":"2731-4537","issue":"1","journalAbbreviation":"Discov Psychol","language":"en","note":"</w:instrText>
      </w:r>
      <w:r>
        <w:rPr>
          <w:rFonts w:ascii="Times New Roman" w:eastAsia="SimSun" w:hAnsi="Times New Roman" w:cs="Times New Roman" w:hint="eastAsia"/>
          <w:sz w:val="24"/>
        </w:rPr>
        <w:instrText>影响因子</w:instrText>
      </w:r>
      <w:r>
        <w:rPr>
          <w:rFonts w:ascii="Times New Roman" w:eastAsia="SimSun" w:hAnsi="Times New Roman" w:cs="Times New Roman" w:hint="eastAsia"/>
          <w:sz w:val="24"/>
        </w:rPr>
        <w:instrText>: 1.6\n5</w:instrText>
      </w:r>
      <w:r>
        <w:rPr>
          <w:rFonts w:ascii="Times New Roman" w:eastAsia="SimSun" w:hAnsi="Times New Roman" w:cs="Times New Roman" w:hint="eastAsia"/>
          <w:sz w:val="24"/>
        </w:rPr>
        <w:instrText>年影响因子</w:instrText>
      </w:r>
      <w:r>
        <w:rPr>
          <w:rFonts w:ascii="Times New Roman" w:eastAsia="SimSun" w:hAnsi="Times New Roman" w:cs="Times New Roman" w:hint="eastAsia"/>
          <w:sz w:val="24"/>
        </w:rPr>
        <w:instrText>: 1.7","page":"</w:instrText>
      </w:r>
      <w:r>
        <w:rPr>
          <w:rFonts w:ascii="Times New Roman" w:eastAsia="SimSun" w:hAnsi="Times New Roman" w:cs="Times New Roman"/>
          <w:sz w:val="24"/>
        </w:rPr>
        <w:instrText xml:space="preserve">126","source":"DOI.org (Crossref)","title":"Social comparison on Instagram, and its relationship with self-esteem and body-esteem","volume":"4","author":[{"family":"Taylor","given":"Jacqui"},{"family":"Armes","given":"Georgina"}],"issued":{"date-parts":[["2024",10,3]]}}}],"schema":"https://github.com/citation-style-language/schema/raw/master/csl-citation.json"} </w:instrText>
      </w:r>
      <w:r>
        <w:rPr>
          <w:rFonts w:ascii="Times New Roman" w:eastAsia="SimSun" w:hAnsi="Times New Roman" w:cs="Times New Roman"/>
          <w:sz w:val="24"/>
        </w:rPr>
        <w:fldChar w:fldCharType="separate"/>
      </w:r>
      <w:r>
        <w:rPr>
          <w:rFonts w:ascii="Times New Roman" w:hAnsi="Times New Roman" w:cs="Times New Roman"/>
          <w:kern w:val="0"/>
          <w:sz w:val="24"/>
        </w:rPr>
        <w:t>(Taylor &amp; Armes, 2024)</w:t>
      </w:r>
      <w:r>
        <w:rPr>
          <w:rFonts w:ascii="Times New Roman" w:eastAsia="SimSun" w:hAnsi="Times New Roman" w:cs="Times New Roman"/>
          <w:sz w:val="24"/>
        </w:rPr>
        <w:fldChar w:fldCharType="end"/>
      </w:r>
      <w:r>
        <w:rPr>
          <w:rFonts w:ascii="Times New Roman" w:eastAsia="SimSun" w:hAnsi="Times New Roman" w:cs="Times New Roman"/>
          <w:sz w:val="24"/>
        </w:rPr>
        <w:t>. In customized marketing customer engagement, the consumer's experiential value may be moderated by whether the business can meet their unique needs. Customer unique needs have a positive impact on customer engagement and customer experiential value. Therefore, the following hypotheses are proposed:</w:t>
      </w:r>
    </w:p>
    <w:p w14:paraId="3DD92EC0" w14:textId="77777777" w:rsidR="00037A35" w:rsidRDefault="00000000">
      <w:pPr>
        <w:ind w:firstLineChars="200" w:firstLine="480"/>
        <w:rPr>
          <w:rFonts w:ascii="Times New Roman" w:eastAsia="SimSun" w:hAnsi="Times New Roman" w:cs="Times New Roman"/>
          <w:i/>
          <w:iCs/>
          <w:sz w:val="24"/>
        </w:rPr>
      </w:pPr>
      <w:r>
        <w:rPr>
          <w:rFonts w:ascii="Times New Roman" w:eastAsia="SimSun" w:hAnsi="Times New Roman" w:cs="Times New Roman"/>
          <w:i/>
          <w:iCs/>
          <w:sz w:val="24"/>
        </w:rPr>
        <w:t>H5a: Customer unique needs have a positive moderating effect on the relationship between customer engagement and hedonic value;</w:t>
      </w:r>
    </w:p>
    <w:p w14:paraId="4FE3531E" w14:textId="77777777" w:rsidR="00037A35" w:rsidRDefault="00000000">
      <w:pPr>
        <w:ind w:firstLineChars="200" w:firstLine="480"/>
        <w:rPr>
          <w:rFonts w:ascii="Times New Roman" w:eastAsia="SimSun" w:hAnsi="Times New Roman" w:cs="Times New Roman"/>
          <w:i/>
          <w:iCs/>
          <w:sz w:val="24"/>
        </w:rPr>
      </w:pPr>
      <w:r>
        <w:rPr>
          <w:rFonts w:ascii="Times New Roman" w:eastAsia="SimSun" w:hAnsi="Times New Roman" w:cs="Times New Roman"/>
          <w:i/>
          <w:iCs/>
          <w:sz w:val="24"/>
        </w:rPr>
        <w:t>H5b: Customer unique needs have a positive moderating effect on the relationship between customer engagement and functional value;</w:t>
      </w:r>
    </w:p>
    <w:p w14:paraId="5EF877CB" w14:textId="77777777" w:rsidR="00037A35" w:rsidRDefault="00000000">
      <w:pPr>
        <w:ind w:firstLineChars="200" w:firstLine="420"/>
      </w:pPr>
      <w:r>
        <w:rPr>
          <w:noProof/>
        </w:rPr>
        <w:drawing>
          <wp:anchor distT="0" distB="0" distL="114300" distR="114300" simplePos="0" relativeHeight="251659264" behindDoc="1" locked="0" layoutInCell="1" allowOverlap="1" wp14:anchorId="7286C6D8" wp14:editId="1350FD81">
            <wp:simplePos x="0" y="0"/>
            <wp:positionH relativeFrom="column">
              <wp:posOffset>87630</wp:posOffset>
            </wp:positionH>
            <wp:positionV relativeFrom="paragraph">
              <wp:posOffset>223520</wp:posOffset>
            </wp:positionV>
            <wp:extent cx="5023485" cy="1929130"/>
            <wp:effectExtent l="0" t="0" r="6350" b="0"/>
            <wp:wrapTight wrapText="bothSides">
              <wp:wrapPolygon edited="0">
                <wp:start x="0" y="0"/>
                <wp:lineTo x="0" y="21330"/>
                <wp:lineTo x="21545" y="21330"/>
                <wp:lineTo x="21545" y="0"/>
                <wp:lineTo x="0" y="0"/>
              </wp:wrapPolygon>
            </wp:wrapTight>
            <wp:docPr id="10720460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046031" name="图片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023242" cy="1929225"/>
                    </a:xfrm>
                    <a:prstGeom prst="rect">
                      <a:avLst/>
                    </a:prstGeom>
                    <a:noFill/>
                    <a:ln>
                      <a:noFill/>
                    </a:ln>
                  </pic:spPr>
                </pic:pic>
              </a:graphicData>
            </a:graphic>
          </wp:anchor>
        </w:drawing>
      </w:r>
    </w:p>
    <w:p w14:paraId="7D18950A" w14:textId="77777777" w:rsidR="00037A35" w:rsidRDefault="00037A35">
      <w:pPr>
        <w:pStyle w:val="Default"/>
        <w:ind w:firstLineChars="200" w:firstLine="480"/>
        <w:jc w:val="center"/>
        <w:rPr>
          <w:rFonts w:hint="default"/>
        </w:rPr>
      </w:pPr>
    </w:p>
    <w:p w14:paraId="331A88DC" w14:textId="77777777" w:rsidR="00037A35" w:rsidRDefault="00000000">
      <w:pPr>
        <w:ind w:firstLineChars="200" w:firstLine="480"/>
        <w:jc w:val="center"/>
        <w:rPr>
          <w:rFonts w:ascii="Times New Roman" w:eastAsia="SimSun" w:hAnsi="Times New Roman" w:cs="Times New Roman"/>
          <w:sz w:val="24"/>
        </w:rPr>
      </w:pPr>
      <w:r>
        <w:rPr>
          <w:rFonts w:ascii="Times New Roman" w:eastAsia="SimSun" w:hAnsi="Times New Roman" w:cs="Times New Roman"/>
          <w:sz w:val="24"/>
        </w:rPr>
        <w:t>Figure 1. Conceptual Model</w:t>
      </w:r>
    </w:p>
    <w:p w14:paraId="1C012CE0" w14:textId="77777777" w:rsidR="00037A35" w:rsidRDefault="00037A35">
      <w:pPr>
        <w:rPr>
          <w:rFonts w:ascii="Times New Roman" w:hAnsi="Times New Roman" w:cs="Times New Roman"/>
          <w:b/>
          <w:bCs/>
          <w:sz w:val="24"/>
        </w:rPr>
      </w:pPr>
    </w:p>
    <w:p w14:paraId="742355C1" w14:textId="77777777" w:rsidR="00037A35" w:rsidRDefault="00000000">
      <w:pPr>
        <w:rPr>
          <w:rFonts w:ascii="Times New Roman" w:hAnsi="Times New Roman" w:cs="Times New Roman"/>
          <w:b/>
          <w:bCs/>
          <w:sz w:val="24"/>
        </w:rPr>
      </w:pPr>
      <w:r>
        <w:rPr>
          <w:rFonts w:ascii="Times New Roman" w:hAnsi="Times New Roman" w:cs="Times New Roman"/>
          <w:b/>
          <w:bCs/>
          <w:sz w:val="24"/>
        </w:rPr>
        <w:t>2.</w:t>
      </w:r>
      <w:r>
        <w:rPr>
          <w:rFonts w:ascii="Times New Roman" w:hAnsi="Times New Roman" w:cs="Times New Roman" w:hint="eastAsia"/>
          <w:b/>
          <w:bCs/>
          <w:sz w:val="24"/>
        </w:rPr>
        <w:t>6</w:t>
      </w:r>
      <w:r>
        <w:rPr>
          <w:rFonts w:ascii="Times New Roman" w:hAnsi="Times New Roman" w:cs="Times New Roman"/>
          <w:b/>
          <w:bCs/>
          <w:sz w:val="24"/>
        </w:rPr>
        <w:t xml:space="preserve"> Summary</w:t>
      </w:r>
    </w:p>
    <w:p w14:paraId="0A9DB8CA" w14:textId="77777777" w:rsidR="00037A35" w:rsidRDefault="00037A35">
      <w:pPr>
        <w:rPr>
          <w:rFonts w:ascii="Times New Roman" w:hAnsi="Times New Roman" w:cs="Times New Roman"/>
          <w:sz w:val="24"/>
        </w:rPr>
      </w:pPr>
    </w:p>
    <w:p w14:paraId="5FC6D19B" w14:textId="77777777" w:rsidR="00037A35" w:rsidRDefault="00000000">
      <w:pPr>
        <w:ind w:firstLineChars="200" w:firstLine="480"/>
        <w:rPr>
          <w:rFonts w:ascii="Times New Roman" w:hAnsi="Times New Roman" w:cs="Times New Roman"/>
          <w:sz w:val="24"/>
        </w:rPr>
      </w:pPr>
      <w:r>
        <w:rPr>
          <w:rFonts w:ascii="Times New Roman" w:hAnsi="Times New Roman" w:cs="Times New Roman"/>
          <w:sz w:val="24"/>
        </w:rPr>
        <w:t>The current study lacks a systematic analysis of how customer engagement in customized course contexts influences customer retention through different types of course experiential value. And how this influence is moderated by individual traits such as the need for uniqueness. This study aims to fill this theoretical and empirical gap.</w:t>
      </w:r>
    </w:p>
    <w:p w14:paraId="6964184C" w14:textId="77777777" w:rsidR="00037A35" w:rsidRDefault="00037A35">
      <w:pPr>
        <w:rPr>
          <w:rFonts w:ascii="Times New Roman" w:hAnsi="Times New Roman" w:cs="Times New Roman"/>
          <w:sz w:val="24"/>
        </w:rPr>
      </w:pPr>
    </w:p>
    <w:p w14:paraId="40051884" w14:textId="77777777" w:rsidR="00037A35" w:rsidRDefault="00000000">
      <w:pPr>
        <w:pStyle w:val="Default"/>
        <w:ind w:firstLineChars="200" w:firstLine="480"/>
        <w:jc w:val="both"/>
        <w:rPr>
          <w:rFonts w:ascii="Times New Roman" w:eastAsiaTheme="minorEastAsia" w:hAnsi="Times New Roman" w:hint="default"/>
          <w:color w:val="auto"/>
          <w:kern w:val="2"/>
          <w:szCs w:val="24"/>
        </w:rPr>
      </w:pPr>
      <w:r>
        <w:rPr>
          <w:rFonts w:ascii="Times New Roman" w:eastAsiaTheme="minorEastAsia" w:hAnsi="Times New Roman"/>
          <w:color w:val="auto"/>
          <w:kern w:val="2"/>
          <w:szCs w:val="24"/>
        </w:rPr>
        <w:t>Overall, this study advances value co-creation theory by unpacking how customer participation translates into experiential value and long-term retention in customized course-based services, while identifying individual-level boundary conditions.</w:t>
      </w:r>
    </w:p>
    <w:p w14:paraId="1E8A51ED" w14:textId="77777777" w:rsidR="00037A35" w:rsidRDefault="00037A35">
      <w:pPr>
        <w:pStyle w:val="Default"/>
        <w:ind w:firstLineChars="200" w:firstLine="480"/>
        <w:jc w:val="both"/>
        <w:rPr>
          <w:rFonts w:hint="default"/>
        </w:rPr>
      </w:pPr>
    </w:p>
    <w:p w14:paraId="3B75BFFF" w14:textId="77777777" w:rsidR="00037A35" w:rsidRDefault="00000000">
      <w:pPr>
        <w:rPr>
          <w:rFonts w:ascii="Times New Roman" w:hAnsi="Times New Roman" w:cs="Times New Roman"/>
          <w:b/>
          <w:bCs/>
          <w:sz w:val="24"/>
        </w:rPr>
      </w:pPr>
      <w:r>
        <w:rPr>
          <w:rFonts w:ascii="Times New Roman" w:hAnsi="Times New Roman" w:cs="Times New Roman"/>
          <w:b/>
          <w:bCs/>
          <w:sz w:val="24"/>
        </w:rPr>
        <w:t>3 Methodology</w:t>
      </w:r>
    </w:p>
    <w:p w14:paraId="2F537DBE" w14:textId="77777777" w:rsidR="00037A35" w:rsidRDefault="00000000">
      <w:pPr>
        <w:pStyle w:val="Default"/>
        <w:ind w:left="150"/>
        <w:jc w:val="both"/>
        <w:rPr>
          <w:rFonts w:eastAsiaTheme="minorEastAsia" w:cs="SimSun" w:hint="default"/>
          <w:color w:val="auto"/>
          <w:szCs w:val="24"/>
        </w:rPr>
      </w:pPr>
      <w:r>
        <w:rPr>
          <w:rFonts w:cs="SimSun"/>
          <w:b/>
          <w:bCs/>
          <w:sz w:val="28"/>
          <w:szCs w:val="28"/>
        </w:rPr>
        <w:t xml:space="preserve">   </w:t>
      </w:r>
    </w:p>
    <w:p w14:paraId="310BAF47" w14:textId="77777777" w:rsidR="00037A35" w:rsidRDefault="00000000">
      <w:pPr>
        <w:pStyle w:val="Default"/>
        <w:ind w:left="150" w:firstLineChars="200" w:firstLine="480"/>
        <w:jc w:val="both"/>
        <w:rPr>
          <w:rFonts w:ascii="Times New Roman" w:hAnsi="Times New Roman" w:hint="default"/>
          <w:color w:val="auto"/>
          <w:kern w:val="2"/>
          <w:szCs w:val="24"/>
        </w:rPr>
      </w:pPr>
      <w:r>
        <w:rPr>
          <w:rFonts w:ascii="Times New Roman" w:hAnsi="Times New Roman"/>
          <w:color w:val="auto"/>
          <w:kern w:val="2"/>
          <w:szCs w:val="24"/>
        </w:rPr>
        <w:t xml:space="preserve">This study selects respondents who had participated in customized courses as research subjects. This study </w:t>
      </w:r>
      <w:proofErr w:type="gramStart"/>
      <w:r>
        <w:rPr>
          <w:rFonts w:ascii="Times New Roman" w:hAnsi="Times New Roman"/>
          <w:color w:val="auto"/>
          <w:kern w:val="2"/>
          <w:szCs w:val="24"/>
        </w:rPr>
        <w:t>choose</w:t>
      </w:r>
      <w:proofErr w:type="gramEnd"/>
      <w:r>
        <w:rPr>
          <w:rFonts w:ascii="Times New Roman" w:hAnsi="Times New Roman"/>
          <w:color w:val="auto"/>
          <w:kern w:val="2"/>
          <w:szCs w:val="24"/>
        </w:rPr>
        <w:t xml:space="preserve"> these respondents as the research subjects to explore the interaction between customized marketing, customer engagement, customer experience value, and customer retention.</w:t>
      </w:r>
    </w:p>
    <w:p w14:paraId="284FF4AF" w14:textId="77777777" w:rsidR="00037A35" w:rsidRDefault="00037A35">
      <w:pPr>
        <w:pStyle w:val="Default"/>
        <w:ind w:left="150"/>
        <w:jc w:val="both"/>
        <w:rPr>
          <w:rFonts w:ascii="Times New Roman" w:hAnsi="Times New Roman" w:hint="default"/>
          <w:color w:val="auto"/>
          <w:kern w:val="2"/>
          <w:szCs w:val="24"/>
        </w:rPr>
      </w:pPr>
    </w:p>
    <w:p w14:paraId="1E6AB8C4" w14:textId="77777777" w:rsidR="00037A35" w:rsidRDefault="00000000">
      <w:pPr>
        <w:pStyle w:val="Default"/>
        <w:ind w:left="150" w:firstLineChars="200" w:firstLine="480"/>
        <w:jc w:val="both"/>
        <w:rPr>
          <w:rFonts w:ascii="Times New Roman" w:hAnsi="Times New Roman" w:hint="default"/>
          <w:color w:val="auto"/>
          <w:kern w:val="2"/>
          <w:szCs w:val="24"/>
        </w:rPr>
      </w:pPr>
      <w:r>
        <w:rPr>
          <w:rFonts w:ascii="Times New Roman" w:hAnsi="Times New Roman"/>
          <w:color w:val="auto"/>
          <w:kern w:val="2"/>
          <w:szCs w:val="24"/>
        </w:rPr>
        <w:t>Through a literature review, this study uses mature scales developed by studies both in China and abroad to measure information provision behavior and co-creation behavior in customer engagement within customized marketing; the dimensions of hedonic and functional value in customer experience value; and variables related to customer retention and unique needs.</w:t>
      </w:r>
    </w:p>
    <w:p w14:paraId="7F3EECD9" w14:textId="77777777" w:rsidR="00037A35" w:rsidRDefault="00037A35">
      <w:pPr>
        <w:pStyle w:val="Default"/>
        <w:ind w:left="150" w:firstLineChars="200" w:firstLine="480"/>
        <w:jc w:val="both"/>
        <w:rPr>
          <w:rFonts w:ascii="Times New Roman" w:hAnsi="Times New Roman" w:hint="default"/>
          <w:color w:val="auto"/>
          <w:kern w:val="2"/>
          <w:szCs w:val="24"/>
        </w:rPr>
      </w:pPr>
    </w:p>
    <w:p w14:paraId="2C114322" w14:textId="77777777" w:rsidR="00037A35" w:rsidRDefault="00000000">
      <w:pPr>
        <w:rPr>
          <w:rFonts w:ascii="Times New Roman" w:hAnsi="Times New Roman" w:cs="Times New Roman"/>
          <w:b/>
          <w:bCs/>
          <w:sz w:val="24"/>
        </w:rPr>
      </w:pPr>
      <w:r>
        <w:rPr>
          <w:rFonts w:ascii="Times New Roman" w:hAnsi="Times New Roman" w:cs="Times New Roman"/>
          <w:b/>
          <w:bCs/>
          <w:sz w:val="24"/>
        </w:rPr>
        <w:t>3.1 Data Source</w:t>
      </w:r>
    </w:p>
    <w:p w14:paraId="2D494466" w14:textId="77777777" w:rsidR="00037A35" w:rsidRDefault="00037A35">
      <w:pPr>
        <w:rPr>
          <w:rFonts w:ascii="Times New Roman" w:hAnsi="Times New Roman" w:cs="Times New Roman"/>
          <w:b/>
          <w:bCs/>
          <w:sz w:val="24"/>
        </w:rPr>
      </w:pPr>
    </w:p>
    <w:p w14:paraId="6ED1B6BF" w14:textId="77777777" w:rsidR="00037A35" w:rsidRDefault="00000000">
      <w:pPr>
        <w:pStyle w:val="Default"/>
        <w:widowControl/>
        <w:ind w:firstLineChars="200" w:firstLine="480"/>
        <w:jc w:val="both"/>
        <w:rPr>
          <w:rFonts w:ascii="Times New Roman" w:hAnsi="Times New Roman" w:hint="default"/>
          <w:color w:val="auto"/>
          <w:kern w:val="2"/>
          <w:szCs w:val="24"/>
        </w:rPr>
      </w:pPr>
      <w:r>
        <w:rPr>
          <w:rFonts w:ascii="Times New Roman" w:hAnsi="Times New Roman"/>
          <w:color w:val="auto"/>
          <w:kern w:val="2"/>
          <w:szCs w:val="24"/>
        </w:rPr>
        <w:t xml:space="preserve">This study used the </w:t>
      </w:r>
      <w:proofErr w:type="spellStart"/>
      <w:r>
        <w:rPr>
          <w:rFonts w:ascii="Times New Roman" w:hAnsi="Times New Roman"/>
          <w:color w:val="auto"/>
          <w:kern w:val="2"/>
          <w:szCs w:val="24"/>
        </w:rPr>
        <w:t>Wenjuanxing</w:t>
      </w:r>
      <w:proofErr w:type="spellEnd"/>
      <w:r>
        <w:rPr>
          <w:rFonts w:ascii="Times New Roman" w:hAnsi="Times New Roman"/>
          <w:color w:val="auto"/>
          <w:kern w:val="2"/>
          <w:szCs w:val="24"/>
        </w:rPr>
        <w:t xml:space="preserve"> online platform to survey students who had participated in customized courses. The specific implementation process is as follows: First, a pre-survey phase was conducted, selecting 30 students with customized course experience using convenience sampling. Questionnaires were distributed and collected offline. The pre-survey results showed that respondents generally felt the questionnaire design was reasonable and the completion time was appropriate, with the questionnaire's validity and reliability meeting measurement requirements. The formal survey phase then commenced, collecting 483 questionnaires online. After data cleaning and removal of invalid samples, 279 valid questionnaires were obtained, resulting in a valid response rate of 57.76%. The survey process strictly adhered to social survey ethics to ensure the authenticity and reliability of the research data.</w:t>
      </w:r>
    </w:p>
    <w:p w14:paraId="7E5CB857" w14:textId="77777777" w:rsidR="00037A35" w:rsidRDefault="00037A35">
      <w:pPr>
        <w:pStyle w:val="Default"/>
        <w:widowControl/>
        <w:ind w:firstLineChars="200" w:firstLine="480"/>
        <w:jc w:val="both"/>
        <w:rPr>
          <w:rFonts w:ascii="Times New Roman" w:hAnsi="Times New Roman" w:hint="default"/>
          <w:color w:val="auto"/>
          <w:kern w:val="2"/>
          <w:szCs w:val="24"/>
        </w:rPr>
      </w:pPr>
    </w:p>
    <w:p w14:paraId="4618E4A8" w14:textId="77777777" w:rsidR="00037A35" w:rsidRDefault="00000000">
      <w:pPr>
        <w:rPr>
          <w:rFonts w:ascii="Times New Roman" w:hAnsi="Times New Roman" w:cs="Times New Roman"/>
          <w:b/>
          <w:bCs/>
          <w:sz w:val="24"/>
        </w:rPr>
      </w:pPr>
      <w:r>
        <w:rPr>
          <w:rFonts w:ascii="Times New Roman" w:hAnsi="Times New Roman" w:cs="Times New Roman" w:hint="eastAsia"/>
          <w:b/>
          <w:bCs/>
          <w:sz w:val="24"/>
        </w:rPr>
        <w:t xml:space="preserve">3.2 </w:t>
      </w:r>
      <w:r>
        <w:rPr>
          <w:rFonts w:ascii="Times New Roman" w:hAnsi="Times New Roman" w:cs="Times New Roman"/>
          <w:b/>
          <w:bCs/>
          <w:sz w:val="24"/>
        </w:rPr>
        <w:t>Correlation analysis</w:t>
      </w:r>
    </w:p>
    <w:p w14:paraId="4408CF08" w14:textId="77777777" w:rsidR="00037A35" w:rsidRDefault="00037A35">
      <w:pPr>
        <w:widowControl/>
        <w:numPr>
          <w:ilvl w:val="255"/>
          <w:numId w:val="0"/>
        </w:numPr>
        <w:ind w:firstLineChars="200" w:firstLine="480"/>
        <w:textAlignment w:val="center"/>
        <w:rPr>
          <w:rFonts w:ascii="SimSun" w:eastAsia="SimSun" w:hAnsi="SimSun" w:cs="SimSun"/>
          <w:sz w:val="24"/>
        </w:rPr>
      </w:pPr>
    </w:p>
    <w:p w14:paraId="20FB431F" w14:textId="77777777" w:rsidR="00037A35" w:rsidRDefault="00000000">
      <w:pPr>
        <w:widowControl/>
        <w:numPr>
          <w:ilvl w:val="255"/>
          <w:numId w:val="0"/>
        </w:numPr>
        <w:ind w:firstLineChars="200" w:firstLine="480"/>
        <w:textAlignment w:val="center"/>
        <w:rPr>
          <w:rFonts w:ascii="Times New Roman" w:eastAsia="SimSun" w:hAnsi="Times New Roman" w:cs="Times New Roman"/>
          <w:sz w:val="24"/>
        </w:rPr>
      </w:pPr>
      <w:r>
        <w:rPr>
          <w:rFonts w:ascii="Times New Roman" w:eastAsia="SimSun" w:hAnsi="Times New Roman" w:cs="Times New Roman"/>
          <w:sz w:val="24"/>
        </w:rPr>
        <w:lastRenderedPageBreak/>
        <w:t>This study use</w:t>
      </w:r>
      <w:r>
        <w:rPr>
          <w:rFonts w:ascii="Times New Roman" w:eastAsia="SimSun" w:hAnsi="Times New Roman" w:cs="Times New Roman" w:hint="eastAsia"/>
          <w:sz w:val="24"/>
        </w:rPr>
        <w:t>s</w:t>
      </w:r>
      <w:r>
        <w:rPr>
          <w:rFonts w:ascii="Times New Roman" w:eastAsia="SimSun" w:hAnsi="Times New Roman" w:cs="Times New Roman"/>
          <w:sz w:val="24"/>
        </w:rPr>
        <w:t xml:space="preserve"> SPSS 27.0 to examine the Pearson correlation coefficients among the variables (as shown in Table 1). The results </w:t>
      </w:r>
      <w:proofErr w:type="spellStart"/>
      <w:r>
        <w:rPr>
          <w:rFonts w:ascii="Times New Roman" w:eastAsia="SimSun" w:hAnsi="Times New Roman" w:cs="Times New Roman"/>
          <w:sz w:val="24"/>
        </w:rPr>
        <w:t>showe</w:t>
      </w:r>
      <w:r>
        <w:rPr>
          <w:rFonts w:ascii="Times New Roman" w:eastAsia="SimSun" w:hAnsi="Times New Roman" w:cs="Times New Roman" w:hint="eastAsia"/>
          <w:sz w:val="24"/>
        </w:rPr>
        <w:t>s</w:t>
      </w:r>
      <w:proofErr w:type="spellEnd"/>
      <w:r>
        <w:rPr>
          <w:rFonts w:ascii="Times New Roman" w:eastAsia="SimSun" w:hAnsi="Times New Roman" w:cs="Times New Roman"/>
          <w:sz w:val="24"/>
        </w:rPr>
        <w:t xml:space="preserve"> that there were significant positive correlations among the variables (p &lt; 0.01). The correlation coefficient between information provision and co-creation was 0.729, and the correlation coefficient between functional value and hedonic value was 0.878, indicating a high degree of positive correlation between these latent variables. The correlation coefficients between customer retention and information provision, co-creation, functional value, and hedonic value were 0.583, 0.562, 0.713, and 0.709, respectively, all reaching a significant level. This indicates that each influencing factor is related to customer retention to some extent. The correlation coefficients between unique needs and other variables ranged from 0.506 to 0.652, also showing a significant positive correlation, indicating that meeting customer unique needs plays a role in the overall experience and retention process.</w:t>
      </w:r>
    </w:p>
    <w:p w14:paraId="624AAE3D" w14:textId="77777777" w:rsidR="00037A35" w:rsidRDefault="00037A35">
      <w:pPr>
        <w:widowControl/>
        <w:numPr>
          <w:ilvl w:val="255"/>
          <w:numId w:val="0"/>
        </w:numPr>
        <w:ind w:firstLineChars="200" w:firstLine="480"/>
        <w:textAlignment w:val="center"/>
        <w:rPr>
          <w:rFonts w:ascii="Times New Roman" w:eastAsia="SimSun" w:hAnsi="Times New Roman" w:cs="Times New Roman"/>
          <w:sz w:val="24"/>
        </w:rPr>
      </w:pPr>
    </w:p>
    <w:p w14:paraId="660B39EB" w14:textId="77777777" w:rsidR="00037A35" w:rsidRDefault="00000000">
      <w:pPr>
        <w:widowControl/>
        <w:numPr>
          <w:ilvl w:val="255"/>
          <w:numId w:val="0"/>
        </w:numPr>
        <w:jc w:val="center"/>
        <w:textAlignment w:val="center"/>
        <w:rPr>
          <w:rFonts w:ascii="SimSun" w:eastAsia="SimSun" w:hAnsi="SimSun" w:cs="SimSun"/>
          <w:color w:val="000000"/>
          <w:kern w:val="0"/>
          <w:sz w:val="20"/>
          <w:szCs w:val="20"/>
          <w:lang w:bidi="ar"/>
        </w:rPr>
      </w:pPr>
      <w:r>
        <w:rPr>
          <w:rFonts w:ascii="Times New Roman" w:eastAsia="SimSun" w:hAnsi="Times New Roman" w:cs="Times New Roman"/>
          <w:sz w:val="24"/>
        </w:rPr>
        <w:t>Table 1. Pearson Correlation Analysis</w:t>
      </w:r>
    </w:p>
    <w:tbl>
      <w:tblPr>
        <w:tblW w:w="5000" w:type="pct"/>
        <w:tblBorders>
          <w:top w:val="single" w:sz="12" w:space="0" w:color="auto"/>
          <w:bottom w:val="single" w:sz="12" w:space="0" w:color="auto"/>
        </w:tblBorders>
        <w:tblLayout w:type="fixed"/>
        <w:tblLook w:val="04A0" w:firstRow="1" w:lastRow="0" w:firstColumn="1" w:lastColumn="0" w:noHBand="0" w:noVBand="1"/>
      </w:tblPr>
      <w:tblGrid>
        <w:gridCol w:w="1352"/>
        <w:gridCol w:w="1352"/>
        <w:gridCol w:w="826"/>
        <w:gridCol w:w="1080"/>
        <w:gridCol w:w="965"/>
        <w:gridCol w:w="1513"/>
        <w:gridCol w:w="1218"/>
      </w:tblGrid>
      <w:tr w:rsidR="00037A35" w14:paraId="0DBF0E3D" w14:textId="77777777">
        <w:trPr>
          <w:trHeight w:val="270"/>
        </w:trPr>
        <w:tc>
          <w:tcPr>
            <w:tcW w:w="5000" w:type="pct"/>
            <w:gridSpan w:val="7"/>
            <w:tcBorders>
              <w:bottom w:val="single" w:sz="4" w:space="0" w:color="auto"/>
              <w:tl2br w:val="nil"/>
              <w:tr2bl w:val="nil"/>
            </w:tcBorders>
            <w:noWrap/>
            <w:vAlign w:val="center"/>
          </w:tcPr>
          <w:p w14:paraId="57B9CB74" w14:textId="77777777" w:rsidR="00037A35" w:rsidRDefault="00037A35">
            <w:pPr>
              <w:widowControl/>
              <w:textAlignment w:val="center"/>
              <w:rPr>
                <w:rFonts w:ascii="SimSun" w:eastAsia="SimSun" w:hAnsi="SimSun" w:cs="SimSun"/>
                <w:b/>
                <w:bCs/>
                <w:color w:val="000000"/>
                <w:sz w:val="20"/>
                <w:szCs w:val="20"/>
              </w:rPr>
            </w:pPr>
          </w:p>
        </w:tc>
      </w:tr>
      <w:tr w:rsidR="00037A35" w14:paraId="69DD7380" w14:textId="77777777">
        <w:trPr>
          <w:trHeight w:val="270"/>
        </w:trPr>
        <w:tc>
          <w:tcPr>
            <w:tcW w:w="814" w:type="pct"/>
            <w:tcBorders>
              <w:top w:val="single" w:sz="4" w:space="0" w:color="auto"/>
            </w:tcBorders>
            <w:noWrap/>
          </w:tcPr>
          <w:p w14:paraId="7591FF9E"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hAnsi="Times New Roman" w:cs="Times New Roman"/>
                <w:sz w:val="15"/>
                <w:szCs w:val="15"/>
              </w:rPr>
              <w:t>Relevance</w:t>
            </w:r>
          </w:p>
        </w:tc>
        <w:tc>
          <w:tcPr>
            <w:tcW w:w="814" w:type="pct"/>
            <w:tcBorders>
              <w:top w:val="single" w:sz="4" w:space="0" w:color="auto"/>
            </w:tcBorders>
            <w:noWrap/>
            <w:vAlign w:val="center"/>
          </w:tcPr>
          <w:p w14:paraId="7D0838D8"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Information provision</w:t>
            </w:r>
          </w:p>
        </w:tc>
        <w:tc>
          <w:tcPr>
            <w:tcW w:w="497" w:type="pct"/>
            <w:tcBorders>
              <w:top w:val="single" w:sz="4" w:space="0" w:color="auto"/>
            </w:tcBorders>
            <w:noWrap/>
            <w:vAlign w:val="center"/>
          </w:tcPr>
          <w:p w14:paraId="3F79BEC4"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Co-creation</w:t>
            </w:r>
          </w:p>
        </w:tc>
        <w:tc>
          <w:tcPr>
            <w:tcW w:w="650" w:type="pct"/>
            <w:tcBorders>
              <w:top w:val="single" w:sz="4" w:space="0" w:color="auto"/>
            </w:tcBorders>
            <w:noWrap/>
            <w:vAlign w:val="center"/>
          </w:tcPr>
          <w:p w14:paraId="3C982844"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Functional value</w:t>
            </w:r>
          </w:p>
        </w:tc>
        <w:tc>
          <w:tcPr>
            <w:tcW w:w="581" w:type="pct"/>
            <w:tcBorders>
              <w:top w:val="single" w:sz="4" w:space="0" w:color="auto"/>
            </w:tcBorders>
            <w:noWrap/>
            <w:vAlign w:val="center"/>
          </w:tcPr>
          <w:p w14:paraId="344D81FC"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Hedonic value</w:t>
            </w:r>
          </w:p>
        </w:tc>
        <w:tc>
          <w:tcPr>
            <w:tcW w:w="911" w:type="pct"/>
            <w:tcBorders>
              <w:top w:val="single" w:sz="4" w:space="0" w:color="auto"/>
            </w:tcBorders>
            <w:noWrap/>
            <w:vAlign w:val="center"/>
          </w:tcPr>
          <w:p w14:paraId="1C806CC0"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Customer retention</w:t>
            </w:r>
          </w:p>
        </w:tc>
        <w:tc>
          <w:tcPr>
            <w:tcW w:w="733" w:type="pct"/>
            <w:tcBorders>
              <w:top w:val="single" w:sz="4" w:space="0" w:color="auto"/>
            </w:tcBorders>
            <w:noWrap/>
            <w:vAlign w:val="center"/>
          </w:tcPr>
          <w:p w14:paraId="05D8D12E"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Unique requirements</w:t>
            </w:r>
          </w:p>
        </w:tc>
      </w:tr>
      <w:tr w:rsidR="00037A35" w14:paraId="5B34320C" w14:textId="77777777">
        <w:trPr>
          <w:trHeight w:val="270"/>
        </w:trPr>
        <w:tc>
          <w:tcPr>
            <w:tcW w:w="814" w:type="pct"/>
            <w:noWrap/>
          </w:tcPr>
          <w:p w14:paraId="6FA4F2A1"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hAnsi="Times New Roman" w:cs="Times New Roman"/>
                <w:sz w:val="15"/>
                <w:szCs w:val="15"/>
              </w:rPr>
              <w:t>Information provision</w:t>
            </w:r>
          </w:p>
        </w:tc>
        <w:tc>
          <w:tcPr>
            <w:tcW w:w="814" w:type="pct"/>
            <w:noWrap/>
            <w:vAlign w:val="center"/>
          </w:tcPr>
          <w:p w14:paraId="25FCF15E"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1</w:t>
            </w:r>
          </w:p>
        </w:tc>
        <w:tc>
          <w:tcPr>
            <w:tcW w:w="497" w:type="pct"/>
            <w:noWrap/>
            <w:vAlign w:val="center"/>
          </w:tcPr>
          <w:p w14:paraId="73C465C2" w14:textId="77777777" w:rsidR="00037A35" w:rsidRDefault="00037A35">
            <w:pPr>
              <w:jc w:val="center"/>
              <w:rPr>
                <w:rFonts w:ascii="Times New Roman" w:eastAsia="SimSun" w:hAnsi="Times New Roman" w:cs="Times New Roman"/>
                <w:color w:val="000000"/>
                <w:sz w:val="15"/>
                <w:szCs w:val="15"/>
              </w:rPr>
            </w:pPr>
          </w:p>
        </w:tc>
        <w:tc>
          <w:tcPr>
            <w:tcW w:w="650" w:type="pct"/>
            <w:noWrap/>
            <w:vAlign w:val="center"/>
          </w:tcPr>
          <w:p w14:paraId="5080AFAC" w14:textId="77777777" w:rsidR="00037A35" w:rsidRDefault="00037A35">
            <w:pPr>
              <w:jc w:val="center"/>
              <w:rPr>
                <w:rFonts w:ascii="Times New Roman" w:eastAsia="SimSun" w:hAnsi="Times New Roman" w:cs="Times New Roman"/>
                <w:color w:val="000000"/>
                <w:sz w:val="15"/>
                <w:szCs w:val="15"/>
              </w:rPr>
            </w:pPr>
          </w:p>
        </w:tc>
        <w:tc>
          <w:tcPr>
            <w:tcW w:w="581" w:type="pct"/>
            <w:noWrap/>
            <w:vAlign w:val="center"/>
          </w:tcPr>
          <w:p w14:paraId="73E03E69" w14:textId="77777777" w:rsidR="00037A35" w:rsidRDefault="00037A35">
            <w:pPr>
              <w:jc w:val="center"/>
              <w:rPr>
                <w:rFonts w:ascii="Times New Roman" w:eastAsia="SimSun" w:hAnsi="Times New Roman" w:cs="Times New Roman"/>
                <w:color w:val="000000"/>
                <w:sz w:val="15"/>
                <w:szCs w:val="15"/>
              </w:rPr>
            </w:pPr>
          </w:p>
        </w:tc>
        <w:tc>
          <w:tcPr>
            <w:tcW w:w="911" w:type="pct"/>
            <w:noWrap/>
            <w:vAlign w:val="center"/>
          </w:tcPr>
          <w:p w14:paraId="7CC735AE" w14:textId="77777777" w:rsidR="00037A35" w:rsidRDefault="00037A35">
            <w:pPr>
              <w:jc w:val="center"/>
              <w:rPr>
                <w:rFonts w:ascii="Times New Roman" w:eastAsia="SimSun" w:hAnsi="Times New Roman" w:cs="Times New Roman"/>
                <w:color w:val="000000"/>
                <w:sz w:val="15"/>
                <w:szCs w:val="15"/>
              </w:rPr>
            </w:pPr>
          </w:p>
        </w:tc>
        <w:tc>
          <w:tcPr>
            <w:tcW w:w="733" w:type="pct"/>
            <w:noWrap/>
            <w:vAlign w:val="center"/>
          </w:tcPr>
          <w:p w14:paraId="01635804" w14:textId="77777777" w:rsidR="00037A35" w:rsidRDefault="00037A35">
            <w:pPr>
              <w:jc w:val="center"/>
              <w:rPr>
                <w:rFonts w:ascii="Times New Roman" w:eastAsia="SimSun" w:hAnsi="Times New Roman" w:cs="Times New Roman"/>
                <w:color w:val="000000"/>
                <w:sz w:val="15"/>
                <w:szCs w:val="15"/>
              </w:rPr>
            </w:pPr>
          </w:p>
        </w:tc>
      </w:tr>
      <w:tr w:rsidR="00037A35" w14:paraId="5192167F" w14:textId="77777777">
        <w:trPr>
          <w:trHeight w:val="270"/>
        </w:trPr>
        <w:tc>
          <w:tcPr>
            <w:tcW w:w="814" w:type="pct"/>
            <w:tcBorders>
              <w:tl2br w:val="nil"/>
              <w:tr2bl w:val="nil"/>
            </w:tcBorders>
            <w:noWrap/>
          </w:tcPr>
          <w:p w14:paraId="7C70D0B8"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hAnsi="Times New Roman" w:cs="Times New Roman"/>
                <w:sz w:val="15"/>
                <w:szCs w:val="15"/>
              </w:rPr>
              <w:t>Co-creation</w:t>
            </w:r>
          </w:p>
        </w:tc>
        <w:tc>
          <w:tcPr>
            <w:tcW w:w="814" w:type="pct"/>
            <w:tcBorders>
              <w:tl2br w:val="nil"/>
              <w:tr2bl w:val="nil"/>
            </w:tcBorders>
            <w:noWrap/>
            <w:vAlign w:val="center"/>
          </w:tcPr>
          <w:p w14:paraId="0F0430C3"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.729**</w:t>
            </w:r>
          </w:p>
        </w:tc>
        <w:tc>
          <w:tcPr>
            <w:tcW w:w="497" w:type="pct"/>
            <w:tcBorders>
              <w:tl2br w:val="nil"/>
              <w:tr2bl w:val="nil"/>
            </w:tcBorders>
            <w:noWrap/>
            <w:vAlign w:val="center"/>
          </w:tcPr>
          <w:p w14:paraId="2ECF5D84"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1</w:t>
            </w:r>
          </w:p>
        </w:tc>
        <w:tc>
          <w:tcPr>
            <w:tcW w:w="650" w:type="pct"/>
            <w:tcBorders>
              <w:tl2br w:val="nil"/>
              <w:tr2bl w:val="nil"/>
            </w:tcBorders>
            <w:noWrap/>
            <w:vAlign w:val="center"/>
          </w:tcPr>
          <w:p w14:paraId="64435F07" w14:textId="77777777" w:rsidR="00037A35" w:rsidRDefault="00037A35">
            <w:pPr>
              <w:jc w:val="center"/>
              <w:rPr>
                <w:rFonts w:ascii="Times New Roman" w:eastAsia="SimSun" w:hAnsi="Times New Roman" w:cs="Times New Roman"/>
                <w:color w:val="000000"/>
                <w:sz w:val="15"/>
                <w:szCs w:val="15"/>
              </w:rPr>
            </w:pPr>
          </w:p>
        </w:tc>
        <w:tc>
          <w:tcPr>
            <w:tcW w:w="581" w:type="pct"/>
            <w:tcBorders>
              <w:tl2br w:val="nil"/>
              <w:tr2bl w:val="nil"/>
            </w:tcBorders>
            <w:noWrap/>
            <w:vAlign w:val="center"/>
          </w:tcPr>
          <w:p w14:paraId="07A173BA" w14:textId="77777777" w:rsidR="00037A35" w:rsidRDefault="00037A35">
            <w:pPr>
              <w:jc w:val="center"/>
              <w:rPr>
                <w:rFonts w:ascii="Times New Roman" w:eastAsia="SimSun" w:hAnsi="Times New Roman" w:cs="Times New Roman"/>
                <w:color w:val="000000"/>
                <w:sz w:val="15"/>
                <w:szCs w:val="15"/>
              </w:rPr>
            </w:pPr>
          </w:p>
        </w:tc>
        <w:tc>
          <w:tcPr>
            <w:tcW w:w="911" w:type="pct"/>
            <w:tcBorders>
              <w:tl2br w:val="nil"/>
              <w:tr2bl w:val="nil"/>
            </w:tcBorders>
            <w:noWrap/>
            <w:vAlign w:val="center"/>
          </w:tcPr>
          <w:p w14:paraId="57E1546D" w14:textId="77777777" w:rsidR="00037A35" w:rsidRDefault="00037A35">
            <w:pPr>
              <w:jc w:val="center"/>
              <w:rPr>
                <w:rFonts w:ascii="Times New Roman" w:eastAsia="SimSun" w:hAnsi="Times New Roman" w:cs="Times New Roman"/>
                <w:color w:val="000000"/>
                <w:sz w:val="15"/>
                <w:szCs w:val="15"/>
              </w:rPr>
            </w:pPr>
          </w:p>
        </w:tc>
        <w:tc>
          <w:tcPr>
            <w:tcW w:w="733" w:type="pct"/>
            <w:tcBorders>
              <w:tl2br w:val="nil"/>
              <w:tr2bl w:val="nil"/>
            </w:tcBorders>
            <w:noWrap/>
            <w:vAlign w:val="center"/>
          </w:tcPr>
          <w:p w14:paraId="7A70B9BA" w14:textId="77777777" w:rsidR="00037A35" w:rsidRDefault="00037A35">
            <w:pPr>
              <w:jc w:val="center"/>
              <w:rPr>
                <w:rFonts w:ascii="Times New Roman" w:eastAsia="SimSun" w:hAnsi="Times New Roman" w:cs="Times New Roman"/>
                <w:color w:val="000000"/>
                <w:sz w:val="15"/>
                <w:szCs w:val="15"/>
              </w:rPr>
            </w:pPr>
          </w:p>
        </w:tc>
      </w:tr>
      <w:tr w:rsidR="00037A35" w14:paraId="40CEF104" w14:textId="77777777">
        <w:trPr>
          <w:trHeight w:val="270"/>
        </w:trPr>
        <w:tc>
          <w:tcPr>
            <w:tcW w:w="814" w:type="pct"/>
            <w:tcBorders>
              <w:tl2br w:val="nil"/>
              <w:tr2bl w:val="nil"/>
            </w:tcBorders>
            <w:noWrap/>
          </w:tcPr>
          <w:p w14:paraId="6C75DEC6"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hAnsi="Times New Roman" w:cs="Times New Roman"/>
                <w:sz w:val="15"/>
                <w:szCs w:val="15"/>
              </w:rPr>
              <w:t>Functional value</w:t>
            </w:r>
          </w:p>
        </w:tc>
        <w:tc>
          <w:tcPr>
            <w:tcW w:w="814" w:type="pct"/>
            <w:tcBorders>
              <w:tl2br w:val="nil"/>
              <w:tr2bl w:val="nil"/>
            </w:tcBorders>
            <w:noWrap/>
            <w:vAlign w:val="center"/>
          </w:tcPr>
          <w:p w14:paraId="00F04D91"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.632**</w:t>
            </w:r>
          </w:p>
        </w:tc>
        <w:tc>
          <w:tcPr>
            <w:tcW w:w="497" w:type="pct"/>
            <w:tcBorders>
              <w:tl2br w:val="nil"/>
              <w:tr2bl w:val="nil"/>
            </w:tcBorders>
            <w:noWrap/>
            <w:vAlign w:val="center"/>
          </w:tcPr>
          <w:p w14:paraId="1DDC5C11"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.758**</w:t>
            </w:r>
          </w:p>
        </w:tc>
        <w:tc>
          <w:tcPr>
            <w:tcW w:w="650" w:type="pct"/>
            <w:tcBorders>
              <w:tl2br w:val="nil"/>
              <w:tr2bl w:val="nil"/>
            </w:tcBorders>
            <w:noWrap/>
            <w:vAlign w:val="center"/>
          </w:tcPr>
          <w:p w14:paraId="29C4A7FC"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1</w:t>
            </w:r>
          </w:p>
        </w:tc>
        <w:tc>
          <w:tcPr>
            <w:tcW w:w="581" w:type="pct"/>
            <w:tcBorders>
              <w:tl2br w:val="nil"/>
              <w:tr2bl w:val="nil"/>
            </w:tcBorders>
            <w:noWrap/>
            <w:vAlign w:val="center"/>
          </w:tcPr>
          <w:p w14:paraId="786D292D" w14:textId="77777777" w:rsidR="00037A35" w:rsidRDefault="00037A35">
            <w:pPr>
              <w:jc w:val="center"/>
              <w:rPr>
                <w:rFonts w:ascii="Times New Roman" w:eastAsia="SimSun" w:hAnsi="Times New Roman" w:cs="Times New Roman"/>
                <w:color w:val="000000"/>
                <w:sz w:val="15"/>
                <w:szCs w:val="15"/>
              </w:rPr>
            </w:pPr>
          </w:p>
        </w:tc>
        <w:tc>
          <w:tcPr>
            <w:tcW w:w="911" w:type="pct"/>
            <w:tcBorders>
              <w:tl2br w:val="nil"/>
              <w:tr2bl w:val="nil"/>
            </w:tcBorders>
            <w:noWrap/>
            <w:vAlign w:val="center"/>
          </w:tcPr>
          <w:p w14:paraId="0ED19581" w14:textId="77777777" w:rsidR="00037A35" w:rsidRDefault="00037A35">
            <w:pPr>
              <w:jc w:val="center"/>
              <w:rPr>
                <w:rFonts w:ascii="Times New Roman" w:eastAsia="SimSun" w:hAnsi="Times New Roman" w:cs="Times New Roman"/>
                <w:color w:val="000000"/>
                <w:sz w:val="15"/>
                <w:szCs w:val="15"/>
              </w:rPr>
            </w:pPr>
          </w:p>
        </w:tc>
        <w:tc>
          <w:tcPr>
            <w:tcW w:w="733" w:type="pct"/>
            <w:tcBorders>
              <w:tl2br w:val="nil"/>
              <w:tr2bl w:val="nil"/>
            </w:tcBorders>
            <w:noWrap/>
            <w:vAlign w:val="center"/>
          </w:tcPr>
          <w:p w14:paraId="1961322F" w14:textId="77777777" w:rsidR="00037A35" w:rsidRDefault="00037A35">
            <w:pPr>
              <w:jc w:val="center"/>
              <w:rPr>
                <w:rFonts w:ascii="Times New Roman" w:eastAsia="SimSun" w:hAnsi="Times New Roman" w:cs="Times New Roman"/>
                <w:color w:val="000000"/>
                <w:sz w:val="15"/>
                <w:szCs w:val="15"/>
              </w:rPr>
            </w:pPr>
          </w:p>
        </w:tc>
      </w:tr>
      <w:tr w:rsidR="00037A35" w14:paraId="71686C41" w14:textId="77777777">
        <w:trPr>
          <w:trHeight w:val="270"/>
        </w:trPr>
        <w:tc>
          <w:tcPr>
            <w:tcW w:w="814" w:type="pct"/>
            <w:tcBorders>
              <w:tl2br w:val="nil"/>
              <w:tr2bl w:val="nil"/>
            </w:tcBorders>
            <w:noWrap/>
          </w:tcPr>
          <w:p w14:paraId="5E010C47"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hAnsi="Times New Roman" w:cs="Times New Roman"/>
                <w:sz w:val="15"/>
                <w:szCs w:val="15"/>
              </w:rPr>
              <w:t>Hedonic value</w:t>
            </w:r>
          </w:p>
        </w:tc>
        <w:tc>
          <w:tcPr>
            <w:tcW w:w="814" w:type="pct"/>
            <w:tcBorders>
              <w:tl2br w:val="nil"/>
              <w:tr2bl w:val="nil"/>
            </w:tcBorders>
            <w:noWrap/>
            <w:vAlign w:val="center"/>
          </w:tcPr>
          <w:p w14:paraId="6940FA39"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.608**</w:t>
            </w:r>
          </w:p>
        </w:tc>
        <w:tc>
          <w:tcPr>
            <w:tcW w:w="497" w:type="pct"/>
            <w:tcBorders>
              <w:tl2br w:val="nil"/>
              <w:tr2bl w:val="nil"/>
            </w:tcBorders>
            <w:noWrap/>
            <w:vAlign w:val="center"/>
          </w:tcPr>
          <w:p w14:paraId="7CCC5543"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.717**</w:t>
            </w:r>
          </w:p>
        </w:tc>
        <w:tc>
          <w:tcPr>
            <w:tcW w:w="650" w:type="pct"/>
            <w:tcBorders>
              <w:tl2br w:val="nil"/>
              <w:tr2bl w:val="nil"/>
            </w:tcBorders>
            <w:noWrap/>
            <w:vAlign w:val="center"/>
          </w:tcPr>
          <w:p w14:paraId="45EFF582"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.878**</w:t>
            </w:r>
          </w:p>
        </w:tc>
        <w:tc>
          <w:tcPr>
            <w:tcW w:w="581" w:type="pct"/>
            <w:tcBorders>
              <w:tl2br w:val="nil"/>
              <w:tr2bl w:val="nil"/>
            </w:tcBorders>
            <w:noWrap/>
            <w:vAlign w:val="center"/>
          </w:tcPr>
          <w:p w14:paraId="21AA53F8"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1</w:t>
            </w:r>
          </w:p>
        </w:tc>
        <w:tc>
          <w:tcPr>
            <w:tcW w:w="911" w:type="pct"/>
            <w:tcBorders>
              <w:tl2br w:val="nil"/>
              <w:tr2bl w:val="nil"/>
            </w:tcBorders>
            <w:noWrap/>
            <w:vAlign w:val="center"/>
          </w:tcPr>
          <w:p w14:paraId="1E641F79" w14:textId="77777777" w:rsidR="00037A35" w:rsidRDefault="00037A35">
            <w:pPr>
              <w:jc w:val="center"/>
              <w:rPr>
                <w:rFonts w:ascii="Times New Roman" w:eastAsia="SimSun" w:hAnsi="Times New Roman" w:cs="Times New Roman"/>
                <w:color w:val="000000"/>
                <w:sz w:val="15"/>
                <w:szCs w:val="15"/>
              </w:rPr>
            </w:pPr>
          </w:p>
        </w:tc>
        <w:tc>
          <w:tcPr>
            <w:tcW w:w="733" w:type="pct"/>
            <w:tcBorders>
              <w:tl2br w:val="nil"/>
              <w:tr2bl w:val="nil"/>
            </w:tcBorders>
            <w:noWrap/>
            <w:vAlign w:val="center"/>
          </w:tcPr>
          <w:p w14:paraId="02181849" w14:textId="77777777" w:rsidR="00037A35" w:rsidRDefault="00037A35">
            <w:pPr>
              <w:jc w:val="center"/>
              <w:rPr>
                <w:rFonts w:ascii="Times New Roman" w:eastAsia="SimSun" w:hAnsi="Times New Roman" w:cs="Times New Roman"/>
                <w:color w:val="000000"/>
                <w:sz w:val="15"/>
                <w:szCs w:val="15"/>
              </w:rPr>
            </w:pPr>
          </w:p>
        </w:tc>
      </w:tr>
      <w:tr w:rsidR="00037A35" w14:paraId="4820D520" w14:textId="77777777">
        <w:trPr>
          <w:trHeight w:val="270"/>
        </w:trPr>
        <w:tc>
          <w:tcPr>
            <w:tcW w:w="814" w:type="pct"/>
            <w:tcBorders>
              <w:tl2br w:val="nil"/>
              <w:tr2bl w:val="nil"/>
            </w:tcBorders>
            <w:noWrap/>
          </w:tcPr>
          <w:p w14:paraId="4E0DDB3F"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hAnsi="Times New Roman" w:cs="Times New Roman"/>
                <w:sz w:val="15"/>
                <w:szCs w:val="15"/>
              </w:rPr>
              <w:t>Customer retention</w:t>
            </w:r>
          </w:p>
        </w:tc>
        <w:tc>
          <w:tcPr>
            <w:tcW w:w="814" w:type="pct"/>
            <w:tcBorders>
              <w:tl2br w:val="nil"/>
              <w:tr2bl w:val="nil"/>
            </w:tcBorders>
            <w:noWrap/>
            <w:vAlign w:val="center"/>
          </w:tcPr>
          <w:p w14:paraId="04A0E45F"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.583**</w:t>
            </w:r>
          </w:p>
        </w:tc>
        <w:tc>
          <w:tcPr>
            <w:tcW w:w="497" w:type="pct"/>
            <w:tcBorders>
              <w:tl2br w:val="nil"/>
              <w:tr2bl w:val="nil"/>
            </w:tcBorders>
            <w:noWrap/>
            <w:vAlign w:val="center"/>
          </w:tcPr>
          <w:p w14:paraId="2B65B3E1"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.562**</w:t>
            </w:r>
          </w:p>
        </w:tc>
        <w:tc>
          <w:tcPr>
            <w:tcW w:w="650" w:type="pct"/>
            <w:tcBorders>
              <w:tl2br w:val="nil"/>
              <w:tr2bl w:val="nil"/>
            </w:tcBorders>
            <w:noWrap/>
            <w:vAlign w:val="center"/>
          </w:tcPr>
          <w:p w14:paraId="77B28E62"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.713**</w:t>
            </w:r>
          </w:p>
        </w:tc>
        <w:tc>
          <w:tcPr>
            <w:tcW w:w="581" w:type="pct"/>
            <w:tcBorders>
              <w:tl2br w:val="nil"/>
              <w:tr2bl w:val="nil"/>
            </w:tcBorders>
            <w:noWrap/>
            <w:vAlign w:val="center"/>
          </w:tcPr>
          <w:p w14:paraId="180D4907"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.709**</w:t>
            </w:r>
          </w:p>
        </w:tc>
        <w:tc>
          <w:tcPr>
            <w:tcW w:w="911" w:type="pct"/>
            <w:tcBorders>
              <w:tl2br w:val="nil"/>
              <w:tr2bl w:val="nil"/>
            </w:tcBorders>
            <w:noWrap/>
            <w:vAlign w:val="center"/>
          </w:tcPr>
          <w:p w14:paraId="50B75C19"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1</w:t>
            </w:r>
          </w:p>
        </w:tc>
        <w:tc>
          <w:tcPr>
            <w:tcW w:w="733" w:type="pct"/>
            <w:tcBorders>
              <w:tl2br w:val="nil"/>
              <w:tr2bl w:val="nil"/>
            </w:tcBorders>
            <w:noWrap/>
            <w:vAlign w:val="center"/>
          </w:tcPr>
          <w:p w14:paraId="2554FAA8" w14:textId="77777777" w:rsidR="00037A35" w:rsidRDefault="00037A35">
            <w:pPr>
              <w:jc w:val="center"/>
              <w:rPr>
                <w:rFonts w:ascii="Times New Roman" w:eastAsia="SimSun" w:hAnsi="Times New Roman" w:cs="Times New Roman"/>
                <w:color w:val="000000"/>
                <w:sz w:val="15"/>
                <w:szCs w:val="15"/>
              </w:rPr>
            </w:pPr>
          </w:p>
        </w:tc>
      </w:tr>
      <w:tr w:rsidR="00037A35" w14:paraId="295DBEFC" w14:textId="77777777">
        <w:trPr>
          <w:trHeight w:val="270"/>
        </w:trPr>
        <w:tc>
          <w:tcPr>
            <w:tcW w:w="814" w:type="pct"/>
            <w:tcBorders>
              <w:tl2br w:val="nil"/>
              <w:tr2bl w:val="nil"/>
            </w:tcBorders>
            <w:noWrap/>
          </w:tcPr>
          <w:p w14:paraId="2E9CFB27"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hAnsi="Times New Roman" w:cs="Times New Roman"/>
                <w:sz w:val="15"/>
                <w:szCs w:val="15"/>
              </w:rPr>
              <w:t>Unique</w:t>
            </w:r>
          </w:p>
        </w:tc>
        <w:tc>
          <w:tcPr>
            <w:tcW w:w="814" w:type="pct"/>
            <w:tcBorders>
              <w:tl2br w:val="nil"/>
              <w:tr2bl w:val="nil"/>
            </w:tcBorders>
            <w:noWrap/>
            <w:vAlign w:val="center"/>
          </w:tcPr>
          <w:p w14:paraId="575BC86E"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.509**</w:t>
            </w:r>
          </w:p>
        </w:tc>
        <w:tc>
          <w:tcPr>
            <w:tcW w:w="497" w:type="pct"/>
            <w:tcBorders>
              <w:tl2br w:val="nil"/>
              <w:tr2bl w:val="nil"/>
            </w:tcBorders>
            <w:noWrap/>
            <w:vAlign w:val="center"/>
          </w:tcPr>
          <w:p w14:paraId="772505D0"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.506**</w:t>
            </w:r>
          </w:p>
        </w:tc>
        <w:tc>
          <w:tcPr>
            <w:tcW w:w="650" w:type="pct"/>
            <w:tcBorders>
              <w:tl2br w:val="nil"/>
              <w:tr2bl w:val="nil"/>
            </w:tcBorders>
            <w:noWrap/>
            <w:vAlign w:val="center"/>
          </w:tcPr>
          <w:p w14:paraId="625D054E"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.588**</w:t>
            </w:r>
          </w:p>
        </w:tc>
        <w:tc>
          <w:tcPr>
            <w:tcW w:w="581" w:type="pct"/>
            <w:tcBorders>
              <w:tl2br w:val="nil"/>
              <w:tr2bl w:val="nil"/>
            </w:tcBorders>
            <w:noWrap/>
            <w:vAlign w:val="center"/>
          </w:tcPr>
          <w:p w14:paraId="25A16E35"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.606**</w:t>
            </w:r>
          </w:p>
        </w:tc>
        <w:tc>
          <w:tcPr>
            <w:tcW w:w="911" w:type="pct"/>
            <w:tcBorders>
              <w:tl2br w:val="nil"/>
              <w:tr2bl w:val="nil"/>
            </w:tcBorders>
            <w:noWrap/>
            <w:vAlign w:val="center"/>
          </w:tcPr>
          <w:p w14:paraId="3D0DBE2C"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.652**</w:t>
            </w:r>
          </w:p>
        </w:tc>
        <w:tc>
          <w:tcPr>
            <w:tcW w:w="733" w:type="pct"/>
            <w:tcBorders>
              <w:tl2br w:val="nil"/>
              <w:tr2bl w:val="nil"/>
            </w:tcBorders>
            <w:noWrap/>
            <w:vAlign w:val="center"/>
          </w:tcPr>
          <w:p w14:paraId="53456C6F" w14:textId="77777777" w:rsidR="00037A35" w:rsidRDefault="00000000">
            <w:pPr>
              <w:widowControl/>
              <w:jc w:val="center"/>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1</w:t>
            </w:r>
          </w:p>
        </w:tc>
      </w:tr>
      <w:tr w:rsidR="00037A35" w14:paraId="6DBECBE6" w14:textId="77777777">
        <w:trPr>
          <w:trHeight w:val="270"/>
        </w:trPr>
        <w:tc>
          <w:tcPr>
            <w:tcW w:w="5000" w:type="pct"/>
            <w:gridSpan w:val="7"/>
            <w:tcBorders>
              <w:tl2br w:val="nil"/>
              <w:tr2bl w:val="nil"/>
            </w:tcBorders>
            <w:noWrap/>
            <w:vAlign w:val="center"/>
          </w:tcPr>
          <w:p w14:paraId="0C74892A" w14:textId="77777777" w:rsidR="00037A35" w:rsidRDefault="00037A35">
            <w:pPr>
              <w:widowControl/>
              <w:jc w:val="center"/>
              <w:textAlignment w:val="center"/>
              <w:rPr>
                <w:rFonts w:ascii="Times New Roman" w:eastAsia="SimSun" w:hAnsi="Times New Roman" w:cs="Times New Roman"/>
                <w:color w:val="000000"/>
                <w:sz w:val="15"/>
                <w:szCs w:val="15"/>
              </w:rPr>
            </w:pPr>
          </w:p>
        </w:tc>
      </w:tr>
    </w:tbl>
    <w:p w14:paraId="4BA126DF" w14:textId="77777777" w:rsidR="00037A35" w:rsidRDefault="00000000">
      <w:pPr>
        <w:numPr>
          <w:ilvl w:val="255"/>
          <w:numId w:val="0"/>
        </w:numPr>
        <w:rPr>
          <w:rFonts w:ascii="Times New Roman" w:eastAsia="SimSun" w:hAnsi="Times New Roman" w:cs="Times New Roman"/>
          <w:color w:val="000000"/>
          <w:kern w:val="0"/>
          <w:sz w:val="14"/>
          <w:szCs w:val="14"/>
          <w:lang w:bidi="ar"/>
        </w:rPr>
      </w:pPr>
      <w:r>
        <w:rPr>
          <w:rFonts w:ascii="Times New Roman" w:eastAsia="SimSun" w:hAnsi="Times New Roman" w:cs="Times New Roman"/>
          <w:color w:val="000000"/>
          <w:kern w:val="0"/>
          <w:sz w:val="14"/>
          <w:szCs w:val="14"/>
          <w:lang w:bidi="ar"/>
        </w:rPr>
        <w:t>**At the 0.01 level (two-tailed), the correlation is significant.</w:t>
      </w:r>
    </w:p>
    <w:p w14:paraId="005D1DA5" w14:textId="77777777" w:rsidR="00037A35" w:rsidRDefault="00037A35">
      <w:pPr>
        <w:numPr>
          <w:ilvl w:val="255"/>
          <w:numId w:val="0"/>
        </w:numPr>
        <w:rPr>
          <w:rFonts w:ascii="SimSun" w:eastAsia="SimSun" w:hAnsi="SimSun" w:cs="SimSun"/>
          <w:color w:val="000000"/>
          <w:kern w:val="0"/>
          <w:sz w:val="14"/>
          <w:szCs w:val="14"/>
          <w:lang w:bidi="ar"/>
        </w:rPr>
      </w:pPr>
    </w:p>
    <w:p w14:paraId="0F46F43F" w14:textId="77777777" w:rsidR="00037A35" w:rsidRDefault="00000000">
      <w:pPr>
        <w:rPr>
          <w:rFonts w:ascii="Times New Roman" w:hAnsi="Times New Roman" w:cs="Times New Roman"/>
          <w:b/>
          <w:bCs/>
          <w:sz w:val="24"/>
        </w:rPr>
      </w:pPr>
      <w:r>
        <w:rPr>
          <w:rFonts w:ascii="Times New Roman" w:hAnsi="Times New Roman" w:cs="Times New Roman" w:hint="eastAsia"/>
          <w:b/>
          <w:bCs/>
          <w:sz w:val="24"/>
        </w:rPr>
        <w:t xml:space="preserve">3.3 </w:t>
      </w:r>
      <w:r>
        <w:rPr>
          <w:rFonts w:ascii="Times New Roman" w:hAnsi="Times New Roman" w:cs="Times New Roman"/>
          <w:b/>
          <w:bCs/>
          <w:sz w:val="24"/>
        </w:rPr>
        <w:t>Reliability and validity analysis</w:t>
      </w:r>
    </w:p>
    <w:p w14:paraId="3014DC4C" w14:textId="77777777" w:rsidR="00037A35" w:rsidRDefault="00037A35">
      <w:pPr>
        <w:numPr>
          <w:ilvl w:val="255"/>
          <w:numId w:val="0"/>
        </w:numPr>
        <w:rPr>
          <w:rFonts w:ascii="SimSun" w:eastAsia="SimSun" w:hAnsi="SimSun" w:cs="SimSun"/>
          <w:b/>
          <w:bCs/>
          <w:sz w:val="24"/>
        </w:rPr>
      </w:pPr>
    </w:p>
    <w:p w14:paraId="2B54156D" w14:textId="77777777" w:rsidR="00037A35" w:rsidRDefault="00000000">
      <w:pPr>
        <w:rPr>
          <w:rFonts w:ascii="Times New Roman" w:hAnsi="Times New Roman" w:cs="Times New Roman"/>
          <w:b/>
          <w:bCs/>
          <w:sz w:val="24"/>
        </w:rPr>
      </w:pPr>
      <w:r>
        <w:rPr>
          <w:rFonts w:ascii="Times New Roman" w:hAnsi="Times New Roman" w:cs="Times New Roman" w:hint="eastAsia"/>
          <w:b/>
          <w:bCs/>
          <w:sz w:val="24"/>
        </w:rPr>
        <w:t>3.3.1</w:t>
      </w:r>
      <w:r>
        <w:rPr>
          <w:rFonts w:ascii="Times New Roman" w:hAnsi="Times New Roman" w:cs="Times New Roman"/>
          <w:b/>
          <w:bCs/>
          <w:sz w:val="24"/>
        </w:rPr>
        <w:t xml:space="preserve"> Confirmatory Factor Analysis</w:t>
      </w:r>
    </w:p>
    <w:p w14:paraId="53C6BD08" w14:textId="77777777" w:rsidR="00037A35" w:rsidRDefault="00037A35">
      <w:pPr>
        <w:numPr>
          <w:ilvl w:val="255"/>
          <w:numId w:val="0"/>
        </w:numPr>
        <w:ind w:firstLine="488"/>
        <w:rPr>
          <w:rFonts w:ascii="Times New Roman" w:eastAsia="SimSun" w:hAnsi="Times New Roman" w:cs="Times New Roman"/>
          <w:sz w:val="24"/>
        </w:rPr>
      </w:pPr>
    </w:p>
    <w:p w14:paraId="0A4EABDC" w14:textId="77777777" w:rsidR="00037A35" w:rsidRDefault="00000000">
      <w:pPr>
        <w:numPr>
          <w:ilvl w:val="255"/>
          <w:numId w:val="0"/>
        </w:numPr>
        <w:ind w:firstLine="488"/>
        <w:rPr>
          <w:rFonts w:ascii="Times New Roman" w:eastAsia="SimSun" w:hAnsi="Times New Roman" w:cs="Times New Roman"/>
          <w:sz w:val="24"/>
        </w:rPr>
      </w:pPr>
      <w:r>
        <w:rPr>
          <w:rFonts w:ascii="Times New Roman" w:eastAsia="SimSun" w:hAnsi="Times New Roman" w:cs="Times New Roman"/>
          <w:sz w:val="24"/>
        </w:rPr>
        <w:t>This study use</w:t>
      </w:r>
      <w:r>
        <w:rPr>
          <w:rFonts w:ascii="Times New Roman" w:eastAsia="SimSun" w:hAnsi="Times New Roman" w:cs="Times New Roman" w:hint="eastAsia"/>
          <w:sz w:val="24"/>
        </w:rPr>
        <w:t>s</w:t>
      </w:r>
      <w:r>
        <w:rPr>
          <w:rFonts w:ascii="Times New Roman" w:eastAsia="SimSun" w:hAnsi="Times New Roman" w:cs="Times New Roman"/>
          <w:sz w:val="24"/>
        </w:rPr>
        <w:t xml:space="preserve"> AMOS 26.0 to conduct confirmatory factor analysis on each variable. Detailed results are shown in Table 2. The tests </w:t>
      </w:r>
      <w:proofErr w:type="spellStart"/>
      <w:r>
        <w:rPr>
          <w:rFonts w:ascii="Times New Roman" w:eastAsia="SimSun" w:hAnsi="Times New Roman" w:cs="Times New Roman"/>
          <w:sz w:val="24"/>
        </w:rPr>
        <w:t>reveale</w:t>
      </w:r>
      <w:r>
        <w:rPr>
          <w:rFonts w:ascii="Times New Roman" w:eastAsia="SimSun" w:hAnsi="Times New Roman" w:cs="Times New Roman" w:hint="eastAsia"/>
          <w:sz w:val="24"/>
        </w:rPr>
        <w:t>s</w:t>
      </w:r>
      <w:proofErr w:type="spellEnd"/>
      <w:r>
        <w:rPr>
          <w:rFonts w:ascii="Times New Roman" w:eastAsia="SimSun" w:hAnsi="Times New Roman" w:cs="Times New Roman"/>
          <w:sz w:val="24"/>
        </w:rPr>
        <w:t xml:space="preserve"> that the models for each factor had good fit, meeting the evaluation criteria of c²/</w:t>
      </w:r>
      <w:proofErr w:type="spellStart"/>
      <w:r>
        <w:rPr>
          <w:rFonts w:ascii="Times New Roman" w:eastAsia="SimSun" w:hAnsi="Times New Roman" w:cs="Times New Roman"/>
          <w:sz w:val="24"/>
        </w:rPr>
        <w:t>df</w:t>
      </w:r>
      <w:proofErr w:type="spellEnd"/>
      <w:r>
        <w:rPr>
          <w:rFonts w:ascii="Times New Roman" w:eastAsia="SimSun" w:hAnsi="Times New Roman" w:cs="Times New Roman"/>
          <w:sz w:val="24"/>
        </w:rPr>
        <w:t xml:space="preserve"> &lt; 3, CFI &gt; 0.9, TLI &gt; 0.9, NFI &gt; 0.9, RMSEA &lt; 0.08, and RMR &lt; 0.05, indicating good model fit.</w:t>
      </w:r>
    </w:p>
    <w:p w14:paraId="0723C322" w14:textId="77777777" w:rsidR="00037A35" w:rsidRDefault="00037A35">
      <w:pPr>
        <w:numPr>
          <w:ilvl w:val="255"/>
          <w:numId w:val="0"/>
        </w:numPr>
        <w:ind w:firstLine="488"/>
        <w:rPr>
          <w:rFonts w:ascii="SimSun" w:eastAsia="SimSun" w:hAnsi="SimSun" w:cs="SimSun"/>
          <w:sz w:val="24"/>
        </w:rPr>
      </w:pPr>
    </w:p>
    <w:p w14:paraId="0201A946" w14:textId="77777777" w:rsidR="00037A35" w:rsidRDefault="00000000">
      <w:pPr>
        <w:widowControl/>
        <w:numPr>
          <w:ilvl w:val="255"/>
          <w:numId w:val="0"/>
        </w:numPr>
        <w:jc w:val="center"/>
        <w:textAlignment w:val="center"/>
        <w:rPr>
          <w:rFonts w:ascii="Times New Roman" w:eastAsia="SimSun" w:hAnsi="Times New Roman" w:cs="Times New Roman"/>
          <w:sz w:val="24"/>
        </w:rPr>
      </w:pPr>
      <w:r>
        <w:rPr>
          <w:rFonts w:ascii="Times New Roman" w:eastAsia="SimSun" w:hAnsi="Times New Roman" w:cs="Times New Roman"/>
          <w:sz w:val="24"/>
        </w:rPr>
        <w:t>Table 2. Results of confirmatory factor analysis</w:t>
      </w:r>
    </w:p>
    <w:tbl>
      <w:tblPr>
        <w:tblStyle w:val="TableGrid"/>
        <w:tblW w:w="0" w:type="auto"/>
        <w:tblLook w:val="04A0" w:firstRow="1" w:lastRow="0" w:firstColumn="1" w:lastColumn="0" w:noHBand="0" w:noVBand="1"/>
      </w:tblPr>
      <w:tblGrid>
        <w:gridCol w:w="2908"/>
        <w:gridCol w:w="852"/>
        <w:gridCol w:w="786"/>
        <w:gridCol w:w="880"/>
        <w:gridCol w:w="887"/>
        <w:gridCol w:w="966"/>
        <w:gridCol w:w="786"/>
      </w:tblGrid>
      <w:tr w:rsidR="00037A35" w14:paraId="5C063A62" w14:textId="77777777">
        <w:tc>
          <w:tcPr>
            <w:tcW w:w="2908" w:type="dxa"/>
            <w:tcBorders>
              <w:top w:val="single" w:sz="12" w:space="0" w:color="auto"/>
              <w:left w:val="nil"/>
              <w:bottom w:val="single" w:sz="4" w:space="0" w:color="auto"/>
              <w:right w:val="nil"/>
            </w:tcBorders>
          </w:tcPr>
          <w:p w14:paraId="14C7A592" w14:textId="77777777" w:rsidR="00037A35" w:rsidRDefault="00000000">
            <w:pPr>
              <w:jc w:val="center"/>
              <w:rPr>
                <w:rFonts w:ascii="Times New Roman" w:eastAsia="SimSun" w:hAnsi="Times New Roman" w:cs="Times New Roman"/>
              </w:rPr>
            </w:pPr>
            <w:r>
              <w:rPr>
                <w:rFonts w:ascii="Times New Roman" w:eastAsia="SimSun" w:hAnsi="Times New Roman" w:cs="Times New Roman"/>
              </w:rPr>
              <w:t>Model</w:t>
            </w:r>
          </w:p>
        </w:tc>
        <w:tc>
          <w:tcPr>
            <w:tcW w:w="852" w:type="dxa"/>
            <w:tcBorders>
              <w:top w:val="single" w:sz="12" w:space="0" w:color="auto"/>
              <w:left w:val="nil"/>
              <w:bottom w:val="single" w:sz="4" w:space="0" w:color="auto"/>
              <w:right w:val="nil"/>
            </w:tcBorders>
          </w:tcPr>
          <w:p w14:paraId="4A277BED" w14:textId="77777777" w:rsidR="00037A35" w:rsidRDefault="00000000">
            <w:pPr>
              <w:rPr>
                <w:rFonts w:ascii="Times New Roman" w:eastAsia="SimSun" w:hAnsi="Times New Roman" w:cs="Times New Roman"/>
              </w:rPr>
            </w:pPr>
            <w:r>
              <w:rPr>
                <w:rFonts w:ascii="Times New Roman" w:eastAsia="SimSun" w:hAnsi="Times New Roman" w:cs="Times New Roman"/>
                <w:kern w:val="0"/>
                <w:sz w:val="24"/>
                <w:lang w:bidi="ar"/>
              </w:rPr>
              <w:sym w:font="Symbol" w:char="0063"/>
            </w:r>
            <w:r>
              <w:rPr>
                <w:rFonts w:ascii="Times New Roman" w:eastAsia="SimSun" w:hAnsi="Times New Roman" w:cs="Times New Roman"/>
                <w:kern w:val="0"/>
                <w:sz w:val="24"/>
                <w:vertAlign w:val="superscript"/>
                <w:lang w:bidi="ar"/>
              </w:rPr>
              <w:t>2</w:t>
            </w:r>
            <w:r>
              <w:rPr>
                <w:rFonts w:ascii="Times New Roman" w:eastAsia="SimSun" w:hAnsi="Times New Roman" w:cs="Times New Roman"/>
                <w:kern w:val="0"/>
                <w:sz w:val="24"/>
                <w:lang w:bidi="ar"/>
              </w:rPr>
              <w:t>/</w:t>
            </w:r>
            <w:proofErr w:type="spellStart"/>
            <w:r>
              <w:rPr>
                <w:rFonts w:ascii="Times New Roman" w:eastAsia="SimSun" w:hAnsi="Times New Roman" w:cs="Times New Roman"/>
                <w:kern w:val="0"/>
                <w:sz w:val="24"/>
                <w:lang w:bidi="ar"/>
              </w:rPr>
              <w:t>df</w:t>
            </w:r>
            <w:proofErr w:type="spellEnd"/>
          </w:p>
        </w:tc>
        <w:tc>
          <w:tcPr>
            <w:tcW w:w="786" w:type="dxa"/>
            <w:tcBorders>
              <w:top w:val="single" w:sz="12" w:space="0" w:color="auto"/>
              <w:left w:val="nil"/>
              <w:bottom w:val="single" w:sz="4" w:space="0" w:color="auto"/>
              <w:right w:val="nil"/>
            </w:tcBorders>
          </w:tcPr>
          <w:p w14:paraId="67CA122E" w14:textId="77777777" w:rsidR="00037A35" w:rsidRDefault="00000000">
            <w:pPr>
              <w:rPr>
                <w:rFonts w:ascii="Times New Roman" w:eastAsia="SimSun" w:hAnsi="Times New Roman" w:cs="Times New Roman"/>
              </w:rPr>
            </w:pPr>
            <w:r>
              <w:rPr>
                <w:rFonts w:ascii="Times New Roman" w:eastAsia="SimSun" w:hAnsi="Times New Roman" w:cs="Times New Roman"/>
              </w:rPr>
              <w:t>CFI</w:t>
            </w:r>
          </w:p>
        </w:tc>
        <w:tc>
          <w:tcPr>
            <w:tcW w:w="880" w:type="dxa"/>
            <w:tcBorders>
              <w:top w:val="single" w:sz="12" w:space="0" w:color="auto"/>
              <w:left w:val="nil"/>
              <w:bottom w:val="single" w:sz="4" w:space="0" w:color="auto"/>
              <w:right w:val="nil"/>
            </w:tcBorders>
          </w:tcPr>
          <w:p w14:paraId="4E285BCE" w14:textId="77777777" w:rsidR="00037A35" w:rsidRDefault="00000000">
            <w:pPr>
              <w:rPr>
                <w:rFonts w:ascii="Times New Roman" w:eastAsia="SimSun" w:hAnsi="Times New Roman" w:cs="Times New Roman"/>
              </w:rPr>
            </w:pPr>
            <w:r>
              <w:rPr>
                <w:rFonts w:ascii="Times New Roman" w:eastAsia="SimSun" w:hAnsi="Times New Roman" w:cs="Times New Roman"/>
              </w:rPr>
              <w:t>TLI</w:t>
            </w:r>
          </w:p>
        </w:tc>
        <w:tc>
          <w:tcPr>
            <w:tcW w:w="887" w:type="dxa"/>
            <w:tcBorders>
              <w:top w:val="single" w:sz="12" w:space="0" w:color="auto"/>
              <w:left w:val="nil"/>
              <w:bottom w:val="single" w:sz="4" w:space="0" w:color="auto"/>
              <w:right w:val="nil"/>
            </w:tcBorders>
          </w:tcPr>
          <w:p w14:paraId="7D56D9A8" w14:textId="77777777" w:rsidR="00037A35" w:rsidRDefault="00000000">
            <w:pPr>
              <w:rPr>
                <w:rFonts w:ascii="Times New Roman" w:eastAsia="SimSun" w:hAnsi="Times New Roman" w:cs="Times New Roman"/>
              </w:rPr>
            </w:pPr>
            <w:r>
              <w:rPr>
                <w:rFonts w:ascii="Times New Roman" w:eastAsia="SimSun" w:hAnsi="Times New Roman" w:cs="Times New Roman"/>
              </w:rPr>
              <w:t>NFI</w:t>
            </w:r>
          </w:p>
        </w:tc>
        <w:tc>
          <w:tcPr>
            <w:tcW w:w="966" w:type="dxa"/>
            <w:tcBorders>
              <w:top w:val="single" w:sz="12" w:space="0" w:color="auto"/>
              <w:left w:val="nil"/>
              <w:bottom w:val="single" w:sz="4" w:space="0" w:color="auto"/>
              <w:right w:val="nil"/>
            </w:tcBorders>
          </w:tcPr>
          <w:p w14:paraId="07E8EA7C" w14:textId="77777777" w:rsidR="00037A35" w:rsidRDefault="00000000">
            <w:pPr>
              <w:rPr>
                <w:rFonts w:ascii="Times New Roman" w:eastAsia="SimSun" w:hAnsi="Times New Roman" w:cs="Times New Roman"/>
              </w:rPr>
            </w:pPr>
            <w:r>
              <w:rPr>
                <w:rFonts w:ascii="Times New Roman" w:eastAsia="SimSun" w:hAnsi="Times New Roman" w:cs="Times New Roman"/>
              </w:rPr>
              <w:t>RMSEA</w:t>
            </w:r>
          </w:p>
        </w:tc>
        <w:tc>
          <w:tcPr>
            <w:tcW w:w="786" w:type="dxa"/>
            <w:tcBorders>
              <w:top w:val="single" w:sz="12" w:space="0" w:color="auto"/>
              <w:left w:val="nil"/>
              <w:bottom w:val="single" w:sz="4" w:space="0" w:color="auto"/>
              <w:right w:val="nil"/>
            </w:tcBorders>
          </w:tcPr>
          <w:p w14:paraId="0D78529E" w14:textId="77777777" w:rsidR="00037A35" w:rsidRDefault="00000000">
            <w:pPr>
              <w:rPr>
                <w:rFonts w:ascii="Times New Roman" w:eastAsia="SimSun" w:hAnsi="Times New Roman" w:cs="Times New Roman"/>
              </w:rPr>
            </w:pPr>
            <w:r>
              <w:rPr>
                <w:rFonts w:ascii="Times New Roman" w:eastAsia="SimSun" w:hAnsi="Times New Roman" w:cs="Times New Roman"/>
              </w:rPr>
              <w:t>RMR</w:t>
            </w:r>
          </w:p>
        </w:tc>
      </w:tr>
      <w:tr w:rsidR="00037A35" w14:paraId="43AF2BEE" w14:textId="77777777">
        <w:tc>
          <w:tcPr>
            <w:tcW w:w="2908" w:type="dxa"/>
            <w:tcBorders>
              <w:top w:val="single" w:sz="4" w:space="0" w:color="auto"/>
              <w:left w:val="nil"/>
              <w:bottom w:val="nil"/>
              <w:right w:val="nil"/>
            </w:tcBorders>
          </w:tcPr>
          <w:p w14:paraId="75FAAA46" w14:textId="77777777" w:rsidR="00037A35" w:rsidRDefault="00000000">
            <w:pPr>
              <w:jc w:val="center"/>
              <w:rPr>
                <w:rFonts w:ascii="Times New Roman" w:eastAsia="SimSun" w:hAnsi="Times New Roman" w:cs="Times New Roman"/>
              </w:rPr>
            </w:pPr>
            <w:r>
              <w:rPr>
                <w:rFonts w:ascii="Times New Roman" w:eastAsia="SimSun" w:hAnsi="Times New Roman" w:cs="Times New Roman"/>
              </w:rPr>
              <w:t>Single factor</w:t>
            </w:r>
            <w:r>
              <w:rPr>
                <w:rFonts w:ascii="Times New Roman" w:eastAsia="SimSun" w:hAnsi="Times New Roman" w:cs="Times New Roman"/>
              </w:rPr>
              <w:t>（</w:t>
            </w:r>
            <w:r>
              <w:rPr>
                <w:rFonts w:ascii="Times New Roman" w:eastAsia="SimSun" w:hAnsi="Times New Roman" w:cs="Times New Roman"/>
              </w:rPr>
              <w:t>TG+CZ+GN+XL+BL+DT</w:t>
            </w:r>
            <w:r>
              <w:rPr>
                <w:rFonts w:ascii="Times New Roman" w:eastAsia="SimSun" w:hAnsi="Times New Roman" w:cs="Times New Roman"/>
              </w:rPr>
              <w:t>）</w:t>
            </w:r>
          </w:p>
        </w:tc>
        <w:tc>
          <w:tcPr>
            <w:tcW w:w="852" w:type="dxa"/>
            <w:tcBorders>
              <w:top w:val="single" w:sz="4" w:space="0" w:color="auto"/>
              <w:left w:val="nil"/>
              <w:bottom w:val="nil"/>
              <w:right w:val="nil"/>
            </w:tcBorders>
          </w:tcPr>
          <w:p w14:paraId="2C63361E" w14:textId="77777777" w:rsidR="00037A35" w:rsidRDefault="00000000">
            <w:pPr>
              <w:rPr>
                <w:rFonts w:ascii="Times New Roman" w:eastAsia="SimSun" w:hAnsi="Times New Roman" w:cs="Times New Roman"/>
              </w:rPr>
            </w:pPr>
            <w:r>
              <w:rPr>
                <w:rFonts w:ascii="Times New Roman" w:eastAsia="SimSun" w:hAnsi="Times New Roman" w:cs="Times New Roman"/>
              </w:rPr>
              <w:t>2.382</w:t>
            </w:r>
          </w:p>
        </w:tc>
        <w:tc>
          <w:tcPr>
            <w:tcW w:w="786" w:type="dxa"/>
            <w:tcBorders>
              <w:top w:val="single" w:sz="4" w:space="0" w:color="auto"/>
              <w:left w:val="nil"/>
              <w:bottom w:val="nil"/>
              <w:right w:val="nil"/>
            </w:tcBorders>
          </w:tcPr>
          <w:p w14:paraId="751FEBF2" w14:textId="77777777" w:rsidR="00037A35" w:rsidRDefault="00000000">
            <w:pPr>
              <w:rPr>
                <w:rFonts w:ascii="Times New Roman" w:eastAsia="SimSun" w:hAnsi="Times New Roman" w:cs="Times New Roman"/>
              </w:rPr>
            </w:pPr>
            <w:r>
              <w:rPr>
                <w:rFonts w:ascii="Times New Roman" w:eastAsia="SimSun" w:hAnsi="Times New Roman" w:cs="Times New Roman"/>
              </w:rPr>
              <w:t>0.942</w:t>
            </w:r>
          </w:p>
        </w:tc>
        <w:tc>
          <w:tcPr>
            <w:tcW w:w="880" w:type="dxa"/>
            <w:tcBorders>
              <w:top w:val="single" w:sz="4" w:space="0" w:color="auto"/>
              <w:left w:val="nil"/>
              <w:bottom w:val="nil"/>
              <w:right w:val="nil"/>
            </w:tcBorders>
          </w:tcPr>
          <w:p w14:paraId="64AB94F4" w14:textId="77777777" w:rsidR="00037A35" w:rsidRDefault="00000000">
            <w:pPr>
              <w:rPr>
                <w:rFonts w:ascii="Times New Roman" w:eastAsia="SimSun" w:hAnsi="Times New Roman" w:cs="Times New Roman"/>
              </w:rPr>
            </w:pPr>
            <w:r>
              <w:rPr>
                <w:rFonts w:ascii="Times New Roman" w:eastAsia="SimSun" w:hAnsi="Times New Roman" w:cs="Times New Roman"/>
              </w:rPr>
              <w:t>0.934</w:t>
            </w:r>
          </w:p>
        </w:tc>
        <w:tc>
          <w:tcPr>
            <w:tcW w:w="887" w:type="dxa"/>
            <w:tcBorders>
              <w:top w:val="single" w:sz="4" w:space="0" w:color="auto"/>
              <w:left w:val="nil"/>
              <w:bottom w:val="nil"/>
              <w:right w:val="nil"/>
            </w:tcBorders>
          </w:tcPr>
          <w:p w14:paraId="257E402A" w14:textId="77777777" w:rsidR="00037A35" w:rsidRDefault="00000000">
            <w:pPr>
              <w:rPr>
                <w:rFonts w:ascii="Times New Roman" w:eastAsia="SimSun" w:hAnsi="Times New Roman" w:cs="Times New Roman"/>
              </w:rPr>
            </w:pPr>
            <w:r>
              <w:rPr>
                <w:rFonts w:ascii="Times New Roman" w:eastAsia="SimSun" w:hAnsi="Times New Roman" w:cs="Times New Roman"/>
              </w:rPr>
              <w:t>0.904</w:t>
            </w:r>
          </w:p>
        </w:tc>
        <w:tc>
          <w:tcPr>
            <w:tcW w:w="966" w:type="dxa"/>
            <w:tcBorders>
              <w:top w:val="single" w:sz="4" w:space="0" w:color="auto"/>
              <w:left w:val="nil"/>
              <w:bottom w:val="nil"/>
              <w:right w:val="nil"/>
            </w:tcBorders>
          </w:tcPr>
          <w:p w14:paraId="777057D5" w14:textId="77777777" w:rsidR="00037A35" w:rsidRDefault="00000000">
            <w:pPr>
              <w:rPr>
                <w:rFonts w:ascii="Times New Roman" w:eastAsia="SimSun" w:hAnsi="Times New Roman" w:cs="Times New Roman"/>
              </w:rPr>
            </w:pPr>
            <w:r>
              <w:rPr>
                <w:rFonts w:ascii="Times New Roman" w:eastAsia="SimSun" w:hAnsi="Times New Roman" w:cs="Times New Roman"/>
              </w:rPr>
              <w:t>0.071</w:t>
            </w:r>
          </w:p>
        </w:tc>
        <w:tc>
          <w:tcPr>
            <w:tcW w:w="786" w:type="dxa"/>
            <w:tcBorders>
              <w:top w:val="single" w:sz="4" w:space="0" w:color="auto"/>
              <w:left w:val="nil"/>
              <w:bottom w:val="nil"/>
              <w:right w:val="nil"/>
            </w:tcBorders>
          </w:tcPr>
          <w:p w14:paraId="2BE678A5" w14:textId="77777777" w:rsidR="00037A35" w:rsidRDefault="00000000">
            <w:pPr>
              <w:rPr>
                <w:rFonts w:ascii="Times New Roman" w:eastAsia="SimSun" w:hAnsi="Times New Roman" w:cs="Times New Roman"/>
              </w:rPr>
            </w:pPr>
            <w:r>
              <w:rPr>
                <w:rFonts w:ascii="Times New Roman" w:eastAsia="SimSun" w:hAnsi="Times New Roman" w:cs="Times New Roman"/>
              </w:rPr>
              <w:t>0.043</w:t>
            </w:r>
          </w:p>
        </w:tc>
      </w:tr>
      <w:tr w:rsidR="00037A35" w14:paraId="70B42900" w14:textId="77777777">
        <w:tc>
          <w:tcPr>
            <w:tcW w:w="2908" w:type="dxa"/>
            <w:tcBorders>
              <w:top w:val="nil"/>
              <w:left w:val="nil"/>
              <w:bottom w:val="nil"/>
              <w:right w:val="nil"/>
            </w:tcBorders>
          </w:tcPr>
          <w:p w14:paraId="32352912" w14:textId="77777777" w:rsidR="00037A35" w:rsidRDefault="00000000">
            <w:pPr>
              <w:jc w:val="center"/>
              <w:rPr>
                <w:rFonts w:ascii="Times New Roman" w:eastAsia="SimSun" w:hAnsi="Times New Roman" w:cs="Times New Roman"/>
              </w:rPr>
            </w:pPr>
            <w:r>
              <w:rPr>
                <w:rFonts w:ascii="Times New Roman" w:eastAsia="SimSun" w:hAnsi="Times New Roman" w:cs="Times New Roman"/>
              </w:rPr>
              <w:t>Two factors (TG+</w:t>
            </w:r>
            <w:proofErr w:type="gramStart"/>
            <w:r>
              <w:rPr>
                <w:rFonts w:ascii="Times New Roman" w:eastAsia="SimSun" w:hAnsi="Times New Roman" w:cs="Times New Roman"/>
              </w:rPr>
              <w:t>CZ,GN</w:t>
            </w:r>
            <w:proofErr w:type="gramEnd"/>
            <w:r>
              <w:rPr>
                <w:rFonts w:ascii="Times New Roman" w:eastAsia="SimSun" w:hAnsi="Times New Roman" w:cs="Times New Roman"/>
              </w:rPr>
              <w:t>+XL+BL+DT)</w:t>
            </w:r>
          </w:p>
        </w:tc>
        <w:tc>
          <w:tcPr>
            <w:tcW w:w="852" w:type="dxa"/>
            <w:tcBorders>
              <w:top w:val="nil"/>
              <w:left w:val="nil"/>
              <w:bottom w:val="nil"/>
              <w:right w:val="nil"/>
            </w:tcBorders>
          </w:tcPr>
          <w:p w14:paraId="3C7568B0" w14:textId="77777777" w:rsidR="00037A35" w:rsidRDefault="00000000">
            <w:pPr>
              <w:rPr>
                <w:rFonts w:ascii="Times New Roman" w:eastAsia="SimSun" w:hAnsi="Times New Roman" w:cs="Times New Roman"/>
              </w:rPr>
            </w:pPr>
            <w:r>
              <w:rPr>
                <w:rFonts w:ascii="Times New Roman" w:eastAsia="SimSun" w:hAnsi="Times New Roman" w:cs="Times New Roman"/>
              </w:rPr>
              <w:t>2.150</w:t>
            </w:r>
          </w:p>
        </w:tc>
        <w:tc>
          <w:tcPr>
            <w:tcW w:w="786" w:type="dxa"/>
            <w:tcBorders>
              <w:top w:val="nil"/>
              <w:left w:val="nil"/>
              <w:bottom w:val="nil"/>
              <w:right w:val="nil"/>
            </w:tcBorders>
          </w:tcPr>
          <w:p w14:paraId="7F3DF6E9" w14:textId="77777777" w:rsidR="00037A35" w:rsidRDefault="00000000">
            <w:pPr>
              <w:rPr>
                <w:rFonts w:ascii="Times New Roman" w:eastAsia="SimSun" w:hAnsi="Times New Roman" w:cs="Times New Roman"/>
              </w:rPr>
            </w:pPr>
            <w:r>
              <w:rPr>
                <w:rFonts w:ascii="Times New Roman" w:eastAsia="SimSun" w:hAnsi="Times New Roman" w:cs="Times New Roman"/>
              </w:rPr>
              <w:t>0.952</w:t>
            </w:r>
          </w:p>
        </w:tc>
        <w:tc>
          <w:tcPr>
            <w:tcW w:w="880" w:type="dxa"/>
            <w:tcBorders>
              <w:top w:val="nil"/>
              <w:left w:val="nil"/>
              <w:bottom w:val="nil"/>
              <w:right w:val="nil"/>
            </w:tcBorders>
          </w:tcPr>
          <w:p w14:paraId="073633B9" w14:textId="77777777" w:rsidR="00037A35" w:rsidRDefault="00000000">
            <w:pPr>
              <w:rPr>
                <w:rFonts w:ascii="Times New Roman" w:eastAsia="SimSun" w:hAnsi="Times New Roman" w:cs="Times New Roman"/>
              </w:rPr>
            </w:pPr>
            <w:r>
              <w:rPr>
                <w:rFonts w:ascii="Times New Roman" w:eastAsia="SimSun" w:hAnsi="Times New Roman" w:cs="Times New Roman"/>
              </w:rPr>
              <w:t>0.945</w:t>
            </w:r>
          </w:p>
        </w:tc>
        <w:tc>
          <w:tcPr>
            <w:tcW w:w="887" w:type="dxa"/>
            <w:tcBorders>
              <w:top w:val="nil"/>
              <w:left w:val="nil"/>
              <w:bottom w:val="nil"/>
              <w:right w:val="nil"/>
            </w:tcBorders>
          </w:tcPr>
          <w:p w14:paraId="456AE30C" w14:textId="77777777" w:rsidR="00037A35" w:rsidRDefault="00000000">
            <w:pPr>
              <w:rPr>
                <w:rFonts w:ascii="Times New Roman" w:eastAsia="SimSun" w:hAnsi="Times New Roman" w:cs="Times New Roman"/>
              </w:rPr>
            </w:pPr>
            <w:r>
              <w:rPr>
                <w:rFonts w:ascii="Times New Roman" w:eastAsia="SimSun" w:hAnsi="Times New Roman" w:cs="Times New Roman"/>
              </w:rPr>
              <w:t>0.914</w:t>
            </w:r>
          </w:p>
        </w:tc>
        <w:tc>
          <w:tcPr>
            <w:tcW w:w="966" w:type="dxa"/>
            <w:tcBorders>
              <w:top w:val="nil"/>
              <w:left w:val="nil"/>
              <w:bottom w:val="nil"/>
              <w:right w:val="nil"/>
            </w:tcBorders>
          </w:tcPr>
          <w:p w14:paraId="30952EF5" w14:textId="77777777" w:rsidR="00037A35" w:rsidRDefault="00000000">
            <w:pPr>
              <w:rPr>
                <w:rFonts w:ascii="Times New Roman" w:eastAsia="SimSun" w:hAnsi="Times New Roman" w:cs="Times New Roman"/>
              </w:rPr>
            </w:pPr>
            <w:r>
              <w:rPr>
                <w:rFonts w:ascii="Times New Roman" w:eastAsia="SimSun" w:hAnsi="Times New Roman" w:cs="Times New Roman"/>
              </w:rPr>
              <w:t>0.064</w:t>
            </w:r>
          </w:p>
        </w:tc>
        <w:tc>
          <w:tcPr>
            <w:tcW w:w="786" w:type="dxa"/>
            <w:tcBorders>
              <w:top w:val="nil"/>
              <w:left w:val="nil"/>
              <w:bottom w:val="nil"/>
              <w:right w:val="nil"/>
            </w:tcBorders>
          </w:tcPr>
          <w:p w14:paraId="6637408C" w14:textId="77777777" w:rsidR="00037A35" w:rsidRDefault="00000000">
            <w:pPr>
              <w:rPr>
                <w:rFonts w:ascii="Times New Roman" w:eastAsia="SimSun" w:hAnsi="Times New Roman" w:cs="Times New Roman"/>
              </w:rPr>
            </w:pPr>
            <w:r>
              <w:rPr>
                <w:rFonts w:ascii="Times New Roman" w:eastAsia="SimSun" w:hAnsi="Times New Roman" w:cs="Times New Roman"/>
              </w:rPr>
              <w:t>0.043</w:t>
            </w:r>
          </w:p>
        </w:tc>
      </w:tr>
      <w:tr w:rsidR="00037A35" w14:paraId="6569D45D" w14:textId="77777777">
        <w:tc>
          <w:tcPr>
            <w:tcW w:w="2908" w:type="dxa"/>
            <w:tcBorders>
              <w:top w:val="nil"/>
              <w:left w:val="nil"/>
              <w:bottom w:val="nil"/>
              <w:right w:val="nil"/>
            </w:tcBorders>
          </w:tcPr>
          <w:p w14:paraId="4A95E5A7" w14:textId="77777777" w:rsidR="00037A35" w:rsidRDefault="00000000">
            <w:pPr>
              <w:jc w:val="center"/>
              <w:rPr>
                <w:rFonts w:ascii="Times New Roman" w:eastAsia="SimSun" w:hAnsi="Times New Roman" w:cs="Times New Roman"/>
              </w:rPr>
            </w:pPr>
            <w:r>
              <w:rPr>
                <w:rFonts w:ascii="Times New Roman" w:eastAsia="SimSun" w:hAnsi="Times New Roman" w:cs="Times New Roman"/>
              </w:rPr>
              <w:lastRenderedPageBreak/>
              <w:t>Three factors (TG+</w:t>
            </w:r>
            <w:proofErr w:type="gramStart"/>
            <w:r>
              <w:rPr>
                <w:rFonts w:ascii="Times New Roman" w:eastAsia="SimSun" w:hAnsi="Times New Roman" w:cs="Times New Roman"/>
              </w:rPr>
              <w:t>CZ,GN</w:t>
            </w:r>
            <w:proofErr w:type="gramEnd"/>
            <w:r>
              <w:rPr>
                <w:rFonts w:ascii="Times New Roman" w:eastAsia="SimSun" w:hAnsi="Times New Roman" w:cs="Times New Roman"/>
              </w:rPr>
              <w:t>+</w:t>
            </w:r>
            <w:proofErr w:type="gramStart"/>
            <w:r>
              <w:rPr>
                <w:rFonts w:ascii="Times New Roman" w:eastAsia="SimSun" w:hAnsi="Times New Roman" w:cs="Times New Roman"/>
              </w:rPr>
              <w:t>XL,BL</w:t>
            </w:r>
            <w:proofErr w:type="gramEnd"/>
            <w:r>
              <w:rPr>
                <w:rFonts w:ascii="Times New Roman" w:eastAsia="SimSun" w:hAnsi="Times New Roman" w:cs="Times New Roman"/>
              </w:rPr>
              <w:t>+DT)</w:t>
            </w:r>
          </w:p>
        </w:tc>
        <w:tc>
          <w:tcPr>
            <w:tcW w:w="852" w:type="dxa"/>
            <w:tcBorders>
              <w:top w:val="nil"/>
              <w:left w:val="nil"/>
              <w:bottom w:val="nil"/>
              <w:right w:val="nil"/>
            </w:tcBorders>
          </w:tcPr>
          <w:p w14:paraId="73980CDC" w14:textId="77777777" w:rsidR="00037A35" w:rsidRDefault="00000000">
            <w:pPr>
              <w:rPr>
                <w:rFonts w:ascii="Times New Roman" w:eastAsia="SimSun" w:hAnsi="Times New Roman" w:cs="Times New Roman"/>
              </w:rPr>
            </w:pPr>
            <w:r>
              <w:rPr>
                <w:rFonts w:ascii="Times New Roman" w:eastAsia="SimSun" w:hAnsi="Times New Roman" w:cs="Times New Roman"/>
              </w:rPr>
              <w:t>2.040</w:t>
            </w:r>
          </w:p>
        </w:tc>
        <w:tc>
          <w:tcPr>
            <w:tcW w:w="786" w:type="dxa"/>
            <w:tcBorders>
              <w:top w:val="nil"/>
              <w:left w:val="nil"/>
              <w:bottom w:val="nil"/>
              <w:right w:val="nil"/>
            </w:tcBorders>
          </w:tcPr>
          <w:p w14:paraId="2B3241EB" w14:textId="77777777" w:rsidR="00037A35" w:rsidRDefault="00000000">
            <w:pPr>
              <w:rPr>
                <w:rFonts w:ascii="Times New Roman" w:eastAsia="SimSun" w:hAnsi="Times New Roman" w:cs="Times New Roman"/>
              </w:rPr>
            </w:pPr>
            <w:r>
              <w:rPr>
                <w:rFonts w:ascii="Times New Roman" w:eastAsia="SimSun" w:hAnsi="Times New Roman" w:cs="Times New Roman"/>
              </w:rPr>
              <w:t>0.957</w:t>
            </w:r>
          </w:p>
        </w:tc>
        <w:tc>
          <w:tcPr>
            <w:tcW w:w="880" w:type="dxa"/>
            <w:tcBorders>
              <w:top w:val="nil"/>
              <w:left w:val="nil"/>
              <w:bottom w:val="nil"/>
              <w:right w:val="nil"/>
            </w:tcBorders>
          </w:tcPr>
          <w:p w14:paraId="4217A0B9" w14:textId="77777777" w:rsidR="00037A35" w:rsidRDefault="00000000">
            <w:pPr>
              <w:rPr>
                <w:rFonts w:ascii="Times New Roman" w:eastAsia="SimSun" w:hAnsi="Times New Roman" w:cs="Times New Roman"/>
              </w:rPr>
            </w:pPr>
            <w:r>
              <w:rPr>
                <w:rFonts w:ascii="Times New Roman" w:eastAsia="SimSun" w:hAnsi="Times New Roman" w:cs="Times New Roman"/>
              </w:rPr>
              <w:t>0.950</w:t>
            </w:r>
          </w:p>
        </w:tc>
        <w:tc>
          <w:tcPr>
            <w:tcW w:w="887" w:type="dxa"/>
            <w:tcBorders>
              <w:top w:val="nil"/>
              <w:left w:val="nil"/>
              <w:bottom w:val="nil"/>
              <w:right w:val="nil"/>
            </w:tcBorders>
          </w:tcPr>
          <w:p w14:paraId="1F7DB692" w14:textId="77777777" w:rsidR="00037A35" w:rsidRDefault="00000000">
            <w:pPr>
              <w:rPr>
                <w:rFonts w:ascii="Times New Roman" w:eastAsia="SimSun" w:hAnsi="Times New Roman" w:cs="Times New Roman"/>
              </w:rPr>
            </w:pPr>
            <w:r>
              <w:rPr>
                <w:rFonts w:ascii="Times New Roman" w:eastAsia="SimSun" w:hAnsi="Times New Roman" w:cs="Times New Roman"/>
              </w:rPr>
              <w:t>0.919</w:t>
            </w:r>
          </w:p>
        </w:tc>
        <w:tc>
          <w:tcPr>
            <w:tcW w:w="966" w:type="dxa"/>
            <w:tcBorders>
              <w:top w:val="nil"/>
              <w:left w:val="nil"/>
              <w:bottom w:val="nil"/>
              <w:right w:val="nil"/>
            </w:tcBorders>
          </w:tcPr>
          <w:p w14:paraId="34D1BEF4" w14:textId="77777777" w:rsidR="00037A35" w:rsidRDefault="00000000">
            <w:pPr>
              <w:rPr>
                <w:rFonts w:ascii="Times New Roman" w:eastAsia="SimSun" w:hAnsi="Times New Roman" w:cs="Times New Roman"/>
              </w:rPr>
            </w:pPr>
            <w:r>
              <w:rPr>
                <w:rFonts w:ascii="Times New Roman" w:eastAsia="SimSun" w:hAnsi="Times New Roman" w:cs="Times New Roman"/>
              </w:rPr>
              <w:t>0.061</w:t>
            </w:r>
          </w:p>
        </w:tc>
        <w:tc>
          <w:tcPr>
            <w:tcW w:w="786" w:type="dxa"/>
            <w:tcBorders>
              <w:top w:val="nil"/>
              <w:left w:val="nil"/>
              <w:bottom w:val="nil"/>
              <w:right w:val="nil"/>
            </w:tcBorders>
          </w:tcPr>
          <w:p w14:paraId="6D976E28" w14:textId="77777777" w:rsidR="00037A35" w:rsidRDefault="00000000">
            <w:pPr>
              <w:rPr>
                <w:rFonts w:ascii="Times New Roman" w:eastAsia="SimSun" w:hAnsi="Times New Roman" w:cs="Times New Roman"/>
              </w:rPr>
            </w:pPr>
            <w:r>
              <w:rPr>
                <w:rFonts w:ascii="Times New Roman" w:eastAsia="SimSun" w:hAnsi="Times New Roman" w:cs="Times New Roman"/>
              </w:rPr>
              <w:t>0.036</w:t>
            </w:r>
          </w:p>
        </w:tc>
      </w:tr>
      <w:tr w:rsidR="00037A35" w14:paraId="121D7CAF" w14:textId="77777777">
        <w:tc>
          <w:tcPr>
            <w:tcW w:w="2908" w:type="dxa"/>
            <w:tcBorders>
              <w:top w:val="nil"/>
              <w:left w:val="nil"/>
              <w:bottom w:val="nil"/>
              <w:right w:val="nil"/>
            </w:tcBorders>
          </w:tcPr>
          <w:p w14:paraId="2804D9EA" w14:textId="77777777" w:rsidR="00037A35" w:rsidRDefault="00000000">
            <w:pPr>
              <w:jc w:val="center"/>
              <w:rPr>
                <w:rFonts w:ascii="Times New Roman" w:eastAsia="SimSun" w:hAnsi="Times New Roman" w:cs="Times New Roman"/>
              </w:rPr>
            </w:pPr>
            <w:r>
              <w:rPr>
                <w:rFonts w:ascii="Times New Roman" w:eastAsia="SimSun" w:hAnsi="Times New Roman" w:cs="Times New Roman"/>
              </w:rPr>
              <w:t>Four Factors (TG+</w:t>
            </w:r>
            <w:proofErr w:type="gramStart"/>
            <w:r>
              <w:rPr>
                <w:rFonts w:ascii="Times New Roman" w:eastAsia="SimSun" w:hAnsi="Times New Roman" w:cs="Times New Roman"/>
              </w:rPr>
              <w:t>CZ,GN</w:t>
            </w:r>
            <w:proofErr w:type="gramEnd"/>
            <w:r>
              <w:rPr>
                <w:rFonts w:ascii="Times New Roman" w:eastAsia="SimSun" w:hAnsi="Times New Roman" w:cs="Times New Roman"/>
              </w:rPr>
              <w:t>,</w:t>
            </w:r>
            <w:proofErr w:type="gramStart"/>
            <w:r>
              <w:rPr>
                <w:rFonts w:ascii="Times New Roman" w:eastAsia="SimSun" w:hAnsi="Times New Roman" w:cs="Times New Roman"/>
              </w:rPr>
              <w:t>XL,BL</w:t>
            </w:r>
            <w:proofErr w:type="gramEnd"/>
            <w:r>
              <w:rPr>
                <w:rFonts w:ascii="Times New Roman" w:eastAsia="SimSun" w:hAnsi="Times New Roman" w:cs="Times New Roman"/>
              </w:rPr>
              <w:t>+DT)</w:t>
            </w:r>
          </w:p>
        </w:tc>
        <w:tc>
          <w:tcPr>
            <w:tcW w:w="852" w:type="dxa"/>
            <w:tcBorders>
              <w:top w:val="nil"/>
              <w:left w:val="nil"/>
              <w:bottom w:val="nil"/>
              <w:right w:val="nil"/>
            </w:tcBorders>
          </w:tcPr>
          <w:p w14:paraId="5D28AF96" w14:textId="77777777" w:rsidR="00037A35" w:rsidRDefault="00000000">
            <w:pPr>
              <w:rPr>
                <w:rFonts w:ascii="Times New Roman" w:eastAsia="SimSun" w:hAnsi="Times New Roman" w:cs="Times New Roman"/>
              </w:rPr>
            </w:pPr>
            <w:r>
              <w:rPr>
                <w:rFonts w:ascii="Times New Roman" w:eastAsia="SimSun" w:hAnsi="Times New Roman" w:cs="Times New Roman"/>
              </w:rPr>
              <w:t>2.034</w:t>
            </w:r>
          </w:p>
        </w:tc>
        <w:tc>
          <w:tcPr>
            <w:tcW w:w="786" w:type="dxa"/>
            <w:tcBorders>
              <w:top w:val="nil"/>
              <w:left w:val="nil"/>
              <w:bottom w:val="nil"/>
              <w:right w:val="nil"/>
            </w:tcBorders>
          </w:tcPr>
          <w:p w14:paraId="7CE4F590" w14:textId="77777777" w:rsidR="00037A35" w:rsidRDefault="00000000">
            <w:pPr>
              <w:rPr>
                <w:rFonts w:ascii="Times New Roman" w:eastAsia="SimSun" w:hAnsi="Times New Roman" w:cs="Times New Roman"/>
              </w:rPr>
            </w:pPr>
            <w:r>
              <w:rPr>
                <w:rFonts w:ascii="Times New Roman" w:eastAsia="SimSun" w:hAnsi="Times New Roman" w:cs="Times New Roman"/>
              </w:rPr>
              <w:t>0.957</w:t>
            </w:r>
          </w:p>
        </w:tc>
        <w:tc>
          <w:tcPr>
            <w:tcW w:w="880" w:type="dxa"/>
            <w:tcBorders>
              <w:top w:val="nil"/>
              <w:left w:val="nil"/>
              <w:bottom w:val="nil"/>
              <w:right w:val="nil"/>
            </w:tcBorders>
          </w:tcPr>
          <w:p w14:paraId="76ADA0FA" w14:textId="77777777" w:rsidR="00037A35" w:rsidRDefault="00000000">
            <w:pPr>
              <w:rPr>
                <w:rFonts w:ascii="Times New Roman" w:eastAsia="SimSun" w:hAnsi="Times New Roman" w:cs="Times New Roman"/>
              </w:rPr>
            </w:pPr>
            <w:r>
              <w:rPr>
                <w:rFonts w:ascii="Times New Roman" w:eastAsia="SimSun" w:hAnsi="Times New Roman" w:cs="Times New Roman"/>
              </w:rPr>
              <w:t>0.950</w:t>
            </w:r>
          </w:p>
        </w:tc>
        <w:tc>
          <w:tcPr>
            <w:tcW w:w="887" w:type="dxa"/>
            <w:tcBorders>
              <w:top w:val="nil"/>
              <w:left w:val="nil"/>
              <w:bottom w:val="nil"/>
              <w:right w:val="nil"/>
            </w:tcBorders>
          </w:tcPr>
          <w:p w14:paraId="7E0586D6" w14:textId="77777777" w:rsidR="00037A35" w:rsidRDefault="00000000">
            <w:pPr>
              <w:rPr>
                <w:rFonts w:ascii="Times New Roman" w:eastAsia="SimSun" w:hAnsi="Times New Roman" w:cs="Times New Roman"/>
              </w:rPr>
            </w:pPr>
            <w:r>
              <w:rPr>
                <w:rFonts w:ascii="Times New Roman" w:eastAsia="SimSun" w:hAnsi="Times New Roman" w:cs="Times New Roman"/>
              </w:rPr>
              <w:t>0.920</w:t>
            </w:r>
          </w:p>
        </w:tc>
        <w:tc>
          <w:tcPr>
            <w:tcW w:w="966" w:type="dxa"/>
            <w:tcBorders>
              <w:top w:val="nil"/>
              <w:left w:val="nil"/>
              <w:bottom w:val="nil"/>
              <w:right w:val="nil"/>
            </w:tcBorders>
          </w:tcPr>
          <w:p w14:paraId="3512AEDD" w14:textId="77777777" w:rsidR="00037A35" w:rsidRDefault="00000000">
            <w:pPr>
              <w:rPr>
                <w:rFonts w:ascii="Times New Roman" w:eastAsia="SimSun" w:hAnsi="Times New Roman" w:cs="Times New Roman"/>
              </w:rPr>
            </w:pPr>
            <w:r>
              <w:rPr>
                <w:rFonts w:ascii="Times New Roman" w:eastAsia="SimSun" w:hAnsi="Times New Roman" w:cs="Times New Roman"/>
              </w:rPr>
              <w:t>0.061</w:t>
            </w:r>
          </w:p>
        </w:tc>
        <w:tc>
          <w:tcPr>
            <w:tcW w:w="786" w:type="dxa"/>
            <w:tcBorders>
              <w:top w:val="nil"/>
              <w:left w:val="nil"/>
              <w:bottom w:val="nil"/>
              <w:right w:val="nil"/>
            </w:tcBorders>
          </w:tcPr>
          <w:p w14:paraId="28CB1626" w14:textId="77777777" w:rsidR="00037A35" w:rsidRDefault="00000000">
            <w:pPr>
              <w:rPr>
                <w:rFonts w:ascii="Times New Roman" w:eastAsia="SimSun" w:hAnsi="Times New Roman" w:cs="Times New Roman"/>
              </w:rPr>
            </w:pPr>
            <w:r>
              <w:rPr>
                <w:rFonts w:ascii="Times New Roman" w:eastAsia="SimSun" w:hAnsi="Times New Roman" w:cs="Times New Roman"/>
              </w:rPr>
              <w:t>0.035</w:t>
            </w:r>
          </w:p>
        </w:tc>
      </w:tr>
      <w:tr w:rsidR="00037A35" w14:paraId="37925426" w14:textId="77777777">
        <w:tc>
          <w:tcPr>
            <w:tcW w:w="2908" w:type="dxa"/>
            <w:tcBorders>
              <w:top w:val="nil"/>
              <w:left w:val="nil"/>
              <w:bottom w:val="nil"/>
              <w:right w:val="nil"/>
            </w:tcBorders>
          </w:tcPr>
          <w:p w14:paraId="104506FD" w14:textId="77777777" w:rsidR="00037A35" w:rsidRDefault="00000000">
            <w:pPr>
              <w:jc w:val="center"/>
              <w:rPr>
                <w:rFonts w:ascii="Times New Roman" w:eastAsia="SimSun" w:hAnsi="Times New Roman" w:cs="Times New Roman"/>
              </w:rPr>
            </w:pPr>
            <w:r>
              <w:rPr>
                <w:rFonts w:ascii="Times New Roman" w:eastAsia="SimSun" w:hAnsi="Times New Roman" w:cs="Times New Roman" w:hint="eastAsia"/>
              </w:rPr>
              <w:t>Five Factors</w:t>
            </w:r>
          </w:p>
          <w:p w14:paraId="4329E157" w14:textId="77777777" w:rsidR="00037A35" w:rsidRDefault="00000000">
            <w:pPr>
              <w:rPr>
                <w:rFonts w:ascii="Times New Roman" w:eastAsia="SimSun" w:hAnsi="Times New Roman" w:cs="Times New Roman"/>
              </w:rPr>
            </w:pPr>
            <w:r>
              <w:rPr>
                <w:rFonts w:ascii="Times New Roman" w:eastAsia="SimSun" w:hAnsi="Times New Roman" w:cs="Times New Roman"/>
              </w:rPr>
              <w:t>(</w:t>
            </w:r>
            <w:proofErr w:type="gramStart"/>
            <w:r>
              <w:rPr>
                <w:rFonts w:ascii="Times New Roman" w:eastAsia="SimSun" w:hAnsi="Times New Roman" w:cs="Times New Roman"/>
              </w:rPr>
              <w:t>TG,CZ</w:t>
            </w:r>
            <w:proofErr w:type="gramEnd"/>
            <w:r>
              <w:rPr>
                <w:rFonts w:ascii="Times New Roman" w:eastAsia="SimSun" w:hAnsi="Times New Roman" w:cs="Times New Roman"/>
              </w:rPr>
              <w:t>,</w:t>
            </w:r>
            <w:proofErr w:type="gramStart"/>
            <w:r>
              <w:rPr>
                <w:rFonts w:ascii="Times New Roman" w:eastAsia="SimSun" w:hAnsi="Times New Roman" w:cs="Times New Roman"/>
              </w:rPr>
              <w:t>GN,XL</w:t>
            </w:r>
            <w:proofErr w:type="gramEnd"/>
            <w:r>
              <w:rPr>
                <w:rFonts w:ascii="Times New Roman" w:eastAsia="SimSun" w:hAnsi="Times New Roman" w:cs="Times New Roman"/>
              </w:rPr>
              <w:t>,BL+DT)</w:t>
            </w:r>
          </w:p>
        </w:tc>
        <w:tc>
          <w:tcPr>
            <w:tcW w:w="852" w:type="dxa"/>
            <w:tcBorders>
              <w:top w:val="nil"/>
              <w:left w:val="nil"/>
              <w:bottom w:val="nil"/>
              <w:right w:val="nil"/>
            </w:tcBorders>
          </w:tcPr>
          <w:p w14:paraId="38B6A0BF" w14:textId="77777777" w:rsidR="00037A35" w:rsidRDefault="00000000">
            <w:pPr>
              <w:rPr>
                <w:rFonts w:ascii="Times New Roman" w:eastAsia="SimSun" w:hAnsi="Times New Roman" w:cs="Times New Roman"/>
              </w:rPr>
            </w:pPr>
            <w:r>
              <w:rPr>
                <w:rFonts w:ascii="Times New Roman" w:eastAsia="SimSun" w:hAnsi="Times New Roman" w:cs="Times New Roman"/>
              </w:rPr>
              <w:t>1.990</w:t>
            </w:r>
          </w:p>
        </w:tc>
        <w:tc>
          <w:tcPr>
            <w:tcW w:w="786" w:type="dxa"/>
            <w:tcBorders>
              <w:top w:val="nil"/>
              <w:left w:val="nil"/>
              <w:bottom w:val="nil"/>
              <w:right w:val="nil"/>
            </w:tcBorders>
          </w:tcPr>
          <w:p w14:paraId="51418691" w14:textId="77777777" w:rsidR="00037A35" w:rsidRDefault="00000000">
            <w:pPr>
              <w:rPr>
                <w:rFonts w:ascii="Times New Roman" w:eastAsia="SimSun" w:hAnsi="Times New Roman" w:cs="Times New Roman"/>
              </w:rPr>
            </w:pPr>
            <w:r>
              <w:rPr>
                <w:rFonts w:ascii="Times New Roman" w:eastAsia="SimSun" w:hAnsi="Times New Roman" w:cs="Times New Roman"/>
              </w:rPr>
              <w:t>0.960</w:t>
            </w:r>
          </w:p>
        </w:tc>
        <w:tc>
          <w:tcPr>
            <w:tcW w:w="880" w:type="dxa"/>
            <w:tcBorders>
              <w:top w:val="nil"/>
              <w:left w:val="nil"/>
              <w:bottom w:val="nil"/>
              <w:right w:val="nil"/>
            </w:tcBorders>
          </w:tcPr>
          <w:p w14:paraId="59D457F1" w14:textId="77777777" w:rsidR="00037A35" w:rsidRDefault="00000000">
            <w:pPr>
              <w:rPr>
                <w:rFonts w:ascii="Times New Roman" w:eastAsia="SimSun" w:hAnsi="Times New Roman" w:cs="Times New Roman"/>
              </w:rPr>
            </w:pPr>
            <w:r>
              <w:rPr>
                <w:rFonts w:ascii="Times New Roman" w:eastAsia="SimSun" w:hAnsi="Times New Roman" w:cs="Times New Roman"/>
              </w:rPr>
              <w:t>0.952</w:t>
            </w:r>
          </w:p>
        </w:tc>
        <w:tc>
          <w:tcPr>
            <w:tcW w:w="887" w:type="dxa"/>
            <w:tcBorders>
              <w:top w:val="nil"/>
              <w:left w:val="nil"/>
              <w:bottom w:val="nil"/>
              <w:right w:val="nil"/>
            </w:tcBorders>
          </w:tcPr>
          <w:p w14:paraId="423EAEA3" w14:textId="77777777" w:rsidR="00037A35" w:rsidRDefault="00000000">
            <w:pPr>
              <w:rPr>
                <w:rFonts w:ascii="Times New Roman" w:eastAsia="SimSun" w:hAnsi="Times New Roman" w:cs="Times New Roman"/>
              </w:rPr>
            </w:pPr>
            <w:r>
              <w:rPr>
                <w:rFonts w:ascii="Times New Roman" w:eastAsia="SimSun" w:hAnsi="Times New Roman" w:cs="Times New Roman"/>
              </w:rPr>
              <w:t>0.922</w:t>
            </w:r>
          </w:p>
        </w:tc>
        <w:tc>
          <w:tcPr>
            <w:tcW w:w="966" w:type="dxa"/>
            <w:tcBorders>
              <w:top w:val="nil"/>
              <w:left w:val="nil"/>
              <w:bottom w:val="nil"/>
              <w:right w:val="nil"/>
            </w:tcBorders>
          </w:tcPr>
          <w:p w14:paraId="79BE873E" w14:textId="77777777" w:rsidR="00037A35" w:rsidRDefault="00000000">
            <w:pPr>
              <w:rPr>
                <w:rFonts w:ascii="Times New Roman" w:eastAsia="SimSun" w:hAnsi="Times New Roman" w:cs="Times New Roman"/>
              </w:rPr>
            </w:pPr>
            <w:r>
              <w:rPr>
                <w:rFonts w:ascii="Times New Roman" w:eastAsia="SimSun" w:hAnsi="Times New Roman" w:cs="Times New Roman"/>
              </w:rPr>
              <w:t>0.060</w:t>
            </w:r>
          </w:p>
        </w:tc>
        <w:tc>
          <w:tcPr>
            <w:tcW w:w="786" w:type="dxa"/>
            <w:tcBorders>
              <w:top w:val="nil"/>
              <w:left w:val="nil"/>
              <w:bottom w:val="nil"/>
              <w:right w:val="nil"/>
            </w:tcBorders>
          </w:tcPr>
          <w:p w14:paraId="1D57422C" w14:textId="77777777" w:rsidR="00037A35" w:rsidRDefault="00000000">
            <w:pPr>
              <w:rPr>
                <w:rFonts w:ascii="Times New Roman" w:eastAsia="SimSun" w:hAnsi="Times New Roman" w:cs="Times New Roman"/>
              </w:rPr>
            </w:pPr>
            <w:r>
              <w:rPr>
                <w:rFonts w:ascii="Times New Roman" w:eastAsia="SimSun" w:hAnsi="Times New Roman" w:cs="Times New Roman"/>
              </w:rPr>
              <w:t>0.032</w:t>
            </w:r>
          </w:p>
        </w:tc>
      </w:tr>
      <w:tr w:rsidR="00037A35" w14:paraId="4ADF3D48" w14:textId="77777777">
        <w:tc>
          <w:tcPr>
            <w:tcW w:w="2908" w:type="dxa"/>
            <w:tcBorders>
              <w:top w:val="nil"/>
              <w:left w:val="nil"/>
              <w:bottom w:val="single" w:sz="12" w:space="0" w:color="auto"/>
              <w:right w:val="nil"/>
            </w:tcBorders>
          </w:tcPr>
          <w:p w14:paraId="03B2F832" w14:textId="77777777" w:rsidR="00037A35" w:rsidRDefault="00000000">
            <w:pPr>
              <w:jc w:val="center"/>
              <w:rPr>
                <w:rFonts w:ascii="Times New Roman" w:eastAsia="SimSun" w:hAnsi="Times New Roman" w:cs="Times New Roman"/>
              </w:rPr>
            </w:pPr>
            <w:r>
              <w:rPr>
                <w:rFonts w:ascii="Times New Roman" w:eastAsia="SimSun" w:hAnsi="Times New Roman" w:cs="Times New Roman"/>
              </w:rPr>
              <w:t>Six Factors (</w:t>
            </w:r>
            <w:proofErr w:type="gramStart"/>
            <w:r>
              <w:rPr>
                <w:rFonts w:ascii="Times New Roman" w:eastAsia="SimSun" w:hAnsi="Times New Roman" w:cs="Times New Roman"/>
              </w:rPr>
              <w:t>TG,CZ</w:t>
            </w:r>
            <w:proofErr w:type="gramEnd"/>
            <w:r>
              <w:rPr>
                <w:rFonts w:ascii="Times New Roman" w:eastAsia="SimSun" w:hAnsi="Times New Roman" w:cs="Times New Roman"/>
              </w:rPr>
              <w:t>,</w:t>
            </w:r>
            <w:proofErr w:type="gramStart"/>
            <w:r>
              <w:rPr>
                <w:rFonts w:ascii="Times New Roman" w:eastAsia="SimSun" w:hAnsi="Times New Roman" w:cs="Times New Roman"/>
              </w:rPr>
              <w:t>GN,XL</w:t>
            </w:r>
            <w:proofErr w:type="gramEnd"/>
            <w:r>
              <w:rPr>
                <w:rFonts w:ascii="Times New Roman" w:eastAsia="SimSun" w:hAnsi="Times New Roman" w:cs="Times New Roman"/>
              </w:rPr>
              <w:t>,</w:t>
            </w:r>
            <w:proofErr w:type="gramStart"/>
            <w:r>
              <w:rPr>
                <w:rFonts w:ascii="Times New Roman" w:eastAsia="SimSun" w:hAnsi="Times New Roman" w:cs="Times New Roman"/>
              </w:rPr>
              <w:t>BL,DT</w:t>
            </w:r>
            <w:proofErr w:type="gramEnd"/>
            <w:r>
              <w:rPr>
                <w:rFonts w:ascii="Times New Roman" w:eastAsia="SimSun" w:hAnsi="Times New Roman" w:cs="Times New Roman"/>
              </w:rPr>
              <w:t>)</w:t>
            </w:r>
          </w:p>
        </w:tc>
        <w:tc>
          <w:tcPr>
            <w:tcW w:w="852" w:type="dxa"/>
            <w:tcBorders>
              <w:top w:val="nil"/>
              <w:left w:val="nil"/>
              <w:bottom w:val="single" w:sz="12" w:space="0" w:color="auto"/>
              <w:right w:val="nil"/>
            </w:tcBorders>
          </w:tcPr>
          <w:p w14:paraId="03E84719" w14:textId="77777777" w:rsidR="00037A35" w:rsidRDefault="00000000">
            <w:pPr>
              <w:rPr>
                <w:rFonts w:ascii="Times New Roman" w:eastAsia="SimSun" w:hAnsi="Times New Roman" w:cs="Times New Roman"/>
              </w:rPr>
            </w:pPr>
            <w:r>
              <w:rPr>
                <w:rFonts w:ascii="Times New Roman" w:eastAsia="SimSun" w:hAnsi="Times New Roman" w:cs="Times New Roman"/>
              </w:rPr>
              <w:t>2.011</w:t>
            </w:r>
          </w:p>
        </w:tc>
        <w:tc>
          <w:tcPr>
            <w:tcW w:w="786" w:type="dxa"/>
            <w:tcBorders>
              <w:top w:val="nil"/>
              <w:left w:val="nil"/>
              <w:bottom w:val="single" w:sz="12" w:space="0" w:color="auto"/>
              <w:right w:val="nil"/>
            </w:tcBorders>
          </w:tcPr>
          <w:p w14:paraId="00FC2EA7" w14:textId="77777777" w:rsidR="00037A35" w:rsidRDefault="00000000">
            <w:pPr>
              <w:rPr>
                <w:rFonts w:ascii="Times New Roman" w:eastAsia="SimSun" w:hAnsi="Times New Roman" w:cs="Times New Roman"/>
              </w:rPr>
            </w:pPr>
            <w:r>
              <w:rPr>
                <w:rFonts w:ascii="Times New Roman" w:eastAsia="SimSun" w:hAnsi="Times New Roman" w:cs="Times New Roman"/>
              </w:rPr>
              <w:t>0.959</w:t>
            </w:r>
          </w:p>
        </w:tc>
        <w:tc>
          <w:tcPr>
            <w:tcW w:w="880" w:type="dxa"/>
            <w:tcBorders>
              <w:top w:val="nil"/>
              <w:left w:val="nil"/>
              <w:bottom w:val="single" w:sz="12" w:space="0" w:color="auto"/>
              <w:right w:val="nil"/>
            </w:tcBorders>
          </w:tcPr>
          <w:p w14:paraId="6596625B" w14:textId="77777777" w:rsidR="00037A35" w:rsidRDefault="00000000">
            <w:pPr>
              <w:rPr>
                <w:rFonts w:ascii="Times New Roman" w:eastAsia="SimSun" w:hAnsi="Times New Roman" w:cs="Times New Roman"/>
              </w:rPr>
            </w:pPr>
            <w:r>
              <w:rPr>
                <w:rFonts w:ascii="Times New Roman" w:eastAsia="SimSun" w:hAnsi="Times New Roman" w:cs="Times New Roman"/>
              </w:rPr>
              <w:t>0.951</w:t>
            </w:r>
          </w:p>
        </w:tc>
        <w:tc>
          <w:tcPr>
            <w:tcW w:w="887" w:type="dxa"/>
            <w:tcBorders>
              <w:top w:val="nil"/>
              <w:left w:val="nil"/>
              <w:bottom w:val="single" w:sz="12" w:space="0" w:color="auto"/>
              <w:right w:val="nil"/>
            </w:tcBorders>
          </w:tcPr>
          <w:p w14:paraId="554824E9" w14:textId="77777777" w:rsidR="00037A35" w:rsidRDefault="00000000">
            <w:pPr>
              <w:rPr>
                <w:rFonts w:ascii="Times New Roman" w:eastAsia="SimSun" w:hAnsi="Times New Roman" w:cs="Times New Roman"/>
              </w:rPr>
            </w:pPr>
            <w:r>
              <w:rPr>
                <w:rFonts w:ascii="Times New Roman" w:eastAsia="SimSun" w:hAnsi="Times New Roman" w:cs="Times New Roman"/>
              </w:rPr>
              <w:t>0.923</w:t>
            </w:r>
          </w:p>
        </w:tc>
        <w:tc>
          <w:tcPr>
            <w:tcW w:w="966" w:type="dxa"/>
            <w:tcBorders>
              <w:top w:val="nil"/>
              <w:left w:val="nil"/>
              <w:bottom w:val="single" w:sz="12" w:space="0" w:color="auto"/>
              <w:right w:val="nil"/>
            </w:tcBorders>
          </w:tcPr>
          <w:p w14:paraId="4BBCDA82" w14:textId="77777777" w:rsidR="00037A35" w:rsidRDefault="00000000">
            <w:pPr>
              <w:rPr>
                <w:rFonts w:ascii="Times New Roman" w:eastAsia="SimSun" w:hAnsi="Times New Roman" w:cs="Times New Roman"/>
              </w:rPr>
            </w:pPr>
            <w:r>
              <w:rPr>
                <w:rFonts w:ascii="Times New Roman" w:eastAsia="SimSun" w:hAnsi="Times New Roman" w:cs="Times New Roman"/>
              </w:rPr>
              <w:t>0.060</w:t>
            </w:r>
          </w:p>
        </w:tc>
        <w:tc>
          <w:tcPr>
            <w:tcW w:w="786" w:type="dxa"/>
            <w:tcBorders>
              <w:top w:val="nil"/>
              <w:left w:val="nil"/>
              <w:bottom w:val="single" w:sz="12" w:space="0" w:color="auto"/>
              <w:right w:val="nil"/>
            </w:tcBorders>
          </w:tcPr>
          <w:p w14:paraId="27177B3B" w14:textId="77777777" w:rsidR="00037A35" w:rsidRDefault="00000000">
            <w:pPr>
              <w:rPr>
                <w:rFonts w:ascii="Times New Roman" w:eastAsia="SimSun" w:hAnsi="Times New Roman" w:cs="Times New Roman"/>
              </w:rPr>
            </w:pPr>
            <w:r>
              <w:rPr>
                <w:rFonts w:ascii="Times New Roman" w:eastAsia="SimSun" w:hAnsi="Times New Roman" w:cs="Times New Roman"/>
              </w:rPr>
              <w:t>0.032</w:t>
            </w:r>
          </w:p>
        </w:tc>
      </w:tr>
    </w:tbl>
    <w:p w14:paraId="713ECB7E" w14:textId="77777777" w:rsidR="00037A35" w:rsidRDefault="00000000">
      <w:pPr>
        <w:widowControl/>
        <w:numPr>
          <w:ilvl w:val="255"/>
          <w:numId w:val="0"/>
        </w:numPr>
        <w:rPr>
          <w:rFonts w:ascii="Times New Roman" w:eastAsia="SimSun" w:hAnsi="Times New Roman" w:cs="Times New Roman"/>
          <w:color w:val="000000"/>
          <w:kern w:val="0"/>
          <w:sz w:val="14"/>
          <w:szCs w:val="14"/>
          <w:lang w:bidi="ar"/>
        </w:rPr>
      </w:pPr>
      <w:r>
        <w:rPr>
          <w:rFonts w:ascii="Times New Roman" w:eastAsia="SimSun" w:hAnsi="Times New Roman" w:cs="Times New Roman"/>
          <w:color w:val="000000"/>
          <w:kern w:val="0"/>
          <w:sz w:val="14"/>
          <w:szCs w:val="14"/>
          <w:lang w:bidi="ar"/>
        </w:rPr>
        <w:t>Note: n=279; TG represents information provision; CZ represents co-creation; GN represents functional value; XL represents hedonic value; BL represents customer retention; DT represents unique needs.</w:t>
      </w:r>
    </w:p>
    <w:p w14:paraId="1111A6E6" w14:textId="77777777" w:rsidR="00037A35" w:rsidRDefault="00037A35">
      <w:pPr>
        <w:rPr>
          <w:rFonts w:ascii="Times New Roman" w:hAnsi="Times New Roman" w:cs="Times New Roman"/>
          <w:b/>
          <w:bCs/>
          <w:sz w:val="24"/>
        </w:rPr>
      </w:pPr>
    </w:p>
    <w:p w14:paraId="6D3C7E6C" w14:textId="77777777" w:rsidR="00037A35" w:rsidRDefault="00000000">
      <w:pPr>
        <w:rPr>
          <w:rFonts w:ascii="Times New Roman" w:hAnsi="Times New Roman" w:cs="Times New Roman"/>
          <w:b/>
          <w:bCs/>
          <w:sz w:val="24"/>
        </w:rPr>
      </w:pPr>
      <w:r>
        <w:rPr>
          <w:rFonts w:ascii="Times New Roman" w:hAnsi="Times New Roman" w:cs="Times New Roman" w:hint="eastAsia"/>
          <w:b/>
          <w:bCs/>
          <w:sz w:val="24"/>
        </w:rPr>
        <w:t xml:space="preserve">3.3.2 </w:t>
      </w:r>
      <w:r>
        <w:rPr>
          <w:rFonts w:ascii="Times New Roman" w:hAnsi="Times New Roman" w:cs="Times New Roman"/>
          <w:b/>
          <w:bCs/>
          <w:sz w:val="24"/>
        </w:rPr>
        <w:t>Reliability and Validity Testing</w:t>
      </w:r>
    </w:p>
    <w:p w14:paraId="44CAF044" w14:textId="77777777" w:rsidR="00037A35" w:rsidRDefault="00037A35">
      <w:pPr>
        <w:widowControl/>
        <w:numPr>
          <w:ilvl w:val="255"/>
          <w:numId w:val="0"/>
        </w:numPr>
        <w:rPr>
          <w:rFonts w:ascii="Times New Roman" w:eastAsia="SimSun" w:hAnsi="Times New Roman" w:cs="Times New Roman"/>
          <w:sz w:val="24"/>
        </w:rPr>
      </w:pPr>
    </w:p>
    <w:p w14:paraId="3870446F" w14:textId="77777777" w:rsidR="00037A35" w:rsidRDefault="00000000">
      <w:pPr>
        <w:widowControl/>
        <w:numPr>
          <w:ilvl w:val="255"/>
          <w:numId w:val="0"/>
        </w:numPr>
        <w:ind w:firstLineChars="100" w:firstLine="240"/>
        <w:rPr>
          <w:rFonts w:ascii="Times New Roman" w:eastAsia="SimSun" w:hAnsi="Times New Roman" w:cs="Times New Roman"/>
          <w:sz w:val="24"/>
        </w:rPr>
      </w:pPr>
      <w:r>
        <w:rPr>
          <w:rFonts w:ascii="Times New Roman" w:eastAsia="SimSun" w:hAnsi="Times New Roman" w:cs="Times New Roman"/>
          <w:sz w:val="24"/>
        </w:rPr>
        <w:t>To ensure the reliability of the measurement tool, SPSS 27.0 and AMOS 26.0 were used to conduct reliability and validity analyses of the scales (see Table 3). Cronbach's α coefficient was used to test the internal consistency of each scale. The results showed that the Cronbach's α coefficients of each subscale exceeded 0.8, higher than the generally accepted standard of 0.7. This indicates high consistency among the items of each dimension. Convergent validity of each variable was tested using CFA analysis. The results showed that the standardized factor loadings of each item were greater than 0.7, the CR (combined reliability) were all above 0.8, and the AVE (average variance extracted) were all above 0.6, indicating that the measurement scales of each dimension have good convergent validity.</w:t>
      </w:r>
    </w:p>
    <w:p w14:paraId="45FE2719" w14:textId="77777777" w:rsidR="00037A35" w:rsidRDefault="00037A35">
      <w:pPr>
        <w:widowControl/>
        <w:numPr>
          <w:ilvl w:val="255"/>
          <w:numId w:val="0"/>
        </w:numPr>
        <w:rPr>
          <w:rFonts w:ascii="Times New Roman" w:eastAsia="SimSun" w:hAnsi="Times New Roman" w:cs="Times New Roman"/>
          <w:sz w:val="24"/>
        </w:rPr>
      </w:pPr>
    </w:p>
    <w:p w14:paraId="422EBC94" w14:textId="77777777" w:rsidR="00037A35" w:rsidRDefault="00000000">
      <w:pPr>
        <w:widowControl/>
        <w:numPr>
          <w:ilvl w:val="255"/>
          <w:numId w:val="0"/>
        </w:numPr>
        <w:jc w:val="center"/>
        <w:textAlignment w:val="center"/>
        <w:rPr>
          <w:rFonts w:ascii="Times New Roman" w:eastAsia="SimSun" w:hAnsi="Times New Roman" w:cs="Times New Roman"/>
          <w:color w:val="000000"/>
          <w:kern w:val="0"/>
          <w:sz w:val="20"/>
          <w:szCs w:val="20"/>
          <w:lang w:bidi="ar"/>
        </w:rPr>
      </w:pPr>
      <w:r>
        <w:rPr>
          <w:rFonts w:ascii="Times New Roman" w:eastAsia="SimSun" w:hAnsi="Times New Roman" w:cs="Times New Roman"/>
          <w:color w:val="000000"/>
          <w:kern w:val="0"/>
          <w:sz w:val="20"/>
          <w:szCs w:val="20"/>
          <w:lang w:bidi="ar"/>
        </w:rPr>
        <w:t>Table 3. Reliability and validity test results</w:t>
      </w:r>
    </w:p>
    <w:tbl>
      <w:tblPr>
        <w:tblStyle w:val="TableGrid"/>
        <w:tblW w:w="0" w:type="auto"/>
        <w:jc w:val="center"/>
        <w:tblLook w:val="04A0" w:firstRow="1" w:lastRow="0" w:firstColumn="1" w:lastColumn="0" w:noHBand="0" w:noVBand="1"/>
      </w:tblPr>
      <w:tblGrid>
        <w:gridCol w:w="1247"/>
        <w:gridCol w:w="1791"/>
        <w:gridCol w:w="1488"/>
        <w:gridCol w:w="1920"/>
        <w:gridCol w:w="979"/>
        <w:gridCol w:w="881"/>
      </w:tblGrid>
      <w:tr w:rsidR="00037A35" w14:paraId="655113E2" w14:textId="77777777">
        <w:trPr>
          <w:trHeight w:val="317"/>
          <w:jc w:val="center"/>
        </w:trPr>
        <w:tc>
          <w:tcPr>
            <w:tcW w:w="8306" w:type="dxa"/>
            <w:gridSpan w:val="6"/>
            <w:tcBorders>
              <w:top w:val="single" w:sz="12" w:space="0" w:color="auto"/>
              <w:left w:val="nil"/>
              <w:bottom w:val="single" w:sz="4" w:space="0" w:color="auto"/>
              <w:right w:val="nil"/>
            </w:tcBorders>
          </w:tcPr>
          <w:p w14:paraId="16055315" w14:textId="77777777" w:rsidR="00037A35" w:rsidRDefault="00037A35">
            <w:pPr>
              <w:widowControl/>
              <w:rPr>
                <w:rFonts w:ascii="SimSun" w:eastAsia="SimSun" w:hAnsi="SimSun" w:cs="SimSun"/>
                <w:color w:val="000000"/>
                <w:kern w:val="0"/>
                <w:szCs w:val="21"/>
                <w:lang w:bidi="ar"/>
              </w:rPr>
            </w:pPr>
          </w:p>
        </w:tc>
      </w:tr>
      <w:tr w:rsidR="00037A35" w14:paraId="3659AC20" w14:textId="77777777">
        <w:trPr>
          <w:trHeight w:val="322"/>
          <w:jc w:val="center"/>
        </w:trPr>
        <w:tc>
          <w:tcPr>
            <w:tcW w:w="1247" w:type="dxa"/>
            <w:tcBorders>
              <w:top w:val="single" w:sz="4" w:space="0" w:color="auto"/>
              <w:left w:val="nil"/>
              <w:bottom w:val="nil"/>
              <w:right w:val="nil"/>
            </w:tcBorders>
          </w:tcPr>
          <w:p w14:paraId="7274BB56" w14:textId="77777777" w:rsidR="00037A35" w:rsidRDefault="00000000">
            <w:pPr>
              <w:rPr>
                <w:rFonts w:ascii="Times New Roman" w:hAnsi="Times New Roman" w:cs="Times New Roman"/>
                <w:sz w:val="20"/>
                <w:szCs w:val="20"/>
              </w:rPr>
            </w:pPr>
            <w:r>
              <w:rPr>
                <w:rFonts w:ascii="Times New Roman" w:hAnsi="Times New Roman" w:cs="Times New Roman"/>
              </w:rPr>
              <w:t>Latent variables</w:t>
            </w:r>
          </w:p>
        </w:tc>
        <w:tc>
          <w:tcPr>
            <w:tcW w:w="1791" w:type="dxa"/>
            <w:tcBorders>
              <w:top w:val="single" w:sz="4" w:space="0" w:color="auto"/>
              <w:left w:val="nil"/>
              <w:bottom w:val="nil"/>
              <w:right w:val="nil"/>
            </w:tcBorders>
          </w:tcPr>
          <w:p w14:paraId="0343C436" w14:textId="77777777" w:rsidR="00037A35" w:rsidRDefault="00000000">
            <w:pPr>
              <w:rPr>
                <w:rFonts w:ascii="Times New Roman" w:hAnsi="Times New Roman" w:cs="Times New Roman"/>
                <w:sz w:val="20"/>
                <w:szCs w:val="20"/>
              </w:rPr>
            </w:pPr>
            <w:r>
              <w:rPr>
                <w:rFonts w:ascii="Times New Roman" w:hAnsi="Times New Roman" w:cs="Times New Roman"/>
                <w:sz w:val="20"/>
                <w:szCs w:val="20"/>
              </w:rPr>
              <w:t>Observed variables</w:t>
            </w:r>
          </w:p>
        </w:tc>
        <w:tc>
          <w:tcPr>
            <w:tcW w:w="1488" w:type="dxa"/>
            <w:tcBorders>
              <w:top w:val="single" w:sz="4" w:space="0" w:color="auto"/>
              <w:left w:val="nil"/>
              <w:bottom w:val="nil"/>
              <w:right w:val="nil"/>
            </w:tcBorders>
          </w:tcPr>
          <w:p w14:paraId="59CB09BB" w14:textId="77777777" w:rsidR="00037A35" w:rsidRDefault="00000000">
            <w:pPr>
              <w:rPr>
                <w:rFonts w:ascii="Times New Roman" w:hAnsi="Times New Roman" w:cs="Times New Roman"/>
                <w:sz w:val="20"/>
                <w:szCs w:val="20"/>
              </w:rPr>
            </w:pPr>
            <w:r>
              <w:rPr>
                <w:rFonts w:ascii="Times New Roman" w:hAnsi="Times New Roman" w:cs="Times New Roman"/>
                <w:sz w:val="20"/>
                <w:szCs w:val="20"/>
              </w:rPr>
              <w:t>Factor loadings</w:t>
            </w:r>
          </w:p>
        </w:tc>
        <w:tc>
          <w:tcPr>
            <w:tcW w:w="1920" w:type="dxa"/>
            <w:tcBorders>
              <w:top w:val="single" w:sz="4" w:space="0" w:color="auto"/>
              <w:left w:val="nil"/>
              <w:bottom w:val="nil"/>
              <w:right w:val="nil"/>
            </w:tcBorders>
          </w:tcPr>
          <w:p w14:paraId="5D413B07" w14:textId="77777777" w:rsidR="00037A35" w:rsidRDefault="00000000">
            <w:pPr>
              <w:widowControl/>
              <w:rPr>
                <w:rFonts w:ascii="Times New Roman" w:hAnsi="Times New Roman" w:cs="Times New Roman"/>
                <w:sz w:val="20"/>
                <w:szCs w:val="20"/>
                <w:lang w:bidi="ar"/>
              </w:rPr>
            </w:pPr>
            <w:r>
              <w:rPr>
                <w:rFonts w:ascii="Times New Roman" w:hAnsi="Times New Roman" w:cs="Times New Roman"/>
                <w:sz w:val="20"/>
                <w:szCs w:val="20"/>
                <w:lang w:bidi="ar"/>
              </w:rPr>
              <w:t>Cronbach’s α</w:t>
            </w:r>
          </w:p>
        </w:tc>
        <w:tc>
          <w:tcPr>
            <w:tcW w:w="979" w:type="dxa"/>
            <w:tcBorders>
              <w:top w:val="single" w:sz="4" w:space="0" w:color="auto"/>
              <w:left w:val="nil"/>
              <w:bottom w:val="nil"/>
              <w:right w:val="nil"/>
            </w:tcBorders>
          </w:tcPr>
          <w:p w14:paraId="2A826232" w14:textId="77777777" w:rsidR="00037A35" w:rsidRDefault="00000000">
            <w:pPr>
              <w:rPr>
                <w:rFonts w:ascii="Times New Roman" w:hAnsi="Times New Roman" w:cs="Times New Roman"/>
                <w:sz w:val="20"/>
                <w:szCs w:val="20"/>
              </w:rPr>
            </w:pPr>
            <w:r>
              <w:rPr>
                <w:rFonts w:ascii="Times New Roman" w:hAnsi="Times New Roman" w:cs="Times New Roman"/>
                <w:sz w:val="20"/>
                <w:szCs w:val="20"/>
              </w:rPr>
              <w:t>AVE</w:t>
            </w:r>
          </w:p>
        </w:tc>
        <w:tc>
          <w:tcPr>
            <w:tcW w:w="881" w:type="dxa"/>
            <w:tcBorders>
              <w:top w:val="single" w:sz="4" w:space="0" w:color="auto"/>
              <w:left w:val="nil"/>
              <w:bottom w:val="nil"/>
              <w:right w:val="nil"/>
            </w:tcBorders>
          </w:tcPr>
          <w:p w14:paraId="66FDEC28" w14:textId="77777777" w:rsidR="00037A35" w:rsidRDefault="00000000">
            <w:pPr>
              <w:rPr>
                <w:rFonts w:ascii="Times New Roman" w:hAnsi="Times New Roman" w:cs="Times New Roman"/>
                <w:sz w:val="20"/>
                <w:szCs w:val="20"/>
              </w:rPr>
            </w:pPr>
            <w:r>
              <w:rPr>
                <w:rFonts w:ascii="Times New Roman" w:hAnsi="Times New Roman" w:cs="Times New Roman"/>
                <w:sz w:val="20"/>
                <w:szCs w:val="20"/>
              </w:rPr>
              <w:t>CR</w:t>
            </w:r>
          </w:p>
        </w:tc>
      </w:tr>
      <w:tr w:rsidR="00037A35" w14:paraId="1D7841A4" w14:textId="77777777">
        <w:trPr>
          <w:jc w:val="center"/>
        </w:trPr>
        <w:tc>
          <w:tcPr>
            <w:tcW w:w="1247" w:type="dxa"/>
            <w:vMerge w:val="restart"/>
            <w:tcBorders>
              <w:top w:val="nil"/>
              <w:left w:val="nil"/>
              <w:bottom w:val="nil"/>
              <w:right w:val="nil"/>
            </w:tcBorders>
          </w:tcPr>
          <w:p w14:paraId="292D0930" w14:textId="77777777" w:rsidR="00037A35" w:rsidRDefault="00000000">
            <w:pPr>
              <w:rPr>
                <w:rFonts w:ascii="Times New Roman" w:hAnsi="Times New Roman" w:cs="Times New Roman"/>
                <w:sz w:val="20"/>
                <w:szCs w:val="20"/>
              </w:rPr>
            </w:pPr>
            <w:r>
              <w:rPr>
                <w:rFonts w:ascii="Times New Roman" w:hAnsi="Times New Roman" w:cs="Times New Roman"/>
              </w:rPr>
              <w:t>Information provision</w:t>
            </w:r>
          </w:p>
        </w:tc>
        <w:tc>
          <w:tcPr>
            <w:tcW w:w="1791" w:type="dxa"/>
            <w:tcBorders>
              <w:top w:val="nil"/>
              <w:left w:val="nil"/>
              <w:bottom w:val="nil"/>
              <w:right w:val="nil"/>
            </w:tcBorders>
          </w:tcPr>
          <w:p w14:paraId="3FC64DCE" w14:textId="77777777" w:rsidR="00037A35" w:rsidRDefault="00000000">
            <w:pPr>
              <w:widowControl/>
              <w:rPr>
                <w:rFonts w:ascii="SimSun" w:eastAsia="SimSun" w:hAnsi="SimSun" w:cs="SimSun"/>
                <w:sz w:val="20"/>
                <w:szCs w:val="20"/>
              </w:rPr>
            </w:pPr>
            <w:r>
              <w:rPr>
                <w:rFonts w:ascii="SimSun" w:eastAsia="SimSun" w:hAnsi="SimSun" w:cs="SimSun" w:hint="eastAsia"/>
                <w:color w:val="000000"/>
                <w:kern w:val="0"/>
                <w:sz w:val="20"/>
                <w:szCs w:val="20"/>
                <w:lang w:bidi="ar"/>
              </w:rPr>
              <w:t>TG1</w:t>
            </w:r>
          </w:p>
        </w:tc>
        <w:tc>
          <w:tcPr>
            <w:tcW w:w="1488" w:type="dxa"/>
            <w:tcBorders>
              <w:top w:val="nil"/>
              <w:left w:val="nil"/>
              <w:bottom w:val="nil"/>
              <w:right w:val="nil"/>
            </w:tcBorders>
            <w:vAlign w:val="center"/>
          </w:tcPr>
          <w:p w14:paraId="35A3A9BC"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0.727</w:t>
            </w:r>
          </w:p>
        </w:tc>
        <w:tc>
          <w:tcPr>
            <w:tcW w:w="1920" w:type="dxa"/>
            <w:vMerge w:val="restart"/>
            <w:tcBorders>
              <w:top w:val="nil"/>
              <w:left w:val="nil"/>
              <w:bottom w:val="nil"/>
              <w:right w:val="nil"/>
            </w:tcBorders>
          </w:tcPr>
          <w:p w14:paraId="62B3593A" w14:textId="77777777" w:rsidR="00037A35" w:rsidRDefault="00037A35">
            <w:pPr>
              <w:widowControl/>
              <w:textAlignment w:val="center"/>
              <w:rPr>
                <w:rFonts w:ascii="SimSun" w:eastAsia="SimSun" w:hAnsi="SimSun" w:cs="SimSun"/>
                <w:color w:val="000000"/>
                <w:kern w:val="0"/>
                <w:sz w:val="20"/>
                <w:szCs w:val="20"/>
                <w:lang w:bidi="ar"/>
              </w:rPr>
            </w:pPr>
          </w:p>
          <w:p w14:paraId="1572EE4C" w14:textId="77777777" w:rsidR="00037A35" w:rsidRDefault="00037A35">
            <w:pPr>
              <w:widowControl/>
              <w:textAlignment w:val="center"/>
              <w:rPr>
                <w:rFonts w:ascii="SimSun" w:eastAsia="SimSun" w:hAnsi="SimSun" w:cs="SimSun"/>
                <w:color w:val="000000"/>
                <w:kern w:val="0"/>
                <w:sz w:val="20"/>
                <w:szCs w:val="20"/>
                <w:lang w:bidi="ar"/>
              </w:rPr>
            </w:pPr>
          </w:p>
          <w:p w14:paraId="752CA67C" w14:textId="77777777" w:rsidR="00037A35" w:rsidRDefault="00000000">
            <w:pPr>
              <w:widowControl/>
              <w:textAlignment w:val="center"/>
              <w:rPr>
                <w:rFonts w:ascii="SimSun" w:eastAsia="SimSun" w:hAnsi="SimSun" w:cs="SimSun"/>
                <w:color w:val="000000"/>
                <w:kern w:val="0"/>
                <w:sz w:val="20"/>
                <w:szCs w:val="20"/>
                <w:lang w:bidi="ar"/>
              </w:rPr>
            </w:pPr>
            <w:r>
              <w:rPr>
                <w:rFonts w:ascii="SimSun" w:eastAsia="SimSun" w:hAnsi="SimSun" w:cs="SimSun" w:hint="eastAsia"/>
                <w:color w:val="000000"/>
                <w:kern w:val="0"/>
                <w:sz w:val="20"/>
                <w:szCs w:val="20"/>
                <w:lang w:bidi="ar"/>
              </w:rPr>
              <w:t>0.875</w:t>
            </w:r>
          </w:p>
        </w:tc>
        <w:tc>
          <w:tcPr>
            <w:tcW w:w="979" w:type="dxa"/>
            <w:vMerge w:val="restart"/>
            <w:tcBorders>
              <w:top w:val="nil"/>
              <w:left w:val="nil"/>
              <w:bottom w:val="nil"/>
              <w:right w:val="nil"/>
            </w:tcBorders>
            <w:vAlign w:val="center"/>
          </w:tcPr>
          <w:p w14:paraId="4CFBCAD2"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0.640</w:t>
            </w:r>
          </w:p>
        </w:tc>
        <w:tc>
          <w:tcPr>
            <w:tcW w:w="881" w:type="dxa"/>
            <w:vMerge w:val="restart"/>
            <w:tcBorders>
              <w:top w:val="nil"/>
              <w:left w:val="nil"/>
              <w:bottom w:val="nil"/>
              <w:right w:val="nil"/>
            </w:tcBorders>
            <w:vAlign w:val="center"/>
          </w:tcPr>
          <w:p w14:paraId="72A0CA27"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0.877</w:t>
            </w:r>
          </w:p>
        </w:tc>
      </w:tr>
      <w:tr w:rsidR="00037A35" w14:paraId="398D1DF1" w14:textId="77777777">
        <w:trPr>
          <w:jc w:val="center"/>
        </w:trPr>
        <w:tc>
          <w:tcPr>
            <w:tcW w:w="1247" w:type="dxa"/>
            <w:vMerge/>
            <w:tcBorders>
              <w:top w:val="nil"/>
              <w:left w:val="nil"/>
              <w:bottom w:val="nil"/>
              <w:right w:val="nil"/>
            </w:tcBorders>
          </w:tcPr>
          <w:p w14:paraId="297AF3A4" w14:textId="77777777" w:rsidR="00037A35" w:rsidRDefault="00037A35">
            <w:pPr>
              <w:rPr>
                <w:rFonts w:ascii="Times New Roman" w:hAnsi="Times New Roman" w:cs="Times New Roman"/>
                <w:sz w:val="20"/>
                <w:szCs w:val="20"/>
              </w:rPr>
            </w:pPr>
          </w:p>
        </w:tc>
        <w:tc>
          <w:tcPr>
            <w:tcW w:w="1791" w:type="dxa"/>
            <w:tcBorders>
              <w:top w:val="nil"/>
              <w:left w:val="nil"/>
              <w:bottom w:val="nil"/>
              <w:right w:val="nil"/>
            </w:tcBorders>
          </w:tcPr>
          <w:p w14:paraId="6CE1A3DB" w14:textId="77777777" w:rsidR="00037A35" w:rsidRDefault="00000000">
            <w:pPr>
              <w:widowControl/>
              <w:rPr>
                <w:rFonts w:ascii="SimSun" w:eastAsia="SimSun" w:hAnsi="SimSun" w:cs="SimSun"/>
                <w:sz w:val="20"/>
                <w:szCs w:val="20"/>
              </w:rPr>
            </w:pPr>
            <w:r>
              <w:rPr>
                <w:rFonts w:ascii="SimSun" w:eastAsia="SimSun" w:hAnsi="SimSun" w:cs="SimSun" w:hint="eastAsia"/>
                <w:color w:val="000000"/>
                <w:kern w:val="0"/>
                <w:sz w:val="20"/>
                <w:szCs w:val="20"/>
                <w:lang w:bidi="ar"/>
              </w:rPr>
              <w:t>TG2</w:t>
            </w:r>
          </w:p>
        </w:tc>
        <w:tc>
          <w:tcPr>
            <w:tcW w:w="1488" w:type="dxa"/>
            <w:tcBorders>
              <w:top w:val="nil"/>
              <w:left w:val="nil"/>
              <w:bottom w:val="nil"/>
              <w:right w:val="nil"/>
            </w:tcBorders>
            <w:vAlign w:val="center"/>
          </w:tcPr>
          <w:p w14:paraId="2757FB20"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0.844</w:t>
            </w:r>
          </w:p>
        </w:tc>
        <w:tc>
          <w:tcPr>
            <w:tcW w:w="1920" w:type="dxa"/>
            <w:vMerge/>
            <w:tcBorders>
              <w:top w:val="nil"/>
              <w:left w:val="nil"/>
              <w:bottom w:val="nil"/>
              <w:right w:val="nil"/>
            </w:tcBorders>
          </w:tcPr>
          <w:p w14:paraId="7549CA1F" w14:textId="77777777" w:rsidR="00037A35" w:rsidRDefault="00037A35">
            <w:pPr>
              <w:widowControl/>
              <w:textAlignment w:val="center"/>
              <w:rPr>
                <w:rFonts w:ascii="SimSun" w:eastAsia="SimSun" w:hAnsi="SimSun" w:cs="SimSun"/>
                <w:color w:val="000000"/>
                <w:kern w:val="0"/>
                <w:sz w:val="20"/>
                <w:szCs w:val="20"/>
                <w:lang w:bidi="ar"/>
              </w:rPr>
            </w:pPr>
          </w:p>
        </w:tc>
        <w:tc>
          <w:tcPr>
            <w:tcW w:w="979" w:type="dxa"/>
            <w:vMerge/>
            <w:tcBorders>
              <w:top w:val="nil"/>
              <w:left w:val="nil"/>
              <w:bottom w:val="nil"/>
              <w:right w:val="nil"/>
            </w:tcBorders>
            <w:vAlign w:val="center"/>
          </w:tcPr>
          <w:p w14:paraId="2ADBFCC0" w14:textId="77777777" w:rsidR="00037A35" w:rsidRDefault="00037A35">
            <w:pPr>
              <w:rPr>
                <w:rFonts w:ascii="SimSun" w:eastAsia="SimSun" w:hAnsi="SimSun" w:cs="SimSun"/>
                <w:color w:val="000000"/>
                <w:sz w:val="20"/>
                <w:szCs w:val="20"/>
              </w:rPr>
            </w:pPr>
          </w:p>
        </w:tc>
        <w:tc>
          <w:tcPr>
            <w:tcW w:w="881" w:type="dxa"/>
            <w:vMerge/>
            <w:tcBorders>
              <w:top w:val="nil"/>
              <w:left w:val="nil"/>
              <w:bottom w:val="nil"/>
              <w:right w:val="nil"/>
            </w:tcBorders>
            <w:vAlign w:val="center"/>
          </w:tcPr>
          <w:p w14:paraId="547C2465" w14:textId="77777777" w:rsidR="00037A35" w:rsidRDefault="00037A35">
            <w:pPr>
              <w:rPr>
                <w:rFonts w:ascii="SimSun" w:eastAsia="SimSun" w:hAnsi="SimSun" w:cs="SimSun"/>
                <w:color w:val="000000"/>
                <w:sz w:val="20"/>
                <w:szCs w:val="20"/>
              </w:rPr>
            </w:pPr>
          </w:p>
        </w:tc>
      </w:tr>
      <w:tr w:rsidR="00037A35" w14:paraId="7F1F3D93" w14:textId="77777777">
        <w:trPr>
          <w:jc w:val="center"/>
        </w:trPr>
        <w:tc>
          <w:tcPr>
            <w:tcW w:w="1247" w:type="dxa"/>
            <w:vMerge/>
            <w:tcBorders>
              <w:top w:val="nil"/>
              <w:left w:val="nil"/>
              <w:bottom w:val="nil"/>
              <w:right w:val="nil"/>
            </w:tcBorders>
          </w:tcPr>
          <w:p w14:paraId="75C28BED" w14:textId="77777777" w:rsidR="00037A35" w:rsidRDefault="00037A35">
            <w:pPr>
              <w:rPr>
                <w:rFonts w:ascii="Times New Roman" w:hAnsi="Times New Roman" w:cs="Times New Roman"/>
                <w:sz w:val="20"/>
                <w:szCs w:val="20"/>
              </w:rPr>
            </w:pPr>
          </w:p>
        </w:tc>
        <w:tc>
          <w:tcPr>
            <w:tcW w:w="1791" w:type="dxa"/>
            <w:tcBorders>
              <w:top w:val="nil"/>
              <w:left w:val="nil"/>
              <w:bottom w:val="nil"/>
              <w:right w:val="nil"/>
            </w:tcBorders>
          </w:tcPr>
          <w:p w14:paraId="437EFA15" w14:textId="77777777" w:rsidR="00037A35" w:rsidRDefault="00000000">
            <w:pPr>
              <w:widowControl/>
              <w:rPr>
                <w:rFonts w:ascii="SimSun" w:eastAsia="SimSun" w:hAnsi="SimSun" w:cs="SimSun"/>
                <w:sz w:val="20"/>
                <w:szCs w:val="20"/>
              </w:rPr>
            </w:pPr>
            <w:r>
              <w:rPr>
                <w:rFonts w:ascii="SimSun" w:eastAsia="SimSun" w:hAnsi="SimSun" w:cs="SimSun" w:hint="eastAsia"/>
                <w:color w:val="000000"/>
                <w:kern w:val="0"/>
                <w:sz w:val="20"/>
                <w:szCs w:val="20"/>
                <w:lang w:bidi="ar"/>
              </w:rPr>
              <w:t>TG3</w:t>
            </w:r>
          </w:p>
        </w:tc>
        <w:tc>
          <w:tcPr>
            <w:tcW w:w="1488" w:type="dxa"/>
            <w:tcBorders>
              <w:top w:val="nil"/>
              <w:left w:val="nil"/>
              <w:bottom w:val="nil"/>
              <w:right w:val="nil"/>
            </w:tcBorders>
            <w:vAlign w:val="center"/>
          </w:tcPr>
          <w:p w14:paraId="794CE28C"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0.812</w:t>
            </w:r>
          </w:p>
        </w:tc>
        <w:tc>
          <w:tcPr>
            <w:tcW w:w="1920" w:type="dxa"/>
            <w:vMerge/>
            <w:tcBorders>
              <w:top w:val="nil"/>
              <w:left w:val="nil"/>
              <w:bottom w:val="nil"/>
              <w:right w:val="nil"/>
            </w:tcBorders>
          </w:tcPr>
          <w:p w14:paraId="159C1CC8" w14:textId="77777777" w:rsidR="00037A35" w:rsidRDefault="00037A35">
            <w:pPr>
              <w:widowControl/>
              <w:textAlignment w:val="center"/>
              <w:rPr>
                <w:rFonts w:ascii="SimSun" w:eastAsia="SimSun" w:hAnsi="SimSun" w:cs="SimSun"/>
                <w:color w:val="000000"/>
                <w:kern w:val="0"/>
                <w:sz w:val="20"/>
                <w:szCs w:val="20"/>
                <w:lang w:bidi="ar"/>
              </w:rPr>
            </w:pPr>
          </w:p>
        </w:tc>
        <w:tc>
          <w:tcPr>
            <w:tcW w:w="979" w:type="dxa"/>
            <w:vMerge/>
            <w:tcBorders>
              <w:top w:val="nil"/>
              <w:left w:val="nil"/>
              <w:bottom w:val="nil"/>
              <w:right w:val="nil"/>
            </w:tcBorders>
            <w:vAlign w:val="center"/>
          </w:tcPr>
          <w:p w14:paraId="2108EB51" w14:textId="77777777" w:rsidR="00037A35" w:rsidRDefault="00037A35">
            <w:pPr>
              <w:rPr>
                <w:rFonts w:ascii="SimSun" w:eastAsia="SimSun" w:hAnsi="SimSun" w:cs="SimSun"/>
                <w:color w:val="000000"/>
                <w:sz w:val="20"/>
                <w:szCs w:val="20"/>
              </w:rPr>
            </w:pPr>
          </w:p>
        </w:tc>
        <w:tc>
          <w:tcPr>
            <w:tcW w:w="881" w:type="dxa"/>
            <w:vMerge/>
            <w:tcBorders>
              <w:top w:val="nil"/>
              <w:left w:val="nil"/>
              <w:bottom w:val="nil"/>
              <w:right w:val="nil"/>
            </w:tcBorders>
            <w:vAlign w:val="center"/>
          </w:tcPr>
          <w:p w14:paraId="6E3840EA" w14:textId="77777777" w:rsidR="00037A35" w:rsidRDefault="00037A35">
            <w:pPr>
              <w:rPr>
                <w:rFonts w:ascii="SimSun" w:eastAsia="SimSun" w:hAnsi="SimSun" w:cs="SimSun"/>
                <w:color w:val="000000"/>
                <w:sz w:val="20"/>
                <w:szCs w:val="20"/>
              </w:rPr>
            </w:pPr>
          </w:p>
        </w:tc>
      </w:tr>
      <w:tr w:rsidR="00037A35" w14:paraId="2AA54149" w14:textId="77777777">
        <w:trPr>
          <w:jc w:val="center"/>
        </w:trPr>
        <w:tc>
          <w:tcPr>
            <w:tcW w:w="1247" w:type="dxa"/>
            <w:vMerge/>
            <w:tcBorders>
              <w:top w:val="nil"/>
              <w:left w:val="nil"/>
              <w:bottom w:val="nil"/>
              <w:right w:val="nil"/>
            </w:tcBorders>
          </w:tcPr>
          <w:p w14:paraId="6C8A383F" w14:textId="77777777" w:rsidR="00037A35" w:rsidRDefault="00037A35">
            <w:pPr>
              <w:rPr>
                <w:rFonts w:ascii="Times New Roman" w:hAnsi="Times New Roman" w:cs="Times New Roman"/>
                <w:sz w:val="20"/>
                <w:szCs w:val="20"/>
              </w:rPr>
            </w:pPr>
          </w:p>
        </w:tc>
        <w:tc>
          <w:tcPr>
            <w:tcW w:w="1791" w:type="dxa"/>
            <w:tcBorders>
              <w:top w:val="nil"/>
              <w:left w:val="nil"/>
              <w:bottom w:val="nil"/>
              <w:right w:val="nil"/>
            </w:tcBorders>
          </w:tcPr>
          <w:p w14:paraId="0D9CAEDE" w14:textId="77777777" w:rsidR="00037A35" w:rsidRDefault="00000000">
            <w:pPr>
              <w:widowControl/>
              <w:rPr>
                <w:rFonts w:ascii="SimSun" w:eastAsia="SimSun" w:hAnsi="SimSun" w:cs="SimSun"/>
                <w:sz w:val="20"/>
                <w:szCs w:val="20"/>
              </w:rPr>
            </w:pPr>
            <w:r>
              <w:rPr>
                <w:rFonts w:ascii="SimSun" w:eastAsia="SimSun" w:hAnsi="SimSun" w:cs="SimSun" w:hint="eastAsia"/>
                <w:color w:val="000000"/>
                <w:kern w:val="0"/>
                <w:sz w:val="20"/>
                <w:szCs w:val="20"/>
                <w:lang w:bidi="ar"/>
              </w:rPr>
              <w:t>TG4</w:t>
            </w:r>
          </w:p>
        </w:tc>
        <w:tc>
          <w:tcPr>
            <w:tcW w:w="1488" w:type="dxa"/>
            <w:tcBorders>
              <w:top w:val="nil"/>
              <w:left w:val="nil"/>
              <w:bottom w:val="nil"/>
              <w:right w:val="nil"/>
            </w:tcBorders>
            <w:vAlign w:val="center"/>
          </w:tcPr>
          <w:p w14:paraId="4EED365E"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0.813</w:t>
            </w:r>
          </w:p>
        </w:tc>
        <w:tc>
          <w:tcPr>
            <w:tcW w:w="1920" w:type="dxa"/>
            <w:vMerge/>
            <w:tcBorders>
              <w:top w:val="nil"/>
              <w:left w:val="nil"/>
              <w:bottom w:val="nil"/>
              <w:right w:val="nil"/>
            </w:tcBorders>
          </w:tcPr>
          <w:p w14:paraId="7D4B8511" w14:textId="77777777" w:rsidR="00037A35" w:rsidRDefault="00037A35">
            <w:pPr>
              <w:widowControl/>
              <w:textAlignment w:val="center"/>
              <w:rPr>
                <w:rFonts w:ascii="SimSun" w:eastAsia="SimSun" w:hAnsi="SimSun" w:cs="SimSun"/>
                <w:color w:val="000000"/>
                <w:kern w:val="0"/>
                <w:sz w:val="20"/>
                <w:szCs w:val="20"/>
                <w:lang w:bidi="ar"/>
              </w:rPr>
            </w:pPr>
          </w:p>
        </w:tc>
        <w:tc>
          <w:tcPr>
            <w:tcW w:w="979" w:type="dxa"/>
            <w:vMerge/>
            <w:tcBorders>
              <w:top w:val="nil"/>
              <w:left w:val="nil"/>
              <w:bottom w:val="nil"/>
              <w:right w:val="nil"/>
            </w:tcBorders>
            <w:vAlign w:val="center"/>
          </w:tcPr>
          <w:p w14:paraId="553CE3F9" w14:textId="77777777" w:rsidR="00037A35" w:rsidRDefault="00037A35">
            <w:pPr>
              <w:rPr>
                <w:rFonts w:ascii="SimSun" w:eastAsia="SimSun" w:hAnsi="SimSun" w:cs="SimSun"/>
                <w:color w:val="000000"/>
                <w:sz w:val="20"/>
                <w:szCs w:val="20"/>
              </w:rPr>
            </w:pPr>
          </w:p>
        </w:tc>
        <w:tc>
          <w:tcPr>
            <w:tcW w:w="881" w:type="dxa"/>
            <w:vMerge/>
            <w:tcBorders>
              <w:top w:val="nil"/>
              <w:left w:val="nil"/>
              <w:bottom w:val="nil"/>
              <w:right w:val="nil"/>
            </w:tcBorders>
            <w:vAlign w:val="center"/>
          </w:tcPr>
          <w:p w14:paraId="1C02989B" w14:textId="77777777" w:rsidR="00037A35" w:rsidRDefault="00037A35">
            <w:pPr>
              <w:rPr>
                <w:rFonts w:ascii="SimSun" w:eastAsia="SimSun" w:hAnsi="SimSun" w:cs="SimSun"/>
                <w:color w:val="000000"/>
                <w:sz w:val="20"/>
                <w:szCs w:val="20"/>
              </w:rPr>
            </w:pPr>
          </w:p>
        </w:tc>
      </w:tr>
      <w:tr w:rsidR="00037A35" w14:paraId="08C4B737" w14:textId="77777777">
        <w:trPr>
          <w:jc w:val="center"/>
        </w:trPr>
        <w:tc>
          <w:tcPr>
            <w:tcW w:w="1247" w:type="dxa"/>
            <w:vMerge w:val="restart"/>
            <w:tcBorders>
              <w:top w:val="nil"/>
              <w:left w:val="nil"/>
              <w:bottom w:val="nil"/>
              <w:right w:val="nil"/>
            </w:tcBorders>
          </w:tcPr>
          <w:p w14:paraId="20C6523B" w14:textId="77777777" w:rsidR="00037A35" w:rsidRDefault="00000000">
            <w:pPr>
              <w:rPr>
                <w:rFonts w:ascii="Times New Roman" w:hAnsi="Times New Roman" w:cs="Times New Roman"/>
                <w:sz w:val="20"/>
                <w:szCs w:val="20"/>
              </w:rPr>
            </w:pPr>
            <w:r>
              <w:rPr>
                <w:rFonts w:ascii="Times New Roman" w:hAnsi="Times New Roman" w:cs="Times New Roman"/>
              </w:rPr>
              <w:t>Co-creation</w:t>
            </w:r>
          </w:p>
        </w:tc>
        <w:tc>
          <w:tcPr>
            <w:tcW w:w="1791" w:type="dxa"/>
            <w:tcBorders>
              <w:top w:val="nil"/>
              <w:left w:val="nil"/>
              <w:bottom w:val="nil"/>
              <w:right w:val="nil"/>
            </w:tcBorders>
          </w:tcPr>
          <w:p w14:paraId="734D6A90" w14:textId="77777777" w:rsidR="00037A35" w:rsidRDefault="00000000">
            <w:pPr>
              <w:widowControl/>
              <w:rPr>
                <w:rFonts w:ascii="SimSun" w:eastAsia="SimSun" w:hAnsi="SimSun" w:cs="SimSun"/>
                <w:color w:val="000000"/>
                <w:kern w:val="0"/>
                <w:sz w:val="20"/>
                <w:szCs w:val="20"/>
                <w:lang w:bidi="ar"/>
              </w:rPr>
            </w:pPr>
            <w:r>
              <w:rPr>
                <w:rFonts w:ascii="SimSun" w:eastAsia="SimSun" w:hAnsi="SimSun" w:cs="SimSun" w:hint="eastAsia"/>
                <w:color w:val="000000"/>
                <w:kern w:val="0"/>
                <w:sz w:val="20"/>
                <w:szCs w:val="20"/>
                <w:lang w:bidi="ar"/>
              </w:rPr>
              <w:t>CZ1</w:t>
            </w:r>
          </w:p>
        </w:tc>
        <w:tc>
          <w:tcPr>
            <w:tcW w:w="1488" w:type="dxa"/>
            <w:tcBorders>
              <w:top w:val="nil"/>
              <w:left w:val="nil"/>
              <w:bottom w:val="nil"/>
              <w:right w:val="nil"/>
            </w:tcBorders>
            <w:vAlign w:val="center"/>
          </w:tcPr>
          <w:p w14:paraId="7BFDFAF0"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0.758</w:t>
            </w:r>
          </w:p>
        </w:tc>
        <w:tc>
          <w:tcPr>
            <w:tcW w:w="1920" w:type="dxa"/>
            <w:vMerge w:val="restart"/>
            <w:tcBorders>
              <w:top w:val="nil"/>
              <w:left w:val="nil"/>
              <w:bottom w:val="nil"/>
              <w:right w:val="nil"/>
            </w:tcBorders>
          </w:tcPr>
          <w:p w14:paraId="5990C74A" w14:textId="77777777" w:rsidR="00037A35" w:rsidRDefault="00037A35">
            <w:pPr>
              <w:widowControl/>
              <w:textAlignment w:val="center"/>
              <w:rPr>
                <w:rFonts w:ascii="SimSun" w:eastAsia="SimSun" w:hAnsi="SimSun" w:cs="SimSun"/>
                <w:color w:val="000000"/>
                <w:kern w:val="0"/>
                <w:sz w:val="20"/>
                <w:szCs w:val="20"/>
                <w:lang w:bidi="ar"/>
              </w:rPr>
            </w:pPr>
          </w:p>
          <w:p w14:paraId="223A56B3" w14:textId="77777777" w:rsidR="00037A35" w:rsidRDefault="00000000">
            <w:pPr>
              <w:widowControl/>
              <w:textAlignment w:val="center"/>
              <w:rPr>
                <w:rFonts w:ascii="SimSun" w:eastAsia="SimSun" w:hAnsi="SimSun" w:cs="SimSun"/>
                <w:color w:val="000000"/>
                <w:kern w:val="0"/>
                <w:sz w:val="20"/>
                <w:szCs w:val="20"/>
                <w:lang w:bidi="ar"/>
              </w:rPr>
            </w:pPr>
            <w:r>
              <w:rPr>
                <w:rFonts w:ascii="SimSun" w:eastAsia="SimSun" w:hAnsi="SimSun" w:cs="SimSun" w:hint="eastAsia"/>
                <w:color w:val="000000"/>
                <w:kern w:val="0"/>
                <w:sz w:val="20"/>
                <w:szCs w:val="20"/>
                <w:lang w:bidi="ar"/>
              </w:rPr>
              <w:t>0.807</w:t>
            </w:r>
          </w:p>
        </w:tc>
        <w:tc>
          <w:tcPr>
            <w:tcW w:w="979" w:type="dxa"/>
            <w:vMerge w:val="restart"/>
            <w:tcBorders>
              <w:top w:val="nil"/>
              <w:left w:val="nil"/>
              <w:bottom w:val="nil"/>
              <w:right w:val="nil"/>
            </w:tcBorders>
            <w:vAlign w:val="center"/>
          </w:tcPr>
          <w:p w14:paraId="331CCB53"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0.595</w:t>
            </w:r>
          </w:p>
        </w:tc>
        <w:tc>
          <w:tcPr>
            <w:tcW w:w="881" w:type="dxa"/>
            <w:vMerge w:val="restart"/>
            <w:tcBorders>
              <w:top w:val="nil"/>
              <w:left w:val="nil"/>
              <w:bottom w:val="nil"/>
              <w:right w:val="nil"/>
            </w:tcBorders>
            <w:vAlign w:val="center"/>
          </w:tcPr>
          <w:p w14:paraId="72B0EEC4"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0.815</w:t>
            </w:r>
          </w:p>
        </w:tc>
      </w:tr>
      <w:tr w:rsidR="00037A35" w14:paraId="0F853DAB" w14:textId="77777777">
        <w:trPr>
          <w:jc w:val="center"/>
        </w:trPr>
        <w:tc>
          <w:tcPr>
            <w:tcW w:w="1247" w:type="dxa"/>
            <w:vMerge/>
            <w:tcBorders>
              <w:top w:val="nil"/>
              <w:left w:val="nil"/>
              <w:bottom w:val="nil"/>
              <w:right w:val="nil"/>
            </w:tcBorders>
          </w:tcPr>
          <w:p w14:paraId="7DB55C91" w14:textId="77777777" w:rsidR="00037A35" w:rsidRDefault="00037A35">
            <w:pPr>
              <w:rPr>
                <w:rFonts w:ascii="Times New Roman" w:hAnsi="Times New Roman" w:cs="Times New Roman"/>
                <w:sz w:val="20"/>
                <w:szCs w:val="20"/>
              </w:rPr>
            </w:pPr>
          </w:p>
        </w:tc>
        <w:tc>
          <w:tcPr>
            <w:tcW w:w="1791" w:type="dxa"/>
            <w:tcBorders>
              <w:top w:val="nil"/>
              <w:left w:val="nil"/>
              <w:bottom w:val="nil"/>
              <w:right w:val="nil"/>
            </w:tcBorders>
          </w:tcPr>
          <w:p w14:paraId="31AD3198" w14:textId="77777777" w:rsidR="00037A35" w:rsidRDefault="00000000">
            <w:pPr>
              <w:widowControl/>
              <w:rPr>
                <w:rFonts w:ascii="SimSun" w:eastAsia="SimSun" w:hAnsi="SimSun" w:cs="SimSun"/>
                <w:color w:val="000000"/>
                <w:kern w:val="0"/>
                <w:sz w:val="20"/>
                <w:szCs w:val="20"/>
                <w:lang w:bidi="ar"/>
              </w:rPr>
            </w:pPr>
            <w:r>
              <w:rPr>
                <w:rFonts w:ascii="SimSun" w:eastAsia="SimSun" w:hAnsi="SimSun" w:cs="SimSun" w:hint="eastAsia"/>
                <w:color w:val="000000"/>
                <w:kern w:val="0"/>
                <w:sz w:val="20"/>
                <w:szCs w:val="20"/>
                <w:lang w:bidi="ar"/>
              </w:rPr>
              <w:t>CZ2</w:t>
            </w:r>
          </w:p>
        </w:tc>
        <w:tc>
          <w:tcPr>
            <w:tcW w:w="1488" w:type="dxa"/>
            <w:tcBorders>
              <w:top w:val="nil"/>
              <w:left w:val="nil"/>
              <w:bottom w:val="nil"/>
              <w:right w:val="nil"/>
            </w:tcBorders>
            <w:vAlign w:val="center"/>
          </w:tcPr>
          <w:p w14:paraId="5C546511"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0.792</w:t>
            </w:r>
          </w:p>
        </w:tc>
        <w:tc>
          <w:tcPr>
            <w:tcW w:w="1920" w:type="dxa"/>
            <w:vMerge/>
            <w:tcBorders>
              <w:top w:val="nil"/>
              <w:left w:val="nil"/>
              <w:bottom w:val="nil"/>
              <w:right w:val="nil"/>
            </w:tcBorders>
          </w:tcPr>
          <w:p w14:paraId="2CB616A4" w14:textId="77777777" w:rsidR="00037A35" w:rsidRDefault="00037A35">
            <w:pPr>
              <w:widowControl/>
              <w:textAlignment w:val="center"/>
              <w:rPr>
                <w:rFonts w:ascii="SimSun" w:eastAsia="SimSun" w:hAnsi="SimSun" w:cs="SimSun"/>
                <w:color w:val="000000"/>
                <w:kern w:val="0"/>
                <w:sz w:val="20"/>
                <w:szCs w:val="20"/>
                <w:lang w:bidi="ar"/>
              </w:rPr>
            </w:pPr>
          </w:p>
        </w:tc>
        <w:tc>
          <w:tcPr>
            <w:tcW w:w="979" w:type="dxa"/>
            <w:vMerge/>
            <w:tcBorders>
              <w:top w:val="nil"/>
              <w:left w:val="nil"/>
              <w:bottom w:val="nil"/>
              <w:right w:val="nil"/>
            </w:tcBorders>
            <w:vAlign w:val="center"/>
          </w:tcPr>
          <w:p w14:paraId="608F66C5" w14:textId="77777777" w:rsidR="00037A35" w:rsidRDefault="00037A35">
            <w:pPr>
              <w:rPr>
                <w:rFonts w:ascii="SimSun" w:eastAsia="SimSun" w:hAnsi="SimSun" w:cs="SimSun"/>
                <w:color w:val="000000"/>
                <w:sz w:val="20"/>
                <w:szCs w:val="20"/>
              </w:rPr>
            </w:pPr>
          </w:p>
        </w:tc>
        <w:tc>
          <w:tcPr>
            <w:tcW w:w="881" w:type="dxa"/>
            <w:vMerge/>
            <w:tcBorders>
              <w:top w:val="nil"/>
              <w:left w:val="nil"/>
              <w:bottom w:val="nil"/>
              <w:right w:val="nil"/>
            </w:tcBorders>
            <w:vAlign w:val="center"/>
          </w:tcPr>
          <w:p w14:paraId="7866818F" w14:textId="77777777" w:rsidR="00037A35" w:rsidRDefault="00037A35">
            <w:pPr>
              <w:rPr>
                <w:rFonts w:ascii="SimSun" w:eastAsia="SimSun" w:hAnsi="SimSun" w:cs="SimSun"/>
                <w:color w:val="000000"/>
                <w:sz w:val="20"/>
                <w:szCs w:val="20"/>
              </w:rPr>
            </w:pPr>
          </w:p>
        </w:tc>
      </w:tr>
      <w:tr w:rsidR="00037A35" w14:paraId="489F8A9A" w14:textId="77777777">
        <w:trPr>
          <w:trHeight w:val="409"/>
          <w:jc w:val="center"/>
        </w:trPr>
        <w:tc>
          <w:tcPr>
            <w:tcW w:w="1247" w:type="dxa"/>
            <w:vMerge/>
            <w:tcBorders>
              <w:top w:val="nil"/>
              <w:left w:val="nil"/>
              <w:bottom w:val="nil"/>
              <w:right w:val="nil"/>
            </w:tcBorders>
          </w:tcPr>
          <w:p w14:paraId="059B8033" w14:textId="77777777" w:rsidR="00037A35" w:rsidRDefault="00037A35">
            <w:pPr>
              <w:rPr>
                <w:rFonts w:ascii="Times New Roman" w:hAnsi="Times New Roman" w:cs="Times New Roman"/>
                <w:sz w:val="20"/>
                <w:szCs w:val="20"/>
              </w:rPr>
            </w:pPr>
          </w:p>
        </w:tc>
        <w:tc>
          <w:tcPr>
            <w:tcW w:w="1791" w:type="dxa"/>
            <w:tcBorders>
              <w:top w:val="nil"/>
              <w:left w:val="nil"/>
              <w:bottom w:val="nil"/>
              <w:right w:val="nil"/>
            </w:tcBorders>
          </w:tcPr>
          <w:p w14:paraId="3991C50C" w14:textId="77777777" w:rsidR="00037A35" w:rsidRDefault="00000000">
            <w:pPr>
              <w:widowControl/>
              <w:rPr>
                <w:rFonts w:ascii="SimSun" w:eastAsia="SimSun" w:hAnsi="SimSun" w:cs="SimSun"/>
                <w:color w:val="000000"/>
                <w:kern w:val="0"/>
                <w:sz w:val="20"/>
                <w:szCs w:val="20"/>
                <w:lang w:bidi="ar"/>
              </w:rPr>
            </w:pPr>
            <w:r>
              <w:rPr>
                <w:rFonts w:ascii="SimSun" w:eastAsia="SimSun" w:hAnsi="SimSun" w:cs="SimSun" w:hint="eastAsia"/>
                <w:color w:val="000000"/>
                <w:kern w:val="0"/>
                <w:sz w:val="20"/>
                <w:szCs w:val="20"/>
                <w:lang w:bidi="ar"/>
              </w:rPr>
              <w:t>CZ3</w:t>
            </w:r>
          </w:p>
        </w:tc>
        <w:tc>
          <w:tcPr>
            <w:tcW w:w="1488" w:type="dxa"/>
            <w:tcBorders>
              <w:top w:val="nil"/>
              <w:left w:val="nil"/>
              <w:bottom w:val="nil"/>
              <w:right w:val="nil"/>
            </w:tcBorders>
            <w:vAlign w:val="center"/>
          </w:tcPr>
          <w:p w14:paraId="284130C2"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0.763</w:t>
            </w:r>
          </w:p>
        </w:tc>
        <w:tc>
          <w:tcPr>
            <w:tcW w:w="1920" w:type="dxa"/>
            <w:vMerge/>
            <w:tcBorders>
              <w:top w:val="nil"/>
              <w:left w:val="nil"/>
              <w:bottom w:val="nil"/>
              <w:right w:val="nil"/>
            </w:tcBorders>
          </w:tcPr>
          <w:p w14:paraId="67F83C52" w14:textId="77777777" w:rsidR="00037A35" w:rsidRDefault="00037A35">
            <w:pPr>
              <w:widowControl/>
              <w:textAlignment w:val="center"/>
              <w:rPr>
                <w:rFonts w:ascii="SimSun" w:eastAsia="SimSun" w:hAnsi="SimSun" w:cs="SimSun"/>
                <w:color w:val="000000"/>
                <w:kern w:val="0"/>
                <w:sz w:val="20"/>
                <w:szCs w:val="20"/>
                <w:lang w:bidi="ar"/>
              </w:rPr>
            </w:pPr>
          </w:p>
        </w:tc>
        <w:tc>
          <w:tcPr>
            <w:tcW w:w="979" w:type="dxa"/>
            <w:vMerge/>
            <w:tcBorders>
              <w:top w:val="nil"/>
              <w:left w:val="nil"/>
              <w:bottom w:val="nil"/>
              <w:right w:val="nil"/>
            </w:tcBorders>
            <w:vAlign w:val="center"/>
          </w:tcPr>
          <w:p w14:paraId="392EF852" w14:textId="77777777" w:rsidR="00037A35" w:rsidRDefault="00037A35">
            <w:pPr>
              <w:rPr>
                <w:rFonts w:ascii="SimSun" w:eastAsia="SimSun" w:hAnsi="SimSun" w:cs="SimSun"/>
                <w:color w:val="000000"/>
                <w:sz w:val="20"/>
                <w:szCs w:val="20"/>
              </w:rPr>
            </w:pPr>
          </w:p>
        </w:tc>
        <w:tc>
          <w:tcPr>
            <w:tcW w:w="881" w:type="dxa"/>
            <w:vMerge/>
            <w:tcBorders>
              <w:top w:val="nil"/>
              <w:left w:val="nil"/>
              <w:bottom w:val="nil"/>
              <w:right w:val="nil"/>
            </w:tcBorders>
            <w:vAlign w:val="center"/>
          </w:tcPr>
          <w:p w14:paraId="59F93628" w14:textId="77777777" w:rsidR="00037A35" w:rsidRDefault="00037A35">
            <w:pPr>
              <w:rPr>
                <w:rFonts w:ascii="SimSun" w:eastAsia="SimSun" w:hAnsi="SimSun" w:cs="SimSun"/>
                <w:color w:val="000000"/>
                <w:sz w:val="20"/>
                <w:szCs w:val="20"/>
              </w:rPr>
            </w:pPr>
          </w:p>
        </w:tc>
      </w:tr>
      <w:tr w:rsidR="00037A35" w14:paraId="286A316D" w14:textId="77777777">
        <w:trPr>
          <w:jc w:val="center"/>
        </w:trPr>
        <w:tc>
          <w:tcPr>
            <w:tcW w:w="1247" w:type="dxa"/>
            <w:vMerge w:val="restart"/>
            <w:tcBorders>
              <w:top w:val="nil"/>
              <w:left w:val="nil"/>
              <w:bottom w:val="nil"/>
              <w:right w:val="nil"/>
            </w:tcBorders>
          </w:tcPr>
          <w:p w14:paraId="2B950944" w14:textId="77777777" w:rsidR="00037A35" w:rsidRDefault="00000000">
            <w:pPr>
              <w:rPr>
                <w:rFonts w:ascii="Times New Roman" w:hAnsi="Times New Roman" w:cs="Times New Roman"/>
                <w:sz w:val="20"/>
                <w:szCs w:val="20"/>
              </w:rPr>
            </w:pPr>
            <w:r>
              <w:rPr>
                <w:rFonts w:ascii="Times New Roman" w:hAnsi="Times New Roman" w:cs="Times New Roman"/>
              </w:rPr>
              <w:t>Functional value</w:t>
            </w:r>
          </w:p>
        </w:tc>
        <w:tc>
          <w:tcPr>
            <w:tcW w:w="1791" w:type="dxa"/>
            <w:tcBorders>
              <w:top w:val="nil"/>
              <w:left w:val="nil"/>
              <w:bottom w:val="nil"/>
              <w:right w:val="nil"/>
            </w:tcBorders>
          </w:tcPr>
          <w:p w14:paraId="0F914EF2" w14:textId="77777777" w:rsidR="00037A35" w:rsidRDefault="00000000">
            <w:pPr>
              <w:widowControl/>
              <w:rPr>
                <w:rFonts w:ascii="SimSun" w:eastAsia="SimSun" w:hAnsi="SimSun" w:cs="SimSun"/>
                <w:color w:val="000000"/>
                <w:kern w:val="0"/>
                <w:sz w:val="20"/>
                <w:szCs w:val="20"/>
                <w:lang w:bidi="ar"/>
              </w:rPr>
            </w:pPr>
            <w:r>
              <w:rPr>
                <w:rFonts w:ascii="SimSun" w:eastAsia="SimSun" w:hAnsi="SimSun" w:cs="SimSun" w:hint="eastAsia"/>
                <w:color w:val="000000"/>
                <w:kern w:val="0"/>
                <w:sz w:val="20"/>
                <w:szCs w:val="20"/>
                <w:lang w:bidi="ar"/>
              </w:rPr>
              <w:t>GN1</w:t>
            </w:r>
          </w:p>
        </w:tc>
        <w:tc>
          <w:tcPr>
            <w:tcW w:w="1488" w:type="dxa"/>
            <w:tcBorders>
              <w:top w:val="nil"/>
              <w:left w:val="nil"/>
              <w:bottom w:val="nil"/>
              <w:right w:val="nil"/>
            </w:tcBorders>
            <w:vAlign w:val="center"/>
          </w:tcPr>
          <w:p w14:paraId="548E5A34"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0.802</w:t>
            </w:r>
          </w:p>
        </w:tc>
        <w:tc>
          <w:tcPr>
            <w:tcW w:w="1920" w:type="dxa"/>
            <w:vMerge w:val="restart"/>
            <w:tcBorders>
              <w:top w:val="nil"/>
              <w:left w:val="nil"/>
              <w:bottom w:val="nil"/>
              <w:right w:val="nil"/>
            </w:tcBorders>
          </w:tcPr>
          <w:p w14:paraId="742750E2" w14:textId="77777777" w:rsidR="00037A35" w:rsidRDefault="00037A35">
            <w:pPr>
              <w:widowControl/>
              <w:textAlignment w:val="center"/>
              <w:rPr>
                <w:rFonts w:ascii="SimSun" w:eastAsia="SimSun" w:hAnsi="SimSun" w:cs="SimSun"/>
                <w:color w:val="000000"/>
                <w:kern w:val="0"/>
                <w:sz w:val="20"/>
                <w:szCs w:val="20"/>
                <w:lang w:bidi="ar"/>
              </w:rPr>
            </w:pPr>
          </w:p>
          <w:p w14:paraId="2356DFB2" w14:textId="77777777" w:rsidR="00037A35" w:rsidRDefault="00037A35">
            <w:pPr>
              <w:widowControl/>
              <w:textAlignment w:val="center"/>
              <w:rPr>
                <w:rFonts w:ascii="SimSun" w:eastAsia="SimSun" w:hAnsi="SimSun" w:cs="SimSun"/>
                <w:color w:val="000000"/>
                <w:kern w:val="0"/>
                <w:sz w:val="20"/>
                <w:szCs w:val="20"/>
                <w:lang w:bidi="ar"/>
              </w:rPr>
            </w:pPr>
          </w:p>
          <w:p w14:paraId="56D0713A" w14:textId="77777777" w:rsidR="00037A35" w:rsidRDefault="00000000">
            <w:pPr>
              <w:widowControl/>
              <w:textAlignment w:val="center"/>
              <w:rPr>
                <w:rFonts w:ascii="SimSun" w:eastAsia="SimSun" w:hAnsi="SimSun" w:cs="SimSun"/>
                <w:color w:val="000000"/>
                <w:kern w:val="0"/>
                <w:sz w:val="20"/>
                <w:szCs w:val="20"/>
                <w:lang w:bidi="ar"/>
              </w:rPr>
            </w:pPr>
            <w:r>
              <w:rPr>
                <w:rFonts w:ascii="SimSun" w:eastAsia="SimSun" w:hAnsi="SimSun" w:cs="SimSun" w:hint="eastAsia"/>
                <w:color w:val="000000"/>
                <w:kern w:val="0"/>
                <w:sz w:val="20"/>
                <w:szCs w:val="20"/>
                <w:lang w:bidi="ar"/>
              </w:rPr>
              <w:t>0.904</w:t>
            </w:r>
          </w:p>
        </w:tc>
        <w:tc>
          <w:tcPr>
            <w:tcW w:w="979" w:type="dxa"/>
            <w:vMerge w:val="restart"/>
            <w:tcBorders>
              <w:top w:val="nil"/>
              <w:left w:val="nil"/>
              <w:bottom w:val="nil"/>
              <w:right w:val="nil"/>
            </w:tcBorders>
            <w:vAlign w:val="center"/>
          </w:tcPr>
          <w:p w14:paraId="15949571"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0.709</w:t>
            </w:r>
          </w:p>
        </w:tc>
        <w:tc>
          <w:tcPr>
            <w:tcW w:w="881" w:type="dxa"/>
            <w:vMerge w:val="restart"/>
            <w:tcBorders>
              <w:top w:val="nil"/>
              <w:left w:val="nil"/>
              <w:bottom w:val="nil"/>
              <w:right w:val="nil"/>
            </w:tcBorders>
            <w:vAlign w:val="center"/>
          </w:tcPr>
          <w:p w14:paraId="0035BB97"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0.907</w:t>
            </w:r>
          </w:p>
        </w:tc>
      </w:tr>
      <w:tr w:rsidR="00037A35" w14:paraId="794AFBFE" w14:textId="77777777">
        <w:trPr>
          <w:jc w:val="center"/>
        </w:trPr>
        <w:tc>
          <w:tcPr>
            <w:tcW w:w="1247" w:type="dxa"/>
            <w:vMerge/>
            <w:tcBorders>
              <w:top w:val="nil"/>
              <w:left w:val="nil"/>
              <w:bottom w:val="nil"/>
              <w:right w:val="nil"/>
            </w:tcBorders>
          </w:tcPr>
          <w:p w14:paraId="0CF6E477" w14:textId="77777777" w:rsidR="00037A35" w:rsidRDefault="00037A35">
            <w:pPr>
              <w:rPr>
                <w:rFonts w:ascii="Times New Roman" w:hAnsi="Times New Roman" w:cs="Times New Roman"/>
                <w:sz w:val="20"/>
                <w:szCs w:val="20"/>
              </w:rPr>
            </w:pPr>
          </w:p>
        </w:tc>
        <w:tc>
          <w:tcPr>
            <w:tcW w:w="1791" w:type="dxa"/>
            <w:tcBorders>
              <w:top w:val="nil"/>
              <w:left w:val="nil"/>
              <w:bottom w:val="nil"/>
              <w:right w:val="nil"/>
            </w:tcBorders>
          </w:tcPr>
          <w:p w14:paraId="76A75E20" w14:textId="77777777" w:rsidR="00037A35" w:rsidRDefault="00000000">
            <w:pPr>
              <w:widowControl/>
              <w:rPr>
                <w:rFonts w:ascii="SimSun" w:eastAsia="SimSun" w:hAnsi="SimSun" w:cs="SimSun"/>
                <w:sz w:val="20"/>
                <w:szCs w:val="20"/>
              </w:rPr>
            </w:pPr>
            <w:r>
              <w:rPr>
                <w:rFonts w:ascii="SimSun" w:eastAsia="SimSun" w:hAnsi="SimSun" w:cs="SimSun" w:hint="eastAsia"/>
                <w:color w:val="000000"/>
                <w:kern w:val="0"/>
                <w:sz w:val="20"/>
                <w:szCs w:val="20"/>
                <w:lang w:bidi="ar"/>
              </w:rPr>
              <w:t>GN2</w:t>
            </w:r>
          </w:p>
        </w:tc>
        <w:tc>
          <w:tcPr>
            <w:tcW w:w="1488" w:type="dxa"/>
            <w:tcBorders>
              <w:top w:val="nil"/>
              <w:left w:val="nil"/>
              <w:bottom w:val="nil"/>
              <w:right w:val="nil"/>
            </w:tcBorders>
            <w:vAlign w:val="center"/>
          </w:tcPr>
          <w:p w14:paraId="0DD2FAF9"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0.829</w:t>
            </w:r>
          </w:p>
        </w:tc>
        <w:tc>
          <w:tcPr>
            <w:tcW w:w="1920" w:type="dxa"/>
            <w:vMerge/>
            <w:tcBorders>
              <w:top w:val="nil"/>
              <w:left w:val="nil"/>
              <w:bottom w:val="nil"/>
              <w:right w:val="nil"/>
            </w:tcBorders>
          </w:tcPr>
          <w:p w14:paraId="71F2D3FB" w14:textId="77777777" w:rsidR="00037A35" w:rsidRDefault="00037A35">
            <w:pPr>
              <w:widowControl/>
              <w:textAlignment w:val="center"/>
              <w:rPr>
                <w:rFonts w:ascii="SimSun" w:eastAsia="SimSun" w:hAnsi="SimSun" w:cs="SimSun"/>
                <w:color w:val="000000"/>
                <w:kern w:val="0"/>
                <w:sz w:val="20"/>
                <w:szCs w:val="20"/>
                <w:lang w:bidi="ar"/>
              </w:rPr>
            </w:pPr>
          </w:p>
        </w:tc>
        <w:tc>
          <w:tcPr>
            <w:tcW w:w="979" w:type="dxa"/>
            <w:vMerge/>
            <w:tcBorders>
              <w:top w:val="nil"/>
              <w:left w:val="nil"/>
              <w:bottom w:val="nil"/>
              <w:right w:val="nil"/>
            </w:tcBorders>
            <w:vAlign w:val="center"/>
          </w:tcPr>
          <w:p w14:paraId="0BBB46DD" w14:textId="77777777" w:rsidR="00037A35" w:rsidRDefault="00037A35">
            <w:pPr>
              <w:rPr>
                <w:rFonts w:ascii="SimSun" w:eastAsia="SimSun" w:hAnsi="SimSun" w:cs="SimSun"/>
                <w:color w:val="000000"/>
                <w:sz w:val="20"/>
                <w:szCs w:val="20"/>
              </w:rPr>
            </w:pPr>
          </w:p>
        </w:tc>
        <w:tc>
          <w:tcPr>
            <w:tcW w:w="881" w:type="dxa"/>
            <w:vMerge/>
            <w:tcBorders>
              <w:top w:val="nil"/>
              <w:left w:val="nil"/>
              <w:bottom w:val="nil"/>
              <w:right w:val="nil"/>
            </w:tcBorders>
            <w:vAlign w:val="center"/>
          </w:tcPr>
          <w:p w14:paraId="2A9A375F" w14:textId="77777777" w:rsidR="00037A35" w:rsidRDefault="00037A35">
            <w:pPr>
              <w:rPr>
                <w:rFonts w:ascii="SimSun" w:eastAsia="SimSun" w:hAnsi="SimSun" w:cs="SimSun"/>
                <w:color w:val="000000"/>
                <w:sz w:val="20"/>
                <w:szCs w:val="20"/>
              </w:rPr>
            </w:pPr>
          </w:p>
        </w:tc>
      </w:tr>
      <w:tr w:rsidR="00037A35" w14:paraId="46661F9C" w14:textId="77777777">
        <w:trPr>
          <w:jc w:val="center"/>
        </w:trPr>
        <w:tc>
          <w:tcPr>
            <w:tcW w:w="1247" w:type="dxa"/>
            <w:vMerge/>
            <w:tcBorders>
              <w:top w:val="nil"/>
              <w:left w:val="nil"/>
              <w:bottom w:val="nil"/>
              <w:right w:val="nil"/>
            </w:tcBorders>
          </w:tcPr>
          <w:p w14:paraId="4CB24039" w14:textId="77777777" w:rsidR="00037A35" w:rsidRDefault="00037A35">
            <w:pPr>
              <w:rPr>
                <w:rFonts w:ascii="Times New Roman" w:hAnsi="Times New Roman" w:cs="Times New Roman"/>
                <w:sz w:val="20"/>
                <w:szCs w:val="20"/>
              </w:rPr>
            </w:pPr>
          </w:p>
        </w:tc>
        <w:tc>
          <w:tcPr>
            <w:tcW w:w="1791" w:type="dxa"/>
            <w:tcBorders>
              <w:top w:val="nil"/>
              <w:left w:val="nil"/>
              <w:bottom w:val="nil"/>
              <w:right w:val="nil"/>
            </w:tcBorders>
          </w:tcPr>
          <w:p w14:paraId="6D56BBC5" w14:textId="77777777" w:rsidR="00037A35" w:rsidRDefault="00000000">
            <w:pPr>
              <w:widowControl/>
              <w:rPr>
                <w:rFonts w:ascii="SimSun" w:eastAsia="SimSun" w:hAnsi="SimSun" w:cs="SimSun"/>
                <w:sz w:val="20"/>
                <w:szCs w:val="20"/>
              </w:rPr>
            </w:pPr>
            <w:r>
              <w:rPr>
                <w:rFonts w:ascii="SimSun" w:eastAsia="SimSun" w:hAnsi="SimSun" w:cs="SimSun" w:hint="eastAsia"/>
                <w:color w:val="000000"/>
                <w:kern w:val="0"/>
                <w:sz w:val="20"/>
                <w:szCs w:val="20"/>
                <w:lang w:bidi="ar"/>
              </w:rPr>
              <w:t>GN3</w:t>
            </w:r>
          </w:p>
        </w:tc>
        <w:tc>
          <w:tcPr>
            <w:tcW w:w="1488" w:type="dxa"/>
            <w:tcBorders>
              <w:top w:val="nil"/>
              <w:left w:val="nil"/>
              <w:bottom w:val="nil"/>
              <w:right w:val="nil"/>
            </w:tcBorders>
            <w:vAlign w:val="center"/>
          </w:tcPr>
          <w:p w14:paraId="336E7871"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0.910</w:t>
            </w:r>
          </w:p>
        </w:tc>
        <w:tc>
          <w:tcPr>
            <w:tcW w:w="1920" w:type="dxa"/>
            <w:vMerge/>
            <w:tcBorders>
              <w:top w:val="nil"/>
              <w:left w:val="nil"/>
              <w:bottom w:val="nil"/>
              <w:right w:val="nil"/>
            </w:tcBorders>
          </w:tcPr>
          <w:p w14:paraId="300F54E7" w14:textId="77777777" w:rsidR="00037A35" w:rsidRDefault="00037A35">
            <w:pPr>
              <w:widowControl/>
              <w:textAlignment w:val="center"/>
              <w:rPr>
                <w:rFonts w:ascii="SimSun" w:eastAsia="SimSun" w:hAnsi="SimSun" w:cs="SimSun"/>
                <w:color w:val="000000"/>
                <w:kern w:val="0"/>
                <w:sz w:val="20"/>
                <w:szCs w:val="20"/>
                <w:lang w:bidi="ar"/>
              </w:rPr>
            </w:pPr>
          </w:p>
        </w:tc>
        <w:tc>
          <w:tcPr>
            <w:tcW w:w="979" w:type="dxa"/>
            <w:vMerge/>
            <w:tcBorders>
              <w:top w:val="nil"/>
              <w:left w:val="nil"/>
              <w:bottom w:val="nil"/>
              <w:right w:val="nil"/>
            </w:tcBorders>
            <w:vAlign w:val="center"/>
          </w:tcPr>
          <w:p w14:paraId="5738F131" w14:textId="77777777" w:rsidR="00037A35" w:rsidRDefault="00037A35">
            <w:pPr>
              <w:rPr>
                <w:rFonts w:ascii="SimSun" w:eastAsia="SimSun" w:hAnsi="SimSun" w:cs="SimSun"/>
                <w:color w:val="000000"/>
                <w:sz w:val="20"/>
                <w:szCs w:val="20"/>
              </w:rPr>
            </w:pPr>
          </w:p>
        </w:tc>
        <w:tc>
          <w:tcPr>
            <w:tcW w:w="881" w:type="dxa"/>
            <w:vMerge/>
            <w:tcBorders>
              <w:top w:val="nil"/>
              <w:left w:val="nil"/>
              <w:bottom w:val="nil"/>
              <w:right w:val="nil"/>
            </w:tcBorders>
            <w:vAlign w:val="center"/>
          </w:tcPr>
          <w:p w14:paraId="3E89C562" w14:textId="77777777" w:rsidR="00037A35" w:rsidRDefault="00037A35">
            <w:pPr>
              <w:rPr>
                <w:rFonts w:ascii="SimSun" w:eastAsia="SimSun" w:hAnsi="SimSun" w:cs="SimSun"/>
                <w:color w:val="000000"/>
                <w:sz w:val="20"/>
                <w:szCs w:val="20"/>
              </w:rPr>
            </w:pPr>
          </w:p>
        </w:tc>
      </w:tr>
      <w:tr w:rsidR="00037A35" w14:paraId="2F32D35F" w14:textId="77777777">
        <w:trPr>
          <w:jc w:val="center"/>
        </w:trPr>
        <w:tc>
          <w:tcPr>
            <w:tcW w:w="1247" w:type="dxa"/>
            <w:vMerge/>
            <w:tcBorders>
              <w:top w:val="nil"/>
              <w:left w:val="nil"/>
              <w:bottom w:val="nil"/>
              <w:right w:val="nil"/>
            </w:tcBorders>
          </w:tcPr>
          <w:p w14:paraId="56D789CC" w14:textId="77777777" w:rsidR="00037A35" w:rsidRDefault="00037A35">
            <w:pPr>
              <w:rPr>
                <w:rFonts w:ascii="Times New Roman" w:hAnsi="Times New Roman" w:cs="Times New Roman"/>
                <w:sz w:val="20"/>
                <w:szCs w:val="20"/>
              </w:rPr>
            </w:pPr>
          </w:p>
        </w:tc>
        <w:tc>
          <w:tcPr>
            <w:tcW w:w="1791" w:type="dxa"/>
            <w:tcBorders>
              <w:top w:val="nil"/>
              <w:left w:val="nil"/>
              <w:bottom w:val="nil"/>
              <w:right w:val="nil"/>
            </w:tcBorders>
          </w:tcPr>
          <w:p w14:paraId="25CE470E" w14:textId="77777777" w:rsidR="00037A35" w:rsidRDefault="00000000">
            <w:pPr>
              <w:widowControl/>
              <w:rPr>
                <w:rFonts w:ascii="SimSun" w:eastAsia="SimSun" w:hAnsi="SimSun" w:cs="SimSun"/>
                <w:sz w:val="20"/>
                <w:szCs w:val="20"/>
              </w:rPr>
            </w:pPr>
            <w:r>
              <w:rPr>
                <w:rFonts w:ascii="SimSun" w:eastAsia="SimSun" w:hAnsi="SimSun" w:cs="SimSun" w:hint="eastAsia"/>
                <w:color w:val="000000"/>
                <w:kern w:val="0"/>
                <w:sz w:val="20"/>
                <w:szCs w:val="20"/>
                <w:lang w:bidi="ar"/>
              </w:rPr>
              <w:t>GN4</w:t>
            </w:r>
          </w:p>
        </w:tc>
        <w:tc>
          <w:tcPr>
            <w:tcW w:w="1488" w:type="dxa"/>
            <w:tcBorders>
              <w:top w:val="nil"/>
              <w:left w:val="nil"/>
              <w:bottom w:val="nil"/>
              <w:right w:val="nil"/>
            </w:tcBorders>
            <w:vAlign w:val="center"/>
          </w:tcPr>
          <w:p w14:paraId="7588A5CC"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0.823</w:t>
            </w:r>
          </w:p>
        </w:tc>
        <w:tc>
          <w:tcPr>
            <w:tcW w:w="1920" w:type="dxa"/>
            <w:vMerge/>
            <w:tcBorders>
              <w:top w:val="nil"/>
              <w:left w:val="nil"/>
              <w:bottom w:val="nil"/>
              <w:right w:val="nil"/>
            </w:tcBorders>
          </w:tcPr>
          <w:p w14:paraId="164D686A" w14:textId="77777777" w:rsidR="00037A35" w:rsidRDefault="00037A35">
            <w:pPr>
              <w:widowControl/>
              <w:textAlignment w:val="center"/>
              <w:rPr>
                <w:rFonts w:ascii="SimSun" w:eastAsia="SimSun" w:hAnsi="SimSun" w:cs="SimSun"/>
                <w:color w:val="000000"/>
                <w:kern w:val="0"/>
                <w:sz w:val="20"/>
                <w:szCs w:val="20"/>
                <w:lang w:bidi="ar"/>
              </w:rPr>
            </w:pPr>
          </w:p>
        </w:tc>
        <w:tc>
          <w:tcPr>
            <w:tcW w:w="979" w:type="dxa"/>
            <w:vMerge/>
            <w:tcBorders>
              <w:top w:val="nil"/>
              <w:left w:val="nil"/>
              <w:bottom w:val="nil"/>
              <w:right w:val="nil"/>
            </w:tcBorders>
            <w:vAlign w:val="center"/>
          </w:tcPr>
          <w:p w14:paraId="32AB742A" w14:textId="77777777" w:rsidR="00037A35" w:rsidRDefault="00037A35">
            <w:pPr>
              <w:rPr>
                <w:rFonts w:ascii="SimSun" w:eastAsia="SimSun" w:hAnsi="SimSun" w:cs="SimSun"/>
                <w:color w:val="000000"/>
                <w:sz w:val="20"/>
                <w:szCs w:val="20"/>
              </w:rPr>
            </w:pPr>
          </w:p>
        </w:tc>
        <w:tc>
          <w:tcPr>
            <w:tcW w:w="881" w:type="dxa"/>
            <w:vMerge/>
            <w:tcBorders>
              <w:top w:val="nil"/>
              <w:left w:val="nil"/>
              <w:bottom w:val="nil"/>
              <w:right w:val="nil"/>
            </w:tcBorders>
            <w:vAlign w:val="center"/>
          </w:tcPr>
          <w:p w14:paraId="769437EF" w14:textId="77777777" w:rsidR="00037A35" w:rsidRDefault="00037A35">
            <w:pPr>
              <w:rPr>
                <w:rFonts w:ascii="SimSun" w:eastAsia="SimSun" w:hAnsi="SimSun" w:cs="SimSun"/>
                <w:color w:val="000000"/>
                <w:sz w:val="20"/>
                <w:szCs w:val="20"/>
              </w:rPr>
            </w:pPr>
          </w:p>
        </w:tc>
      </w:tr>
      <w:tr w:rsidR="00037A35" w14:paraId="65D2794E" w14:textId="77777777">
        <w:trPr>
          <w:jc w:val="center"/>
        </w:trPr>
        <w:tc>
          <w:tcPr>
            <w:tcW w:w="1247" w:type="dxa"/>
            <w:vMerge w:val="restart"/>
            <w:tcBorders>
              <w:top w:val="nil"/>
              <w:left w:val="nil"/>
              <w:bottom w:val="nil"/>
              <w:right w:val="nil"/>
            </w:tcBorders>
          </w:tcPr>
          <w:p w14:paraId="4BE3AD9E" w14:textId="77777777" w:rsidR="00037A35" w:rsidRDefault="00000000">
            <w:pPr>
              <w:rPr>
                <w:rFonts w:ascii="Times New Roman" w:hAnsi="Times New Roman" w:cs="Times New Roman"/>
                <w:sz w:val="20"/>
                <w:szCs w:val="20"/>
              </w:rPr>
            </w:pPr>
            <w:r>
              <w:rPr>
                <w:rFonts w:ascii="Times New Roman" w:hAnsi="Times New Roman" w:cs="Times New Roman"/>
              </w:rPr>
              <w:t>Hedonic value</w:t>
            </w:r>
          </w:p>
        </w:tc>
        <w:tc>
          <w:tcPr>
            <w:tcW w:w="1791" w:type="dxa"/>
            <w:tcBorders>
              <w:top w:val="nil"/>
              <w:left w:val="nil"/>
              <w:bottom w:val="nil"/>
              <w:right w:val="nil"/>
            </w:tcBorders>
          </w:tcPr>
          <w:p w14:paraId="78885286" w14:textId="77777777" w:rsidR="00037A35" w:rsidRDefault="00000000">
            <w:pPr>
              <w:widowControl/>
              <w:rPr>
                <w:rFonts w:ascii="SimSun" w:eastAsia="SimSun" w:hAnsi="SimSun" w:cs="SimSun"/>
                <w:sz w:val="20"/>
                <w:szCs w:val="20"/>
              </w:rPr>
            </w:pPr>
            <w:r>
              <w:rPr>
                <w:rFonts w:ascii="SimSun" w:eastAsia="SimSun" w:hAnsi="SimSun" w:cs="SimSun" w:hint="eastAsia"/>
                <w:color w:val="000000"/>
                <w:kern w:val="0"/>
                <w:sz w:val="20"/>
                <w:szCs w:val="20"/>
                <w:lang w:bidi="ar"/>
              </w:rPr>
              <w:t>XL1</w:t>
            </w:r>
          </w:p>
        </w:tc>
        <w:tc>
          <w:tcPr>
            <w:tcW w:w="1488" w:type="dxa"/>
            <w:tcBorders>
              <w:top w:val="nil"/>
              <w:left w:val="nil"/>
              <w:bottom w:val="nil"/>
              <w:right w:val="nil"/>
            </w:tcBorders>
            <w:vAlign w:val="center"/>
          </w:tcPr>
          <w:p w14:paraId="20D2CD80"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0.762</w:t>
            </w:r>
          </w:p>
        </w:tc>
        <w:tc>
          <w:tcPr>
            <w:tcW w:w="1920" w:type="dxa"/>
            <w:vMerge w:val="restart"/>
            <w:tcBorders>
              <w:top w:val="nil"/>
              <w:left w:val="nil"/>
              <w:bottom w:val="nil"/>
              <w:right w:val="nil"/>
            </w:tcBorders>
          </w:tcPr>
          <w:p w14:paraId="522273DA" w14:textId="77777777" w:rsidR="00037A35" w:rsidRDefault="00037A35">
            <w:pPr>
              <w:widowControl/>
              <w:textAlignment w:val="center"/>
              <w:rPr>
                <w:rFonts w:ascii="SimSun" w:eastAsia="SimSun" w:hAnsi="SimSun" w:cs="SimSun"/>
                <w:color w:val="000000"/>
                <w:kern w:val="0"/>
                <w:sz w:val="20"/>
                <w:szCs w:val="20"/>
                <w:lang w:bidi="ar"/>
              </w:rPr>
            </w:pPr>
          </w:p>
          <w:p w14:paraId="0EC34F8F" w14:textId="77777777" w:rsidR="00037A35" w:rsidRDefault="00000000">
            <w:pPr>
              <w:widowControl/>
              <w:textAlignment w:val="center"/>
              <w:rPr>
                <w:rFonts w:ascii="SimSun" w:eastAsia="SimSun" w:hAnsi="SimSun" w:cs="SimSun"/>
                <w:color w:val="000000"/>
                <w:kern w:val="0"/>
                <w:sz w:val="20"/>
                <w:szCs w:val="20"/>
                <w:lang w:bidi="ar"/>
              </w:rPr>
            </w:pPr>
            <w:r>
              <w:rPr>
                <w:rFonts w:ascii="SimSun" w:eastAsia="SimSun" w:hAnsi="SimSun" w:cs="SimSun" w:hint="eastAsia"/>
                <w:color w:val="000000"/>
                <w:kern w:val="0"/>
                <w:sz w:val="20"/>
                <w:szCs w:val="20"/>
                <w:lang w:bidi="ar"/>
              </w:rPr>
              <w:t>0.867</w:t>
            </w:r>
          </w:p>
        </w:tc>
        <w:tc>
          <w:tcPr>
            <w:tcW w:w="979" w:type="dxa"/>
            <w:vMerge w:val="restart"/>
            <w:tcBorders>
              <w:top w:val="nil"/>
              <w:left w:val="nil"/>
              <w:bottom w:val="nil"/>
              <w:right w:val="nil"/>
            </w:tcBorders>
            <w:vAlign w:val="center"/>
          </w:tcPr>
          <w:p w14:paraId="75CFE0DC"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0.693</w:t>
            </w:r>
          </w:p>
        </w:tc>
        <w:tc>
          <w:tcPr>
            <w:tcW w:w="881" w:type="dxa"/>
            <w:vMerge w:val="restart"/>
            <w:tcBorders>
              <w:top w:val="nil"/>
              <w:left w:val="nil"/>
              <w:bottom w:val="nil"/>
              <w:right w:val="nil"/>
            </w:tcBorders>
            <w:vAlign w:val="center"/>
          </w:tcPr>
          <w:p w14:paraId="42F255CD"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0.871</w:t>
            </w:r>
          </w:p>
        </w:tc>
      </w:tr>
      <w:tr w:rsidR="00037A35" w14:paraId="12AF5CE5" w14:textId="77777777">
        <w:trPr>
          <w:jc w:val="center"/>
        </w:trPr>
        <w:tc>
          <w:tcPr>
            <w:tcW w:w="1247" w:type="dxa"/>
            <w:vMerge/>
            <w:tcBorders>
              <w:top w:val="nil"/>
              <w:left w:val="nil"/>
              <w:bottom w:val="nil"/>
              <w:right w:val="nil"/>
            </w:tcBorders>
          </w:tcPr>
          <w:p w14:paraId="56848B63" w14:textId="77777777" w:rsidR="00037A35" w:rsidRDefault="00037A35">
            <w:pPr>
              <w:rPr>
                <w:rFonts w:ascii="Times New Roman" w:hAnsi="Times New Roman" w:cs="Times New Roman"/>
                <w:sz w:val="20"/>
                <w:szCs w:val="20"/>
              </w:rPr>
            </w:pPr>
          </w:p>
        </w:tc>
        <w:tc>
          <w:tcPr>
            <w:tcW w:w="1791" w:type="dxa"/>
            <w:tcBorders>
              <w:top w:val="nil"/>
              <w:left w:val="nil"/>
              <w:bottom w:val="nil"/>
              <w:right w:val="nil"/>
            </w:tcBorders>
          </w:tcPr>
          <w:p w14:paraId="35E43DF1" w14:textId="77777777" w:rsidR="00037A35" w:rsidRDefault="00000000">
            <w:pPr>
              <w:widowControl/>
              <w:rPr>
                <w:rFonts w:ascii="SimSun" w:eastAsia="SimSun" w:hAnsi="SimSun" w:cs="SimSun"/>
                <w:sz w:val="20"/>
                <w:szCs w:val="20"/>
              </w:rPr>
            </w:pPr>
            <w:r>
              <w:rPr>
                <w:rFonts w:ascii="SimSun" w:eastAsia="SimSun" w:hAnsi="SimSun" w:cs="SimSun" w:hint="eastAsia"/>
                <w:color w:val="000000"/>
                <w:kern w:val="0"/>
                <w:sz w:val="20"/>
                <w:szCs w:val="20"/>
                <w:lang w:bidi="ar"/>
              </w:rPr>
              <w:t>XL2</w:t>
            </w:r>
          </w:p>
        </w:tc>
        <w:tc>
          <w:tcPr>
            <w:tcW w:w="1488" w:type="dxa"/>
            <w:tcBorders>
              <w:top w:val="nil"/>
              <w:left w:val="nil"/>
              <w:bottom w:val="nil"/>
              <w:right w:val="nil"/>
            </w:tcBorders>
            <w:vAlign w:val="center"/>
          </w:tcPr>
          <w:p w14:paraId="10290C63"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0.803</w:t>
            </w:r>
          </w:p>
        </w:tc>
        <w:tc>
          <w:tcPr>
            <w:tcW w:w="1920" w:type="dxa"/>
            <w:vMerge/>
            <w:tcBorders>
              <w:top w:val="nil"/>
              <w:left w:val="nil"/>
              <w:bottom w:val="nil"/>
              <w:right w:val="nil"/>
            </w:tcBorders>
          </w:tcPr>
          <w:p w14:paraId="11CCF088" w14:textId="77777777" w:rsidR="00037A35" w:rsidRDefault="00037A35">
            <w:pPr>
              <w:widowControl/>
              <w:textAlignment w:val="center"/>
              <w:rPr>
                <w:rFonts w:ascii="SimSun" w:eastAsia="SimSun" w:hAnsi="SimSun" w:cs="SimSun"/>
                <w:color w:val="000000"/>
                <w:kern w:val="0"/>
                <w:sz w:val="20"/>
                <w:szCs w:val="20"/>
                <w:lang w:bidi="ar"/>
              </w:rPr>
            </w:pPr>
          </w:p>
        </w:tc>
        <w:tc>
          <w:tcPr>
            <w:tcW w:w="979" w:type="dxa"/>
            <w:vMerge/>
            <w:tcBorders>
              <w:top w:val="nil"/>
              <w:left w:val="nil"/>
              <w:bottom w:val="nil"/>
              <w:right w:val="nil"/>
            </w:tcBorders>
            <w:vAlign w:val="center"/>
          </w:tcPr>
          <w:p w14:paraId="7E345E94" w14:textId="77777777" w:rsidR="00037A35" w:rsidRDefault="00037A35">
            <w:pPr>
              <w:rPr>
                <w:rFonts w:ascii="SimSun" w:eastAsia="SimSun" w:hAnsi="SimSun" w:cs="SimSun"/>
                <w:color w:val="000000"/>
                <w:sz w:val="20"/>
                <w:szCs w:val="20"/>
              </w:rPr>
            </w:pPr>
          </w:p>
        </w:tc>
        <w:tc>
          <w:tcPr>
            <w:tcW w:w="881" w:type="dxa"/>
            <w:vMerge/>
            <w:tcBorders>
              <w:top w:val="nil"/>
              <w:left w:val="nil"/>
              <w:bottom w:val="nil"/>
              <w:right w:val="nil"/>
            </w:tcBorders>
            <w:vAlign w:val="center"/>
          </w:tcPr>
          <w:p w14:paraId="3A1D576A" w14:textId="77777777" w:rsidR="00037A35" w:rsidRDefault="00037A35">
            <w:pPr>
              <w:rPr>
                <w:rFonts w:ascii="SimSun" w:eastAsia="SimSun" w:hAnsi="SimSun" w:cs="SimSun"/>
                <w:color w:val="000000"/>
                <w:sz w:val="20"/>
                <w:szCs w:val="20"/>
              </w:rPr>
            </w:pPr>
          </w:p>
        </w:tc>
      </w:tr>
      <w:tr w:rsidR="00037A35" w14:paraId="24EFA263" w14:textId="77777777">
        <w:trPr>
          <w:jc w:val="center"/>
        </w:trPr>
        <w:tc>
          <w:tcPr>
            <w:tcW w:w="1247" w:type="dxa"/>
            <w:vMerge/>
            <w:tcBorders>
              <w:top w:val="nil"/>
              <w:left w:val="nil"/>
              <w:bottom w:val="nil"/>
              <w:right w:val="nil"/>
            </w:tcBorders>
          </w:tcPr>
          <w:p w14:paraId="6C8B796E" w14:textId="77777777" w:rsidR="00037A35" w:rsidRDefault="00037A35">
            <w:pPr>
              <w:rPr>
                <w:rFonts w:ascii="Times New Roman" w:hAnsi="Times New Roman" w:cs="Times New Roman"/>
                <w:sz w:val="20"/>
                <w:szCs w:val="20"/>
              </w:rPr>
            </w:pPr>
          </w:p>
        </w:tc>
        <w:tc>
          <w:tcPr>
            <w:tcW w:w="1791" w:type="dxa"/>
            <w:tcBorders>
              <w:top w:val="nil"/>
              <w:left w:val="nil"/>
              <w:bottom w:val="nil"/>
              <w:right w:val="nil"/>
            </w:tcBorders>
          </w:tcPr>
          <w:p w14:paraId="3DBE72AA" w14:textId="77777777" w:rsidR="00037A35" w:rsidRDefault="00000000">
            <w:pPr>
              <w:widowControl/>
              <w:rPr>
                <w:rFonts w:ascii="SimSun" w:eastAsia="SimSun" w:hAnsi="SimSun" w:cs="SimSun"/>
                <w:sz w:val="20"/>
                <w:szCs w:val="20"/>
              </w:rPr>
            </w:pPr>
            <w:r>
              <w:rPr>
                <w:rFonts w:ascii="SimSun" w:eastAsia="SimSun" w:hAnsi="SimSun" w:cs="SimSun" w:hint="eastAsia"/>
                <w:color w:val="000000"/>
                <w:kern w:val="0"/>
                <w:sz w:val="20"/>
                <w:szCs w:val="20"/>
                <w:lang w:bidi="ar"/>
              </w:rPr>
              <w:t>XL3</w:t>
            </w:r>
          </w:p>
        </w:tc>
        <w:tc>
          <w:tcPr>
            <w:tcW w:w="1488" w:type="dxa"/>
            <w:tcBorders>
              <w:top w:val="nil"/>
              <w:left w:val="nil"/>
              <w:bottom w:val="nil"/>
              <w:right w:val="nil"/>
            </w:tcBorders>
            <w:vAlign w:val="center"/>
          </w:tcPr>
          <w:p w14:paraId="4E41A76B"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0.516</w:t>
            </w:r>
          </w:p>
        </w:tc>
        <w:tc>
          <w:tcPr>
            <w:tcW w:w="1920" w:type="dxa"/>
            <w:vMerge/>
            <w:tcBorders>
              <w:top w:val="nil"/>
              <w:left w:val="nil"/>
              <w:bottom w:val="nil"/>
              <w:right w:val="nil"/>
            </w:tcBorders>
          </w:tcPr>
          <w:p w14:paraId="47C08E89" w14:textId="77777777" w:rsidR="00037A35" w:rsidRDefault="00037A35">
            <w:pPr>
              <w:widowControl/>
              <w:textAlignment w:val="center"/>
              <w:rPr>
                <w:rFonts w:ascii="SimSun" w:eastAsia="SimSun" w:hAnsi="SimSun" w:cs="SimSun"/>
                <w:color w:val="000000"/>
                <w:kern w:val="0"/>
                <w:sz w:val="20"/>
                <w:szCs w:val="20"/>
                <w:lang w:bidi="ar"/>
              </w:rPr>
            </w:pPr>
          </w:p>
        </w:tc>
        <w:tc>
          <w:tcPr>
            <w:tcW w:w="979" w:type="dxa"/>
            <w:vMerge/>
            <w:tcBorders>
              <w:top w:val="nil"/>
              <w:left w:val="nil"/>
              <w:bottom w:val="nil"/>
              <w:right w:val="nil"/>
            </w:tcBorders>
            <w:vAlign w:val="center"/>
          </w:tcPr>
          <w:p w14:paraId="4128EF5E" w14:textId="77777777" w:rsidR="00037A35" w:rsidRDefault="00037A35">
            <w:pPr>
              <w:rPr>
                <w:rFonts w:ascii="SimSun" w:eastAsia="SimSun" w:hAnsi="SimSun" w:cs="SimSun"/>
                <w:color w:val="000000"/>
                <w:sz w:val="20"/>
                <w:szCs w:val="20"/>
              </w:rPr>
            </w:pPr>
          </w:p>
        </w:tc>
        <w:tc>
          <w:tcPr>
            <w:tcW w:w="881" w:type="dxa"/>
            <w:vMerge/>
            <w:tcBorders>
              <w:top w:val="nil"/>
              <w:left w:val="nil"/>
              <w:bottom w:val="nil"/>
              <w:right w:val="nil"/>
            </w:tcBorders>
            <w:vAlign w:val="center"/>
          </w:tcPr>
          <w:p w14:paraId="5A73BB91" w14:textId="77777777" w:rsidR="00037A35" w:rsidRDefault="00037A35">
            <w:pPr>
              <w:rPr>
                <w:rFonts w:ascii="SimSun" w:eastAsia="SimSun" w:hAnsi="SimSun" w:cs="SimSun"/>
                <w:color w:val="000000"/>
                <w:sz w:val="20"/>
                <w:szCs w:val="20"/>
              </w:rPr>
            </w:pPr>
          </w:p>
        </w:tc>
      </w:tr>
      <w:tr w:rsidR="00037A35" w14:paraId="1147AA0A" w14:textId="77777777">
        <w:trPr>
          <w:jc w:val="center"/>
        </w:trPr>
        <w:tc>
          <w:tcPr>
            <w:tcW w:w="1247" w:type="dxa"/>
            <w:vMerge w:val="restart"/>
            <w:tcBorders>
              <w:top w:val="nil"/>
              <w:left w:val="nil"/>
              <w:bottom w:val="nil"/>
              <w:right w:val="nil"/>
            </w:tcBorders>
          </w:tcPr>
          <w:p w14:paraId="18357B58" w14:textId="77777777" w:rsidR="00037A35" w:rsidRDefault="00000000">
            <w:pPr>
              <w:rPr>
                <w:rFonts w:ascii="Times New Roman" w:hAnsi="Times New Roman" w:cs="Times New Roman"/>
                <w:sz w:val="20"/>
                <w:szCs w:val="20"/>
              </w:rPr>
            </w:pPr>
            <w:r>
              <w:rPr>
                <w:rFonts w:ascii="Times New Roman" w:hAnsi="Times New Roman" w:cs="Times New Roman"/>
              </w:rPr>
              <w:t>Customer retention</w:t>
            </w:r>
          </w:p>
        </w:tc>
        <w:tc>
          <w:tcPr>
            <w:tcW w:w="1791" w:type="dxa"/>
            <w:tcBorders>
              <w:top w:val="nil"/>
              <w:left w:val="nil"/>
              <w:bottom w:val="nil"/>
              <w:right w:val="nil"/>
            </w:tcBorders>
          </w:tcPr>
          <w:p w14:paraId="56C9AE77" w14:textId="77777777" w:rsidR="00037A35" w:rsidRDefault="00000000">
            <w:pPr>
              <w:widowControl/>
              <w:rPr>
                <w:rFonts w:ascii="SimSun" w:eastAsia="SimSun" w:hAnsi="SimSun" w:cs="SimSun"/>
                <w:sz w:val="20"/>
                <w:szCs w:val="20"/>
              </w:rPr>
            </w:pPr>
            <w:r>
              <w:rPr>
                <w:rFonts w:ascii="SimSun" w:eastAsia="SimSun" w:hAnsi="SimSun" w:cs="SimSun" w:hint="eastAsia"/>
                <w:color w:val="000000"/>
                <w:kern w:val="0"/>
                <w:sz w:val="20"/>
                <w:szCs w:val="20"/>
                <w:lang w:bidi="ar"/>
              </w:rPr>
              <w:t>BL1</w:t>
            </w:r>
          </w:p>
        </w:tc>
        <w:tc>
          <w:tcPr>
            <w:tcW w:w="1488" w:type="dxa"/>
            <w:tcBorders>
              <w:top w:val="nil"/>
              <w:left w:val="nil"/>
              <w:bottom w:val="nil"/>
              <w:right w:val="nil"/>
            </w:tcBorders>
            <w:vAlign w:val="center"/>
          </w:tcPr>
          <w:p w14:paraId="123700B9"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0.792</w:t>
            </w:r>
          </w:p>
        </w:tc>
        <w:tc>
          <w:tcPr>
            <w:tcW w:w="1920" w:type="dxa"/>
            <w:vMerge w:val="restart"/>
            <w:tcBorders>
              <w:top w:val="nil"/>
              <w:left w:val="nil"/>
              <w:bottom w:val="nil"/>
              <w:right w:val="nil"/>
            </w:tcBorders>
          </w:tcPr>
          <w:p w14:paraId="6323657D" w14:textId="77777777" w:rsidR="00037A35" w:rsidRDefault="00037A35">
            <w:pPr>
              <w:widowControl/>
              <w:textAlignment w:val="center"/>
              <w:rPr>
                <w:rFonts w:ascii="SimSun" w:eastAsia="SimSun" w:hAnsi="SimSun" w:cs="SimSun"/>
                <w:color w:val="000000"/>
                <w:kern w:val="0"/>
                <w:sz w:val="20"/>
                <w:szCs w:val="20"/>
                <w:lang w:bidi="ar"/>
              </w:rPr>
            </w:pPr>
          </w:p>
          <w:p w14:paraId="5FF953A9" w14:textId="77777777" w:rsidR="00037A35" w:rsidRDefault="00037A35">
            <w:pPr>
              <w:widowControl/>
              <w:textAlignment w:val="center"/>
              <w:rPr>
                <w:rFonts w:ascii="SimSun" w:eastAsia="SimSun" w:hAnsi="SimSun" w:cs="SimSun"/>
                <w:color w:val="000000"/>
                <w:kern w:val="0"/>
                <w:sz w:val="20"/>
                <w:szCs w:val="20"/>
                <w:lang w:bidi="ar"/>
              </w:rPr>
            </w:pPr>
          </w:p>
          <w:p w14:paraId="7B0B5FC5" w14:textId="77777777" w:rsidR="00037A35" w:rsidRDefault="00000000">
            <w:pPr>
              <w:widowControl/>
              <w:textAlignment w:val="center"/>
              <w:rPr>
                <w:rFonts w:ascii="SimSun" w:eastAsia="SimSun" w:hAnsi="SimSun" w:cs="SimSun"/>
                <w:color w:val="000000"/>
                <w:kern w:val="0"/>
                <w:sz w:val="20"/>
                <w:szCs w:val="20"/>
                <w:lang w:bidi="ar"/>
              </w:rPr>
            </w:pPr>
            <w:r>
              <w:rPr>
                <w:rFonts w:ascii="SimSun" w:eastAsia="SimSun" w:hAnsi="SimSun" w:cs="SimSun" w:hint="eastAsia"/>
                <w:color w:val="000000"/>
                <w:kern w:val="0"/>
                <w:sz w:val="20"/>
                <w:szCs w:val="20"/>
                <w:lang w:bidi="ar"/>
              </w:rPr>
              <w:lastRenderedPageBreak/>
              <w:t>0.861</w:t>
            </w:r>
          </w:p>
        </w:tc>
        <w:tc>
          <w:tcPr>
            <w:tcW w:w="979" w:type="dxa"/>
            <w:vMerge w:val="restart"/>
            <w:tcBorders>
              <w:top w:val="nil"/>
              <w:left w:val="nil"/>
              <w:bottom w:val="nil"/>
              <w:right w:val="nil"/>
            </w:tcBorders>
            <w:vAlign w:val="center"/>
          </w:tcPr>
          <w:p w14:paraId="7E65FF8D" w14:textId="77777777" w:rsidR="00037A35" w:rsidRDefault="00037A35">
            <w:pPr>
              <w:widowControl/>
              <w:textAlignment w:val="center"/>
              <w:rPr>
                <w:rFonts w:ascii="SimSun" w:eastAsia="SimSun" w:hAnsi="SimSun" w:cs="SimSun"/>
                <w:color w:val="000000"/>
                <w:kern w:val="0"/>
                <w:sz w:val="20"/>
                <w:szCs w:val="20"/>
                <w:lang w:bidi="ar"/>
              </w:rPr>
            </w:pPr>
          </w:p>
          <w:p w14:paraId="2A09AF26"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0.619</w:t>
            </w:r>
          </w:p>
        </w:tc>
        <w:tc>
          <w:tcPr>
            <w:tcW w:w="881" w:type="dxa"/>
            <w:vMerge w:val="restart"/>
            <w:tcBorders>
              <w:top w:val="nil"/>
              <w:left w:val="nil"/>
              <w:bottom w:val="nil"/>
              <w:right w:val="nil"/>
            </w:tcBorders>
            <w:vAlign w:val="center"/>
          </w:tcPr>
          <w:p w14:paraId="50910013" w14:textId="77777777" w:rsidR="00037A35" w:rsidRDefault="00037A35">
            <w:pPr>
              <w:widowControl/>
              <w:textAlignment w:val="center"/>
              <w:rPr>
                <w:rFonts w:ascii="SimSun" w:eastAsia="SimSun" w:hAnsi="SimSun" w:cs="SimSun"/>
                <w:color w:val="000000"/>
                <w:kern w:val="0"/>
                <w:sz w:val="20"/>
                <w:szCs w:val="20"/>
                <w:lang w:bidi="ar"/>
              </w:rPr>
            </w:pPr>
          </w:p>
          <w:p w14:paraId="65BCA660"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0.866</w:t>
            </w:r>
          </w:p>
        </w:tc>
      </w:tr>
      <w:tr w:rsidR="00037A35" w14:paraId="12B56147" w14:textId="77777777">
        <w:trPr>
          <w:jc w:val="center"/>
        </w:trPr>
        <w:tc>
          <w:tcPr>
            <w:tcW w:w="1247" w:type="dxa"/>
            <w:vMerge/>
            <w:tcBorders>
              <w:top w:val="nil"/>
              <w:left w:val="nil"/>
              <w:bottom w:val="nil"/>
              <w:right w:val="nil"/>
            </w:tcBorders>
          </w:tcPr>
          <w:p w14:paraId="0552EA19" w14:textId="77777777" w:rsidR="00037A35" w:rsidRDefault="00037A35">
            <w:pPr>
              <w:rPr>
                <w:rFonts w:ascii="Times New Roman" w:hAnsi="Times New Roman" w:cs="Times New Roman"/>
                <w:sz w:val="20"/>
                <w:szCs w:val="20"/>
              </w:rPr>
            </w:pPr>
          </w:p>
        </w:tc>
        <w:tc>
          <w:tcPr>
            <w:tcW w:w="1791" w:type="dxa"/>
            <w:tcBorders>
              <w:top w:val="nil"/>
              <w:left w:val="nil"/>
              <w:bottom w:val="nil"/>
              <w:right w:val="nil"/>
            </w:tcBorders>
          </w:tcPr>
          <w:p w14:paraId="58EB77DA" w14:textId="77777777" w:rsidR="00037A35" w:rsidRDefault="00000000">
            <w:pPr>
              <w:widowControl/>
              <w:rPr>
                <w:rFonts w:ascii="SimSun" w:eastAsia="SimSun" w:hAnsi="SimSun" w:cs="SimSun"/>
                <w:sz w:val="20"/>
                <w:szCs w:val="20"/>
              </w:rPr>
            </w:pPr>
            <w:r>
              <w:rPr>
                <w:rFonts w:ascii="SimSun" w:eastAsia="SimSun" w:hAnsi="SimSun" w:cs="SimSun" w:hint="eastAsia"/>
                <w:color w:val="000000"/>
                <w:kern w:val="0"/>
                <w:sz w:val="20"/>
                <w:szCs w:val="20"/>
                <w:lang w:bidi="ar"/>
              </w:rPr>
              <w:t>BL2</w:t>
            </w:r>
          </w:p>
        </w:tc>
        <w:tc>
          <w:tcPr>
            <w:tcW w:w="1488" w:type="dxa"/>
            <w:tcBorders>
              <w:top w:val="nil"/>
              <w:left w:val="nil"/>
              <w:bottom w:val="nil"/>
              <w:right w:val="nil"/>
            </w:tcBorders>
            <w:vAlign w:val="center"/>
          </w:tcPr>
          <w:p w14:paraId="5C61DDEE"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0.643</w:t>
            </w:r>
          </w:p>
        </w:tc>
        <w:tc>
          <w:tcPr>
            <w:tcW w:w="1920" w:type="dxa"/>
            <w:vMerge/>
            <w:tcBorders>
              <w:top w:val="nil"/>
              <w:left w:val="nil"/>
              <w:bottom w:val="nil"/>
              <w:right w:val="nil"/>
            </w:tcBorders>
          </w:tcPr>
          <w:p w14:paraId="318BD757" w14:textId="77777777" w:rsidR="00037A35" w:rsidRDefault="00037A35">
            <w:pPr>
              <w:widowControl/>
              <w:textAlignment w:val="center"/>
              <w:rPr>
                <w:rFonts w:ascii="SimSun" w:eastAsia="SimSun" w:hAnsi="SimSun" w:cs="SimSun"/>
                <w:color w:val="000000"/>
                <w:kern w:val="0"/>
                <w:sz w:val="20"/>
                <w:szCs w:val="20"/>
                <w:lang w:bidi="ar"/>
              </w:rPr>
            </w:pPr>
          </w:p>
        </w:tc>
        <w:tc>
          <w:tcPr>
            <w:tcW w:w="979" w:type="dxa"/>
            <w:vMerge/>
            <w:tcBorders>
              <w:top w:val="nil"/>
              <w:left w:val="nil"/>
              <w:bottom w:val="nil"/>
              <w:right w:val="nil"/>
            </w:tcBorders>
            <w:vAlign w:val="center"/>
          </w:tcPr>
          <w:p w14:paraId="5CD10350" w14:textId="77777777" w:rsidR="00037A35" w:rsidRDefault="00037A35">
            <w:pPr>
              <w:rPr>
                <w:rFonts w:ascii="SimSun" w:eastAsia="SimSun" w:hAnsi="SimSun" w:cs="SimSun"/>
                <w:color w:val="000000"/>
                <w:sz w:val="20"/>
                <w:szCs w:val="20"/>
              </w:rPr>
            </w:pPr>
          </w:p>
        </w:tc>
        <w:tc>
          <w:tcPr>
            <w:tcW w:w="881" w:type="dxa"/>
            <w:vMerge/>
            <w:tcBorders>
              <w:top w:val="nil"/>
              <w:left w:val="nil"/>
              <w:bottom w:val="nil"/>
              <w:right w:val="nil"/>
            </w:tcBorders>
            <w:vAlign w:val="center"/>
          </w:tcPr>
          <w:p w14:paraId="597904AE" w14:textId="77777777" w:rsidR="00037A35" w:rsidRDefault="00037A35">
            <w:pPr>
              <w:rPr>
                <w:rFonts w:ascii="SimSun" w:eastAsia="SimSun" w:hAnsi="SimSun" w:cs="SimSun"/>
                <w:color w:val="000000"/>
                <w:sz w:val="20"/>
                <w:szCs w:val="20"/>
              </w:rPr>
            </w:pPr>
          </w:p>
        </w:tc>
      </w:tr>
      <w:tr w:rsidR="00037A35" w14:paraId="58732D3E" w14:textId="77777777">
        <w:trPr>
          <w:jc w:val="center"/>
        </w:trPr>
        <w:tc>
          <w:tcPr>
            <w:tcW w:w="1247" w:type="dxa"/>
            <w:vMerge/>
            <w:tcBorders>
              <w:top w:val="nil"/>
              <w:left w:val="nil"/>
              <w:bottom w:val="nil"/>
              <w:right w:val="nil"/>
            </w:tcBorders>
          </w:tcPr>
          <w:p w14:paraId="5361A101" w14:textId="77777777" w:rsidR="00037A35" w:rsidRDefault="00037A35">
            <w:pPr>
              <w:rPr>
                <w:rFonts w:ascii="Times New Roman" w:hAnsi="Times New Roman" w:cs="Times New Roman"/>
                <w:sz w:val="20"/>
                <w:szCs w:val="20"/>
              </w:rPr>
            </w:pPr>
          </w:p>
        </w:tc>
        <w:tc>
          <w:tcPr>
            <w:tcW w:w="1791" w:type="dxa"/>
            <w:tcBorders>
              <w:top w:val="nil"/>
              <w:left w:val="nil"/>
              <w:bottom w:val="nil"/>
              <w:right w:val="nil"/>
            </w:tcBorders>
          </w:tcPr>
          <w:p w14:paraId="636A96C0" w14:textId="77777777" w:rsidR="00037A35" w:rsidRDefault="00000000">
            <w:pPr>
              <w:widowControl/>
              <w:rPr>
                <w:rFonts w:ascii="SimSun" w:eastAsia="SimSun" w:hAnsi="SimSun" w:cs="SimSun"/>
                <w:sz w:val="20"/>
                <w:szCs w:val="20"/>
              </w:rPr>
            </w:pPr>
            <w:r>
              <w:rPr>
                <w:rFonts w:ascii="SimSun" w:eastAsia="SimSun" w:hAnsi="SimSun" w:cs="SimSun" w:hint="eastAsia"/>
                <w:color w:val="000000"/>
                <w:kern w:val="0"/>
                <w:sz w:val="20"/>
                <w:szCs w:val="20"/>
                <w:lang w:bidi="ar"/>
              </w:rPr>
              <w:t>BL3</w:t>
            </w:r>
          </w:p>
        </w:tc>
        <w:tc>
          <w:tcPr>
            <w:tcW w:w="1488" w:type="dxa"/>
            <w:tcBorders>
              <w:top w:val="nil"/>
              <w:left w:val="nil"/>
              <w:bottom w:val="nil"/>
              <w:right w:val="nil"/>
            </w:tcBorders>
            <w:vAlign w:val="center"/>
          </w:tcPr>
          <w:p w14:paraId="0B263977"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0.867</w:t>
            </w:r>
          </w:p>
        </w:tc>
        <w:tc>
          <w:tcPr>
            <w:tcW w:w="1920" w:type="dxa"/>
            <w:vMerge/>
            <w:tcBorders>
              <w:top w:val="nil"/>
              <w:left w:val="nil"/>
              <w:bottom w:val="nil"/>
              <w:right w:val="nil"/>
            </w:tcBorders>
          </w:tcPr>
          <w:p w14:paraId="54774B6B" w14:textId="77777777" w:rsidR="00037A35" w:rsidRDefault="00037A35">
            <w:pPr>
              <w:widowControl/>
              <w:textAlignment w:val="center"/>
              <w:rPr>
                <w:rFonts w:ascii="SimSun" w:eastAsia="SimSun" w:hAnsi="SimSun" w:cs="SimSun"/>
                <w:color w:val="000000"/>
                <w:kern w:val="0"/>
                <w:sz w:val="20"/>
                <w:szCs w:val="20"/>
                <w:lang w:bidi="ar"/>
              </w:rPr>
            </w:pPr>
          </w:p>
        </w:tc>
        <w:tc>
          <w:tcPr>
            <w:tcW w:w="979" w:type="dxa"/>
            <w:vMerge/>
            <w:tcBorders>
              <w:top w:val="nil"/>
              <w:left w:val="nil"/>
              <w:bottom w:val="nil"/>
              <w:right w:val="nil"/>
            </w:tcBorders>
            <w:vAlign w:val="center"/>
          </w:tcPr>
          <w:p w14:paraId="7F9522C1" w14:textId="77777777" w:rsidR="00037A35" w:rsidRDefault="00037A35">
            <w:pPr>
              <w:rPr>
                <w:rFonts w:ascii="SimSun" w:eastAsia="SimSun" w:hAnsi="SimSun" w:cs="SimSun"/>
                <w:color w:val="000000"/>
                <w:sz w:val="20"/>
                <w:szCs w:val="20"/>
              </w:rPr>
            </w:pPr>
          </w:p>
        </w:tc>
        <w:tc>
          <w:tcPr>
            <w:tcW w:w="881" w:type="dxa"/>
            <w:vMerge/>
            <w:tcBorders>
              <w:top w:val="nil"/>
              <w:left w:val="nil"/>
              <w:bottom w:val="nil"/>
              <w:right w:val="nil"/>
            </w:tcBorders>
            <w:vAlign w:val="center"/>
          </w:tcPr>
          <w:p w14:paraId="176352FB" w14:textId="77777777" w:rsidR="00037A35" w:rsidRDefault="00037A35">
            <w:pPr>
              <w:rPr>
                <w:rFonts w:ascii="SimSun" w:eastAsia="SimSun" w:hAnsi="SimSun" w:cs="SimSun"/>
                <w:color w:val="000000"/>
                <w:sz w:val="20"/>
                <w:szCs w:val="20"/>
              </w:rPr>
            </w:pPr>
          </w:p>
        </w:tc>
      </w:tr>
      <w:tr w:rsidR="00037A35" w14:paraId="3D4B0946" w14:textId="77777777">
        <w:trPr>
          <w:jc w:val="center"/>
        </w:trPr>
        <w:tc>
          <w:tcPr>
            <w:tcW w:w="1247" w:type="dxa"/>
            <w:vMerge/>
            <w:tcBorders>
              <w:top w:val="nil"/>
              <w:left w:val="nil"/>
              <w:bottom w:val="nil"/>
              <w:right w:val="nil"/>
            </w:tcBorders>
          </w:tcPr>
          <w:p w14:paraId="559B76FE" w14:textId="77777777" w:rsidR="00037A35" w:rsidRDefault="00037A35">
            <w:pPr>
              <w:rPr>
                <w:rFonts w:ascii="Times New Roman" w:hAnsi="Times New Roman" w:cs="Times New Roman"/>
                <w:sz w:val="20"/>
                <w:szCs w:val="20"/>
              </w:rPr>
            </w:pPr>
          </w:p>
        </w:tc>
        <w:tc>
          <w:tcPr>
            <w:tcW w:w="1791" w:type="dxa"/>
            <w:tcBorders>
              <w:top w:val="nil"/>
              <w:left w:val="nil"/>
              <w:bottom w:val="nil"/>
              <w:right w:val="nil"/>
            </w:tcBorders>
          </w:tcPr>
          <w:p w14:paraId="4830D573" w14:textId="77777777" w:rsidR="00037A35" w:rsidRDefault="00000000">
            <w:pPr>
              <w:widowControl/>
              <w:rPr>
                <w:rFonts w:ascii="SimSun" w:eastAsia="SimSun" w:hAnsi="SimSun" w:cs="SimSun"/>
                <w:sz w:val="20"/>
                <w:szCs w:val="20"/>
              </w:rPr>
            </w:pPr>
            <w:r>
              <w:rPr>
                <w:rFonts w:ascii="SimSun" w:eastAsia="SimSun" w:hAnsi="SimSun" w:cs="SimSun" w:hint="eastAsia"/>
                <w:color w:val="000000"/>
                <w:kern w:val="0"/>
                <w:sz w:val="20"/>
                <w:szCs w:val="20"/>
                <w:lang w:bidi="ar"/>
              </w:rPr>
              <w:t>BL4</w:t>
            </w:r>
          </w:p>
        </w:tc>
        <w:tc>
          <w:tcPr>
            <w:tcW w:w="1488" w:type="dxa"/>
            <w:tcBorders>
              <w:top w:val="nil"/>
              <w:left w:val="nil"/>
              <w:bottom w:val="nil"/>
              <w:right w:val="nil"/>
            </w:tcBorders>
            <w:vAlign w:val="center"/>
          </w:tcPr>
          <w:p w14:paraId="14797B31"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0.828</w:t>
            </w:r>
          </w:p>
        </w:tc>
        <w:tc>
          <w:tcPr>
            <w:tcW w:w="1920" w:type="dxa"/>
            <w:vMerge/>
            <w:tcBorders>
              <w:top w:val="nil"/>
              <w:left w:val="nil"/>
              <w:bottom w:val="nil"/>
              <w:right w:val="nil"/>
            </w:tcBorders>
          </w:tcPr>
          <w:p w14:paraId="1377B52F" w14:textId="77777777" w:rsidR="00037A35" w:rsidRDefault="00037A35">
            <w:pPr>
              <w:widowControl/>
              <w:textAlignment w:val="center"/>
              <w:rPr>
                <w:rFonts w:ascii="SimSun" w:eastAsia="SimSun" w:hAnsi="SimSun" w:cs="SimSun"/>
                <w:color w:val="000000"/>
                <w:kern w:val="0"/>
                <w:sz w:val="20"/>
                <w:szCs w:val="20"/>
                <w:lang w:bidi="ar"/>
              </w:rPr>
            </w:pPr>
          </w:p>
        </w:tc>
        <w:tc>
          <w:tcPr>
            <w:tcW w:w="979" w:type="dxa"/>
            <w:vMerge/>
            <w:tcBorders>
              <w:top w:val="nil"/>
              <w:left w:val="nil"/>
              <w:bottom w:val="nil"/>
              <w:right w:val="nil"/>
            </w:tcBorders>
            <w:vAlign w:val="center"/>
          </w:tcPr>
          <w:p w14:paraId="726E9042" w14:textId="77777777" w:rsidR="00037A35" w:rsidRDefault="00037A35">
            <w:pPr>
              <w:rPr>
                <w:rFonts w:ascii="SimSun" w:eastAsia="SimSun" w:hAnsi="SimSun" w:cs="SimSun"/>
                <w:color w:val="000000"/>
                <w:sz w:val="20"/>
                <w:szCs w:val="20"/>
              </w:rPr>
            </w:pPr>
          </w:p>
        </w:tc>
        <w:tc>
          <w:tcPr>
            <w:tcW w:w="881" w:type="dxa"/>
            <w:vMerge/>
            <w:tcBorders>
              <w:top w:val="nil"/>
              <w:left w:val="nil"/>
              <w:bottom w:val="nil"/>
              <w:right w:val="nil"/>
            </w:tcBorders>
            <w:vAlign w:val="center"/>
          </w:tcPr>
          <w:p w14:paraId="16A1190F" w14:textId="77777777" w:rsidR="00037A35" w:rsidRDefault="00037A35">
            <w:pPr>
              <w:rPr>
                <w:rFonts w:ascii="SimSun" w:eastAsia="SimSun" w:hAnsi="SimSun" w:cs="SimSun"/>
                <w:color w:val="000000"/>
                <w:sz w:val="20"/>
                <w:szCs w:val="20"/>
              </w:rPr>
            </w:pPr>
          </w:p>
        </w:tc>
      </w:tr>
      <w:tr w:rsidR="00037A35" w14:paraId="55009128" w14:textId="77777777">
        <w:trPr>
          <w:jc w:val="center"/>
        </w:trPr>
        <w:tc>
          <w:tcPr>
            <w:tcW w:w="1247" w:type="dxa"/>
            <w:vMerge w:val="restart"/>
            <w:tcBorders>
              <w:top w:val="nil"/>
              <w:left w:val="nil"/>
              <w:bottom w:val="nil"/>
              <w:right w:val="nil"/>
            </w:tcBorders>
          </w:tcPr>
          <w:p w14:paraId="02AF9E72" w14:textId="77777777" w:rsidR="00037A35" w:rsidRDefault="00000000">
            <w:pPr>
              <w:rPr>
                <w:rFonts w:ascii="Times New Roman" w:hAnsi="Times New Roman" w:cs="Times New Roman"/>
                <w:sz w:val="20"/>
                <w:szCs w:val="20"/>
              </w:rPr>
            </w:pPr>
            <w:r>
              <w:rPr>
                <w:rFonts w:ascii="Times New Roman" w:hAnsi="Times New Roman" w:cs="Times New Roman"/>
              </w:rPr>
              <w:t>Unique needs</w:t>
            </w:r>
          </w:p>
        </w:tc>
        <w:tc>
          <w:tcPr>
            <w:tcW w:w="1791" w:type="dxa"/>
            <w:tcBorders>
              <w:top w:val="nil"/>
              <w:left w:val="nil"/>
              <w:bottom w:val="nil"/>
              <w:right w:val="nil"/>
            </w:tcBorders>
          </w:tcPr>
          <w:p w14:paraId="265E30FD" w14:textId="77777777" w:rsidR="00037A35" w:rsidRDefault="00000000">
            <w:pPr>
              <w:widowControl/>
              <w:rPr>
                <w:rFonts w:ascii="SimSun" w:eastAsia="SimSun" w:hAnsi="SimSun" w:cs="SimSun"/>
                <w:sz w:val="20"/>
                <w:szCs w:val="20"/>
              </w:rPr>
            </w:pPr>
            <w:r>
              <w:rPr>
                <w:rFonts w:ascii="SimSun" w:eastAsia="SimSun" w:hAnsi="SimSun" w:cs="SimSun" w:hint="eastAsia"/>
                <w:color w:val="000000"/>
                <w:kern w:val="0"/>
                <w:sz w:val="20"/>
                <w:szCs w:val="20"/>
                <w:lang w:bidi="ar"/>
              </w:rPr>
              <w:t>DT1</w:t>
            </w:r>
          </w:p>
        </w:tc>
        <w:tc>
          <w:tcPr>
            <w:tcW w:w="1488" w:type="dxa"/>
            <w:tcBorders>
              <w:top w:val="nil"/>
              <w:left w:val="nil"/>
              <w:bottom w:val="nil"/>
              <w:right w:val="nil"/>
            </w:tcBorders>
            <w:vAlign w:val="center"/>
          </w:tcPr>
          <w:p w14:paraId="068A2EE3"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0.816</w:t>
            </w:r>
          </w:p>
        </w:tc>
        <w:tc>
          <w:tcPr>
            <w:tcW w:w="1920" w:type="dxa"/>
            <w:vMerge w:val="restart"/>
            <w:tcBorders>
              <w:top w:val="nil"/>
              <w:left w:val="nil"/>
              <w:bottom w:val="nil"/>
              <w:right w:val="nil"/>
            </w:tcBorders>
          </w:tcPr>
          <w:p w14:paraId="7E355DD4" w14:textId="77777777" w:rsidR="00037A35" w:rsidRDefault="00037A35">
            <w:pPr>
              <w:widowControl/>
              <w:textAlignment w:val="center"/>
              <w:rPr>
                <w:rFonts w:ascii="SimSun" w:eastAsia="SimSun" w:hAnsi="SimSun" w:cs="SimSun"/>
                <w:color w:val="000000"/>
                <w:kern w:val="0"/>
                <w:sz w:val="20"/>
                <w:szCs w:val="20"/>
                <w:lang w:bidi="ar"/>
              </w:rPr>
            </w:pPr>
          </w:p>
          <w:p w14:paraId="605D8407" w14:textId="77777777" w:rsidR="00037A35" w:rsidRDefault="00000000">
            <w:pPr>
              <w:widowControl/>
              <w:textAlignment w:val="center"/>
              <w:rPr>
                <w:rFonts w:ascii="SimSun" w:eastAsia="SimSun" w:hAnsi="SimSun" w:cs="SimSun"/>
                <w:color w:val="000000"/>
                <w:kern w:val="0"/>
                <w:sz w:val="20"/>
                <w:szCs w:val="20"/>
                <w:lang w:bidi="ar"/>
              </w:rPr>
            </w:pPr>
            <w:r>
              <w:rPr>
                <w:rFonts w:ascii="SimSun" w:eastAsia="SimSun" w:hAnsi="SimSun" w:cs="SimSun" w:hint="eastAsia"/>
                <w:color w:val="000000"/>
                <w:kern w:val="0"/>
                <w:sz w:val="20"/>
                <w:szCs w:val="20"/>
                <w:lang w:bidi="ar"/>
              </w:rPr>
              <w:t>0.904</w:t>
            </w:r>
          </w:p>
        </w:tc>
        <w:tc>
          <w:tcPr>
            <w:tcW w:w="979" w:type="dxa"/>
            <w:vMerge w:val="restart"/>
            <w:tcBorders>
              <w:top w:val="nil"/>
              <w:left w:val="nil"/>
              <w:bottom w:val="nil"/>
              <w:right w:val="nil"/>
            </w:tcBorders>
            <w:vAlign w:val="center"/>
          </w:tcPr>
          <w:p w14:paraId="7E9EDDAD"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0.707</w:t>
            </w:r>
          </w:p>
        </w:tc>
        <w:tc>
          <w:tcPr>
            <w:tcW w:w="881" w:type="dxa"/>
            <w:vMerge w:val="restart"/>
            <w:tcBorders>
              <w:top w:val="nil"/>
              <w:left w:val="nil"/>
              <w:bottom w:val="nil"/>
              <w:right w:val="nil"/>
            </w:tcBorders>
            <w:vAlign w:val="center"/>
          </w:tcPr>
          <w:p w14:paraId="2FAB2D96" w14:textId="77777777" w:rsidR="00037A35" w:rsidRDefault="00000000">
            <w:pPr>
              <w:widowControl/>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0.906</w:t>
            </w:r>
          </w:p>
        </w:tc>
      </w:tr>
      <w:tr w:rsidR="00037A35" w14:paraId="10F5A54B" w14:textId="77777777">
        <w:trPr>
          <w:jc w:val="center"/>
        </w:trPr>
        <w:tc>
          <w:tcPr>
            <w:tcW w:w="1247" w:type="dxa"/>
            <w:vMerge/>
            <w:tcBorders>
              <w:top w:val="nil"/>
              <w:left w:val="nil"/>
              <w:bottom w:val="nil"/>
              <w:right w:val="nil"/>
            </w:tcBorders>
          </w:tcPr>
          <w:p w14:paraId="11CD982E" w14:textId="77777777" w:rsidR="00037A35" w:rsidRDefault="00037A35">
            <w:pPr>
              <w:rPr>
                <w:szCs w:val="21"/>
              </w:rPr>
            </w:pPr>
          </w:p>
        </w:tc>
        <w:tc>
          <w:tcPr>
            <w:tcW w:w="1791" w:type="dxa"/>
            <w:tcBorders>
              <w:top w:val="nil"/>
              <w:left w:val="nil"/>
              <w:bottom w:val="nil"/>
              <w:right w:val="nil"/>
            </w:tcBorders>
          </w:tcPr>
          <w:p w14:paraId="1753DEBA" w14:textId="77777777" w:rsidR="00037A35" w:rsidRDefault="00000000">
            <w:pPr>
              <w:widowControl/>
              <w:rPr>
                <w:rFonts w:ascii="SimSun" w:eastAsia="SimSun" w:hAnsi="SimSun" w:cs="SimSun"/>
                <w:sz w:val="20"/>
                <w:szCs w:val="20"/>
              </w:rPr>
            </w:pPr>
            <w:r>
              <w:rPr>
                <w:rFonts w:ascii="SimSun" w:eastAsia="SimSun" w:hAnsi="SimSun" w:cs="SimSun" w:hint="eastAsia"/>
                <w:color w:val="000000"/>
                <w:kern w:val="0"/>
                <w:sz w:val="20"/>
                <w:szCs w:val="20"/>
                <w:lang w:bidi="ar"/>
              </w:rPr>
              <w:t>DT2</w:t>
            </w:r>
          </w:p>
        </w:tc>
        <w:tc>
          <w:tcPr>
            <w:tcW w:w="1488" w:type="dxa"/>
            <w:tcBorders>
              <w:top w:val="nil"/>
              <w:left w:val="nil"/>
              <w:bottom w:val="nil"/>
              <w:right w:val="nil"/>
            </w:tcBorders>
            <w:vAlign w:val="center"/>
          </w:tcPr>
          <w:p w14:paraId="07943A06" w14:textId="77777777" w:rsidR="00037A35" w:rsidRDefault="00000000">
            <w:pPr>
              <w:widowControl/>
              <w:jc w:val="left"/>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0.852</w:t>
            </w:r>
          </w:p>
        </w:tc>
        <w:tc>
          <w:tcPr>
            <w:tcW w:w="1920" w:type="dxa"/>
            <w:vMerge/>
            <w:tcBorders>
              <w:top w:val="nil"/>
              <w:left w:val="nil"/>
              <w:bottom w:val="nil"/>
              <w:right w:val="nil"/>
            </w:tcBorders>
          </w:tcPr>
          <w:p w14:paraId="5C82B159" w14:textId="77777777" w:rsidR="00037A35" w:rsidRDefault="00037A35">
            <w:pPr>
              <w:rPr>
                <w:szCs w:val="21"/>
              </w:rPr>
            </w:pPr>
          </w:p>
        </w:tc>
        <w:tc>
          <w:tcPr>
            <w:tcW w:w="979" w:type="dxa"/>
            <w:vMerge/>
            <w:tcBorders>
              <w:top w:val="nil"/>
              <w:left w:val="nil"/>
              <w:bottom w:val="nil"/>
              <w:right w:val="nil"/>
            </w:tcBorders>
          </w:tcPr>
          <w:p w14:paraId="1CDA93E0" w14:textId="77777777" w:rsidR="00037A35" w:rsidRDefault="00037A35">
            <w:pPr>
              <w:rPr>
                <w:szCs w:val="21"/>
              </w:rPr>
            </w:pPr>
          </w:p>
        </w:tc>
        <w:tc>
          <w:tcPr>
            <w:tcW w:w="881" w:type="dxa"/>
            <w:vMerge/>
            <w:tcBorders>
              <w:top w:val="nil"/>
              <w:left w:val="nil"/>
              <w:bottom w:val="nil"/>
              <w:right w:val="nil"/>
            </w:tcBorders>
          </w:tcPr>
          <w:p w14:paraId="0867CB79" w14:textId="77777777" w:rsidR="00037A35" w:rsidRDefault="00037A35">
            <w:pPr>
              <w:rPr>
                <w:szCs w:val="21"/>
              </w:rPr>
            </w:pPr>
          </w:p>
        </w:tc>
      </w:tr>
      <w:tr w:rsidR="00037A35" w14:paraId="7E2A9735" w14:textId="77777777">
        <w:trPr>
          <w:jc w:val="center"/>
        </w:trPr>
        <w:tc>
          <w:tcPr>
            <w:tcW w:w="1247" w:type="dxa"/>
            <w:vMerge/>
            <w:tcBorders>
              <w:top w:val="nil"/>
              <w:left w:val="nil"/>
              <w:bottom w:val="nil"/>
              <w:right w:val="nil"/>
            </w:tcBorders>
          </w:tcPr>
          <w:p w14:paraId="3AD2FAE6" w14:textId="77777777" w:rsidR="00037A35" w:rsidRDefault="00037A35">
            <w:pPr>
              <w:rPr>
                <w:szCs w:val="21"/>
              </w:rPr>
            </w:pPr>
          </w:p>
        </w:tc>
        <w:tc>
          <w:tcPr>
            <w:tcW w:w="1791" w:type="dxa"/>
            <w:tcBorders>
              <w:top w:val="nil"/>
              <w:left w:val="nil"/>
              <w:bottom w:val="nil"/>
              <w:right w:val="nil"/>
            </w:tcBorders>
          </w:tcPr>
          <w:p w14:paraId="4AF01C6D" w14:textId="77777777" w:rsidR="00037A35" w:rsidRDefault="00000000">
            <w:pPr>
              <w:widowControl/>
              <w:rPr>
                <w:rFonts w:ascii="SimSun" w:eastAsia="SimSun" w:hAnsi="SimSun" w:cs="SimSun"/>
                <w:sz w:val="20"/>
                <w:szCs w:val="20"/>
              </w:rPr>
            </w:pPr>
            <w:r>
              <w:rPr>
                <w:rFonts w:ascii="SimSun" w:eastAsia="SimSun" w:hAnsi="SimSun" w:cs="SimSun" w:hint="eastAsia"/>
                <w:color w:val="000000"/>
                <w:kern w:val="0"/>
                <w:sz w:val="20"/>
                <w:szCs w:val="20"/>
                <w:lang w:bidi="ar"/>
              </w:rPr>
              <w:t>DT3</w:t>
            </w:r>
          </w:p>
        </w:tc>
        <w:tc>
          <w:tcPr>
            <w:tcW w:w="1488" w:type="dxa"/>
            <w:tcBorders>
              <w:top w:val="nil"/>
              <w:left w:val="nil"/>
              <w:bottom w:val="nil"/>
              <w:right w:val="nil"/>
            </w:tcBorders>
            <w:vAlign w:val="center"/>
          </w:tcPr>
          <w:p w14:paraId="787F5763" w14:textId="77777777" w:rsidR="00037A35" w:rsidRDefault="00000000">
            <w:pPr>
              <w:widowControl/>
              <w:jc w:val="left"/>
              <w:textAlignment w:val="center"/>
              <w:rPr>
                <w:rFonts w:ascii="SimSun" w:eastAsia="SimSun" w:hAnsi="SimSun" w:cs="SimSun"/>
                <w:color w:val="000000"/>
                <w:sz w:val="20"/>
                <w:szCs w:val="20"/>
              </w:rPr>
            </w:pPr>
            <w:r>
              <w:rPr>
                <w:rFonts w:ascii="SimSun" w:eastAsia="SimSun" w:hAnsi="SimSun" w:cs="SimSun" w:hint="eastAsia"/>
                <w:color w:val="000000"/>
                <w:kern w:val="0"/>
                <w:sz w:val="20"/>
                <w:szCs w:val="20"/>
                <w:lang w:bidi="ar"/>
              </w:rPr>
              <w:t>0.890</w:t>
            </w:r>
          </w:p>
        </w:tc>
        <w:tc>
          <w:tcPr>
            <w:tcW w:w="1920" w:type="dxa"/>
            <w:vMerge/>
            <w:tcBorders>
              <w:top w:val="nil"/>
              <w:left w:val="nil"/>
              <w:bottom w:val="nil"/>
              <w:right w:val="nil"/>
            </w:tcBorders>
          </w:tcPr>
          <w:p w14:paraId="48487058" w14:textId="77777777" w:rsidR="00037A35" w:rsidRDefault="00037A35">
            <w:pPr>
              <w:rPr>
                <w:szCs w:val="21"/>
              </w:rPr>
            </w:pPr>
          </w:p>
        </w:tc>
        <w:tc>
          <w:tcPr>
            <w:tcW w:w="979" w:type="dxa"/>
            <w:vMerge/>
            <w:tcBorders>
              <w:top w:val="nil"/>
              <w:left w:val="nil"/>
              <w:bottom w:val="nil"/>
              <w:right w:val="nil"/>
            </w:tcBorders>
          </w:tcPr>
          <w:p w14:paraId="1E0AB1B8" w14:textId="77777777" w:rsidR="00037A35" w:rsidRDefault="00037A35">
            <w:pPr>
              <w:rPr>
                <w:szCs w:val="21"/>
              </w:rPr>
            </w:pPr>
          </w:p>
        </w:tc>
        <w:tc>
          <w:tcPr>
            <w:tcW w:w="881" w:type="dxa"/>
            <w:vMerge/>
            <w:tcBorders>
              <w:top w:val="nil"/>
              <w:left w:val="nil"/>
              <w:bottom w:val="nil"/>
              <w:right w:val="nil"/>
            </w:tcBorders>
          </w:tcPr>
          <w:p w14:paraId="1B5099D7" w14:textId="77777777" w:rsidR="00037A35" w:rsidRDefault="00037A35">
            <w:pPr>
              <w:rPr>
                <w:szCs w:val="21"/>
              </w:rPr>
            </w:pPr>
          </w:p>
        </w:tc>
      </w:tr>
      <w:tr w:rsidR="00037A35" w14:paraId="0518B369" w14:textId="77777777">
        <w:trPr>
          <w:jc w:val="center"/>
        </w:trPr>
        <w:tc>
          <w:tcPr>
            <w:tcW w:w="1247" w:type="dxa"/>
            <w:vMerge/>
            <w:tcBorders>
              <w:top w:val="nil"/>
              <w:left w:val="nil"/>
              <w:bottom w:val="single" w:sz="12" w:space="0" w:color="auto"/>
              <w:right w:val="nil"/>
            </w:tcBorders>
          </w:tcPr>
          <w:p w14:paraId="42F7BEBF" w14:textId="77777777" w:rsidR="00037A35" w:rsidRDefault="00037A35">
            <w:pPr>
              <w:rPr>
                <w:szCs w:val="21"/>
              </w:rPr>
            </w:pPr>
          </w:p>
        </w:tc>
        <w:tc>
          <w:tcPr>
            <w:tcW w:w="1791" w:type="dxa"/>
            <w:tcBorders>
              <w:top w:val="nil"/>
              <w:left w:val="nil"/>
              <w:bottom w:val="single" w:sz="12" w:space="0" w:color="auto"/>
              <w:right w:val="nil"/>
            </w:tcBorders>
          </w:tcPr>
          <w:p w14:paraId="355D6DD8" w14:textId="77777777" w:rsidR="00037A35" w:rsidRDefault="00000000">
            <w:pPr>
              <w:widowControl/>
              <w:rPr>
                <w:rFonts w:ascii="SimSun" w:eastAsia="SimSun" w:hAnsi="SimSun" w:cs="SimSun"/>
                <w:color w:val="000000"/>
                <w:kern w:val="0"/>
                <w:sz w:val="20"/>
                <w:szCs w:val="20"/>
                <w:lang w:bidi="ar"/>
              </w:rPr>
            </w:pPr>
            <w:r>
              <w:rPr>
                <w:rFonts w:ascii="SimSun" w:eastAsia="SimSun" w:hAnsi="SimSun" w:cs="SimSun" w:hint="eastAsia"/>
                <w:color w:val="000000"/>
                <w:kern w:val="0"/>
                <w:sz w:val="20"/>
                <w:szCs w:val="20"/>
                <w:lang w:bidi="ar"/>
              </w:rPr>
              <w:t>DT4</w:t>
            </w:r>
          </w:p>
        </w:tc>
        <w:tc>
          <w:tcPr>
            <w:tcW w:w="1488" w:type="dxa"/>
            <w:tcBorders>
              <w:top w:val="nil"/>
              <w:left w:val="nil"/>
              <w:bottom w:val="single" w:sz="12" w:space="0" w:color="auto"/>
              <w:right w:val="nil"/>
            </w:tcBorders>
            <w:vAlign w:val="center"/>
          </w:tcPr>
          <w:p w14:paraId="5C4BC3BF" w14:textId="77777777" w:rsidR="00037A35" w:rsidRDefault="00000000">
            <w:pPr>
              <w:widowControl/>
              <w:jc w:val="left"/>
              <w:rPr>
                <w:rFonts w:ascii="SimSun" w:eastAsia="SimSun" w:hAnsi="SimSun" w:cs="SimSun"/>
                <w:color w:val="000000"/>
                <w:kern w:val="0"/>
                <w:sz w:val="20"/>
                <w:szCs w:val="20"/>
                <w:lang w:bidi="ar"/>
              </w:rPr>
            </w:pPr>
            <w:r>
              <w:rPr>
                <w:rFonts w:ascii="SimSun" w:eastAsia="SimSun" w:hAnsi="SimSun" w:cs="SimSun"/>
                <w:color w:val="000000"/>
                <w:kern w:val="0"/>
                <w:sz w:val="20"/>
                <w:szCs w:val="20"/>
                <w:lang w:bidi="ar"/>
              </w:rPr>
              <w:t>0.803</w:t>
            </w:r>
          </w:p>
        </w:tc>
        <w:tc>
          <w:tcPr>
            <w:tcW w:w="1920" w:type="dxa"/>
            <w:vMerge/>
            <w:tcBorders>
              <w:top w:val="nil"/>
              <w:left w:val="nil"/>
              <w:bottom w:val="single" w:sz="12" w:space="0" w:color="auto"/>
              <w:right w:val="nil"/>
            </w:tcBorders>
          </w:tcPr>
          <w:p w14:paraId="61A14CC7" w14:textId="77777777" w:rsidR="00037A35" w:rsidRDefault="00037A35">
            <w:pPr>
              <w:rPr>
                <w:szCs w:val="21"/>
              </w:rPr>
            </w:pPr>
          </w:p>
        </w:tc>
        <w:tc>
          <w:tcPr>
            <w:tcW w:w="979" w:type="dxa"/>
            <w:vMerge/>
            <w:tcBorders>
              <w:top w:val="nil"/>
              <w:left w:val="nil"/>
              <w:bottom w:val="single" w:sz="12" w:space="0" w:color="auto"/>
              <w:right w:val="nil"/>
            </w:tcBorders>
          </w:tcPr>
          <w:p w14:paraId="040B58B2" w14:textId="77777777" w:rsidR="00037A35" w:rsidRDefault="00037A35">
            <w:pPr>
              <w:rPr>
                <w:szCs w:val="21"/>
              </w:rPr>
            </w:pPr>
          </w:p>
        </w:tc>
        <w:tc>
          <w:tcPr>
            <w:tcW w:w="881" w:type="dxa"/>
            <w:vMerge/>
            <w:tcBorders>
              <w:top w:val="nil"/>
              <w:left w:val="nil"/>
              <w:bottom w:val="single" w:sz="12" w:space="0" w:color="auto"/>
              <w:right w:val="nil"/>
            </w:tcBorders>
          </w:tcPr>
          <w:p w14:paraId="42565571" w14:textId="77777777" w:rsidR="00037A35" w:rsidRDefault="00037A35">
            <w:pPr>
              <w:rPr>
                <w:szCs w:val="21"/>
              </w:rPr>
            </w:pPr>
          </w:p>
        </w:tc>
      </w:tr>
    </w:tbl>
    <w:p w14:paraId="1FA77114" w14:textId="77777777" w:rsidR="00037A35" w:rsidRDefault="00037A35">
      <w:pPr>
        <w:numPr>
          <w:ilvl w:val="255"/>
          <w:numId w:val="0"/>
        </w:numPr>
        <w:rPr>
          <w:rFonts w:ascii="SimSun" w:eastAsia="SimSun" w:hAnsi="SimSun" w:cs="SimSun"/>
          <w:kern w:val="0"/>
          <w:sz w:val="24"/>
          <w:lang w:bidi="ar"/>
        </w:rPr>
      </w:pPr>
    </w:p>
    <w:p w14:paraId="75A9CD00" w14:textId="77777777" w:rsidR="00037A35" w:rsidRDefault="00000000">
      <w:pPr>
        <w:rPr>
          <w:rFonts w:ascii="Times New Roman" w:hAnsi="Times New Roman" w:cs="Times New Roman"/>
          <w:b/>
          <w:bCs/>
          <w:sz w:val="24"/>
        </w:rPr>
      </w:pPr>
      <w:r>
        <w:rPr>
          <w:rFonts w:ascii="Times New Roman" w:hAnsi="Times New Roman" w:cs="Times New Roman"/>
          <w:b/>
          <w:bCs/>
          <w:sz w:val="24"/>
        </w:rPr>
        <w:t>3.4 Hypothesis Testing</w:t>
      </w:r>
    </w:p>
    <w:p w14:paraId="0E2A76CF" w14:textId="77777777" w:rsidR="00037A35" w:rsidRDefault="00037A35">
      <w:pPr>
        <w:pStyle w:val="Default"/>
        <w:numPr>
          <w:ilvl w:val="255"/>
          <w:numId w:val="0"/>
        </w:numPr>
        <w:ind w:firstLine="480"/>
        <w:jc w:val="both"/>
        <w:rPr>
          <w:rFonts w:ascii="Times New Roman" w:hAnsi="Times New Roman" w:hint="default"/>
          <w:color w:val="auto"/>
          <w:kern w:val="2"/>
          <w:szCs w:val="24"/>
        </w:rPr>
      </w:pPr>
    </w:p>
    <w:p w14:paraId="0E1C95C7" w14:textId="77777777" w:rsidR="00037A35" w:rsidRDefault="00000000">
      <w:pPr>
        <w:pStyle w:val="Default"/>
        <w:numPr>
          <w:ilvl w:val="255"/>
          <w:numId w:val="0"/>
        </w:numPr>
        <w:ind w:firstLine="480"/>
        <w:jc w:val="both"/>
        <w:rPr>
          <w:rFonts w:ascii="Times New Roman" w:hAnsi="Times New Roman" w:hint="default"/>
          <w:color w:val="auto"/>
          <w:kern w:val="2"/>
          <w:szCs w:val="24"/>
        </w:rPr>
      </w:pPr>
      <w:r>
        <w:rPr>
          <w:rFonts w:ascii="Times New Roman" w:hAnsi="Times New Roman"/>
          <w:color w:val="auto"/>
          <w:kern w:val="2"/>
          <w:szCs w:val="24"/>
        </w:rPr>
        <w:t>This study used SPSS 27.0 for hierarchical regression analysis to explore the relationships among customer engagement, functional value, hedonic value, customer retention, and unique needs (see Table 4).</w:t>
      </w:r>
    </w:p>
    <w:p w14:paraId="79AABE11" w14:textId="77777777" w:rsidR="00037A35" w:rsidRDefault="00037A35">
      <w:pPr>
        <w:pStyle w:val="Default"/>
        <w:numPr>
          <w:ilvl w:val="255"/>
          <w:numId w:val="0"/>
        </w:numPr>
        <w:ind w:firstLine="480"/>
        <w:jc w:val="both"/>
        <w:rPr>
          <w:rFonts w:ascii="Times New Roman" w:hAnsi="Times New Roman" w:hint="default"/>
          <w:color w:val="auto"/>
          <w:kern w:val="2"/>
          <w:szCs w:val="24"/>
        </w:rPr>
      </w:pPr>
    </w:p>
    <w:p w14:paraId="264A9D05" w14:textId="77777777" w:rsidR="00037A35" w:rsidRDefault="00000000">
      <w:pPr>
        <w:rPr>
          <w:rFonts w:ascii="Times New Roman" w:hAnsi="Times New Roman" w:cs="Times New Roman"/>
          <w:b/>
          <w:bCs/>
          <w:sz w:val="24"/>
        </w:rPr>
      </w:pPr>
      <w:r>
        <w:rPr>
          <w:rFonts w:ascii="Times New Roman" w:hAnsi="Times New Roman" w:cs="Times New Roman"/>
          <w:b/>
          <w:bCs/>
          <w:sz w:val="24"/>
        </w:rPr>
        <w:t>3.4.1 Direct Effect Test</w:t>
      </w:r>
    </w:p>
    <w:p w14:paraId="177692A0" w14:textId="77777777" w:rsidR="00037A35" w:rsidRDefault="00037A35">
      <w:pPr>
        <w:pStyle w:val="Default"/>
        <w:numPr>
          <w:ilvl w:val="255"/>
          <w:numId w:val="0"/>
        </w:numPr>
        <w:ind w:firstLine="480"/>
        <w:jc w:val="both"/>
        <w:rPr>
          <w:rFonts w:cs="SimSun" w:hint="default"/>
          <w:szCs w:val="24"/>
        </w:rPr>
      </w:pPr>
    </w:p>
    <w:p w14:paraId="3AE3B461" w14:textId="77777777" w:rsidR="00037A35" w:rsidRDefault="00000000">
      <w:pPr>
        <w:pStyle w:val="Default"/>
        <w:numPr>
          <w:ilvl w:val="255"/>
          <w:numId w:val="0"/>
        </w:numPr>
        <w:ind w:firstLine="480"/>
        <w:jc w:val="both"/>
        <w:rPr>
          <w:rFonts w:ascii="Times New Roman" w:hAnsi="Times New Roman" w:hint="default"/>
          <w:color w:val="auto"/>
          <w:kern w:val="2"/>
          <w:szCs w:val="24"/>
        </w:rPr>
      </w:pPr>
      <w:r>
        <w:rPr>
          <w:rFonts w:ascii="Times New Roman" w:hAnsi="Times New Roman"/>
          <w:color w:val="auto"/>
          <w:kern w:val="2"/>
          <w:szCs w:val="24"/>
        </w:rPr>
        <w:t>Regression analysis showed that customer participation had a significant positive impact on customer retention (</w:t>
      </w:r>
      <w:r>
        <w:rPr>
          <w:rFonts w:ascii="Times New Roman" w:hAnsi="Times New Roman"/>
          <w:color w:val="auto"/>
          <w:kern w:val="2"/>
          <w:szCs w:val="24"/>
        </w:rPr>
        <w:t>β</w:t>
      </w:r>
      <w:r>
        <w:rPr>
          <w:rFonts w:ascii="Times New Roman" w:hAnsi="Times New Roman"/>
          <w:color w:val="auto"/>
          <w:kern w:val="2"/>
          <w:szCs w:val="24"/>
        </w:rPr>
        <w:t>=0.553, P&lt;0.001). As shown in Model 6 of Table 4, after adding customer participation, it explained 24.1% of the variation in customer retention. This indicates that the higher the level of customer participation, the stronger the customer retention intention; therefore, hypothesis H1 is valid.</w:t>
      </w:r>
    </w:p>
    <w:p w14:paraId="4C8BC62D" w14:textId="77777777" w:rsidR="00037A35" w:rsidRDefault="00037A35">
      <w:pPr>
        <w:pStyle w:val="Default"/>
        <w:numPr>
          <w:ilvl w:val="255"/>
          <w:numId w:val="0"/>
        </w:numPr>
        <w:ind w:firstLine="480"/>
        <w:jc w:val="both"/>
        <w:rPr>
          <w:rFonts w:cs="SimSun" w:hint="default"/>
          <w:szCs w:val="24"/>
        </w:rPr>
      </w:pPr>
    </w:p>
    <w:p w14:paraId="293E9D7E" w14:textId="77777777" w:rsidR="00037A35" w:rsidRDefault="00000000">
      <w:pPr>
        <w:rPr>
          <w:rFonts w:ascii="Times New Roman" w:hAnsi="Times New Roman" w:cs="Times New Roman"/>
          <w:b/>
          <w:bCs/>
          <w:sz w:val="24"/>
        </w:rPr>
      </w:pPr>
      <w:r>
        <w:rPr>
          <w:rFonts w:ascii="Times New Roman" w:hAnsi="Times New Roman" w:cs="Times New Roman"/>
          <w:b/>
          <w:bCs/>
          <w:sz w:val="24"/>
        </w:rPr>
        <w:t>3.4.2 Hierarchical Regression and Mediation Effect Test</w:t>
      </w:r>
    </w:p>
    <w:p w14:paraId="622CA8E3" w14:textId="77777777" w:rsidR="00037A35" w:rsidRDefault="00037A35">
      <w:pPr>
        <w:pStyle w:val="Default"/>
        <w:numPr>
          <w:ilvl w:val="255"/>
          <w:numId w:val="0"/>
        </w:numPr>
        <w:rPr>
          <w:rFonts w:ascii="Times New Roman" w:hAnsi="Times New Roman" w:hint="default"/>
          <w:color w:val="auto"/>
          <w:kern w:val="2"/>
          <w:szCs w:val="24"/>
        </w:rPr>
      </w:pPr>
    </w:p>
    <w:p w14:paraId="6657FC8E" w14:textId="77777777" w:rsidR="00037A35" w:rsidRDefault="00000000">
      <w:pPr>
        <w:pStyle w:val="Default"/>
        <w:numPr>
          <w:ilvl w:val="255"/>
          <w:numId w:val="0"/>
        </w:numPr>
        <w:ind w:firstLineChars="200" w:firstLine="480"/>
        <w:jc w:val="both"/>
        <w:rPr>
          <w:rFonts w:ascii="Times New Roman" w:hAnsi="Times New Roman" w:hint="default"/>
          <w:color w:val="auto"/>
          <w:kern w:val="2"/>
          <w:szCs w:val="24"/>
        </w:rPr>
      </w:pPr>
      <w:r>
        <w:rPr>
          <w:rFonts w:ascii="Times New Roman" w:hAnsi="Times New Roman"/>
          <w:color w:val="auto"/>
          <w:kern w:val="2"/>
          <w:szCs w:val="24"/>
        </w:rPr>
        <w:t>In Models 2 and 4, customer participation has a significant positive impact on both functional value (</w:t>
      </w:r>
      <w:r>
        <w:rPr>
          <w:rFonts w:ascii="Times New Roman" w:hAnsi="Times New Roman"/>
          <w:color w:val="auto"/>
          <w:kern w:val="2"/>
          <w:szCs w:val="24"/>
        </w:rPr>
        <w:t>β</w:t>
      </w:r>
      <w:r>
        <w:rPr>
          <w:rFonts w:ascii="Times New Roman" w:hAnsi="Times New Roman"/>
          <w:color w:val="auto"/>
          <w:kern w:val="2"/>
          <w:szCs w:val="24"/>
        </w:rPr>
        <w:t>=0.688, P&lt;0.001) and hedonic value (</w:t>
      </w:r>
      <w:r>
        <w:rPr>
          <w:rFonts w:ascii="Times New Roman" w:hAnsi="Times New Roman"/>
          <w:color w:val="auto"/>
          <w:kern w:val="2"/>
          <w:szCs w:val="24"/>
        </w:rPr>
        <w:t>β</w:t>
      </w:r>
      <w:r>
        <w:rPr>
          <w:rFonts w:ascii="Times New Roman" w:hAnsi="Times New Roman"/>
          <w:color w:val="auto"/>
          <w:kern w:val="2"/>
          <w:szCs w:val="24"/>
        </w:rPr>
        <w:t>=0.688, P&lt;0.001). However, in Models 7 and 8, adding functional value (</w:t>
      </w:r>
      <w:r>
        <w:rPr>
          <w:rFonts w:ascii="Times New Roman" w:hAnsi="Times New Roman"/>
          <w:color w:val="auto"/>
          <w:kern w:val="2"/>
          <w:szCs w:val="24"/>
        </w:rPr>
        <w:t>β</w:t>
      </w:r>
      <w:r>
        <w:rPr>
          <w:rFonts w:ascii="Times New Roman" w:hAnsi="Times New Roman"/>
          <w:color w:val="auto"/>
          <w:kern w:val="2"/>
          <w:szCs w:val="24"/>
        </w:rPr>
        <w:t>=0.568, P&lt;0.001) and hedonic value (</w:t>
      </w:r>
      <w:r>
        <w:rPr>
          <w:rFonts w:ascii="Times New Roman" w:hAnsi="Times New Roman"/>
          <w:color w:val="auto"/>
          <w:kern w:val="2"/>
          <w:szCs w:val="24"/>
        </w:rPr>
        <w:t>β</w:t>
      </w:r>
      <w:r>
        <w:rPr>
          <w:rFonts w:ascii="Times New Roman" w:hAnsi="Times New Roman"/>
          <w:color w:val="auto"/>
          <w:kern w:val="2"/>
          <w:szCs w:val="24"/>
        </w:rPr>
        <w:t>=0.539, P&lt;0.001) to customer participation and customer retention respectively both show a significant positive impact on customer retention. At this point, the direct effect of customer participation significantly decreases in Models 7 (</w:t>
      </w:r>
      <w:r>
        <w:rPr>
          <w:rFonts w:ascii="Times New Roman" w:hAnsi="Times New Roman"/>
          <w:color w:val="auto"/>
          <w:kern w:val="2"/>
          <w:szCs w:val="24"/>
        </w:rPr>
        <w:t>β</w:t>
      </w:r>
      <w:r>
        <w:rPr>
          <w:rFonts w:ascii="Times New Roman" w:hAnsi="Times New Roman"/>
          <w:color w:val="auto"/>
          <w:kern w:val="2"/>
          <w:szCs w:val="24"/>
        </w:rPr>
        <w:t>=0.162, P&lt;0.01) and 8 (</w:t>
      </w:r>
      <w:r>
        <w:rPr>
          <w:rFonts w:ascii="Times New Roman" w:hAnsi="Times New Roman"/>
          <w:color w:val="auto"/>
          <w:kern w:val="2"/>
          <w:szCs w:val="24"/>
        </w:rPr>
        <w:t>β</w:t>
      </w:r>
      <w:r>
        <w:rPr>
          <w:rFonts w:ascii="Times New Roman" w:hAnsi="Times New Roman"/>
          <w:color w:val="auto"/>
          <w:kern w:val="2"/>
          <w:szCs w:val="24"/>
        </w:rPr>
        <w:t xml:space="preserve">=0.193, P&lt;0.01), indicating that hedonic and functional values </w:t>
      </w:r>
      <w:r>
        <w:rPr>
          <w:rFonts w:ascii="Times New Roman" w:hAnsi="Times New Roman" w:hint="default"/>
          <w:color w:val="auto"/>
          <w:kern w:val="2"/>
          <w:szCs w:val="24"/>
        </w:rPr>
        <w:t>​​</w:t>
      </w:r>
      <w:r>
        <w:rPr>
          <w:rFonts w:ascii="Times New Roman" w:hAnsi="Times New Roman"/>
          <w:color w:val="auto"/>
          <w:kern w:val="2"/>
          <w:szCs w:val="24"/>
        </w:rPr>
        <w:t>play a partial mediating role between customer participation and customer retention. Therefore, hypotheses H2a, H2b, H3a, and H3b are valid.</w:t>
      </w:r>
    </w:p>
    <w:p w14:paraId="5880C999" w14:textId="77777777" w:rsidR="00037A35" w:rsidRDefault="00037A35">
      <w:pPr>
        <w:pStyle w:val="Default"/>
        <w:numPr>
          <w:ilvl w:val="255"/>
          <w:numId w:val="0"/>
        </w:numPr>
        <w:jc w:val="both"/>
        <w:rPr>
          <w:rFonts w:cs="SimSun" w:hint="default"/>
          <w:szCs w:val="24"/>
        </w:rPr>
      </w:pPr>
    </w:p>
    <w:p w14:paraId="5FC2CFA4" w14:textId="77777777" w:rsidR="00037A35" w:rsidRDefault="00000000">
      <w:pPr>
        <w:widowControl/>
        <w:jc w:val="center"/>
        <w:textAlignment w:val="center"/>
        <w:rPr>
          <w:rFonts w:ascii="Times New Roman" w:eastAsia="SimSun" w:hAnsi="Times New Roman" w:cs="Times New Roman"/>
          <w:color w:val="000000"/>
          <w:kern w:val="0"/>
          <w:sz w:val="20"/>
          <w:szCs w:val="20"/>
          <w:lang w:bidi="ar"/>
        </w:rPr>
      </w:pPr>
      <w:r>
        <w:rPr>
          <w:rFonts w:ascii="Times New Roman" w:eastAsia="SimSun" w:hAnsi="Times New Roman" w:cs="Times New Roman"/>
          <w:color w:val="000000"/>
          <w:kern w:val="0"/>
          <w:sz w:val="20"/>
          <w:szCs w:val="20"/>
          <w:lang w:bidi="ar"/>
        </w:rPr>
        <w:t>Table 4. Stratified Regression Analysis</w:t>
      </w:r>
    </w:p>
    <w:tbl>
      <w:tblPr>
        <w:tblW w:w="4940" w:type="pct"/>
        <w:tblLayout w:type="fixed"/>
        <w:tblLook w:val="04A0" w:firstRow="1" w:lastRow="0" w:firstColumn="1" w:lastColumn="0" w:noHBand="0" w:noVBand="1"/>
      </w:tblPr>
      <w:tblGrid>
        <w:gridCol w:w="1411"/>
        <w:gridCol w:w="716"/>
        <w:gridCol w:w="850"/>
        <w:gridCol w:w="852"/>
        <w:gridCol w:w="853"/>
        <w:gridCol w:w="566"/>
        <w:gridCol w:w="901"/>
        <w:gridCol w:w="517"/>
        <w:gridCol w:w="778"/>
        <w:gridCol w:w="762"/>
      </w:tblGrid>
      <w:tr w:rsidR="00037A35" w14:paraId="196AA1EA" w14:textId="77777777">
        <w:trPr>
          <w:trHeight w:val="153"/>
        </w:trPr>
        <w:tc>
          <w:tcPr>
            <w:tcW w:w="860" w:type="pct"/>
            <w:vMerge w:val="restart"/>
            <w:tcBorders>
              <w:top w:val="single" w:sz="12" w:space="0" w:color="auto"/>
              <w:bottom w:val="single" w:sz="4" w:space="0" w:color="000000"/>
            </w:tcBorders>
            <w:noWrap/>
            <w:vAlign w:val="center"/>
          </w:tcPr>
          <w:p w14:paraId="4FA4B758"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Variables</w:t>
            </w:r>
          </w:p>
        </w:tc>
        <w:tc>
          <w:tcPr>
            <w:tcW w:w="954" w:type="pct"/>
            <w:gridSpan w:val="2"/>
            <w:tcBorders>
              <w:top w:val="single" w:sz="12" w:space="0" w:color="auto"/>
              <w:bottom w:val="single" w:sz="4" w:space="0" w:color="000000"/>
            </w:tcBorders>
            <w:noWrap/>
            <w:vAlign w:val="center"/>
          </w:tcPr>
          <w:p w14:paraId="7D1A92F7"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sz w:val="15"/>
                <w:szCs w:val="15"/>
              </w:rPr>
              <w:t xml:space="preserve">Functional </w:t>
            </w:r>
            <w:r>
              <w:rPr>
                <w:rFonts w:ascii="Times New Roman" w:eastAsia="SimSun" w:hAnsi="Times New Roman" w:cs="Times New Roman" w:hint="eastAsia"/>
                <w:color w:val="000000"/>
                <w:sz w:val="15"/>
                <w:szCs w:val="15"/>
              </w:rPr>
              <w:t>V</w:t>
            </w:r>
            <w:r>
              <w:rPr>
                <w:rFonts w:ascii="Times New Roman" w:eastAsia="SimSun" w:hAnsi="Times New Roman" w:cs="Times New Roman"/>
                <w:color w:val="000000"/>
                <w:sz w:val="15"/>
                <w:szCs w:val="15"/>
              </w:rPr>
              <w:t>alue</w:t>
            </w:r>
          </w:p>
        </w:tc>
        <w:tc>
          <w:tcPr>
            <w:tcW w:w="1039" w:type="pct"/>
            <w:gridSpan w:val="2"/>
            <w:tcBorders>
              <w:top w:val="single" w:sz="12" w:space="0" w:color="auto"/>
              <w:bottom w:val="single" w:sz="4" w:space="0" w:color="000000"/>
            </w:tcBorders>
            <w:noWrap/>
            <w:vAlign w:val="center"/>
          </w:tcPr>
          <w:p w14:paraId="7F85126D"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sz w:val="15"/>
                <w:szCs w:val="15"/>
              </w:rPr>
              <w:t xml:space="preserve">Hedonic </w:t>
            </w:r>
            <w:r>
              <w:rPr>
                <w:rFonts w:ascii="Times New Roman" w:eastAsia="SimSun" w:hAnsi="Times New Roman" w:cs="Times New Roman" w:hint="eastAsia"/>
                <w:color w:val="000000"/>
                <w:sz w:val="15"/>
                <w:szCs w:val="15"/>
              </w:rPr>
              <w:t>V</w:t>
            </w:r>
            <w:r>
              <w:rPr>
                <w:rFonts w:ascii="Times New Roman" w:eastAsia="SimSun" w:hAnsi="Times New Roman" w:cs="Times New Roman"/>
                <w:color w:val="000000"/>
                <w:sz w:val="15"/>
                <w:szCs w:val="15"/>
              </w:rPr>
              <w:t>alue</w:t>
            </w:r>
          </w:p>
        </w:tc>
        <w:tc>
          <w:tcPr>
            <w:tcW w:w="2147" w:type="pct"/>
            <w:gridSpan w:val="5"/>
            <w:tcBorders>
              <w:top w:val="single" w:sz="12" w:space="0" w:color="auto"/>
              <w:bottom w:val="single" w:sz="4" w:space="0" w:color="000000"/>
            </w:tcBorders>
            <w:noWrap/>
            <w:vAlign w:val="center"/>
          </w:tcPr>
          <w:p w14:paraId="2F20D3D0"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Customer Retention</w:t>
            </w:r>
          </w:p>
        </w:tc>
      </w:tr>
      <w:tr w:rsidR="00037A35" w14:paraId="14B77760" w14:textId="77777777">
        <w:trPr>
          <w:trHeight w:val="284"/>
        </w:trPr>
        <w:tc>
          <w:tcPr>
            <w:tcW w:w="860" w:type="pct"/>
            <w:vMerge/>
            <w:tcBorders>
              <w:top w:val="single" w:sz="4" w:space="0" w:color="000000"/>
              <w:bottom w:val="single" w:sz="4" w:space="0" w:color="auto"/>
            </w:tcBorders>
            <w:noWrap/>
            <w:vAlign w:val="center"/>
          </w:tcPr>
          <w:p w14:paraId="2AD24F32" w14:textId="77777777" w:rsidR="00037A35" w:rsidRDefault="00037A35">
            <w:pPr>
              <w:rPr>
                <w:rFonts w:ascii="Times New Roman" w:eastAsia="SimSun" w:hAnsi="Times New Roman" w:cs="Times New Roman"/>
                <w:color w:val="000000"/>
                <w:sz w:val="15"/>
                <w:szCs w:val="15"/>
              </w:rPr>
            </w:pPr>
          </w:p>
        </w:tc>
        <w:tc>
          <w:tcPr>
            <w:tcW w:w="436" w:type="pct"/>
            <w:tcBorders>
              <w:top w:val="single" w:sz="4" w:space="0" w:color="000000"/>
              <w:bottom w:val="single" w:sz="4" w:space="0" w:color="auto"/>
            </w:tcBorders>
            <w:noWrap/>
            <w:vAlign w:val="center"/>
          </w:tcPr>
          <w:p w14:paraId="61350C0D"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Model 1</w:t>
            </w:r>
          </w:p>
        </w:tc>
        <w:tc>
          <w:tcPr>
            <w:tcW w:w="518" w:type="pct"/>
            <w:tcBorders>
              <w:top w:val="single" w:sz="4" w:space="0" w:color="000000"/>
              <w:bottom w:val="single" w:sz="4" w:space="0" w:color="auto"/>
            </w:tcBorders>
            <w:noWrap/>
            <w:vAlign w:val="center"/>
          </w:tcPr>
          <w:p w14:paraId="4B1C3539"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Model2</w:t>
            </w:r>
          </w:p>
        </w:tc>
        <w:tc>
          <w:tcPr>
            <w:tcW w:w="519" w:type="pct"/>
            <w:tcBorders>
              <w:top w:val="single" w:sz="4" w:space="0" w:color="000000"/>
              <w:bottom w:val="single" w:sz="4" w:space="0" w:color="auto"/>
            </w:tcBorders>
            <w:noWrap/>
          </w:tcPr>
          <w:p w14:paraId="1432B822"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Model 3</w:t>
            </w:r>
          </w:p>
        </w:tc>
        <w:tc>
          <w:tcPr>
            <w:tcW w:w="520" w:type="pct"/>
            <w:tcBorders>
              <w:top w:val="single" w:sz="4" w:space="0" w:color="000000"/>
              <w:bottom w:val="single" w:sz="4" w:space="0" w:color="auto"/>
            </w:tcBorders>
            <w:noWrap/>
          </w:tcPr>
          <w:p w14:paraId="78CE9D75"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Model 4</w:t>
            </w:r>
          </w:p>
        </w:tc>
        <w:tc>
          <w:tcPr>
            <w:tcW w:w="345" w:type="pct"/>
            <w:tcBorders>
              <w:top w:val="single" w:sz="4" w:space="0" w:color="000000"/>
              <w:bottom w:val="single" w:sz="4" w:space="0" w:color="auto"/>
            </w:tcBorders>
            <w:noWrap/>
          </w:tcPr>
          <w:p w14:paraId="297B78AF"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Model 5</w:t>
            </w:r>
          </w:p>
        </w:tc>
        <w:tc>
          <w:tcPr>
            <w:tcW w:w="549" w:type="pct"/>
            <w:tcBorders>
              <w:top w:val="single" w:sz="4" w:space="0" w:color="000000"/>
              <w:bottom w:val="single" w:sz="4" w:space="0" w:color="auto"/>
            </w:tcBorders>
            <w:noWrap/>
          </w:tcPr>
          <w:p w14:paraId="00D189B3"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Model 6</w:t>
            </w:r>
          </w:p>
        </w:tc>
        <w:tc>
          <w:tcPr>
            <w:tcW w:w="315" w:type="pct"/>
            <w:tcBorders>
              <w:top w:val="single" w:sz="4" w:space="0" w:color="000000"/>
              <w:bottom w:val="single" w:sz="4" w:space="0" w:color="auto"/>
            </w:tcBorders>
            <w:noWrap/>
          </w:tcPr>
          <w:p w14:paraId="019C4D61"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Model 7</w:t>
            </w:r>
          </w:p>
        </w:tc>
        <w:tc>
          <w:tcPr>
            <w:tcW w:w="474" w:type="pct"/>
            <w:tcBorders>
              <w:top w:val="single" w:sz="4" w:space="0" w:color="000000"/>
              <w:bottom w:val="single" w:sz="4" w:space="0" w:color="auto"/>
            </w:tcBorders>
            <w:noWrap/>
          </w:tcPr>
          <w:p w14:paraId="6451424D"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Model 8</w:t>
            </w:r>
          </w:p>
        </w:tc>
        <w:tc>
          <w:tcPr>
            <w:tcW w:w="464" w:type="pct"/>
            <w:tcBorders>
              <w:top w:val="single" w:sz="4" w:space="0" w:color="000000"/>
              <w:bottom w:val="single" w:sz="4" w:space="0" w:color="auto"/>
            </w:tcBorders>
            <w:noWrap/>
          </w:tcPr>
          <w:p w14:paraId="1C6974ED"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Model 9</w:t>
            </w:r>
          </w:p>
        </w:tc>
      </w:tr>
      <w:tr w:rsidR="00037A35" w14:paraId="5339940A" w14:textId="77777777">
        <w:trPr>
          <w:trHeight w:val="284"/>
        </w:trPr>
        <w:tc>
          <w:tcPr>
            <w:tcW w:w="860" w:type="pct"/>
            <w:tcBorders>
              <w:top w:val="single" w:sz="4" w:space="0" w:color="auto"/>
            </w:tcBorders>
            <w:noWrap/>
            <w:vAlign w:val="center"/>
          </w:tcPr>
          <w:p w14:paraId="5D6B5818"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Gender</w:t>
            </w:r>
          </w:p>
        </w:tc>
        <w:tc>
          <w:tcPr>
            <w:tcW w:w="436" w:type="pct"/>
            <w:tcBorders>
              <w:top w:val="single" w:sz="4" w:space="0" w:color="auto"/>
            </w:tcBorders>
            <w:noWrap/>
            <w:vAlign w:val="center"/>
          </w:tcPr>
          <w:p w14:paraId="7A1F6FB9"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0.079</w:t>
            </w:r>
          </w:p>
        </w:tc>
        <w:tc>
          <w:tcPr>
            <w:tcW w:w="518" w:type="pct"/>
            <w:tcBorders>
              <w:top w:val="single" w:sz="4" w:space="0" w:color="auto"/>
            </w:tcBorders>
            <w:noWrap/>
            <w:vAlign w:val="center"/>
          </w:tcPr>
          <w:p w14:paraId="230E18B3"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0.08</w:t>
            </w:r>
          </w:p>
        </w:tc>
        <w:tc>
          <w:tcPr>
            <w:tcW w:w="519" w:type="pct"/>
            <w:tcBorders>
              <w:top w:val="single" w:sz="4" w:space="0" w:color="auto"/>
            </w:tcBorders>
            <w:noWrap/>
            <w:vAlign w:val="center"/>
          </w:tcPr>
          <w:p w14:paraId="6ED654AE"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0.04</w:t>
            </w:r>
          </w:p>
        </w:tc>
        <w:tc>
          <w:tcPr>
            <w:tcW w:w="520" w:type="pct"/>
            <w:tcBorders>
              <w:top w:val="single" w:sz="4" w:space="0" w:color="auto"/>
            </w:tcBorders>
            <w:noWrap/>
            <w:vAlign w:val="center"/>
          </w:tcPr>
          <w:p w14:paraId="2F7B8642"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0.041</w:t>
            </w:r>
          </w:p>
        </w:tc>
        <w:tc>
          <w:tcPr>
            <w:tcW w:w="345" w:type="pct"/>
            <w:tcBorders>
              <w:top w:val="single" w:sz="4" w:space="0" w:color="auto"/>
            </w:tcBorders>
            <w:noWrap/>
            <w:vAlign w:val="center"/>
          </w:tcPr>
          <w:p w14:paraId="30DA4CF2"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-0.015</w:t>
            </w:r>
          </w:p>
        </w:tc>
        <w:tc>
          <w:tcPr>
            <w:tcW w:w="549" w:type="pct"/>
            <w:tcBorders>
              <w:top w:val="single" w:sz="4" w:space="0" w:color="auto"/>
            </w:tcBorders>
            <w:noWrap/>
            <w:vAlign w:val="center"/>
          </w:tcPr>
          <w:p w14:paraId="41C6B7E1"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-0.014</w:t>
            </w:r>
          </w:p>
        </w:tc>
        <w:tc>
          <w:tcPr>
            <w:tcW w:w="315" w:type="pct"/>
            <w:tcBorders>
              <w:top w:val="single" w:sz="4" w:space="0" w:color="auto"/>
            </w:tcBorders>
            <w:noWrap/>
            <w:vAlign w:val="center"/>
          </w:tcPr>
          <w:p w14:paraId="7F891604"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-0.06</w:t>
            </w:r>
          </w:p>
        </w:tc>
        <w:tc>
          <w:tcPr>
            <w:tcW w:w="474" w:type="pct"/>
            <w:tcBorders>
              <w:top w:val="single" w:sz="4" w:space="0" w:color="auto"/>
            </w:tcBorders>
            <w:noWrap/>
            <w:vAlign w:val="center"/>
          </w:tcPr>
          <w:p w14:paraId="491E8B24"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-0.036</w:t>
            </w:r>
          </w:p>
        </w:tc>
        <w:tc>
          <w:tcPr>
            <w:tcW w:w="464" w:type="pct"/>
            <w:tcBorders>
              <w:top w:val="single" w:sz="4" w:space="0" w:color="auto"/>
            </w:tcBorders>
            <w:noWrap/>
            <w:vAlign w:val="center"/>
          </w:tcPr>
          <w:p w14:paraId="33CCCF4D"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-0.005</w:t>
            </w:r>
          </w:p>
        </w:tc>
      </w:tr>
      <w:tr w:rsidR="00037A35" w14:paraId="042EEE8D" w14:textId="77777777">
        <w:trPr>
          <w:trHeight w:val="279"/>
        </w:trPr>
        <w:tc>
          <w:tcPr>
            <w:tcW w:w="860" w:type="pct"/>
            <w:noWrap/>
            <w:vAlign w:val="center"/>
          </w:tcPr>
          <w:p w14:paraId="62F12005"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Age</w:t>
            </w:r>
          </w:p>
        </w:tc>
        <w:tc>
          <w:tcPr>
            <w:tcW w:w="436" w:type="pct"/>
            <w:noWrap/>
            <w:vAlign w:val="center"/>
          </w:tcPr>
          <w:p w14:paraId="5766383B"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0.322</w:t>
            </w:r>
          </w:p>
        </w:tc>
        <w:tc>
          <w:tcPr>
            <w:tcW w:w="518" w:type="pct"/>
            <w:noWrap/>
            <w:vAlign w:val="center"/>
          </w:tcPr>
          <w:p w14:paraId="0788162A"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0.145</w:t>
            </w:r>
          </w:p>
        </w:tc>
        <w:tc>
          <w:tcPr>
            <w:tcW w:w="519" w:type="pct"/>
            <w:noWrap/>
            <w:vAlign w:val="center"/>
          </w:tcPr>
          <w:p w14:paraId="0AC6FDDC"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0.32</w:t>
            </w:r>
          </w:p>
        </w:tc>
        <w:tc>
          <w:tcPr>
            <w:tcW w:w="520" w:type="pct"/>
            <w:noWrap/>
            <w:vAlign w:val="center"/>
          </w:tcPr>
          <w:p w14:paraId="0F05A808"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0.149</w:t>
            </w:r>
          </w:p>
        </w:tc>
        <w:tc>
          <w:tcPr>
            <w:tcW w:w="345" w:type="pct"/>
            <w:noWrap/>
            <w:vAlign w:val="center"/>
          </w:tcPr>
          <w:p w14:paraId="670BFCD7"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0.265</w:t>
            </w:r>
          </w:p>
        </w:tc>
        <w:tc>
          <w:tcPr>
            <w:tcW w:w="549" w:type="pct"/>
            <w:noWrap/>
            <w:vAlign w:val="center"/>
          </w:tcPr>
          <w:p w14:paraId="51EFBE50"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0.123</w:t>
            </w:r>
          </w:p>
        </w:tc>
        <w:tc>
          <w:tcPr>
            <w:tcW w:w="315" w:type="pct"/>
            <w:noWrap/>
            <w:vAlign w:val="center"/>
          </w:tcPr>
          <w:p w14:paraId="7564E6B7"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0.041</w:t>
            </w:r>
          </w:p>
        </w:tc>
        <w:tc>
          <w:tcPr>
            <w:tcW w:w="474" w:type="pct"/>
            <w:noWrap/>
            <w:vAlign w:val="center"/>
          </w:tcPr>
          <w:p w14:paraId="3AF3EAA6"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0.043</w:t>
            </w:r>
          </w:p>
        </w:tc>
        <w:tc>
          <w:tcPr>
            <w:tcW w:w="464" w:type="pct"/>
            <w:noWrap/>
            <w:vAlign w:val="center"/>
          </w:tcPr>
          <w:p w14:paraId="3A7DB8FF"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0.035</w:t>
            </w:r>
          </w:p>
        </w:tc>
      </w:tr>
      <w:tr w:rsidR="00037A35" w14:paraId="101222A2" w14:textId="77777777">
        <w:trPr>
          <w:trHeight w:val="279"/>
        </w:trPr>
        <w:tc>
          <w:tcPr>
            <w:tcW w:w="860" w:type="pct"/>
            <w:noWrap/>
            <w:vAlign w:val="center"/>
          </w:tcPr>
          <w:p w14:paraId="17823785"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Education Level</w:t>
            </w:r>
          </w:p>
        </w:tc>
        <w:tc>
          <w:tcPr>
            <w:tcW w:w="436" w:type="pct"/>
            <w:noWrap/>
            <w:vAlign w:val="center"/>
          </w:tcPr>
          <w:p w14:paraId="7998A7CE"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-0.213</w:t>
            </w:r>
          </w:p>
        </w:tc>
        <w:tc>
          <w:tcPr>
            <w:tcW w:w="518" w:type="pct"/>
            <w:noWrap/>
            <w:vAlign w:val="center"/>
          </w:tcPr>
          <w:p w14:paraId="706A7668"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-0.047</w:t>
            </w:r>
          </w:p>
        </w:tc>
        <w:tc>
          <w:tcPr>
            <w:tcW w:w="519" w:type="pct"/>
            <w:noWrap/>
            <w:vAlign w:val="center"/>
          </w:tcPr>
          <w:p w14:paraId="3F4D5543"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-0.175</w:t>
            </w:r>
          </w:p>
        </w:tc>
        <w:tc>
          <w:tcPr>
            <w:tcW w:w="520" w:type="pct"/>
            <w:noWrap/>
            <w:vAlign w:val="center"/>
          </w:tcPr>
          <w:p w14:paraId="14CCD152"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-0.014</w:t>
            </w:r>
          </w:p>
        </w:tc>
        <w:tc>
          <w:tcPr>
            <w:tcW w:w="345" w:type="pct"/>
            <w:noWrap/>
            <w:vAlign w:val="center"/>
          </w:tcPr>
          <w:p w14:paraId="1086F26F"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-0.138</w:t>
            </w:r>
          </w:p>
        </w:tc>
        <w:tc>
          <w:tcPr>
            <w:tcW w:w="549" w:type="pct"/>
            <w:noWrap/>
            <w:vAlign w:val="center"/>
          </w:tcPr>
          <w:p w14:paraId="240F5648"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-0.004</w:t>
            </w:r>
          </w:p>
        </w:tc>
        <w:tc>
          <w:tcPr>
            <w:tcW w:w="315" w:type="pct"/>
            <w:noWrap/>
            <w:vAlign w:val="center"/>
          </w:tcPr>
          <w:p w14:paraId="7B6DC658"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0.022</w:t>
            </w:r>
          </w:p>
        </w:tc>
        <w:tc>
          <w:tcPr>
            <w:tcW w:w="474" w:type="pct"/>
            <w:noWrap/>
            <w:vAlign w:val="center"/>
          </w:tcPr>
          <w:p w14:paraId="3D5F1508"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0.003</w:t>
            </w:r>
          </w:p>
        </w:tc>
        <w:tc>
          <w:tcPr>
            <w:tcW w:w="464" w:type="pct"/>
            <w:noWrap/>
            <w:vAlign w:val="center"/>
          </w:tcPr>
          <w:p w14:paraId="03B69F83"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0.019</w:t>
            </w:r>
          </w:p>
        </w:tc>
      </w:tr>
      <w:tr w:rsidR="00037A35" w14:paraId="303B8A8B" w14:textId="77777777">
        <w:trPr>
          <w:trHeight w:val="279"/>
        </w:trPr>
        <w:tc>
          <w:tcPr>
            <w:tcW w:w="860" w:type="pct"/>
            <w:noWrap/>
            <w:vAlign w:val="center"/>
          </w:tcPr>
          <w:p w14:paraId="22C7639D"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sz w:val="15"/>
                <w:szCs w:val="15"/>
              </w:rPr>
              <w:lastRenderedPageBreak/>
              <w:t>Occupation</w:t>
            </w:r>
          </w:p>
        </w:tc>
        <w:tc>
          <w:tcPr>
            <w:tcW w:w="436" w:type="pct"/>
            <w:noWrap/>
            <w:vAlign w:val="center"/>
          </w:tcPr>
          <w:p w14:paraId="564551CE"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0.029</w:t>
            </w:r>
          </w:p>
        </w:tc>
        <w:tc>
          <w:tcPr>
            <w:tcW w:w="518" w:type="pct"/>
            <w:noWrap/>
            <w:vAlign w:val="center"/>
          </w:tcPr>
          <w:p w14:paraId="3C602886"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-0.033</w:t>
            </w:r>
          </w:p>
        </w:tc>
        <w:tc>
          <w:tcPr>
            <w:tcW w:w="519" w:type="pct"/>
            <w:noWrap/>
            <w:vAlign w:val="center"/>
          </w:tcPr>
          <w:p w14:paraId="4FFF6A9B"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0.009</w:t>
            </w:r>
          </w:p>
        </w:tc>
        <w:tc>
          <w:tcPr>
            <w:tcW w:w="520" w:type="pct"/>
            <w:noWrap/>
            <w:vAlign w:val="center"/>
          </w:tcPr>
          <w:p w14:paraId="14A9928E"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-0.052</w:t>
            </w:r>
          </w:p>
        </w:tc>
        <w:tc>
          <w:tcPr>
            <w:tcW w:w="345" w:type="pct"/>
            <w:noWrap/>
            <w:vAlign w:val="center"/>
          </w:tcPr>
          <w:p w14:paraId="486807AF"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0.095</w:t>
            </w:r>
          </w:p>
        </w:tc>
        <w:tc>
          <w:tcPr>
            <w:tcW w:w="549" w:type="pct"/>
            <w:noWrap/>
            <w:vAlign w:val="center"/>
          </w:tcPr>
          <w:p w14:paraId="59FBA3F5"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0.045</w:t>
            </w:r>
          </w:p>
        </w:tc>
        <w:tc>
          <w:tcPr>
            <w:tcW w:w="315" w:type="pct"/>
            <w:noWrap/>
            <w:vAlign w:val="center"/>
          </w:tcPr>
          <w:p w14:paraId="25CDD09D"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0.064</w:t>
            </w:r>
          </w:p>
        </w:tc>
        <w:tc>
          <w:tcPr>
            <w:tcW w:w="474" w:type="pct"/>
            <w:noWrap/>
            <w:vAlign w:val="center"/>
          </w:tcPr>
          <w:p w14:paraId="63C8CC02"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0.073</w:t>
            </w:r>
          </w:p>
        </w:tc>
        <w:tc>
          <w:tcPr>
            <w:tcW w:w="464" w:type="pct"/>
            <w:noWrap/>
            <w:vAlign w:val="center"/>
          </w:tcPr>
          <w:p w14:paraId="294752AD"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0.036</w:t>
            </w:r>
          </w:p>
        </w:tc>
      </w:tr>
      <w:tr w:rsidR="00037A35" w14:paraId="3E8D2692" w14:textId="77777777">
        <w:trPr>
          <w:trHeight w:val="279"/>
        </w:trPr>
        <w:tc>
          <w:tcPr>
            <w:tcW w:w="860" w:type="pct"/>
            <w:noWrap/>
            <w:vAlign w:val="center"/>
          </w:tcPr>
          <w:p w14:paraId="773ECC36"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Customer Engagement</w:t>
            </w:r>
          </w:p>
        </w:tc>
        <w:tc>
          <w:tcPr>
            <w:tcW w:w="436" w:type="pct"/>
            <w:noWrap/>
            <w:vAlign w:val="center"/>
          </w:tcPr>
          <w:p w14:paraId="3F2D2C07" w14:textId="77777777" w:rsidR="00037A35" w:rsidRDefault="00037A35">
            <w:pPr>
              <w:rPr>
                <w:rFonts w:ascii="Times New Roman" w:eastAsia="SimSun" w:hAnsi="Times New Roman" w:cs="Times New Roman"/>
                <w:color w:val="000000"/>
                <w:sz w:val="15"/>
                <w:szCs w:val="15"/>
              </w:rPr>
            </w:pPr>
          </w:p>
        </w:tc>
        <w:tc>
          <w:tcPr>
            <w:tcW w:w="518" w:type="pct"/>
            <w:noWrap/>
            <w:vAlign w:val="center"/>
          </w:tcPr>
          <w:p w14:paraId="42FEDE7C" w14:textId="77777777" w:rsidR="00037A35" w:rsidRDefault="00000000">
            <w:pPr>
              <w:widowControl/>
              <w:textAlignment w:val="center"/>
              <w:rPr>
                <w:rFonts w:ascii="Times New Roman" w:eastAsia="SimSun" w:hAnsi="Times New Roman" w:cs="Times New Roman"/>
                <w:color w:val="000000"/>
                <w:sz w:val="15"/>
                <w:szCs w:val="15"/>
                <w:vertAlign w:val="superscript"/>
              </w:rPr>
            </w:pPr>
            <w:r>
              <w:rPr>
                <w:rFonts w:ascii="Times New Roman" w:eastAsia="SimSun" w:hAnsi="Times New Roman" w:cs="Times New Roman"/>
                <w:color w:val="000000"/>
                <w:kern w:val="0"/>
                <w:sz w:val="15"/>
                <w:szCs w:val="15"/>
                <w:lang w:bidi="ar"/>
              </w:rPr>
              <w:t>0.688***</w:t>
            </w:r>
          </w:p>
        </w:tc>
        <w:tc>
          <w:tcPr>
            <w:tcW w:w="519" w:type="pct"/>
            <w:noWrap/>
            <w:vAlign w:val="center"/>
          </w:tcPr>
          <w:p w14:paraId="46AA2200" w14:textId="77777777" w:rsidR="00037A35" w:rsidRDefault="00037A35">
            <w:pPr>
              <w:rPr>
                <w:rFonts w:ascii="Times New Roman" w:eastAsia="SimSun" w:hAnsi="Times New Roman" w:cs="Times New Roman"/>
                <w:color w:val="000000"/>
                <w:sz w:val="15"/>
                <w:szCs w:val="15"/>
              </w:rPr>
            </w:pPr>
          </w:p>
        </w:tc>
        <w:tc>
          <w:tcPr>
            <w:tcW w:w="520" w:type="pct"/>
            <w:noWrap/>
            <w:vAlign w:val="center"/>
          </w:tcPr>
          <w:p w14:paraId="07E72382" w14:textId="77777777" w:rsidR="00037A35" w:rsidRDefault="00000000">
            <w:pPr>
              <w:widowControl/>
              <w:textAlignment w:val="center"/>
              <w:rPr>
                <w:rFonts w:ascii="Times New Roman" w:eastAsia="SimSun" w:hAnsi="Times New Roman" w:cs="Times New Roman"/>
                <w:color w:val="000000"/>
                <w:sz w:val="15"/>
                <w:szCs w:val="15"/>
                <w:vertAlign w:val="superscript"/>
              </w:rPr>
            </w:pPr>
            <w:r>
              <w:rPr>
                <w:rFonts w:ascii="Times New Roman" w:eastAsia="SimSun" w:hAnsi="Times New Roman" w:cs="Times New Roman"/>
                <w:color w:val="000000"/>
                <w:kern w:val="0"/>
                <w:sz w:val="15"/>
                <w:szCs w:val="15"/>
                <w:lang w:bidi="ar"/>
              </w:rPr>
              <w:t>0.667***</w:t>
            </w:r>
          </w:p>
        </w:tc>
        <w:tc>
          <w:tcPr>
            <w:tcW w:w="345" w:type="pct"/>
            <w:noWrap/>
            <w:vAlign w:val="center"/>
          </w:tcPr>
          <w:p w14:paraId="4949ECF8" w14:textId="77777777" w:rsidR="00037A35" w:rsidRDefault="00037A35">
            <w:pPr>
              <w:rPr>
                <w:rFonts w:ascii="Times New Roman" w:eastAsia="SimSun" w:hAnsi="Times New Roman" w:cs="Times New Roman"/>
                <w:color w:val="000000"/>
                <w:sz w:val="15"/>
                <w:szCs w:val="15"/>
              </w:rPr>
            </w:pPr>
          </w:p>
        </w:tc>
        <w:tc>
          <w:tcPr>
            <w:tcW w:w="549" w:type="pct"/>
            <w:noWrap/>
            <w:vAlign w:val="center"/>
          </w:tcPr>
          <w:p w14:paraId="3414CF85" w14:textId="77777777" w:rsidR="00037A35" w:rsidRDefault="00000000">
            <w:pPr>
              <w:widowControl/>
              <w:textAlignment w:val="center"/>
              <w:rPr>
                <w:rFonts w:ascii="Times New Roman" w:eastAsia="SimSun" w:hAnsi="Times New Roman" w:cs="Times New Roman"/>
                <w:color w:val="000000"/>
                <w:sz w:val="15"/>
                <w:szCs w:val="15"/>
                <w:vertAlign w:val="superscript"/>
              </w:rPr>
            </w:pPr>
            <w:r>
              <w:rPr>
                <w:rFonts w:ascii="Times New Roman" w:eastAsia="SimSun" w:hAnsi="Times New Roman" w:cs="Times New Roman"/>
                <w:color w:val="000000"/>
                <w:kern w:val="0"/>
                <w:sz w:val="15"/>
                <w:szCs w:val="15"/>
                <w:lang w:bidi="ar"/>
              </w:rPr>
              <w:t>0.553***</w:t>
            </w:r>
          </w:p>
        </w:tc>
        <w:tc>
          <w:tcPr>
            <w:tcW w:w="315" w:type="pct"/>
            <w:noWrap/>
            <w:vAlign w:val="center"/>
          </w:tcPr>
          <w:p w14:paraId="1D69EA99" w14:textId="77777777" w:rsidR="00037A35" w:rsidRDefault="00000000">
            <w:pPr>
              <w:widowControl/>
              <w:textAlignment w:val="center"/>
              <w:rPr>
                <w:rFonts w:ascii="Times New Roman" w:eastAsia="SimSun" w:hAnsi="Times New Roman" w:cs="Times New Roman"/>
                <w:color w:val="000000"/>
                <w:sz w:val="15"/>
                <w:szCs w:val="15"/>
                <w:vertAlign w:val="superscript"/>
              </w:rPr>
            </w:pPr>
            <w:r>
              <w:rPr>
                <w:rFonts w:ascii="Times New Roman" w:eastAsia="SimSun" w:hAnsi="Times New Roman" w:cs="Times New Roman"/>
                <w:color w:val="000000"/>
                <w:kern w:val="0"/>
                <w:sz w:val="15"/>
                <w:szCs w:val="15"/>
                <w:lang w:bidi="ar"/>
              </w:rPr>
              <w:t>0.162**</w:t>
            </w:r>
          </w:p>
        </w:tc>
        <w:tc>
          <w:tcPr>
            <w:tcW w:w="474" w:type="pct"/>
            <w:noWrap/>
            <w:vAlign w:val="center"/>
          </w:tcPr>
          <w:p w14:paraId="0359BBCA" w14:textId="77777777" w:rsidR="00037A35" w:rsidRDefault="00000000">
            <w:pPr>
              <w:widowControl/>
              <w:textAlignment w:val="center"/>
              <w:rPr>
                <w:rFonts w:ascii="Times New Roman" w:eastAsia="SimSun" w:hAnsi="Times New Roman" w:cs="Times New Roman"/>
                <w:color w:val="000000"/>
                <w:sz w:val="15"/>
                <w:szCs w:val="15"/>
                <w:vertAlign w:val="superscript"/>
              </w:rPr>
            </w:pPr>
            <w:r>
              <w:rPr>
                <w:rFonts w:ascii="Times New Roman" w:eastAsia="SimSun" w:hAnsi="Times New Roman" w:cs="Times New Roman"/>
                <w:color w:val="000000"/>
                <w:kern w:val="0"/>
                <w:sz w:val="15"/>
                <w:szCs w:val="15"/>
                <w:lang w:bidi="ar"/>
              </w:rPr>
              <w:t>0.193**</w:t>
            </w:r>
          </w:p>
        </w:tc>
        <w:tc>
          <w:tcPr>
            <w:tcW w:w="464" w:type="pct"/>
            <w:noWrap/>
            <w:vAlign w:val="center"/>
          </w:tcPr>
          <w:p w14:paraId="2485DD72" w14:textId="77777777" w:rsidR="00037A35" w:rsidRDefault="00000000">
            <w:pPr>
              <w:widowControl/>
              <w:textAlignment w:val="center"/>
              <w:rPr>
                <w:rFonts w:ascii="Times New Roman" w:eastAsia="SimSun" w:hAnsi="Times New Roman" w:cs="Times New Roman"/>
                <w:color w:val="000000"/>
                <w:sz w:val="15"/>
                <w:szCs w:val="15"/>
                <w:vertAlign w:val="superscript"/>
              </w:rPr>
            </w:pPr>
            <w:r>
              <w:rPr>
                <w:rFonts w:ascii="Times New Roman" w:eastAsia="SimSun" w:hAnsi="Times New Roman" w:cs="Times New Roman"/>
                <w:color w:val="000000"/>
                <w:kern w:val="0"/>
                <w:sz w:val="15"/>
                <w:szCs w:val="15"/>
                <w:lang w:bidi="ar"/>
              </w:rPr>
              <w:t>0.359***</w:t>
            </w:r>
          </w:p>
        </w:tc>
      </w:tr>
      <w:tr w:rsidR="00037A35" w14:paraId="1F1D983E" w14:textId="77777777">
        <w:trPr>
          <w:trHeight w:val="90"/>
        </w:trPr>
        <w:tc>
          <w:tcPr>
            <w:tcW w:w="860" w:type="pct"/>
            <w:noWrap/>
            <w:vAlign w:val="center"/>
          </w:tcPr>
          <w:p w14:paraId="480D85CE"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Functional Value</w:t>
            </w:r>
          </w:p>
        </w:tc>
        <w:tc>
          <w:tcPr>
            <w:tcW w:w="436" w:type="pct"/>
            <w:noWrap/>
            <w:vAlign w:val="center"/>
          </w:tcPr>
          <w:p w14:paraId="49D316B6" w14:textId="77777777" w:rsidR="00037A35" w:rsidRDefault="00037A35">
            <w:pPr>
              <w:rPr>
                <w:rFonts w:ascii="Times New Roman" w:eastAsia="SimSun" w:hAnsi="Times New Roman" w:cs="Times New Roman"/>
                <w:color w:val="000000"/>
                <w:sz w:val="15"/>
                <w:szCs w:val="15"/>
              </w:rPr>
            </w:pPr>
          </w:p>
        </w:tc>
        <w:tc>
          <w:tcPr>
            <w:tcW w:w="518" w:type="pct"/>
            <w:noWrap/>
            <w:vAlign w:val="center"/>
          </w:tcPr>
          <w:p w14:paraId="421B2D04" w14:textId="77777777" w:rsidR="00037A35" w:rsidRDefault="00037A35">
            <w:pPr>
              <w:rPr>
                <w:rFonts w:ascii="Times New Roman" w:eastAsia="SimSun" w:hAnsi="Times New Roman" w:cs="Times New Roman"/>
                <w:color w:val="000000"/>
                <w:sz w:val="15"/>
                <w:szCs w:val="15"/>
              </w:rPr>
            </w:pPr>
          </w:p>
        </w:tc>
        <w:tc>
          <w:tcPr>
            <w:tcW w:w="519" w:type="pct"/>
            <w:noWrap/>
            <w:vAlign w:val="center"/>
          </w:tcPr>
          <w:p w14:paraId="279AD7AF" w14:textId="77777777" w:rsidR="00037A35" w:rsidRDefault="00037A35">
            <w:pPr>
              <w:rPr>
                <w:rFonts w:ascii="Times New Roman" w:eastAsia="SimSun" w:hAnsi="Times New Roman" w:cs="Times New Roman"/>
                <w:color w:val="000000"/>
                <w:sz w:val="15"/>
                <w:szCs w:val="15"/>
              </w:rPr>
            </w:pPr>
          </w:p>
        </w:tc>
        <w:tc>
          <w:tcPr>
            <w:tcW w:w="520" w:type="pct"/>
            <w:noWrap/>
            <w:vAlign w:val="center"/>
          </w:tcPr>
          <w:p w14:paraId="7A511742" w14:textId="77777777" w:rsidR="00037A35" w:rsidRDefault="00037A35">
            <w:pPr>
              <w:rPr>
                <w:rFonts w:ascii="Times New Roman" w:eastAsia="SimSun" w:hAnsi="Times New Roman" w:cs="Times New Roman"/>
                <w:color w:val="000000"/>
                <w:sz w:val="15"/>
                <w:szCs w:val="15"/>
              </w:rPr>
            </w:pPr>
          </w:p>
        </w:tc>
        <w:tc>
          <w:tcPr>
            <w:tcW w:w="345" w:type="pct"/>
            <w:noWrap/>
            <w:vAlign w:val="center"/>
          </w:tcPr>
          <w:p w14:paraId="13F63225" w14:textId="77777777" w:rsidR="00037A35" w:rsidRDefault="00037A35">
            <w:pPr>
              <w:rPr>
                <w:rFonts w:ascii="Times New Roman" w:eastAsia="SimSun" w:hAnsi="Times New Roman" w:cs="Times New Roman"/>
                <w:color w:val="000000"/>
                <w:sz w:val="15"/>
                <w:szCs w:val="15"/>
              </w:rPr>
            </w:pPr>
          </w:p>
        </w:tc>
        <w:tc>
          <w:tcPr>
            <w:tcW w:w="549" w:type="pct"/>
            <w:noWrap/>
            <w:vAlign w:val="center"/>
          </w:tcPr>
          <w:p w14:paraId="66EE6FF5" w14:textId="77777777" w:rsidR="00037A35" w:rsidRDefault="00037A35">
            <w:pPr>
              <w:rPr>
                <w:rFonts w:ascii="Times New Roman" w:eastAsia="SimSun" w:hAnsi="Times New Roman" w:cs="Times New Roman"/>
                <w:color w:val="000000"/>
                <w:sz w:val="15"/>
                <w:szCs w:val="15"/>
              </w:rPr>
            </w:pPr>
          </w:p>
        </w:tc>
        <w:tc>
          <w:tcPr>
            <w:tcW w:w="315" w:type="pct"/>
            <w:noWrap/>
            <w:vAlign w:val="center"/>
          </w:tcPr>
          <w:p w14:paraId="644A04E2" w14:textId="77777777" w:rsidR="00037A35" w:rsidRDefault="00000000">
            <w:pPr>
              <w:widowControl/>
              <w:textAlignment w:val="center"/>
              <w:rPr>
                <w:rFonts w:ascii="Times New Roman" w:eastAsia="SimSun" w:hAnsi="Times New Roman" w:cs="Times New Roman"/>
                <w:color w:val="000000"/>
                <w:sz w:val="15"/>
                <w:szCs w:val="15"/>
                <w:vertAlign w:val="superscript"/>
              </w:rPr>
            </w:pPr>
            <w:r>
              <w:rPr>
                <w:rFonts w:ascii="Times New Roman" w:eastAsia="SimSun" w:hAnsi="Times New Roman" w:cs="Times New Roman"/>
                <w:color w:val="000000"/>
                <w:kern w:val="0"/>
                <w:sz w:val="15"/>
                <w:szCs w:val="15"/>
                <w:lang w:bidi="ar"/>
              </w:rPr>
              <w:t>0.568***</w:t>
            </w:r>
          </w:p>
        </w:tc>
        <w:tc>
          <w:tcPr>
            <w:tcW w:w="474" w:type="pct"/>
            <w:noWrap/>
            <w:vAlign w:val="center"/>
          </w:tcPr>
          <w:p w14:paraId="06AA4E1D" w14:textId="77777777" w:rsidR="00037A35" w:rsidRDefault="00037A35">
            <w:pPr>
              <w:rPr>
                <w:rFonts w:ascii="Times New Roman" w:eastAsia="SimSun" w:hAnsi="Times New Roman" w:cs="Times New Roman"/>
                <w:color w:val="000000"/>
                <w:sz w:val="15"/>
                <w:szCs w:val="15"/>
              </w:rPr>
            </w:pPr>
          </w:p>
        </w:tc>
        <w:tc>
          <w:tcPr>
            <w:tcW w:w="464" w:type="pct"/>
            <w:noWrap/>
            <w:vAlign w:val="center"/>
          </w:tcPr>
          <w:p w14:paraId="4E835340" w14:textId="77777777" w:rsidR="00037A35" w:rsidRDefault="00037A35">
            <w:pPr>
              <w:rPr>
                <w:rFonts w:ascii="Times New Roman" w:eastAsia="SimSun" w:hAnsi="Times New Roman" w:cs="Times New Roman"/>
                <w:color w:val="000000"/>
                <w:sz w:val="15"/>
                <w:szCs w:val="15"/>
              </w:rPr>
            </w:pPr>
          </w:p>
        </w:tc>
      </w:tr>
      <w:tr w:rsidR="00037A35" w14:paraId="7B433662" w14:textId="77777777">
        <w:trPr>
          <w:trHeight w:val="279"/>
        </w:trPr>
        <w:tc>
          <w:tcPr>
            <w:tcW w:w="860" w:type="pct"/>
            <w:noWrap/>
            <w:vAlign w:val="center"/>
          </w:tcPr>
          <w:p w14:paraId="4D663BC5" w14:textId="77777777" w:rsidR="00037A35" w:rsidRDefault="00000000">
            <w:pPr>
              <w:widowControl/>
              <w:textAlignment w:val="center"/>
              <w:rPr>
                <w:rFonts w:ascii="Times New Roman" w:eastAsia="SimSun" w:hAnsi="Times New Roman" w:cs="Times New Roman"/>
                <w:color w:val="000000"/>
                <w:sz w:val="15"/>
                <w:szCs w:val="15"/>
              </w:rPr>
            </w:pPr>
            <w:proofErr w:type="spellStart"/>
            <w:r>
              <w:rPr>
                <w:rFonts w:ascii="Times New Roman" w:eastAsia="SimSun" w:hAnsi="Times New Roman" w:cs="Times New Roman"/>
                <w:color w:val="000000"/>
                <w:kern w:val="0"/>
                <w:sz w:val="15"/>
                <w:szCs w:val="15"/>
                <w:lang w:bidi="ar"/>
              </w:rPr>
              <w:t>Hediletic</w:t>
            </w:r>
            <w:proofErr w:type="spellEnd"/>
            <w:r>
              <w:rPr>
                <w:rFonts w:ascii="Times New Roman" w:eastAsia="SimSun" w:hAnsi="Times New Roman" w:cs="Times New Roman"/>
                <w:color w:val="000000"/>
                <w:kern w:val="0"/>
                <w:sz w:val="15"/>
                <w:szCs w:val="15"/>
                <w:lang w:bidi="ar"/>
              </w:rPr>
              <w:t xml:space="preserve"> Value</w:t>
            </w:r>
          </w:p>
        </w:tc>
        <w:tc>
          <w:tcPr>
            <w:tcW w:w="436" w:type="pct"/>
            <w:noWrap/>
            <w:vAlign w:val="center"/>
          </w:tcPr>
          <w:p w14:paraId="660FC5B6" w14:textId="77777777" w:rsidR="00037A35" w:rsidRDefault="00037A35">
            <w:pPr>
              <w:rPr>
                <w:rFonts w:ascii="Times New Roman" w:eastAsia="SimSun" w:hAnsi="Times New Roman" w:cs="Times New Roman"/>
                <w:color w:val="000000"/>
                <w:sz w:val="15"/>
                <w:szCs w:val="15"/>
              </w:rPr>
            </w:pPr>
          </w:p>
        </w:tc>
        <w:tc>
          <w:tcPr>
            <w:tcW w:w="518" w:type="pct"/>
            <w:noWrap/>
            <w:vAlign w:val="center"/>
          </w:tcPr>
          <w:p w14:paraId="0620CC75" w14:textId="77777777" w:rsidR="00037A35" w:rsidRDefault="00037A35">
            <w:pPr>
              <w:rPr>
                <w:rFonts w:ascii="Times New Roman" w:eastAsia="SimSun" w:hAnsi="Times New Roman" w:cs="Times New Roman"/>
                <w:color w:val="000000"/>
                <w:sz w:val="15"/>
                <w:szCs w:val="15"/>
              </w:rPr>
            </w:pPr>
          </w:p>
        </w:tc>
        <w:tc>
          <w:tcPr>
            <w:tcW w:w="519" w:type="pct"/>
            <w:noWrap/>
            <w:vAlign w:val="center"/>
          </w:tcPr>
          <w:p w14:paraId="33506937" w14:textId="77777777" w:rsidR="00037A35" w:rsidRDefault="00037A35">
            <w:pPr>
              <w:rPr>
                <w:rFonts w:ascii="Times New Roman" w:eastAsia="SimSun" w:hAnsi="Times New Roman" w:cs="Times New Roman"/>
                <w:color w:val="000000"/>
                <w:sz w:val="15"/>
                <w:szCs w:val="15"/>
              </w:rPr>
            </w:pPr>
          </w:p>
        </w:tc>
        <w:tc>
          <w:tcPr>
            <w:tcW w:w="520" w:type="pct"/>
            <w:noWrap/>
            <w:vAlign w:val="center"/>
          </w:tcPr>
          <w:p w14:paraId="2EE12C1D" w14:textId="77777777" w:rsidR="00037A35" w:rsidRDefault="00037A35">
            <w:pPr>
              <w:rPr>
                <w:rFonts w:ascii="Times New Roman" w:eastAsia="SimSun" w:hAnsi="Times New Roman" w:cs="Times New Roman"/>
                <w:color w:val="000000"/>
                <w:sz w:val="15"/>
                <w:szCs w:val="15"/>
              </w:rPr>
            </w:pPr>
          </w:p>
        </w:tc>
        <w:tc>
          <w:tcPr>
            <w:tcW w:w="345" w:type="pct"/>
            <w:noWrap/>
            <w:vAlign w:val="center"/>
          </w:tcPr>
          <w:p w14:paraId="0F6612CE" w14:textId="77777777" w:rsidR="00037A35" w:rsidRDefault="00037A35">
            <w:pPr>
              <w:rPr>
                <w:rFonts w:ascii="Times New Roman" w:eastAsia="SimSun" w:hAnsi="Times New Roman" w:cs="Times New Roman"/>
                <w:color w:val="000000"/>
                <w:sz w:val="15"/>
                <w:szCs w:val="15"/>
              </w:rPr>
            </w:pPr>
          </w:p>
        </w:tc>
        <w:tc>
          <w:tcPr>
            <w:tcW w:w="549" w:type="pct"/>
            <w:noWrap/>
            <w:vAlign w:val="center"/>
          </w:tcPr>
          <w:p w14:paraId="59EC1A23" w14:textId="77777777" w:rsidR="00037A35" w:rsidRDefault="00037A35">
            <w:pPr>
              <w:rPr>
                <w:rFonts w:ascii="Times New Roman" w:eastAsia="SimSun" w:hAnsi="Times New Roman" w:cs="Times New Roman"/>
                <w:color w:val="000000"/>
                <w:sz w:val="15"/>
                <w:szCs w:val="15"/>
              </w:rPr>
            </w:pPr>
          </w:p>
        </w:tc>
        <w:tc>
          <w:tcPr>
            <w:tcW w:w="315" w:type="pct"/>
            <w:noWrap/>
            <w:vAlign w:val="center"/>
          </w:tcPr>
          <w:p w14:paraId="51B39E7C" w14:textId="77777777" w:rsidR="00037A35" w:rsidRDefault="00037A35">
            <w:pPr>
              <w:rPr>
                <w:rFonts w:ascii="Times New Roman" w:eastAsia="SimSun" w:hAnsi="Times New Roman" w:cs="Times New Roman"/>
                <w:color w:val="000000"/>
                <w:sz w:val="15"/>
                <w:szCs w:val="15"/>
              </w:rPr>
            </w:pPr>
          </w:p>
        </w:tc>
        <w:tc>
          <w:tcPr>
            <w:tcW w:w="474" w:type="pct"/>
            <w:noWrap/>
            <w:vAlign w:val="center"/>
          </w:tcPr>
          <w:p w14:paraId="72D3D8DB" w14:textId="77777777" w:rsidR="00037A35" w:rsidRDefault="00000000">
            <w:pPr>
              <w:widowControl/>
              <w:textAlignment w:val="center"/>
              <w:rPr>
                <w:rFonts w:ascii="Times New Roman" w:eastAsia="SimSun" w:hAnsi="Times New Roman" w:cs="Times New Roman"/>
                <w:color w:val="000000"/>
                <w:sz w:val="15"/>
                <w:szCs w:val="15"/>
                <w:vertAlign w:val="superscript"/>
              </w:rPr>
            </w:pPr>
            <w:r>
              <w:rPr>
                <w:rFonts w:ascii="Times New Roman" w:eastAsia="SimSun" w:hAnsi="Times New Roman" w:cs="Times New Roman"/>
                <w:color w:val="000000"/>
                <w:kern w:val="0"/>
                <w:sz w:val="15"/>
                <w:szCs w:val="15"/>
                <w:lang w:bidi="ar"/>
              </w:rPr>
              <w:t>0.539***</w:t>
            </w:r>
          </w:p>
        </w:tc>
        <w:tc>
          <w:tcPr>
            <w:tcW w:w="464" w:type="pct"/>
            <w:noWrap/>
            <w:vAlign w:val="center"/>
          </w:tcPr>
          <w:p w14:paraId="44333348" w14:textId="77777777" w:rsidR="00037A35" w:rsidRDefault="00037A35">
            <w:pPr>
              <w:rPr>
                <w:rFonts w:ascii="Times New Roman" w:eastAsia="SimSun" w:hAnsi="Times New Roman" w:cs="Times New Roman"/>
                <w:color w:val="000000"/>
                <w:sz w:val="15"/>
                <w:szCs w:val="15"/>
              </w:rPr>
            </w:pPr>
          </w:p>
        </w:tc>
      </w:tr>
      <w:tr w:rsidR="00037A35" w14:paraId="0ADD88DE" w14:textId="77777777">
        <w:trPr>
          <w:trHeight w:val="140"/>
        </w:trPr>
        <w:tc>
          <w:tcPr>
            <w:tcW w:w="860" w:type="pct"/>
            <w:noWrap/>
            <w:vAlign w:val="center"/>
          </w:tcPr>
          <w:p w14:paraId="5C8A36A6"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Customer Retention</w:t>
            </w:r>
          </w:p>
        </w:tc>
        <w:tc>
          <w:tcPr>
            <w:tcW w:w="436" w:type="pct"/>
            <w:noWrap/>
            <w:vAlign w:val="center"/>
          </w:tcPr>
          <w:p w14:paraId="3D5F719F" w14:textId="77777777" w:rsidR="00037A35" w:rsidRDefault="00037A35">
            <w:pPr>
              <w:rPr>
                <w:rFonts w:ascii="Times New Roman" w:eastAsia="SimSun" w:hAnsi="Times New Roman" w:cs="Times New Roman"/>
                <w:color w:val="000000"/>
                <w:sz w:val="15"/>
                <w:szCs w:val="15"/>
              </w:rPr>
            </w:pPr>
          </w:p>
        </w:tc>
        <w:tc>
          <w:tcPr>
            <w:tcW w:w="518" w:type="pct"/>
            <w:noWrap/>
            <w:vAlign w:val="center"/>
          </w:tcPr>
          <w:p w14:paraId="1196A925" w14:textId="77777777" w:rsidR="00037A35" w:rsidRDefault="00037A35">
            <w:pPr>
              <w:rPr>
                <w:rFonts w:ascii="Times New Roman" w:eastAsia="SimSun" w:hAnsi="Times New Roman" w:cs="Times New Roman"/>
                <w:color w:val="000000"/>
                <w:sz w:val="15"/>
                <w:szCs w:val="15"/>
              </w:rPr>
            </w:pPr>
          </w:p>
        </w:tc>
        <w:tc>
          <w:tcPr>
            <w:tcW w:w="519" w:type="pct"/>
            <w:noWrap/>
            <w:vAlign w:val="center"/>
          </w:tcPr>
          <w:p w14:paraId="5BE3B5C0" w14:textId="77777777" w:rsidR="00037A35" w:rsidRDefault="00037A35">
            <w:pPr>
              <w:rPr>
                <w:rFonts w:ascii="Times New Roman" w:eastAsia="SimSun" w:hAnsi="Times New Roman" w:cs="Times New Roman"/>
                <w:color w:val="000000"/>
                <w:sz w:val="15"/>
                <w:szCs w:val="15"/>
              </w:rPr>
            </w:pPr>
          </w:p>
        </w:tc>
        <w:tc>
          <w:tcPr>
            <w:tcW w:w="520" w:type="pct"/>
            <w:noWrap/>
            <w:vAlign w:val="center"/>
          </w:tcPr>
          <w:p w14:paraId="49C06143" w14:textId="77777777" w:rsidR="00037A35" w:rsidRDefault="00037A35">
            <w:pPr>
              <w:rPr>
                <w:rFonts w:ascii="Times New Roman" w:eastAsia="SimSun" w:hAnsi="Times New Roman" w:cs="Times New Roman"/>
                <w:color w:val="000000"/>
                <w:sz w:val="15"/>
                <w:szCs w:val="15"/>
              </w:rPr>
            </w:pPr>
          </w:p>
        </w:tc>
        <w:tc>
          <w:tcPr>
            <w:tcW w:w="345" w:type="pct"/>
            <w:noWrap/>
            <w:vAlign w:val="center"/>
          </w:tcPr>
          <w:p w14:paraId="7460315C" w14:textId="77777777" w:rsidR="00037A35" w:rsidRDefault="00037A35">
            <w:pPr>
              <w:rPr>
                <w:rFonts w:ascii="Times New Roman" w:eastAsia="SimSun" w:hAnsi="Times New Roman" w:cs="Times New Roman"/>
                <w:color w:val="000000"/>
                <w:sz w:val="15"/>
                <w:szCs w:val="15"/>
              </w:rPr>
            </w:pPr>
          </w:p>
        </w:tc>
        <w:tc>
          <w:tcPr>
            <w:tcW w:w="549" w:type="pct"/>
            <w:noWrap/>
            <w:vAlign w:val="center"/>
          </w:tcPr>
          <w:p w14:paraId="29529773" w14:textId="77777777" w:rsidR="00037A35" w:rsidRDefault="00037A35">
            <w:pPr>
              <w:rPr>
                <w:rFonts w:ascii="Times New Roman" w:eastAsia="SimSun" w:hAnsi="Times New Roman" w:cs="Times New Roman"/>
                <w:color w:val="000000"/>
                <w:sz w:val="15"/>
                <w:szCs w:val="15"/>
              </w:rPr>
            </w:pPr>
          </w:p>
        </w:tc>
        <w:tc>
          <w:tcPr>
            <w:tcW w:w="315" w:type="pct"/>
            <w:noWrap/>
            <w:vAlign w:val="center"/>
          </w:tcPr>
          <w:p w14:paraId="6088E886" w14:textId="77777777" w:rsidR="00037A35" w:rsidRDefault="00037A35">
            <w:pPr>
              <w:rPr>
                <w:rFonts w:ascii="Times New Roman" w:eastAsia="SimSun" w:hAnsi="Times New Roman" w:cs="Times New Roman"/>
                <w:color w:val="000000"/>
                <w:sz w:val="15"/>
                <w:szCs w:val="15"/>
              </w:rPr>
            </w:pPr>
          </w:p>
        </w:tc>
        <w:tc>
          <w:tcPr>
            <w:tcW w:w="474" w:type="pct"/>
            <w:noWrap/>
            <w:vAlign w:val="center"/>
          </w:tcPr>
          <w:p w14:paraId="7F4D3D09" w14:textId="77777777" w:rsidR="00037A35" w:rsidRDefault="00037A35">
            <w:pPr>
              <w:rPr>
                <w:rFonts w:ascii="Times New Roman" w:eastAsia="SimSun" w:hAnsi="Times New Roman" w:cs="Times New Roman"/>
                <w:color w:val="000000"/>
                <w:sz w:val="15"/>
                <w:szCs w:val="15"/>
              </w:rPr>
            </w:pPr>
          </w:p>
        </w:tc>
        <w:tc>
          <w:tcPr>
            <w:tcW w:w="464" w:type="pct"/>
            <w:noWrap/>
            <w:vAlign w:val="center"/>
          </w:tcPr>
          <w:p w14:paraId="512B72BC" w14:textId="77777777" w:rsidR="00037A35" w:rsidRDefault="00037A35">
            <w:pPr>
              <w:rPr>
                <w:rFonts w:ascii="Times New Roman" w:eastAsia="SimSun" w:hAnsi="Times New Roman" w:cs="Times New Roman"/>
                <w:color w:val="000000"/>
                <w:sz w:val="15"/>
                <w:szCs w:val="15"/>
              </w:rPr>
            </w:pPr>
          </w:p>
        </w:tc>
      </w:tr>
      <w:tr w:rsidR="00037A35" w14:paraId="583D615C" w14:textId="77777777">
        <w:trPr>
          <w:trHeight w:val="279"/>
        </w:trPr>
        <w:tc>
          <w:tcPr>
            <w:tcW w:w="860" w:type="pct"/>
            <w:noWrap/>
            <w:vAlign w:val="center"/>
          </w:tcPr>
          <w:p w14:paraId="6FD855B5"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Unique Needs</w:t>
            </w:r>
          </w:p>
        </w:tc>
        <w:tc>
          <w:tcPr>
            <w:tcW w:w="436" w:type="pct"/>
            <w:noWrap/>
            <w:vAlign w:val="center"/>
          </w:tcPr>
          <w:p w14:paraId="595CEF46" w14:textId="77777777" w:rsidR="00037A35" w:rsidRDefault="00037A35">
            <w:pPr>
              <w:rPr>
                <w:rFonts w:ascii="Times New Roman" w:eastAsia="SimSun" w:hAnsi="Times New Roman" w:cs="Times New Roman"/>
                <w:color w:val="000000"/>
                <w:sz w:val="15"/>
                <w:szCs w:val="15"/>
              </w:rPr>
            </w:pPr>
          </w:p>
        </w:tc>
        <w:tc>
          <w:tcPr>
            <w:tcW w:w="518" w:type="pct"/>
            <w:noWrap/>
            <w:vAlign w:val="center"/>
          </w:tcPr>
          <w:p w14:paraId="5D542745" w14:textId="77777777" w:rsidR="00037A35" w:rsidRDefault="00037A35">
            <w:pPr>
              <w:rPr>
                <w:rFonts w:ascii="Times New Roman" w:eastAsia="SimSun" w:hAnsi="Times New Roman" w:cs="Times New Roman"/>
                <w:color w:val="000000"/>
                <w:sz w:val="15"/>
                <w:szCs w:val="15"/>
              </w:rPr>
            </w:pPr>
          </w:p>
        </w:tc>
        <w:tc>
          <w:tcPr>
            <w:tcW w:w="519" w:type="pct"/>
            <w:noWrap/>
            <w:vAlign w:val="center"/>
          </w:tcPr>
          <w:p w14:paraId="00736FEA" w14:textId="77777777" w:rsidR="00037A35" w:rsidRDefault="00037A35">
            <w:pPr>
              <w:rPr>
                <w:rFonts w:ascii="Times New Roman" w:eastAsia="SimSun" w:hAnsi="Times New Roman" w:cs="Times New Roman"/>
                <w:color w:val="000000"/>
                <w:sz w:val="15"/>
                <w:szCs w:val="15"/>
              </w:rPr>
            </w:pPr>
          </w:p>
        </w:tc>
        <w:tc>
          <w:tcPr>
            <w:tcW w:w="520" w:type="pct"/>
            <w:noWrap/>
            <w:vAlign w:val="center"/>
          </w:tcPr>
          <w:p w14:paraId="6799226C" w14:textId="77777777" w:rsidR="00037A35" w:rsidRDefault="00037A35">
            <w:pPr>
              <w:rPr>
                <w:rFonts w:ascii="Times New Roman" w:eastAsia="SimSun" w:hAnsi="Times New Roman" w:cs="Times New Roman"/>
                <w:color w:val="000000"/>
                <w:sz w:val="15"/>
                <w:szCs w:val="15"/>
              </w:rPr>
            </w:pPr>
          </w:p>
        </w:tc>
        <w:tc>
          <w:tcPr>
            <w:tcW w:w="345" w:type="pct"/>
            <w:noWrap/>
            <w:vAlign w:val="center"/>
          </w:tcPr>
          <w:p w14:paraId="78CA6ED6" w14:textId="77777777" w:rsidR="00037A35" w:rsidRDefault="00037A35">
            <w:pPr>
              <w:rPr>
                <w:rFonts w:ascii="Times New Roman" w:eastAsia="SimSun" w:hAnsi="Times New Roman" w:cs="Times New Roman"/>
                <w:color w:val="000000"/>
                <w:sz w:val="15"/>
                <w:szCs w:val="15"/>
              </w:rPr>
            </w:pPr>
          </w:p>
        </w:tc>
        <w:tc>
          <w:tcPr>
            <w:tcW w:w="549" w:type="pct"/>
            <w:noWrap/>
            <w:vAlign w:val="center"/>
          </w:tcPr>
          <w:p w14:paraId="090AF8BD" w14:textId="77777777" w:rsidR="00037A35" w:rsidRDefault="00037A35">
            <w:pPr>
              <w:rPr>
                <w:rFonts w:ascii="Times New Roman" w:eastAsia="SimSun" w:hAnsi="Times New Roman" w:cs="Times New Roman"/>
                <w:color w:val="000000"/>
                <w:sz w:val="15"/>
                <w:szCs w:val="15"/>
              </w:rPr>
            </w:pPr>
          </w:p>
        </w:tc>
        <w:tc>
          <w:tcPr>
            <w:tcW w:w="315" w:type="pct"/>
            <w:noWrap/>
            <w:vAlign w:val="center"/>
          </w:tcPr>
          <w:p w14:paraId="04F51AD8" w14:textId="77777777" w:rsidR="00037A35" w:rsidRDefault="00037A35">
            <w:pPr>
              <w:rPr>
                <w:rFonts w:ascii="Times New Roman" w:eastAsia="SimSun" w:hAnsi="Times New Roman" w:cs="Times New Roman"/>
                <w:color w:val="000000"/>
                <w:sz w:val="15"/>
                <w:szCs w:val="15"/>
              </w:rPr>
            </w:pPr>
          </w:p>
        </w:tc>
        <w:tc>
          <w:tcPr>
            <w:tcW w:w="474" w:type="pct"/>
            <w:noWrap/>
            <w:vAlign w:val="center"/>
          </w:tcPr>
          <w:p w14:paraId="4A137C14" w14:textId="77777777" w:rsidR="00037A35" w:rsidRDefault="00037A35">
            <w:pPr>
              <w:rPr>
                <w:rFonts w:ascii="Times New Roman" w:eastAsia="SimSun" w:hAnsi="Times New Roman" w:cs="Times New Roman"/>
                <w:color w:val="000000"/>
                <w:sz w:val="15"/>
                <w:szCs w:val="15"/>
              </w:rPr>
            </w:pPr>
          </w:p>
        </w:tc>
        <w:tc>
          <w:tcPr>
            <w:tcW w:w="464" w:type="pct"/>
            <w:noWrap/>
            <w:vAlign w:val="center"/>
          </w:tcPr>
          <w:p w14:paraId="688BDA2A" w14:textId="77777777" w:rsidR="00037A35" w:rsidRDefault="00000000">
            <w:pPr>
              <w:widowControl/>
              <w:textAlignment w:val="center"/>
              <w:rPr>
                <w:rFonts w:ascii="Times New Roman" w:eastAsia="SimSun" w:hAnsi="Times New Roman" w:cs="Times New Roman"/>
                <w:color w:val="000000"/>
                <w:sz w:val="15"/>
                <w:szCs w:val="15"/>
                <w:vertAlign w:val="superscript"/>
              </w:rPr>
            </w:pPr>
            <w:r>
              <w:rPr>
                <w:rFonts w:ascii="Times New Roman" w:eastAsia="SimSun" w:hAnsi="Times New Roman" w:cs="Times New Roman"/>
                <w:color w:val="000000"/>
                <w:kern w:val="0"/>
                <w:sz w:val="15"/>
                <w:szCs w:val="15"/>
                <w:lang w:bidi="ar"/>
              </w:rPr>
              <w:t>0.426***</w:t>
            </w:r>
          </w:p>
        </w:tc>
      </w:tr>
      <w:tr w:rsidR="00037A35" w14:paraId="6709622D" w14:textId="77777777">
        <w:trPr>
          <w:trHeight w:val="279"/>
        </w:trPr>
        <w:tc>
          <w:tcPr>
            <w:tcW w:w="860" w:type="pct"/>
            <w:noWrap/>
            <w:vAlign w:val="center"/>
          </w:tcPr>
          <w:p w14:paraId="45CCFA09" w14:textId="77777777" w:rsidR="00037A35" w:rsidRDefault="00000000">
            <w:pPr>
              <w:widowControl/>
              <w:textAlignment w:val="center"/>
              <w:rPr>
                <w:rStyle w:val="font01"/>
                <w:rFonts w:ascii="Times New Roman" w:hAnsi="Times New Roman" w:cs="Times New Roman" w:hint="default"/>
                <w:sz w:val="15"/>
                <w:szCs w:val="15"/>
                <w:lang w:bidi="ar"/>
              </w:rPr>
            </w:pPr>
            <w:r>
              <w:rPr>
                <w:rStyle w:val="font01"/>
                <w:rFonts w:ascii="Times New Roman" w:hAnsi="Times New Roman" w:cs="Times New Roman" w:hint="default"/>
                <w:sz w:val="15"/>
                <w:szCs w:val="15"/>
                <w:lang w:bidi="ar"/>
              </w:rPr>
              <w:t>Customer Engagement×</w:t>
            </w:r>
          </w:p>
          <w:p w14:paraId="63A10F86" w14:textId="77777777" w:rsidR="00037A35" w:rsidRDefault="00000000">
            <w:pPr>
              <w:widowControl/>
              <w:textAlignment w:val="center"/>
              <w:rPr>
                <w:rFonts w:ascii="Times New Roman" w:eastAsia="SimSun" w:hAnsi="Times New Roman" w:cs="Times New Roman"/>
                <w:color w:val="000000"/>
                <w:sz w:val="15"/>
                <w:szCs w:val="15"/>
              </w:rPr>
            </w:pPr>
            <w:r>
              <w:rPr>
                <w:rStyle w:val="font01"/>
                <w:rFonts w:ascii="Times New Roman" w:hAnsi="Times New Roman" w:cs="Times New Roman" w:hint="default"/>
                <w:sz w:val="15"/>
                <w:szCs w:val="15"/>
                <w:lang w:bidi="ar"/>
              </w:rPr>
              <w:t>Customer Unique Needs</w:t>
            </w:r>
          </w:p>
        </w:tc>
        <w:tc>
          <w:tcPr>
            <w:tcW w:w="436" w:type="pct"/>
            <w:noWrap/>
            <w:vAlign w:val="center"/>
          </w:tcPr>
          <w:p w14:paraId="34DD62DE" w14:textId="77777777" w:rsidR="00037A35" w:rsidRDefault="00037A35">
            <w:pPr>
              <w:rPr>
                <w:rFonts w:ascii="Times New Roman" w:eastAsia="SimSun" w:hAnsi="Times New Roman" w:cs="Times New Roman"/>
                <w:color w:val="000000"/>
                <w:sz w:val="15"/>
                <w:szCs w:val="15"/>
              </w:rPr>
            </w:pPr>
          </w:p>
        </w:tc>
        <w:tc>
          <w:tcPr>
            <w:tcW w:w="518" w:type="pct"/>
            <w:noWrap/>
            <w:vAlign w:val="center"/>
          </w:tcPr>
          <w:p w14:paraId="2C26BAA9" w14:textId="77777777" w:rsidR="00037A35" w:rsidRDefault="00037A35">
            <w:pPr>
              <w:rPr>
                <w:rFonts w:ascii="Times New Roman" w:eastAsia="SimSun" w:hAnsi="Times New Roman" w:cs="Times New Roman"/>
                <w:color w:val="000000"/>
                <w:sz w:val="15"/>
                <w:szCs w:val="15"/>
              </w:rPr>
            </w:pPr>
          </w:p>
        </w:tc>
        <w:tc>
          <w:tcPr>
            <w:tcW w:w="519" w:type="pct"/>
            <w:noWrap/>
            <w:vAlign w:val="center"/>
          </w:tcPr>
          <w:p w14:paraId="64D3C154" w14:textId="77777777" w:rsidR="00037A35" w:rsidRDefault="00037A35">
            <w:pPr>
              <w:rPr>
                <w:rFonts w:ascii="Times New Roman" w:eastAsia="SimSun" w:hAnsi="Times New Roman" w:cs="Times New Roman"/>
                <w:color w:val="000000"/>
                <w:sz w:val="15"/>
                <w:szCs w:val="15"/>
              </w:rPr>
            </w:pPr>
          </w:p>
        </w:tc>
        <w:tc>
          <w:tcPr>
            <w:tcW w:w="520" w:type="pct"/>
            <w:noWrap/>
            <w:vAlign w:val="center"/>
          </w:tcPr>
          <w:p w14:paraId="2AACAED9" w14:textId="77777777" w:rsidR="00037A35" w:rsidRDefault="00037A35">
            <w:pPr>
              <w:rPr>
                <w:rFonts w:ascii="Times New Roman" w:eastAsia="SimSun" w:hAnsi="Times New Roman" w:cs="Times New Roman"/>
                <w:color w:val="000000"/>
                <w:sz w:val="15"/>
                <w:szCs w:val="15"/>
              </w:rPr>
            </w:pPr>
          </w:p>
        </w:tc>
        <w:tc>
          <w:tcPr>
            <w:tcW w:w="345" w:type="pct"/>
            <w:noWrap/>
            <w:vAlign w:val="center"/>
          </w:tcPr>
          <w:p w14:paraId="3DBC93EC" w14:textId="77777777" w:rsidR="00037A35" w:rsidRDefault="00037A35">
            <w:pPr>
              <w:rPr>
                <w:rFonts w:ascii="Times New Roman" w:eastAsia="SimSun" w:hAnsi="Times New Roman" w:cs="Times New Roman"/>
                <w:color w:val="000000"/>
                <w:sz w:val="15"/>
                <w:szCs w:val="15"/>
              </w:rPr>
            </w:pPr>
          </w:p>
        </w:tc>
        <w:tc>
          <w:tcPr>
            <w:tcW w:w="549" w:type="pct"/>
            <w:noWrap/>
            <w:vAlign w:val="center"/>
          </w:tcPr>
          <w:p w14:paraId="06839D74" w14:textId="77777777" w:rsidR="00037A35" w:rsidRDefault="00037A35">
            <w:pPr>
              <w:rPr>
                <w:rFonts w:ascii="Times New Roman" w:eastAsia="SimSun" w:hAnsi="Times New Roman" w:cs="Times New Roman"/>
                <w:color w:val="000000"/>
                <w:sz w:val="15"/>
                <w:szCs w:val="15"/>
              </w:rPr>
            </w:pPr>
          </w:p>
        </w:tc>
        <w:tc>
          <w:tcPr>
            <w:tcW w:w="315" w:type="pct"/>
            <w:noWrap/>
            <w:vAlign w:val="center"/>
          </w:tcPr>
          <w:p w14:paraId="023C2105" w14:textId="77777777" w:rsidR="00037A35" w:rsidRDefault="00037A35">
            <w:pPr>
              <w:rPr>
                <w:rFonts w:ascii="Times New Roman" w:eastAsia="SimSun" w:hAnsi="Times New Roman" w:cs="Times New Roman"/>
                <w:color w:val="000000"/>
                <w:sz w:val="15"/>
                <w:szCs w:val="15"/>
              </w:rPr>
            </w:pPr>
          </w:p>
        </w:tc>
        <w:tc>
          <w:tcPr>
            <w:tcW w:w="474" w:type="pct"/>
            <w:noWrap/>
            <w:vAlign w:val="center"/>
          </w:tcPr>
          <w:p w14:paraId="57CB60EE" w14:textId="77777777" w:rsidR="00037A35" w:rsidRDefault="00037A35">
            <w:pPr>
              <w:rPr>
                <w:rFonts w:ascii="Times New Roman" w:eastAsia="SimSun" w:hAnsi="Times New Roman" w:cs="Times New Roman"/>
                <w:color w:val="000000"/>
                <w:sz w:val="15"/>
                <w:szCs w:val="15"/>
              </w:rPr>
            </w:pPr>
          </w:p>
        </w:tc>
        <w:tc>
          <w:tcPr>
            <w:tcW w:w="464" w:type="pct"/>
            <w:noWrap/>
            <w:vAlign w:val="center"/>
          </w:tcPr>
          <w:p w14:paraId="3052796F" w14:textId="77777777" w:rsidR="00037A35" w:rsidRDefault="00000000">
            <w:pPr>
              <w:widowControl/>
              <w:textAlignment w:val="center"/>
              <w:rPr>
                <w:rFonts w:ascii="Times New Roman" w:eastAsia="SimSun" w:hAnsi="Times New Roman" w:cs="Times New Roman"/>
                <w:color w:val="000000"/>
                <w:sz w:val="15"/>
                <w:szCs w:val="15"/>
                <w:vertAlign w:val="superscript"/>
              </w:rPr>
            </w:pPr>
            <w:r>
              <w:rPr>
                <w:rFonts w:ascii="Times New Roman" w:eastAsia="SimSun" w:hAnsi="Times New Roman" w:cs="Times New Roman"/>
                <w:color w:val="000000"/>
                <w:kern w:val="0"/>
                <w:sz w:val="15"/>
                <w:szCs w:val="15"/>
                <w:lang w:bidi="ar"/>
              </w:rPr>
              <w:t>0.101</w:t>
            </w:r>
            <w:r>
              <w:rPr>
                <w:rFonts w:ascii="Times New Roman" w:eastAsia="SimSun" w:hAnsi="Times New Roman" w:cs="Times New Roman"/>
                <w:color w:val="000000"/>
                <w:kern w:val="0"/>
                <w:sz w:val="15"/>
                <w:szCs w:val="15"/>
                <w:vertAlign w:val="superscript"/>
                <w:lang w:bidi="ar"/>
              </w:rPr>
              <w:t>*</w:t>
            </w:r>
            <w:r>
              <w:rPr>
                <w:rFonts w:ascii="Times New Roman" w:eastAsia="SimSun" w:hAnsi="Times New Roman" w:cs="Times New Roman"/>
                <w:color w:val="000000"/>
                <w:kern w:val="0"/>
                <w:sz w:val="15"/>
                <w:szCs w:val="15"/>
                <w:lang w:bidi="ar"/>
              </w:rPr>
              <w:t>*</w:t>
            </w:r>
          </w:p>
        </w:tc>
      </w:tr>
      <w:tr w:rsidR="00037A35" w14:paraId="76A30AC3" w14:textId="77777777">
        <w:trPr>
          <w:trHeight w:val="279"/>
        </w:trPr>
        <w:tc>
          <w:tcPr>
            <w:tcW w:w="860" w:type="pct"/>
            <w:noWrap/>
            <w:vAlign w:val="center"/>
          </w:tcPr>
          <w:p w14:paraId="6E0843CB" w14:textId="77777777" w:rsidR="00037A35" w:rsidRDefault="00000000">
            <w:pPr>
              <w:widowControl/>
              <w:textAlignment w:val="center"/>
              <w:rPr>
                <w:rFonts w:ascii="Times New Roman" w:eastAsia="SimSun" w:hAnsi="Times New Roman" w:cs="Times New Roman"/>
                <w:color w:val="000000"/>
                <w:sz w:val="15"/>
                <w:szCs w:val="15"/>
                <w:vertAlign w:val="superscript"/>
              </w:rPr>
            </w:pPr>
            <w:r>
              <w:rPr>
                <w:rFonts w:ascii="Times New Roman" w:eastAsia="SimSun" w:hAnsi="Times New Roman" w:cs="Times New Roman"/>
                <w:i/>
                <w:iCs/>
                <w:color w:val="000000"/>
                <w:kern w:val="0"/>
                <w:sz w:val="15"/>
                <w:szCs w:val="15"/>
                <w:lang w:bidi="ar"/>
              </w:rPr>
              <w:t>R</w:t>
            </w:r>
            <w:r>
              <w:rPr>
                <w:rFonts w:ascii="Times New Roman" w:eastAsia="SimSun" w:hAnsi="Times New Roman" w:cs="Times New Roman"/>
                <w:i/>
                <w:iCs/>
                <w:color w:val="000000"/>
                <w:kern w:val="0"/>
                <w:sz w:val="15"/>
                <w:szCs w:val="15"/>
                <w:vertAlign w:val="superscript"/>
                <w:lang w:bidi="ar"/>
              </w:rPr>
              <w:t>2</w:t>
            </w:r>
          </w:p>
        </w:tc>
        <w:tc>
          <w:tcPr>
            <w:tcW w:w="436" w:type="pct"/>
            <w:noWrap/>
            <w:vAlign w:val="center"/>
          </w:tcPr>
          <w:p w14:paraId="4E1DAEB8"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0.19</w:t>
            </w:r>
          </w:p>
        </w:tc>
        <w:tc>
          <w:tcPr>
            <w:tcW w:w="518" w:type="pct"/>
            <w:noWrap/>
            <w:vAlign w:val="center"/>
          </w:tcPr>
          <w:p w14:paraId="63C498F1"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0.568</w:t>
            </w:r>
          </w:p>
        </w:tc>
        <w:tc>
          <w:tcPr>
            <w:tcW w:w="519" w:type="pct"/>
            <w:noWrap/>
            <w:vAlign w:val="center"/>
          </w:tcPr>
          <w:p w14:paraId="082C3610"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0.157</w:t>
            </w:r>
          </w:p>
        </w:tc>
        <w:tc>
          <w:tcPr>
            <w:tcW w:w="520" w:type="pct"/>
            <w:noWrap/>
            <w:vAlign w:val="center"/>
          </w:tcPr>
          <w:p w14:paraId="2322B57E"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0.511</w:t>
            </w:r>
          </w:p>
        </w:tc>
        <w:tc>
          <w:tcPr>
            <w:tcW w:w="345" w:type="pct"/>
            <w:noWrap/>
            <w:vAlign w:val="center"/>
          </w:tcPr>
          <w:p w14:paraId="059966AA"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0.146</w:t>
            </w:r>
          </w:p>
        </w:tc>
        <w:tc>
          <w:tcPr>
            <w:tcW w:w="549" w:type="pct"/>
            <w:noWrap/>
            <w:vAlign w:val="center"/>
          </w:tcPr>
          <w:p w14:paraId="69042A99"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0.388</w:t>
            </w:r>
          </w:p>
        </w:tc>
        <w:tc>
          <w:tcPr>
            <w:tcW w:w="315" w:type="pct"/>
            <w:noWrap/>
            <w:vAlign w:val="center"/>
          </w:tcPr>
          <w:p w14:paraId="5FE31B2D"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0.526</w:t>
            </w:r>
          </w:p>
        </w:tc>
        <w:tc>
          <w:tcPr>
            <w:tcW w:w="474" w:type="pct"/>
            <w:noWrap/>
            <w:vAlign w:val="center"/>
          </w:tcPr>
          <w:p w14:paraId="26968742"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0.528</w:t>
            </w:r>
          </w:p>
        </w:tc>
        <w:tc>
          <w:tcPr>
            <w:tcW w:w="464" w:type="pct"/>
            <w:noWrap/>
            <w:vAlign w:val="center"/>
          </w:tcPr>
          <w:p w14:paraId="77CFB6C1"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0.523</w:t>
            </w:r>
          </w:p>
        </w:tc>
      </w:tr>
      <w:tr w:rsidR="00037A35" w14:paraId="78BCD171" w14:textId="77777777">
        <w:trPr>
          <w:trHeight w:val="279"/>
        </w:trPr>
        <w:tc>
          <w:tcPr>
            <w:tcW w:w="860" w:type="pct"/>
            <w:noWrap/>
            <w:vAlign w:val="center"/>
          </w:tcPr>
          <w:p w14:paraId="67E0D665" w14:textId="77777777" w:rsidR="00037A35" w:rsidRDefault="00000000">
            <w:pPr>
              <w:widowControl/>
              <w:textAlignment w:val="center"/>
              <w:rPr>
                <w:rFonts w:ascii="Times New Roman" w:eastAsia="SimSun" w:hAnsi="Times New Roman" w:cs="Times New Roman"/>
                <w:color w:val="000000"/>
                <w:sz w:val="15"/>
                <w:szCs w:val="15"/>
                <w:vertAlign w:val="superscript"/>
              </w:rPr>
            </w:pPr>
            <w:r>
              <w:rPr>
                <w:rFonts w:ascii="Times New Roman" w:eastAsia="SimSun" w:hAnsi="Times New Roman" w:cs="Times New Roman"/>
                <w:color w:val="000000"/>
                <w:kern w:val="0"/>
                <w:sz w:val="15"/>
                <w:szCs w:val="15"/>
                <w:lang w:bidi="ar"/>
              </w:rPr>
              <w:t>Δ</w:t>
            </w:r>
            <w:r>
              <w:rPr>
                <w:rFonts w:ascii="Times New Roman" w:eastAsia="SimSun" w:hAnsi="Times New Roman" w:cs="Times New Roman"/>
                <w:i/>
                <w:iCs/>
                <w:color w:val="000000"/>
                <w:kern w:val="0"/>
                <w:sz w:val="15"/>
                <w:szCs w:val="15"/>
                <w:lang w:bidi="ar"/>
              </w:rPr>
              <w:t>R</w:t>
            </w:r>
            <w:r>
              <w:rPr>
                <w:rFonts w:ascii="Times New Roman" w:eastAsia="SimSun" w:hAnsi="Times New Roman" w:cs="Times New Roman"/>
                <w:i/>
                <w:iCs/>
                <w:color w:val="000000"/>
                <w:kern w:val="0"/>
                <w:sz w:val="15"/>
                <w:szCs w:val="15"/>
                <w:vertAlign w:val="superscript"/>
                <w:lang w:bidi="ar"/>
              </w:rPr>
              <w:t>2</w:t>
            </w:r>
          </w:p>
        </w:tc>
        <w:tc>
          <w:tcPr>
            <w:tcW w:w="436" w:type="pct"/>
            <w:noWrap/>
            <w:vAlign w:val="center"/>
          </w:tcPr>
          <w:p w14:paraId="378DCEC3"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0.202</w:t>
            </w:r>
          </w:p>
        </w:tc>
        <w:tc>
          <w:tcPr>
            <w:tcW w:w="518" w:type="pct"/>
            <w:noWrap/>
            <w:vAlign w:val="center"/>
          </w:tcPr>
          <w:p w14:paraId="5641E229"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0.374</w:t>
            </w:r>
          </w:p>
        </w:tc>
        <w:tc>
          <w:tcPr>
            <w:tcW w:w="519" w:type="pct"/>
            <w:noWrap/>
            <w:vAlign w:val="center"/>
          </w:tcPr>
          <w:p w14:paraId="388E1823"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0.169</w:t>
            </w:r>
          </w:p>
        </w:tc>
        <w:tc>
          <w:tcPr>
            <w:tcW w:w="520" w:type="pct"/>
            <w:noWrap/>
            <w:vAlign w:val="center"/>
          </w:tcPr>
          <w:p w14:paraId="3E40B701"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0.351</w:t>
            </w:r>
          </w:p>
        </w:tc>
        <w:tc>
          <w:tcPr>
            <w:tcW w:w="345" w:type="pct"/>
            <w:noWrap/>
            <w:vAlign w:val="center"/>
          </w:tcPr>
          <w:p w14:paraId="53B9755B"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0.158</w:t>
            </w:r>
          </w:p>
        </w:tc>
        <w:tc>
          <w:tcPr>
            <w:tcW w:w="549" w:type="pct"/>
            <w:noWrap/>
            <w:vAlign w:val="center"/>
          </w:tcPr>
          <w:p w14:paraId="0CD815A7"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0.241</w:t>
            </w:r>
          </w:p>
        </w:tc>
        <w:tc>
          <w:tcPr>
            <w:tcW w:w="315" w:type="pct"/>
            <w:noWrap/>
            <w:vAlign w:val="center"/>
          </w:tcPr>
          <w:p w14:paraId="58C3693B"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0.137</w:t>
            </w:r>
          </w:p>
        </w:tc>
        <w:tc>
          <w:tcPr>
            <w:tcW w:w="474" w:type="pct"/>
            <w:noWrap/>
            <w:vAlign w:val="center"/>
          </w:tcPr>
          <w:p w14:paraId="5BA8D3CC"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0.139</w:t>
            </w:r>
          </w:p>
        </w:tc>
        <w:tc>
          <w:tcPr>
            <w:tcW w:w="464" w:type="pct"/>
            <w:noWrap/>
            <w:vAlign w:val="center"/>
          </w:tcPr>
          <w:p w14:paraId="76D2315E"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0.01</w:t>
            </w:r>
          </w:p>
        </w:tc>
      </w:tr>
      <w:tr w:rsidR="00037A35" w14:paraId="6BCA07C9" w14:textId="77777777">
        <w:trPr>
          <w:trHeight w:val="293"/>
        </w:trPr>
        <w:tc>
          <w:tcPr>
            <w:tcW w:w="860" w:type="pct"/>
            <w:tcBorders>
              <w:bottom w:val="single" w:sz="12" w:space="0" w:color="auto"/>
            </w:tcBorders>
            <w:noWrap/>
            <w:vAlign w:val="center"/>
          </w:tcPr>
          <w:p w14:paraId="7EBBC446"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i/>
                <w:iCs/>
                <w:color w:val="000000"/>
                <w:kern w:val="0"/>
                <w:sz w:val="15"/>
                <w:szCs w:val="15"/>
                <w:lang w:bidi="ar"/>
              </w:rPr>
              <w:t>F</w:t>
            </w:r>
          </w:p>
        </w:tc>
        <w:tc>
          <w:tcPr>
            <w:tcW w:w="436" w:type="pct"/>
            <w:tcBorders>
              <w:bottom w:val="single" w:sz="12" w:space="0" w:color="auto"/>
            </w:tcBorders>
            <w:noWrap/>
            <w:vAlign w:val="center"/>
          </w:tcPr>
          <w:p w14:paraId="0465A4C0"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17.325</w:t>
            </w:r>
          </w:p>
        </w:tc>
        <w:tc>
          <w:tcPr>
            <w:tcW w:w="518" w:type="pct"/>
            <w:tcBorders>
              <w:bottom w:val="single" w:sz="12" w:space="0" w:color="auto"/>
            </w:tcBorders>
            <w:noWrap/>
            <w:vAlign w:val="center"/>
          </w:tcPr>
          <w:p w14:paraId="4A6DFBD8"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74.168</w:t>
            </w:r>
          </w:p>
        </w:tc>
        <w:tc>
          <w:tcPr>
            <w:tcW w:w="519" w:type="pct"/>
            <w:tcBorders>
              <w:bottom w:val="single" w:sz="12" w:space="0" w:color="auto"/>
            </w:tcBorders>
            <w:noWrap/>
            <w:vAlign w:val="center"/>
          </w:tcPr>
          <w:p w14:paraId="786359BE"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13.933</w:t>
            </w:r>
          </w:p>
        </w:tc>
        <w:tc>
          <w:tcPr>
            <w:tcW w:w="520" w:type="pct"/>
            <w:tcBorders>
              <w:bottom w:val="single" w:sz="12" w:space="0" w:color="auto"/>
            </w:tcBorders>
            <w:noWrap/>
            <w:vAlign w:val="center"/>
          </w:tcPr>
          <w:p w14:paraId="1676CAC8"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59.174</w:t>
            </w:r>
          </w:p>
        </w:tc>
        <w:tc>
          <w:tcPr>
            <w:tcW w:w="345" w:type="pct"/>
            <w:tcBorders>
              <w:bottom w:val="single" w:sz="12" w:space="0" w:color="auto"/>
            </w:tcBorders>
            <w:noWrap/>
            <w:vAlign w:val="center"/>
          </w:tcPr>
          <w:p w14:paraId="664E1EC4"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12.85</w:t>
            </w:r>
          </w:p>
        </w:tc>
        <w:tc>
          <w:tcPr>
            <w:tcW w:w="549" w:type="pct"/>
            <w:tcBorders>
              <w:bottom w:val="single" w:sz="12" w:space="0" w:color="auto"/>
            </w:tcBorders>
            <w:noWrap/>
            <w:vAlign w:val="center"/>
          </w:tcPr>
          <w:p w14:paraId="5DFF2350"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36.275</w:t>
            </w:r>
          </w:p>
        </w:tc>
        <w:tc>
          <w:tcPr>
            <w:tcW w:w="315" w:type="pct"/>
            <w:tcBorders>
              <w:bottom w:val="single" w:sz="12" w:space="0" w:color="auto"/>
            </w:tcBorders>
            <w:noWrap/>
            <w:vAlign w:val="center"/>
          </w:tcPr>
          <w:p w14:paraId="1FFA934C"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52.373</w:t>
            </w:r>
          </w:p>
        </w:tc>
        <w:tc>
          <w:tcPr>
            <w:tcW w:w="474" w:type="pct"/>
            <w:tcBorders>
              <w:bottom w:val="single" w:sz="12" w:space="0" w:color="auto"/>
            </w:tcBorders>
            <w:noWrap/>
            <w:vAlign w:val="center"/>
          </w:tcPr>
          <w:p w14:paraId="6AF19F47"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52.934</w:t>
            </w:r>
          </w:p>
        </w:tc>
        <w:tc>
          <w:tcPr>
            <w:tcW w:w="464" w:type="pct"/>
            <w:tcBorders>
              <w:bottom w:val="single" w:sz="12" w:space="0" w:color="auto"/>
            </w:tcBorders>
            <w:noWrap/>
            <w:vAlign w:val="center"/>
          </w:tcPr>
          <w:p w14:paraId="52784A5F" w14:textId="77777777" w:rsidR="00037A35" w:rsidRDefault="00000000">
            <w:pPr>
              <w:widowControl/>
              <w:textAlignment w:val="center"/>
              <w:rPr>
                <w:rFonts w:ascii="Times New Roman" w:eastAsia="SimSun" w:hAnsi="Times New Roman" w:cs="Times New Roman"/>
                <w:color w:val="000000"/>
                <w:sz w:val="15"/>
                <w:szCs w:val="15"/>
              </w:rPr>
            </w:pPr>
            <w:r>
              <w:rPr>
                <w:rFonts w:ascii="Times New Roman" w:eastAsia="SimSun" w:hAnsi="Times New Roman" w:cs="Times New Roman"/>
                <w:color w:val="000000"/>
                <w:kern w:val="0"/>
                <w:sz w:val="15"/>
                <w:szCs w:val="15"/>
                <w:lang w:bidi="ar"/>
              </w:rPr>
              <w:t>44.587</w:t>
            </w:r>
          </w:p>
        </w:tc>
      </w:tr>
    </w:tbl>
    <w:p w14:paraId="40998BBA" w14:textId="77777777" w:rsidR="00037A35" w:rsidRDefault="00000000">
      <w:pPr>
        <w:widowControl/>
        <w:rPr>
          <w:rFonts w:ascii="Times New Roman" w:eastAsia="SimSun" w:hAnsi="Times New Roman" w:cs="Times New Roman"/>
          <w:color w:val="000000"/>
          <w:kern w:val="0"/>
          <w:sz w:val="14"/>
          <w:szCs w:val="14"/>
          <w:lang w:bidi="ar"/>
        </w:rPr>
      </w:pPr>
      <w:r>
        <w:rPr>
          <w:rFonts w:ascii="Times New Roman" w:eastAsia="SimSun" w:hAnsi="Times New Roman" w:cs="Times New Roman"/>
          <w:color w:val="000000"/>
          <w:kern w:val="0"/>
          <w:sz w:val="14"/>
          <w:szCs w:val="14"/>
          <w:lang w:bidi="ar"/>
        </w:rPr>
        <w:t>Note: n = 279; *p &lt; 0.05, **p value &lt; 0.01, ***p value &lt; 0.001.</w:t>
      </w:r>
    </w:p>
    <w:p w14:paraId="5D923303" w14:textId="77777777" w:rsidR="00037A35" w:rsidRDefault="00037A35">
      <w:pPr>
        <w:widowControl/>
        <w:ind w:left="150" w:firstLine="480"/>
        <w:rPr>
          <w:rFonts w:ascii="SimSun" w:eastAsia="SimSun" w:hAnsi="SimSun" w:cs="SimSun"/>
          <w:color w:val="000000"/>
          <w:sz w:val="24"/>
        </w:rPr>
      </w:pPr>
    </w:p>
    <w:p w14:paraId="4CBBEF21" w14:textId="77777777" w:rsidR="00037A35" w:rsidRDefault="00000000">
      <w:pPr>
        <w:widowControl/>
        <w:ind w:left="150" w:firstLine="480"/>
        <w:rPr>
          <w:rFonts w:ascii="Times New Roman" w:eastAsia="SimSun" w:hAnsi="Times New Roman" w:cs="Times New Roman"/>
          <w:sz w:val="24"/>
        </w:rPr>
      </w:pPr>
      <w:r>
        <w:rPr>
          <w:rFonts w:ascii="Times New Roman" w:eastAsia="SimSun" w:hAnsi="Times New Roman" w:cs="Times New Roman"/>
          <w:sz w:val="24"/>
        </w:rPr>
        <w:t xml:space="preserve">This </w:t>
      </w:r>
      <w:r>
        <w:rPr>
          <w:rFonts w:ascii="Times New Roman" w:eastAsia="SimSun" w:hAnsi="Times New Roman" w:cs="Times New Roman" w:hint="eastAsia"/>
          <w:sz w:val="24"/>
        </w:rPr>
        <w:t>study</w:t>
      </w:r>
      <w:r>
        <w:rPr>
          <w:rFonts w:ascii="Times New Roman" w:eastAsia="SimSun" w:hAnsi="Times New Roman" w:cs="Times New Roman"/>
          <w:sz w:val="24"/>
        </w:rPr>
        <w:t xml:space="preserve"> uses the Process plugin in SPSS 27.0 to further explore the influence of functional value and hedonic value as mediating variables. A 95% confidence level was selected, and the Bootstrap method </w:t>
      </w:r>
      <w:r>
        <w:rPr>
          <w:rFonts w:ascii="Times New Roman" w:eastAsia="SimSun" w:hAnsi="Times New Roman" w:cs="Times New Roman" w:hint="eastAsia"/>
          <w:sz w:val="24"/>
        </w:rPr>
        <w:t>is</w:t>
      </w:r>
      <w:r>
        <w:rPr>
          <w:rFonts w:ascii="Times New Roman" w:eastAsia="SimSun" w:hAnsi="Times New Roman" w:cs="Times New Roman"/>
          <w:sz w:val="24"/>
        </w:rPr>
        <w:t xml:space="preserve"> used for resampling to test the mediation effect (results are detailed in Table 5). The results show that the individual mediating effects of functional value and hedonic value are 0.224 and 0.231, respectively. The confidence intervals for the two mediation paths are [0.076, 0.359] and [0.092, 0.371], respectively, and the confidence intervals do not include 0. Their respective effect proportions are 38.31% and 39.38%. Furthermore, the indirect effect accounts for 77.69% of the total effect in the model, indicating that both hedonic value and functional value have significant mediating effects. Therefore, hypotheses H4a and H4b are valid.</w:t>
      </w:r>
    </w:p>
    <w:p w14:paraId="60D19430" w14:textId="77777777" w:rsidR="00037A35" w:rsidRDefault="00037A35">
      <w:pPr>
        <w:widowControl/>
        <w:ind w:left="150" w:firstLine="480"/>
        <w:rPr>
          <w:rFonts w:ascii="Times New Roman" w:eastAsia="SimSun" w:hAnsi="Times New Roman" w:cs="Times New Roman"/>
          <w:sz w:val="24"/>
        </w:rPr>
      </w:pPr>
    </w:p>
    <w:p w14:paraId="632ECF0D" w14:textId="77777777" w:rsidR="00037A35" w:rsidRDefault="00000000">
      <w:pPr>
        <w:widowControl/>
        <w:jc w:val="center"/>
        <w:rPr>
          <w:rFonts w:cs="SimSun"/>
          <w:color w:val="000000"/>
          <w:sz w:val="24"/>
        </w:rPr>
      </w:pPr>
      <w:r>
        <w:rPr>
          <w:rFonts w:ascii="Times New Roman" w:eastAsia="SimSun" w:hAnsi="Times New Roman" w:cs="Times New Roman"/>
          <w:color w:val="000000"/>
          <w:kern w:val="0"/>
          <w:sz w:val="20"/>
          <w:szCs w:val="20"/>
          <w:lang w:bidi="ar"/>
        </w:rPr>
        <w:t>Table 5. Mediation effect test</w:t>
      </w:r>
    </w:p>
    <w:tbl>
      <w:tblPr>
        <w:tblW w:w="5000" w:type="pct"/>
        <w:tblBorders>
          <w:top w:val="single" w:sz="12" w:space="0" w:color="auto"/>
          <w:bottom w:val="single" w:sz="12" w:space="0" w:color="auto"/>
        </w:tblBorders>
        <w:tblLayout w:type="fixed"/>
        <w:tblLook w:val="04A0" w:firstRow="1" w:lastRow="0" w:firstColumn="1" w:lastColumn="0" w:noHBand="0" w:noVBand="1"/>
      </w:tblPr>
      <w:tblGrid>
        <w:gridCol w:w="852"/>
        <w:gridCol w:w="1528"/>
        <w:gridCol w:w="615"/>
        <w:gridCol w:w="724"/>
        <w:gridCol w:w="664"/>
        <w:gridCol w:w="583"/>
        <w:gridCol w:w="1130"/>
        <w:gridCol w:w="1135"/>
        <w:gridCol w:w="1075"/>
      </w:tblGrid>
      <w:tr w:rsidR="00037A35" w14:paraId="722D281F" w14:textId="77777777">
        <w:trPr>
          <w:trHeight w:val="270"/>
        </w:trPr>
        <w:tc>
          <w:tcPr>
            <w:tcW w:w="513" w:type="pct"/>
            <w:tcBorders>
              <w:top w:val="single" w:sz="12" w:space="0" w:color="auto"/>
              <w:bottom w:val="single" w:sz="4" w:space="0" w:color="auto"/>
            </w:tcBorders>
            <w:noWrap/>
            <w:vAlign w:val="center"/>
          </w:tcPr>
          <w:p w14:paraId="15CA08DB"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sz w:val="20"/>
                <w:szCs w:val="20"/>
              </w:rPr>
              <w:t>Effect</w:t>
            </w:r>
          </w:p>
        </w:tc>
        <w:tc>
          <w:tcPr>
            <w:tcW w:w="920" w:type="pct"/>
            <w:tcBorders>
              <w:top w:val="single" w:sz="12" w:space="0" w:color="auto"/>
              <w:bottom w:val="single" w:sz="4" w:space="0" w:color="auto"/>
            </w:tcBorders>
            <w:noWrap/>
            <w:vAlign w:val="center"/>
          </w:tcPr>
          <w:p w14:paraId="02C278F4"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Path</w:t>
            </w:r>
          </w:p>
        </w:tc>
        <w:tc>
          <w:tcPr>
            <w:tcW w:w="370" w:type="pct"/>
            <w:tcBorders>
              <w:top w:val="single" w:sz="12" w:space="0" w:color="auto"/>
              <w:bottom w:val="single" w:sz="4" w:space="0" w:color="auto"/>
            </w:tcBorders>
            <w:noWrap/>
            <w:vAlign w:val="center"/>
          </w:tcPr>
          <w:p w14:paraId="79A6CF60"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Effect</w:t>
            </w:r>
          </w:p>
        </w:tc>
        <w:tc>
          <w:tcPr>
            <w:tcW w:w="436" w:type="pct"/>
            <w:tcBorders>
              <w:top w:val="single" w:sz="12" w:space="0" w:color="auto"/>
              <w:bottom w:val="single" w:sz="4" w:space="0" w:color="auto"/>
            </w:tcBorders>
            <w:noWrap/>
            <w:vAlign w:val="center"/>
          </w:tcPr>
          <w:p w14:paraId="0F6E9290" w14:textId="77777777" w:rsidR="00037A35" w:rsidRDefault="00000000">
            <w:pPr>
              <w:widowControl/>
              <w:textAlignment w:val="center"/>
              <w:rPr>
                <w:rFonts w:ascii="Times New Roman" w:eastAsia="SimSun" w:hAnsi="Times New Roman" w:cs="Times New Roman"/>
                <w:color w:val="000000"/>
                <w:sz w:val="20"/>
                <w:szCs w:val="20"/>
              </w:rPr>
            </w:pPr>
            <w:proofErr w:type="spellStart"/>
            <w:r>
              <w:rPr>
                <w:rFonts w:ascii="Times New Roman" w:eastAsia="SimSun" w:hAnsi="Times New Roman" w:cs="Times New Roman"/>
                <w:color w:val="000000"/>
                <w:kern w:val="0"/>
                <w:sz w:val="20"/>
                <w:szCs w:val="20"/>
                <w:lang w:bidi="ar"/>
              </w:rPr>
              <w:t>BootSE</w:t>
            </w:r>
            <w:proofErr w:type="spellEnd"/>
          </w:p>
        </w:tc>
        <w:tc>
          <w:tcPr>
            <w:tcW w:w="400" w:type="pct"/>
            <w:tcBorders>
              <w:top w:val="single" w:sz="12" w:space="0" w:color="auto"/>
              <w:bottom w:val="single" w:sz="4" w:space="0" w:color="auto"/>
            </w:tcBorders>
            <w:noWrap/>
            <w:vAlign w:val="center"/>
          </w:tcPr>
          <w:p w14:paraId="1FF94C19"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i/>
                <w:iCs/>
                <w:color w:val="000000"/>
                <w:kern w:val="0"/>
                <w:sz w:val="20"/>
                <w:szCs w:val="20"/>
                <w:lang w:bidi="ar"/>
              </w:rPr>
              <w:t>T</w:t>
            </w:r>
          </w:p>
        </w:tc>
        <w:tc>
          <w:tcPr>
            <w:tcW w:w="351" w:type="pct"/>
            <w:tcBorders>
              <w:top w:val="single" w:sz="12" w:space="0" w:color="auto"/>
              <w:bottom w:val="single" w:sz="4" w:space="0" w:color="auto"/>
            </w:tcBorders>
            <w:noWrap/>
            <w:vAlign w:val="center"/>
          </w:tcPr>
          <w:p w14:paraId="39E90DE2"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i/>
                <w:iCs/>
                <w:color w:val="000000"/>
                <w:kern w:val="0"/>
                <w:sz w:val="20"/>
                <w:szCs w:val="20"/>
                <w:lang w:bidi="ar"/>
              </w:rPr>
              <w:t>P</w:t>
            </w:r>
          </w:p>
        </w:tc>
        <w:tc>
          <w:tcPr>
            <w:tcW w:w="680" w:type="pct"/>
            <w:tcBorders>
              <w:top w:val="single" w:sz="12" w:space="0" w:color="auto"/>
              <w:bottom w:val="single" w:sz="4" w:space="0" w:color="auto"/>
            </w:tcBorders>
            <w:noWrap/>
            <w:vAlign w:val="center"/>
          </w:tcPr>
          <w:p w14:paraId="3CC676C9" w14:textId="77777777" w:rsidR="00037A35" w:rsidRDefault="00000000">
            <w:pPr>
              <w:widowControl/>
              <w:textAlignment w:val="center"/>
              <w:rPr>
                <w:rFonts w:ascii="Times New Roman" w:eastAsia="SimSun" w:hAnsi="Times New Roman" w:cs="Times New Roman"/>
                <w:color w:val="000000"/>
                <w:sz w:val="20"/>
                <w:szCs w:val="20"/>
              </w:rPr>
            </w:pPr>
            <w:proofErr w:type="spellStart"/>
            <w:r>
              <w:rPr>
                <w:rFonts w:ascii="Times New Roman" w:eastAsia="SimSun" w:hAnsi="Times New Roman" w:cs="Times New Roman"/>
                <w:color w:val="000000"/>
                <w:kern w:val="0"/>
                <w:sz w:val="20"/>
                <w:szCs w:val="20"/>
                <w:lang w:bidi="ar"/>
              </w:rPr>
              <w:t>BootLLCI</w:t>
            </w:r>
            <w:proofErr w:type="spellEnd"/>
          </w:p>
        </w:tc>
        <w:tc>
          <w:tcPr>
            <w:tcW w:w="683" w:type="pct"/>
            <w:tcBorders>
              <w:top w:val="single" w:sz="12" w:space="0" w:color="auto"/>
              <w:bottom w:val="single" w:sz="4" w:space="0" w:color="auto"/>
            </w:tcBorders>
            <w:noWrap/>
            <w:vAlign w:val="center"/>
          </w:tcPr>
          <w:p w14:paraId="24C7D523" w14:textId="77777777" w:rsidR="00037A35" w:rsidRDefault="00000000">
            <w:pPr>
              <w:widowControl/>
              <w:textAlignment w:val="center"/>
              <w:rPr>
                <w:rFonts w:ascii="Times New Roman" w:eastAsia="SimSun" w:hAnsi="Times New Roman" w:cs="Times New Roman"/>
                <w:color w:val="000000"/>
                <w:sz w:val="20"/>
                <w:szCs w:val="20"/>
              </w:rPr>
            </w:pPr>
            <w:proofErr w:type="spellStart"/>
            <w:r>
              <w:rPr>
                <w:rFonts w:ascii="Times New Roman" w:eastAsia="SimSun" w:hAnsi="Times New Roman" w:cs="Times New Roman"/>
                <w:color w:val="000000"/>
                <w:kern w:val="0"/>
                <w:sz w:val="20"/>
                <w:szCs w:val="20"/>
                <w:lang w:bidi="ar"/>
              </w:rPr>
              <w:t>BootULCI</w:t>
            </w:r>
            <w:proofErr w:type="spellEnd"/>
          </w:p>
        </w:tc>
        <w:tc>
          <w:tcPr>
            <w:tcW w:w="647" w:type="pct"/>
            <w:tcBorders>
              <w:top w:val="single" w:sz="12" w:space="0" w:color="auto"/>
              <w:bottom w:val="single" w:sz="4" w:space="0" w:color="auto"/>
            </w:tcBorders>
            <w:noWrap/>
            <w:vAlign w:val="center"/>
          </w:tcPr>
          <w:p w14:paraId="21486A92"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Effect Proportion</w:t>
            </w:r>
          </w:p>
        </w:tc>
      </w:tr>
      <w:tr w:rsidR="00037A35" w14:paraId="5CEE6C28" w14:textId="77777777">
        <w:trPr>
          <w:trHeight w:val="270"/>
        </w:trPr>
        <w:tc>
          <w:tcPr>
            <w:tcW w:w="513" w:type="pct"/>
            <w:tcBorders>
              <w:top w:val="single" w:sz="4" w:space="0" w:color="auto"/>
              <w:tl2br w:val="nil"/>
              <w:tr2bl w:val="nil"/>
            </w:tcBorders>
            <w:noWrap/>
            <w:vAlign w:val="center"/>
          </w:tcPr>
          <w:p w14:paraId="4969193C"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Total Effect</w:t>
            </w:r>
          </w:p>
        </w:tc>
        <w:tc>
          <w:tcPr>
            <w:tcW w:w="920" w:type="pct"/>
            <w:tcBorders>
              <w:top w:val="single" w:sz="4" w:space="0" w:color="auto"/>
              <w:tl2br w:val="nil"/>
              <w:tr2bl w:val="nil"/>
            </w:tcBorders>
            <w:noWrap/>
            <w:vAlign w:val="center"/>
          </w:tcPr>
          <w:p w14:paraId="5FF9E2E5" w14:textId="77777777" w:rsidR="00037A35" w:rsidRDefault="00037A35">
            <w:pPr>
              <w:rPr>
                <w:rFonts w:ascii="Times New Roman" w:eastAsia="SimSun" w:hAnsi="Times New Roman" w:cs="Times New Roman"/>
                <w:color w:val="000000"/>
                <w:sz w:val="20"/>
                <w:szCs w:val="20"/>
              </w:rPr>
            </w:pPr>
          </w:p>
        </w:tc>
        <w:tc>
          <w:tcPr>
            <w:tcW w:w="370" w:type="pct"/>
            <w:tcBorders>
              <w:top w:val="single" w:sz="4" w:space="0" w:color="auto"/>
              <w:tl2br w:val="nil"/>
              <w:tr2bl w:val="nil"/>
            </w:tcBorders>
            <w:noWrap/>
            <w:vAlign w:val="center"/>
          </w:tcPr>
          <w:p w14:paraId="10824BB4"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0.581</w:t>
            </w:r>
          </w:p>
        </w:tc>
        <w:tc>
          <w:tcPr>
            <w:tcW w:w="436" w:type="pct"/>
            <w:tcBorders>
              <w:top w:val="single" w:sz="4" w:space="0" w:color="auto"/>
              <w:tl2br w:val="nil"/>
              <w:tr2bl w:val="nil"/>
            </w:tcBorders>
            <w:noWrap/>
            <w:vAlign w:val="center"/>
          </w:tcPr>
          <w:p w14:paraId="719EEA11"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0.056</w:t>
            </w:r>
          </w:p>
        </w:tc>
        <w:tc>
          <w:tcPr>
            <w:tcW w:w="400" w:type="pct"/>
            <w:tcBorders>
              <w:top w:val="single" w:sz="4" w:space="0" w:color="auto"/>
              <w:tl2br w:val="nil"/>
              <w:tr2bl w:val="nil"/>
            </w:tcBorders>
            <w:noWrap/>
            <w:vAlign w:val="center"/>
          </w:tcPr>
          <w:p w14:paraId="7886786C"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10.469</w:t>
            </w:r>
          </w:p>
        </w:tc>
        <w:tc>
          <w:tcPr>
            <w:tcW w:w="351" w:type="pct"/>
            <w:tcBorders>
              <w:top w:val="single" w:sz="4" w:space="0" w:color="auto"/>
              <w:tl2br w:val="nil"/>
              <w:tr2bl w:val="nil"/>
            </w:tcBorders>
            <w:noWrap/>
            <w:vAlign w:val="center"/>
          </w:tcPr>
          <w:p w14:paraId="59C6B6F4"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0.000</w:t>
            </w:r>
          </w:p>
        </w:tc>
        <w:tc>
          <w:tcPr>
            <w:tcW w:w="680" w:type="pct"/>
            <w:tcBorders>
              <w:top w:val="single" w:sz="4" w:space="0" w:color="auto"/>
              <w:tl2br w:val="nil"/>
              <w:tr2bl w:val="nil"/>
            </w:tcBorders>
            <w:noWrap/>
            <w:vAlign w:val="center"/>
          </w:tcPr>
          <w:p w14:paraId="376581E3"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0.472</w:t>
            </w:r>
          </w:p>
        </w:tc>
        <w:tc>
          <w:tcPr>
            <w:tcW w:w="683" w:type="pct"/>
            <w:tcBorders>
              <w:top w:val="single" w:sz="4" w:space="0" w:color="auto"/>
              <w:tl2br w:val="nil"/>
              <w:tr2bl w:val="nil"/>
            </w:tcBorders>
            <w:noWrap/>
            <w:vAlign w:val="center"/>
          </w:tcPr>
          <w:p w14:paraId="4C34B3BC"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0.691</w:t>
            </w:r>
          </w:p>
        </w:tc>
        <w:tc>
          <w:tcPr>
            <w:tcW w:w="647" w:type="pct"/>
            <w:tcBorders>
              <w:top w:val="single" w:sz="4" w:space="0" w:color="auto"/>
              <w:tl2br w:val="nil"/>
              <w:tr2bl w:val="nil"/>
            </w:tcBorders>
            <w:noWrap/>
            <w:vAlign w:val="center"/>
          </w:tcPr>
          <w:p w14:paraId="1CE01E12" w14:textId="77777777" w:rsidR="00037A35" w:rsidRDefault="00037A35">
            <w:pPr>
              <w:rPr>
                <w:rFonts w:ascii="Times New Roman" w:eastAsia="SimSun" w:hAnsi="Times New Roman" w:cs="Times New Roman"/>
                <w:color w:val="000000"/>
                <w:sz w:val="20"/>
                <w:szCs w:val="20"/>
              </w:rPr>
            </w:pPr>
          </w:p>
        </w:tc>
      </w:tr>
      <w:tr w:rsidR="00037A35" w14:paraId="5BF46C1C" w14:textId="77777777">
        <w:trPr>
          <w:trHeight w:val="270"/>
        </w:trPr>
        <w:tc>
          <w:tcPr>
            <w:tcW w:w="513" w:type="pct"/>
            <w:tcBorders>
              <w:tl2br w:val="nil"/>
              <w:tr2bl w:val="nil"/>
            </w:tcBorders>
            <w:noWrap/>
            <w:vAlign w:val="center"/>
          </w:tcPr>
          <w:p w14:paraId="41B82FA5"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Direct Effect</w:t>
            </w:r>
          </w:p>
        </w:tc>
        <w:tc>
          <w:tcPr>
            <w:tcW w:w="920" w:type="pct"/>
            <w:tcBorders>
              <w:tl2br w:val="nil"/>
              <w:tr2bl w:val="nil"/>
            </w:tcBorders>
            <w:noWrap/>
            <w:vAlign w:val="center"/>
          </w:tcPr>
          <w:p w14:paraId="5208A31C"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CY→BL</w:t>
            </w:r>
          </w:p>
        </w:tc>
        <w:tc>
          <w:tcPr>
            <w:tcW w:w="370" w:type="pct"/>
            <w:tcBorders>
              <w:tl2br w:val="nil"/>
              <w:tr2bl w:val="nil"/>
            </w:tcBorders>
            <w:noWrap/>
            <w:vAlign w:val="center"/>
          </w:tcPr>
          <w:p w14:paraId="30663EAB"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0.127</w:t>
            </w:r>
          </w:p>
        </w:tc>
        <w:tc>
          <w:tcPr>
            <w:tcW w:w="436" w:type="pct"/>
            <w:tcBorders>
              <w:tl2br w:val="nil"/>
              <w:tr2bl w:val="nil"/>
            </w:tcBorders>
            <w:noWrap/>
            <w:vAlign w:val="center"/>
          </w:tcPr>
          <w:p w14:paraId="5D7EE343"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0.067</w:t>
            </w:r>
          </w:p>
        </w:tc>
        <w:tc>
          <w:tcPr>
            <w:tcW w:w="400" w:type="pct"/>
            <w:tcBorders>
              <w:tl2br w:val="nil"/>
              <w:tr2bl w:val="nil"/>
            </w:tcBorders>
            <w:noWrap/>
            <w:vAlign w:val="center"/>
          </w:tcPr>
          <w:p w14:paraId="67E16392"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1.905</w:t>
            </w:r>
          </w:p>
        </w:tc>
        <w:tc>
          <w:tcPr>
            <w:tcW w:w="351" w:type="pct"/>
            <w:tcBorders>
              <w:tl2br w:val="nil"/>
              <w:tr2bl w:val="nil"/>
            </w:tcBorders>
            <w:noWrap/>
            <w:vAlign w:val="center"/>
          </w:tcPr>
          <w:p w14:paraId="4CB5B6E6"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0.058</w:t>
            </w:r>
          </w:p>
        </w:tc>
        <w:tc>
          <w:tcPr>
            <w:tcW w:w="680" w:type="pct"/>
            <w:tcBorders>
              <w:tl2br w:val="nil"/>
              <w:tr2bl w:val="nil"/>
            </w:tcBorders>
            <w:noWrap/>
            <w:vAlign w:val="center"/>
          </w:tcPr>
          <w:p w14:paraId="72366DBE"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-0.004</w:t>
            </w:r>
          </w:p>
        </w:tc>
        <w:tc>
          <w:tcPr>
            <w:tcW w:w="683" w:type="pct"/>
            <w:tcBorders>
              <w:tl2br w:val="nil"/>
              <w:tr2bl w:val="nil"/>
            </w:tcBorders>
            <w:noWrap/>
            <w:vAlign w:val="center"/>
          </w:tcPr>
          <w:p w14:paraId="2D1D0A36"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0.258</w:t>
            </w:r>
          </w:p>
        </w:tc>
        <w:tc>
          <w:tcPr>
            <w:tcW w:w="647" w:type="pct"/>
            <w:tcBorders>
              <w:tl2br w:val="nil"/>
              <w:tr2bl w:val="nil"/>
            </w:tcBorders>
            <w:noWrap/>
            <w:vAlign w:val="center"/>
          </w:tcPr>
          <w:p w14:paraId="4E1D7A94"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22.29%</w:t>
            </w:r>
          </w:p>
        </w:tc>
      </w:tr>
      <w:tr w:rsidR="00037A35" w14:paraId="62905C98" w14:textId="77777777">
        <w:trPr>
          <w:trHeight w:val="270"/>
        </w:trPr>
        <w:tc>
          <w:tcPr>
            <w:tcW w:w="513" w:type="pct"/>
            <w:tcBorders>
              <w:tl2br w:val="nil"/>
              <w:tr2bl w:val="nil"/>
            </w:tcBorders>
            <w:noWrap/>
            <w:vAlign w:val="center"/>
          </w:tcPr>
          <w:p w14:paraId="4AE46109"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Indirect Effect</w:t>
            </w:r>
          </w:p>
        </w:tc>
        <w:tc>
          <w:tcPr>
            <w:tcW w:w="920" w:type="pct"/>
            <w:tcBorders>
              <w:tl2br w:val="nil"/>
              <w:tr2bl w:val="nil"/>
            </w:tcBorders>
            <w:noWrap/>
            <w:vAlign w:val="center"/>
          </w:tcPr>
          <w:p w14:paraId="366B8191"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CY→BL</w:t>
            </w:r>
          </w:p>
        </w:tc>
        <w:tc>
          <w:tcPr>
            <w:tcW w:w="370" w:type="pct"/>
            <w:tcBorders>
              <w:tl2br w:val="nil"/>
              <w:tr2bl w:val="nil"/>
            </w:tcBorders>
            <w:noWrap/>
            <w:vAlign w:val="center"/>
          </w:tcPr>
          <w:p w14:paraId="555675B6"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0.454</w:t>
            </w:r>
          </w:p>
        </w:tc>
        <w:tc>
          <w:tcPr>
            <w:tcW w:w="436" w:type="pct"/>
            <w:tcBorders>
              <w:tl2br w:val="nil"/>
              <w:tr2bl w:val="nil"/>
            </w:tcBorders>
            <w:noWrap/>
            <w:vAlign w:val="center"/>
          </w:tcPr>
          <w:p w14:paraId="70EE9F61"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0.060</w:t>
            </w:r>
          </w:p>
        </w:tc>
        <w:tc>
          <w:tcPr>
            <w:tcW w:w="400" w:type="pct"/>
            <w:tcBorders>
              <w:tl2br w:val="nil"/>
              <w:tr2bl w:val="nil"/>
            </w:tcBorders>
            <w:noWrap/>
            <w:vAlign w:val="center"/>
          </w:tcPr>
          <w:p w14:paraId="0D654B65" w14:textId="77777777" w:rsidR="00037A35" w:rsidRDefault="00037A35">
            <w:pPr>
              <w:rPr>
                <w:rFonts w:ascii="Times New Roman" w:eastAsia="SimSun" w:hAnsi="Times New Roman" w:cs="Times New Roman"/>
                <w:color w:val="000000"/>
                <w:sz w:val="20"/>
                <w:szCs w:val="20"/>
              </w:rPr>
            </w:pPr>
          </w:p>
        </w:tc>
        <w:tc>
          <w:tcPr>
            <w:tcW w:w="351" w:type="pct"/>
            <w:tcBorders>
              <w:tl2br w:val="nil"/>
              <w:tr2bl w:val="nil"/>
            </w:tcBorders>
            <w:noWrap/>
            <w:vAlign w:val="center"/>
          </w:tcPr>
          <w:p w14:paraId="020A1E9D" w14:textId="77777777" w:rsidR="00037A35" w:rsidRDefault="00037A35">
            <w:pPr>
              <w:rPr>
                <w:rFonts w:ascii="Times New Roman" w:eastAsia="SimSun" w:hAnsi="Times New Roman" w:cs="Times New Roman"/>
                <w:color w:val="000000"/>
                <w:sz w:val="20"/>
                <w:szCs w:val="20"/>
              </w:rPr>
            </w:pPr>
          </w:p>
        </w:tc>
        <w:tc>
          <w:tcPr>
            <w:tcW w:w="680" w:type="pct"/>
            <w:tcBorders>
              <w:tl2br w:val="nil"/>
              <w:tr2bl w:val="nil"/>
            </w:tcBorders>
            <w:noWrap/>
            <w:vAlign w:val="center"/>
          </w:tcPr>
          <w:p w14:paraId="594513FF"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0.329</w:t>
            </w:r>
          </w:p>
        </w:tc>
        <w:tc>
          <w:tcPr>
            <w:tcW w:w="683" w:type="pct"/>
            <w:tcBorders>
              <w:tl2br w:val="nil"/>
              <w:tr2bl w:val="nil"/>
            </w:tcBorders>
            <w:noWrap/>
            <w:vAlign w:val="center"/>
          </w:tcPr>
          <w:p w14:paraId="4A1D08DC"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0.565</w:t>
            </w:r>
          </w:p>
        </w:tc>
        <w:tc>
          <w:tcPr>
            <w:tcW w:w="647" w:type="pct"/>
            <w:tcBorders>
              <w:tl2br w:val="nil"/>
              <w:tr2bl w:val="nil"/>
            </w:tcBorders>
            <w:noWrap/>
            <w:vAlign w:val="center"/>
          </w:tcPr>
          <w:p w14:paraId="56E9CDFE"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77.69%</w:t>
            </w:r>
          </w:p>
        </w:tc>
      </w:tr>
      <w:tr w:rsidR="00037A35" w14:paraId="19B53946" w14:textId="77777777">
        <w:trPr>
          <w:trHeight w:val="270"/>
        </w:trPr>
        <w:tc>
          <w:tcPr>
            <w:tcW w:w="513" w:type="pct"/>
            <w:tcBorders>
              <w:tl2br w:val="nil"/>
              <w:tr2bl w:val="nil"/>
            </w:tcBorders>
            <w:noWrap/>
            <w:vAlign w:val="center"/>
          </w:tcPr>
          <w:p w14:paraId="573D0C75" w14:textId="77777777" w:rsidR="00037A35" w:rsidRDefault="00037A35">
            <w:pPr>
              <w:rPr>
                <w:rFonts w:ascii="Times New Roman" w:eastAsia="SimSun" w:hAnsi="Times New Roman" w:cs="Times New Roman"/>
                <w:color w:val="000000"/>
                <w:sz w:val="20"/>
                <w:szCs w:val="20"/>
              </w:rPr>
            </w:pPr>
          </w:p>
        </w:tc>
        <w:tc>
          <w:tcPr>
            <w:tcW w:w="920" w:type="pct"/>
            <w:tcBorders>
              <w:tl2br w:val="nil"/>
              <w:tr2bl w:val="nil"/>
            </w:tcBorders>
            <w:noWrap/>
            <w:vAlign w:val="center"/>
          </w:tcPr>
          <w:p w14:paraId="5C13CB27"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CY→GN→BL</w:t>
            </w:r>
          </w:p>
        </w:tc>
        <w:tc>
          <w:tcPr>
            <w:tcW w:w="370" w:type="pct"/>
            <w:tcBorders>
              <w:tl2br w:val="nil"/>
              <w:tr2bl w:val="nil"/>
            </w:tcBorders>
            <w:noWrap/>
            <w:vAlign w:val="center"/>
          </w:tcPr>
          <w:p w14:paraId="7E659186"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0.224</w:t>
            </w:r>
          </w:p>
        </w:tc>
        <w:tc>
          <w:tcPr>
            <w:tcW w:w="436" w:type="pct"/>
            <w:tcBorders>
              <w:tl2br w:val="nil"/>
              <w:tr2bl w:val="nil"/>
            </w:tcBorders>
            <w:noWrap/>
            <w:vAlign w:val="center"/>
          </w:tcPr>
          <w:p w14:paraId="198CB346"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0.071</w:t>
            </w:r>
          </w:p>
        </w:tc>
        <w:tc>
          <w:tcPr>
            <w:tcW w:w="400" w:type="pct"/>
            <w:tcBorders>
              <w:tl2br w:val="nil"/>
              <w:tr2bl w:val="nil"/>
            </w:tcBorders>
            <w:noWrap/>
            <w:vAlign w:val="center"/>
          </w:tcPr>
          <w:p w14:paraId="45C645FE" w14:textId="77777777" w:rsidR="00037A35" w:rsidRDefault="00037A35">
            <w:pPr>
              <w:rPr>
                <w:rFonts w:ascii="Times New Roman" w:eastAsia="SimSun" w:hAnsi="Times New Roman" w:cs="Times New Roman"/>
                <w:color w:val="000000"/>
                <w:sz w:val="20"/>
                <w:szCs w:val="20"/>
              </w:rPr>
            </w:pPr>
          </w:p>
        </w:tc>
        <w:tc>
          <w:tcPr>
            <w:tcW w:w="351" w:type="pct"/>
            <w:tcBorders>
              <w:tl2br w:val="nil"/>
              <w:tr2bl w:val="nil"/>
            </w:tcBorders>
            <w:noWrap/>
            <w:vAlign w:val="center"/>
          </w:tcPr>
          <w:p w14:paraId="6277F8A3" w14:textId="77777777" w:rsidR="00037A35" w:rsidRDefault="00037A35">
            <w:pPr>
              <w:rPr>
                <w:rFonts w:ascii="Times New Roman" w:eastAsia="SimSun" w:hAnsi="Times New Roman" w:cs="Times New Roman"/>
                <w:color w:val="000000"/>
                <w:sz w:val="20"/>
                <w:szCs w:val="20"/>
              </w:rPr>
            </w:pPr>
          </w:p>
        </w:tc>
        <w:tc>
          <w:tcPr>
            <w:tcW w:w="680" w:type="pct"/>
            <w:tcBorders>
              <w:tl2br w:val="nil"/>
              <w:tr2bl w:val="nil"/>
            </w:tcBorders>
            <w:noWrap/>
            <w:vAlign w:val="center"/>
          </w:tcPr>
          <w:p w14:paraId="2F8A7D7A"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0.076</w:t>
            </w:r>
          </w:p>
        </w:tc>
        <w:tc>
          <w:tcPr>
            <w:tcW w:w="683" w:type="pct"/>
            <w:tcBorders>
              <w:tl2br w:val="nil"/>
              <w:tr2bl w:val="nil"/>
            </w:tcBorders>
            <w:noWrap/>
            <w:vAlign w:val="center"/>
          </w:tcPr>
          <w:p w14:paraId="6EFC7940"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0.359</w:t>
            </w:r>
          </w:p>
        </w:tc>
        <w:tc>
          <w:tcPr>
            <w:tcW w:w="647" w:type="pct"/>
            <w:tcBorders>
              <w:tl2br w:val="nil"/>
              <w:tr2bl w:val="nil"/>
            </w:tcBorders>
            <w:noWrap/>
            <w:vAlign w:val="center"/>
          </w:tcPr>
          <w:p w14:paraId="66C47479"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38.31%</w:t>
            </w:r>
          </w:p>
        </w:tc>
      </w:tr>
      <w:tr w:rsidR="00037A35" w14:paraId="62D47280" w14:textId="77777777">
        <w:trPr>
          <w:trHeight w:val="270"/>
        </w:trPr>
        <w:tc>
          <w:tcPr>
            <w:tcW w:w="513" w:type="pct"/>
            <w:tcBorders>
              <w:tl2br w:val="nil"/>
              <w:tr2bl w:val="nil"/>
            </w:tcBorders>
            <w:noWrap/>
            <w:vAlign w:val="center"/>
          </w:tcPr>
          <w:p w14:paraId="5862FACF" w14:textId="77777777" w:rsidR="00037A35" w:rsidRDefault="00037A35">
            <w:pPr>
              <w:rPr>
                <w:rFonts w:ascii="Times New Roman" w:eastAsia="SimSun" w:hAnsi="Times New Roman" w:cs="Times New Roman"/>
                <w:color w:val="000000"/>
                <w:sz w:val="20"/>
                <w:szCs w:val="20"/>
              </w:rPr>
            </w:pPr>
          </w:p>
        </w:tc>
        <w:tc>
          <w:tcPr>
            <w:tcW w:w="920" w:type="pct"/>
            <w:tcBorders>
              <w:tl2br w:val="nil"/>
              <w:tr2bl w:val="nil"/>
            </w:tcBorders>
            <w:noWrap/>
            <w:vAlign w:val="center"/>
          </w:tcPr>
          <w:p w14:paraId="683CC2DE"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CY→XL→BL</w:t>
            </w:r>
          </w:p>
        </w:tc>
        <w:tc>
          <w:tcPr>
            <w:tcW w:w="370" w:type="pct"/>
            <w:tcBorders>
              <w:tl2br w:val="nil"/>
              <w:tr2bl w:val="nil"/>
            </w:tcBorders>
            <w:noWrap/>
            <w:vAlign w:val="center"/>
          </w:tcPr>
          <w:p w14:paraId="7E0CBF86"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0.231</w:t>
            </w:r>
          </w:p>
        </w:tc>
        <w:tc>
          <w:tcPr>
            <w:tcW w:w="436" w:type="pct"/>
            <w:tcBorders>
              <w:tl2br w:val="nil"/>
              <w:tr2bl w:val="nil"/>
            </w:tcBorders>
            <w:noWrap/>
            <w:vAlign w:val="center"/>
          </w:tcPr>
          <w:p w14:paraId="4A1C61B4"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0.071</w:t>
            </w:r>
          </w:p>
        </w:tc>
        <w:tc>
          <w:tcPr>
            <w:tcW w:w="400" w:type="pct"/>
            <w:tcBorders>
              <w:tl2br w:val="nil"/>
              <w:tr2bl w:val="nil"/>
            </w:tcBorders>
            <w:noWrap/>
            <w:vAlign w:val="center"/>
          </w:tcPr>
          <w:p w14:paraId="3DDD1121" w14:textId="77777777" w:rsidR="00037A35" w:rsidRDefault="00037A35">
            <w:pPr>
              <w:rPr>
                <w:rFonts w:ascii="Times New Roman" w:eastAsia="SimSun" w:hAnsi="Times New Roman" w:cs="Times New Roman"/>
                <w:color w:val="000000"/>
                <w:sz w:val="20"/>
                <w:szCs w:val="20"/>
              </w:rPr>
            </w:pPr>
          </w:p>
        </w:tc>
        <w:tc>
          <w:tcPr>
            <w:tcW w:w="351" w:type="pct"/>
            <w:tcBorders>
              <w:tl2br w:val="nil"/>
              <w:tr2bl w:val="nil"/>
            </w:tcBorders>
            <w:noWrap/>
            <w:vAlign w:val="center"/>
          </w:tcPr>
          <w:p w14:paraId="64E6F78D" w14:textId="77777777" w:rsidR="00037A35" w:rsidRDefault="00037A35">
            <w:pPr>
              <w:rPr>
                <w:rFonts w:ascii="Times New Roman" w:eastAsia="SimSun" w:hAnsi="Times New Roman" w:cs="Times New Roman"/>
                <w:color w:val="000000"/>
                <w:sz w:val="20"/>
                <w:szCs w:val="20"/>
              </w:rPr>
            </w:pPr>
          </w:p>
        </w:tc>
        <w:tc>
          <w:tcPr>
            <w:tcW w:w="680" w:type="pct"/>
            <w:tcBorders>
              <w:tl2br w:val="nil"/>
              <w:tr2bl w:val="nil"/>
            </w:tcBorders>
            <w:noWrap/>
            <w:vAlign w:val="center"/>
          </w:tcPr>
          <w:p w14:paraId="0BB3D0E4"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0.092</w:t>
            </w:r>
          </w:p>
        </w:tc>
        <w:tc>
          <w:tcPr>
            <w:tcW w:w="683" w:type="pct"/>
            <w:tcBorders>
              <w:tl2br w:val="nil"/>
              <w:tr2bl w:val="nil"/>
            </w:tcBorders>
            <w:noWrap/>
            <w:vAlign w:val="center"/>
          </w:tcPr>
          <w:p w14:paraId="0C616730"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0.371</w:t>
            </w:r>
          </w:p>
        </w:tc>
        <w:tc>
          <w:tcPr>
            <w:tcW w:w="647" w:type="pct"/>
            <w:tcBorders>
              <w:tl2br w:val="nil"/>
              <w:tr2bl w:val="nil"/>
            </w:tcBorders>
            <w:noWrap/>
            <w:vAlign w:val="center"/>
          </w:tcPr>
          <w:p w14:paraId="0FC0644C" w14:textId="77777777" w:rsidR="00037A35" w:rsidRDefault="00000000">
            <w:pPr>
              <w:widowControl/>
              <w:textAlignment w:val="center"/>
              <w:rPr>
                <w:rFonts w:ascii="Times New Roman" w:eastAsia="SimSun" w:hAnsi="Times New Roman" w:cs="Times New Roman"/>
                <w:color w:val="000000"/>
                <w:sz w:val="20"/>
                <w:szCs w:val="20"/>
              </w:rPr>
            </w:pPr>
            <w:r>
              <w:rPr>
                <w:rFonts w:ascii="Times New Roman" w:eastAsia="SimSun" w:hAnsi="Times New Roman" w:cs="Times New Roman"/>
                <w:color w:val="000000"/>
                <w:kern w:val="0"/>
                <w:sz w:val="20"/>
                <w:szCs w:val="20"/>
                <w:lang w:bidi="ar"/>
              </w:rPr>
              <w:t>39.38%</w:t>
            </w:r>
          </w:p>
        </w:tc>
      </w:tr>
    </w:tbl>
    <w:p w14:paraId="0B398FDD" w14:textId="77777777" w:rsidR="00037A35" w:rsidRDefault="00000000">
      <w:pPr>
        <w:widowControl/>
        <w:rPr>
          <w:rFonts w:ascii="Times New Roman" w:eastAsia="SimSun" w:hAnsi="Times New Roman" w:cs="Times New Roman"/>
          <w:b/>
          <w:bCs/>
          <w:color w:val="000000"/>
          <w:kern w:val="0"/>
          <w:sz w:val="24"/>
        </w:rPr>
      </w:pPr>
      <w:r>
        <w:rPr>
          <w:rFonts w:ascii="Times New Roman" w:eastAsia="SimSun" w:hAnsi="Times New Roman" w:cs="Times New Roman"/>
          <w:color w:val="000000"/>
          <w:kern w:val="0"/>
          <w:sz w:val="14"/>
          <w:szCs w:val="14"/>
          <w:lang w:bidi="ar"/>
        </w:rPr>
        <w:t>Note: CY represents customer engagement, GN represents functional value, XL represents hedonic value, and BL represents customer retention.</w:t>
      </w:r>
    </w:p>
    <w:p w14:paraId="3A50D253" w14:textId="77777777" w:rsidR="00037A35" w:rsidRDefault="00037A35">
      <w:pPr>
        <w:rPr>
          <w:rFonts w:ascii="SimSun" w:eastAsia="SimSun" w:hAnsi="SimSun" w:cs="SimSun"/>
          <w:color w:val="000000"/>
          <w:sz w:val="24"/>
          <w:lang w:bidi="ar"/>
        </w:rPr>
      </w:pPr>
    </w:p>
    <w:p w14:paraId="49A1871A" w14:textId="77777777" w:rsidR="00037A35" w:rsidRDefault="00000000">
      <w:pPr>
        <w:rPr>
          <w:rFonts w:ascii="Times New Roman" w:hAnsi="Times New Roman" w:cs="Times New Roman"/>
          <w:b/>
          <w:bCs/>
          <w:sz w:val="24"/>
        </w:rPr>
      </w:pPr>
      <w:r>
        <w:rPr>
          <w:rFonts w:ascii="Times New Roman" w:hAnsi="Times New Roman" w:cs="Times New Roman" w:hint="eastAsia"/>
          <w:b/>
          <w:bCs/>
          <w:sz w:val="24"/>
        </w:rPr>
        <w:t xml:space="preserve">3.4.3 </w:t>
      </w:r>
      <w:r>
        <w:rPr>
          <w:rFonts w:ascii="Times New Roman" w:hAnsi="Times New Roman" w:cs="Times New Roman"/>
          <w:b/>
          <w:bCs/>
          <w:sz w:val="24"/>
        </w:rPr>
        <w:t>Moderated Mediation Effect Test</w:t>
      </w:r>
    </w:p>
    <w:p w14:paraId="54C8DF30" w14:textId="77777777" w:rsidR="00037A35" w:rsidRDefault="00037A35">
      <w:pPr>
        <w:ind w:firstLineChars="200" w:firstLine="480"/>
        <w:rPr>
          <w:rFonts w:ascii="Times New Roman" w:eastAsia="SimSun" w:hAnsi="Times New Roman" w:cs="Times New Roman"/>
          <w:sz w:val="24"/>
        </w:rPr>
      </w:pPr>
    </w:p>
    <w:p w14:paraId="3927201C" w14:textId="77777777" w:rsidR="00037A35" w:rsidRDefault="00000000">
      <w:pPr>
        <w:ind w:firstLineChars="200" w:firstLine="480"/>
        <w:rPr>
          <w:rFonts w:ascii="Times New Roman" w:eastAsia="SimSun" w:hAnsi="Times New Roman" w:cs="Times New Roman"/>
          <w:sz w:val="24"/>
        </w:rPr>
      </w:pPr>
      <w:r>
        <w:rPr>
          <w:rFonts w:ascii="Times New Roman" w:eastAsia="SimSun" w:hAnsi="Times New Roman" w:cs="Times New Roman"/>
          <w:sz w:val="24"/>
        </w:rPr>
        <w:t>This study examine</w:t>
      </w:r>
      <w:r>
        <w:rPr>
          <w:rFonts w:ascii="Times New Roman" w:eastAsia="SimSun" w:hAnsi="Times New Roman" w:cs="Times New Roman" w:hint="eastAsia"/>
          <w:sz w:val="24"/>
        </w:rPr>
        <w:t>s</w:t>
      </w:r>
      <w:r>
        <w:rPr>
          <w:rFonts w:ascii="Times New Roman" w:eastAsia="SimSun" w:hAnsi="Times New Roman" w:cs="Times New Roman"/>
          <w:sz w:val="24"/>
        </w:rPr>
        <w:t xml:space="preserve"> the moderating effect of the moderating focus on the mediation effect. Using a standardized method (±1 SD), the intensity and direction of the moderating effect on customer engagement and functional/hedonic value </w:t>
      </w:r>
      <w:r>
        <w:rPr>
          <w:rFonts w:ascii="Times New Roman" w:eastAsia="SimSun" w:hAnsi="Times New Roman" w:cs="Times New Roman" w:hint="eastAsia"/>
          <w:sz w:val="24"/>
        </w:rPr>
        <w:t>are</w:t>
      </w:r>
      <w:r>
        <w:rPr>
          <w:rFonts w:ascii="Times New Roman" w:eastAsia="SimSun" w:hAnsi="Times New Roman" w:cs="Times New Roman"/>
          <w:sz w:val="24"/>
        </w:rPr>
        <w:t xml:space="preserve"> investigated when the level of the moderating focus </w:t>
      </w:r>
      <w:r>
        <w:rPr>
          <w:rFonts w:ascii="Times New Roman" w:eastAsia="SimSun" w:hAnsi="Times New Roman" w:cs="Times New Roman" w:hint="eastAsia"/>
          <w:sz w:val="24"/>
        </w:rPr>
        <w:t>i</w:t>
      </w:r>
      <w:r>
        <w:rPr>
          <w:rFonts w:ascii="Times New Roman" w:eastAsia="SimSun" w:hAnsi="Times New Roman" w:cs="Times New Roman"/>
          <w:sz w:val="24"/>
        </w:rPr>
        <w:t>s one standard deviation below the mean (-1 SD) and one standard deviation above the mean (+1 SD). The relevant results are shown in Tables 6 and 7. Unique requirements significantly moderate</w:t>
      </w:r>
      <w:r>
        <w:rPr>
          <w:rFonts w:ascii="Times New Roman" w:eastAsia="SimSun" w:hAnsi="Times New Roman" w:cs="Times New Roman" w:hint="eastAsia"/>
          <w:sz w:val="24"/>
        </w:rPr>
        <w:t>s</w:t>
      </w:r>
      <w:r>
        <w:rPr>
          <w:rFonts w:ascii="Times New Roman" w:eastAsia="SimSun" w:hAnsi="Times New Roman" w:cs="Times New Roman"/>
          <w:sz w:val="24"/>
        </w:rPr>
        <w:t xml:space="preserve"> the effect on the moderating focus at low (β=0.2721, CI</w:t>
      </w:r>
      <w:proofErr w:type="gramStart"/>
      <w:r>
        <w:rPr>
          <w:rFonts w:ascii="Times New Roman" w:eastAsia="SimSun" w:hAnsi="Times New Roman" w:cs="Times New Roman"/>
          <w:sz w:val="24"/>
        </w:rPr>
        <w:t>=[</w:t>
      </w:r>
      <w:proofErr w:type="gramEnd"/>
      <w:r>
        <w:rPr>
          <w:rFonts w:ascii="Times New Roman" w:eastAsia="SimSun" w:hAnsi="Times New Roman" w:cs="Times New Roman"/>
          <w:sz w:val="24"/>
        </w:rPr>
        <w:t>0.1528,0.3821]), medium (β=0.3491, CI</w:t>
      </w:r>
      <w:proofErr w:type="gramStart"/>
      <w:r>
        <w:rPr>
          <w:rFonts w:ascii="Times New Roman" w:eastAsia="SimSun" w:hAnsi="Times New Roman" w:cs="Times New Roman"/>
          <w:sz w:val="24"/>
        </w:rPr>
        <w:t>=[</w:t>
      </w:r>
      <w:proofErr w:type="gramEnd"/>
      <w:r>
        <w:rPr>
          <w:rFonts w:ascii="Times New Roman" w:eastAsia="SimSun" w:hAnsi="Times New Roman" w:cs="Times New Roman"/>
          <w:sz w:val="24"/>
        </w:rPr>
        <w:t>0.2483,0.445]), and high (β=0.426, CI</w:t>
      </w:r>
      <w:proofErr w:type="gramStart"/>
      <w:r>
        <w:rPr>
          <w:rFonts w:ascii="Times New Roman" w:eastAsia="SimSun" w:hAnsi="Times New Roman" w:cs="Times New Roman"/>
          <w:sz w:val="24"/>
        </w:rPr>
        <w:t>=[</w:t>
      </w:r>
      <w:proofErr w:type="gramEnd"/>
      <w:r>
        <w:rPr>
          <w:rFonts w:ascii="Times New Roman" w:eastAsia="SimSun" w:hAnsi="Times New Roman" w:cs="Times New Roman"/>
          <w:sz w:val="24"/>
        </w:rPr>
        <w:t>0.2847,0.5556]) levels of both customer engagement and functional value. Unique demand significantly moderated the effects on customer engagement and hedonic value at low (β=0.2411, CI</w:t>
      </w:r>
      <w:proofErr w:type="gramStart"/>
      <w:r>
        <w:rPr>
          <w:rFonts w:ascii="Times New Roman" w:eastAsia="SimSun" w:hAnsi="Times New Roman" w:cs="Times New Roman"/>
          <w:sz w:val="24"/>
        </w:rPr>
        <w:t>=[</w:t>
      </w:r>
      <w:proofErr w:type="gramEnd"/>
      <w:r>
        <w:rPr>
          <w:rFonts w:ascii="Times New Roman" w:eastAsia="SimSun" w:hAnsi="Times New Roman" w:cs="Times New Roman"/>
          <w:sz w:val="24"/>
        </w:rPr>
        <w:t>0.1232,0.3513]), medium (β=0.3037, CI</w:t>
      </w:r>
      <w:proofErr w:type="gramStart"/>
      <w:r>
        <w:rPr>
          <w:rFonts w:ascii="Times New Roman" w:eastAsia="SimSun" w:hAnsi="Times New Roman" w:cs="Times New Roman"/>
          <w:sz w:val="24"/>
        </w:rPr>
        <w:t>=[</w:t>
      </w:r>
      <w:proofErr w:type="gramEnd"/>
      <w:r>
        <w:rPr>
          <w:rFonts w:ascii="Times New Roman" w:eastAsia="SimSun" w:hAnsi="Times New Roman" w:cs="Times New Roman"/>
          <w:sz w:val="24"/>
        </w:rPr>
        <w:t>0.2078,0.3962]), and high (β=0.3662, CI</w:t>
      </w:r>
      <w:proofErr w:type="gramStart"/>
      <w:r>
        <w:rPr>
          <w:rFonts w:ascii="Times New Roman" w:eastAsia="SimSun" w:hAnsi="Times New Roman" w:cs="Times New Roman"/>
          <w:sz w:val="24"/>
        </w:rPr>
        <w:t>=[</w:t>
      </w:r>
      <w:proofErr w:type="gramEnd"/>
      <w:r>
        <w:rPr>
          <w:rFonts w:ascii="Times New Roman" w:eastAsia="SimSun" w:hAnsi="Times New Roman" w:cs="Times New Roman"/>
          <w:sz w:val="24"/>
        </w:rPr>
        <w:t>0.2378,0.4853]) levels. Furthermore, Figures 2 and 3 also demonstrate the significant moderating effect of unique demand on customer engagement and both functional and hedonic value. Hypotheses H5a and H5b are valid.</w:t>
      </w:r>
    </w:p>
    <w:p w14:paraId="2D07ACB0" w14:textId="77777777" w:rsidR="00037A35" w:rsidRDefault="00037A35">
      <w:pPr>
        <w:ind w:firstLineChars="200" w:firstLine="480"/>
        <w:rPr>
          <w:rFonts w:ascii="Times New Roman" w:eastAsia="SimSun" w:hAnsi="Times New Roman" w:cs="Times New Roman"/>
          <w:sz w:val="24"/>
        </w:rPr>
      </w:pPr>
    </w:p>
    <w:p w14:paraId="1A789F9A" w14:textId="77777777" w:rsidR="00037A35" w:rsidRDefault="00037A35">
      <w:pPr>
        <w:ind w:firstLineChars="200" w:firstLine="480"/>
        <w:rPr>
          <w:rFonts w:ascii="Times New Roman" w:eastAsia="SimSun" w:hAnsi="Times New Roman" w:cs="Times New Roman"/>
          <w:sz w:val="24"/>
        </w:rPr>
      </w:pPr>
    </w:p>
    <w:p w14:paraId="208F8B3F" w14:textId="77777777" w:rsidR="00037A35" w:rsidRDefault="00000000">
      <w:pPr>
        <w:ind w:firstLineChars="200" w:firstLine="420"/>
      </w:pPr>
      <w:r>
        <w:rPr>
          <w:noProof/>
        </w:rPr>
        <w:drawing>
          <wp:inline distT="0" distB="0" distL="0" distR="0" wp14:anchorId="5B19C54D" wp14:editId="06B3023A">
            <wp:extent cx="5274310" cy="2794000"/>
            <wp:effectExtent l="0" t="0" r="2540" b="6350"/>
            <wp:docPr id="850035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03566" name="图片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274310" cy="2794000"/>
                    </a:xfrm>
                    <a:prstGeom prst="rect">
                      <a:avLst/>
                    </a:prstGeom>
                    <a:noFill/>
                    <a:ln>
                      <a:noFill/>
                    </a:ln>
                  </pic:spPr>
                </pic:pic>
              </a:graphicData>
            </a:graphic>
          </wp:inline>
        </w:drawing>
      </w:r>
    </w:p>
    <w:p w14:paraId="3DDDC17C" w14:textId="77777777" w:rsidR="00037A35" w:rsidRDefault="00000000">
      <w:pPr>
        <w:ind w:firstLineChars="200" w:firstLine="480"/>
        <w:jc w:val="center"/>
        <w:rPr>
          <w:rFonts w:ascii="Times New Roman" w:eastAsia="SimSun" w:hAnsi="Times New Roman" w:cs="Times New Roman"/>
          <w:sz w:val="24"/>
        </w:rPr>
      </w:pPr>
      <w:r>
        <w:rPr>
          <w:rFonts w:ascii="Times New Roman" w:eastAsia="SimSun" w:hAnsi="Times New Roman" w:cs="Times New Roman"/>
          <w:sz w:val="24"/>
        </w:rPr>
        <w:t>Figure 2</w:t>
      </w:r>
      <w:r>
        <w:rPr>
          <w:rFonts w:ascii="Times New Roman" w:eastAsia="SimSun" w:hAnsi="Times New Roman" w:cs="Times New Roman" w:hint="eastAsia"/>
          <w:sz w:val="24"/>
        </w:rPr>
        <w:t>.</w:t>
      </w:r>
      <w:r>
        <w:rPr>
          <w:rFonts w:ascii="Times New Roman" w:eastAsia="SimSun" w:hAnsi="Times New Roman" w:cs="Times New Roman"/>
          <w:sz w:val="24"/>
        </w:rPr>
        <w:t xml:space="preserve"> The moderating effect of unique requirements </w:t>
      </w:r>
    </w:p>
    <w:p w14:paraId="7F548477" w14:textId="77777777" w:rsidR="00037A35" w:rsidRDefault="00000000">
      <w:pPr>
        <w:ind w:firstLineChars="200" w:firstLine="480"/>
        <w:jc w:val="center"/>
      </w:pPr>
      <w:r>
        <w:rPr>
          <w:rFonts w:ascii="Times New Roman" w:eastAsia="SimSun" w:hAnsi="Times New Roman" w:cs="Times New Roman"/>
          <w:sz w:val="24"/>
        </w:rPr>
        <w:t>on customer engagement and functional value</w:t>
      </w:r>
      <w:r>
        <w:rPr>
          <w:noProof/>
        </w:rPr>
        <w:lastRenderedPageBreak/>
        <w:drawing>
          <wp:inline distT="0" distB="0" distL="0" distR="0" wp14:anchorId="1C692A16" wp14:editId="09805E9E">
            <wp:extent cx="5274310" cy="2794000"/>
            <wp:effectExtent l="0" t="0" r="2540" b="6350"/>
            <wp:docPr id="14313244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324449" name="图片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274310" cy="2794000"/>
                    </a:xfrm>
                    <a:prstGeom prst="rect">
                      <a:avLst/>
                    </a:prstGeom>
                    <a:noFill/>
                    <a:ln>
                      <a:noFill/>
                    </a:ln>
                  </pic:spPr>
                </pic:pic>
              </a:graphicData>
            </a:graphic>
          </wp:inline>
        </w:drawing>
      </w:r>
    </w:p>
    <w:p w14:paraId="686AC1F0" w14:textId="77777777" w:rsidR="00037A35" w:rsidRDefault="00000000">
      <w:pPr>
        <w:pStyle w:val="Default"/>
        <w:widowControl/>
        <w:numPr>
          <w:ilvl w:val="255"/>
          <w:numId w:val="0"/>
        </w:numPr>
        <w:jc w:val="center"/>
        <w:rPr>
          <w:rFonts w:ascii="Times New Roman" w:hAnsi="Times New Roman" w:hint="default"/>
          <w:color w:val="auto"/>
          <w:kern w:val="2"/>
          <w:szCs w:val="24"/>
        </w:rPr>
      </w:pPr>
      <w:r>
        <w:rPr>
          <w:rFonts w:ascii="Times New Roman" w:hAnsi="Times New Roman"/>
          <w:color w:val="auto"/>
          <w:kern w:val="2"/>
          <w:szCs w:val="24"/>
        </w:rPr>
        <w:t xml:space="preserve">Figure 3. The moderating effect of unique requirements </w:t>
      </w:r>
    </w:p>
    <w:p w14:paraId="629F0600" w14:textId="77777777" w:rsidR="00037A35" w:rsidRDefault="00000000">
      <w:pPr>
        <w:pStyle w:val="Default"/>
        <w:widowControl/>
        <w:numPr>
          <w:ilvl w:val="255"/>
          <w:numId w:val="0"/>
        </w:numPr>
        <w:jc w:val="center"/>
        <w:rPr>
          <w:rFonts w:ascii="Times New Roman" w:hAnsi="Times New Roman" w:hint="default"/>
          <w:color w:val="auto"/>
          <w:kern w:val="2"/>
          <w:szCs w:val="24"/>
        </w:rPr>
      </w:pPr>
      <w:r>
        <w:rPr>
          <w:rFonts w:ascii="Times New Roman" w:hAnsi="Times New Roman"/>
          <w:color w:val="auto"/>
          <w:kern w:val="2"/>
          <w:szCs w:val="24"/>
        </w:rPr>
        <w:t>on customer engagement and hedonic value</w:t>
      </w:r>
    </w:p>
    <w:p w14:paraId="09B62AD6" w14:textId="77777777" w:rsidR="00037A35" w:rsidRDefault="00037A35">
      <w:pPr>
        <w:pStyle w:val="Default"/>
        <w:widowControl/>
        <w:numPr>
          <w:ilvl w:val="255"/>
          <w:numId w:val="0"/>
        </w:numPr>
        <w:jc w:val="both"/>
        <w:rPr>
          <w:rFonts w:ascii="Times New Roman" w:hAnsi="Times New Roman" w:hint="default"/>
          <w:color w:val="auto"/>
          <w:kern w:val="2"/>
          <w:szCs w:val="24"/>
        </w:rPr>
      </w:pPr>
    </w:p>
    <w:p w14:paraId="2C95F862" w14:textId="77777777" w:rsidR="00037A35" w:rsidRDefault="00037A35">
      <w:pPr>
        <w:pStyle w:val="Default"/>
        <w:widowControl/>
        <w:numPr>
          <w:ilvl w:val="255"/>
          <w:numId w:val="0"/>
        </w:numPr>
        <w:jc w:val="both"/>
        <w:rPr>
          <w:rFonts w:ascii="Times New Roman" w:hAnsi="Times New Roman" w:hint="default"/>
          <w:color w:val="auto"/>
          <w:kern w:val="2"/>
          <w:szCs w:val="24"/>
        </w:rPr>
      </w:pPr>
    </w:p>
    <w:p w14:paraId="10669AA0" w14:textId="77777777" w:rsidR="00037A35" w:rsidRDefault="00037A35">
      <w:pPr>
        <w:pStyle w:val="Default"/>
        <w:widowControl/>
        <w:numPr>
          <w:ilvl w:val="255"/>
          <w:numId w:val="0"/>
        </w:numPr>
        <w:jc w:val="both"/>
        <w:rPr>
          <w:rFonts w:ascii="Times New Roman" w:hAnsi="Times New Roman" w:hint="default"/>
          <w:color w:val="auto"/>
          <w:kern w:val="2"/>
          <w:szCs w:val="24"/>
        </w:rPr>
      </w:pPr>
    </w:p>
    <w:p w14:paraId="4B46A97E" w14:textId="77777777" w:rsidR="00037A35" w:rsidRDefault="00000000">
      <w:pPr>
        <w:rPr>
          <w:rFonts w:ascii="Times New Roman" w:hAnsi="Times New Roman" w:cs="Times New Roman"/>
          <w:b/>
          <w:bCs/>
          <w:sz w:val="24"/>
        </w:rPr>
      </w:pPr>
      <w:r>
        <w:rPr>
          <w:rFonts w:ascii="Times New Roman" w:hAnsi="Times New Roman" w:cs="Times New Roman"/>
          <w:b/>
          <w:bCs/>
          <w:sz w:val="24"/>
        </w:rPr>
        <w:t>4   Conclusion</w:t>
      </w:r>
    </w:p>
    <w:p w14:paraId="70E1178B" w14:textId="77777777" w:rsidR="00037A35" w:rsidRDefault="00037A35">
      <w:pPr>
        <w:pStyle w:val="Default"/>
        <w:widowControl/>
        <w:numPr>
          <w:ilvl w:val="255"/>
          <w:numId w:val="0"/>
        </w:numPr>
        <w:ind w:firstLineChars="200" w:firstLine="480"/>
        <w:jc w:val="both"/>
        <w:rPr>
          <w:rFonts w:ascii="Times New Roman" w:hAnsi="Times New Roman" w:hint="default"/>
          <w:color w:val="auto"/>
          <w:kern w:val="2"/>
          <w:szCs w:val="24"/>
        </w:rPr>
      </w:pPr>
    </w:p>
    <w:p w14:paraId="0651285C" w14:textId="77777777" w:rsidR="00037A35" w:rsidRDefault="00000000">
      <w:pPr>
        <w:pStyle w:val="Default"/>
        <w:widowControl/>
        <w:numPr>
          <w:ilvl w:val="255"/>
          <w:numId w:val="0"/>
        </w:numPr>
        <w:ind w:firstLineChars="200" w:firstLine="480"/>
        <w:jc w:val="both"/>
        <w:rPr>
          <w:rFonts w:ascii="Times New Roman" w:hAnsi="Times New Roman" w:hint="default"/>
          <w:color w:val="auto"/>
          <w:kern w:val="2"/>
          <w:szCs w:val="24"/>
        </w:rPr>
      </w:pPr>
      <w:r>
        <w:rPr>
          <w:rFonts w:ascii="Times New Roman" w:hAnsi="Times New Roman"/>
          <w:color w:val="auto"/>
          <w:kern w:val="2"/>
          <w:szCs w:val="24"/>
        </w:rPr>
        <w:t xml:space="preserve">Based on research by studies both in China and abroad, this study explores the impact of customized courses on customer experience value and retention, using students and consumers who have participated in customized courses as research subjects. The study found that: 1. Customer participation has a significant positive impact on customer retention. 2. Customer participation has a significant positive impact on both hedonic and functional values </w:t>
      </w:r>
      <w:r>
        <w:rPr>
          <w:rFonts w:ascii="Times New Roman" w:hAnsi="Times New Roman" w:hint="default"/>
          <w:color w:val="auto"/>
          <w:kern w:val="2"/>
          <w:szCs w:val="24"/>
        </w:rPr>
        <w:t>​​</w:t>
      </w:r>
      <w:r>
        <w:rPr>
          <w:rFonts w:ascii="Times New Roman" w:hAnsi="Times New Roman"/>
          <w:color w:val="auto"/>
          <w:kern w:val="2"/>
          <w:szCs w:val="24"/>
        </w:rPr>
        <w:t xml:space="preserve">within customer experience value. 3. Both hedonic and functional values </w:t>
      </w:r>
      <w:r>
        <w:rPr>
          <w:rFonts w:ascii="Times New Roman" w:hAnsi="Times New Roman" w:hint="default"/>
          <w:color w:val="auto"/>
          <w:kern w:val="2"/>
          <w:szCs w:val="24"/>
        </w:rPr>
        <w:t>​​</w:t>
      </w:r>
      <w:r>
        <w:rPr>
          <w:rFonts w:ascii="Times New Roman" w:hAnsi="Times New Roman"/>
          <w:color w:val="auto"/>
          <w:kern w:val="2"/>
          <w:szCs w:val="24"/>
        </w:rPr>
        <w:t xml:space="preserve">within customer experience value have a significant positive impact on customer retention. 4. Both functional and hedonic values </w:t>
      </w:r>
      <w:r>
        <w:rPr>
          <w:rFonts w:ascii="Times New Roman" w:hAnsi="Times New Roman" w:hint="default"/>
          <w:color w:val="auto"/>
          <w:kern w:val="2"/>
          <w:szCs w:val="24"/>
        </w:rPr>
        <w:t>​​</w:t>
      </w:r>
      <w:r>
        <w:rPr>
          <w:rFonts w:ascii="Times New Roman" w:hAnsi="Times New Roman"/>
          <w:color w:val="auto"/>
          <w:kern w:val="2"/>
          <w:szCs w:val="24"/>
        </w:rPr>
        <w:t>within customer experience value play a mediating role in the relationship between customer participation and customer retention. 5. Customer unique needs have a moderating effect on the relationship between customer participation and hedonic value, and between customer participation and functional value.</w:t>
      </w:r>
    </w:p>
    <w:p w14:paraId="72860472" w14:textId="77777777" w:rsidR="00037A35" w:rsidRDefault="00037A35">
      <w:pPr>
        <w:pStyle w:val="Default"/>
        <w:widowControl/>
        <w:numPr>
          <w:ilvl w:val="255"/>
          <w:numId w:val="0"/>
        </w:numPr>
        <w:jc w:val="both"/>
        <w:rPr>
          <w:rFonts w:ascii="Times New Roman" w:hAnsi="Times New Roman" w:hint="default"/>
          <w:color w:val="auto"/>
          <w:kern w:val="2"/>
          <w:szCs w:val="24"/>
        </w:rPr>
      </w:pPr>
    </w:p>
    <w:p w14:paraId="1A657E01" w14:textId="77777777" w:rsidR="00037A35" w:rsidRDefault="00000000">
      <w:pPr>
        <w:rPr>
          <w:rFonts w:ascii="Times New Roman" w:hAnsi="Times New Roman" w:cs="Times New Roman"/>
          <w:b/>
          <w:bCs/>
          <w:sz w:val="24"/>
        </w:rPr>
      </w:pPr>
      <w:r>
        <w:rPr>
          <w:rFonts w:ascii="Times New Roman" w:hAnsi="Times New Roman" w:cs="Times New Roman"/>
          <w:b/>
          <w:bCs/>
          <w:sz w:val="24"/>
        </w:rPr>
        <w:t>4.1 Theoretical significance</w:t>
      </w:r>
    </w:p>
    <w:p w14:paraId="429FB81E" w14:textId="77777777" w:rsidR="00037A35" w:rsidRDefault="00037A35">
      <w:pPr>
        <w:pStyle w:val="Default"/>
        <w:widowControl/>
        <w:numPr>
          <w:ilvl w:val="255"/>
          <w:numId w:val="0"/>
        </w:numPr>
        <w:ind w:firstLineChars="200" w:firstLine="480"/>
        <w:jc w:val="both"/>
        <w:rPr>
          <w:rFonts w:ascii="Times New Roman" w:hAnsi="Times New Roman" w:hint="default"/>
          <w:color w:val="auto"/>
          <w:kern w:val="2"/>
          <w:szCs w:val="24"/>
        </w:rPr>
      </w:pPr>
    </w:p>
    <w:p w14:paraId="046722E1" w14:textId="77777777" w:rsidR="00037A35" w:rsidRDefault="00000000">
      <w:pPr>
        <w:pStyle w:val="Default"/>
        <w:widowControl/>
        <w:numPr>
          <w:ilvl w:val="255"/>
          <w:numId w:val="0"/>
        </w:numPr>
        <w:ind w:firstLineChars="200" w:firstLine="480"/>
        <w:jc w:val="both"/>
        <w:rPr>
          <w:rFonts w:ascii="Times New Roman" w:hAnsi="Times New Roman" w:hint="default"/>
          <w:color w:val="auto"/>
          <w:kern w:val="2"/>
          <w:szCs w:val="24"/>
        </w:rPr>
      </w:pPr>
      <w:r>
        <w:rPr>
          <w:rFonts w:ascii="Times New Roman" w:hAnsi="Times New Roman"/>
          <w:color w:val="auto"/>
          <w:kern w:val="2"/>
          <w:szCs w:val="24"/>
        </w:rPr>
        <w:t xml:space="preserve">This study systematically reveals the intrinsic mechanism by which customer participation influences customer retention in customized course scenarios within the framework of value co-creation theory. First, it introduces value co-creation theory into the context of customized course-based services, moving beyond the limitations of traditional teaching models or technology-oriented perspectives and expanding the boundaries of theoretical application. Second, it distinguishes and examines the mediating roles of functional and hedonic values, revealing the path by which customer </w:t>
      </w:r>
      <w:r>
        <w:rPr>
          <w:rFonts w:ascii="Times New Roman" w:hAnsi="Times New Roman"/>
          <w:color w:val="auto"/>
          <w:kern w:val="2"/>
          <w:szCs w:val="24"/>
        </w:rPr>
        <w:lastRenderedPageBreak/>
        <w:t>participation influences retention intentions through multidimensional experiential value. Furthermore, it introduces course-related unique requirements as a moderating variable, revealing the boundary conditions of customer heterogeneity in value co-creation and addressing theoretical concerns regarding individual differences in participation effects. Overall, this paper constructs a moderated mediation model of "customer participation-experiential value-customer retention," providing a systematic theoretical explanation for understanding the dynamic mechanism of value co-creation in customized course service scenarios.</w:t>
      </w:r>
    </w:p>
    <w:p w14:paraId="03B1CC43" w14:textId="77777777" w:rsidR="00037A35" w:rsidRDefault="00037A35">
      <w:pPr>
        <w:pStyle w:val="Default"/>
        <w:widowControl/>
        <w:numPr>
          <w:ilvl w:val="255"/>
          <w:numId w:val="0"/>
        </w:numPr>
        <w:ind w:firstLineChars="200" w:firstLine="480"/>
        <w:jc w:val="both"/>
        <w:rPr>
          <w:rFonts w:ascii="Times New Roman" w:hAnsi="Times New Roman" w:hint="default"/>
          <w:color w:val="auto"/>
          <w:kern w:val="2"/>
          <w:szCs w:val="24"/>
        </w:rPr>
      </w:pPr>
    </w:p>
    <w:p w14:paraId="56F5D47F" w14:textId="77777777" w:rsidR="00037A35" w:rsidRDefault="00000000">
      <w:pPr>
        <w:rPr>
          <w:rFonts w:ascii="Times New Roman" w:hAnsi="Times New Roman" w:cs="Times New Roman"/>
          <w:b/>
          <w:bCs/>
          <w:sz w:val="24"/>
        </w:rPr>
      </w:pPr>
      <w:r>
        <w:rPr>
          <w:rFonts w:ascii="Times New Roman" w:hAnsi="Times New Roman" w:cs="Times New Roman"/>
          <w:b/>
          <w:bCs/>
          <w:sz w:val="24"/>
        </w:rPr>
        <w:t>4.2 Management significance</w:t>
      </w:r>
    </w:p>
    <w:p w14:paraId="2FE5E1C8" w14:textId="77777777" w:rsidR="00037A35" w:rsidRDefault="00037A35">
      <w:pPr>
        <w:pStyle w:val="Default"/>
        <w:ind w:firstLineChars="200" w:firstLine="480"/>
        <w:jc w:val="both"/>
        <w:rPr>
          <w:rFonts w:ascii="Times New Roman" w:hAnsi="Times New Roman" w:hint="default"/>
          <w:color w:val="auto"/>
          <w:kern w:val="2"/>
          <w:szCs w:val="24"/>
        </w:rPr>
      </w:pPr>
    </w:p>
    <w:p w14:paraId="211380BD" w14:textId="77777777" w:rsidR="00037A35" w:rsidRDefault="00000000">
      <w:pPr>
        <w:pStyle w:val="Default"/>
        <w:ind w:firstLineChars="200" w:firstLine="480"/>
        <w:jc w:val="both"/>
        <w:rPr>
          <w:rFonts w:ascii="Times New Roman" w:hAnsi="Times New Roman" w:hint="default"/>
          <w:color w:val="auto"/>
          <w:kern w:val="2"/>
          <w:szCs w:val="24"/>
        </w:rPr>
      </w:pPr>
      <w:r>
        <w:rPr>
          <w:rFonts w:ascii="Times New Roman" w:hAnsi="Times New Roman"/>
          <w:color w:val="auto"/>
          <w:kern w:val="2"/>
          <w:szCs w:val="24"/>
        </w:rPr>
        <w:t xml:space="preserve">Based on the perspective of dynamic demand, this study reveals the intrinsic mechanism by which customer participation behavior affects customer retention in customized education services through empirical testing. </w:t>
      </w:r>
    </w:p>
    <w:p w14:paraId="043E864A" w14:textId="77777777" w:rsidR="00037A35" w:rsidRDefault="00037A35">
      <w:pPr>
        <w:pStyle w:val="Default"/>
        <w:ind w:firstLineChars="200" w:firstLine="480"/>
        <w:jc w:val="both"/>
        <w:rPr>
          <w:rFonts w:ascii="Times New Roman" w:hAnsi="Times New Roman" w:hint="default"/>
          <w:color w:val="auto"/>
          <w:kern w:val="2"/>
          <w:szCs w:val="24"/>
        </w:rPr>
      </w:pPr>
    </w:p>
    <w:p w14:paraId="113DAB00" w14:textId="77777777" w:rsidR="00CA1B70" w:rsidRPr="00CA1B70" w:rsidRDefault="00000000" w:rsidP="00CA1B70">
      <w:pPr>
        <w:pStyle w:val="Default"/>
        <w:ind w:firstLineChars="200" w:firstLine="480"/>
        <w:jc w:val="both"/>
        <w:rPr>
          <w:rFonts w:ascii="Times New Roman" w:hAnsi="Times New Roman"/>
          <w:lang w:val="en-MY"/>
        </w:rPr>
      </w:pPr>
      <w:r>
        <w:rPr>
          <w:rFonts w:ascii="Times New Roman" w:hAnsi="Times New Roman"/>
          <w:color w:val="auto"/>
          <w:kern w:val="2"/>
          <w:szCs w:val="24"/>
        </w:rPr>
        <w:t xml:space="preserve">Customer engagement has a direct driving force on customer retention, and educational institutions need to strengthen the design of engagement mechanisms. It is recommended to establish a dual learning system, that is, to stimulate customer demand through exploratory learning (such as innovation competitions) and to deepen existing value-driven elements through utilization learning (such as satisfaction tracking and course optimization). Some studies have also pointed out that: embedding knowledge sharing platforms into courses, actively inviting customers to share their real learning experiences or successful practice cases, and integrating these contents into teaching resources, while setting up a tiered reward mechanism, such as participating in points redemption for value-added services, linking economic benefits with knowledge contributions </w:t>
      </w:r>
      <w:r>
        <w:rPr>
          <w:rFonts w:ascii="Times New Roman" w:hAnsi="Times New Roman" w:hint="default"/>
          <w:color w:val="auto"/>
          <w:kern w:val="2"/>
          <w:szCs w:val="24"/>
        </w:rPr>
        <w:fldChar w:fldCharType="begin"/>
      </w:r>
      <w:r>
        <w:rPr>
          <w:rFonts w:ascii="Times New Roman" w:hAnsi="Times New Roman" w:hint="default"/>
          <w:color w:val="auto"/>
          <w:kern w:val="2"/>
          <w:szCs w:val="24"/>
        </w:rPr>
        <w:instrText xml:space="preserve"> ADDIN ZOTERO_ITEM CSL_CITATION {"citationID":"a5frjtm835","properties":{"formattedCitation":"(Hamari et al., 2014)","plainCitation":"(Hamari et al., 2014)","noteIndex":0},"citationItems":[{"id":2643,"uris":["http://zotero.org/users/14361536/items/ZUN3QPVN"],"itemData":{"id":2643,"type":"paper-conference","container-title":"2014 47th Hawaii International Conference on System Sciences","DOI":"10.1109/HICSS.2014.377","event-place":"Waikoloa, HI","event-title":"2014 47th Hawaii International Conference on System Sciences (HICSS)","ISBN":"978-1-4799-2504-9","page":"3025-3034","publisher":"IEEE","publisher-place":"Waikoloa, HI","source":"DOI.org (Crossref)","title":"Does Gamification Work? -- A Literature Review of Empirical Studies on Gamification","title-short":"Does Gamification Work?","URL":"http://ieeexplore.ieee.org/document/6758978/","author":[{"family":"Hamari","given":"Juho"},{"family":"Koivisto","given":"Jonna"},{"family":"Sarsa","given":"Harri"}],"accessed":{"date-parts":[["2026",2,1]]},"issued":{"date-parts":[["2014",1]]}}}],"schema":"https://github.com/citation-style-language/schema/raw/master/csl-citation.json"} </w:instrText>
      </w:r>
      <w:r>
        <w:rPr>
          <w:rFonts w:ascii="Times New Roman" w:hAnsi="Times New Roman" w:hint="default"/>
          <w:color w:val="auto"/>
          <w:kern w:val="2"/>
          <w:szCs w:val="24"/>
        </w:rPr>
        <w:fldChar w:fldCharType="separate"/>
      </w:r>
      <w:r>
        <w:rPr>
          <w:rFonts w:ascii="Times New Roman" w:hAnsi="Times New Roman"/>
        </w:rPr>
        <w:t>(Hamari et al., 2014)</w:t>
      </w:r>
      <w:r>
        <w:rPr>
          <w:rFonts w:ascii="Times New Roman" w:hAnsi="Times New Roman" w:hint="default"/>
          <w:color w:val="auto"/>
          <w:kern w:val="2"/>
          <w:szCs w:val="24"/>
        </w:rPr>
        <w:fldChar w:fldCharType="end"/>
      </w:r>
      <w:r>
        <w:rPr>
          <w:rFonts w:ascii="Times New Roman" w:hAnsi="Times New Roman"/>
          <w:color w:val="auto"/>
          <w:kern w:val="2"/>
          <w:szCs w:val="24"/>
        </w:rPr>
        <w:t>. At the same time, the customer engagement process should be effectively controlled regularly to ensure that cooperative behavior truly enhances service value.</w:t>
      </w:r>
      <w:r w:rsidR="00CA1B70">
        <w:rPr>
          <w:rFonts w:ascii="Times New Roman" w:hAnsi="Times New Roman" w:hint="default"/>
          <w:color w:val="auto"/>
          <w:kern w:val="2"/>
          <w:szCs w:val="24"/>
        </w:rPr>
        <w:t xml:space="preserve">  </w:t>
      </w:r>
      <w:r w:rsidR="00CA1B70" w:rsidRPr="00CA1B70">
        <w:rPr>
          <w:rFonts w:ascii="Times New Roman" w:hAnsi="Times New Roman"/>
          <w:lang w:val="en-MY"/>
        </w:rPr>
        <w:t>Authorities and legislators should create affordable immersive activities and intervention programs for locals and potential virtual tourists to choose and fund, according to Abidin et al. (2025).</w:t>
      </w:r>
    </w:p>
    <w:p w14:paraId="739D8922" w14:textId="77777777" w:rsidR="00037A35" w:rsidRDefault="00037A35">
      <w:pPr>
        <w:pStyle w:val="Default"/>
        <w:ind w:firstLineChars="200" w:firstLine="480"/>
        <w:jc w:val="both"/>
        <w:rPr>
          <w:rFonts w:ascii="Times New Roman" w:hAnsi="Times New Roman" w:hint="default"/>
          <w:color w:val="auto"/>
          <w:kern w:val="2"/>
          <w:szCs w:val="24"/>
        </w:rPr>
      </w:pPr>
    </w:p>
    <w:p w14:paraId="7DA2D2C3" w14:textId="77777777" w:rsidR="00037A35" w:rsidRDefault="00000000">
      <w:pPr>
        <w:widowControl/>
        <w:ind w:firstLineChars="200" w:firstLine="480"/>
        <w:rPr>
          <w:rFonts w:ascii="Times New Roman" w:eastAsia="SimSun" w:hAnsi="Times New Roman" w:cs="Times New Roman"/>
          <w:sz w:val="24"/>
        </w:rPr>
      </w:pPr>
      <w:r>
        <w:rPr>
          <w:rFonts w:ascii="Times New Roman" w:eastAsia="SimSun" w:hAnsi="Times New Roman" w:cs="Times New Roman"/>
          <w:sz w:val="24"/>
        </w:rPr>
        <w:t>Secondly, institutions should focus on improving the functional and hedonistic value of customers. In terms of functional value, the practicality of courses needs to be strengthened. After understanding the basic needs of customers, modular knowledge system design can be carried out to customize courses for customers, so as to achieve precise improvement in learning efficiency. In terms of hedonistic value, institutions can design interactive gamified scenarios on the learning platform to increase the learning experience of customers. Some studies have also proposed establishing a virtual learning community achievement system, holding case competitions regularly, and publicizing the winning solutions to improve the hedonistic value of customers</w:t>
      </w:r>
      <w:r>
        <w:rPr>
          <w:rFonts w:ascii="Times New Roman" w:eastAsia="SimSun" w:hAnsi="Times New Roman" w:cs="Times New Roman" w:hint="eastAsia"/>
          <w:sz w:val="24"/>
        </w:rPr>
        <w:t xml:space="preserve"> </w:t>
      </w:r>
      <w:r>
        <w:rPr>
          <w:rFonts w:ascii="Times New Roman" w:eastAsia="SimSun" w:hAnsi="Times New Roman" w:cs="Times New Roman"/>
          <w:sz w:val="24"/>
        </w:rPr>
        <w:fldChar w:fldCharType="begin"/>
      </w:r>
      <w:r>
        <w:rPr>
          <w:rFonts w:ascii="Times New Roman" w:eastAsia="SimSun" w:hAnsi="Times New Roman" w:cs="Times New Roman"/>
          <w:sz w:val="24"/>
        </w:rPr>
        <w:instrText xml:space="preserve"> ADDIN ZOTERO_ITEM CSL_CITATION {"citationID":"a1p5ohki6fs","properties":{"formattedCitation":"(Zainuddin et al., 2020)","plainCitation":"(Zainuddin et al., 2020)","noteIndex":0},"citationItems":[{"id":2642,"uris":["http://zotero.org/users/14361536/items/5DE2UABM"],"itemData":{"id":2642,"type":"article-journal","container-title":"Educational Research Review","DOI":"10.1016/j.edurev.2020.100326","ISSN":"1747938X","journalAbbreviation":"Educational Research Review","language":"en","page":"100326","source":"11.7","title":"The impact of gamification on learning and instruction: A systematic review of empirical evidence","title-short":"The impact of gamification on learning and instruction","volume":"30","author":[{"family":"Zainuddin","given":"Zamzami"},{"family":"Chu","given":"Samuel Kai Wah"},{"family":"Shujahat","given":"Muhammad"},{"family":"Perera","given":"Corinne Jacqueline"}],"issued":{"date-parts":[["2020",6]]}}}],"schema":"https://github.com/citation-style-language/schema/raw/master/csl-citation.json"} </w:instrText>
      </w:r>
      <w:r>
        <w:rPr>
          <w:rFonts w:ascii="Times New Roman" w:eastAsia="SimSun" w:hAnsi="Times New Roman" w:cs="Times New Roman"/>
          <w:sz w:val="24"/>
        </w:rPr>
        <w:fldChar w:fldCharType="separate"/>
      </w:r>
      <w:r>
        <w:rPr>
          <w:rFonts w:ascii="Times New Roman" w:hAnsi="Times New Roman" w:cs="Times New Roman"/>
          <w:kern w:val="0"/>
          <w:sz w:val="24"/>
        </w:rPr>
        <w:t>(Zainuddin et al., 2020)</w:t>
      </w:r>
      <w:r>
        <w:rPr>
          <w:rFonts w:ascii="Times New Roman" w:eastAsia="SimSun" w:hAnsi="Times New Roman" w:cs="Times New Roman"/>
          <w:sz w:val="24"/>
        </w:rPr>
        <w:fldChar w:fldCharType="end"/>
      </w:r>
      <w:r>
        <w:rPr>
          <w:rFonts w:ascii="Times New Roman" w:eastAsia="SimSun" w:hAnsi="Times New Roman" w:cs="Times New Roman"/>
          <w:sz w:val="24"/>
        </w:rPr>
        <w:t xml:space="preserve">. However, training institutions also need to avoid "emphasizing form over content". Over-design of entertainment projects may affect the learning efficiency of customers. At the same time, institutions also need to regularly track the </w:t>
      </w:r>
      <w:r>
        <w:rPr>
          <w:rFonts w:ascii="Times New Roman" w:eastAsia="SimSun" w:hAnsi="Times New Roman" w:cs="Times New Roman"/>
          <w:sz w:val="24"/>
        </w:rPr>
        <w:lastRenderedPageBreak/>
        <w:t>practical value and experience value of customers in real time and actively respond to customer feedback.</w:t>
      </w:r>
    </w:p>
    <w:p w14:paraId="6A7C74F4" w14:textId="77777777" w:rsidR="00037A35" w:rsidRDefault="00037A35">
      <w:pPr>
        <w:widowControl/>
        <w:rPr>
          <w:rFonts w:ascii="SimSun" w:eastAsia="SimSun" w:hAnsi="SimSun" w:cs="SimSun"/>
          <w:color w:val="000000"/>
          <w:sz w:val="24"/>
          <w:lang w:bidi="ar"/>
        </w:rPr>
      </w:pPr>
    </w:p>
    <w:p w14:paraId="439FA70E" w14:textId="77777777" w:rsidR="00037A35" w:rsidRDefault="00000000">
      <w:pPr>
        <w:widowControl/>
        <w:ind w:firstLineChars="200" w:firstLine="480"/>
        <w:rPr>
          <w:rFonts w:ascii="Times New Roman" w:eastAsia="SimSun" w:hAnsi="Times New Roman" w:cs="Times New Roman"/>
          <w:sz w:val="24"/>
        </w:rPr>
      </w:pPr>
      <w:r>
        <w:rPr>
          <w:rFonts w:ascii="Times New Roman" w:eastAsia="SimSun" w:hAnsi="Times New Roman" w:cs="Times New Roman"/>
          <w:sz w:val="24"/>
        </w:rPr>
        <w:t xml:space="preserve">Finally, the unique needs of customers play the role of "demand amplifier" between participation behavior and value creation. In response to the moderating effect of unique customer needs, institutions need to build a dynamic response system, implement hierarchical management of customer needs, equip high-unique groups with dedicated course consultants, and provide customized personalized learning solutions. As some </w:t>
      </w:r>
      <w:r>
        <w:rPr>
          <w:rFonts w:ascii="Times New Roman" w:eastAsia="SimSun" w:hAnsi="Times New Roman" w:cs="Times New Roman" w:hint="eastAsia"/>
          <w:sz w:val="24"/>
        </w:rPr>
        <w:t>studie</w:t>
      </w:r>
      <w:r>
        <w:rPr>
          <w:rFonts w:ascii="Times New Roman" w:eastAsia="SimSun" w:hAnsi="Times New Roman" w:cs="Times New Roman"/>
          <w:sz w:val="24"/>
        </w:rPr>
        <w:t xml:space="preserve">s have proposed: build a dynamic mapping model of "demand-solution", use real-time data generated during customer participation (such as classroom interaction heatmaps, etc.) to regularly update personalized learning paths, and set corresponding assessment indicators, thereby increasing the renewal willingness of customers with strong unique needs </w:t>
      </w:r>
      <w:r>
        <w:rPr>
          <w:rFonts w:ascii="Times New Roman" w:eastAsia="SimSun" w:hAnsi="Times New Roman" w:cs="Times New Roman"/>
          <w:sz w:val="24"/>
        </w:rPr>
        <w:fldChar w:fldCharType="begin"/>
      </w:r>
      <w:r>
        <w:rPr>
          <w:rFonts w:ascii="Times New Roman" w:eastAsia="SimSun" w:hAnsi="Times New Roman" w:cs="Times New Roman"/>
          <w:sz w:val="24"/>
        </w:rPr>
        <w:instrText xml:space="preserve"> ADDIN ZOTERO_ITEM CSL_CITATION {"citationID":"a1nn95nu0mt","properties":{"formattedCitation":"(Taylor et al., 2021)","plainCitation":"(Taylor et al., 2021)","noteIndex":0},"citationItems":[{"id":2638,"uris":["http://zotero.org/users/14361536/items/BUIEMXSF"],"itemData":{"id":2638,"type":"chapter","abstract":"Abstract\n            Personalized and adaptive learning has been touted to be one of the most promising emerging tools for increasing student learning and student success. Yet, the terms are neither precise nor clearly defined at this time, thus making it difficult for institutions of higher education to adopt and implement a learning approach using technology that is in its infancy and not clearly understood by those who will be utilizing it. One goal of this chapter is to define adaptive and personalized learning as it is used at this time in the hopes that as the technology evolves the promise of increased student learning can come to fruition. Adaptive learning personalizes learning by continuously evaluating each student’s performance in real time and creating an ever-changing individualized learning pathway as directed by artificial intelligence and machine learning, thus increasing learning and student satisfaction.","container-title":"Innovative Learning Environments in STEM Higher Education","event-place":"Cham","ISBN":"978-3-030-58947-9","language":"en","note":"collection-title: SpringerBriefs in Statistics\nDOI: 10.1007/978-3-030-58948-6_2","page":"17-34","publisher":"Springer International Publishing","publisher-place":"Cham","source":"DOI.org (Crossref)","title":"Personalized and Adaptive Learning","URL":"http://link.springer.com/10.1007/978-3-030-58948-6_2","editor":[{"family":"Ryoo","given":"Jungwoo"},{"family":"Winkelmann","given":"Kurt"}],"author":[{"family":"Taylor","given":"Deborah L."},{"family":"Yeung","given":"Michelle"},{"family":"Bashet","given":"A. Z."}],"accessed":{"date-parts":[["2026",2,1]]},"issued":{"date-parts":[["2021"]]}}}],"schema":"https://github.com/citation-style-language/schema/raw/master/csl-citation.json"} </w:instrText>
      </w:r>
      <w:r>
        <w:rPr>
          <w:rFonts w:ascii="Times New Roman" w:eastAsia="SimSun" w:hAnsi="Times New Roman" w:cs="Times New Roman"/>
          <w:sz w:val="24"/>
        </w:rPr>
        <w:fldChar w:fldCharType="separate"/>
      </w:r>
      <w:r>
        <w:rPr>
          <w:rFonts w:ascii="Times New Roman" w:hAnsi="Times New Roman" w:cs="Times New Roman"/>
          <w:kern w:val="0"/>
          <w:sz w:val="24"/>
        </w:rPr>
        <w:t>(Taylor et al., 2021)</w:t>
      </w:r>
      <w:r>
        <w:rPr>
          <w:rFonts w:ascii="Times New Roman" w:eastAsia="SimSun" w:hAnsi="Times New Roman" w:cs="Times New Roman"/>
          <w:sz w:val="24"/>
        </w:rPr>
        <w:fldChar w:fldCharType="end"/>
      </w:r>
      <w:r>
        <w:rPr>
          <w:rFonts w:ascii="Times New Roman" w:eastAsia="SimSun" w:hAnsi="Times New Roman" w:cs="Times New Roman"/>
          <w:sz w:val="24"/>
        </w:rPr>
        <w:t>. Therefore, institutions need to pay attention to the moderating effect of unique customer needs between customer participation and experience value.</w:t>
      </w:r>
    </w:p>
    <w:p w14:paraId="5ED8ABEF" w14:textId="77777777" w:rsidR="00037A35" w:rsidRDefault="00037A35">
      <w:pPr>
        <w:widowControl/>
        <w:ind w:firstLineChars="200" w:firstLine="480"/>
        <w:rPr>
          <w:rFonts w:ascii="SimSun" w:eastAsia="SimSun" w:hAnsi="SimSun" w:cs="SimSun"/>
          <w:color w:val="000000"/>
          <w:sz w:val="24"/>
          <w:lang w:bidi="ar"/>
        </w:rPr>
      </w:pPr>
    </w:p>
    <w:p w14:paraId="3948E696" w14:textId="77777777" w:rsidR="00037A35" w:rsidRDefault="00000000">
      <w:pPr>
        <w:rPr>
          <w:rFonts w:ascii="Times New Roman" w:hAnsi="Times New Roman" w:cs="Times New Roman"/>
          <w:b/>
          <w:bCs/>
          <w:sz w:val="24"/>
        </w:rPr>
      </w:pPr>
      <w:r>
        <w:rPr>
          <w:rFonts w:ascii="Times New Roman" w:hAnsi="Times New Roman" w:cs="Times New Roman"/>
          <w:b/>
          <w:bCs/>
          <w:sz w:val="24"/>
        </w:rPr>
        <w:t>4.3 Research limitations and future prospects</w:t>
      </w:r>
    </w:p>
    <w:p w14:paraId="3CC2DE83" w14:textId="77777777" w:rsidR="00037A35" w:rsidRDefault="00037A35">
      <w:pPr>
        <w:rPr>
          <w:rFonts w:ascii="Times New Roman" w:hAnsi="Times New Roman" w:cs="Times New Roman"/>
          <w:b/>
          <w:bCs/>
          <w:sz w:val="24"/>
        </w:rPr>
      </w:pPr>
    </w:p>
    <w:p w14:paraId="1ADF0F26" w14:textId="77777777" w:rsidR="00037A35" w:rsidRDefault="00000000">
      <w:pPr>
        <w:widowControl/>
        <w:ind w:firstLineChars="200" w:firstLine="480"/>
        <w:rPr>
          <w:rFonts w:ascii="Times New Roman" w:eastAsia="SimSun" w:hAnsi="Times New Roman" w:cs="Times New Roman"/>
          <w:sz w:val="24"/>
        </w:rPr>
      </w:pPr>
      <w:r>
        <w:rPr>
          <w:rFonts w:ascii="Times New Roman" w:eastAsia="SimSun" w:hAnsi="Times New Roman" w:cs="Times New Roman"/>
          <w:sz w:val="24"/>
        </w:rPr>
        <w:t>The limitations of this study are as follows: First, the primary research subject was university students; future studies could select different groups to increase sample diversity. Second, this study used unique needs as a moderating variable; future studies could consider other moderating factors, such as channel attractiveness, which might provide a more comprehensive explanation of the relationship between online service scenarios and customer retention intentions.</w:t>
      </w:r>
    </w:p>
    <w:p w14:paraId="7A54EA2F" w14:textId="77777777" w:rsidR="00037A35" w:rsidRDefault="00037A35">
      <w:pPr>
        <w:pStyle w:val="Default"/>
        <w:widowControl/>
        <w:jc w:val="both"/>
        <w:rPr>
          <w:rFonts w:cs="SimSun" w:hint="default"/>
          <w:b/>
          <w:bCs/>
          <w:szCs w:val="24"/>
        </w:rPr>
      </w:pPr>
    </w:p>
    <w:p w14:paraId="26A914EC" w14:textId="77777777" w:rsidR="00037A35" w:rsidRDefault="00037A35">
      <w:pPr>
        <w:pStyle w:val="Default"/>
        <w:widowControl/>
        <w:jc w:val="both"/>
        <w:rPr>
          <w:rFonts w:cs="SimSun" w:hint="default"/>
          <w:b/>
          <w:bCs/>
          <w:szCs w:val="24"/>
        </w:rPr>
      </w:pPr>
    </w:p>
    <w:p w14:paraId="3F946159" w14:textId="77777777" w:rsidR="00037A35" w:rsidRDefault="00037A35">
      <w:pPr>
        <w:rPr>
          <w:rFonts w:ascii="Times New Roman" w:hAnsi="Times New Roman" w:cs="Times New Roman"/>
          <w:b/>
          <w:bCs/>
          <w:sz w:val="24"/>
        </w:rPr>
      </w:pPr>
    </w:p>
    <w:p w14:paraId="3A677557" w14:textId="77777777" w:rsidR="00037A35" w:rsidRDefault="00037A35">
      <w:pPr>
        <w:rPr>
          <w:rFonts w:ascii="Times New Roman" w:hAnsi="Times New Roman" w:cs="Times New Roman"/>
          <w:b/>
          <w:bCs/>
          <w:sz w:val="24"/>
        </w:rPr>
      </w:pPr>
    </w:p>
    <w:p w14:paraId="2E0D5490" w14:textId="77777777" w:rsidR="00037A35" w:rsidRDefault="00037A35">
      <w:pPr>
        <w:rPr>
          <w:rFonts w:ascii="Times New Roman" w:hAnsi="Times New Roman" w:cs="Times New Roman"/>
          <w:b/>
          <w:bCs/>
          <w:sz w:val="24"/>
        </w:rPr>
      </w:pPr>
    </w:p>
    <w:p w14:paraId="5071D681" w14:textId="77777777" w:rsidR="00037A35" w:rsidRDefault="00037A35">
      <w:pPr>
        <w:rPr>
          <w:rFonts w:ascii="Times New Roman" w:hAnsi="Times New Roman" w:cs="Times New Roman"/>
          <w:b/>
          <w:bCs/>
          <w:sz w:val="24"/>
        </w:rPr>
      </w:pPr>
    </w:p>
    <w:p w14:paraId="3A3EE390" w14:textId="77777777" w:rsidR="00037A35" w:rsidRDefault="00037A35">
      <w:pPr>
        <w:rPr>
          <w:rFonts w:ascii="Times New Roman" w:hAnsi="Times New Roman" w:cs="Times New Roman"/>
          <w:b/>
          <w:bCs/>
          <w:sz w:val="24"/>
        </w:rPr>
      </w:pPr>
    </w:p>
    <w:p w14:paraId="19ACD6D8" w14:textId="77777777" w:rsidR="00037A35" w:rsidRDefault="00037A35">
      <w:pPr>
        <w:rPr>
          <w:rFonts w:ascii="Times New Roman" w:hAnsi="Times New Roman" w:cs="Times New Roman"/>
          <w:b/>
          <w:bCs/>
          <w:sz w:val="24"/>
        </w:rPr>
      </w:pPr>
    </w:p>
    <w:p w14:paraId="16BAD38B" w14:textId="77777777" w:rsidR="00037A35" w:rsidRDefault="00037A35">
      <w:pPr>
        <w:rPr>
          <w:rFonts w:ascii="Times New Roman" w:hAnsi="Times New Roman" w:cs="Times New Roman"/>
          <w:b/>
          <w:bCs/>
          <w:sz w:val="24"/>
        </w:rPr>
      </w:pPr>
    </w:p>
    <w:p w14:paraId="18524262" w14:textId="77777777" w:rsidR="00037A35" w:rsidRDefault="00037A35">
      <w:pPr>
        <w:rPr>
          <w:rFonts w:ascii="Times New Roman" w:hAnsi="Times New Roman" w:cs="Times New Roman"/>
          <w:b/>
          <w:bCs/>
          <w:sz w:val="24"/>
        </w:rPr>
      </w:pPr>
    </w:p>
    <w:p w14:paraId="26C956A3" w14:textId="77777777" w:rsidR="00037A35" w:rsidRDefault="00037A35">
      <w:pPr>
        <w:rPr>
          <w:rFonts w:ascii="Times New Roman" w:hAnsi="Times New Roman" w:cs="Times New Roman"/>
          <w:b/>
          <w:bCs/>
          <w:sz w:val="24"/>
        </w:rPr>
      </w:pPr>
    </w:p>
    <w:p w14:paraId="150D6510" w14:textId="77777777" w:rsidR="00037A35" w:rsidRDefault="00037A35">
      <w:pPr>
        <w:rPr>
          <w:rFonts w:ascii="Times New Roman" w:hAnsi="Times New Roman" w:cs="Times New Roman"/>
          <w:b/>
          <w:bCs/>
          <w:sz w:val="24"/>
        </w:rPr>
      </w:pPr>
    </w:p>
    <w:p w14:paraId="3DEAD2FB" w14:textId="77777777" w:rsidR="00037A35" w:rsidRDefault="00037A35">
      <w:pPr>
        <w:rPr>
          <w:rFonts w:ascii="Times New Roman" w:hAnsi="Times New Roman" w:cs="Times New Roman"/>
          <w:b/>
          <w:bCs/>
          <w:sz w:val="24"/>
        </w:rPr>
      </w:pPr>
    </w:p>
    <w:p w14:paraId="74ACBB8D" w14:textId="77777777" w:rsidR="00037A35" w:rsidRDefault="00037A35">
      <w:pPr>
        <w:rPr>
          <w:rFonts w:ascii="Times New Roman" w:hAnsi="Times New Roman" w:cs="Times New Roman"/>
          <w:b/>
          <w:bCs/>
          <w:sz w:val="24"/>
        </w:rPr>
      </w:pPr>
    </w:p>
    <w:p w14:paraId="21A3FE4B" w14:textId="77777777" w:rsidR="00037A35" w:rsidRDefault="00037A35">
      <w:pPr>
        <w:rPr>
          <w:rFonts w:ascii="Times New Roman" w:hAnsi="Times New Roman" w:cs="Times New Roman"/>
          <w:b/>
          <w:bCs/>
          <w:sz w:val="24"/>
        </w:rPr>
      </w:pPr>
    </w:p>
    <w:p w14:paraId="2B5F56A5" w14:textId="77777777" w:rsidR="00037A35" w:rsidRDefault="00037A35">
      <w:pPr>
        <w:rPr>
          <w:rFonts w:ascii="Times New Roman" w:hAnsi="Times New Roman" w:cs="Times New Roman"/>
          <w:b/>
          <w:bCs/>
          <w:sz w:val="24"/>
        </w:rPr>
      </w:pPr>
    </w:p>
    <w:p w14:paraId="038BB1CA" w14:textId="77777777" w:rsidR="00037A35" w:rsidRDefault="00037A35">
      <w:pPr>
        <w:rPr>
          <w:rFonts w:ascii="Times New Roman" w:hAnsi="Times New Roman" w:cs="Times New Roman"/>
          <w:b/>
          <w:bCs/>
          <w:sz w:val="24"/>
        </w:rPr>
      </w:pPr>
    </w:p>
    <w:p w14:paraId="21304E8D" w14:textId="77777777" w:rsidR="00037A35" w:rsidRDefault="00037A35">
      <w:pPr>
        <w:rPr>
          <w:rFonts w:ascii="Times New Roman" w:hAnsi="Times New Roman" w:cs="Times New Roman"/>
          <w:b/>
          <w:bCs/>
          <w:sz w:val="24"/>
        </w:rPr>
      </w:pPr>
    </w:p>
    <w:p w14:paraId="55424B97" w14:textId="77777777" w:rsidR="00037A35" w:rsidRDefault="00037A35">
      <w:pPr>
        <w:rPr>
          <w:rFonts w:ascii="Times New Roman" w:hAnsi="Times New Roman" w:cs="Times New Roman"/>
          <w:b/>
          <w:bCs/>
          <w:sz w:val="24"/>
        </w:rPr>
      </w:pPr>
    </w:p>
    <w:p w14:paraId="6B5ACDEC" w14:textId="77777777" w:rsidR="00037A35" w:rsidRDefault="00037A35">
      <w:pPr>
        <w:rPr>
          <w:rFonts w:ascii="Times New Roman" w:hAnsi="Times New Roman" w:cs="Times New Roman"/>
          <w:b/>
          <w:bCs/>
          <w:sz w:val="24"/>
        </w:rPr>
      </w:pPr>
    </w:p>
    <w:p w14:paraId="159AD06C" w14:textId="77777777" w:rsidR="00037A35" w:rsidRDefault="00037A35">
      <w:pPr>
        <w:rPr>
          <w:rFonts w:ascii="Times New Roman" w:hAnsi="Times New Roman" w:cs="Times New Roman"/>
          <w:b/>
          <w:bCs/>
          <w:sz w:val="24"/>
        </w:rPr>
      </w:pPr>
    </w:p>
    <w:p w14:paraId="6F3A721C" w14:textId="77777777" w:rsidR="00037A35" w:rsidRDefault="00037A35">
      <w:pPr>
        <w:rPr>
          <w:rFonts w:ascii="Times New Roman" w:hAnsi="Times New Roman" w:cs="Times New Roman"/>
          <w:b/>
          <w:bCs/>
          <w:sz w:val="24"/>
        </w:rPr>
      </w:pPr>
    </w:p>
    <w:p w14:paraId="303882D3" w14:textId="77777777" w:rsidR="00037A35" w:rsidRDefault="00037A35">
      <w:pPr>
        <w:rPr>
          <w:rFonts w:ascii="Times New Roman" w:hAnsi="Times New Roman" w:cs="Times New Roman"/>
          <w:b/>
          <w:bCs/>
          <w:sz w:val="24"/>
        </w:rPr>
      </w:pPr>
    </w:p>
    <w:p w14:paraId="02FFACCD" w14:textId="77777777" w:rsidR="00037A35" w:rsidRDefault="00037A35">
      <w:pPr>
        <w:rPr>
          <w:rFonts w:ascii="Times New Roman" w:hAnsi="Times New Roman" w:cs="Times New Roman"/>
          <w:b/>
          <w:bCs/>
          <w:sz w:val="24"/>
        </w:rPr>
      </w:pPr>
    </w:p>
    <w:p w14:paraId="2594E747" w14:textId="77777777" w:rsidR="00037A35" w:rsidRDefault="00000000">
      <w:pPr>
        <w:rPr>
          <w:rFonts w:ascii="Times New Roman" w:hAnsi="Times New Roman" w:cs="Times New Roman"/>
          <w:b/>
          <w:bCs/>
          <w:sz w:val="24"/>
        </w:rPr>
      </w:pPr>
      <w:r>
        <w:rPr>
          <w:rFonts w:ascii="Times New Roman" w:hAnsi="Times New Roman" w:cs="Times New Roman" w:hint="eastAsia"/>
          <w:b/>
          <w:bCs/>
          <w:sz w:val="24"/>
        </w:rPr>
        <w:t xml:space="preserve">5 </w:t>
      </w:r>
      <w:r>
        <w:rPr>
          <w:rFonts w:ascii="Times New Roman" w:hAnsi="Times New Roman" w:cs="Times New Roman"/>
          <w:b/>
          <w:bCs/>
          <w:sz w:val="24"/>
        </w:rPr>
        <w:t>R</w:t>
      </w:r>
      <w:r>
        <w:rPr>
          <w:rFonts w:ascii="Times New Roman" w:hAnsi="Times New Roman" w:cs="Times New Roman" w:hint="eastAsia"/>
          <w:b/>
          <w:bCs/>
          <w:sz w:val="24"/>
        </w:rPr>
        <w:t>eference</w:t>
      </w:r>
    </w:p>
    <w:p w14:paraId="5C79481D" w14:textId="77777777" w:rsidR="00037A35" w:rsidRDefault="00037A35"/>
    <w:p w14:paraId="19BB356F" w14:textId="77777777" w:rsidR="00CA1B70" w:rsidRPr="00F31CBA" w:rsidRDefault="00CA1B70" w:rsidP="00CA1B70">
      <w:pPr>
        <w:pStyle w:val="Bibliography"/>
        <w:spacing w:line="240" w:lineRule="auto"/>
        <w:jc w:val="both"/>
        <w:rPr>
          <w:rFonts w:ascii="Times New Roman" w:eastAsia="DengXian" w:hAnsi="Times New Roman" w:cs="Times New Roman"/>
          <w:lang w:val="en-MY"/>
        </w:rPr>
      </w:pPr>
      <w:r w:rsidRPr="00F31CBA">
        <w:rPr>
          <w:rFonts w:ascii="Times New Roman" w:eastAsia="DengXian" w:hAnsi="Times New Roman" w:cs="Times New Roman"/>
          <w:highlight w:val="yellow"/>
          <w:lang w:val="en-MY"/>
        </w:rPr>
        <w:t xml:space="preserve">Abidin, </w:t>
      </w:r>
      <w:r w:rsidRPr="00CA1B70">
        <w:rPr>
          <w:rFonts w:ascii="Times New Roman" w:eastAsia="DengXian" w:hAnsi="Times New Roman" w:cs="Times New Roman"/>
          <w:lang w:val="en-MY"/>
        </w:rPr>
        <w:t xml:space="preserve">N. H. Z., Fauzi, M. A., Wider, W., Daud, W. M. N. S. M., &amp; Musa, R. (2025). Metaverse in tourism and hospitality industry: science mapping of the current and future trends. </w:t>
      </w:r>
      <w:r w:rsidRPr="00CA1B70">
        <w:rPr>
          <w:rFonts w:ascii="Times New Roman" w:eastAsia="DengXian" w:hAnsi="Times New Roman" w:cs="Times New Roman"/>
          <w:i/>
          <w:iCs/>
          <w:lang w:val="en-MY"/>
        </w:rPr>
        <w:t>Journal of Tourism Futures</w:t>
      </w:r>
      <w:r w:rsidRPr="00CA1B70">
        <w:rPr>
          <w:rFonts w:ascii="Times New Roman" w:eastAsia="DengXian" w:hAnsi="Times New Roman" w:cs="Times New Roman"/>
          <w:lang w:val="en-MY"/>
        </w:rPr>
        <w:t>. https://doi.org/10.1108/jtf-05-2024-0089</w:t>
      </w:r>
    </w:p>
    <w:p w14:paraId="33D06FA8" w14:textId="77777777" w:rsidR="00037A35" w:rsidRDefault="00000000">
      <w:pPr>
        <w:pStyle w:val="Bibliography1"/>
        <w:spacing w:line="240" w:lineRule="auto"/>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ADDIN ZOTERO_BIBL {"uncited":[],"omitted":[],"custom":[]} CSL_BIBLIOGRAPHY </w:instrText>
      </w:r>
      <w:r>
        <w:rPr>
          <w:rFonts w:ascii="Times New Roman" w:hAnsi="Times New Roman" w:cs="Times New Roman"/>
          <w:sz w:val="24"/>
        </w:rPr>
        <w:fldChar w:fldCharType="separate"/>
      </w:r>
      <w:r>
        <w:rPr>
          <w:rFonts w:ascii="Times New Roman" w:hAnsi="Times New Roman" w:cs="Times New Roman"/>
          <w:sz w:val="24"/>
        </w:rPr>
        <w:t xml:space="preserve">Amjad, M. Y., &amp; Azhar, T. M. (2023). Role of Customer Participation in Technology Innovation in Higher Education Institutions (HEIs): A Qualitative Study on Value Co-Creation and Co-Destruction. </w:t>
      </w:r>
      <w:r>
        <w:rPr>
          <w:rFonts w:ascii="Times New Roman" w:hAnsi="Times New Roman" w:cs="Times New Roman"/>
          <w:i/>
          <w:iCs/>
          <w:sz w:val="24"/>
        </w:rPr>
        <w:t>Journal of Management and Research</w:t>
      </w:r>
      <w:r>
        <w:rPr>
          <w:rFonts w:ascii="Times New Roman" w:hAnsi="Times New Roman" w:cs="Times New Roman"/>
          <w:sz w:val="24"/>
        </w:rPr>
        <w:t xml:space="preserve">, </w:t>
      </w:r>
      <w:r>
        <w:rPr>
          <w:rFonts w:ascii="Times New Roman" w:hAnsi="Times New Roman" w:cs="Times New Roman"/>
          <w:i/>
          <w:iCs/>
          <w:sz w:val="24"/>
        </w:rPr>
        <w:t>10</w:t>
      </w:r>
      <w:r>
        <w:rPr>
          <w:rFonts w:ascii="Times New Roman" w:hAnsi="Times New Roman" w:cs="Times New Roman"/>
          <w:sz w:val="24"/>
        </w:rPr>
        <w:t>(1). https://doi.org/10.29145/jmr.101.01</w:t>
      </w:r>
    </w:p>
    <w:p w14:paraId="5E5841D1" w14:textId="77777777" w:rsidR="00037A35" w:rsidRDefault="00000000">
      <w:pPr>
        <w:pStyle w:val="Bibliography1"/>
        <w:spacing w:line="240" w:lineRule="auto"/>
        <w:rPr>
          <w:rFonts w:ascii="Times New Roman" w:hAnsi="Times New Roman" w:cs="Times New Roman"/>
          <w:sz w:val="24"/>
        </w:rPr>
      </w:pPr>
      <w:r>
        <w:rPr>
          <w:rFonts w:ascii="Times New Roman" w:hAnsi="Times New Roman" w:cs="Times New Roman"/>
          <w:sz w:val="24"/>
        </w:rPr>
        <w:t xml:space="preserve">Dewarani, G., &amp; Alversia, Y. (2023). The influence of customer involvement and engagement on co-creation of services, satisfaction, and loyalty: The case of Software as a Service. </w:t>
      </w:r>
      <w:r>
        <w:rPr>
          <w:rFonts w:ascii="Times New Roman" w:hAnsi="Times New Roman" w:cs="Times New Roman"/>
          <w:i/>
          <w:iCs/>
          <w:sz w:val="24"/>
        </w:rPr>
        <w:t>Innovative Marketing</w:t>
      </w:r>
      <w:r>
        <w:rPr>
          <w:rFonts w:ascii="Times New Roman" w:hAnsi="Times New Roman" w:cs="Times New Roman"/>
          <w:sz w:val="24"/>
        </w:rPr>
        <w:t xml:space="preserve">, </w:t>
      </w:r>
      <w:r>
        <w:rPr>
          <w:rFonts w:ascii="Times New Roman" w:hAnsi="Times New Roman" w:cs="Times New Roman"/>
          <w:i/>
          <w:iCs/>
          <w:sz w:val="24"/>
        </w:rPr>
        <w:t>19</w:t>
      </w:r>
      <w:r>
        <w:rPr>
          <w:rFonts w:ascii="Times New Roman" w:hAnsi="Times New Roman" w:cs="Times New Roman"/>
          <w:sz w:val="24"/>
        </w:rPr>
        <w:t>(2), 27–37. https://doi.org/10.21511/im.19(2).2023.03</w:t>
      </w:r>
    </w:p>
    <w:p w14:paraId="7AE1DB32" w14:textId="77777777" w:rsidR="00037A35" w:rsidRDefault="00000000">
      <w:pPr>
        <w:pStyle w:val="Bibliography1"/>
        <w:spacing w:line="240" w:lineRule="auto"/>
        <w:rPr>
          <w:rFonts w:ascii="Times New Roman" w:hAnsi="Times New Roman" w:cs="Times New Roman"/>
          <w:sz w:val="24"/>
        </w:rPr>
      </w:pPr>
      <w:r>
        <w:rPr>
          <w:rFonts w:ascii="Times New Roman" w:hAnsi="Times New Roman" w:cs="Times New Roman"/>
          <w:sz w:val="24"/>
        </w:rPr>
        <w:t xml:space="preserve">Dziewanowska, K., &amp; Kacprzak, A. (2023). The Influence of Engagement in Value Co-Creation on E-Learning Experience and Student Satisfaction: An Empirical Study. </w:t>
      </w:r>
      <w:r>
        <w:rPr>
          <w:rFonts w:ascii="Times New Roman" w:hAnsi="Times New Roman" w:cs="Times New Roman"/>
          <w:i/>
          <w:iCs/>
          <w:sz w:val="24"/>
        </w:rPr>
        <w:t>Marketing of Scientific and Research Organizations</w:t>
      </w:r>
      <w:r>
        <w:rPr>
          <w:rFonts w:ascii="Times New Roman" w:hAnsi="Times New Roman" w:cs="Times New Roman"/>
          <w:sz w:val="24"/>
        </w:rPr>
        <w:t xml:space="preserve">, </w:t>
      </w:r>
      <w:r>
        <w:rPr>
          <w:rFonts w:ascii="Times New Roman" w:hAnsi="Times New Roman" w:cs="Times New Roman"/>
          <w:i/>
          <w:iCs/>
          <w:sz w:val="24"/>
        </w:rPr>
        <w:t>48</w:t>
      </w:r>
      <w:r>
        <w:rPr>
          <w:rFonts w:ascii="Times New Roman" w:hAnsi="Times New Roman" w:cs="Times New Roman"/>
          <w:sz w:val="24"/>
        </w:rPr>
        <w:t>(2), 61–80. https://doi.org/10.2478/minib-2023-0010</w:t>
      </w:r>
    </w:p>
    <w:p w14:paraId="45A2F910" w14:textId="77777777" w:rsidR="00037A35" w:rsidRDefault="00000000">
      <w:pPr>
        <w:pStyle w:val="Bibliography1"/>
        <w:spacing w:line="240" w:lineRule="auto"/>
        <w:rPr>
          <w:rFonts w:ascii="Times New Roman" w:hAnsi="Times New Roman" w:cs="Times New Roman"/>
          <w:sz w:val="24"/>
        </w:rPr>
      </w:pPr>
      <w:r>
        <w:rPr>
          <w:rFonts w:ascii="Times New Roman" w:hAnsi="Times New Roman" w:cs="Times New Roman"/>
          <w:sz w:val="24"/>
        </w:rPr>
        <w:t xml:space="preserve">Hamari, J., Koivisto, J., &amp; Sarsa, H. (2014). Does Gamification Work? -- A Literature Review of Empirical Studies on Gamification. </w:t>
      </w:r>
      <w:r>
        <w:rPr>
          <w:rFonts w:ascii="Times New Roman" w:hAnsi="Times New Roman" w:cs="Times New Roman"/>
          <w:i/>
          <w:iCs/>
          <w:sz w:val="24"/>
        </w:rPr>
        <w:t>2014 47th Hawaii International Conference on System Sciences</w:t>
      </w:r>
      <w:r>
        <w:rPr>
          <w:rFonts w:ascii="Times New Roman" w:hAnsi="Times New Roman" w:cs="Times New Roman"/>
          <w:sz w:val="24"/>
        </w:rPr>
        <w:t>, 3025–3034. https://doi.org/10.1109/HICSS.2014.377</w:t>
      </w:r>
    </w:p>
    <w:p w14:paraId="1839A3DF" w14:textId="77777777" w:rsidR="00037A35" w:rsidRPr="00CA1B70" w:rsidRDefault="00000000">
      <w:pPr>
        <w:pStyle w:val="Bibliography1"/>
        <w:spacing w:line="240" w:lineRule="auto"/>
        <w:rPr>
          <w:rFonts w:ascii="Times New Roman" w:hAnsi="Times New Roman" w:cs="Times New Roman"/>
          <w:sz w:val="24"/>
          <w:lang w:val="pl-PL"/>
        </w:rPr>
      </w:pPr>
      <w:r>
        <w:rPr>
          <w:rFonts w:ascii="Times New Roman" w:hAnsi="Times New Roman" w:cs="Times New Roman"/>
          <w:sz w:val="24"/>
        </w:rPr>
        <w:t xml:space="preserve">Nguyen, L. T. K., Lin, T. M. Y., &amp; Lam, H. P. (2021). The Role of Co-Creating Value and Its Outcomes in Higher Education Marketing. </w:t>
      </w:r>
      <w:r w:rsidRPr="00CA1B70">
        <w:rPr>
          <w:rFonts w:ascii="Times New Roman" w:hAnsi="Times New Roman" w:cs="Times New Roman"/>
          <w:i/>
          <w:iCs/>
          <w:sz w:val="24"/>
          <w:lang w:val="pl-PL"/>
        </w:rPr>
        <w:t>Sustainability</w:t>
      </w:r>
      <w:r w:rsidRPr="00CA1B70">
        <w:rPr>
          <w:rFonts w:ascii="Times New Roman" w:hAnsi="Times New Roman" w:cs="Times New Roman"/>
          <w:sz w:val="24"/>
          <w:lang w:val="pl-PL"/>
        </w:rPr>
        <w:t xml:space="preserve">, </w:t>
      </w:r>
      <w:r w:rsidRPr="00CA1B70">
        <w:rPr>
          <w:rFonts w:ascii="Times New Roman" w:hAnsi="Times New Roman" w:cs="Times New Roman"/>
          <w:i/>
          <w:iCs/>
          <w:sz w:val="24"/>
          <w:lang w:val="pl-PL"/>
        </w:rPr>
        <w:t>13</w:t>
      </w:r>
      <w:r w:rsidRPr="00CA1B70">
        <w:rPr>
          <w:rFonts w:ascii="Times New Roman" w:hAnsi="Times New Roman" w:cs="Times New Roman"/>
          <w:sz w:val="24"/>
          <w:lang w:val="pl-PL"/>
        </w:rPr>
        <w:t>(12), 6724. https://doi.org/10.3390/su13126724</w:t>
      </w:r>
    </w:p>
    <w:p w14:paraId="7650594E" w14:textId="77777777" w:rsidR="00037A35" w:rsidRDefault="00000000">
      <w:pPr>
        <w:pStyle w:val="Bibliography1"/>
        <w:spacing w:line="240" w:lineRule="auto"/>
        <w:rPr>
          <w:rFonts w:ascii="Times New Roman" w:hAnsi="Times New Roman" w:cs="Times New Roman"/>
          <w:sz w:val="24"/>
        </w:rPr>
      </w:pPr>
      <w:r w:rsidRPr="00CA1B70">
        <w:rPr>
          <w:rFonts w:ascii="Times New Roman" w:hAnsi="Times New Roman" w:cs="Times New Roman"/>
          <w:sz w:val="24"/>
          <w:lang w:val="pl-PL"/>
        </w:rPr>
        <w:t xml:space="preserve">Nwankwo, C. A., &amp; Kanyangale, M. I. (2023). </w:t>
      </w:r>
      <w:r>
        <w:rPr>
          <w:rFonts w:ascii="Times New Roman" w:hAnsi="Times New Roman" w:cs="Times New Roman"/>
          <w:sz w:val="24"/>
        </w:rPr>
        <w:t xml:space="preserve">Customer Experience Management: Analysis of Customer Retention in Restaurants in Anambra State, Nigeria. </w:t>
      </w:r>
      <w:r>
        <w:rPr>
          <w:rFonts w:ascii="Times New Roman" w:hAnsi="Times New Roman" w:cs="Times New Roman"/>
          <w:i/>
          <w:iCs/>
          <w:sz w:val="24"/>
        </w:rPr>
        <w:t>Marketing of Scientific and Research Organizations</w:t>
      </w:r>
      <w:r>
        <w:rPr>
          <w:rFonts w:ascii="Times New Roman" w:hAnsi="Times New Roman" w:cs="Times New Roman"/>
          <w:sz w:val="24"/>
        </w:rPr>
        <w:t xml:space="preserve">, </w:t>
      </w:r>
      <w:r>
        <w:rPr>
          <w:rFonts w:ascii="Times New Roman" w:hAnsi="Times New Roman" w:cs="Times New Roman"/>
          <w:i/>
          <w:iCs/>
          <w:sz w:val="24"/>
        </w:rPr>
        <w:t>49</w:t>
      </w:r>
      <w:r>
        <w:rPr>
          <w:rFonts w:ascii="Times New Roman" w:hAnsi="Times New Roman" w:cs="Times New Roman"/>
          <w:sz w:val="24"/>
        </w:rPr>
        <w:t>(3), 1–26. https://doi.org/10.2478/minib-2023-0013</w:t>
      </w:r>
    </w:p>
    <w:p w14:paraId="037F077E" w14:textId="77777777" w:rsidR="00037A35" w:rsidRDefault="00000000">
      <w:pPr>
        <w:pStyle w:val="Bibliography1"/>
        <w:spacing w:line="240" w:lineRule="auto"/>
        <w:rPr>
          <w:rFonts w:ascii="Times New Roman" w:hAnsi="Times New Roman" w:cs="Times New Roman"/>
          <w:sz w:val="24"/>
        </w:rPr>
      </w:pPr>
      <w:r>
        <w:rPr>
          <w:rFonts w:ascii="Times New Roman" w:hAnsi="Times New Roman" w:cs="Times New Roman"/>
          <w:sz w:val="24"/>
        </w:rPr>
        <w:t xml:space="preserve">Payne, A. F., Storbacka, K., &amp; Frow, P. (2008). Managing the co-creation of value. </w:t>
      </w:r>
      <w:r>
        <w:rPr>
          <w:rFonts w:ascii="Times New Roman" w:hAnsi="Times New Roman" w:cs="Times New Roman"/>
          <w:i/>
          <w:iCs/>
          <w:sz w:val="24"/>
        </w:rPr>
        <w:t>Journal of the Academy of Marketing Science</w:t>
      </w:r>
      <w:r>
        <w:rPr>
          <w:rFonts w:ascii="Times New Roman" w:hAnsi="Times New Roman" w:cs="Times New Roman"/>
          <w:sz w:val="24"/>
        </w:rPr>
        <w:t xml:space="preserve">, </w:t>
      </w:r>
      <w:r>
        <w:rPr>
          <w:rFonts w:ascii="Times New Roman" w:hAnsi="Times New Roman" w:cs="Times New Roman"/>
          <w:i/>
          <w:iCs/>
          <w:sz w:val="24"/>
        </w:rPr>
        <w:t>36</w:t>
      </w:r>
      <w:r>
        <w:rPr>
          <w:rFonts w:ascii="Times New Roman" w:hAnsi="Times New Roman" w:cs="Times New Roman"/>
          <w:sz w:val="24"/>
        </w:rPr>
        <w:t>(1), 83–96. https://doi.org/10.1007/s11747-007-0070-0</w:t>
      </w:r>
    </w:p>
    <w:p w14:paraId="3B4F0D85" w14:textId="77777777" w:rsidR="00037A35" w:rsidRDefault="00000000">
      <w:pPr>
        <w:pStyle w:val="Bibliography1"/>
        <w:spacing w:line="240" w:lineRule="auto"/>
        <w:rPr>
          <w:rFonts w:ascii="Times New Roman" w:hAnsi="Times New Roman" w:cs="Times New Roman"/>
          <w:sz w:val="24"/>
        </w:rPr>
      </w:pPr>
      <w:r>
        <w:rPr>
          <w:rFonts w:ascii="Times New Roman" w:hAnsi="Times New Roman" w:cs="Times New Roman"/>
          <w:sz w:val="24"/>
        </w:rPr>
        <w:t xml:space="preserve">Sadighha, J., Pinto, P., Guerreiro, M., &amp; Campos, A. C. (2024). Stimulating customer participation behaviour and boosting value co-creation in hotels. </w:t>
      </w:r>
      <w:r>
        <w:rPr>
          <w:rFonts w:ascii="Times New Roman" w:hAnsi="Times New Roman" w:cs="Times New Roman"/>
          <w:i/>
          <w:iCs/>
          <w:sz w:val="24"/>
        </w:rPr>
        <w:t>International Journal of Hospitality Management</w:t>
      </w:r>
      <w:r>
        <w:rPr>
          <w:rFonts w:ascii="Times New Roman" w:hAnsi="Times New Roman" w:cs="Times New Roman"/>
          <w:sz w:val="24"/>
        </w:rPr>
        <w:t xml:space="preserve">, </w:t>
      </w:r>
      <w:r>
        <w:rPr>
          <w:rFonts w:ascii="Times New Roman" w:hAnsi="Times New Roman" w:cs="Times New Roman"/>
          <w:i/>
          <w:iCs/>
          <w:sz w:val="24"/>
        </w:rPr>
        <w:t>119</w:t>
      </w:r>
      <w:r>
        <w:rPr>
          <w:rFonts w:ascii="Times New Roman" w:hAnsi="Times New Roman" w:cs="Times New Roman"/>
          <w:sz w:val="24"/>
        </w:rPr>
        <w:t>, 103733. https://doi.org/10.1016/j.ijhm.2024.103733</w:t>
      </w:r>
    </w:p>
    <w:p w14:paraId="62C66940" w14:textId="77777777" w:rsidR="00037A35" w:rsidRDefault="00000000">
      <w:pPr>
        <w:pStyle w:val="Bibliography1"/>
        <w:spacing w:line="240" w:lineRule="auto"/>
        <w:rPr>
          <w:rFonts w:ascii="Times New Roman" w:hAnsi="Times New Roman" w:cs="Times New Roman"/>
          <w:sz w:val="24"/>
        </w:rPr>
      </w:pPr>
      <w:r>
        <w:rPr>
          <w:rFonts w:ascii="Times New Roman" w:hAnsi="Times New Roman" w:cs="Times New Roman"/>
          <w:sz w:val="24"/>
        </w:rPr>
        <w:t xml:space="preserve">Singh, A., Ishrat, A., Barthwal, T., Rani, A., &amp; Mishra, M. (2025). Factors of online learning engagement and their impact on value co-creation among students: A structural equation modelling approach. </w:t>
      </w:r>
      <w:r>
        <w:rPr>
          <w:rFonts w:ascii="Times New Roman" w:hAnsi="Times New Roman" w:cs="Times New Roman"/>
          <w:i/>
          <w:iCs/>
          <w:sz w:val="24"/>
        </w:rPr>
        <w:t>On the Horizon: The International Journal of Learning Futures</w:t>
      </w:r>
      <w:r>
        <w:rPr>
          <w:rFonts w:ascii="Times New Roman" w:hAnsi="Times New Roman" w:cs="Times New Roman"/>
          <w:sz w:val="24"/>
        </w:rPr>
        <w:t xml:space="preserve">, </w:t>
      </w:r>
      <w:r>
        <w:rPr>
          <w:rFonts w:ascii="Times New Roman" w:hAnsi="Times New Roman" w:cs="Times New Roman"/>
          <w:i/>
          <w:iCs/>
          <w:sz w:val="24"/>
        </w:rPr>
        <w:t>33</w:t>
      </w:r>
      <w:r>
        <w:rPr>
          <w:rFonts w:ascii="Times New Roman" w:hAnsi="Times New Roman" w:cs="Times New Roman"/>
          <w:sz w:val="24"/>
        </w:rPr>
        <w:t>(2), 199–222. https://doi.org/10.1108/OTH-11-2024-0075</w:t>
      </w:r>
    </w:p>
    <w:p w14:paraId="70C0B675" w14:textId="77777777" w:rsidR="00037A35" w:rsidRDefault="00000000">
      <w:pPr>
        <w:pStyle w:val="Bibliography1"/>
        <w:spacing w:line="240" w:lineRule="auto"/>
        <w:rPr>
          <w:rFonts w:ascii="Times New Roman" w:hAnsi="Times New Roman" w:cs="Times New Roman"/>
          <w:sz w:val="24"/>
        </w:rPr>
      </w:pPr>
      <w:r>
        <w:rPr>
          <w:rFonts w:ascii="Times New Roman" w:hAnsi="Times New Roman" w:cs="Times New Roman"/>
          <w:sz w:val="24"/>
        </w:rPr>
        <w:lastRenderedPageBreak/>
        <w:t xml:space="preserve">Soleymani, A., De Laat, M., &amp; Specht, M. (2025). Exploring Personal Experience and Value Creation in Postdigital Education: Insights from a Large-Scale MOOC Survey. </w:t>
      </w:r>
      <w:r>
        <w:rPr>
          <w:rFonts w:ascii="Times New Roman" w:hAnsi="Times New Roman" w:cs="Times New Roman"/>
          <w:i/>
          <w:iCs/>
          <w:sz w:val="24"/>
        </w:rPr>
        <w:t>Postdigital Science and Education</w:t>
      </w:r>
      <w:r>
        <w:rPr>
          <w:rFonts w:ascii="Times New Roman" w:hAnsi="Times New Roman" w:cs="Times New Roman"/>
          <w:sz w:val="24"/>
        </w:rPr>
        <w:t>. https://doi.org/10.1007/s42438-025-00561-0</w:t>
      </w:r>
    </w:p>
    <w:p w14:paraId="2C248A29" w14:textId="77777777" w:rsidR="00037A35" w:rsidRDefault="00000000">
      <w:pPr>
        <w:pStyle w:val="Bibliography1"/>
        <w:spacing w:line="240" w:lineRule="auto"/>
        <w:rPr>
          <w:rFonts w:ascii="Times New Roman" w:hAnsi="Times New Roman" w:cs="Times New Roman"/>
          <w:sz w:val="24"/>
        </w:rPr>
      </w:pPr>
      <w:r>
        <w:rPr>
          <w:rFonts w:ascii="Times New Roman" w:hAnsi="Times New Roman" w:cs="Times New Roman"/>
          <w:sz w:val="24"/>
        </w:rPr>
        <w:t xml:space="preserve">Souza, A. A. D., Damacena, C., Araújo, C. F., Carvalho, B. P., &amp; Seibt, N. G. (2023). The influence of customer participation and convenience on customer satisfaction: A multiple mediation. </w:t>
      </w:r>
      <w:r>
        <w:rPr>
          <w:rFonts w:ascii="Times New Roman" w:hAnsi="Times New Roman" w:cs="Times New Roman"/>
          <w:i/>
          <w:iCs/>
          <w:sz w:val="24"/>
        </w:rPr>
        <w:t>Revista de Administração Da UFSM</w:t>
      </w:r>
      <w:r>
        <w:rPr>
          <w:rFonts w:ascii="Times New Roman" w:hAnsi="Times New Roman" w:cs="Times New Roman"/>
          <w:sz w:val="24"/>
        </w:rPr>
        <w:t xml:space="preserve">, </w:t>
      </w:r>
      <w:r>
        <w:rPr>
          <w:rFonts w:ascii="Times New Roman" w:hAnsi="Times New Roman" w:cs="Times New Roman"/>
          <w:i/>
          <w:iCs/>
          <w:sz w:val="24"/>
        </w:rPr>
        <w:t>16</w:t>
      </w:r>
      <w:r>
        <w:rPr>
          <w:rFonts w:ascii="Times New Roman" w:hAnsi="Times New Roman" w:cs="Times New Roman"/>
          <w:sz w:val="24"/>
        </w:rPr>
        <w:t>(2), e5. https://doi.org/10.5902/1983465971688</w:t>
      </w:r>
    </w:p>
    <w:p w14:paraId="10D510DA" w14:textId="77777777" w:rsidR="00037A35" w:rsidRDefault="00000000">
      <w:pPr>
        <w:pStyle w:val="Bibliography1"/>
        <w:spacing w:line="240" w:lineRule="auto"/>
        <w:rPr>
          <w:rFonts w:ascii="Times New Roman" w:hAnsi="Times New Roman" w:cs="Times New Roman"/>
          <w:sz w:val="24"/>
        </w:rPr>
      </w:pPr>
      <w:r>
        <w:rPr>
          <w:rFonts w:ascii="Times New Roman" w:hAnsi="Times New Roman" w:cs="Times New Roman"/>
          <w:sz w:val="24"/>
        </w:rPr>
        <w:t xml:space="preserve">Taylor, D. L., Yeung, M., &amp; Bashet, A. Z. (2021). Personalized and Adaptive Learning. In J. Ryoo &amp; K. Winkelmann (Eds.), </w:t>
      </w:r>
      <w:r>
        <w:rPr>
          <w:rFonts w:ascii="Times New Roman" w:hAnsi="Times New Roman" w:cs="Times New Roman"/>
          <w:i/>
          <w:iCs/>
          <w:sz w:val="24"/>
        </w:rPr>
        <w:t>Innovative Learning Environments in STEM Higher Education</w:t>
      </w:r>
      <w:r>
        <w:rPr>
          <w:rFonts w:ascii="Times New Roman" w:hAnsi="Times New Roman" w:cs="Times New Roman"/>
          <w:sz w:val="24"/>
        </w:rPr>
        <w:t xml:space="preserve"> (pp. 17–34). Springer International Publishing. https://doi.org/10.1007/978-3-030-58948-6_2</w:t>
      </w:r>
    </w:p>
    <w:p w14:paraId="58F43962" w14:textId="77777777" w:rsidR="00037A35" w:rsidRDefault="00000000">
      <w:pPr>
        <w:pStyle w:val="Bibliography1"/>
        <w:spacing w:line="240" w:lineRule="auto"/>
        <w:rPr>
          <w:rFonts w:ascii="Times New Roman" w:hAnsi="Times New Roman" w:cs="Times New Roman"/>
          <w:sz w:val="24"/>
        </w:rPr>
      </w:pPr>
      <w:r>
        <w:rPr>
          <w:rFonts w:ascii="Times New Roman" w:hAnsi="Times New Roman" w:cs="Times New Roman"/>
          <w:sz w:val="24"/>
        </w:rPr>
        <w:t xml:space="preserve">Taylor, J., &amp; Armes, G. (2024). Social comparison on Instagram, and its relationship with self-esteem and body-esteem. </w:t>
      </w:r>
      <w:r>
        <w:rPr>
          <w:rFonts w:ascii="Times New Roman" w:hAnsi="Times New Roman" w:cs="Times New Roman"/>
          <w:i/>
          <w:iCs/>
          <w:sz w:val="24"/>
        </w:rPr>
        <w:t>Discover Psychology</w:t>
      </w:r>
      <w:r>
        <w:rPr>
          <w:rFonts w:ascii="Times New Roman" w:hAnsi="Times New Roman" w:cs="Times New Roman"/>
          <w:sz w:val="24"/>
        </w:rPr>
        <w:t xml:space="preserve">, </w:t>
      </w:r>
      <w:r>
        <w:rPr>
          <w:rFonts w:ascii="Times New Roman" w:hAnsi="Times New Roman" w:cs="Times New Roman"/>
          <w:i/>
          <w:iCs/>
          <w:sz w:val="24"/>
        </w:rPr>
        <w:t>4</w:t>
      </w:r>
      <w:r>
        <w:rPr>
          <w:rFonts w:ascii="Times New Roman" w:hAnsi="Times New Roman" w:cs="Times New Roman"/>
          <w:sz w:val="24"/>
        </w:rPr>
        <w:t>(1), 126. https://doi.org/10.1007/s44202-024-00241-3</w:t>
      </w:r>
    </w:p>
    <w:p w14:paraId="2C4A5BAA" w14:textId="77777777" w:rsidR="00037A35" w:rsidRDefault="00000000">
      <w:pPr>
        <w:pStyle w:val="Bibliography1"/>
        <w:spacing w:line="240" w:lineRule="auto"/>
        <w:rPr>
          <w:rFonts w:ascii="Times New Roman" w:hAnsi="Times New Roman" w:cs="Times New Roman"/>
          <w:sz w:val="24"/>
        </w:rPr>
      </w:pPr>
      <w:r>
        <w:rPr>
          <w:rFonts w:ascii="Times New Roman" w:hAnsi="Times New Roman" w:cs="Times New Roman"/>
          <w:sz w:val="24"/>
        </w:rPr>
        <w:t xml:space="preserve">Vargo, S. L., &amp; Lusch, R. F. (2016). Institutions and axioms: An extension and update of service-dominant logic. </w:t>
      </w:r>
      <w:r>
        <w:rPr>
          <w:rFonts w:ascii="Times New Roman" w:hAnsi="Times New Roman" w:cs="Times New Roman"/>
          <w:i/>
          <w:iCs/>
          <w:sz w:val="24"/>
        </w:rPr>
        <w:t>Journal of the Academy of Marketing Science</w:t>
      </w:r>
      <w:r>
        <w:rPr>
          <w:rFonts w:ascii="Times New Roman" w:hAnsi="Times New Roman" w:cs="Times New Roman"/>
          <w:sz w:val="24"/>
        </w:rPr>
        <w:t xml:space="preserve">, </w:t>
      </w:r>
      <w:r>
        <w:rPr>
          <w:rFonts w:ascii="Times New Roman" w:hAnsi="Times New Roman" w:cs="Times New Roman"/>
          <w:i/>
          <w:iCs/>
          <w:sz w:val="24"/>
        </w:rPr>
        <w:t>44</w:t>
      </w:r>
      <w:r>
        <w:rPr>
          <w:rFonts w:ascii="Times New Roman" w:hAnsi="Times New Roman" w:cs="Times New Roman"/>
          <w:sz w:val="24"/>
        </w:rPr>
        <w:t>(1), 5–23. https://doi.org/10.1007/s11747-015-0456-3</w:t>
      </w:r>
    </w:p>
    <w:p w14:paraId="3BAB5449" w14:textId="77777777" w:rsidR="00037A35" w:rsidRDefault="00000000">
      <w:pPr>
        <w:pStyle w:val="Bibliography1"/>
        <w:spacing w:line="240" w:lineRule="auto"/>
        <w:rPr>
          <w:rFonts w:ascii="Times New Roman" w:hAnsi="Times New Roman" w:cs="Times New Roman"/>
          <w:sz w:val="24"/>
        </w:rPr>
      </w:pPr>
      <w:r>
        <w:rPr>
          <w:rFonts w:ascii="Times New Roman" w:hAnsi="Times New Roman" w:cs="Times New Roman"/>
          <w:sz w:val="24"/>
        </w:rPr>
        <w:t xml:space="preserve">Wayne, K., MacNeill, L., Luke, A., Anthonisen, G., McGavin, C., Wilhelm, L., &amp; Doucet, S. (2024). Enhancing patient-oriented research training: Participant perceptions of an online course. </w:t>
      </w:r>
      <w:r>
        <w:rPr>
          <w:rFonts w:ascii="Times New Roman" w:hAnsi="Times New Roman" w:cs="Times New Roman"/>
          <w:i/>
          <w:iCs/>
          <w:sz w:val="24"/>
        </w:rPr>
        <w:t>Research Involvement and Engagement</w:t>
      </w:r>
      <w:r>
        <w:rPr>
          <w:rFonts w:ascii="Times New Roman" w:hAnsi="Times New Roman" w:cs="Times New Roman"/>
          <w:sz w:val="24"/>
        </w:rPr>
        <w:t xml:space="preserve">, </w:t>
      </w:r>
      <w:r>
        <w:rPr>
          <w:rFonts w:ascii="Times New Roman" w:hAnsi="Times New Roman" w:cs="Times New Roman"/>
          <w:i/>
          <w:iCs/>
          <w:sz w:val="24"/>
        </w:rPr>
        <w:t>10</w:t>
      </w:r>
      <w:r>
        <w:rPr>
          <w:rFonts w:ascii="Times New Roman" w:hAnsi="Times New Roman" w:cs="Times New Roman"/>
          <w:sz w:val="24"/>
        </w:rPr>
        <w:t>(1), 93. https://doi.org/10.1186/s40900-024-00629-4</w:t>
      </w:r>
    </w:p>
    <w:p w14:paraId="36CD51F5" w14:textId="77777777" w:rsidR="00037A35" w:rsidRDefault="00000000">
      <w:pPr>
        <w:pStyle w:val="Bibliography1"/>
        <w:spacing w:line="240" w:lineRule="auto"/>
        <w:rPr>
          <w:rFonts w:ascii="Times New Roman" w:hAnsi="Times New Roman" w:cs="Times New Roman"/>
          <w:sz w:val="24"/>
        </w:rPr>
      </w:pPr>
      <w:r>
        <w:rPr>
          <w:rFonts w:ascii="Times New Roman" w:hAnsi="Times New Roman" w:cs="Times New Roman"/>
          <w:sz w:val="24"/>
        </w:rPr>
        <w:t xml:space="preserve">Xu, H., Chen, Y., &amp; Xu, P. (2024). Driving Mechanism of Customer Participation in Service-Oriented Enterprises: A Perspective of Value Co-Creation. </w:t>
      </w:r>
      <w:r>
        <w:rPr>
          <w:rFonts w:ascii="Times New Roman" w:hAnsi="Times New Roman" w:cs="Times New Roman"/>
          <w:i/>
          <w:iCs/>
          <w:sz w:val="24"/>
        </w:rPr>
        <w:t>Sustainability</w:t>
      </w:r>
      <w:r>
        <w:rPr>
          <w:rFonts w:ascii="Times New Roman" w:hAnsi="Times New Roman" w:cs="Times New Roman"/>
          <w:sz w:val="24"/>
        </w:rPr>
        <w:t xml:space="preserve">, </w:t>
      </w:r>
      <w:r>
        <w:rPr>
          <w:rFonts w:ascii="Times New Roman" w:hAnsi="Times New Roman" w:cs="Times New Roman"/>
          <w:i/>
          <w:iCs/>
          <w:sz w:val="24"/>
        </w:rPr>
        <w:t>16</w:t>
      </w:r>
      <w:r>
        <w:rPr>
          <w:rFonts w:ascii="Times New Roman" w:hAnsi="Times New Roman" w:cs="Times New Roman"/>
          <w:sz w:val="24"/>
        </w:rPr>
        <w:t>(8), 3310. https://doi.org/10.3390/su16083310</w:t>
      </w:r>
    </w:p>
    <w:p w14:paraId="7DCDEAE2" w14:textId="77777777" w:rsidR="00037A35" w:rsidRDefault="00000000">
      <w:pPr>
        <w:pStyle w:val="Bibliography1"/>
        <w:spacing w:line="240" w:lineRule="auto"/>
        <w:rPr>
          <w:rFonts w:ascii="Times New Roman" w:hAnsi="Times New Roman" w:cs="Times New Roman"/>
          <w:sz w:val="24"/>
        </w:rPr>
      </w:pPr>
      <w:r>
        <w:rPr>
          <w:rFonts w:ascii="Times New Roman" w:hAnsi="Times New Roman" w:cs="Times New Roman"/>
          <w:sz w:val="24"/>
        </w:rPr>
        <w:t xml:space="preserve">Yin, J., Zhao, Y., Ma, Z., Chen, S., &amp; Li, M. (2025). Customer citizenship behavior and customer perceived value in China: The mediating role of value co-creation experience. </w:t>
      </w:r>
      <w:r>
        <w:rPr>
          <w:rFonts w:ascii="Times New Roman" w:hAnsi="Times New Roman" w:cs="Times New Roman"/>
          <w:i/>
          <w:iCs/>
          <w:sz w:val="24"/>
        </w:rPr>
        <w:t>Humanities and Social Sciences Communications</w:t>
      </w:r>
      <w:r>
        <w:rPr>
          <w:rFonts w:ascii="Times New Roman" w:hAnsi="Times New Roman" w:cs="Times New Roman"/>
          <w:sz w:val="24"/>
        </w:rPr>
        <w:t xml:space="preserve">, </w:t>
      </w:r>
      <w:r>
        <w:rPr>
          <w:rFonts w:ascii="Times New Roman" w:hAnsi="Times New Roman" w:cs="Times New Roman"/>
          <w:i/>
          <w:iCs/>
          <w:sz w:val="24"/>
        </w:rPr>
        <w:t>12</w:t>
      </w:r>
      <w:r>
        <w:rPr>
          <w:rFonts w:ascii="Times New Roman" w:hAnsi="Times New Roman" w:cs="Times New Roman"/>
          <w:sz w:val="24"/>
        </w:rPr>
        <w:t>(1), 1987. https://doi.org/10.1057/s41599-025-06223-7</w:t>
      </w:r>
    </w:p>
    <w:p w14:paraId="5FB8D9DC" w14:textId="77777777" w:rsidR="00037A35" w:rsidRDefault="00000000">
      <w:pPr>
        <w:pStyle w:val="Bibliography1"/>
        <w:spacing w:line="240" w:lineRule="auto"/>
        <w:rPr>
          <w:rFonts w:ascii="Times New Roman" w:hAnsi="Times New Roman" w:cs="Times New Roman"/>
          <w:sz w:val="24"/>
        </w:rPr>
      </w:pPr>
      <w:r>
        <w:rPr>
          <w:rFonts w:ascii="Times New Roman" w:hAnsi="Times New Roman" w:cs="Times New Roman"/>
          <w:sz w:val="24"/>
        </w:rPr>
        <w:t xml:space="preserve">Zainuddin, Z., Chu, S. K. W., Shujahat, M., &amp; Perera, C. J. (2020). The impact of gamification on learning and instruction: A systematic review of empirical evidence. </w:t>
      </w:r>
      <w:r>
        <w:rPr>
          <w:rFonts w:ascii="Times New Roman" w:hAnsi="Times New Roman" w:cs="Times New Roman"/>
          <w:i/>
          <w:iCs/>
          <w:sz w:val="24"/>
        </w:rPr>
        <w:t>Educational Research Review</w:t>
      </w:r>
      <w:r>
        <w:rPr>
          <w:rFonts w:ascii="Times New Roman" w:hAnsi="Times New Roman" w:cs="Times New Roman"/>
          <w:sz w:val="24"/>
        </w:rPr>
        <w:t xml:space="preserve">, </w:t>
      </w:r>
      <w:r>
        <w:rPr>
          <w:rFonts w:ascii="Times New Roman" w:hAnsi="Times New Roman" w:cs="Times New Roman"/>
          <w:i/>
          <w:iCs/>
          <w:sz w:val="24"/>
        </w:rPr>
        <w:t>30</w:t>
      </w:r>
      <w:r>
        <w:rPr>
          <w:rFonts w:ascii="Times New Roman" w:hAnsi="Times New Roman" w:cs="Times New Roman"/>
          <w:sz w:val="24"/>
        </w:rPr>
        <w:t>, 100326. https://doi.org/10.1016/j.edurev.2020.100326</w:t>
      </w:r>
    </w:p>
    <w:p w14:paraId="518AAD34" w14:textId="77777777" w:rsidR="00037A35" w:rsidRDefault="00000000">
      <w:pPr>
        <w:pStyle w:val="Bibliography1"/>
        <w:spacing w:line="240" w:lineRule="auto"/>
        <w:rPr>
          <w:rFonts w:ascii="Times New Roman" w:hAnsi="Times New Roman" w:cs="Times New Roman"/>
          <w:sz w:val="24"/>
        </w:rPr>
      </w:pPr>
      <w:r>
        <w:rPr>
          <w:rFonts w:ascii="Times New Roman" w:hAnsi="Times New Roman" w:cs="Times New Roman"/>
          <w:sz w:val="24"/>
        </w:rPr>
        <w:t xml:space="preserve">Zhang, S., Che, S., Nan, D., &amp; Kim, J. H. (2023). How does online social interaction promote students’ continuous learning intentions? </w:t>
      </w:r>
      <w:r>
        <w:rPr>
          <w:rFonts w:ascii="Times New Roman" w:hAnsi="Times New Roman" w:cs="Times New Roman"/>
          <w:i/>
          <w:iCs/>
          <w:sz w:val="24"/>
        </w:rPr>
        <w:t>Frontiers in Psychology</w:t>
      </w:r>
      <w:r>
        <w:rPr>
          <w:rFonts w:ascii="Times New Roman" w:hAnsi="Times New Roman" w:cs="Times New Roman"/>
          <w:sz w:val="24"/>
        </w:rPr>
        <w:t xml:space="preserve">, </w:t>
      </w:r>
      <w:r>
        <w:rPr>
          <w:rFonts w:ascii="Times New Roman" w:hAnsi="Times New Roman" w:cs="Times New Roman"/>
          <w:i/>
          <w:iCs/>
          <w:sz w:val="24"/>
        </w:rPr>
        <w:t>14</w:t>
      </w:r>
      <w:r>
        <w:rPr>
          <w:rFonts w:ascii="Times New Roman" w:hAnsi="Times New Roman" w:cs="Times New Roman"/>
          <w:sz w:val="24"/>
        </w:rPr>
        <w:t>, 1098110. https://doi.org/10.3389/fpsyg.2023.1098110</w:t>
      </w:r>
    </w:p>
    <w:p w14:paraId="50238D64" w14:textId="77777777" w:rsidR="00037A35" w:rsidRDefault="00000000">
      <w:pPr>
        <w:pStyle w:val="Bibliography1"/>
        <w:spacing w:line="240" w:lineRule="auto"/>
        <w:rPr>
          <w:rFonts w:ascii="Times New Roman" w:hAnsi="Times New Roman" w:cs="Times New Roman"/>
          <w:sz w:val="24"/>
        </w:rPr>
      </w:pPr>
      <w:r>
        <w:rPr>
          <w:rFonts w:ascii="Times New Roman" w:hAnsi="Times New Roman" w:cs="Times New Roman"/>
          <w:sz w:val="24"/>
        </w:rPr>
        <w:t xml:space="preserve">Zhang, X., Singh, S., Li, J., &amp; Shao, X. (2024). Exploring the effects of value co-creation strategies in event services on attendees’ citizenship behaviors: The roles of customer empowerment and psychological ownership. </w:t>
      </w:r>
      <w:r>
        <w:rPr>
          <w:rFonts w:ascii="Times New Roman" w:hAnsi="Times New Roman" w:cs="Times New Roman"/>
          <w:i/>
          <w:iCs/>
          <w:sz w:val="24"/>
        </w:rPr>
        <w:t>Journal of Retailing and Consumer Services</w:t>
      </w:r>
      <w:r>
        <w:rPr>
          <w:rFonts w:ascii="Times New Roman" w:hAnsi="Times New Roman" w:cs="Times New Roman"/>
          <w:sz w:val="24"/>
        </w:rPr>
        <w:t xml:space="preserve">, </w:t>
      </w:r>
      <w:r>
        <w:rPr>
          <w:rFonts w:ascii="Times New Roman" w:hAnsi="Times New Roman" w:cs="Times New Roman"/>
          <w:i/>
          <w:iCs/>
          <w:sz w:val="24"/>
        </w:rPr>
        <w:t>76</w:t>
      </w:r>
      <w:r>
        <w:rPr>
          <w:rFonts w:ascii="Times New Roman" w:hAnsi="Times New Roman" w:cs="Times New Roman"/>
          <w:sz w:val="24"/>
        </w:rPr>
        <w:t>, 103619. https://doi.org/10.1016/j.jretconser.2023.103619</w:t>
      </w:r>
    </w:p>
    <w:p w14:paraId="7EF40593" w14:textId="77777777" w:rsidR="00037A35" w:rsidRDefault="00000000">
      <w:pPr>
        <w:pStyle w:val="Bibliography1"/>
        <w:spacing w:line="240" w:lineRule="auto"/>
        <w:rPr>
          <w:rFonts w:ascii="Times New Roman" w:hAnsi="Times New Roman" w:cs="Times New Roman"/>
          <w:sz w:val="24"/>
        </w:rPr>
      </w:pPr>
      <w:r>
        <w:rPr>
          <w:rFonts w:ascii="Times New Roman" w:hAnsi="Times New Roman" w:cs="Times New Roman"/>
          <w:sz w:val="24"/>
        </w:rPr>
        <w:fldChar w:fldCharType="end"/>
      </w:r>
    </w:p>
    <w:sectPr w:rsidR="00037A3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82F1F12"/>
    <w:rsid w:val="0000249F"/>
    <w:rsid w:val="00006C3B"/>
    <w:rsid w:val="00015867"/>
    <w:rsid w:val="00020954"/>
    <w:rsid w:val="0002199A"/>
    <w:rsid w:val="00032004"/>
    <w:rsid w:val="00033644"/>
    <w:rsid w:val="00037A35"/>
    <w:rsid w:val="000476BE"/>
    <w:rsid w:val="00082D49"/>
    <w:rsid w:val="000A3A5E"/>
    <w:rsid w:val="000A5FB8"/>
    <w:rsid w:val="000B5AB8"/>
    <w:rsid w:val="000C1F1B"/>
    <w:rsid w:val="000C20ED"/>
    <w:rsid w:val="000E6D77"/>
    <w:rsid w:val="000F136E"/>
    <w:rsid w:val="00105276"/>
    <w:rsid w:val="00105D5D"/>
    <w:rsid w:val="00113121"/>
    <w:rsid w:val="001218DD"/>
    <w:rsid w:val="00143C30"/>
    <w:rsid w:val="00145F29"/>
    <w:rsid w:val="001674D2"/>
    <w:rsid w:val="00174223"/>
    <w:rsid w:val="001779D8"/>
    <w:rsid w:val="001854C3"/>
    <w:rsid w:val="00185C76"/>
    <w:rsid w:val="00186720"/>
    <w:rsid w:val="001B7483"/>
    <w:rsid w:val="001C50A2"/>
    <w:rsid w:val="001E217F"/>
    <w:rsid w:val="001F0CA1"/>
    <w:rsid w:val="001F441B"/>
    <w:rsid w:val="001F72FD"/>
    <w:rsid w:val="001F78A0"/>
    <w:rsid w:val="00215CE8"/>
    <w:rsid w:val="002261C8"/>
    <w:rsid w:val="0023035E"/>
    <w:rsid w:val="00236F22"/>
    <w:rsid w:val="0024523E"/>
    <w:rsid w:val="002478A1"/>
    <w:rsid w:val="00252ABE"/>
    <w:rsid w:val="002548F0"/>
    <w:rsid w:val="0025538C"/>
    <w:rsid w:val="00262EA5"/>
    <w:rsid w:val="002753C2"/>
    <w:rsid w:val="002876B5"/>
    <w:rsid w:val="002947BB"/>
    <w:rsid w:val="002A39C4"/>
    <w:rsid w:val="002A71AE"/>
    <w:rsid w:val="002C6FD1"/>
    <w:rsid w:val="002D198F"/>
    <w:rsid w:val="002D428A"/>
    <w:rsid w:val="002F3306"/>
    <w:rsid w:val="002F3331"/>
    <w:rsid w:val="002F6854"/>
    <w:rsid w:val="0030469C"/>
    <w:rsid w:val="00313B64"/>
    <w:rsid w:val="00316654"/>
    <w:rsid w:val="003272A1"/>
    <w:rsid w:val="00330838"/>
    <w:rsid w:val="00340CA5"/>
    <w:rsid w:val="003449D8"/>
    <w:rsid w:val="003724A6"/>
    <w:rsid w:val="003900B2"/>
    <w:rsid w:val="003A0504"/>
    <w:rsid w:val="003A1419"/>
    <w:rsid w:val="003B7259"/>
    <w:rsid w:val="003C1139"/>
    <w:rsid w:val="003C2DF1"/>
    <w:rsid w:val="003E1453"/>
    <w:rsid w:val="003E1F29"/>
    <w:rsid w:val="003E2E71"/>
    <w:rsid w:val="003F2AF8"/>
    <w:rsid w:val="003F445D"/>
    <w:rsid w:val="00422153"/>
    <w:rsid w:val="00437EE9"/>
    <w:rsid w:val="00446A62"/>
    <w:rsid w:val="00461FD5"/>
    <w:rsid w:val="00465FE8"/>
    <w:rsid w:val="004710B7"/>
    <w:rsid w:val="0047618C"/>
    <w:rsid w:val="00481136"/>
    <w:rsid w:val="00484364"/>
    <w:rsid w:val="004872EF"/>
    <w:rsid w:val="00491394"/>
    <w:rsid w:val="004B27AA"/>
    <w:rsid w:val="004B3E37"/>
    <w:rsid w:val="004B5D70"/>
    <w:rsid w:val="004B6934"/>
    <w:rsid w:val="004C3222"/>
    <w:rsid w:val="004C47B0"/>
    <w:rsid w:val="004F359F"/>
    <w:rsid w:val="004F371C"/>
    <w:rsid w:val="004F595B"/>
    <w:rsid w:val="0050025A"/>
    <w:rsid w:val="00512D39"/>
    <w:rsid w:val="00514718"/>
    <w:rsid w:val="00515E96"/>
    <w:rsid w:val="00516578"/>
    <w:rsid w:val="00533E8D"/>
    <w:rsid w:val="00535C3A"/>
    <w:rsid w:val="00537245"/>
    <w:rsid w:val="005400F2"/>
    <w:rsid w:val="00541952"/>
    <w:rsid w:val="00542A8C"/>
    <w:rsid w:val="00544F04"/>
    <w:rsid w:val="005501D0"/>
    <w:rsid w:val="00560DC0"/>
    <w:rsid w:val="00564494"/>
    <w:rsid w:val="005653FC"/>
    <w:rsid w:val="00566A45"/>
    <w:rsid w:val="0056721C"/>
    <w:rsid w:val="005701C5"/>
    <w:rsid w:val="005741F1"/>
    <w:rsid w:val="0058571C"/>
    <w:rsid w:val="00586A56"/>
    <w:rsid w:val="005A4D5B"/>
    <w:rsid w:val="005A4F60"/>
    <w:rsid w:val="005B2579"/>
    <w:rsid w:val="005B4674"/>
    <w:rsid w:val="005D242D"/>
    <w:rsid w:val="005D433B"/>
    <w:rsid w:val="005D7944"/>
    <w:rsid w:val="005E0235"/>
    <w:rsid w:val="005E229D"/>
    <w:rsid w:val="005E2879"/>
    <w:rsid w:val="00604924"/>
    <w:rsid w:val="006204FD"/>
    <w:rsid w:val="006241D3"/>
    <w:rsid w:val="00624420"/>
    <w:rsid w:val="006365AA"/>
    <w:rsid w:val="00640A11"/>
    <w:rsid w:val="00642E47"/>
    <w:rsid w:val="00644616"/>
    <w:rsid w:val="006457C3"/>
    <w:rsid w:val="006506E7"/>
    <w:rsid w:val="006544B7"/>
    <w:rsid w:val="00672C10"/>
    <w:rsid w:val="00692A67"/>
    <w:rsid w:val="00694E2A"/>
    <w:rsid w:val="006A02CD"/>
    <w:rsid w:val="006B073E"/>
    <w:rsid w:val="006B36BD"/>
    <w:rsid w:val="006B4FB1"/>
    <w:rsid w:val="006C425B"/>
    <w:rsid w:val="006D3CB9"/>
    <w:rsid w:val="006D4071"/>
    <w:rsid w:val="006E6607"/>
    <w:rsid w:val="00712144"/>
    <w:rsid w:val="00712CE8"/>
    <w:rsid w:val="00715BC2"/>
    <w:rsid w:val="007172BB"/>
    <w:rsid w:val="0072255C"/>
    <w:rsid w:val="007275D2"/>
    <w:rsid w:val="0073284D"/>
    <w:rsid w:val="00734458"/>
    <w:rsid w:val="00745306"/>
    <w:rsid w:val="00745A0A"/>
    <w:rsid w:val="00745B20"/>
    <w:rsid w:val="00746D1B"/>
    <w:rsid w:val="0076290B"/>
    <w:rsid w:val="00763A57"/>
    <w:rsid w:val="00771720"/>
    <w:rsid w:val="00774F9A"/>
    <w:rsid w:val="00790FB1"/>
    <w:rsid w:val="007B39B3"/>
    <w:rsid w:val="007B541B"/>
    <w:rsid w:val="007C3A05"/>
    <w:rsid w:val="007C4FF1"/>
    <w:rsid w:val="007D2C45"/>
    <w:rsid w:val="007E0BD8"/>
    <w:rsid w:val="0082023E"/>
    <w:rsid w:val="00835EC8"/>
    <w:rsid w:val="00841E29"/>
    <w:rsid w:val="00855DBD"/>
    <w:rsid w:val="00862164"/>
    <w:rsid w:val="00863600"/>
    <w:rsid w:val="00882823"/>
    <w:rsid w:val="008A21F7"/>
    <w:rsid w:val="008A3D47"/>
    <w:rsid w:val="008D63FA"/>
    <w:rsid w:val="008D6F5C"/>
    <w:rsid w:val="008E0FCE"/>
    <w:rsid w:val="009034B6"/>
    <w:rsid w:val="009058EB"/>
    <w:rsid w:val="00906280"/>
    <w:rsid w:val="00907A70"/>
    <w:rsid w:val="009238C2"/>
    <w:rsid w:val="009267AC"/>
    <w:rsid w:val="00926EB4"/>
    <w:rsid w:val="00936420"/>
    <w:rsid w:val="009366C5"/>
    <w:rsid w:val="009370EC"/>
    <w:rsid w:val="009431E7"/>
    <w:rsid w:val="00945155"/>
    <w:rsid w:val="00945BCD"/>
    <w:rsid w:val="009537A7"/>
    <w:rsid w:val="009542A9"/>
    <w:rsid w:val="00955FAD"/>
    <w:rsid w:val="00962740"/>
    <w:rsid w:val="00970C19"/>
    <w:rsid w:val="00984D39"/>
    <w:rsid w:val="00986892"/>
    <w:rsid w:val="0098778B"/>
    <w:rsid w:val="009901F2"/>
    <w:rsid w:val="009A7DEE"/>
    <w:rsid w:val="009B3A70"/>
    <w:rsid w:val="009B78E6"/>
    <w:rsid w:val="009C03F1"/>
    <w:rsid w:val="009D27A1"/>
    <w:rsid w:val="00A0527D"/>
    <w:rsid w:val="00A07F16"/>
    <w:rsid w:val="00A30A4C"/>
    <w:rsid w:val="00A31BF1"/>
    <w:rsid w:val="00A36747"/>
    <w:rsid w:val="00A460B3"/>
    <w:rsid w:val="00A47D36"/>
    <w:rsid w:val="00A557EA"/>
    <w:rsid w:val="00A82684"/>
    <w:rsid w:val="00AA1F1E"/>
    <w:rsid w:val="00AA4C6B"/>
    <w:rsid w:val="00AA5A33"/>
    <w:rsid w:val="00AC6742"/>
    <w:rsid w:val="00AD3520"/>
    <w:rsid w:val="00AE4BC6"/>
    <w:rsid w:val="00AF02E9"/>
    <w:rsid w:val="00B04E97"/>
    <w:rsid w:val="00B17566"/>
    <w:rsid w:val="00B243F4"/>
    <w:rsid w:val="00B351A0"/>
    <w:rsid w:val="00B40809"/>
    <w:rsid w:val="00B408B0"/>
    <w:rsid w:val="00B83491"/>
    <w:rsid w:val="00B86317"/>
    <w:rsid w:val="00B92C59"/>
    <w:rsid w:val="00BB4B3C"/>
    <w:rsid w:val="00BB5483"/>
    <w:rsid w:val="00BB7677"/>
    <w:rsid w:val="00BD278B"/>
    <w:rsid w:val="00BE4461"/>
    <w:rsid w:val="00BE4838"/>
    <w:rsid w:val="00BF2281"/>
    <w:rsid w:val="00C047D3"/>
    <w:rsid w:val="00C0646B"/>
    <w:rsid w:val="00C13757"/>
    <w:rsid w:val="00C179F1"/>
    <w:rsid w:val="00C2066F"/>
    <w:rsid w:val="00C23F78"/>
    <w:rsid w:val="00C44A41"/>
    <w:rsid w:val="00C469AC"/>
    <w:rsid w:val="00C50D22"/>
    <w:rsid w:val="00C54D8A"/>
    <w:rsid w:val="00C60B50"/>
    <w:rsid w:val="00C72BD3"/>
    <w:rsid w:val="00C84D0E"/>
    <w:rsid w:val="00C86458"/>
    <w:rsid w:val="00C87D73"/>
    <w:rsid w:val="00CA1B70"/>
    <w:rsid w:val="00CA4719"/>
    <w:rsid w:val="00CA4756"/>
    <w:rsid w:val="00CC047C"/>
    <w:rsid w:val="00CC5261"/>
    <w:rsid w:val="00CD4F03"/>
    <w:rsid w:val="00CD5C3E"/>
    <w:rsid w:val="00CD7B9A"/>
    <w:rsid w:val="00CF0007"/>
    <w:rsid w:val="00CF7DCE"/>
    <w:rsid w:val="00D10896"/>
    <w:rsid w:val="00D108F5"/>
    <w:rsid w:val="00D23C27"/>
    <w:rsid w:val="00D260CD"/>
    <w:rsid w:val="00D26612"/>
    <w:rsid w:val="00D3199E"/>
    <w:rsid w:val="00D329E7"/>
    <w:rsid w:val="00D34ECB"/>
    <w:rsid w:val="00D4336A"/>
    <w:rsid w:val="00D449FE"/>
    <w:rsid w:val="00D52AEA"/>
    <w:rsid w:val="00D547CC"/>
    <w:rsid w:val="00D55833"/>
    <w:rsid w:val="00D665BA"/>
    <w:rsid w:val="00D745CC"/>
    <w:rsid w:val="00D76A1D"/>
    <w:rsid w:val="00D84031"/>
    <w:rsid w:val="00D96017"/>
    <w:rsid w:val="00DA2784"/>
    <w:rsid w:val="00DB1B28"/>
    <w:rsid w:val="00DB371D"/>
    <w:rsid w:val="00DB3A83"/>
    <w:rsid w:val="00DC1B63"/>
    <w:rsid w:val="00DC42C5"/>
    <w:rsid w:val="00DC7B4B"/>
    <w:rsid w:val="00DE4BD5"/>
    <w:rsid w:val="00DF1A7A"/>
    <w:rsid w:val="00DF3408"/>
    <w:rsid w:val="00E265B6"/>
    <w:rsid w:val="00E30E84"/>
    <w:rsid w:val="00E33F0E"/>
    <w:rsid w:val="00E40902"/>
    <w:rsid w:val="00E6352F"/>
    <w:rsid w:val="00E72BC0"/>
    <w:rsid w:val="00EA673A"/>
    <w:rsid w:val="00EA6E6A"/>
    <w:rsid w:val="00EC295F"/>
    <w:rsid w:val="00EC2F10"/>
    <w:rsid w:val="00EC4C62"/>
    <w:rsid w:val="00ED6B0D"/>
    <w:rsid w:val="00EE6208"/>
    <w:rsid w:val="00F00C46"/>
    <w:rsid w:val="00F0361F"/>
    <w:rsid w:val="00F03BE8"/>
    <w:rsid w:val="00F03F2A"/>
    <w:rsid w:val="00F06CB4"/>
    <w:rsid w:val="00F14B18"/>
    <w:rsid w:val="00F15759"/>
    <w:rsid w:val="00F16150"/>
    <w:rsid w:val="00F239D2"/>
    <w:rsid w:val="00F30311"/>
    <w:rsid w:val="00F53427"/>
    <w:rsid w:val="00F55E04"/>
    <w:rsid w:val="00F747FD"/>
    <w:rsid w:val="00F80973"/>
    <w:rsid w:val="00F83E6C"/>
    <w:rsid w:val="00FB2E5F"/>
    <w:rsid w:val="00FB7399"/>
    <w:rsid w:val="00FC2406"/>
    <w:rsid w:val="00FC623D"/>
    <w:rsid w:val="00FD5AE3"/>
    <w:rsid w:val="00FE1373"/>
    <w:rsid w:val="00FE3905"/>
    <w:rsid w:val="00FE76A5"/>
    <w:rsid w:val="00FF59F7"/>
    <w:rsid w:val="014D6DB0"/>
    <w:rsid w:val="01E32D8F"/>
    <w:rsid w:val="03AD0D2B"/>
    <w:rsid w:val="03E67DBD"/>
    <w:rsid w:val="03FB64DC"/>
    <w:rsid w:val="08E51639"/>
    <w:rsid w:val="09F70C5B"/>
    <w:rsid w:val="0B514F3A"/>
    <w:rsid w:val="0BB35A1E"/>
    <w:rsid w:val="0DB82B63"/>
    <w:rsid w:val="0F1E7400"/>
    <w:rsid w:val="0F737665"/>
    <w:rsid w:val="0FCE3ADA"/>
    <w:rsid w:val="10B86393"/>
    <w:rsid w:val="169058DA"/>
    <w:rsid w:val="17920888"/>
    <w:rsid w:val="1981715C"/>
    <w:rsid w:val="1B796F27"/>
    <w:rsid w:val="1E6C2189"/>
    <w:rsid w:val="22CF53ED"/>
    <w:rsid w:val="22F33135"/>
    <w:rsid w:val="23283949"/>
    <w:rsid w:val="266B1EE9"/>
    <w:rsid w:val="27B01338"/>
    <w:rsid w:val="2A1B44C0"/>
    <w:rsid w:val="2B200583"/>
    <w:rsid w:val="2C726BA0"/>
    <w:rsid w:val="2CBB0662"/>
    <w:rsid w:val="2E3A7D95"/>
    <w:rsid w:val="3A470EA2"/>
    <w:rsid w:val="3EBB74E5"/>
    <w:rsid w:val="3F84338B"/>
    <w:rsid w:val="42D82B03"/>
    <w:rsid w:val="436E3210"/>
    <w:rsid w:val="44A61E95"/>
    <w:rsid w:val="46CB26BB"/>
    <w:rsid w:val="48433739"/>
    <w:rsid w:val="4CE80971"/>
    <w:rsid w:val="4D135D47"/>
    <w:rsid w:val="4D7874C8"/>
    <w:rsid w:val="517E0E3C"/>
    <w:rsid w:val="522D08CD"/>
    <w:rsid w:val="53C03E02"/>
    <w:rsid w:val="546D3B36"/>
    <w:rsid w:val="54C00B7E"/>
    <w:rsid w:val="54CB12CB"/>
    <w:rsid w:val="56B922E5"/>
    <w:rsid w:val="582F1F12"/>
    <w:rsid w:val="59486D73"/>
    <w:rsid w:val="5F122687"/>
    <w:rsid w:val="60C60DD4"/>
    <w:rsid w:val="649317EA"/>
    <w:rsid w:val="67362576"/>
    <w:rsid w:val="68183708"/>
    <w:rsid w:val="6A8E4E05"/>
    <w:rsid w:val="6B171358"/>
    <w:rsid w:val="6B2752A0"/>
    <w:rsid w:val="6B680BAF"/>
    <w:rsid w:val="6C6251A6"/>
    <w:rsid w:val="6E7D2A68"/>
    <w:rsid w:val="740251AF"/>
    <w:rsid w:val="74C27582"/>
    <w:rsid w:val="774A3600"/>
    <w:rsid w:val="77E40775"/>
    <w:rsid w:val="7BE763FC"/>
    <w:rsid w:val="7CB52F8E"/>
    <w:rsid w:val="7F0A3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9C84C35"/>
  <w15:docId w15:val="{241559F8-C489-48A0-928B-2AE81B25E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pPr>
      <w:jc w:val="left"/>
    </w:pPr>
  </w:style>
  <w:style w:type="paragraph" w:styleId="NormalWeb">
    <w:name w:val="Normal (Web)"/>
    <w:basedOn w:val="Normal"/>
    <w:qFormat/>
    <w:pPr>
      <w:spacing w:beforeAutospacing="1" w:afterAutospacing="1"/>
      <w:jc w:val="left"/>
    </w:pPr>
    <w:rPr>
      <w:rFonts w:cs="Times New Roman"/>
      <w:kern w:val="0"/>
      <w:sz w:val="24"/>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paragraph" w:customStyle="1" w:styleId="Default">
    <w:name w:val="Default"/>
    <w:uiPriority w:val="99"/>
    <w:unhideWhenUsed/>
    <w:qFormat/>
    <w:pPr>
      <w:widowControl w:val="0"/>
      <w:autoSpaceDE w:val="0"/>
      <w:autoSpaceDN w:val="0"/>
      <w:adjustRightInd w:val="0"/>
    </w:pPr>
    <w:rPr>
      <w:rFonts w:ascii="SimSun" w:hAnsi="SimSun" w:hint="eastAsia"/>
      <w:color w:val="000000"/>
      <w:sz w:val="24"/>
      <w:lang w:val="en-US"/>
    </w:rPr>
  </w:style>
  <w:style w:type="character" w:customStyle="1" w:styleId="font01">
    <w:name w:val="font01"/>
    <w:basedOn w:val="DefaultParagraphFont"/>
    <w:qFormat/>
    <w:rPr>
      <w:rFonts w:ascii="SimSun" w:eastAsia="SimSun" w:hAnsi="SimSun" w:cs="SimSun" w:hint="eastAsia"/>
      <w:color w:val="000000"/>
      <w:sz w:val="22"/>
      <w:szCs w:val="22"/>
      <w:u w:val="none"/>
    </w:rPr>
  </w:style>
  <w:style w:type="character" w:customStyle="1" w:styleId="font11">
    <w:name w:val="font11"/>
    <w:basedOn w:val="DefaultParagraphFont"/>
    <w:qFormat/>
    <w:rPr>
      <w:rFonts w:ascii="Arial" w:hAnsi="Arial" w:cs="Arial"/>
      <w:color w:val="000000"/>
      <w:sz w:val="22"/>
      <w:szCs w:val="22"/>
      <w:u w:val="none"/>
    </w:rPr>
  </w:style>
  <w:style w:type="paragraph" w:customStyle="1" w:styleId="Revision1">
    <w:name w:val="Revision1"/>
    <w:hidden/>
    <w:uiPriority w:val="99"/>
    <w:unhideWhenUsed/>
    <w:rPr>
      <w:rFonts w:asciiTheme="minorHAnsi" w:eastAsiaTheme="minorEastAsia" w:hAnsiTheme="minorHAnsi" w:cstheme="minorBidi"/>
      <w:kern w:val="2"/>
      <w:sz w:val="21"/>
      <w:szCs w:val="24"/>
      <w:lang w:val="en-US"/>
    </w:rPr>
  </w:style>
  <w:style w:type="paragraph" w:customStyle="1" w:styleId="Bibliography1">
    <w:name w:val="Bibliography1"/>
    <w:basedOn w:val="Normal"/>
    <w:next w:val="Normal"/>
    <w:uiPriority w:val="37"/>
    <w:unhideWhenUsed/>
    <w:pPr>
      <w:spacing w:line="480" w:lineRule="auto"/>
      <w:ind w:left="720" w:hanging="720"/>
    </w:pPr>
  </w:style>
  <w:style w:type="paragraph" w:styleId="Bibliography">
    <w:name w:val="Bibliography"/>
    <w:basedOn w:val="Normal"/>
    <w:next w:val="Normal"/>
    <w:uiPriority w:val="37"/>
    <w:unhideWhenUsed/>
    <w:rsid w:val="00CA1B70"/>
    <w:pPr>
      <w:spacing w:after="160" w:line="278" w:lineRule="auto"/>
      <w:jc w:val="left"/>
    </w:pPr>
    <w:rPr>
      <w:sz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69588-49FD-4E8B-AD06-0F08882E7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11862</Words>
  <Characters>67619</Characters>
  <Application>Microsoft Office Word</Application>
  <DocSecurity>0</DocSecurity>
  <Lines>563</Lines>
  <Paragraphs>158</Paragraphs>
  <ScaleCrop>false</ScaleCrop>
  <Company/>
  <LinksUpToDate>false</LinksUpToDate>
  <CharactersWithSpaces>79323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dc:creator>
  <cp:lastModifiedBy>US ER</cp:lastModifiedBy>
  <cp:revision>2</cp:revision>
  <dcterms:created xsi:type="dcterms:W3CDTF">2026-02-05T00:06:00Z</dcterms:created>
  <dcterms:modified xsi:type="dcterms:W3CDTF">2026-02-05T00:06:00Z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E8D1F84AAD1B4C3DA54C40F7BEF5D0F7_13</vt:lpwstr>
  </property>
  <property fmtid="{D5CDD505-2E9C-101B-9397-08002B2CF9AE}" pid="4" name="KSOTemplateDocerSaveRecord">
    <vt:lpwstr>eyJoZGlkIjoiNmE1N2NkMmVlYTliZmQ3YWYyYjc1NjA4ODdlYTg1NDEiLCJ1c2VySWQiOiIyODYzODM1NzkifQ==</vt:lpwstr>
  </property>
  <property fmtid="{D5CDD505-2E9C-101B-9397-08002B2CF9AE}" pid="5" name="ZOTERO_PREF_1">
    <vt:lpwstr>&lt;data data-version="3" zotero-version="6.0.36"&gt;&lt;session id="yWXkDZkl"/&gt;&lt;style id="http://www.zotero.org/styles/apa" locale="en-US" hasBibliography="1" bibliographyStyleHasBeenSet="1"/&gt;&lt;prefs&gt;&lt;pref name="fieldType" value="Field"/&gt;&lt;pref name="delayCitationU</vt:lpwstr>
  </property>
  <property fmtid="{D5CDD505-2E9C-101B-9397-08002B2CF9AE}" pid="6" name="ZOTERO_PREF_2">
    <vt:lpwstr>pdates" value="true"/&gt;&lt;/prefs&gt;&lt;/data&gt;</vt:lpwstr>
  </property>
</Properties>
</file>