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CAA7A" w14:textId="2EAF8863" w:rsidR="00956FBD" w:rsidRDefault="00570761">
      <w:pPr>
        <w:spacing w:before="247" w:line="293" w:lineRule="exact"/>
        <w:ind w:left="5050"/>
        <w:rPr>
          <w:rFonts w:ascii="Calibri Light"/>
          <w:i/>
          <w:sz w:val="24"/>
        </w:rPr>
      </w:pPr>
      <w:bookmarkStart w:id="0" w:name="_Hlk217302637"/>
      <w:bookmarkEnd w:id="0"/>
      <w:r>
        <w:rPr>
          <w:rFonts w:ascii="Calibri Light"/>
          <w:i/>
          <w:noProof/>
          <w:sz w:val="24"/>
        </w:rPr>
        <w:drawing>
          <wp:anchor distT="0" distB="0" distL="0" distR="0" simplePos="0" relativeHeight="15730176" behindDoc="0" locked="0" layoutInCell="1" allowOverlap="1" wp14:anchorId="11E54890" wp14:editId="70606A14">
            <wp:simplePos x="0" y="0"/>
            <wp:positionH relativeFrom="page">
              <wp:posOffset>5991225</wp:posOffset>
            </wp:positionH>
            <wp:positionV relativeFrom="paragraph">
              <wp:posOffset>61434</wp:posOffset>
            </wp:positionV>
            <wp:extent cx="977265" cy="48323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977265" cy="483235"/>
                    </a:xfrm>
                    <a:prstGeom prst="rect">
                      <a:avLst/>
                    </a:prstGeom>
                  </pic:spPr>
                </pic:pic>
              </a:graphicData>
            </a:graphic>
          </wp:anchor>
        </w:drawing>
      </w:r>
      <w:r>
        <w:rPr>
          <w:rFonts w:ascii="Calibri Light"/>
          <w:i/>
          <w:noProof/>
          <w:sz w:val="24"/>
        </w:rPr>
        <mc:AlternateContent>
          <mc:Choice Requires="wpg">
            <w:drawing>
              <wp:anchor distT="0" distB="0" distL="0" distR="0" simplePos="0" relativeHeight="15729664" behindDoc="0" locked="0" layoutInCell="1" allowOverlap="1" wp14:anchorId="1541ED72" wp14:editId="1F100A52">
                <wp:simplePos x="0" y="0"/>
                <wp:positionH relativeFrom="page">
                  <wp:posOffset>271272</wp:posOffset>
                </wp:positionH>
                <wp:positionV relativeFrom="page">
                  <wp:posOffset>10175747</wp:posOffset>
                </wp:positionV>
                <wp:extent cx="6760845" cy="29019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0845" cy="290195"/>
                          <a:chOff x="0" y="0"/>
                          <a:chExt cx="6760845" cy="290195"/>
                        </a:xfrm>
                      </wpg:grpSpPr>
                      <wps:wsp>
                        <wps:cNvPr id="2" name="Graphic 2"/>
                        <wps:cNvSpPr/>
                        <wps:spPr>
                          <a:xfrm>
                            <a:off x="0" y="12"/>
                            <a:ext cx="6760845" cy="6350"/>
                          </a:xfrm>
                          <a:custGeom>
                            <a:avLst/>
                            <a:gdLst/>
                            <a:ahLst/>
                            <a:cxnLst/>
                            <a:rect l="l" t="t" r="r" b="b"/>
                            <a:pathLst>
                              <a:path w="6760845" h="6350">
                                <a:moveTo>
                                  <a:pt x="6760515" y="0"/>
                                </a:moveTo>
                                <a:lnTo>
                                  <a:pt x="864412" y="0"/>
                                </a:lnTo>
                                <a:lnTo>
                                  <a:pt x="858316" y="0"/>
                                </a:lnTo>
                                <a:lnTo>
                                  <a:pt x="0" y="0"/>
                                </a:lnTo>
                                <a:lnTo>
                                  <a:pt x="0" y="6083"/>
                                </a:lnTo>
                                <a:lnTo>
                                  <a:pt x="858316" y="6083"/>
                                </a:lnTo>
                                <a:lnTo>
                                  <a:pt x="864412" y="6083"/>
                                </a:lnTo>
                                <a:lnTo>
                                  <a:pt x="6760515" y="6083"/>
                                </a:lnTo>
                                <a:lnTo>
                                  <a:pt x="676051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68452" y="21881"/>
                            <a:ext cx="692785" cy="249554"/>
                          </a:xfrm>
                          <a:prstGeom prst="rect">
                            <a:avLst/>
                          </a:prstGeom>
                        </pic:spPr>
                      </pic:pic>
                      <wps:wsp>
                        <wps:cNvPr id="4" name="Textbox 4"/>
                        <wps:cNvSpPr txBox="1"/>
                        <wps:spPr>
                          <a:xfrm>
                            <a:off x="0" y="0"/>
                            <a:ext cx="6760845" cy="290195"/>
                          </a:xfrm>
                          <a:prstGeom prst="rect">
                            <a:avLst/>
                          </a:prstGeom>
                        </wps:spPr>
                        <wps:txbx>
                          <w:txbxContent>
                            <w:p w14:paraId="6089C5FE" w14:textId="77777777" w:rsidR="00956FBD" w:rsidRDefault="00000000">
                              <w:pPr>
                                <w:spacing w:before="9"/>
                                <w:ind w:left="1457" w:right="170"/>
                                <w:rPr>
                                  <w:sz w:val="18"/>
                                </w:rPr>
                              </w:pPr>
                              <w:r>
                                <w:rPr>
                                  <w:b/>
                                  <w:sz w:val="18"/>
                                </w:rPr>
                                <w:t>Copyright:</w:t>
                              </w:r>
                              <w:r>
                                <w:rPr>
                                  <w:b/>
                                  <w:spacing w:val="-2"/>
                                  <w:sz w:val="18"/>
                                </w:rPr>
                                <w:t xml:space="preserve"> </w:t>
                              </w:r>
                              <w:r>
                                <w:rPr>
                                  <w:sz w:val="18"/>
                                </w:rPr>
                                <w:t>©</w:t>
                              </w:r>
                              <w:r>
                                <w:rPr>
                                  <w:spacing w:val="-6"/>
                                  <w:sz w:val="18"/>
                                </w:rPr>
                                <w:t xml:space="preserve"> </w:t>
                              </w:r>
                              <w:r>
                                <w:rPr>
                                  <w:sz w:val="18"/>
                                </w:rPr>
                                <w:t>2025</w:t>
                              </w:r>
                              <w:r>
                                <w:rPr>
                                  <w:spacing w:val="-2"/>
                                  <w:sz w:val="18"/>
                                </w:rPr>
                                <w:t xml:space="preserve"> </w:t>
                              </w:r>
                              <w:r>
                                <w:rPr>
                                  <w:sz w:val="18"/>
                                </w:rPr>
                                <w:t>by</w:t>
                              </w:r>
                              <w:r>
                                <w:rPr>
                                  <w:spacing w:val="-3"/>
                                  <w:sz w:val="18"/>
                                </w:rPr>
                                <w:t xml:space="preserve"> </w:t>
                              </w:r>
                              <w:r>
                                <w:rPr>
                                  <w:sz w:val="18"/>
                                </w:rPr>
                                <w:t>the</w:t>
                              </w:r>
                              <w:r>
                                <w:rPr>
                                  <w:spacing w:val="-5"/>
                                  <w:sz w:val="18"/>
                                </w:rPr>
                                <w:t xml:space="preserve"> </w:t>
                              </w:r>
                              <w:r>
                                <w:rPr>
                                  <w:sz w:val="18"/>
                                </w:rPr>
                                <w:t>authors.</w:t>
                              </w:r>
                              <w:r>
                                <w:rPr>
                                  <w:spacing w:val="-2"/>
                                  <w:sz w:val="18"/>
                                </w:rPr>
                                <w:t xml:space="preserve"> </w:t>
                              </w:r>
                              <w:r>
                                <w:rPr>
                                  <w:sz w:val="18"/>
                                </w:rPr>
                                <w:t>Submitted</w:t>
                              </w:r>
                              <w:r>
                                <w:rPr>
                                  <w:spacing w:val="-3"/>
                                  <w:sz w:val="18"/>
                                </w:rPr>
                                <w:t xml:space="preserve"> </w:t>
                              </w:r>
                              <w:r>
                                <w:rPr>
                                  <w:sz w:val="18"/>
                                </w:rPr>
                                <w:t>for</w:t>
                              </w:r>
                              <w:r>
                                <w:rPr>
                                  <w:spacing w:val="-2"/>
                                  <w:sz w:val="18"/>
                                </w:rPr>
                                <w:t xml:space="preserve"> </w:t>
                              </w:r>
                              <w:r>
                                <w:rPr>
                                  <w:sz w:val="18"/>
                                </w:rPr>
                                <w:t>possible</w:t>
                              </w:r>
                              <w:r>
                                <w:rPr>
                                  <w:spacing w:val="-3"/>
                                  <w:sz w:val="18"/>
                                </w:rPr>
                                <w:t xml:space="preserve"> </w:t>
                              </w:r>
                              <w:r>
                                <w:rPr>
                                  <w:sz w:val="18"/>
                                </w:rPr>
                                <w:t>open</w:t>
                              </w:r>
                              <w:r>
                                <w:rPr>
                                  <w:spacing w:val="-2"/>
                                  <w:sz w:val="18"/>
                                </w:rPr>
                                <w:t xml:space="preserve"> </w:t>
                              </w:r>
                              <w:r>
                                <w:rPr>
                                  <w:sz w:val="18"/>
                                </w:rPr>
                                <w:t>access</w:t>
                              </w:r>
                              <w:r>
                                <w:rPr>
                                  <w:spacing w:val="-3"/>
                                  <w:sz w:val="18"/>
                                </w:rPr>
                                <w:t xml:space="preserve"> </w:t>
                              </w:r>
                              <w:r>
                                <w:rPr>
                                  <w:sz w:val="18"/>
                                </w:rPr>
                                <w:t>publication</w:t>
                              </w:r>
                              <w:r>
                                <w:rPr>
                                  <w:spacing w:val="-2"/>
                                  <w:sz w:val="18"/>
                                </w:rPr>
                                <w:t xml:space="preserve"> </w:t>
                              </w:r>
                              <w:r>
                                <w:rPr>
                                  <w:sz w:val="18"/>
                                </w:rPr>
                                <w:t>under</w:t>
                              </w:r>
                              <w:r>
                                <w:rPr>
                                  <w:spacing w:val="-2"/>
                                  <w:sz w:val="18"/>
                                </w:rPr>
                                <w:t xml:space="preserve"> </w:t>
                              </w:r>
                              <w:r>
                                <w:rPr>
                                  <w:sz w:val="18"/>
                                </w:rPr>
                                <w:t>the</w:t>
                              </w:r>
                              <w:r>
                                <w:rPr>
                                  <w:spacing w:val="-3"/>
                                  <w:sz w:val="18"/>
                                </w:rPr>
                                <w:t xml:space="preserve"> </w:t>
                              </w:r>
                              <w:r>
                                <w:rPr>
                                  <w:sz w:val="18"/>
                                </w:rPr>
                                <w:t>terms</w:t>
                              </w:r>
                              <w:r>
                                <w:rPr>
                                  <w:spacing w:val="-3"/>
                                  <w:sz w:val="18"/>
                                </w:rPr>
                                <w:t xml:space="preserve"> </w:t>
                              </w:r>
                              <w:r>
                                <w:rPr>
                                  <w:sz w:val="18"/>
                                </w:rPr>
                                <w:t>and</w:t>
                              </w:r>
                              <w:r>
                                <w:rPr>
                                  <w:spacing w:val="-3"/>
                                  <w:sz w:val="18"/>
                                </w:rPr>
                                <w:t xml:space="preserve"> </w:t>
                              </w:r>
                              <w:r>
                                <w:rPr>
                                  <w:sz w:val="18"/>
                                </w:rPr>
                                <w:t>conditions of the Creative Commons Attribution (CC BY) license (https://creativecommons.org/licenses/by/4.0/).</w:t>
                              </w:r>
                            </w:p>
                          </w:txbxContent>
                        </wps:txbx>
                        <wps:bodyPr wrap="square" lIns="0" tIns="0" rIns="0" bIns="0" rtlCol="0">
                          <a:noAutofit/>
                        </wps:bodyPr>
                      </wps:wsp>
                    </wpg:wgp>
                  </a:graphicData>
                </a:graphic>
              </wp:anchor>
            </w:drawing>
          </mc:Choice>
          <mc:Fallback>
            <w:pict>
              <v:group w14:anchorId="1541ED72" id="Group 1" o:spid="_x0000_s1026" style="position:absolute;left:0;text-align:left;margin-left:21.35pt;margin-top:801.25pt;width:532.35pt;height:22.85pt;z-index:15729664;mso-wrap-distance-left:0;mso-wrap-distance-right:0;mso-position-horizontal-relative:page;mso-position-vertical-relative:page" coordsize="67608,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">
                <v:shape id="Graphic 2" o:spid="_x0000_s1027" style="position:absolute;width:67608;height:63;visibility:visible;mso-wrap-style:square;v-text-anchor:top" coordsize="67608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" path="m6760515,l864412,r-6096,l,,,6083r858316,l864412,6083r5896103,l6760515,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684;top:218;width:6928;height: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">
                  <v:imagedata r:id="rId8" o:title=""/>
                </v:shape>
                <v:shapetype id="_x0000_t202" coordsize="21600,21600" o:spt="202" path="m,l,21600r21600,l21600,xe">
                  <v:stroke joinstyle="miter"/>
                  <v:path gradientshapeok="t" o:connecttype="rect"/>
                </v:shapetype>
                <v:shape id="Textbox 4" o:spid="_x0000_s1029" type="#_x0000_t202" style="position:absolute;width:67608;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089C5FE" w14:textId="77777777" w:rsidR="00956FBD" w:rsidRDefault="00000000">
                        <w:pPr>
                          <w:spacing w:before="9"/>
                          <w:ind w:left="1457" w:right="170"/>
                          <w:rPr>
                            <w:sz w:val="18"/>
                          </w:rPr>
                        </w:pPr>
                        <w:r>
                          <w:rPr>
                            <w:b/>
                            <w:sz w:val="18"/>
                          </w:rPr>
                          <w:t>Copyright:</w:t>
                        </w:r>
                        <w:r>
                          <w:rPr>
                            <w:b/>
                            <w:spacing w:val="-2"/>
                            <w:sz w:val="18"/>
                          </w:rPr>
                          <w:t xml:space="preserve"> </w:t>
                        </w:r>
                        <w:r>
                          <w:rPr>
                            <w:sz w:val="18"/>
                          </w:rPr>
                          <w:t>©</w:t>
                        </w:r>
                        <w:r>
                          <w:rPr>
                            <w:spacing w:val="-6"/>
                            <w:sz w:val="18"/>
                          </w:rPr>
                          <w:t xml:space="preserve"> </w:t>
                        </w:r>
                        <w:r>
                          <w:rPr>
                            <w:sz w:val="18"/>
                          </w:rPr>
                          <w:t>2025</w:t>
                        </w:r>
                        <w:r>
                          <w:rPr>
                            <w:spacing w:val="-2"/>
                            <w:sz w:val="18"/>
                          </w:rPr>
                          <w:t xml:space="preserve"> </w:t>
                        </w:r>
                        <w:r>
                          <w:rPr>
                            <w:sz w:val="18"/>
                          </w:rPr>
                          <w:t>by</w:t>
                        </w:r>
                        <w:r>
                          <w:rPr>
                            <w:spacing w:val="-3"/>
                            <w:sz w:val="18"/>
                          </w:rPr>
                          <w:t xml:space="preserve"> </w:t>
                        </w:r>
                        <w:r>
                          <w:rPr>
                            <w:sz w:val="18"/>
                          </w:rPr>
                          <w:t>the</w:t>
                        </w:r>
                        <w:r>
                          <w:rPr>
                            <w:spacing w:val="-5"/>
                            <w:sz w:val="18"/>
                          </w:rPr>
                          <w:t xml:space="preserve"> </w:t>
                        </w:r>
                        <w:r>
                          <w:rPr>
                            <w:sz w:val="18"/>
                          </w:rPr>
                          <w:t>authors.</w:t>
                        </w:r>
                        <w:r>
                          <w:rPr>
                            <w:spacing w:val="-2"/>
                            <w:sz w:val="18"/>
                          </w:rPr>
                          <w:t xml:space="preserve"> </w:t>
                        </w:r>
                        <w:r>
                          <w:rPr>
                            <w:sz w:val="18"/>
                          </w:rPr>
                          <w:t>Submitted</w:t>
                        </w:r>
                        <w:r>
                          <w:rPr>
                            <w:spacing w:val="-3"/>
                            <w:sz w:val="18"/>
                          </w:rPr>
                          <w:t xml:space="preserve"> </w:t>
                        </w:r>
                        <w:r>
                          <w:rPr>
                            <w:sz w:val="18"/>
                          </w:rPr>
                          <w:t>for</w:t>
                        </w:r>
                        <w:r>
                          <w:rPr>
                            <w:spacing w:val="-2"/>
                            <w:sz w:val="18"/>
                          </w:rPr>
                          <w:t xml:space="preserve"> </w:t>
                        </w:r>
                        <w:r>
                          <w:rPr>
                            <w:sz w:val="18"/>
                          </w:rPr>
                          <w:t>possible</w:t>
                        </w:r>
                        <w:r>
                          <w:rPr>
                            <w:spacing w:val="-3"/>
                            <w:sz w:val="18"/>
                          </w:rPr>
                          <w:t xml:space="preserve"> </w:t>
                        </w:r>
                        <w:r>
                          <w:rPr>
                            <w:sz w:val="18"/>
                          </w:rPr>
                          <w:t>open</w:t>
                        </w:r>
                        <w:r>
                          <w:rPr>
                            <w:spacing w:val="-2"/>
                            <w:sz w:val="18"/>
                          </w:rPr>
                          <w:t xml:space="preserve"> </w:t>
                        </w:r>
                        <w:r>
                          <w:rPr>
                            <w:sz w:val="18"/>
                          </w:rPr>
                          <w:t>access</w:t>
                        </w:r>
                        <w:r>
                          <w:rPr>
                            <w:spacing w:val="-3"/>
                            <w:sz w:val="18"/>
                          </w:rPr>
                          <w:t xml:space="preserve"> </w:t>
                        </w:r>
                        <w:r>
                          <w:rPr>
                            <w:sz w:val="18"/>
                          </w:rPr>
                          <w:t>publication</w:t>
                        </w:r>
                        <w:r>
                          <w:rPr>
                            <w:spacing w:val="-2"/>
                            <w:sz w:val="18"/>
                          </w:rPr>
                          <w:t xml:space="preserve"> </w:t>
                        </w:r>
                        <w:r>
                          <w:rPr>
                            <w:sz w:val="18"/>
                          </w:rPr>
                          <w:t>under</w:t>
                        </w:r>
                        <w:r>
                          <w:rPr>
                            <w:spacing w:val="-2"/>
                            <w:sz w:val="18"/>
                          </w:rPr>
                          <w:t xml:space="preserve"> </w:t>
                        </w:r>
                        <w:r>
                          <w:rPr>
                            <w:sz w:val="18"/>
                          </w:rPr>
                          <w:t>the</w:t>
                        </w:r>
                        <w:r>
                          <w:rPr>
                            <w:spacing w:val="-3"/>
                            <w:sz w:val="18"/>
                          </w:rPr>
                          <w:t xml:space="preserve"> </w:t>
                        </w:r>
                        <w:r>
                          <w:rPr>
                            <w:sz w:val="18"/>
                          </w:rPr>
                          <w:t>terms</w:t>
                        </w:r>
                        <w:r>
                          <w:rPr>
                            <w:spacing w:val="-3"/>
                            <w:sz w:val="18"/>
                          </w:rPr>
                          <w:t xml:space="preserve"> </w:t>
                        </w:r>
                        <w:r>
                          <w:rPr>
                            <w:sz w:val="18"/>
                          </w:rPr>
                          <w:t>and</w:t>
                        </w:r>
                        <w:r>
                          <w:rPr>
                            <w:spacing w:val="-3"/>
                            <w:sz w:val="18"/>
                          </w:rPr>
                          <w:t xml:space="preserve"> </w:t>
                        </w:r>
                        <w:r>
                          <w:rPr>
                            <w:sz w:val="18"/>
                          </w:rPr>
                          <w:t>conditions of the Creative Commons Attribution (CC BY) license (https://creativecommons.org/licenses/by/4.0/).</w:t>
                        </w:r>
                      </w:p>
                    </w:txbxContent>
                  </v:textbox>
                </v:shape>
                <w10:wrap anchorx="page" anchory="page"/>
              </v:group>
            </w:pict>
          </mc:Fallback>
        </mc:AlternateContent>
      </w:r>
      <w:r>
        <w:rPr>
          <w:rFonts w:ascii="Calibri Light"/>
          <w:i/>
          <w:sz w:val="24"/>
        </w:rPr>
        <w:t>Nsukka</w:t>
      </w:r>
      <w:r>
        <w:rPr>
          <w:rFonts w:ascii="Calibri Light"/>
          <w:i/>
          <w:spacing w:val="-1"/>
          <w:sz w:val="24"/>
        </w:rPr>
        <w:t xml:space="preserve"> </w:t>
      </w:r>
      <w:r>
        <w:rPr>
          <w:rFonts w:ascii="Calibri Light"/>
          <w:i/>
          <w:sz w:val="24"/>
        </w:rPr>
        <w:t>Journal of</w:t>
      </w:r>
      <w:r>
        <w:rPr>
          <w:rFonts w:ascii="Calibri Light"/>
          <w:i/>
          <w:spacing w:val="-3"/>
          <w:sz w:val="24"/>
        </w:rPr>
        <w:t xml:space="preserve"> </w:t>
      </w:r>
      <w:r>
        <w:rPr>
          <w:rFonts w:ascii="Calibri Light"/>
          <w:i/>
          <w:sz w:val="24"/>
        </w:rPr>
        <w:t>the</w:t>
      </w:r>
      <w:r>
        <w:rPr>
          <w:rFonts w:ascii="Calibri Light"/>
          <w:i/>
          <w:spacing w:val="-2"/>
          <w:sz w:val="24"/>
        </w:rPr>
        <w:t xml:space="preserve"> Humanities</w:t>
      </w:r>
    </w:p>
    <w:p w14:paraId="0434F433" w14:textId="3A748FD6" w:rsidR="00956FBD" w:rsidRDefault="009E3E38">
      <w:pPr>
        <w:spacing w:line="217" w:lineRule="exact"/>
        <w:ind w:left="5113"/>
        <w:rPr>
          <w:i/>
          <w:sz w:val="18"/>
        </w:rPr>
      </w:pPr>
      <w:r>
        <w:rPr>
          <w:b/>
          <w:i/>
          <w:sz w:val="18"/>
        </w:rPr>
        <w:t>Januari</w:t>
      </w:r>
      <w:r>
        <w:rPr>
          <w:b/>
          <w:i/>
          <w:spacing w:val="-1"/>
          <w:sz w:val="18"/>
        </w:rPr>
        <w:t xml:space="preserve"> </w:t>
      </w:r>
      <w:r>
        <w:rPr>
          <w:b/>
          <w:i/>
          <w:sz w:val="18"/>
        </w:rPr>
        <w:t>2026</w:t>
      </w:r>
      <w:r>
        <w:rPr>
          <w:i/>
          <w:sz w:val="18"/>
        </w:rPr>
        <w:t>,</w:t>
      </w:r>
      <w:r>
        <w:rPr>
          <w:i/>
          <w:spacing w:val="-3"/>
          <w:sz w:val="18"/>
        </w:rPr>
        <w:t xml:space="preserve"> </w:t>
      </w:r>
      <w:r>
        <w:rPr>
          <w:i/>
          <w:sz w:val="18"/>
        </w:rPr>
        <w:t>33, (3)</w:t>
      </w:r>
      <w:r>
        <w:rPr>
          <w:i/>
          <w:spacing w:val="-2"/>
          <w:sz w:val="18"/>
        </w:rPr>
        <w:t xml:space="preserve"> </w:t>
      </w:r>
      <w:hyperlink r:id="rId9">
        <w:r>
          <w:rPr>
            <w:i/>
            <w:spacing w:val="-2"/>
            <w:sz w:val="18"/>
          </w:rPr>
          <w:t>www.njh.com.ng/</w:t>
        </w:r>
      </w:hyperlink>
    </w:p>
    <w:p w14:paraId="7E88EEE3" w14:textId="77777777" w:rsidR="00956FBD" w:rsidRDefault="00000000">
      <w:pPr>
        <w:pStyle w:val="BodyText"/>
        <w:spacing w:before="11"/>
        <w:ind w:left="0"/>
        <w:jc w:val="left"/>
        <w:rPr>
          <w:i/>
          <w:sz w:val="17"/>
        </w:rPr>
      </w:pPr>
      <w:r>
        <w:rPr>
          <w:i/>
          <w:noProof/>
          <w:sz w:val="17"/>
        </w:rPr>
        <mc:AlternateContent>
          <mc:Choice Requires="wps">
            <w:drawing>
              <wp:anchor distT="0" distB="0" distL="0" distR="0" simplePos="0" relativeHeight="487587840" behindDoc="1" locked="0" layoutInCell="1" allowOverlap="1" wp14:anchorId="17DACF9E" wp14:editId="405BAB2D">
                <wp:simplePos x="0" y="0"/>
                <wp:positionH relativeFrom="page">
                  <wp:posOffset>496823</wp:posOffset>
                </wp:positionH>
                <wp:positionV relativeFrom="paragraph">
                  <wp:posOffset>152874</wp:posOffset>
                </wp:positionV>
                <wp:extent cx="662813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8130" cy="6350"/>
                        </a:xfrm>
                        <a:custGeom>
                          <a:avLst/>
                          <a:gdLst/>
                          <a:ahLst/>
                          <a:cxnLst/>
                          <a:rect l="l" t="t" r="r" b="b"/>
                          <a:pathLst>
                            <a:path w="6628130" h="6350">
                              <a:moveTo>
                                <a:pt x="6627876" y="0"/>
                              </a:moveTo>
                              <a:lnTo>
                                <a:pt x="0" y="0"/>
                              </a:lnTo>
                              <a:lnTo>
                                <a:pt x="0" y="6096"/>
                              </a:lnTo>
                              <a:lnTo>
                                <a:pt x="6627876" y="6096"/>
                              </a:lnTo>
                              <a:lnTo>
                                <a:pt x="66278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D3DF7E" id="Graphic 6" o:spid="_x0000_s1026" style="position:absolute;margin-left:39.1pt;margin-top:12.05pt;width:521.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6281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" path="m6627876,l,,,6096r6627876,l6627876,xe" fillcolor="black" stroked="f">
                <v:path arrowok="t"/>
                <w10:wrap type="topAndBottom" anchorx="page"/>
              </v:shape>
            </w:pict>
          </mc:Fallback>
        </mc:AlternateContent>
      </w:r>
    </w:p>
    <w:p w14:paraId="602DAAB4" w14:textId="77777777" w:rsidR="00611090" w:rsidRDefault="00000000" w:rsidP="00611090">
      <w:pPr>
        <w:spacing w:before="118"/>
        <w:ind w:left="103"/>
        <w:rPr>
          <w:i/>
          <w:sz w:val="24"/>
        </w:rPr>
      </w:pPr>
      <w:r>
        <w:rPr>
          <w:i/>
          <w:spacing w:val="-2"/>
          <w:sz w:val="24"/>
        </w:rPr>
        <w:t>Article</w:t>
      </w:r>
    </w:p>
    <w:p w14:paraId="167DE699" w14:textId="2469FC63" w:rsidR="00611090" w:rsidRDefault="00611090" w:rsidP="00611090">
      <w:pPr>
        <w:pStyle w:val="AuthorName"/>
        <w:spacing w:afterLines="0"/>
        <w:ind w:left="142"/>
        <w:jc w:val="left"/>
        <w:rPr>
          <w:lang w:val="id-ID"/>
        </w:rPr>
      </w:pPr>
      <w:r w:rsidRPr="00611090">
        <w:rPr>
          <w:rFonts w:ascii="Book Antiqua" w:eastAsia="Book Antiqua" w:hAnsi="Book Antiqua"/>
          <w:b/>
          <w:bCs/>
          <w:kern w:val="0"/>
          <w:sz w:val="32"/>
          <w:szCs w:val="32"/>
          <w:lang w:eastAsia="en-US"/>
        </w:rPr>
        <w:t>Bibliometric Analysis of Model Predictive Control (MPC) in the Sugar Industry (1997-2025)</w:t>
      </w:r>
    </w:p>
    <w:p w14:paraId="77B916AB" w14:textId="77777777" w:rsidR="00611090" w:rsidRDefault="00611090" w:rsidP="00611090">
      <w:pPr>
        <w:pStyle w:val="AuthorName"/>
        <w:spacing w:afterLines="0"/>
        <w:rPr>
          <w:lang w:val="id-ID"/>
        </w:rPr>
      </w:pPr>
    </w:p>
    <w:p w14:paraId="47CDD67A" w14:textId="770436D9" w:rsidR="00611090" w:rsidRPr="00611090" w:rsidRDefault="00611090" w:rsidP="00611090">
      <w:pPr>
        <w:ind w:firstLine="103"/>
        <w:rPr>
          <w:b/>
          <w:bCs/>
          <w:sz w:val="24"/>
          <w:szCs w:val="24"/>
          <w:vertAlign w:val="superscript"/>
        </w:rPr>
      </w:pPr>
      <w:r w:rsidRPr="00611090">
        <w:rPr>
          <w:b/>
          <w:bCs/>
          <w:sz w:val="24"/>
          <w:szCs w:val="24"/>
          <w:lang w:val="id-ID"/>
        </w:rPr>
        <w:t>Imam Fauzi</w:t>
      </w:r>
      <w:r w:rsidRPr="00611090">
        <w:rPr>
          <w:b/>
          <w:bCs/>
          <w:sz w:val="24"/>
          <w:szCs w:val="24"/>
          <w:vertAlign w:val="superscript"/>
        </w:rPr>
        <w:t>1</w:t>
      </w:r>
      <w:r w:rsidRPr="00611090">
        <w:rPr>
          <w:b/>
          <w:bCs/>
          <w:sz w:val="24"/>
          <w:szCs w:val="24"/>
        </w:rPr>
        <w:t>, Fatmawati</w:t>
      </w:r>
      <w:r w:rsidRPr="00611090">
        <w:rPr>
          <w:b/>
          <w:bCs/>
          <w:sz w:val="24"/>
          <w:szCs w:val="24"/>
          <w:vertAlign w:val="superscript"/>
          <w:lang w:val="id-ID"/>
        </w:rPr>
        <w:t>2</w:t>
      </w:r>
      <w:r w:rsidRPr="00611090">
        <w:rPr>
          <w:b/>
          <w:bCs/>
          <w:sz w:val="24"/>
          <w:szCs w:val="24"/>
        </w:rPr>
        <w:t>*, Nenik Estuningsih</w:t>
      </w:r>
      <w:r w:rsidRPr="00611090">
        <w:rPr>
          <w:b/>
          <w:bCs/>
          <w:sz w:val="24"/>
          <w:szCs w:val="24"/>
          <w:vertAlign w:val="superscript"/>
        </w:rPr>
        <w:t>3</w:t>
      </w:r>
      <w:r w:rsidRPr="00611090">
        <w:rPr>
          <w:b/>
          <w:bCs/>
          <w:sz w:val="24"/>
          <w:szCs w:val="24"/>
        </w:rPr>
        <w:t>, Dieky Adzkiya</w:t>
      </w:r>
      <w:r w:rsidRPr="00611090">
        <w:rPr>
          <w:b/>
          <w:bCs/>
          <w:sz w:val="24"/>
          <w:szCs w:val="24"/>
          <w:vertAlign w:val="superscript"/>
        </w:rPr>
        <w:t>4</w:t>
      </w:r>
    </w:p>
    <w:p w14:paraId="0A81A2FC" w14:textId="50424E49" w:rsidR="00956FBD" w:rsidRPr="001E432D" w:rsidRDefault="00000000" w:rsidP="001E432D">
      <w:pPr>
        <w:spacing w:before="6"/>
        <w:ind w:left="103" w:right="157"/>
        <w:jc w:val="both"/>
        <w:rPr>
          <w:i/>
          <w:color w:val="000000" w:themeColor="text1"/>
          <w:sz w:val="20"/>
          <w:lang w:val="en-ID"/>
        </w:rPr>
      </w:pPr>
      <w:r>
        <w:rPr>
          <w:position w:val="5"/>
          <w:sz w:val="13"/>
        </w:rPr>
        <w:t>1</w:t>
      </w:r>
      <w:r w:rsidR="00702983">
        <w:rPr>
          <w:i/>
          <w:sz w:val="20"/>
        </w:rPr>
        <w:t xml:space="preserve">Department of Mathematics, Faculty of Science and Technology </w:t>
      </w:r>
      <w:r>
        <w:rPr>
          <w:i/>
          <w:sz w:val="20"/>
        </w:rPr>
        <w:t xml:space="preserve">Trace, </w:t>
      </w:r>
      <w:r w:rsidR="006B1A69">
        <w:rPr>
          <w:i/>
          <w:sz w:val="20"/>
        </w:rPr>
        <w:t>Indonesia, «Airlangga University»</w:t>
      </w:r>
      <w:r w:rsidR="00CF554D">
        <w:rPr>
          <w:i/>
          <w:sz w:val="20"/>
        </w:rPr>
        <w:t>, imamfauziku@gmail.com</w:t>
      </w:r>
      <w:r>
        <w:rPr>
          <w:i/>
          <w:sz w:val="20"/>
        </w:rPr>
        <w:t xml:space="preserve">. </w:t>
      </w:r>
      <w:r w:rsidRPr="001E432D">
        <w:rPr>
          <w:i/>
          <w:color w:val="000000" w:themeColor="text1"/>
          <w:sz w:val="20"/>
        </w:rPr>
        <w:t>https://orcid.org/</w:t>
      </w:r>
      <w:r w:rsidR="001E432D" w:rsidRPr="001E432D">
        <w:rPr>
          <w:rFonts w:ascii="Noto Sans" w:eastAsia="Times New Roman" w:hAnsi="Noto Sans" w:cs="Noto Sans"/>
          <w:color w:val="000000" w:themeColor="text1"/>
          <w:spacing w:val="8"/>
          <w:sz w:val="36"/>
          <w:szCs w:val="36"/>
          <w:lang w:val="en-ID" w:eastAsia="en-ID"/>
        </w:rPr>
        <w:t xml:space="preserve"> </w:t>
      </w:r>
      <w:r w:rsidR="001E432D" w:rsidRPr="001E432D">
        <w:rPr>
          <w:i/>
          <w:color w:val="000000" w:themeColor="text1"/>
          <w:sz w:val="20"/>
          <w:lang w:val="en-ID"/>
        </w:rPr>
        <w:t>0009-0006-1422-5771</w:t>
      </w:r>
      <w:r w:rsidR="00810A00">
        <w:rPr>
          <w:i/>
          <w:color w:val="000000" w:themeColor="text1"/>
          <w:sz w:val="20"/>
          <w:lang w:val="en-ID"/>
        </w:rPr>
        <w:t>.</w:t>
      </w:r>
    </w:p>
    <w:p w14:paraId="2A565140" w14:textId="0622379E" w:rsidR="00956FBD" w:rsidRDefault="00000000">
      <w:pPr>
        <w:ind w:left="103" w:right="145"/>
        <w:jc w:val="both"/>
        <w:rPr>
          <w:i/>
          <w:sz w:val="20"/>
        </w:rPr>
      </w:pPr>
      <w:r>
        <w:rPr>
          <w:i/>
          <w:position w:val="5"/>
          <w:sz w:val="13"/>
        </w:rPr>
        <w:t>2</w:t>
      </w:r>
      <w:r w:rsidR="006B1A69">
        <w:rPr>
          <w:i/>
          <w:sz w:val="20"/>
        </w:rPr>
        <w:t>Department of Mathematics, Faculty of Science and Technology Trace, Indonesia, «Airlangga University»</w:t>
      </w:r>
      <w:r>
        <w:rPr>
          <w:i/>
          <w:sz w:val="20"/>
        </w:rPr>
        <w:t xml:space="preserve">. </w:t>
      </w:r>
      <w:r w:rsidR="00CF554D">
        <w:rPr>
          <w:i/>
          <w:sz w:val="20"/>
        </w:rPr>
        <w:t>h</w:t>
      </w:r>
      <w:r w:rsidRPr="00570761">
        <w:rPr>
          <w:i/>
          <w:color w:val="000000" w:themeColor="text1"/>
          <w:sz w:val="20"/>
        </w:rPr>
        <w:t>ttps://orcid.org/</w:t>
      </w:r>
      <w:hyperlink r:id="rId10" w:history="1">
        <w:r w:rsidR="00570761" w:rsidRPr="00570761">
          <w:rPr>
            <w:rStyle w:val="Hyperlink"/>
            <w:i/>
            <w:color w:val="000000" w:themeColor="text1"/>
            <w:sz w:val="20"/>
            <w:u w:val="none"/>
          </w:rPr>
          <w:t>0000-0002-0418-6629</w:t>
        </w:r>
      </w:hyperlink>
      <w:r w:rsidR="00570761">
        <w:rPr>
          <w:i/>
          <w:color w:val="000000" w:themeColor="text1"/>
          <w:sz w:val="20"/>
        </w:rPr>
        <w:t>.</w:t>
      </w:r>
    </w:p>
    <w:p w14:paraId="4C77C477" w14:textId="36D55861" w:rsidR="00956FBD" w:rsidRPr="00570761" w:rsidRDefault="00000000">
      <w:pPr>
        <w:spacing w:before="1"/>
        <w:ind w:left="103" w:right="156"/>
        <w:jc w:val="both"/>
        <w:rPr>
          <w:i/>
          <w:color w:val="000000" w:themeColor="text1"/>
          <w:sz w:val="20"/>
        </w:rPr>
      </w:pPr>
      <w:r>
        <w:rPr>
          <w:i/>
          <w:position w:val="5"/>
          <w:sz w:val="13"/>
        </w:rPr>
        <w:t>3</w:t>
      </w:r>
      <w:r w:rsidR="006B1A69">
        <w:rPr>
          <w:i/>
          <w:sz w:val="20"/>
        </w:rPr>
        <w:t>Department of Mathematics, Faculty of Science and Technology Trace,</w:t>
      </w:r>
      <w:r w:rsidR="00B149A4">
        <w:rPr>
          <w:i/>
          <w:sz w:val="20"/>
        </w:rPr>
        <w:t xml:space="preserve"> </w:t>
      </w:r>
      <w:r w:rsidR="006B1A69">
        <w:rPr>
          <w:i/>
          <w:sz w:val="20"/>
        </w:rPr>
        <w:t>Indonesia, «Airlangga University».</w:t>
      </w:r>
      <w:r>
        <w:rPr>
          <w:i/>
          <w:sz w:val="20"/>
        </w:rPr>
        <w:t xml:space="preserve"> </w:t>
      </w:r>
      <w:r w:rsidRPr="00570761">
        <w:rPr>
          <w:i/>
          <w:color w:val="000000" w:themeColor="text1"/>
          <w:sz w:val="20"/>
        </w:rPr>
        <w:t>https://orcid.org/</w:t>
      </w:r>
      <w:r w:rsidR="00570761" w:rsidRPr="00570761">
        <w:rPr>
          <w:color w:val="000000" w:themeColor="text1"/>
        </w:rPr>
        <w:t xml:space="preserve"> </w:t>
      </w:r>
      <w:hyperlink r:id="rId11" w:history="1">
        <w:r w:rsidR="00570761" w:rsidRPr="00570761">
          <w:rPr>
            <w:rStyle w:val="Hyperlink"/>
            <w:i/>
            <w:color w:val="000000" w:themeColor="text1"/>
            <w:sz w:val="20"/>
            <w:u w:val="none"/>
          </w:rPr>
          <w:t>0000-0002-6414-3014</w:t>
        </w:r>
      </w:hyperlink>
      <w:r w:rsidRPr="00570761">
        <w:rPr>
          <w:i/>
          <w:color w:val="000000" w:themeColor="text1"/>
          <w:sz w:val="20"/>
        </w:rPr>
        <w:t>.</w:t>
      </w:r>
    </w:p>
    <w:p w14:paraId="29B8D642" w14:textId="305CE080" w:rsidR="00956FBD" w:rsidRPr="00570761" w:rsidRDefault="00000000">
      <w:pPr>
        <w:ind w:left="103" w:right="145"/>
        <w:jc w:val="both"/>
        <w:rPr>
          <w:i/>
          <w:color w:val="000000" w:themeColor="text1"/>
          <w:sz w:val="20"/>
        </w:rPr>
      </w:pPr>
      <w:r>
        <w:rPr>
          <w:i/>
          <w:position w:val="5"/>
          <w:sz w:val="13"/>
        </w:rPr>
        <w:t>4</w:t>
      </w:r>
      <w:r w:rsidR="006B1A69" w:rsidRPr="006B1A69">
        <w:rPr>
          <w:i/>
          <w:sz w:val="20"/>
        </w:rPr>
        <w:t xml:space="preserve"> </w:t>
      </w:r>
      <w:r w:rsidR="006B1A69">
        <w:rPr>
          <w:i/>
          <w:sz w:val="20"/>
        </w:rPr>
        <w:t xml:space="preserve">Department of Mathematics, </w:t>
      </w:r>
      <w:r w:rsidR="00B149A4" w:rsidRPr="00B149A4">
        <w:rPr>
          <w:i/>
          <w:sz w:val="20"/>
        </w:rPr>
        <w:t>Faculty of Science and Data Analytics</w:t>
      </w:r>
      <w:r w:rsidR="006B1A69">
        <w:rPr>
          <w:i/>
          <w:sz w:val="20"/>
        </w:rPr>
        <w:t>, Indonesia, «Sepuluh November Institue of Technology».</w:t>
      </w:r>
      <w:r>
        <w:rPr>
          <w:i/>
          <w:sz w:val="20"/>
        </w:rPr>
        <w:t xml:space="preserve"> </w:t>
      </w:r>
      <w:r w:rsidRPr="00570761">
        <w:rPr>
          <w:i/>
          <w:color w:val="000000" w:themeColor="text1"/>
          <w:sz w:val="20"/>
        </w:rPr>
        <w:t>https://orcid.org/</w:t>
      </w:r>
      <w:r w:rsidR="00570761" w:rsidRPr="00570761">
        <w:rPr>
          <w:color w:val="000000" w:themeColor="text1"/>
        </w:rPr>
        <w:t xml:space="preserve"> </w:t>
      </w:r>
      <w:hyperlink r:id="rId12" w:history="1">
        <w:r w:rsidR="00570761" w:rsidRPr="00570761">
          <w:rPr>
            <w:rStyle w:val="Hyperlink"/>
            <w:i/>
            <w:color w:val="000000" w:themeColor="text1"/>
            <w:sz w:val="20"/>
            <w:u w:val="none"/>
          </w:rPr>
          <w:t>0000-0002-4718-2871</w:t>
        </w:r>
      </w:hyperlink>
      <w:r w:rsidR="00570761" w:rsidRPr="00570761">
        <w:rPr>
          <w:i/>
          <w:color w:val="000000" w:themeColor="text1"/>
          <w:sz w:val="20"/>
        </w:rPr>
        <w:t>.</w:t>
      </w:r>
    </w:p>
    <w:p w14:paraId="330864B4" w14:textId="6221D774" w:rsidR="00956FBD" w:rsidRDefault="00000000">
      <w:pPr>
        <w:spacing w:line="248" w:lineRule="exact"/>
        <w:ind w:left="103"/>
        <w:jc w:val="both"/>
        <w:rPr>
          <w:i/>
          <w:sz w:val="20"/>
        </w:rPr>
      </w:pPr>
      <w:r>
        <w:rPr>
          <w:color w:val="5E5E5E"/>
          <w:spacing w:val="-2"/>
          <w:sz w:val="20"/>
        </w:rPr>
        <w:t>Correspondence:</w:t>
      </w:r>
      <w:r>
        <w:rPr>
          <w:color w:val="5E5E5E"/>
          <w:spacing w:val="26"/>
          <w:sz w:val="20"/>
        </w:rPr>
        <w:t xml:space="preserve"> </w:t>
      </w:r>
      <w:r w:rsidR="00611090" w:rsidRPr="00611090">
        <w:rPr>
          <w:i/>
          <w:iCs/>
          <w:spacing w:val="-2"/>
          <w:sz w:val="20"/>
        </w:rPr>
        <w:t>Fatmawati</w:t>
      </w:r>
      <w:r>
        <w:rPr>
          <w:spacing w:val="-2"/>
          <w:sz w:val="20"/>
        </w:rPr>
        <w:t>,</w:t>
      </w:r>
      <w:r>
        <w:rPr>
          <w:spacing w:val="25"/>
          <w:sz w:val="20"/>
        </w:rPr>
        <w:t xml:space="preserve"> </w:t>
      </w:r>
      <w:r w:rsidRPr="00570761">
        <w:rPr>
          <w:i/>
          <w:color w:val="000000" w:themeColor="text1"/>
          <w:spacing w:val="-2"/>
          <w:sz w:val="20"/>
        </w:rPr>
        <w:t>https://orcid.org/</w:t>
      </w:r>
      <w:hyperlink r:id="rId13" w:history="1">
        <w:r w:rsidR="00570761" w:rsidRPr="00570761">
          <w:rPr>
            <w:rStyle w:val="Hyperlink"/>
            <w:i/>
            <w:color w:val="000000" w:themeColor="text1"/>
            <w:sz w:val="20"/>
            <w:u w:val="none"/>
          </w:rPr>
          <w:t>0000-0002-0418-6629</w:t>
        </w:r>
      </w:hyperlink>
      <w:r w:rsidR="00570761">
        <w:rPr>
          <w:i/>
          <w:color w:val="000000" w:themeColor="text1"/>
          <w:sz w:val="20"/>
        </w:rPr>
        <w:t>.</w:t>
      </w:r>
    </w:p>
    <w:p w14:paraId="640C2847" w14:textId="77777777" w:rsidR="00956FBD" w:rsidRDefault="00956FBD">
      <w:pPr>
        <w:pStyle w:val="BodyText"/>
        <w:ind w:left="0"/>
        <w:jc w:val="left"/>
        <w:rPr>
          <w:i/>
          <w:sz w:val="20"/>
        </w:rPr>
      </w:pPr>
    </w:p>
    <w:p w14:paraId="4172124C" w14:textId="77777777" w:rsidR="00956FBD" w:rsidRDefault="00956FBD">
      <w:pPr>
        <w:pStyle w:val="BodyText"/>
        <w:spacing w:before="8"/>
        <w:ind w:left="0"/>
        <w:jc w:val="left"/>
        <w:rPr>
          <w:i/>
          <w:sz w:val="20"/>
        </w:rPr>
      </w:pPr>
    </w:p>
    <w:p w14:paraId="5034B3AB" w14:textId="77777777" w:rsidR="00956FBD" w:rsidRDefault="00000000">
      <w:pPr>
        <w:spacing w:line="241" w:lineRule="exact"/>
        <w:ind w:left="2263"/>
        <w:rPr>
          <w:b/>
          <w:sz w:val="20"/>
        </w:rPr>
      </w:pPr>
      <w:r>
        <w:rPr>
          <w:b/>
          <w:spacing w:val="-2"/>
          <w:sz w:val="20"/>
        </w:rPr>
        <w:t>Abstract</w:t>
      </w:r>
    </w:p>
    <w:p w14:paraId="10DD7A98" w14:textId="19DD3369" w:rsidR="00956FBD" w:rsidRDefault="00380B8E">
      <w:pPr>
        <w:ind w:left="2263" w:right="148"/>
        <w:jc w:val="both"/>
        <w:rPr>
          <w:i/>
          <w:sz w:val="20"/>
        </w:rPr>
      </w:pPr>
      <w:r w:rsidRPr="00380B8E">
        <w:rPr>
          <w:i/>
          <w:sz w:val="20"/>
        </w:rPr>
        <w:t>Model Predictive Control (MPC) is an advanced control strategy increasingly applied to complex industrial processes, including the sugar industry, which is transformed by nonlinear dynamics, operational constraints, and the need for energy efficiency and product quality. Although research related to MPC in the sugar industry has been growing for decades, comprehensive insights into the trends, intellectual structure, and research developments in this field are still limited. This study aims to systematically analyze the research landscape of MPC in the sugar industry using a bibliometric approach. Bibliographic data were collected from the Scopus database. The selection process followed the PRISMA framework and resulted in 111 relevant documents published between 1997 and 2025. Bibliometric analysis was performed using the Bibliometrix (R) and VOSviewer packages to capture annual publication trends, contributions from countries, institutions, journals, and most influential authors, as well as to capture collaboration networks, co-citations, and keyword co-occurrence. The results show that publications on MPC in the sugar industry experienced a gradual growth with a more significant increase after 2010, as the focus on energy efficiency and process optimization increased. India, Brazil, and Spain are the most productive countries, while journals such as the Journal of Food Engineering, Energy, and the Journal of Process Control are the primary sources of influential publications. Keyword analysis reveals that evaporation, crystallization, and energy control are core themes, with recent trends toward economic MPC and the integration of artificial intelligence methods. This study provides a comprehensive understanding of the evolution and future directions of MPC research in the sugar industry</w:t>
      </w:r>
      <w:r>
        <w:rPr>
          <w:i/>
          <w:sz w:val="20"/>
        </w:rPr>
        <w:t>.</w:t>
      </w:r>
    </w:p>
    <w:p w14:paraId="62BF297A" w14:textId="5AA70FA0" w:rsidR="00CC755F" w:rsidRDefault="00000000" w:rsidP="00CC755F">
      <w:pPr>
        <w:spacing w:before="161"/>
        <w:ind w:left="2263" w:right="156"/>
        <w:jc w:val="both"/>
        <w:rPr>
          <w:i/>
          <w:sz w:val="20"/>
        </w:rPr>
      </w:pPr>
      <w:r>
        <w:rPr>
          <w:i/>
          <w:noProof/>
          <w:sz w:val="20"/>
        </w:rPr>
        <mc:AlternateContent>
          <mc:Choice Requires="wps">
            <w:drawing>
              <wp:anchor distT="0" distB="0" distL="0" distR="0" simplePos="0" relativeHeight="487588352" behindDoc="1" locked="0" layoutInCell="1" allowOverlap="1" wp14:anchorId="17C2C1D4" wp14:editId="2592ABBF">
                <wp:simplePos x="0" y="0"/>
                <wp:positionH relativeFrom="page">
                  <wp:posOffset>1868677</wp:posOffset>
                </wp:positionH>
                <wp:positionV relativeFrom="paragraph">
                  <wp:posOffset>423043</wp:posOffset>
                </wp:positionV>
                <wp:extent cx="52565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6530" cy="6350"/>
                        </a:xfrm>
                        <a:custGeom>
                          <a:avLst/>
                          <a:gdLst/>
                          <a:ahLst/>
                          <a:cxnLst/>
                          <a:rect l="l" t="t" r="r" b="b"/>
                          <a:pathLst>
                            <a:path w="5256530" h="6350">
                              <a:moveTo>
                                <a:pt x="5256022" y="0"/>
                              </a:moveTo>
                              <a:lnTo>
                                <a:pt x="0" y="0"/>
                              </a:lnTo>
                              <a:lnTo>
                                <a:pt x="0" y="6095"/>
                              </a:lnTo>
                              <a:lnTo>
                                <a:pt x="5256022" y="6095"/>
                              </a:lnTo>
                              <a:lnTo>
                                <a:pt x="52560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B70895" id="Graphic 7" o:spid="_x0000_s1026" style="position:absolute;margin-left:147.15pt;margin-top:33.3pt;width:413.9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2565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" path="m5256022,l,,,6095r5256022,l5256022,xe" fillcolor="black" stroked="f">
                <v:path arrowok="t"/>
                <w10:wrap type="topAndBottom" anchorx="page"/>
              </v:shape>
            </w:pict>
          </mc:Fallback>
        </mc:AlternateContent>
      </w:r>
      <w:r>
        <w:rPr>
          <w:b/>
          <w:sz w:val="20"/>
        </w:rPr>
        <w:t xml:space="preserve">Keywords: </w:t>
      </w:r>
      <w:r w:rsidR="00380B8E" w:rsidRPr="00380B8E">
        <w:rPr>
          <w:i/>
          <w:sz w:val="20"/>
        </w:rPr>
        <w:t>predictive control model, sugar industry, bibliometric analysis.</w:t>
      </w:r>
    </w:p>
    <w:p w14:paraId="1531B6DF" w14:textId="77777777" w:rsidR="00CC755F" w:rsidRDefault="00CC755F" w:rsidP="00561CB6">
      <w:pPr>
        <w:pStyle w:val="Heading1"/>
        <w:tabs>
          <w:tab w:val="right" w:pos="10636"/>
        </w:tabs>
        <w:rPr>
          <w:spacing w:val="-2"/>
        </w:rPr>
      </w:pPr>
    </w:p>
    <w:p w14:paraId="71AC4F2B" w14:textId="6082CE50" w:rsidR="00956FBD" w:rsidRDefault="00000000" w:rsidP="00561CB6">
      <w:pPr>
        <w:pStyle w:val="Heading1"/>
        <w:tabs>
          <w:tab w:val="right" w:pos="10636"/>
        </w:tabs>
      </w:pPr>
      <w:r>
        <w:rPr>
          <w:spacing w:val="-2"/>
        </w:rPr>
        <w:t>Introduction</w:t>
      </w:r>
      <w:r w:rsidR="00561CB6">
        <w:rPr>
          <w:spacing w:val="-2"/>
        </w:rPr>
        <w:tab/>
      </w:r>
    </w:p>
    <w:p w14:paraId="1840C92F" w14:textId="77777777" w:rsidR="00463BBA" w:rsidRPr="00F45A84" w:rsidRDefault="00463BBA" w:rsidP="00463BBA">
      <w:pPr>
        <w:spacing w:before="240"/>
        <w:ind w:left="1560"/>
        <w:jc w:val="both"/>
        <w:rPr>
          <w:rFonts w:cs="Times New Roman"/>
          <w:sz w:val="24"/>
          <w:szCs w:val="24"/>
        </w:rPr>
      </w:pPr>
      <w:r w:rsidRPr="00F45A84">
        <w:rPr>
          <w:rFonts w:cs="Times New Roman"/>
          <w:sz w:val="24"/>
          <w:szCs w:val="24"/>
        </w:rPr>
        <w:t xml:space="preserve">The sugar industry is one of the oldest and most complex agro-industrial sectors, playing a vital role in meeting food needs, providing biomass-based energy, and contributing to the national economy in many developing and developed countries </w:t>
      </w:r>
      <w:r w:rsidRPr="00F45A84">
        <w:rPr>
          <w:rFonts w:cs="Times New Roman"/>
          <w:sz w:val="24"/>
          <w:szCs w:val="24"/>
        </w:rPr>
        <w:fldChar w:fldCharType="begin"/>
      </w:r>
      <w:r w:rsidRPr="00F45A84">
        <w:rPr>
          <w:rFonts w:cs="Times New Roman"/>
          <w:sz w:val="24"/>
          <w:szCs w:val="24"/>
        </w:rPr>
        <w:instrText xml:space="preserve"> ADDIN ZOTERO_ITEM CSL_CITATION {"citationID":"L0yUmFMw","properties":{"formattedCitation":"(Solomon, 2016)","plainCitation":"(Solomon, 2016)","noteIndex":0},"citationItems":[{"id":18795,"uris":["http://zotero.org/users/12817968/items/I2H7V5LB"],"itemData":{"id":18795,"type":"article-journal","container-title":"Sugar Tech","DOI":"10.1007/s12355-016-0494-2","ISSN":"0972-1525, 0974-0740","issue":"6","journalAbbreviation":"Sugar Tech","language":"en","page":"588-602","source":"DOI.org (Crossref)","title":"Sugarcane Production and Development of Sugar Industry in India","volume":"18","author":[{"family":"Solomon","given":"S."}],"issued":{"date-parts":[["2016",12]]}}}],"schema":"https://github.com/citation-style-language/schema/raw/master/csl-citation.json"}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(Solomon, 2016) </w:t>
      </w:r>
      <w:r w:rsidRPr="00F45A84">
        <w:rPr>
          <w:rFonts w:cs="Times New Roman"/>
          <w:sz w:val="24"/>
          <w:szCs w:val="24"/>
        </w:rPr>
        <w:fldChar w:fldCharType="end"/>
      </w:r>
      <w:r w:rsidRPr="00F45A84">
        <w:rPr>
          <w:rFonts w:cs="Times New Roman"/>
          <w:sz w:val="24"/>
          <w:szCs w:val="24"/>
        </w:rPr>
        <w:t xml:space="preserve">. The sugar production process involves various integrated unit operations, such as palm sap extraction, heating, clarification, evaporation, and crystallization, each of which has nonlinear, multivariable process dynamics and is susceptible to disturbances </w:t>
      </w:r>
      <w:r w:rsidRPr="00F45A84">
        <w:rPr>
          <w:rFonts w:cs="Times New Roman"/>
          <w:sz w:val="24"/>
          <w:szCs w:val="24"/>
        </w:rPr>
        <w:fldChar w:fldCharType="begin"/>
      </w:r>
      <w:r w:rsidRPr="00F45A84">
        <w:rPr>
          <w:rFonts w:cs="Times New Roman"/>
          <w:sz w:val="24"/>
          <w:szCs w:val="24"/>
        </w:rPr>
        <w:instrText xml:space="preserve"> ADDIN ZOTERO_ITEM CSL_CITATION {"citationID":"RsufyjQF","properties":{"formattedCitation":"(Cavalcante &amp; De Albuquerque, 2015)","plainCitation":"(Cavalcante &amp; De Albuquerque, 2015)","noteIndex":0},"citationItems":[{"id":18796,"uris":["http://zotero.org/users/12817968/items/R2ZD323L"],"itemData":{"id":18796,"type":"chapter","container-title":"Sugarcane","ISBN":"978-0-12-802239-9","language":"en","license":"https://www.elsevier.com/tdm/userlicense/1.0/","note":"DOI: 10.1016/B978-0-12-802239-9.00014-1","page":"285-310","publisher":"Elsevier","source":"DOI.org (Crossref)","title":"The Sugar Production Process","URL":"https://linkinghub.elsevier.com/retrieve/pii/B9780128022399000141","author":[{"family":"Cavalcante","given":"Claudio Soares"},{"family":"De Albuquerque","given":"Fernando Medeiros"}],"accessed":{"date-parts":[["2025",12,20]]},"issued":{"date-parts":[["2015"]]}}}],"schema":"https://github.com/citation-style-language/schema/raw/master/csl-citation.json"}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(Cavalcante &amp; De Albuquerque, 2015) </w:t>
      </w:r>
      <w:r w:rsidRPr="00F45A84">
        <w:rPr>
          <w:rFonts w:cs="Times New Roman"/>
          <w:sz w:val="24"/>
          <w:szCs w:val="24"/>
        </w:rPr>
        <w:fldChar w:fldCharType="end"/>
      </w:r>
      <w:r w:rsidRPr="00F45A84">
        <w:rPr>
          <w:rFonts w:cs="Times New Roman"/>
          <w:sz w:val="24"/>
          <w:szCs w:val="24"/>
        </w:rPr>
        <w:t>. This complexity makes process control in the sugar industry a significant technical challenge.</w:t>
      </w:r>
    </w:p>
    <w:p w14:paraId="580C788E" w14:textId="77777777" w:rsidR="00CC755F" w:rsidRDefault="00CC755F" w:rsidP="00463BBA">
      <w:pPr>
        <w:spacing w:before="240"/>
        <w:ind w:left="1560"/>
        <w:jc w:val="both"/>
        <w:rPr>
          <w:rFonts w:cs="Times New Roman"/>
          <w:sz w:val="24"/>
          <w:szCs w:val="24"/>
        </w:rPr>
      </w:pPr>
    </w:p>
    <w:p w14:paraId="64ABE933" w14:textId="77777777" w:rsidR="00CC755F" w:rsidRDefault="00CC755F" w:rsidP="00463BBA">
      <w:pPr>
        <w:spacing w:before="240"/>
        <w:ind w:left="1560"/>
        <w:jc w:val="both"/>
        <w:rPr>
          <w:rFonts w:cs="Times New Roman"/>
          <w:sz w:val="24"/>
          <w:szCs w:val="24"/>
        </w:rPr>
      </w:pPr>
    </w:p>
    <w:p w14:paraId="0872E174" w14:textId="20283E92" w:rsidR="00463BBA" w:rsidRPr="00F45A84" w:rsidRDefault="00463BBA" w:rsidP="00CC755F">
      <w:pPr>
        <w:spacing w:before="240"/>
        <w:ind w:left="1560"/>
        <w:jc w:val="both"/>
        <w:rPr>
          <w:rFonts w:cs="Times New Roman"/>
          <w:sz w:val="24"/>
          <w:szCs w:val="24"/>
        </w:rPr>
      </w:pPr>
      <w:r w:rsidRPr="00F45A84">
        <w:rPr>
          <w:rFonts w:cs="Times New Roman"/>
          <w:sz w:val="24"/>
          <w:szCs w:val="24"/>
        </w:rPr>
        <w:lastRenderedPageBreak/>
        <w:t>One of the main characteristics of the sugar industry process is the presence of long</w:t>
      </w:r>
      <w:r w:rsidR="00CC755F">
        <w:rPr>
          <w:rFonts w:cs="Times New Roman"/>
          <w:sz w:val="24"/>
          <w:szCs w:val="24"/>
        </w:rPr>
        <w:t xml:space="preserve"> </w:t>
      </w:r>
      <w:r w:rsidRPr="00F45A84">
        <w:rPr>
          <w:rFonts w:cs="Times New Roman"/>
          <w:sz w:val="24"/>
          <w:szCs w:val="24"/>
        </w:rPr>
        <w:t xml:space="preserve">dead times, strong variable interactions, and physical limitations (constraints) on actuators and process variables. Variations in the quality of sugarcane or beet raw materials, fluctuations in production loads, and demands for energy efficiency further complicate the required control strategies </w:t>
      </w:r>
      <w:r w:rsidRPr="00F45A84">
        <w:rPr>
          <w:rFonts w:cs="Times New Roman"/>
          <w:sz w:val="24"/>
          <w:szCs w:val="24"/>
        </w:rPr>
        <w:fldChar w:fldCharType="begin"/>
      </w:r>
      <w:r w:rsidRPr="00F45A84">
        <w:rPr>
          <w:rFonts w:cs="Times New Roman"/>
          <w:sz w:val="24"/>
          <w:szCs w:val="24"/>
        </w:rPr>
        <w:instrText xml:space="preserve"> ADDIN ZOTERO_ITEM CSL_CITATION {"citationID":"mETArzPD","properties":{"formattedCitation":"(Sunori et al., 2022)","plainCitation":"(Sunori et al., 2022)","noteIndex":0},"citationItems":[{"id":18791,"uris":["http://zotero.org/users/12817968/items/WBDAZTMC"],"itemData":{"id":18791,"type":"paper-conference","container-title":"2022 6th International Conference on Computing Methodologies and Communication (ICCMC)","DOI":"10.1109/ICCMC53470.2022.9753728","event-place":"Erode, India","event-title":"2022 6th International Conference on Computing Methodologies and Communication (ICCMC)","ISBN":"978-1-6654-1028-1","license":"https://doi.org/10.15223/policy-029","page":"464-468","publisher":"IEEE","publisher-place":"Erode, India","source":"DOI.org (Crossref)","title":"Controller Design for Dead Time Approximated Model of Juice Extraction Unit of Sugar Factory","URL":"https://ieeexplore.ieee.org/document/9753728/","author":[{"family":"Sunori","given":"Sandeep Kumar"},{"family":"Singh Jethi","given":"Govind"},{"family":"Arora","given":"Shweta"},{"family":"Mittal","given":"Amit"},{"family":"Khan","given":"Farha"},{"family":"Juneja","given":"Pradeep"}],"accessed":{"date-parts":[["2025",12,20]]},"issued":{"date-parts":[["2022",3,29]]}}}],"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(Sunori et al., 2022) </w:t>
      </w:r>
      <w:r w:rsidRPr="00F45A84">
        <w:rPr>
          <w:rFonts w:cs="Times New Roman"/>
          <w:sz w:val="24"/>
          <w:szCs w:val="24"/>
        </w:rPr>
        <w:fldChar w:fldCharType="end"/>
      </w:r>
      <w:r w:rsidRPr="00F45A84">
        <w:rPr>
          <w:rFonts w:cs="Times New Roman"/>
          <w:sz w:val="24"/>
          <w:szCs w:val="24"/>
        </w:rPr>
        <w:t xml:space="preserve">. In this context, Model Predictive Control (MPC) emerges as an advanced control strategy that is conceptually and practically well-suited for complex industrial systems. MPC works by utilizing process models to predict future system behavior and determine optimal control actions through iteratively solving optimization problems </w:t>
      </w:r>
      <w:r w:rsidRPr="00F45A84">
        <w:rPr>
          <w:rFonts w:cs="Times New Roman"/>
          <w:sz w:val="24"/>
          <w:szCs w:val="24"/>
        </w:rPr>
        <w:fldChar w:fldCharType="begin"/>
      </w:r>
      <w:r w:rsidRPr="00F45A84">
        <w:rPr>
          <w:rFonts w:cs="Times New Roman"/>
          <w:sz w:val="24"/>
          <w:szCs w:val="24"/>
        </w:rPr>
        <w:instrText xml:space="preserve"> ADDIN ZOTERO_ITEM CSL_CITATION {"citationID":"kjptwSwW","properties":{"formattedCitation":"(Sujatha et al., 2022)","plainCitation":"(Sujatha et al., 2022)","noteIndex":0},"citationItems":[{"id":18748,"uris":["http://zotero.org/users/12817968/items/HZVBFVCC"],"itemData":{"id":18748,"type":"chapter","container-title":"Smart Trends in Computing and Communications","event-place":"Singapore","ISBN":"978-981-16-4015-5","language":"en","note":"collection-title: Lecture Notes in Networks and Systems\nDOI: 10.1007/978-981-16-4016-2_39","page":"419-426","publisher":"Springer Singapore","publisher-place":"Singapore","source":"DOI.org (Crossref)","title":"Predictive Model-based Analytics to Control Drying Process in a Sugar Industry","URL":"https://link.springer.com/10.1007/978-981-16-4016-2_39","volume":"286","editor":[{"family":"Zhang","given":"Yu-Dong"},{"family":"Senjyu","given":"Tomonobu"},{"family":"So-In","given":"Chakchai"},{"family":"Joshi","given":"Amit"}],"author":[{"family":"Sujatha","given":"K."},{"family":"Nalinashini","given":"G."},{"family":"Ganesan","given":"B. A."},{"family":"Jayachitra","given":"N."},{"family":"Sankari","given":"Rengammal"},{"family":"Kalaivani","given":"A."},{"family":"Sendilvelan","given":"S."}],"accessed":{"date-parts":[["2025",12,19]]},"issued":{"date-parts":[["2022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(Sujatha et al., 2022) </w:t>
      </w:r>
      <w:r w:rsidRPr="00F45A84">
        <w:rPr>
          <w:rFonts w:cs="Times New Roman"/>
          <w:sz w:val="24"/>
          <w:szCs w:val="24"/>
        </w:rPr>
        <w:fldChar w:fldCharType="end"/>
      </w:r>
      <w:r w:rsidRPr="00F45A84">
        <w:rPr>
          <w:rFonts w:cs="Times New Roman"/>
          <w:sz w:val="24"/>
          <w:szCs w:val="24"/>
        </w:rPr>
        <w:t xml:space="preserve">. The main advantage of MPC is its ability to handle multivariable systems and operational constraints explicitly. </w:t>
      </w:r>
      <w:r w:rsidRPr="00F45A84">
        <w:rPr>
          <w:rFonts w:cs="Times New Roman"/>
          <w:sz w:val="24"/>
          <w:szCs w:val="24"/>
        </w:rPr>
        <w:fldChar w:fldCharType="begin"/>
      </w:r>
      <w:r w:rsidRPr="00F45A84">
        <w:rPr>
          <w:rFonts w:cs="Times New Roman"/>
          <w:sz w:val="24"/>
          <w:szCs w:val="24"/>
        </w:rPr>
        <w:instrText xml:space="preserve"> ADDIN ZOTERO_ITEM CSL_CITATION {"citationID":"hMOot5al","properties":{"formattedCitation":"(Afram &amp; Janabi-Sharifi, 2014)","plainCitation":"(Afram &amp; Janabi-Sharifi, 2014)","noteIndex":0},"citationItems":[{"id":18797,"uris":["http://zotero.org/users/12817968/items/G48RE7N2"],"itemData":{"id":18797,"type":"article-journal","container-title":"Building and Environment","DOI":"10.1016/j.buildenv.2013.11.016","ISSN":"03601323","journalAbbreviation":"Building and Environment","language":"en","page":"343-355","source":"DOI.org (Crossref)","title":"Theory and applications of HVAC control systems – A review of model predictive control (MPC)","volume":"72","author":[{"family":"Afram","given":"Abdul"},{"family":"Janabi-Sharifi","given":"Farrokh"}],"issued":{"date-parts":[["2014",2]]}}}],"schema":"https://github.com/citation-style-language/schema/raw/master/csl-citation.json"}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(Afram &amp; Janabi-Sharifi, 2014) </w:t>
      </w:r>
      <w:r w:rsidRPr="00F45A84">
        <w:rPr>
          <w:rFonts w:cs="Times New Roman"/>
          <w:sz w:val="24"/>
          <w:szCs w:val="24"/>
        </w:rPr>
        <w:fldChar w:fldCharType="end"/>
      </w:r>
      <w:r w:rsidRPr="00F45A84">
        <w:rPr>
          <w:rFonts w:cs="Times New Roman"/>
          <w:sz w:val="24"/>
          <w:szCs w:val="24"/>
        </w:rPr>
        <w:t>.</w:t>
      </w:r>
    </w:p>
    <w:p w14:paraId="3A3FC41E" w14:textId="77777777" w:rsidR="00463BBA" w:rsidRPr="00F45A84" w:rsidRDefault="00463BBA" w:rsidP="00463BBA">
      <w:pPr>
        <w:spacing w:before="240"/>
        <w:ind w:left="1560"/>
        <w:jc w:val="both"/>
        <w:rPr>
          <w:rFonts w:cs="Times New Roman"/>
          <w:sz w:val="24"/>
          <w:szCs w:val="24"/>
        </w:rPr>
      </w:pPr>
      <w:r w:rsidRPr="00F45A84">
        <w:rPr>
          <w:rFonts w:cs="Times New Roman"/>
          <w:sz w:val="24"/>
          <w:szCs w:val="24"/>
        </w:rPr>
        <w:t xml:space="preserve">Since its widespread introduction in the process industry in the early 1980s, MPC has undergone rapid development and widespread adoption in the chemical, petrochemical, energy, and food sectors </w:t>
      </w:r>
      <w:r w:rsidRPr="00F45A84">
        <w:rPr>
          <w:rFonts w:cs="Times New Roman"/>
          <w:sz w:val="24"/>
          <w:szCs w:val="24"/>
        </w:rPr>
        <w:fldChar w:fldCharType="begin"/>
      </w:r>
      <w:r w:rsidRPr="00F45A84">
        <w:rPr>
          <w:rFonts w:cs="Times New Roman"/>
          <w:sz w:val="24"/>
          <w:szCs w:val="24"/>
        </w:rPr>
        <w:instrText xml:space="preserve"> ADDIN ZOTERO_ITEM CSL_CITATION {"citationID":"4aPi5CaC","properties":{"formattedCitation":"(Darby &amp; Nikolaou, 2012)","plainCitation":"(Darby &amp; Nikolaou, 2012)","noteIndex":0},"citationItems":[{"id":18798,"uris":["http://zotero.org/users/12817968/items/JELQ69B6"],"itemData":{"id":18798,"type":"article-journal","container-title":"Control Engineering Practice","DOI":"10.1016/j.conengprac.2011.12.004","ISSN":"09670661","issue":"4","journalAbbreviation":"Control Engineering Practice","language":"en","page":"328-342","source":"DOI.org (Crossref)","title":"MPC: Current practice and challenges","title-short":"MPC","volume":"20","author":[{"family":"Darby","given":"Mark L."},{"family":"Nikolaou","given":"Michael"}],"issued":{"date-parts":[["2012",4]]}}}],"schema":"https://github.com/citation-style-language/schema/raw/master/csl-citation.json"}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(Darby &amp; Nikolaou, 2012) </w:t>
      </w:r>
      <w:r w:rsidRPr="00F45A84">
        <w:rPr>
          <w:rFonts w:cs="Times New Roman"/>
          <w:sz w:val="24"/>
          <w:szCs w:val="24"/>
        </w:rPr>
        <w:fldChar w:fldCharType="end"/>
      </w:r>
      <w:r w:rsidRPr="00F45A84">
        <w:rPr>
          <w:rFonts w:cs="Times New Roman"/>
          <w:sz w:val="24"/>
          <w:szCs w:val="24"/>
        </w:rPr>
        <w:t xml:space="preserve">. The sugar industry was one of the sectors relatively early to explore the application of predictive control, particularly in evaporator and crystallizer units, which are critical to the quality of the final product </w:t>
      </w:r>
      <w:r w:rsidRPr="00F45A84">
        <w:rPr>
          <w:rFonts w:cs="Times New Roman"/>
          <w:sz w:val="24"/>
          <w:szCs w:val="24"/>
        </w:rPr>
        <w:fldChar w:fldCharType="begin"/>
      </w:r>
      <w:r w:rsidRPr="00F45A84">
        <w:rPr>
          <w:rFonts w:cs="Times New Roman"/>
          <w:sz w:val="24"/>
          <w:szCs w:val="24"/>
        </w:rPr>
        <w:instrText xml:space="preserve"> ADDIN ZOTERO_ITEM CSL_CITATION {"citationID":"Irc4pZpL","properties":{"formattedCitation":"(Dahiya et al., 2019)","plainCitation":"(Dahiya et al., 2019)","noteIndex":0},"citationItems":[{"id":18751,"uris":["http://zotero.org/users/12817968/items/J2BJYXHQ"],"itemData":{"id":18751,"type":"article-journal","container-title":"SN Applied Sciences","DOI":"10.1007/s42452-019-0348-0","ISSN":"2523-3963, 2523-3971","issue":"4","journalAbbreviation":"SN Appl. Sci.","language":"en","page":"339","source":"DOI.org (Crossref)","title":"Mathematical modeling and performance evaluation of A-pan crystallization system in a sugar industry","volume":"1","author":[{"family":"Dahiya","given":"Ombir"},{"family":"Kumar","given":"Ashish"},{"family":"Saini","given":"Monika"}],"issued":{"date-parts":[["2019",4]]}}}],"schema":"https://github.com/citation-style-language/schema/raw/master/csl-citation.json"}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(Dahiya et al., 2019) </w:t>
      </w:r>
      <w:r w:rsidRPr="00F45A84">
        <w:rPr>
          <w:rFonts w:cs="Times New Roman"/>
          <w:sz w:val="24"/>
          <w:szCs w:val="24"/>
        </w:rPr>
        <w:fldChar w:fldCharType="end"/>
      </w:r>
      <w:r w:rsidRPr="00F45A84">
        <w:rPr>
          <w:rFonts w:cs="Times New Roman"/>
          <w:sz w:val="24"/>
          <w:szCs w:val="24"/>
        </w:rPr>
        <w:t xml:space="preserve">. Early research related to MPC in the sugar industry focused largely on dynamic modeling of evaporators and crystallizers, as well as the application of generalized predictive control (GPC) to improve process stability and quality </w:t>
      </w:r>
      <w:r w:rsidRPr="00F45A84">
        <w:rPr>
          <w:rFonts w:cs="Times New Roman"/>
          <w:sz w:val="24"/>
          <w:szCs w:val="24"/>
        </w:rPr>
        <w:fldChar w:fldCharType="begin"/>
      </w:r>
      <w:r w:rsidRPr="00F45A84">
        <w:rPr>
          <w:rFonts w:cs="Times New Roman"/>
          <w:sz w:val="24"/>
          <w:szCs w:val="24"/>
        </w:rPr>
        <w:instrText xml:space="preserve"> ADDIN ZOTERO_ITEM CSL_CITATION {"citationID":"pei3DKqV","properties":{"formattedCitation":"(Bordons &amp; Camacho, 1999; Zamarre\\uc0\\u241{}o &amp; Vega, 1999)","plainCitation":"(Bordons &amp; Camacho, 1999; Zamarreño &amp; Vega, 1999)","noteIndex":0},"citationItems":[{"id":18780,"uris":["http://zotero.org/users/12817968/items/6V23ZXV8"],"itemData":{"id":18780,"type":"paper-conference","container-title":"1999 European Control Conference (ECC)","DOI":"10.23919/ECC.1999.7099508","event-place":"Karlsruhe","event-title":"1999 European Control Conference (ECC)","ISBN":"978-3-9524173-5-5","page":"1405-1410","publisher":"IEEE","publisher-place":"Karlsruhe","source":"DOI.org (Crossref)","title":"Application of simple cascade GPC with robust behaviour to a sugar refinery","URL":"https://ieeexplore.ieee.org/document/7099508/","author":[{"family":"Bordons","given":"C."},{"family":"Camacho","given":"E. F."}],"accessed":{"date-parts":[["2025",12,20]]},"issued":{"date-parts":[["1999",8]]}}},{"id":18738,"uris":["http://zotero.org/users/12817968/items/WML4M9L9"],"itemData":{"id":18738,"type":"article-journal","container-title":"Engineering Applications of Artificial Intelligence","DOI":"10.1016/S0952-1976(98)00055-4","ISSN":"09521976","issue":"2","journalAbbreviation":"Engineering Applications of Artificial Intelligence","language":"en","license":"https://www.elsevier.com/tdm/userlicense/1.0/","page":"149-158","source":"DOI.org (Crossref)","title":"Neural predictive control. Application to a highly non-linear system","volume":"12","author":[{"family":"Zamarreño","given":"J.M."},{"family":"Vega","given":"P."}],"issued":{"date-parts":[["1999",4]]}}}],"schema":"https://github.com/citation-style-language/schema/raw/master/csl-citation.json"}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(Bordons &amp; Camacho, 1999; Zamarreño &amp; Vega, 1999) </w:t>
      </w:r>
      <w:r w:rsidRPr="00F45A84">
        <w:rPr>
          <w:rFonts w:cs="Times New Roman"/>
          <w:sz w:val="24"/>
          <w:szCs w:val="24"/>
        </w:rPr>
        <w:fldChar w:fldCharType="end"/>
      </w:r>
      <w:r w:rsidRPr="00F45A84">
        <w:rPr>
          <w:rFonts w:cs="Times New Roman"/>
          <w:sz w:val="24"/>
          <w:szCs w:val="24"/>
        </w:rPr>
        <w:t>. These studies demonstrated that predictive approaches are able to overcome the limitations of conventional control, especially in the face of significant nonlinearity and process disturbances.</w:t>
      </w:r>
    </w:p>
    <w:p w14:paraId="3B539218" w14:textId="77777777" w:rsidR="00463BBA" w:rsidRPr="00F45A84" w:rsidRDefault="00463BBA" w:rsidP="00463BBA">
      <w:pPr>
        <w:spacing w:before="240"/>
        <w:ind w:left="1560"/>
        <w:jc w:val="both"/>
        <w:rPr>
          <w:rFonts w:cs="Times New Roman"/>
          <w:sz w:val="24"/>
          <w:szCs w:val="24"/>
        </w:rPr>
      </w:pPr>
      <w:r w:rsidRPr="00F45A84">
        <w:rPr>
          <w:rFonts w:cs="Times New Roman"/>
          <w:sz w:val="24"/>
          <w:szCs w:val="24"/>
        </w:rPr>
        <w:t xml:space="preserve">With advances in computing and control theory, MPC research in the sugar industry has evolved toward more sophisticated approaches, such as nonlinear MPC, neural predictive control, and state-space MPC </w:t>
      </w:r>
      <w:r w:rsidRPr="00F45A84">
        <w:rPr>
          <w:rFonts w:cs="Times New Roman"/>
          <w:sz w:val="24"/>
          <w:szCs w:val="24"/>
        </w:rPr>
        <w:fldChar w:fldCharType="begin"/>
      </w:r>
      <w:r w:rsidRPr="00F45A84">
        <w:rPr>
          <w:rFonts w:cs="Times New Roman"/>
          <w:sz w:val="24"/>
          <w:szCs w:val="24"/>
        </w:rPr>
        <w:instrText xml:space="preserve"> ADDIN ZOTERO_ITEM CSL_CITATION {"citationID":"sJHVlMRG","properties":{"formattedCitation":"(Paz Su\\uc0\\u225{}rez et al., 2011; Zamarre\\uc0\\u241{}o et al., 2000; Zamarre\\uc0\\u241{}o &amp; Vega, 1999)","plainCitation":"(Paz Suárez et al., 2011; Zamarreño et al., 2000; Zamarreño &amp; Vega, 1999)","noteIndex":0},"citationItems":[{"id":18794,"uris":["http://zotero.org/users/12817968/items/DU4MYKCN"],"itemData":{"id":18794,"type":"article-journal","container-title":"Chemical Engineering Research and Design","DOI":"10.1016/j.cherd.2010.10.010","ISSN":"02638762","issue":"6","journalAbbreviation":"Chemical Engineering Research and Design","language":"en","license":"https://www.elsevier.com/tdm/userlicense/1.0/","page":"753-767","source":"DOI.org (Crossref)","title":"Nonlinear MPC for fed-batch multiple stages sugar crystallization","volume":"89","author":[{"family":"Paz Suárez","given":"Luis Alberto"},{"family":"Georgieva","given":"Petia"},{"family":"Feyo De Azevedo","given":"Sebastião"}],"issued":{"date-parts":[["2011",6]]}}},{"id":18765,"uris":["http://zotero.org/users/12817968/items/43HHIWUJ"],"itemData":{"id":18765,"type":"article-journal","container-title":"Control Engineering Practice","DOI":"10.1016/S0967-0661(00)00045-9","ISSN":"09670661","issue":"9","journalAbbreviation":"Control Engineering Practice","language":"en","license":"https://www.elsevier.com/tdm/userlicense/1.0/","page":"1063-1075","source":"DOI.org (Crossref)","title":"State-space neural network for modelling, prediction and control","volume":"8","author":[{"family":"Zamarreño","given":"J.M"},{"family":"Vega","given":"P"},{"family":"Garcı́a","given":"L.D"},{"family":"Francisco","given":"M"}],"issued":{"date-parts":[["2000",9]]}}},{"id":18738,"uris":["http://zotero.org/users/12817968/items/WML4M9L9"],"itemData":{"id":18738,"type":"article-journal","container-title":"Engineering Applications of Artificial Intelligence","DOI":"10.1016/S0952-1976(98)00055-4","ISSN":"09521976","issue":"2","journalAbbreviation":"Engineering Applications of Artificial Intelligence","language":"en","license":"https://www.elsevier.com/tdm/userlicense/1.0/","page":"149-158","source":"DOI.org (Crossref)","title":"Neural predictive control. Application to a highly non-linear system","volume":"12","author":[{"family":"Zamarreño","given":"J.M."},{"family":"Vega","given":"P."}],"issued":{"date-parts":[["1999",4]]}}}],"schema":"https://github.com/citation-style-language/schema/raw/master/csl-citation.json"}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(Paz Suárez et al., 2011; Zamarreño et al., 2000; Zamarreño &amp; Vega, 1999) </w:t>
      </w:r>
      <w:r w:rsidRPr="00F45A84">
        <w:rPr>
          <w:rFonts w:cs="Times New Roman"/>
          <w:sz w:val="24"/>
          <w:szCs w:val="24"/>
        </w:rPr>
        <w:fldChar w:fldCharType="end"/>
      </w:r>
      <w:r w:rsidRPr="00F45A84">
        <w:rPr>
          <w:rFonts w:cs="Times New Roman"/>
          <w:sz w:val="24"/>
          <w:szCs w:val="24"/>
        </w:rPr>
        <w:t xml:space="preserve">. These approaches represent more realistic process dynamics and are adaptive to changing operating conditions in the field. Beyond focusing on individual process units, recent research trends also show increasing attention to plant-wide control and hierarchical MPC in the sugar industry. These approaches aim to optimize the entire production system, including the integration of sugar processing, energy cogeneration, and bioethanol </w:t>
      </w:r>
      <w:r w:rsidRPr="00F45A84">
        <w:rPr>
          <w:rFonts w:cs="Times New Roman"/>
          <w:sz w:val="24"/>
          <w:szCs w:val="24"/>
        </w:rPr>
        <w:fldChar w:fldCharType="begin"/>
      </w:r>
      <w:r w:rsidRPr="00F45A84">
        <w:rPr>
          <w:rFonts w:cs="Times New Roman"/>
          <w:sz w:val="24"/>
          <w:szCs w:val="24"/>
        </w:rPr>
        <w:instrText xml:space="preserve"> ADDIN ZOTERO_ITEM CSL_CITATION {"citationID":"qf7hEKgF","properties":{"formattedCitation":"(Mazaeda et al., 2015, 2020; Menezes Morato et al., 2017)","plainCitation":"(Mazaeda et al., 2015, 2020; Menezes Morato et al., 2017)","noteIndex":0},"citationItems":[{"id":18788,"uris":["http://zotero.org/users/12817968/items/TT62LK7Z"],"itemData":{"id":18788,"type":"article-journal","container-title":"IFAC-PapersOnLine","DOI":"10.1016/j.ifacol.2015.09.133","ISSN":"24058963","issue":"8","journalAbbreviation":"IFAC-PapersOnLine","language":"en","license":"https://www.elsevier.com/tdm/userlicense/1.0/","page":"1210-1215","source":"DOI.org (Crossref)","title":"Plant-wide hierarchical optimal control of a crystallization process","volume":"48","author":[{"family":"Mazaeda","given":"Rogelio"},{"family":"Cristea","given":"Smaranda P."},{"family":"De Prada","given":"Cesar"}],"issued":{"date-parts":[["2015"]]}}},{"id":18764,"uris":["http://zotero.org/users/12817968/items/859ADSMN"],"itemData":{"id":18764,"type":"article-journal","abstract":"Summary\n            This paper deals with the optimal operation of processes that combine batch and continuous units. The proposed approach is based on a hierarchical architecture with two layers. The lower layer manages the optimal operation of the batch units in a noncentralized fashion, whereas the upper layer is concerned with the scheduling of the batch units and with their smooth integration with the continuous ones. The strategy has been applied to a challenging problem found at the interface of the fed</w:instrText>
      </w:r>
      <w:r w:rsidRPr="00F45A84">
        <w:rPr>
          <w:rFonts w:ascii="Cambria Math" w:hAnsi="Cambria Math" w:cs="Cambria Math"/>
          <w:sz w:val="24"/>
          <w:szCs w:val="24"/>
        </w:rPr>
        <w:instrText>‐</w:instrText>
      </w:r>
      <w:r w:rsidRPr="00F45A84">
        <w:rPr>
          <w:rFonts w:cs="Times New Roman"/>
          <w:sz w:val="24"/>
          <w:szCs w:val="24"/>
        </w:rPr>
        <w:instrText>batch crystallizers with the upstream evaporation section in beet sugar factories. The presented approach aims at designing a system that can effectively perform the plantwide economic optimization, specifically addressing the issue of energy efficiency, while complying with all process and operational constraints.","container-title":"Optimal Control Applications and Methods","DOI":"10.1002/oca.2535","ISSN":"0143-2087, 1099-1514","issue":"1","journalAbbreviation":"Optim Control Appl Methods","language":"en","page":"190-214","source":"DOI.org (Crossref)","title":"Hierarchically coordinated economic MPC plantwide control of mixed continuous</w:instrText>
      </w:r>
      <w:r w:rsidRPr="00F45A84">
        <w:rPr>
          <w:rFonts w:ascii="Cambria Math" w:hAnsi="Cambria Math" w:cs="Cambria Math"/>
          <w:sz w:val="24"/>
          <w:szCs w:val="24"/>
        </w:rPr>
        <w:instrText>‐</w:instrText>
      </w:r>
      <w:r w:rsidRPr="00F45A84">
        <w:rPr>
          <w:rFonts w:cs="Times New Roman"/>
          <w:sz w:val="24"/>
          <w:szCs w:val="24"/>
        </w:rPr>
        <w:instrText>batch units in process industries with application to a beet sugar plant","volume":"41","author":[{"family":"Mazaeda","given":"Rogelio"},{"family":"Cristea","given":"Smaranda P."},{"family":"De Prada","given":"C</w:instrText>
      </w:r>
      <w:r w:rsidRPr="00F45A84">
        <w:rPr>
          <w:sz w:val="24"/>
          <w:szCs w:val="24"/>
        </w:rPr>
        <w:instrText>é</w:instrText>
      </w:r>
      <w:r w:rsidRPr="00F45A84">
        <w:rPr>
          <w:rFonts w:cs="Times New Roman"/>
          <w:sz w:val="24"/>
          <w:szCs w:val="24"/>
        </w:rPr>
        <w:instrText>sar"}],"issued":{"date-parts":[["2020",1]]}}},{"id":18756,"uris":["http://zotero.org/users/12817968/items/TEWZMXEY"],"itemData":{"id":18756,"type":"article-journal","abstract":"This study presents a control structure, based on model predictive control, applied to energy management optimisation in a sugar cane processing plant including renewable sources. The proposed energy plant is set upon a sugar cane processing industry and has to produce and maintain an amount of electric power throughout the year, defined by contract. This plant is, also, bound to produce flows of steam in different pressures, to comply to the demands of the production process of ethanol and sugar, from the sugar cane. The renewable sources in the system include photovoltaic, wind power generation and the use of biomass, from the remains of the sugar cane. The proposed control algorithm has the task of performing the management of which energy system to use (combined heat and power generation systems, boilers or others), maximise the use of renewable energy sources, maximise the gains of the boilers (that vary according to the biomass mixture used), manage the use of energy storages and supply the defined amount of energy. Simulation results show the satisfactory operation of the proposed control structure.","container-title":"IET Renewable Power Generation","DOI":"10.1049/iet-rpg.2016.0443","ISSN":"1752-1416, 1752-1424","issue":"8","journalAbbreviation":"IET Renewable Power Gen","language":"en","page":"1237-1245","source":"DOI.org (Crossref)","title":"Optimal operation of hybrid power systems including renewable sources in the sugar cane industry","volume":"11","author":[{"family":"Menezes Morato","given":"Marcelo"},{"family":"Da Costa Mendes","given":"Paulo Renato"},{"family":"Normey</w:instrText>
      </w:r>
      <w:r w:rsidRPr="00F45A84">
        <w:rPr>
          <w:rFonts w:ascii="Cambria Math" w:hAnsi="Cambria Math" w:cs="Cambria Math"/>
          <w:sz w:val="24"/>
          <w:szCs w:val="24"/>
        </w:rPr>
        <w:instrText>‐</w:instrText>
      </w:r>
      <w:r w:rsidRPr="00F45A84">
        <w:rPr>
          <w:rFonts w:cs="Times New Roman"/>
          <w:sz w:val="24"/>
          <w:szCs w:val="24"/>
        </w:rPr>
        <w:instrText xml:space="preserve">Rico","given":"Julio Elias"},{"family":"Bordons","given":"Carlos"}],"issued":{"date-parts":[["2017",6]]}}}],"schema":"https://github.com/citation-style-language/schema/raw/master/csl-citation.json"}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(Mazaeda et al., 2015, 2020; Menezes Morato et al., 2017) </w:t>
      </w:r>
      <w:r w:rsidRPr="00F45A84">
        <w:rPr>
          <w:rFonts w:cs="Times New Roman"/>
          <w:sz w:val="24"/>
          <w:szCs w:val="24"/>
        </w:rPr>
        <w:fldChar w:fldCharType="end"/>
      </w:r>
      <w:r w:rsidRPr="00F45A84">
        <w:rPr>
          <w:rFonts w:cs="Times New Roman"/>
          <w:sz w:val="24"/>
          <w:szCs w:val="24"/>
        </w:rPr>
        <w:t xml:space="preserve">. This aligns with industry demands for energy efficiency and sustainability. On the other hand, the increasing global focus on decarbonization and renewable energy utilization has encouraged the integration of MPC into energy systems based on sugarcane biomass and sugar industry by-products </w:t>
      </w:r>
      <w:r w:rsidRPr="00F45A84">
        <w:rPr>
          <w:rFonts w:cs="Times New Roman"/>
          <w:sz w:val="24"/>
          <w:szCs w:val="24"/>
        </w:rPr>
        <w:fldChar w:fldCharType="begin"/>
      </w:r>
      <w:r w:rsidRPr="00F45A84">
        <w:rPr>
          <w:rFonts w:cs="Times New Roman"/>
          <w:sz w:val="24"/>
          <w:szCs w:val="24"/>
        </w:rPr>
        <w:instrText xml:space="preserve"> ADDIN ZOTERO_ITEM CSL_CITATION {"citationID":"xbzawQIP","properties":{"formattedCitation":"(Pina et al., 2017)","plainCitation":"(Pina et al., 2017)","noteIndex":0},"citationItems":[{"id":18741,"uris":["http://zotero.org/users/12817968/items/E828N99P"],"itemData":{"id":18741,"type":"article-journal","container-title":"Energy","DOI":"10.1016/j.energy.2015.06.054","ISSN":"03605442","journalAbbreviation":"Energy","language":"en","page":"1263-1280","source":"DOI.org (Crossref)","title":"Reduction of process steam demand and water-usage through heat integration in sugar and ethanol production from sugarcane – Evaluation of different plant configurations","volume":"138","author":[{"family":"Pina","given":"Eduardo A."},{"family":"Palacios-Bereche","given":"Reynaldo"},{"family":"Chavez-Rodriguez","given":"Mauro F."},{"family":"Ensinas","given":"Adriano V."},{"family":"Modesto","given":"Marcelo"},{"family":"Nebra","given":"Silvia A."}],"issued":{"date-parts":[["2017",11]]}}}],"schema":"https://github.com/citation-style-language/schema/raw/master/csl-citation.json"}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(Pina et al., 2017) </w:t>
      </w:r>
      <w:r w:rsidRPr="00F45A84">
        <w:rPr>
          <w:rFonts w:cs="Times New Roman"/>
          <w:sz w:val="24"/>
          <w:szCs w:val="24"/>
        </w:rPr>
        <w:fldChar w:fldCharType="end"/>
      </w:r>
      <w:r w:rsidRPr="00F45A84">
        <w:rPr>
          <w:rFonts w:cs="Times New Roman"/>
          <w:sz w:val="24"/>
          <w:szCs w:val="24"/>
        </w:rPr>
        <w:t>. MPC is used not only for process stability but also as a tool for energy optimization and emission reduction.</w:t>
      </w:r>
    </w:p>
    <w:p w14:paraId="10188720" w14:textId="77777777" w:rsidR="00463BBA" w:rsidRPr="00F45A84" w:rsidRDefault="00463BBA" w:rsidP="00463BBA">
      <w:pPr>
        <w:spacing w:before="240"/>
        <w:ind w:left="1560"/>
        <w:jc w:val="both"/>
        <w:rPr>
          <w:rFonts w:cs="Times New Roman"/>
          <w:sz w:val="24"/>
          <w:szCs w:val="24"/>
        </w:rPr>
      </w:pPr>
      <w:r w:rsidRPr="00F45A84">
        <w:rPr>
          <w:rFonts w:cs="Times New Roman"/>
          <w:sz w:val="24"/>
          <w:szCs w:val="24"/>
        </w:rPr>
        <w:t xml:space="preserve">Although the literature on MPC in the sugar industry has been growing for over two decades, these studies are scattered across different journals, disciplines, and application contexts. This situation makes it difficult for both new researchers and industry practitioners to comprehensively understand the knowledge structure, key actors, and the evolution of research topics in this field </w:t>
      </w:r>
      <w:r w:rsidRPr="00F45A84">
        <w:rPr>
          <w:rFonts w:cs="Times New Roman"/>
          <w:sz w:val="24"/>
          <w:szCs w:val="24"/>
        </w:rPr>
        <w:fldChar w:fldCharType="begin"/>
      </w:r>
      <w:r w:rsidRPr="00F45A84">
        <w:rPr>
          <w:rFonts w:cs="Times New Roman"/>
          <w:sz w:val="24"/>
          <w:szCs w:val="24"/>
        </w:rPr>
        <w:instrText xml:space="preserve"> ADDIN ZOTERO_ITEM CSL_CITATION {"citationID":"Zm2dF27S","properties":{"formattedCitation":"(Mukherjee et al., 2022)","plainCitation":"(Mukherjee et al., 2022)","noteIndex":0},"citationItems":[{"id":839,"uris":["http://zotero.org/users/12817968/items/SEZW32RK"],"itemData":{"id":839,"type":"article-journal","container-title":"Journal of Business Research","DOI":"10.1016/j.jbusres.2022.04.042","ISSN":"01482963","journalAbbreviation":"Journal of Business Research","language":"en","page":"101-115","source":"DOI.org (Crossref)","title":"Guidelines for advancing theory and practice through bibliometric research","volume":"148","author":[{"family":"Mukherjee","given":"Debmalya"},{"family":"Lim","given":"Weng Marc"},{"family":"Kumar","given":"Satish"},{"family":"Donthu","given":"Naveen"}],"issued":{"date-parts":[["2022",9]]}}}],"schema":"https://github.com/citation-style-language/schema/raw/master/csl-citation.json"}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(Mukherjee et al., 2022) </w:t>
      </w:r>
      <w:r w:rsidRPr="00F45A84">
        <w:rPr>
          <w:rFonts w:cs="Times New Roman"/>
          <w:sz w:val="24"/>
          <w:szCs w:val="24"/>
        </w:rPr>
        <w:fldChar w:fldCharType="end"/>
      </w:r>
      <w:r w:rsidRPr="00F45A84">
        <w:rPr>
          <w:rFonts w:cs="Times New Roman"/>
          <w:sz w:val="24"/>
          <w:szCs w:val="24"/>
        </w:rPr>
        <w:t>. Most previous studies are technical and case study-based, focusing on the development of specific models or algorithms. However, very few studies attempt to systematically map the MPC literature in the sugar industry from a macro perspective, such as publication growth, collaboration networks, research, and scientific impact based on citations.</w:t>
      </w:r>
    </w:p>
    <w:p w14:paraId="4E573670" w14:textId="77777777" w:rsidR="00463BBA" w:rsidRDefault="00463BBA" w:rsidP="00463BBA">
      <w:pPr>
        <w:spacing w:before="240"/>
        <w:ind w:left="1560"/>
        <w:jc w:val="both"/>
        <w:rPr>
          <w:rFonts w:cs="Times New Roman"/>
          <w:sz w:val="24"/>
          <w:szCs w:val="24"/>
        </w:rPr>
      </w:pPr>
    </w:p>
    <w:p w14:paraId="18049964" w14:textId="43C3EC90" w:rsidR="00463BBA" w:rsidRDefault="00463BBA" w:rsidP="00CC755F">
      <w:pPr>
        <w:spacing w:before="240" w:after="240"/>
        <w:ind w:left="1560"/>
        <w:jc w:val="both"/>
        <w:rPr>
          <w:rFonts w:cs="Times New Roman"/>
          <w:sz w:val="24"/>
          <w:szCs w:val="24"/>
        </w:rPr>
      </w:pPr>
      <w:r w:rsidRPr="00F45A84">
        <w:rPr>
          <w:rFonts w:cs="Times New Roman"/>
          <w:sz w:val="24"/>
          <w:szCs w:val="24"/>
        </w:rPr>
        <w:t xml:space="preserve">Bibliometric approaches have proven effective for analyzing the intellectual structure of a research field, identifying research trends, and mapping relationships between authors, institutions, journals, and research topics </w:t>
      </w:r>
      <w:r w:rsidRPr="00F45A84">
        <w:rPr>
          <w:rFonts w:cs="Times New Roman"/>
          <w:sz w:val="24"/>
          <w:szCs w:val="24"/>
        </w:rPr>
        <w:fldChar w:fldCharType="begin"/>
      </w:r>
      <w:r w:rsidRPr="00F45A84">
        <w:rPr>
          <w:rFonts w:cs="Times New Roman"/>
          <w:sz w:val="24"/>
          <w:szCs w:val="24"/>
        </w:rPr>
        <w:instrText xml:space="preserve"> ADDIN ZOTERO_ITEM CSL_CITATION {"citationID":"kB8mqcMd","properties":{"formattedCitation":"(Chusniyah et al., 2024; Irwanto, 2025)","plainCitation":"(Chusniyah et al., 2024; Irwanto, 2025)","noteIndex":0},"citationItems":[{"id":843,"uris":["http://zotero.org/users/12817968/items/MQVW93LI"],"itemData":{"id":843,"type":"article-journal","abstract":"Purpose\n              This study aims to identify the growth pattern of research literature, most influential authors, most impactful documents and most relevant topics on sustainable development (SD) in higher education management (HEM) from 2000 to 2023.\n            \n            \n              Design/methodology/approach\n              The research approach used descriptive quantitative and bibliometric analysis. Scopus was used to retrieve data from 811 selected documents from 2000 to 2023. Data analysis used VOSviewer and R Biblioshiny.\n            \n            \n              Findings\n              The results showed intense development of sustainable development research in higher education management, especially in 2013–2023. Core literature was identified based on the volume of publications or citations from the perspective of authors, documents and keywords. Global research topics on SD in HEM focus on curriculum development and sustainable learning, sustainable higher education management and enhancing research and development of SD in HEM. The results of this research reveal the emerging intellectual structure in the field of educational management and provide reference points for academics who wish to study this discipline.\n            \n            \n              Originality/value\n              This study offers a valuable knowledge map for future research on sustainable development in higher education management. As a map, researchers can find core documents and current topics and identify potential research issues in this study.","container-title":"International Journal of Sustainability in Higher Education","DOI":"10.1108/IJSHE-11-2023-0546","ISSN":"1467-6370, 1467-6370","journalAbbreviation":"IJSHE","language":"en","license":"https://www.emerald.com/insight/site-policies","source":"DOI.org (Crossref)","title":"Two decades of sustainable development studies in higher education management: a bibliometric analysis","title-short":"Two decades of sustainable development studies in higher education management","URL":"https://www.emerald.com/insight/content/doi/10.1108/IJSHE-11-2023-0546/full/html","author":[{"family":"Chusniyah","given":"Atin"},{"family":"Makruf","given":"Imam"},{"literal":"Supriyanto"}],"accessed":{"date-parts":[["2024",11,27]]},"issued":{"date-parts":[["2024",10,24]]}}},{"id":18722,"uris":["http://zotero.org/users/12817968/items/BGNY6ZSL"],"itemData":{"id":18722,"type":"article-journal","container-title":"Discover Artificial Intelligence","DOI":"10.1007/s44163-025-00389-4","ISSN":"2731-0809","issue":"1","journalAbbreviation":"Discov Artif Intell","language":"en","page":"155","source":"DOI.org (Crossref)","title":"Research trends on artificial intelligence in K-12 education in Asia: a bibliometric analysis using the Scopus database (1996–2025)","title-short":"Research trends on artificial intelligence in K-12 education in Asia","volume":"5","author":[{"family":"Irwanto","given":"Irwanto"}],"issued":{"date-parts":[["2025",7,17]]}}}],"schema":"https://github.com/citation-style-language/schema/raw/master/csl-citation.json"}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(Chusniyah et al., 2024; Irwanto, 2025) </w:t>
      </w:r>
      <w:r w:rsidRPr="00F45A84">
        <w:rPr>
          <w:rFonts w:cs="Times New Roman"/>
          <w:sz w:val="24"/>
          <w:szCs w:val="24"/>
        </w:rPr>
        <w:fldChar w:fldCharType="end"/>
      </w:r>
      <w:r w:rsidRPr="00F45A84">
        <w:rPr>
          <w:rFonts w:cs="Times New Roman"/>
          <w:sz w:val="24"/>
          <w:szCs w:val="24"/>
        </w:rPr>
        <w:t xml:space="preserve">. In the context of process control and MPC, bibliometric analysis has been used in the energy, chemical, and manufacturing fields </w:t>
      </w:r>
      <w:r w:rsidRPr="00F45A84">
        <w:rPr>
          <w:rFonts w:cs="Times New Roman"/>
          <w:sz w:val="24"/>
          <w:szCs w:val="24"/>
        </w:rPr>
        <w:fldChar w:fldCharType="begin"/>
      </w:r>
      <w:r w:rsidRPr="00F45A84">
        <w:rPr>
          <w:rFonts w:cs="Times New Roman"/>
          <w:sz w:val="24"/>
          <w:szCs w:val="24"/>
        </w:rPr>
        <w:instrText xml:space="preserve"> ADDIN ZOTERO_ITEM CSL_CITATION {"citationID":"Vtes86xf","properties":{"formattedCitation":"(Kozak, 2016; Lee, 2011)","plainCitation":"(Kozak, 2016; Lee, 2011)","noteIndex":0},"citationItems":[{"id":18800,"uris":["http://zotero.org/users/12817968/items/4TEURUHL"],"itemData":{"id":18800,"type":"paper-conference","container-title":"2016 Cybernetics &amp; Informatics (K&amp;I)","DOI":"10.1109/CYBERI.2016.7438634","event-place":"Levoca","event-title":"28th International Conference 2016. Cybernetics &amp; Informatics (K&amp;I)","ISBN":"978-1-5090-1832-1","page":"1-7","publisher":"IEEE","publisher-place":"Levoca","source":"DOI.org (Crossref)","title":"From PID to MPC: Control engineering methods development and applications","title-short":"From PID to MPC","URL":"http://ieeexplore.ieee.org/document/7438634/","author":[{"family":"Kozak","given":"Stefan"}],"accessed":{"date-parts":[["2025",12,21]]},"issued":{"date-parts":[["2016",2]]}}},{"id":18799,"uris":["http://zotero.org/users/12817968/items/A6C3ASU9"],"itemData":{"id":18799,"type":"article-journal","container-title":"International Journal of Control, Automation and Systems","DOI":"10.1007/s12555-011-0300-6","ISSN":"1598-6446, 2005-4092","issue":"3","journalAbbreviation":"Int. J. Control Autom. Syst.","language":"en","license":"http://www.springer.com/tdm","page":"415-424","source":"DOI.org (Crossref)","title":"Model predictive control: Review of the three decades of development","title-short":"Model predictive control","volume":"9","author":[{"family":"Lee","given":"Jay H."}],"issued":{"date-parts":[["2011",6]]}}}],"schema":"https://github.com/citation-style-language/schema/raw/master/csl-citation.json"}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(Kozak, 2016; Lee, 2011) </w:t>
      </w:r>
      <w:r w:rsidRPr="00F45A84">
        <w:rPr>
          <w:rFonts w:cs="Times New Roman"/>
          <w:sz w:val="24"/>
          <w:szCs w:val="24"/>
        </w:rPr>
        <w:fldChar w:fldCharType="end"/>
      </w:r>
      <w:r w:rsidRPr="00F45A84">
        <w:rPr>
          <w:rFonts w:cs="Times New Roman"/>
          <w:sz w:val="24"/>
          <w:szCs w:val="24"/>
        </w:rPr>
        <w:t>, but its specific application to the sugar industry remains very limited. The absence of bibliometric mapping focused on MPC in the sugar industry creates a significant research gap. Without this mapping, it is difficult to identify dominant research themes, emerging topics, or under-explored research areas with potential for further development. Based on these conditions, the novelty of this study lies in the presentation of a comprehensive bibliometric analysis focused specifically on model predictive control research in the sugar industry. This study integrates analysis of scientific productivity, citation impact, country and institutional collaboration networks, document and author co-citation, as well as keyword analysis and thematic maps.</w:t>
      </w:r>
    </w:p>
    <w:p w14:paraId="037D3EBD" w14:textId="77777777" w:rsidR="00463BBA" w:rsidRPr="00F45A84" w:rsidRDefault="00463BBA" w:rsidP="00CC755F">
      <w:pPr>
        <w:spacing w:after="240"/>
        <w:ind w:left="1560"/>
        <w:jc w:val="both"/>
        <w:rPr>
          <w:rFonts w:cs="Times New Roman"/>
          <w:sz w:val="24"/>
          <w:szCs w:val="24"/>
        </w:rPr>
      </w:pPr>
      <w:r w:rsidRPr="00F45A84">
        <w:rPr>
          <w:rFonts w:cs="Times New Roman"/>
          <w:sz w:val="24"/>
          <w:szCs w:val="24"/>
        </w:rPr>
        <w:t>Thus, the main objective of this study is to answer four research questions, namely:</w:t>
      </w:r>
    </w:p>
    <w:p w14:paraId="76DC8EFB" w14:textId="77777777" w:rsidR="00463BBA" w:rsidRPr="00F45A84" w:rsidRDefault="00463BBA" w:rsidP="00CC755F">
      <w:pPr>
        <w:ind w:left="1560"/>
        <w:jc w:val="both"/>
        <w:rPr>
          <w:rFonts w:cs="Times New Roman"/>
          <w:sz w:val="24"/>
          <w:szCs w:val="24"/>
        </w:rPr>
      </w:pPr>
      <w:r w:rsidRPr="00F45A84">
        <w:rPr>
          <w:rFonts w:cs="Times New Roman"/>
          <w:sz w:val="24"/>
          <w:szCs w:val="24"/>
        </w:rPr>
        <w:t>RQ1. How has the distribution of publications on predictive control models in the sugar industry evolved over the years?</w:t>
      </w:r>
    </w:p>
    <w:p w14:paraId="0666277A" w14:textId="77777777" w:rsidR="00463BBA" w:rsidRPr="00F45A84" w:rsidRDefault="00463BBA" w:rsidP="00CC755F">
      <w:pPr>
        <w:ind w:left="1560"/>
        <w:jc w:val="both"/>
        <w:rPr>
          <w:rFonts w:cs="Times New Roman"/>
          <w:sz w:val="24"/>
          <w:szCs w:val="24"/>
        </w:rPr>
      </w:pPr>
      <w:r w:rsidRPr="00F45A84">
        <w:rPr>
          <w:rFonts w:cs="Times New Roman"/>
          <w:sz w:val="24"/>
          <w:szCs w:val="24"/>
        </w:rPr>
        <w:t>RQ2. Which countries, institutions, and journals contribute the most to research on predictive control models in the sugar industry?</w:t>
      </w:r>
    </w:p>
    <w:p w14:paraId="18052334" w14:textId="77777777" w:rsidR="00463BBA" w:rsidRPr="00F45A84" w:rsidRDefault="00463BBA" w:rsidP="00CC755F">
      <w:pPr>
        <w:ind w:left="1560"/>
        <w:jc w:val="both"/>
        <w:rPr>
          <w:rFonts w:cs="Times New Roman"/>
          <w:sz w:val="24"/>
          <w:szCs w:val="24"/>
        </w:rPr>
      </w:pPr>
      <w:r w:rsidRPr="00F45A84">
        <w:rPr>
          <w:rFonts w:cs="Times New Roman"/>
          <w:sz w:val="24"/>
          <w:szCs w:val="24"/>
        </w:rPr>
        <w:t>RQ3. Which publications receive the highest number of citations and who are the most influential authors in the field?</w:t>
      </w:r>
    </w:p>
    <w:p w14:paraId="182437FE" w14:textId="77777777" w:rsidR="00463BBA" w:rsidRPr="00F45A84" w:rsidRDefault="00463BBA" w:rsidP="00CC755F">
      <w:pPr>
        <w:ind w:left="1560"/>
        <w:jc w:val="both"/>
        <w:rPr>
          <w:rFonts w:cs="Times New Roman"/>
          <w:sz w:val="24"/>
          <w:szCs w:val="24"/>
        </w:rPr>
      </w:pPr>
      <w:r w:rsidRPr="00F45A84">
        <w:rPr>
          <w:rFonts w:cs="Times New Roman"/>
          <w:sz w:val="24"/>
          <w:szCs w:val="24"/>
        </w:rPr>
        <w:t>RQ4. What are the most frequently explored topics, as indicated by author keywords in these publications?</w:t>
      </w:r>
    </w:p>
    <w:p w14:paraId="4084C44B" w14:textId="77777777" w:rsidR="00463BBA" w:rsidRPr="00F45A84" w:rsidRDefault="00463BBA" w:rsidP="00463BBA">
      <w:pPr>
        <w:spacing w:before="240"/>
        <w:ind w:left="1560"/>
        <w:jc w:val="both"/>
        <w:rPr>
          <w:rFonts w:cs="Times New Roman"/>
          <w:sz w:val="24"/>
          <w:szCs w:val="24"/>
        </w:rPr>
      </w:pPr>
      <w:r w:rsidRPr="00F45A84">
        <w:rPr>
          <w:rFonts w:cs="Times New Roman"/>
          <w:sz w:val="24"/>
          <w:szCs w:val="24"/>
        </w:rPr>
        <w:t>The urgency of this research is increasing as the sugar industry transforms toward smart manufacturing, Industry 4.0, and digital process control. By providing a knowledge map based on bibliometric data, this research is expected to serve as a strategic reference for researchers, academics, and industry practitioners in directing further research and supporting the adoption of more effective and sustainable MPC in the sugar industry.</w:t>
      </w:r>
    </w:p>
    <w:p w14:paraId="6BD82612" w14:textId="321950D2" w:rsidR="00956FBD" w:rsidRDefault="00872491">
      <w:pPr>
        <w:pStyle w:val="Heading1"/>
        <w:spacing w:before="298"/>
        <w:ind w:right="360"/>
        <w:jc w:val="both"/>
      </w:pPr>
      <w:r>
        <w:t>Methodology</w:t>
      </w:r>
    </w:p>
    <w:p w14:paraId="069137EB" w14:textId="77777777" w:rsidR="00872491" w:rsidRPr="00F45A84" w:rsidRDefault="00872491" w:rsidP="00872491">
      <w:pPr>
        <w:spacing w:before="240"/>
        <w:ind w:left="1560"/>
        <w:jc w:val="both"/>
        <w:rPr>
          <w:rFonts w:cs="Times New Roman"/>
          <w:sz w:val="24"/>
          <w:szCs w:val="24"/>
        </w:rPr>
      </w:pPr>
      <w:r w:rsidRPr="00F45A84">
        <w:rPr>
          <w:rFonts w:cs="Times New Roman"/>
          <w:sz w:val="24"/>
          <w:szCs w:val="24"/>
        </w:rPr>
        <w:t xml:space="preserve">This study uses a bibliometric approach to analyze research developments on Model Predictive Control (MPC) in the sugar industry. The bibliometric method was chosen because it can quantitatively and systematically map publication trends, contributions of key actors, and the structure and evolution of research themes. This approach is widely used to study developments in the multidisciplinary fields of industrial process engineering and control </w:t>
      </w:r>
      <w:r w:rsidRPr="00F45A84">
        <w:rPr>
          <w:rFonts w:cs="Times New Roman"/>
          <w:sz w:val="24"/>
          <w:szCs w:val="24"/>
        </w:rPr>
        <w:fldChar w:fldCharType="begin"/>
      </w:r>
      <w:r w:rsidRPr="00F45A84">
        <w:rPr>
          <w:rFonts w:cs="Times New Roman"/>
          <w:sz w:val="24"/>
          <w:szCs w:val="24"/>
        </w:rPr>
        <w:instrText xml:space="preserve"> ADDIN ZOTERO_ITEM CSL_CITATION {"citationID":"fnnwfxfX","properties":{"formattedCitation":"(Chusniyah et al., 2024; Mukherjee et al., 2022)","plainCitation":"(Chusniyah et al., 2024; Mukherjee et al., 2022)","noteIndex":0},"citationItems":[{"id":843,"uris":["http://zotero.org/users/12817968/items/MQVW93LI"],"itemData":{"id":843,"type":"article-journal","abstract":"Purpose\n              This study aims to identify the growth pattern of research literature, most influential authors, most impactful documents and most relevant topics on sustainable development (SD) in higher education management (HEM) from 2000 to 2023.\n            \n            \n              Design/methodology/approach\n              The research approach used descriptive quantitative and bibliometric analysis. Scopus was used to retrieve data from 811 selected documents from 2000 to 2023. Data analysis used VOSviewer and R Biblioshiny.\n            \n            \n              Findings\n              The results showed intense development of sustainable development research in higher education management, especially in 2013–2023. Core literature was identified based on the volume of publications or citations from the perspective of authors, documents and keywords. Global research topics on SD in HEM focus on curriculum development and sustainable learning, sustainable higher education management and enhancing research and development of SD in HEM. The results of this research reveal the emerging intellectual structure in the field of educational management and provide reference points for academics who wish to study this discipline.\n            \n            \n              Originality/value\n              This study offers a valuable knowledge map for future research on sustainable development in higher education management. As a map, researchers can find core documents and current topics and identify potential research issues in this study.","container-title":"International Journal of Sustainability in Higher Education","DOI":"10.1108/IJSHE-11-2023-0546","ISSN":"1467-6370, 1467-6370","journalAbbreviation":"IJSHE","language":"en","license":"https://www.emerald.com/insight/site-policies","source":"DOI.org (Crossref)","title":"Two decades of sustainable development studies in higher education management: a bibliometric analysis","title-short":"Two decades of sustainable development studies in higher education management","URL":"https://www.emerald.com/insight/content/doi/10.1108/IJSHE-11-2023-0546/full/html","author":[{"family":"Chusniyah","given":"Atin"},{"family":"Makruf","given":"Imam"},{"literal":"Supriyanto"}],"accessed":{"date-parts":[["2024",11,27]]},"issued":{"date-parts":[["2024",10,24]]}}},{"id":839,"uris":["http://zotero.org/users/12817968/items/SEZW32RK"],"itemData":{"id":839,"type":"article-journal","container-title":"Journal of Business Research","DOI":"10.1016/j.jbusres.2022.04.042","ISSN":"01482963","journalAbbreviation":"Journal of Business Research","language":"en","page":"101-115","source":"DOI.org (Crossref)","title":"Guidelines for advancing theory and practice through bibliometric research","volume":"148","author":[{"family":"Mukherjee","given":"Debmalya"},{"family":"Lim","given":"Weng Marc"},{"family":"Kumar","given":"Satish"},{"family":"Donthu","given":"Naveen"}],"issued":{"date-parts":[["2022",9]]}}}],"schema":"https://github.com/citation-style-language/schema/raw/master/csl-citation.json"}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(Chusniyah et al., 2024; Mukherjee et al., 2022) </w:t>
      </w:r>
      <w:r w:rsidRPr="00F45A84">
        <w:rPr>
          <w:rFonts w:cs="Times New Roman"/>
          <w:sz w:val="24"/>
          <w:szCs w:val="24"/>
        </w:rPr>
        <w:fldChar w:fldCharType="end"/>
      </w:r>
      <w:r w:rsidRPr="00F45A84">
        <w:rPr>
          <w:rFonts w:cs="Times New Roman"/>
          <w:sz w:val="24"/>
          <w:szCs w:val="24"/>
        </w:rPr>
        <w:t>. Data were collected from the Scopus database, which was selected for its extensive coverage of reputable journals and conference proceedings in the fields of engineering, energy, and the process industry. The data search was conducted on December 15, 2025, and the entire process was carried out on the same day to avoid differences in data volume due to database updates.</w:t>
      </w:r>
    </w:p>
    <w:p w14:paraId="0C1AE626" w14:textId="77777777" w:rsidR="00872491" w:rsidRPr="00F45A84" w:rsidRDefault="00872491" w:rsidP="00872491">
      <w:pPr>
        <w:spacing w:before="240"/>
        <w:ind w:left="1560"/>
        <w:jc w:val="both"/>
        <w:rPr>
          <w:rFonts w:cs="Times New Roman"/>
          <w:sz w:val="24"/>
          <w:szCs w:val="24"/>
        </w:rPr>
      </w:pPr>
      <w:r w:rsidRPr="00F45A84">
        <w:rPr>
          <w:rFonts w:cs="Times New Roman"/>
          <w:sz w:val="24"/>
          <w:szCs w:val="24"/>
        </w:rPr>
        <w:t>The search strategy uses the following keyword combination in the TITLE-ABS-KEY column:</w:t>
      </w:r>
    </w:p>
    <w:p w14:paraId="7EFC06FC" w14:textId="77777777" w:rsidR="00872491" w:rsidRPr="00F45A84" w:rsidRDefault="00872491" w:rsidP="00872491">
      <w:pPr>
        <w:spacing w:before="240"/>
        <w:ind w:left="1560" w:right="662"/>
        <w:jc w:val="both"/>
        <w:rPr>
          <w:rFonts w:cs="Times New Roman"/>
          <w:sz w:val="24"/>
          <w:szCs w:val="24"/>
        </w:rPr>
      </w:pPr>
      <w:r w:rsidRPr="00F45A84">
        <w:rPr>
          <w:rFonts w:cs="Times New Roman"/>
          <w:sz w:val="24"/>
          <w:szCs w:val="24"/>
        </w:rPr>
        <w:lastRenderedPageBreak/>
        <w:t>( TITLE-ABS-KEY ( model predictive control ) OR TITLE-ABS-KEY ( MPC ) OR TITLE-ABS-KEY ( predictive control ) OR TITLE-ABS-KEY ( advanced process control ) AND TITLE-ABS-KEY ( sugar industry ) OR TITLE-ABS-KEY ( sugar factory ) OR TITLE-ABS-KEY ( sugar mill ) OR TITLE-ABS-KEY ( sugar production ) OR TITLE-ABS-KEY ( sugarcane processing ) OR TITLE-ABS-KEY ( cane sugar ) )</w:t>
      </w:r>
    </w:p>
    <w:p w14:paraId="25A4E0D1" w14:textId="77777777" w:rsidR="00872491" w:rsidRPr="00F45A84" w:rsidRDefault="00872491" w:rsidP="00872491">
      <w:pPr>
        <w:spacing w:before="240"/>
        <w:ind w:left="1560"/>
        <w:jc w:val="both"/>
        <w:rPr>
          <w:rFonts w:cs="Times New Roman"/>
          <w:sz w:val="24"/>
          <w:szCs w:val="24"/>
        </w:rPr>
      </w:pPr>
      <w:r w:rsidRPr="00F45A84">
        <w:rPr>
          <w:rFonts w:cs="Times New Roman"/>
          <w:sz w:val="24"/>
          <w:szCs w:val="24"/>
        </w:rPr>
        <w:t>The initial search yielded 325 documents. After filtering based on English language and document type (journal articles and conference proceedings), the number of documents was reduced to 249. The article selection process was conducted using the PRISMA (Preferred Reporting Items for Systematic Reviews and Meta-Analyses) framework to ensure transparency and consistency of selection. Further selection stages were conducted through reviewing titles, abstracts, and keywords. Articles were considered inclusive if: (1) They discussed Model Predictive Control (MPC) or its derivatives, such as predictive control, generalized predictive control (GPC), receding horizon control, nonlinear MPC, or economic MPC; (2) They were directly related to sugar industry processes, such as sugar mills, sugar refineries, cane sugar, or beet sugar. Articles were excluded if they did not involve a predictive control approach or were not relevant to the sugar industry. After the final selection process, 111 articles were obtained, which were used as the main dataset.</w:t>
      </w:r>
    </w:p>
    <w:p w14:paraId="0786943E" w14:textId="784F0306" w:rsidR="00872491" w:rsidRDefault="00872491" w:rsidP="00872491">
      <w:pPr>
        <w:spacing w:before="240"/>
        <w:ind w:left="1560"/>
        <w:jc w:val="both"/>
        <w:rPr>
          <w:rFonts w:cs="Times New Roman"/>
          <w:sz w:val="24"/>
          <w:szCs w:val="24"/>
        </w:rPr>
      </w:pPr>
      <w:r w:rsidRPr="00F45A84">
        <w:rPr>
          <w:rFonts w:cs="Times New Roman"/>
          <w:sz w:val="24"/>
          <w:szCs w:val="24"/>
        </w:rPr>
        <w:t>A total of 111 selected articles were downloaded in CSV format and analyzed using Bibliometrix (R-package) and VOSviewer. Bibliometric analysis was conducted through two main approaches: (1) Performance analysis, including annual publication trends, the most productive journals, the most contributing authors, institutions, and countries, as well as documents with the highest citations; (2) Science mapping, which includes analysis of co-authorship, co-citation, keyword co-occurrence, and thematic mapping to identify the intellectual structure and development of MPC research topics in the sugar industry. This approach allows for a comprehensive mapping of research dynamics, scientific collaborations, and the direction of MPC research development in the context of the sugar industry.</w:t>
      </w:r>
    </w:p>
    <w:p w14:paraId="085B610A" w14:textId="77777777" w:rsidR="00A56D24" w:rsidRDefault="00A56D24" w:rsidP="00872491">
      <w:pPr>
        <w:spacing w:before="240"/>
        <w:ind w:left="1560"/>
        <w:jc w:val="both"/>
        <w:rPr>
          <w:rFonts w:cs="Times New Roman"/>
          <w:sz w:val="24"/>
          <w:szCs w:val="24"/>
        </w:rPr>
      </w:pPr>
    </w:p>
    <w:p w14:paraId="72A8B700" w14:textId="77777777" w:rsidR="00A56D24" w:rsidRDefault="00A56D24" w:rsidP="00872491">
      <w:pPr>
        <w:spacing w:before="240"/>
        <w:ind w:left="1560"/>
        <w:jc w:val="both"/>
        <w:rPr>
          <w:rFonts w:cs="Times New Roman"/>
          <w:sz w:val="24"/>
          <w:szCs w:val="24"/>
        </w:rPr>
      </w:pPr>
    </w:p>
    <w:p w14:paraId="63C0C1C9" w14:textId="77777777" w:rsidR="00872491" w:rsidRDefault="00872491" w:rsidP="00872491">
      <w:pPr>
        <w:spacing w:before="240"/>
        <w:ind w:left="1560"/>
        <w:jc w:val="both"/>
        <w:rPr>
          <w:rFonts w:cs="Times New Roman"/>
          <w:sz w:val="24"/>
          <w:szCs w:val="24"/>
        </w:rPr>
      </w:pPr>
    </w:p>
    <w:p w14:paraId="7C7C72EC" w14:textId="77777777" w:rsidR="00872491" w:rsidRDefault="00872491" w:rsidP="00872491">
      <w:pPr>
        <w:spacing w:before="240"/>
        <w:ind w:left="1560"/>
        <w:jc w:val="both"/>
        <w:rPr>
          <w:rFonts w:cs="Times New Roman"/>
          <w:sz w:val="24"/>
          <w:szCs w:val="24"/>
        </w:rPr>
      </w:pPr>
    </w:p>
    <w:p w14:paraId="5758BDF3" w14:textId="77777777" w:rsidR="00872491" w:rsidRDefault="00872491" w:rsidP="00872491">
      <w:pPr>
        <w:spacing w:before="240"/>
        <w:ind w:left="1560"/>
        <w:jc w:val="both"/>
        <w:rPr>
          <w:rFonts w:cs="Times New Roman"/>
          <w:sz w:val="24"/>
          <w:szCs w:val="24"/>
        </w:rPr>
      </w:pPr>
    </w:p>
    <w:p w14:paraId="66BD4FA6" w14:textId="77777777" w:rsidR="00872491" w:rsidRDefault="00872491" w:rsidP="00872491">
      <w:pPr>
        <w:spacing w:before="240"/>
        <w:ind w:left="1560"/>
        <w:jc w:val="both"/>
        <w:rPr>
          <w:rFonts w:cs="Times New Roman"/>
          <w:sz w:val="24"/>
          <w:szCs w:val="24"/>
        </w:rPr>
      </w:pPr>
    </w:p>
    <w:p w14:paraId="708FAAA8" w14:textId="77777777" w:rsidR="00872491" w:rsidRDefault="00872491" w:rsidP="00872491">
      <w:pPr>
        <w:spacing w:before="240"/>
        <w:ind w:left="1560"/>
        <w:jc w:val="both"/>
        <w:rPr>
          <w:rFonts w:cs="Times New Roman"/>
          <w:sz w:val="24"/>
          <w:szCs w:val="24"/>
        </w:rPr>
      </w:pPr>
    </w:p>
    <w:p w14:paraId="684735AF" w14:textId="77777777" w:rsidR="00872491" w:rsidRDefault="00872491" w:rsidP="00872491">
      <w:pPr>
        <w:spacing w:before="240"/>
        <w:ind w:left="1560"/>
        <w:jc w:val="both"/>
        <w:rPr>
          <w:rFonts w:cs="Times New Roman"/>
          <w:sz w:val="24"/>
          <w:szCs w:val="24"/>
        </w:rPr>
      </w:pPr>
    </w:p>
    <w:p w14:paraId="175DB7BA" w14:textId="77777777" w:rsidR="00872491" w:rsidRDefault="00872491" w:rsidP="00872491">
      <w:pPr>
        <w:spacing w:before="240"/>
        <w:ind w:left="1560"/>
        <w:jc w:val="both"/>
        <w:rPr>
          <w:rFonts w:cs="Times New Roman"/>
          <w:sz w:val="24"/>
          <w:szCs w:val="24"/>
        </w:rPr>
      </w:pPr>
    </w:p>
    <w:p w14:paraId="106D529D" w14:textId="77777777" w:rsidR="00872491" w:rsidRDefault="00872491" w:rsidP="00872491">
      <w:pPr>
        <w:spacing w:before="240"/>
        <w:ind w:left="1560"/>
        <w:jc w:val="both"/>
        <w:rPr>
          <w:rFonts w:cs="Times New Roman"/>
          <w:sz w:val="24"/>
          <w:szCs w:val="24"/>
        </w:rPr>
      </w:pPr>
    </w:p>
    <w:p w14:paraId="20285F92" w14:textId="057C7176" w:rsidR="00872491" w:rsidRDefault="00A56D24" w:rsidP="00872491">
      <w:pPr>
        <w:spacing w:before="240"/>
        <w:ind w:left="1560"/>
        <w:jc w:val="both"/>
        <w:rPr>
          <w:rFonts w:cs="Times New Roman"/>
          <w:sz w:val="24"/>
          <w:szCs w:val="24"/>
        </w:rPr>
      </w:pPr>
      <w:r w:rsidRPr="00F45A84">
        <w:rPr>
          <w:rFonts w:cs="Times New Roman"/>
          <w:i/>
          <w:noProof/>
          <w:sz w:val="24"/>
          <w:szCs w:val="24"/>
        </w:rPr>
        <w:lastRenderedPageBreak/>
        <mc:AlternateContent>
          <mc:Choice Requires="wpg">
            <w:drawing>
              <wp:anchor distT="0" distB="0" distL="114300" distR="114300" simplePos="0" relativeHeight="251658240" behindDoc="0" locked="0" layoutInCell="1" allowOverlap="1" wp14:anchorId="05756A25" wp14:editId="753BAFDA">
                <wp:simplePos x="0" y="0"/>
                <wp:positionH relativeFrom="margin">
                  <wp:posOffset>916940</wp:posOffset>
                </wp:positionH>
                <wp:positionV relativeFrom="paragraph">
                  <wp:posOffset>401955</wp:posOffset>
                </wp:positionV>
                <wp:extent cx="4330700" cy="3569970"/>
                <wp:effectExtent l="0" t="0" r="12700" b="11430"/>
                <wp:wrapTopAndBottom/>
                <wp:docPr id="558040101" name="Group 558040101"/>
                <wp:cNvGraphicFramePr/>
                <a:graphic xmlns:a="http://schemas.openxmlformats.org/drawingml/2006/main">
                  <a:graphicData uri="http://schemas.microsoft.com/office/word/2010/wordprocessingGroup">
                    <wpg:wgp>
                      <wpg:cNvGrpSpPr/>
                      <wpg:grpSpPr>
                        <a:xfrm>
                          <a:off x="0" y="0"/>
                          <a:ext cx="4330700" cy="3569970"/>
                          <a:chOff x="37569" y="385757"/>
                          <a:chExt cx="4796467" cy="3571109"/>
                        </a:xfrm>
                      </wpg:grpSpPr>
                      <wps:wsp>
                        <wps:cNvPr id="216812424" name="Rectangle 216812424"/>
                        <wps:cNvSpPr/>
                        <wps:spPr>
                          <a:xfrm>
                            <a:off x="397331" y="544010"/>
                            <a:ext cx="1887220" cy="600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879E18" w14:textId="3DF6F4DA" w:rsidR="00872491" w:rsidRPr="008D515B" w:rsidRDefault="007713CB" w:rsidP="00872491">
                              <w:pPr>
                                <w:rPr>
                                  <w:rFonts w:ascii="Times New Roman" w:hAnsi="Times New Roman" w:cs="Times New Roman"/>
                                  <w:color w:val="000000" w:themeColor="text1"/>
                                  <w:sz w:val="18"/>
                                  <w:szCs w:val="20"/>
                                </w:rPr>
                              </w:pPr>
                              <w:r w:rsidRPr="007713CB">
                                <w:rPr>
                                  <w:rFonts w:ascii="Times New Roman" w:hAnsi="Times New Roman" w:cs="Times New Roman"/>
                                  <w:color w:val="000000" w:themeColor="text1"/>
                                  <w:sz w:val="18"/>
                                  <w:szCs w:val="20"/>
                                </w:rPr>
                                <w:t>Articles from the Scopus database</w:t>
                              </w:r>
                              <w:r w:rsidR="00872491">
                                <w:rPr>
                                  <w:rFonts w:ascii="Times New Roman" w:hAnsi="Times New Roman" w:cs="Times New Roman"/>
                                  <w:color w:val="000000" w:themeColor="text1"/>
                                  <w:sz w:val="18"/>
                                  <w:szCs w:val="20"/>
                                </w:rPr>
                                <w:t xml:space="preserve"> (</w:t>
                              </w:r>
                              <w:r w:rsidR="00872491" w:rsidRPr="008D515B">
                                <w:rPr>
                                  <w:rFonts w:ascii="Times New Roman" w:hAnsi="Times New Roman" w:cs="Times New Roman"/>
                                  <w:color w:val="000000" w:themeColor="text1"/>
                                  <w:sz w:val="18"/>
                                  <w:szCs w:val="20"/>
                                </w:rPr>
                                <w:t>n =</w:t>
                              </w:r>
                              <w:r w:rsidR="00872491">
                                <w:rPr>
                                  <w:rFonts w:ascii="Times New Roman" w:hAnsi="Times New Roman" w:cs="Times New Roman"/>
                                  <w:color w:val="000000" w:themeColor="text1"/>
                                  <w:sz w:val="18"/>
                                  <w:szCs w:val="20"/>
                                </w:rPr>
                                <w:t xml:space="preserve"> 325</w:t>
                              </w:r>
                              <w:r w:rsidR="00872491" w:rsidRPr="008D515B">
                                <w:rPr>
                                  <w:rFonts w:ascii="Times New Roman" w:hAnsi="Times New Roman" w:cs="Times New Roman"/>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75658" name="Rectangle 7875658"/>
                        <wps:cNvSpPr/>
                        <wps:spPr>
                          <a:xfrm>
                            <a:off x="397331" y="1493134"/>
                            <a:ext cx="1887220" cy="571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DE34FB" w14:textId="1F37674E" w:rsidR="00872491" w:rsidRPr="008D515B" w:rsidRDefault="007713CB" w:rsidP="00872491">
                              <w:pPr>
                                <w:rPr>
                                  <w:rFonts w:ascii="Times New Roman" w:hAnsi="Times New Roman" w:cs="Times New Roman"/>
                                  <w:color w:val="000000" w:themeColor="text1"/>
                                  <w:sz w:val="18"/>
                                  <w:szCs w:val="20"/>
                                </w:rPr>
                              </w:pPr>
                              <w:r w:rsidRPr="007713CB">
                                <w:rPr>
                                  <w:rFonts w:ascii="Times New Roman" w:hAnsi="Times New Roman" w:cs="Times New Roman"/>
                                  <w:color w:val="000000" w:themeColor="text1"/>
                                  <w:sz w:val="18"/>
                                  <w:szCs w:val="20"/>
                                </w:rPr>
                                <w:t xml:space="preserve">Screened articles </w:t>
                              </w:r>
                              <w:r w:rsidR="00872491" w:rsidRPr="008D515B">
                                <w:rPr>
                                  <w:rFonts w:ascii="Times New Roman" w:hAnsi="Times New Roman" w:cs="Times New Roman"/>
                                  <w:color w:val="000000" w:themeColor="text1"/>
                                  <w:sz w:val="18"/>
                                  <w:szCs w:val="20"/>
                                </w:rPr>
                                <w:t>(n =</w:t>
                              </w:r>
                              <w:r w:rsidR="00872491">
                                <w:rPr>
                                  <w:rFonts w:ascii="Times New Roman" w:hAnsi="Times New Roman" w:cs="Times New Roman"/>
                                  <w:color w:val="000000" w:themeColor="text1"/>
                                  <w:sz w:val="18"/>
                                  <w:szCs w:val="20"/>
                                </w:rPr>
                                <w:t xml:space="preserve"> 249</w:t>
                              </w:r>
                              <w:r w:rsidR="00872491" w:rsidRPr="008D515B">
                                <w:rPr>
                                  <w:rFonts w:ascii="Times New Roman" w:hAnsi="Times New Roman" w:cs="Times New Roman"/>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41989" name="Rectangle 17441989"/>
                        <wps:cNvSpPr/>
                        <wps:spPr>
                          <a:xfrm>
                            <a:off x="2946817" y="1462247"/>
                            <a:ext cx="1887219" cy="70951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582DD8" w14:textId="77777777" w:rsidR="00A56D24" w:rsidRPr="00A56D24" w:rsidRDefault="00A56D24" w:rsidP="00A56D24">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Exclusion of non-journal and non-conference papers (n=38)</w:t>
                              </w:r>
                            </w:p>
                            <w:p w14:paraId="0BB112A0" w14:textId="1AE39B80" w:rsidR="00872491" w:rsidRPr="008D515B" w:rsidRDefault="00A56D24" w:rsidP="00A56D24">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Exclusion of non-English articles (n=24)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8024107" name="Rectangle 1248024107"/>
                        <wps:cNvSpPr/>
                        <wps:spPr>
                          <a:xfrm>
                            <a:off x="420481" y="2442258"/>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F658EC" w14:textId="77777777" w:rsidR="00A56D24" w:rsidRDefault="00A56D24" w:rsidP="00872491">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 xml:space="preserve">Articles deemed worthy </w:t>
                              </w:r>
                            </w:p>
                            <w:p w14:paraId="7B41463F" w14:textId="142D3927" w:rsidR="00872491" w:rsidRPr="008D515B" w:rsidRDefault="00872491" w:rsidP="00872491">
                              <w:pPr>
                                <w:rPr>
                                  <w:rFonts w:ascii="Times New Roman" w:hAnsi="Times New Roman" w:cs="Times New Roman"/>
                                  <w:color w:val="000000" w:themeColor="text1"/>
                                  <w:sz w:val="18"/>
                                  <w:szCs w:val="20"/>
                                </w:rPr>
                              </w:pPr>
                              <w:r w:rsidRPr="008D515B">
                                <w:rPr>
                                  <w:rFonts w:ascii="Times New Roman" w:hAnsi="Times New Roman" w:cs="Times New Roman"/>
                                  <w:color w:val="000000" w:themeColor="text1"/>
                                  <w:sz w:val="18"/>
                                  <w:szCs w:val="20"/>
                                </w:rPr>
                                <w:t>(n =</w:t>
                              </w:r>
                              <w:r>
                                <w:rPr>
                                  <w:rFonts w:ascii="Times New Roman" w:hAnsi="Times New Roman" w:cs="Times New Roman"/>
                                  <w:color w:val="000000" w:themeColor="text1"/>
                                  <w:sz w:val="18"/>
                                  <w:szCs w:val="20"/>
                                </w:rPr>
                                <w:t xml:space="preserve"> 111</w:t>
                              </w:r>
                              <w:r w:rsidRPr="008D515B">
                                <w:rPr>
                                  <w:rFonts w:ascii="Times New Roman" w:hAnsi="Times New Roman" w:cs="Times New Roman"/>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729610" name="Rectangle 223729610"/>
                        <wps:cNvSpPr/>
                        <wps:spPr>
                          <a:xfrm>
                            <a:off x="2946127" y="2430652"/>
                            <a:ext cx="1887219" cy="56929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FC5DCF" w14:textId="77777777" w:rsidR="00A56D24" w:rsidRPr="00A56D24" w:rsidRDefault="00A56D24" w:rsidP="00A56D24">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Excluded documents:</w:t>
                              </w:r>
                            </w:p>
                            <w:p w14:paraId="0C4FC0F9" w14:textId="13A7A066" w:rsidR="00872491" w:rsidRPr="008D515B" w:rsidRDefault="00A56D24" w:rsidP="00A56D24">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Not related to MPC and the sugar industry (n=138)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0242425" name="Rectangle 1640242425"/>
                        <wps:cNvSpPr/>
                        <wps:spPr>
                          <a:xfrm>
                            <a:off x="443630" y="3287210"/>
                            <a:ext cx="1887220" cy="5671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7C66C9" w14:textId="133EAA57" w:rsidR="00872491" w:rsidRPr="008D515B" w:rsidRDefault="00A56D24" w:rsidP="00872491">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 xml:space="preserve">Articles included in the bibliometric synthesis </w:t>
                              </w:r>
                              <w:r w:rsidR="00872491" w:rsidRPr="008D515B">
                                <w:rPr>
                                  <w:rFonts w:ascii="Times New Roman" w:hAnsi="Times New Roman" w:cs="Times New Roman"/>
                                  <w:color w:val="000000" w:themeColor="text1"/>
                                  <w:sz w:val="18"/>
                                  <w:szCs w:val="20"/>
                                </w:rPr>
                                <w:t xml:space="preserve">(n = </w:t>
                              </w:r>
                              <w:r w:rsidR="00872491">
                                <w:rPr>
                                  <w:rFonts w:ascii="Times New Roman" w:hAnsi="Times New Roman" w:cs="Times New Roman"/>
                                  <w:color w:val="000000" w:themeColor="text1"/>
                                  <w:sz w:val="18"/>
                                  <w:szCs w:val="20"/>
                                </w:rPr>
                                <w:t>111</w:t>
                              </w:r>
                              <w:r w:rsidR="00872491" w:rsidRPr="008D515B">
                                <w:rPr>
                                  <w:rFonts w:ascii="Times New Roman" w:hAnsi="Times New Roman" w:cs="Times New Roman"/>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6576452" name="Straight Arrow Connector 1786576452"/>
                        <wps:cNvCnPr/>
                        <wps:spPr>
                          <a:xfrm>
                            <a:off x="2284551" y="1722627"/>
                            <a:ext cx="67366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83872144" name="Flowchart: Alternate Process 1483872144"/>
                        <wps:cNvSpPr/>
                        <wps:spPr>
                          <a:xfrm rot="16200000">
                            <a:off x="-287048" y="723418"/>
                            <a:ext cx="938212"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026C92F5" w14:textId="77777777" w:rsidR="00872491" w:rsidRPr="00F40F3D" w:rsidRDefault="00872491" w:rsidP="00872491">
                              <w:pPr>
                                <w:jc w:val="center"/>
                                <w:rPr>
                                  <w:rFonts w:ascii="Times New Roman" w:hAnsi="Times New Roman" w:cs="Times New Roman"/>
                                  <w:b/>
                                  <w:color w:val="000000" w:themeColor="text1"/>
                                  <w:sz w:val="16"/>
                                  <w:szCs w:val="16"/>
                                </w:rPr>
                              </w:pPr>
                              <w:r w:rsidRPr="00F40F3D">
                                <w:rPr>
                                  <w:rFonts w:ascii="Times New Roman" w:hAnsi="Times New Roman" w:cs="Times New Roman"/>
                                  <w:b/>
                                  <w:color w:val="000000" w:themeColor="text1"/>
                                  <w:sz w:val="16"/>
                                  <w:szCs w:val="16"/>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2022282" name="Flowchart: Alternate Process 1152022282"/>
                        <wps:cNvSpPr/>
                        <wps:spPr>
                          <a:xfrm rot="16200000">
                            <a:off x="-233489" y="2586942"/>
                            <a:ext cx="82867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08970D4" w14:textId="77777777" w:rsidR="00872491" w:rsidRPr="00F40F3D" w:rsidRDefault="00872491" w:rsidP="00872491">
                              <w:pPr>
                                <w:jc w:val="center"/>
                                <w:rPr>
                                  <w:rFonts w:ascii="Times New Roman" w:hAnsi="Times New Roman" w:cs="Times New Roman"/>
                                  <w:b/>
                                  <w:color w:val="000000" w:themeColor="text1"/>
                                  <w:sz w:val="16"/>
                                  <w:szCs w:val="16"/>
                                </w:rPr>
                              </w:pPr>
                              <w:r w:rsidRPr="00F40F3D">
                                <w:rPr>
                                  <w:rFonts w:ascii="Times New Roman" w:hAnsi="Times New Roman" w:cs="Times New Roman"/>
                                  <w:b/>
                                  <w:color w:val="000000" w:themeColor="text1"/>
                                  <w:sz w:val="16"/>
                                  <w:szCs w:val="16"/>
                                </w:rPr>
                                <w:t>Eligibility</w:t>
                              </w:r>
                            </w:p>
                            <w:p w14:paraId="43BA5CF1" w14:textId="77777777" w:rsidR="00872491" w:rsidRPr="00F40F3D" w:rsidRDefault="00872491" w:rsidP="00872491">
                              <w:pPr>
                                <w:rPr>
                                  <w:rFonts w:ascii="Times New Roman" w:hAnsi="Times New Roman" w:cs="Times New Roman"/>
                                  <w:b/>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1711584" name="Flowchart: Alternate Process 2081711584"/>
                        <wps:cNvSpPr/>
                        <wps:spPr>
                          <a:xfrm rot="16200000">
                            <a:off x="-187190" y="3443469"/>
                            <a:ext cx="76390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76EE945" w14:textId="77777777" w:rsidR="00872491" w:rsidRPr="00F40F3D" w:rsidRDefault="00872491" w:rsidP="00872491">
                              <w:pPr>
                                <w:jc w:val="center"/>
                                <w:rPr>
                                  <w:rFonts w:ascii="Times New Roman" w:hAnsi="Times New Roman" w:cs="Times New Roman"/>
                                  <w:b/>
                                  <w:color w:val="000000" w:themeColor="text1"/>
                                  <w:sz w:val="16"/>
                                  <w:szCs w:val="16"/>
                                </w:rPr>
                              </w:pPr>
                              <w:r w:rsidRPr="00F40F3D">
                                <w:rPr>
                                  <w:rFonts w:ascii="Times New Roman" w:hAnsi="Times New Roman" w:cs="Times New Roman"/>
                                  <w:b/>
                                  <w:color w:val="000000" w:themeColor="text1"/>
                                  <w:sz w:val="16"/>
                                  <w:szCs w:val="16"/>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521282" name="Straight Arrow Connector 252521282"/>
                        <wps:cNvCnPr/>
                        <wps:spPr>
                          <a:xfrm>
                            <a:off x="1265433" y="1169043"/>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1270633" name="Flowchart: Alternate Process 1161270633"/>
                        <wps:cNvSpPr/>
                        <wps:spPr>
                          <a:xfrm rot="16200000">
                            <a:off x="-227702" y="1643605"/>
                            <a:ext cx="793432"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1026F5DD" w14:textId="77777777" w:rsidR="00872491" w:rsidRPr="00F40F3D" w:rsidRDefault="00872491" w:rsidP="00872491">
                              <w:pPr>
                                <w:jc w:val="center"/>
                                <w:rPr>
                                  <w:rFonts w:ascii="Times New Roman" w:hAnsi="Times New Roman" w:cs="Times New Roman"/>
                                  <w:b/>
                                  <w:color w:val="000000" w:themeColor="text1"/>
                                  <w:sz w:val="16"/>
                                  <w:szCs w:val="16"/>
                                </w:rPr>
                              </w:pPr>
                              <w:r w:rsidRPr="00F40F3D">
                                <w:rPr>
                                  <w:rFonts w:ascii="Times New Roman" w:hAnsi="Times New Roman" w:cs="Times New Roman"/>
                                  <w:b/>
                                  <w:color w:val="000000" w:themeColor="text1"/>
                                  <w:sz w:val="16"/>
                                  <w:szCs w:val="16"/>
                                </w:rPr>
                                <w:t>Screening</w:t>
                              </w:r>
                            </w:p>
                            <w:p w14:paraId="41B2EC29" w14:textId="77777777" w:rsidR="00872491" w:rsidRPr="00F40F3D" w:rsidRDefault="00872491" w:rsidP="00872491">
                              <w:pPr>
                                <w:rPr>
                                  <w:rFonts w:ascii="Times New Roman" w:hAnsi="Times New Roman" w:cs="Times New Roman"/>
                                  <w:b/>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7398690" name="Straight Arrow Connector 1817398690"/>
                        <wps:cNvCnPr/>
                        <wps:spPr>
                          <a:xfrm>
                            <a:off x="1277007" y="2095018"/>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9704162" name="Straight Arrow Connector 139704162"/>
                        <wps:cNvCnPr/>
                        <wps:spPr>
                          <a:xfrm>
                            <a:off x="1288582" y="2986268"/>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5756A25" id="Group 558040101" o:spid="_x0000_s1030" style="position:absolute;left:0;text-align:left;margin-left:72.2pt;margin-top:31.65pt;width:341pt;height:281.1pt;z-index:251658240;mso-position-horizontal-relative:margin;mso-width-relative:margin;mso-height-relative:margin" coordorigin="375,3857" coordsize="47964,35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">
                <v:rect id="Rectangle 216812424" o:spid="_x0000_s1031" style="position:absolute;left:3973;top:5440;width:18872;height:6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" filled="f" strokecolor="black [3213]" strokeweight="2pt">
                  <v:textbox>
                    <w:txbxContent>
                      <w:p w14:paraId="4E879E18" w14:textId="3DF6F4DA" w:rsidR="00872491" w:rsidRPr="008D515B" w:rsidRDefault="007713CB" w:rsidP="00872491">
                        <w:pPr>
                          <w:rPr>
                            <w:rFonts w:ascii="Times New Roman" w:hAnsi="Times New Roman" w:cs="Times New Roman"/>
                            <w:color w:val="000000" w:themeColor="text1"/>
                            <w:sz w:val="18"/>
                            <w:szCs w:val="20"/>
                          </w:rPr>
                        </w:pPr>
                        <w:r w:rsidRPr="007713CB">
                          <w:rPr>
                            <w:rFonts w:ascii="Times New Roman" w:hAnsi="Times New Roman" w:cs="Times New Roman"/>
                            <w:color w:val="000000" w:themeColor="text1"/>
                            <w:sz w:val="18"/>
                            <w:szCs w:val="20"/>
                          </w:rPr>
                          <w:t>Articles from the Scopus database</w:t>
                        </w:r>
                        <w:r w:rsidR="00872491">
                          <w:rPr>
                            <w:rFonts w:ascii="Times New Roman" w:hAnsi="Times New Roman" w:cs="Times New Roman"/>
                            <w:color w:val="000000" w:themeColor="text1"/>
                            <w:sz w:val="18"/>
                            <w:szCs w:val="20"/>
                          </w:rPr>
                          <w:t xml:space="preserve"> (</w:t>
                        </w:r>
                        <w:r w:rsidR="00872491" w:rsidRPr="008D515B">
                          <w:rPr>
                            <w:rFonts w:ascii="Times New Roman" w:hAnsi="Times New Roman" w:cs="Times New Roman"/>
                            <w:color w:val="000000" w:themeColor="text1"/>
                            <w:sz w:val="18"/>
                            <w:szCs w:val="20"/>
                          </w:rPr>
                          <w:t>n =</w:t>
                        </w:r>
                        <w:r w:rsidR="00872491">
                          <w:rPr>
                            <w:rFonts w:ascii="Times New Roman" w:hAnsi="Times New Roman" w:cs="Times New Roman"/>
                            <w:color w:val="000000" w:themeColor="text1"/>
                            <w:sz w:val="18"/>
                            <w:szCs w:val="20"/>
                          </w:rPr>
                          <w:t xml:space="preserve"> 325</w:t>
                        </w:r>
                        <w:r w:rsidR="00872491" w:rsidRPr="008D515B">
                          <w:rPr>
                            <w:rFonts w:ascii="Times New Roman" w:hAnsi="Times New Roman" w:cs="Times New Roman"/>
                            <w:color w:val="000000" w:themeColor="text1"/>
                            <w:sz w:val="18"/>
                            <w:szCs w:val="20"/>
                          </w:rPr>
                          <w:t>)</w:t>
                        </w:r>
                      </w:p>
                    </w:txbxContent>
                  </v:textbox>
                </v:rect>
                <v:rect id="Rectangle 7875658" o:spid="_x0000_s1032" style="position:absolute;left:3973;top:14931;width:18872;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" filled="f" strokecolor="black [3213]" strokeweight="2pt">
                  <v:textbox>
                    <w:txbxContent>
                      <w:p w14:paraId="0EDE34FB" w14:textId="1F37674E" w:rsidR="00872491" w:rsidRPr="008D515B" w:rsidRDefault="007713CB" w:rsidP="00872491">
                        <w:pPr>
                          <w:rPr>
                            <w:rFonts w:ascii="Times New Roman" w:hAnsi="Times New Roman" w:cs="Times New Roman"/>
                            <w:color w:val="000000" w:themeColor="text1"/>
                            <w:sz w:val="18"/>
                            <w:szCs w:val="20"/>
                          </w:rPr>
                        </w:pPr>
                        <w:r w:rsidRPr="007713CB">
                          <w:rPr>
                            <w:rFonts w:ascii="Times New Roman" w:hAnsi="Times New Roman" w:cs="Times New Roman"/>
                            <w:color w:val="000000" w:themeColor="text1"/>
                            <w:sz w:val="18"/>
                            <w:szCs w:val="20"/>
                          </w:rPr>
                          <w:t xml:space="preserve">Screened articles </w:t>
                        </w:r>
                        <w:r w:rsidR="00872491" w:rsidRPr="008D515B">
                          <w:rPr>
                            <w:rFonts w:ascii="Times New Roman" w:hAnsi="Times New Roman" w:cs="Times New Roman"/>
                            <w:color w:val="000000" w:themeColor="text1"/>
                            <w:sz w:val="18"/>
                            <w:szCs w:val="20"/>
                          </w:rPr>
                          <w:t>(n =</w:t>
                        </w:r>
                        <w:r w:rsidR="00872491">
                          <w:rPr>
                            <w:rFonts w:ascii="Times New Roman" w:hAnsi="Times New Roman" w:cs="Times New Roman"/>
                            <w:color w:val="000000" w:themeColor="text1"/>
                            <w:sz w:val="18"/>
                            <w:szCs w:val="20"/>
                          </w:rPr>
                          <w:t xml:space="preserve"> 249</w:t>
                        </w:r>
                        <w:r w:rsidR="00872491" w:rsidRPr="008D515B">
                          <w:rPr>
                            <w:rFonts w:ascii="Times New Roman" w:hAnsi="Times New Roman" w:cs="Times New Roman"/>
                            <w:color w:val="000000" w:themeColor="text1"/>
                            <w:sz w:val="18"/>
                            <w:szCs w:val="20"/>
                          </w:rPr>
                          <w:t>)</w:t>
                        </w:r>
                      </w:p>
                    </w:txbxContent>
                  </v:textbox>
                </v:rect>
                <v:rect id="Rectangle 17441989" o:spid="_x0000_s1033" style="position:absolute;left:29468;top:14622;width:18872;height:7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" filled="f" strokecolor="black [3213]" strokeweight="2pt">
                  <v:textbox>
                    <w:txbxContent>
                      <w:p w14:paraId="5D582DD8" w14:textId="77777777" w:rsidR="00A56D24" w:rsidRPr="00A56D24" w:rsidRDefault="00A56D24" w:rsidP="00A56D24">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Exclusion of non-journal and non-conference papers (n=38)</w:t>
                        </w:r>
                      </w:p>
                      <w:p w14:paraId="0BB112A0" w14:textId="1AE39B80" w:rsidR="00872491" w:rsidRPr="008D515B" w:rsidRDefault="00A56D24" w:rsidP="00A56D24">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Exclusion of non-English articles (n=24)</w:t>
                        </w:r>
                      </w:p>
                    </w:txbxContent>
                  </v:textbox>
                </v:rect>
                <v:rect id="Rectangle 1248024107" o:spid="_x0000_s1034" style="position:absolute;left:4204;top:24422;width:18873;height:5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" filled="f" strokecolor="black [3213]" strokeweight="2pt">
                  <v:textbox>
                    <w:txbxContent>
                      <w:p w14:paraId="25F658EC" w14:textId="77777777" w:rsidR="00A56D24" w:rsidRDefault="00A56D24" w:rsidP="00872491">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 xml:space="preserve">Articles deemed worthy </w:t>
                        </w:r>
                      </w:p>
                      <w:p w14:paraId="7B41463F" w14:textId="142D3927" w:rsidR="00872491" w:rsidRPr="008D515B" w:rsidRDefault="00872491" w:rsidP="00872491">
                        <w:pPr>
                          <w:rPr>
                            <w:rFonts w:ascii="Times New Roman" w:hAnsi="Times New Roman" w:cs="Times New Roman"/>
                            <w:color w:val="000000" w:themeColor="text1"/>
                            <w:sz w:val="18"/>
                            <w:szCs w:val="20"/>
                          </w:rPr>
                        </w:pPr>
                        <w:r w:rsidRPr="008D515B">
                          <w:rPr>
                            <w:rFonts w:ascii="Times New Roman" w:hAnsi="Times New Roman" w:cs="Times New Roman"/>
                            <w:color w:val="000000" w:themeColor="text1"/>
                            <w:sz w:val="18"/>
                            <w:szCs w:val="20"/>
                          </w:rPr>
                          <w:t>(n =</w:t>
                        </w:r>
                        <w:r>
                          <w:rPr>
                            <w:rFonts w:ascii="Times New Roman" w:hAnsi="Times New Roman" w:cs="Times New Roman"/>
                            <w:color w:val="000000" w:themeColor="text1"/>
                            <w:sz w:val="18"/>
                            <w:szCs w:val="20"/>
                          </w:rPr>
                          <w:t xml:space="preserve"> 111</w:t>
                        </w:r>
                        <w:r w:rsidRPr="008D515B">
                          <w:rPr>
                            <w:rFonts w:ascii="Times New Roman" w:hAnsi="Times New Roman" w:cs="Times New Roman"/>
                            <w:color w:val="000000" w:themeColor="text1"/>
                            <w:sz w:val="18"/>
                            <w:szCs w:val="20"/>
                          </w:rPr>
                          <w:t>)</w:t>
                        </w:r>
                      </w:p>
                    </w:txbxContent>
                  </v:textbox>
                </v:rect>
                <v:rect id="Rectangle 223729610" o:spid="_x0000_s1035" style="position:absolute;left:29461;top:24306;width:18872;height:5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" filled="f" strokecolor="black [3213]" strokeweight="2pt">
                  <v:textbox>
                    <w:txbxContent>
                      <w:p w14:paraId="53FC5DCF" w14:textId="77777777" w:rsidR="00A56D24" w:rsidRPr="00A56D24" w:rsidRDefault="00A56D24" w:rsidP="00A56D24">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Excluded documents:</w:t>
                        </w:r>
                      </w:p>
                      <w:p w14:paraId="0C4FC0F9" w14:textId="13A7A066" w:rsidR="00872491" w:rsidRPr="008D515B" w:rsidRDefault="00A56D24" w:rsidP="00A56D24">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Not related to MPC and the sugar industry (n=138)</w:t>
                        </w:r>
                      </w:p>
                    </w:txbxContent>
                  </v:textbox>
                </v:rect>
                <v:rect id="Rectangle 1640242425" o:spid="_x0000_s1036" style="position:absolute;left:4436;top:32872;width:18872;height:5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" filled="f" strokecolor="black [3213]" strokeweight="2pt">
                  <v:textbox>
                    <w:txbxContent>
                      <w:p w14:paraId="0A7C66C9" w14:textId="133EAA57" w:rsidR="00872491" w:rsidRPr="008D515B" w:rsidRDefault="00A56D24" w:rsidP="00872491">
                        <w:pPr>
                          <w:rPr>
                            <w:rFonts w:ascii="Times New Roman" w:hAnsi="Times New Roman" w:cs="Times New Roman"/>
                            <w:color w:val="000000" w:themeColor="text1"/>
                            <w:sz w:val="18"/>
                            <w:szCs w:val="20"/>
                          </w:rPr>
                        </w:pPr>
                        <w:r w:rsidRPr="00A56D24">
                          <w:rPr>
                            <w:rFonts w:ascii="Times New Roman" w:hAnsi="Times New Roman" w:cs="Times New Roman"/>
                            <w:color w:val="000000" w:themeColor="text1"/>
                            <w:sz w:val="18"/>
                            <w:szCs w:val="20"/>
                          </w:rPr>
                          <w:t xml:space="preserve">Articles included in the bibliometric synthesis </w:t>
                        </w:r>
                        <w:r w:rsidR="00872491" w:rsidRPr="008D515B">
                          <w:rPr>
                            <w:rFonts w:ascii="Times New Roman" w:hAnsi="Times New Roman" w:cs="Times New Roman"/>
                            <w:color w:val="000000" w:themeColor="text1"/>
                            <w:sz w:val="18"/>
                            <w:szCs w:val="20"/>
                          </w:rPr>
                          <w:t xml:space="preserve">(n = </w:t>
                        </w:r>
                        <w:r w:rsidR="00872491">
                          <w:rPr>
                            <w:rFonts w:ascii="Times New Roman" w:hAnsi="Times New Roman" w:cs="Times New Roman"/>
                            <w:color w:val="000000" w:themeColor="text1"/>
                            <w:sz w:val="18"/>
                            <w:szCs w:val="20"/>
                          </w:rPr>
                          <w:t>111</w:t>
                        </w:r>
                        <w:r w:rsidR="00872491" w:rsidRPr="008D515B">
                          <w:rPr>
                            <w:rFonts w:ascii="Times New Roman" w:hAnsi="Times New Roman" w:cs="Times New Roman"/>
                            <w:color w:val="000000" w:themeColor="text1"/>
                            <w:sz w:val="18"/>
                            <w:szCs w:val="20"/>
                          </w:rPr>
                          <w:t>)</w:t>
                        </w:r>
                      </w:p>
                    </w:txbxContent>
                  </v:textbox>
                </v:rect>
                <v:shapetype id="_x0000_t32" coordsize="21600,21600" o:spt="32" o:oned="t" path="m,l21600,21600e" filled="f">
                  <v:path arrowok="t" fillok="f" o:connecttype="none"/>
                  <o:lock v:ext="edit" shapetype="t"/>
                </v:shapetype>
                <v:shape id="Straight Arrow Connector 1786576452" o:spid="_x0000_s1037" type="#_x0000_t32" style="position:absolute;left:22845;top:17226;width:67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" strokecolor="black [3213]">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483872144" o:spid="_x0000_s1038" type="#_x0000_t176" style="position:absolute;left:-2870;top:7233;width:9382;height:26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" fillcolor="#92cddc [1944]" strokecolor="black [3213]" strokeweight="2pt">
                  <v:textbox>
                    <w:txbxContent>
                      <w:p w14:paraId="026C92F5" w14:textId="77777777" w:rsidR="00872491" w:rsidRPr="00F40F3D" w:rsidRDefault="00872491" w:rsidP="00872491">
                        <w:pPr>
                          <w:jc w:val="center"/>
                          <w:rPr>
                            <w:rFonts w:ascii="Times New Roman" w:hAnsi="Times New Roman" w:cs="Times New Roman"/>
                            <w:b/>
                            <w:color w:val="000000" w:themeColor="text1"/>
                            <w:sz w:val="16"/>
                            <w:szCs w:val="16"/>
                          </w:rPr>
                        </w:pPr>
                        <w:r w:rsidRPr="00F40F3D">
                          <w:rPr>
                            <w:rFonts w:ascii="Times New Roman" w:hAnsi="Times New Roman" w:cs="Times New Roman"/>
                            <w:b/>
                            <w:color w:val="000000" w:themeColor="text1"/>
                            <w:sz w:val="16"/>
                            <w:szCs w:val="16"/>
                          </w:rPr>
                          <w:t>Identification</w:t>
                        </w:r>
                      </w:p>
                    </w:txbxContent>
                  </v:textbox>
                </v:shape>
                <v:shape id="Flowchart: Alternate Process 1152022282" o:spid="_x0000_s1039" type="#_x0000_t176" style="position:absolute;left:-2336;top:25870;width:8287;height:262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" fillcolor="#92cddc [1944]" strokecolor="black [3213]" strokeweight="2pt">
                  <v:textbox>
                    <w:txbxContent>
                      <w:p w14:paraId="508970D4" w14:textId="77777777" w:rsidR="00872491" w:rsidRPr="00F40F3D" w:rsidRDefault="00872491" w:rsidP="00872491">
                        <w:pPr>
                          <w:jc w:val="center"/>
                          <w:rPr>
                            <w:rFonts w:ascii="Times New Roman" w:hAnsi="Times New Roman" w:cs="Times New Roman"/>
                            <w:b/>
                            <w:color w:val="000000" w:themeColor="text1"/>
                            <w:sz w:val="16"/>
                            <w:szCs w:val="16"/>
                          </w:rPr>
                        </w:pPr>
                        <w:r w:rsidRPr="00F40F3D">
                          <w:rPr>
                            <w:rFonts w:ascii="Times New Roman" w:hAnsi="Times New Roman" w:cs="Times New Roman"/>
                            <w:b/>
                            <w:color w:val="000000" w:themeColor="text1"/>
                            <w:sz w:val="16"/>
                            <w:szCs w:val="16"/>
                          </w:rPr>
                          <w:t>Eligibility</w:t>
                        </w:r>
                      </w:p>
                      <w:p w14:paraId="43BA5CF1" w14:textId="77777777" w:rsidR="00872491" w:rsidRPr="00F40F3D" w:rsidRDefault="00872491" w:rsidP="00872491">
                        <w:pPr>
                          <w:rPr>
                            <w:rFonts w:ascii="Times New Roman" w:hAnsi="Times New Roman" w:cs="Times New Roman"/>
                            <w:b/>
                            <w:color w:val="000000" w:themeColor="text1"/>
                            <w:sz w:val="16"/>
                            <w:szCs w:val="16"/>
                          </w:rPr>
                        </w:pPr>
                      </w:p>
                    </w:txbxContent>
                  </v:textbox>
                </v:shape>
                <v:shape id="Flowchart: Alternate Process 2081711584" o:spid="_x0000_s1040" type="#_x0000_t176" style="position:absolute;left:-1872;top:34434;width:7639;height:26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" fillcolor="#92cddc [1944]" strokecolor="black [3213]" strokeweight="2pt">
                  <v:textbox>
                    <w:txbxContent>
                      <w:p w14:paraId="276EE945" w14:textId="77777777" w:rsidR="00872491" w:rsidRPr="00F40F3D" w:rsidRDefault="00872491" w:rsidP="00872491">
                        <w:pPr>
                          <w:jc w:val="center"/>
                          <w:rPr>
                            <w:rFonts w:ascii="Times New Roman" w:hAnsi="Times New Roman" w:cs="Times New Roman"/>
                            <w:b/>
                            <w:color w:val="000000" w:themeColor="text1"/>
                            <w:sz w:val="16"/>
                            <w:szCs w:val="16"/>
                          </w:rPr>
                        </w:pPr>
                        <w:r w:rsidRPr="00F40F3D">
                          <w:rPr>
                            <w:rFonts w:ascii="Times New Roman" w:hAnsi="Times New Roman" w:cs="Times New Roman"/>
                            <w:b/>
                            <w:color w:val="000000" w:themeColor="text1"/>
                            <w:sz w:val="16"/>
                            <w:szCs w:val="16"/>
                          </w:rPr>
                          <w:t>Included</w:t>
                        </w:r>
                      </w:p>
                    </w:txbxContent>
                  </v:textbox>
                </v:shape>
                <v:shape id="Straight Arrow Connector 252521282" o:spid="_x0000_s1041" type="#_x0000_t32" style="position:absolute;left:12654;top:11690;width:0;height:28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" strokecolor="black [3213]">
                  <v:stroke endarrow="block"/>
                </v:shape>
                <v:shape id="Flowchart: Alternate Process 1161270633" o:spid="_x0000_s1042" type="#_x0000_t176" style="position:absolute;left:-2277;top:16435;width:7934;height:26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" fillcolor="#92cddc [1944]" strokecolor="black [3213]" strokeweight="2pt">
                  <v:textbox>
                    <w:txbxContent>
                      <w:p w14:paraId="1026F5DD" w14:textId="77777777" w:rsidR="00872491" w:rsidRPr="00F40F3D" w:rsidRDefault="00872491" w:rsidP="00872491">
                        <w:pPr>
                          <w:jc w:val="center"/>
                          <w:rPr>
                            <w:rFonts w:ascii="Times New Roman" w:hAnsi="Times New Roman" w:cs="Times New Roman"/>
                            <w:b/>
                            <w:color w:val="000000" w:themeColor="text1"/>
                            <w:sz w:val="16"/>
                            <w:szCs w:val="16"/>
                          </w:rPr>
                        </w:pPr>
                        <w:r w:rsidRPr="00F40F3D">
                          <w:rPr>
                            <w:rFonts w:ascii="Times New Roman" w:hAnsi="Times New Roman" w:cs="Times New Roman"/>
                            <w:b/>
                            <w:color w:val="000000" w:themeColor="text1"/>
                            <w:sz w:val="16"/>
                            <w:szCs w:val="16"/>
                          </w:rPr>
                          <w:t>Screening</w:t>
                        </w:r>
                      </w:p>
                      <w:p w14:paraId="41B2EC29" w14:textId="77777777" w:rsidR="00872491" w:rsidRPr="00F40F3D" w:rsidRDefault="00872491" w:rsidP="00872491">
                        <w:pPr>
                          <w:rPr>
                            <w:rFonts w:ascii="Times New Roman" w:hAnsi="Times New Roman" w:cs="Times New Roman"/>
                            <w:b/>
                            <w:color w:val="000000" w:themeColor="text1"/>
                            <w:sz w:val="16"/>
                            <w:szCs w:val="16"/>
                          </w:rPr>
                        </w:pPr>
                      </w:p>
                    </w:txbxContent>
                  </v:textbox>
                </v:shape>
                <v:shape id="Straight Arrow Connector 1817398690" o:spid="_x0000_s1043" type="#_x0000_t32" style="position:absolute;left:12770;top:20950;width:0;height:28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" strokecolor="black [3213]">
                  <v:stroke endarrow="block"/>
                </v:shape>
                <v:shape id="Straight Arrow Connector 139704162" o:spid="_x0000_s1044" type="#_x0000_t32" style="position:absolute;left:12885;top:29862;width:0;height:28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" strokecolor="black [3213]">
                  <v:stroke endarrow="block"/>
                </v:shape>
                <w10:wrap type="topAndBottom" anchorx="margin"/>
              </v:group>
            </w:pict>
          </mc:Fallback>
        </mc:AlternateContent>
      </w:r>
      <w:r w:rsidRPr="00F45A84">
        <w:rPr>
          <w:rFonts w:cs="Times New Roman"/>
          <w:noProof/>
          <w:sz w:val="24"/>
          <w:szCs w:val="24"/>
        </w:rPr>
        <mc:AlternateContent>
          <mc:Choice Requires="wps">
            <w:drawing>
              <wp:anchor distT="0" distB="0" distL="114300" distR="114300" simplePos="0" relativeHeight="251665408" behindDoc="0" locked="0" layoutInCell="1" allowOverlap="1" wp14:anchorId="31A269A2" wp14:editId="1219721E">
                <wp:simplePos x="0" y="0"/>
                <wp:positionH relativeFrom="column">
                  <wp:posOffset>2967883</wp:posOffset>
                </wp:positionH>
                <wp:positionV relativeFrom="paragraph">
                  <wp:posOffset>2712720</wp:posOffset>
                </wp:positionV>
                <wp:extent cx="574040" cy="0"/>
                <wp:effectExtent l="0" t="76200" r="16510" b="95250"/>
                <wp:wrapNone/>
                <wp:docPr id="424417163" name="Straight Arrow Connector 1"/>
                <wp:cNvGraphicFramePr/>
                <a:graphic xmlns:a="http://schemas.openxmlformats.org/drawingml/2006/main">
                  <a:graphicData uri="http://schemas.microsoft.com/office/word/2010/wordprocessingShape">
                    <wps:wsp>
                      <wps:cNvCnPr/>
                      <wps:spPr>
                        <a:xfrm>
                          <a:off x="0" y="0"/>
                          <a:ext cx="57404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C53537" id="Straight Arrow Connector 1" o:spid="_x0000_s1026" type="#_x0000_t32" style="position:absolute;margin-left:233.7pt;margin-top:213.6pt;width:45.2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" strokecolor="black [3213]">
                <v:stroke endarrow="block"/>
              </v:shape>
            </w:pict>
          </mc:Fallback>
        </mc:AlternateContent>
      </w:r>
    </w:p>
    <w:p w14:paraId="7A901B54" w14:textId="220E4B7F" w:rsidR="00872491" w:rsidRPr="00F45A84" w:rsidRDefault="00872491" w:rsidP="00872491">
      <w:pPr>
        <w:spacing w:before="240"/>
        <w:ind w:left="1560"/>
        <w:jc w:val="both"/>
        <w:rPr>
          <w:rFonts w:cs="Times New Roman"/>
          <w:sz w:val="24"/>
          <w:szCs w:val="24"/>
        </w:rPr>
      </w:pPr>
      <w:r w:rsidRPr="00F45A84">
        <w:rPr>
          <w:rFonts w:cs="Times New Roman"/>
          <w:b/>
          <w:bCs/>
          <w:sz w:val="24"/>
          <w:szCs w:val="24"/>
        </w:rPr>
        <w:t xml:space="preserve">Figure 1. </w:t>
      </w:r>
      <w:r w:rsidRPr="00F45A84">
        <w:rPr>
          <w:rFonts w:cs="Times New Roman"/>
          <w:sz w:val="24"/>
          <w:szCs w:val="24"/>
        </w:rPr>
        <w:t>PRISMA Flowchart</w:t>
      </w:r>
    </w:p>
    <w:p w14:paraId="4F4E6D4B" w14:textId="6955CA2A" w:rsidR="00872491" w:rsidRDefault="00872491" w:rsidP="00872491">
      <w:pPr>
        <w:ind w:left="823" w:firstLine="720"/>
        <w:jc w:val="both"/>
        <w:rPr>
          <w:rFonts w:cs="Times New Roman"/>
          <w:b/>
          <w:bCs/>
          <w:sz w:val="24"/>
          <w:szCs w:val="24"/>
        </w:rPr>
      </w:pPr>
    </w:p>
    <w:p w14:paraId="1CAA4C61" w14:textId="77777777" w:rsidR="004269A5" w:rsidRDefault="004269A5">
      <w:pPr>
        <w:pStyle w:val="Heading2"/>
        <w:ind w:left="1543"/>
        <w:rPr>
          <w:i w:val="0"/>
          <w:iCs w:val="0"/>
          <w:sz w:val="28"/>
          <w:szCs w:val="28"/>
          <w:lang w:val="en-ID"/>
        </w:rPr>
      </w:pPr>
      <w:r w:rsidRPr="004269A5">
        <w:rPr>
          <w:i w:val="0"/>
          <w:iCs w:val="0"/>
          <w:sz w:val="28"/>
          <w:szCs w:val="28"/>
          <w:lang w:val="en-ID"/>
        </w:rPr>
        <w:t>Results and Discussion</w:t>
      </w:r>
    </w:p>
    <w:p w14:paraId="27C984E1"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Based on Table 1, the bibliometric analysis of Model Predictive Control (MPC) research in the sugar industry includes 111 documents published between 1997 and 2025 and derived from 74 publication sources. The annual publication growth rate of 2.51% indicates that this topic is developing moderately but consistently, although not experiencing a significant surge as in other process industry sectors. The average document age of 11.3 years indicates that most of the literature is in the scientific maturity phase, while the average citation value of 15.84 per document reflects that publications in this field have a fairly good level of relevance and academic influence in the process control and chemical engineering research community.</w:t>
      </w:r>
    </w:p>
    <w:p w14:paraId="78FB747E"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In terms of authorship and collaboration, 344 authors contributed to this literature corpus with a total of 385 author keywords, demonstrating a diversity of methodological approaches and application focuses. An average of 3.77 authors per document indicates that MPC research in the sugar industry is generally conducted collaboratively, although the level of international collaboration is still relatively low (15.32%). Only 8 publications were authored by a single author, confirming that the complexity of MPC topics and process systems in the sugar industry tends to encourage team-based research. These findings suggest that although the MPC research community in the sugar industry has been established, there is still significant opportunity to expand cross-national and cross-disciplinary collaboration to accelerate the development and adoption of MPC in this sector.</w:t>
      </w:r>
    </w:p>
    <w:p w14:paraId="61B0EDEC" w14:textId="77777777" w:rsidR="004269A5" w:rsidRDefault="004269A5" w:rsidP="004269A5">
      <w:pPr>
        <w:spacing w:before="240"/>
        <w:ind w:left="1560"/>
        <w:jc w:val="both"/>
        <w:rPr>
          <w:rFonts w:cs="Times New Roman"/>
          <w:sz w:val="24"/>
          <w:szCs w:val="24"/>
        </w:rPr>
      </w:pPr>
    </w:p>
    <w:p w14:paraId="0E481039" w14:textId="77777777" w:rsidR="004269A5" w:rsidRDefault="004269A5" w:rsidP="004269A5">
      <w:pPr>
        <w:spacing w:before="240"/>
        <w:ind w:left="1560"/>
        <w:jc w:val="both"/>
        <w:rPr>
          <w:rFonts w:cs="Times New Roman"/>
          <w:sz w:val="24"/>
          <w:szCs w:val="24"/>
        </w:rPr>
      </w:pPr>
    </w:p>
    <w:p w14:paraId="38F96C54" w14:textId="77777777" w:rsidR="004269A5" w:rsidRDefault="004269A5" w:rsidP="004269A5">
      <w:pPr>
        <w:spacing w:before="240"/>
        <w:ind w:left="1560"/>
        <w:jc w:val="both"/>
        <w:rPr>
          <w:rFonts w:cs="Times New Roman"/>
          <w:b/>
          <w:bCs/>
          <w:sz w:val="24"/>
          <w:szCs w:val="24"/>
        </w:rPr>
      </w:pPr>
    </w:p>
    <w:p w14:paraId="5BA46327" w14:textId="4C537697" w:rsidR="004269A5" w:rsidRPr="00F45A84" w:rsidRDefault="004269A5" w:rsidP="004269A5">
      <w:pPr>
        <w:spacing w:before="240"/>
        <w:ind w:left="1560"/>
        <w:jc w:val="both"/>
        <w:rPr>
          <w:rFonts w:cs="Times New Roman"/>
          <w:sz w:val="24"/>
          <w:szCs w:val="24"/>
        </w:rPr>
      </w:pPr>
      <w:r w:rsidRPr="00F45A84">
        <w:rPr>
          <w:rFonts w:cs="Times New Roman"/>
          <w:b/>
          <w:bCs/>
          <w:sz w:val="24"/>
          <w:szCs w:val="24"/>
        </w:rPr>
        <w:t xml:space="preserve">Table 1. </w:t>
      </w:r>
      <w:r w:rsidRPr="00F45A84">
        <w:rPr>
          <w:rFonts w:cs="Times New Roman"/>
          <w:sz w:val="24"/>
          <w:szCs w:val="24"/>
        </w:rPr>
        <w:t>Overview of Key Information</w:t>
      </w:r>
    </w:p>
    <w:tbl>
      <w:tblPr>
        <w:tblStyle w:val="TableGrid"/>
        <w:tblW w:w="4180" w:type="pct"/>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4"/>
        <w:gridCol w:w="1205"/>
        <w:gridCol w:w="3582"/>
        <w:gridCol w:w="901"/>
      </w:tblGrid>
      <w:tr w:rsidR="00704F90" w:rsidRPr="00C94C6D" w14:paraId="1F8D15B9" w14:textId="77777777" w:rsidTr="00704F90">
        <w:tc>
          <w:tcPr>
            <w:tcW w:w="1850" w:type="pct"/>
            <w:tcBorders>
              <w:top w:val="single" w:sz="4" w:space="0" w:color="auto"/>
              <w:bottom w:val="single" w:sz="4" w:space="0" w:color="auto"/>
            </w:tcBorders>
          </w:tcPr>
          <w:p w14:paraId="2FBF5287" w14:textId="77777777" w:rsidR="00704F90" w:rsidRPr="00C94C6D" w:rsidRDefault="00704F90" w:rsidP="00786302">
            <w:pPr>
              <w:jc w:val="both"/>
              <w:rPr>
                <w:rFonts w:ascii="Times New Roman" w:hAnsi="Times New Roman" w:cs="Times New Roman"/>
                <w:b/>
                <w:bCs/>
                <w:sz w:val="22"/>
                <w:szCs w:val="22"/>
              </w:rPr>
            </w:pPr>
            <w:r w:rsidRPr="00C94C6D">
              <w:rPr>
                <w:rFonts w:ascii="Times New Roman" w:hAnsi="Times New Roman" w:cs="Times New Roman"/>
                <w:b/>
                <w:bCs/>
                <w:sz w:val="22"/>
                <w:szCs w:val="22"/>
              </w:rPr>
              <w:t>Documents and citations</w:t>
            </w:r>
          </w:p>
        </w:tc>
        <w:tc>
          <w:tcPr>
            <w:tcW w:w="726" w:type="pct"/>
            <w:tcBorders>
              <w:top w:val="single" w:sz="4" w:space="0" w:color="auto"/>
              <w:bottom w:val="single" w:sz="4" w:space="0" w:color="auto"/>
            </w:tcBorders>
          </w:tcPr>
          <w:p w14:paraId="59CDC136" w14:textId="77777777" w:rsidR="00704F90" w:rsidRPr="00C94C6D" w:rsidRDefault="00704F90" w:rsidP="00786302">
            <w:pPr>
              <w:jc w:val="both"/>
              <w:rPr>
                <w:rFonts w:ascii="Times New Roman" w:hAnsi="Times New Roman" w:cs="Times New Roman"/>
                <w:b/>
                <w:bCs/>
                <w:sz w:val="22"/>
                <w:szCs w:val="22"/>
              </w:rPr>
            </w:pPr>
            <w:r w:rsidRPr="00C94C6D">
              <w:rPr>
                <w:rFonts w:ascii="Times New Roman" w:hAnsi="Times New Roman" w:cs="Times New Roman"/>
                <w:b/>
                <w:bCs/>
                <w:sz w:val="22"/>
                <w:szCs w:val="22"/>
              </w:rPr>
              <w:t>Results</w:t>
            </w:r>
          </w:p>
        </w:tc>
        <w:tc>
          <w:tcPr>
            <w:tcW w:w="2062" w:type="pct"/>
            <w:tcBorders>
              <w:top w:val="single" w:sz="4" w:space="0" w:color="auto"/>
              <w:bottom w:val="single" w:sz="4" w:space="0" w:color="auto"/>
            </w:tcBorders>
          </w:tcPr>
          <w:p w14:paraId="457A08FD" w14:textId="77777777" w:rsidR="00704F90" w:rsidRPr="00C94C6D" w:rsidRDefault="00704F90" w:rsidP="00786302">
            <w:pPr>
              <w:jc w:val="both"/>
              <w:rPr>
                <w:rFonts w:ascii="Times New Roman" w:hAnsi="Times New Roman" w:cs="Times New Roman"/>
                <w:b/>
                <w:bCs/>
                <w:sz w:val="22"/>
                <w:szCs w:val="22"/>
              </w:rPr>
            </w:pPr>
            <w:r w:rsidRPr="00C94C6D">
              <w:rPr>
                <w:rFonts w:ascii="Times New Roman" w:hAnsi="Times New Roman" w:cs="Times New Roman"/>
                <w:b/>
                <w:bCs/>
                <w:sz w:val="22"/>
                <w:szCs w:val="22"/>
              </w:rPr>
              <w:t>Authors and collaboration</w:t>
            </w:r>
          </w:p>
        </w:tc>
        <w:tc>
          <w:tcPr>
            <w:tcW w:w="363" w:type="pct"/>
            <w:tcBorders>
              <w:top w:val="single" w:sz="4" w:space="0" w:color="auto"/>
              <w:bottom w:val="single" w:sz="4" w:space="0" w:color="auto"/>
            </w:tcBorders>
          </w:tcPr>
          <w:p w14:paraId="75B7999D" w14:textId="77777777" w:rsidR="00704F90" w:rsidRPr="00C94C6D" w:rsidRDefault="00704F90" w:rsidP="00786302">
            <w:pPr>
              <w:jc w:val="both"/>
              <w:rPr>
                <w:rFonts w:ascii="Times New Roman" w:hAnsi="Times New Roman" w:cs="Times New Roman"/>
                <w:b/>
                <w:bCs/>
                <w:sz w:val="22"/>
                <w:szCs w:val="22"/>
              </w:rPr>
            </w:pPr>
            <w:r w:rsidRPr="00C94C6D">
              <w:rPr>
                <w:rFonts w:ascii="Times New Roman" w:hAnsi="Times New Roman" w:cs="Times New Roman"/>
                <w:b/>
                <w:bCs/>
                <w:sz w:val="22"/>
                <w:szCs w:val="22"/>
              </w:rPr>
              <w:t>Results</w:t>
            </w:r>
          </w:p>
        </w:tc>
      </w:tr>
      <w:tr w:rsidR="00704F90" w:rsidRPr="00C94C6D" w14:paraId="4AE3A0EA" w14:textId="77777777" w:rsidTr="00704F90">
        <w:tc>
          <w:tcPr>
            <w:tcW w:w="1850" w:type="pct"/>
            <w:tcBorders>
              <w:top w:val="single" w:sz="4" w:space="0" w:color="auto"/>
            </w:tcBorders>
          </w:tcPr>
          <w:p w14:paraId="02870D16"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Timespan</w:t>
            </w:r>
          </w:p>
        </w:tc>
        <w:tc>
          <w:tcPr>
            <w:tcW w:w="726" w:type="pct"/>
            <w:tcBorders>
              <w:top w:val="single" w:sz="4" w:space="0" w:color="auto"/>
            </w:tcBorders>
          </w:tcPr>
          <w:p w14:paraId="120DC549"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1997-2025</w:t>
            </w:r>
          </w:p>
        </w:tc>
        <w:tc>
          <w:tcPr>
            <w:tcW w:w="2062" w:type="pct"/>
            <w:tcBorders>
              <w:top w:val="single" w:sz="4" w:space="0" w:color="auto"/>
            </w:tcBorders>
          </w:tcPr>
          <w:p w14:paraId="35562F27"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Authors</w:t>
            </w:r>
          </w:p>
        </w:tc>
        <w:tc>
          <w:tcPr>
            <w:tcW w:w="363" w:type="pct"/>
            <w:tcBorders>
              <w:top w:val="single" w:sz="4" w:space="0" w:color="auto"/>
            </w:tcBorders>
          </w:tcPr>
          <w:p w14:paraId="465BCD66"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344</w:t>
            </w:r>
          </w:p>
        </w:tc>
      </w:tr>
      <w:tr w:rsidR="00704F90" w:rsidRPr="00C94C6D" w14:paraId="65F8F6BD" w14:textId="77777777" w:rsidTr="00704F90">
        <w:tc>
          <w:tcPr>
            <w:tcW w:w="1850" w:type="pct"/>
          </w:tcPr>
          <w:p w14:paraId="19A10933"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Sources</w:t>
            </w:r>
          </w:p>
        </w:tc>
        <w:tc>
          <w:tcPr>
            <w:tcW w:w="726" w:type="pct"/>
          </w:tcPr>
          <w:p w14:paraId="51EABB59"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74</w:t>
            </w:r>
          </w:p>
        </w:tc>
        <w:tc>
          <w:tcPr>
            <w:tcW w:w="2062" w:type="pct"/>
          </w:tcPr>
          <w:p w14:paraId="35222CA9"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Author’s keywords</w:t>
            </w:r>
          </w:p>
        </w:tc>
        <w:tc>
          <w:tcPr>
            <w:tcW w:w="363" w:type="pct"/>
          </w:tcPr>
          <w:p w14:paraId="7B181560"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385</w:t>
            </w:r>
          </w:p>
        </w:tc>
      </w:tr>
      <w:tr w:rsidR="00704F90" w:rsidRPr="00C94C6D" w14:paraId="2D01CBEE" w14:textId="77777777" w:rsidTr="00704F90">
        <w:tc>
          <w:tcPr>
            <w:tcW w:w="1850" w:type="pct"/>
          </w:tcPr>
          <w:p w14:paraId="1B1E9C09"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Documents</w:t>
            </w:r>
          </w:p>
        </w:tc>
        <w:tc>
          <w:tcPr>
            <w:tcW w:w="726" w:type="pct"/>
          </w:tcPr>
          <w:p w14:paraId="0054C3EA"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111</w:t>
            </w:r>
          </w:p>
        </w:tc>
        <w:tc>
          <w:tcPr>
            <w:tcW w:w="2062" w:type="pct"/>
          </w:tcPr>
          <w:p w14:paraId="4EEC95CA"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Authors of single-authored documents</w:t>
            </w:r>
          </w:p>
        </w:tc>
        <w:tc>
          <w:tcPr>
            <w:tcW w:w="363" w:type="pct"/>
          </w:tcPr>
          <w:p w14:paraId="653B3F8C"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8</w:t>
            </w:r>
          </w:p>
        </w:tc>
      </w:tr>
      <w:tr w:rsidR="00704F90" w:rsidRPr="00C94C6D" w14:paraId="755F0A75" w14:textId="77777777" w:rsidTr="00704F90">
        <w:tc>
          <w:tcPr>
            <w:tcW w:w="1850" w:type="pct"/>
          </w:tcPr>
          <w:p w14:paraId="38F93CC8"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Annual growth rate %</w:t>
            </w:r>
          </w:p>
        </w:tc>
        <w:tc>
          <w:tcPr>
            <w:tcW w:w="726" w:type="pct"/>
          </w:tcPr>
          <w:p w14:paraId="4C9D9DE5"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2.51%</w:t>
            </w:r>
          </w:p>
        </w:tc>
        <w:tc>
          <w:tcPr>
            <w:tcW w:w="2062" w:type="pct"/>
          </w:tcPr>
          <w:p w14:paraId="55BF40D8"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Co-authors per document</w:t>
            </w:r>
          </w:p>
        </w:tc>
        <w:tc>
          <w:tcPr>
            <w:tcW w:w="363" w:type="pct"/>
          </w:tcPr>
          <w:p w14:paraId="25277277"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3.77</w:t>
            </w:r>
          </w:p>
        </w:tc>
      </w:tr>
      <w:tr w:rsidR="00704F90" w:rsidRPr="00C94C6D" w14:paraId="5672BC30" w14:textId="77777777" w:rsidTr="00704F90">
        <w:tc>
          <w:tcPr>
            <w:tcW w:w="1850" w:type="pct"/>
          </w:tcPr>
          <w:p w14:paraId="5A21126E"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Document average age</w:t>
            </w:r>
          </w:p>
        </w:tc>
        <w:tc>
          <w:tcPr>
            <w:tcW w:w="726" w:type="pct"/>
          </w:tcPr>
          <w:p w14:paraId="41CCDD67"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11.3</w:t>
            </w:r>
          </w:p>
        </w:tc>
        <w:tc>
          <w:tcPr>
            <w:tcW w:w="2062" w:type="pct"/>
          </w:tcPr>
          <w:p w14:paraId="6B569148"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International co-authorsips %</w:t>
            </w:r>
          </w:p>
        </w:tc>
        <w:tc>
          <w:tcPr>
            <w:tcW w:w="363" w:type="pct"/>
          </w:tcPr>
          <w:p w14:paraId="73106154"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15.32</w:t>
            </w:r>
          </w:p>
        </w:tc>
      </w:tr>
      <w:tr w:rsidR="00704F90" w:rsidRPr="00C94C6D" w14:paraId="1167DD19" w14:textId="77777777" w:rsidTr="00704F90">
        <w:tc>
          <w:tcPr>
            <w:tcW w:w="1850" w:type="pct"/>
            <w:tcBorders>
              <w:bottom w:val="single" w:sz="4" w:space="0" w:color="auto"/>
            </w:tcBorders>
          </w:tcPr>
          <w:p w14:paraId="0AAA7434"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Average citations per document</w:t>
            </w:r>
          </w:p>
        </w:tc>
        <w:tc>
          <w:tcPr>
            <w:tcW w:w="726" w:type="pct"/>
            <w:tcBorders>
              <w:bottom w:val="single" w:sz="4" w:space="0" w:color="auto"/>
            </w:tcBorders>
          </w:tcPr>
          <w:p w14:paraId="48389E8B" w14:textId="77777777" w:rsidR="00704F90" w:rsidRPr="00C94C6D" w:rsidRDefault="00704F90" w:rsidP="00786302">
            <w:pPr>
              <w:jc w:val="both"/>
              <w:rPr>
                <w:rFonts w:ascii="Times New Roman" w:hAnsi="Times New Roman" w:cs="Times New Roman"/>
                <w:sz w:val="22"/>
                <w:szCs w:val="22"/>
              </w:rPr>
            </w:pPr>
            <w:r w:rsidRPr="00C94C6D">
              <w:rPr>
                <w:rFonts w:ascii="Times New Roman" w:hAnsi="Times New Roman" w:cs="Times New Roman"/>
                <w:sz w:val="22"/>
                <w:szCs w:val="22"/>
              </w:rPr>
              <w:t>15.84</w:t>
            </w:r>
          </w:p>
        </w:tc>
        <w:tc>
          <w:tcPr>
            <w:tcW w:w="2062" w:type="pct"/>
            <w:tcBorders>
              <w:bottom w:val="single" w:sz="4" w:space="0" w:color="auto"/>
            </w:tcBorders>
          </w:tcPr>
          <w:p w14:paraId="3F27286B" w14:textId="77777777" w:rsidR="00704F90" w:rsidRPr="00C94C6D" w:rsidRDefault="00704F90" w:rsidP="00786302">
            <w:pPr>
              <w:jc w:val="both"/>
              <w:rPr>
                <w:rFonts w:ascii="Times New Roman" w:hAnsi="Times New Roman" w:cs="Times New Roman"/>
                <w:sz w:val="22"/>
                <w:szCs w:val="22"/>
              </w:rPr>
            </w:pPr>
          </w:p>
        </w:tc>
        <w:tc>
          <w:tcPr>
            <w:tcW w:w="363" w:type="pct"/>
            <w:tcBorders>
              <w:bottom w:val="single" w:sz="4" w:space="0" w:color="auto"/>
            </w:tcBorders>
          </w:tcPr>
          <w:p w14:paraId="5C465641" w14:textId="77777777" w:rsidR="00704F90" w:rsidRPr="00C94C6D" w:rsidRDefault="00704F90" w:rsidP="00786302">
            <w:pPr>
              <w:jc w:val="both"/>
              <w:rPr>
                <w:rFonts w:ascii="Times New Roman" w:hAnsi="Times New Roman" w:cs="Times New Roman"/>
                <w:sz w:val="22"/>
                <w:szCs w:val="22"/>
              </w:rPr>
            </w:pPr>
          </w:p>
        </w:tc>
      </w:tr>
    </w:tbl>
    <w:p w14:paraId="04A5647D" w14:textId="77777777" w:rsidR="004269A5" w:rsidRPr="00F45A84" w:rsidRDefault="004269A5" w:rsidP="004269A5">
      <w:pPr>
        <w:spacing w:before="240"/>
        <w:ind w:left="1560"/>
        <w:jc w:val="both"/>
        <w:rPr>
          <w:rFonts w:cs="Times New Roman"/>
          <w:b/>
          <w:bCs/>
          <w:sz w:val="24"/>
          <w:szCs w:val="24"/>
        </w:rPr>
      </w:pPr>
      <w:r w:rsidRPr="00F45A84">
        <w:rPr>
          <w:rFonts w:cs="Times New Roman"/>
          <w:b/>
          <w:bCs/>
          <w:sz w:val="24"/>
          <w:szCs w:val="24"/>
        </w:rPr>
        <w:t>Annual Scientific Production</w:t>
      </w:r>
    </w:p>
    <w:p w14:paraId="580CCAFA"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Based on Figure 2, scientific publications related to Model Predictive Control (MPC) in the sugar industry began to appear consistently since the late 1990s, with a gradual increase until the period 2010–2020. This initial phase coincided with the start of the application of MPC and Generalized Predictive Control (GPC) in nonlinear and multivariable processes in the process industry, including evaporators, crystallizers, and melters in sugar factories. This pattern is in line with the development of MPC in general, which began to shift from theoretical research to real industrial applications in the 1990s, particularly in the chemical and food sectors </w:t>
      </w:r>
      <w:r w:rsidRPr="00F45A84">
        <w:rPr>
          <w:rFonts w:cs="Times New Roman"/>
          <w:sz w:val="24"/>
          <w:szCs w:val="24"/>
        </w:rPr>
        <w:fldChar w:fldCharType="begin"/>
      </w:r>
      <w:r w:rsidRPr="00F45A84">
        <w:rPr>
          <w:rFonts w:cs="Times New Roman"/>
          <w:sz w:val="24"/>
          <w:szCs w:val="24"/>
        </w:rPr>
        <w:instrText xml:space="preserve"> ADDIN ZOTERO_ITEM CSL_CITATION {"citationID":"WAfblMkJ","properties":{"formattedCitation":"(Cadet, Tour\\uc0\\u233{}, et al., 1999; Qin &amp; Badgwell, 2003)","plainCitation":"(Cadet, Touré, et al., 1999; Qin &amp; Badgwell, 2003)","noteIndex":0},"citationItems":[{"id":18749,"uris":["http://zotero.org/users/12817968/items/RYRYL72R"],"itemData":{"id":18749,"type":"article-journal","container-title":"Journal of Food Engineering","DOI":"10.1016/S0260-8774(99)00037-0","ISSN":"02608774","issue":"1-2","journalAbbreviation":"Journal of Food Engineering","language":"en","license":"https://www.elsevier.com/tdm/userlicense/1.0/","page":"59-70","source":"DOI.org (Crossref)","title":"Knowledge modeling and nonlinear predictive control of evaporators in cane sugar production plants","volume":"40","author":[{"family":"Cadet","given":"C."},{"family":"Touré","given":"Y."},{"family":"Gilles","given":"G."},{"family":"Chabriat","given":"J.P."}],"issued":{"date-parts":[["1999",5]]}}},{"id":18747,"uris":["http://zotero.org/users/12817968/items/CPJ2ATBW"],"itemData":{"id":18747,"type":"article-journal","container-title":"Control Engineering Practice","DOI":"10.1016/S0967-0661(02)00186-7","ISSN":"09670661","issue":"7","journalAbbreviation":"Control Engineering Practice","language":"en","license":"https://www.elsevier.com/tdm/userlicense/1.0/","page":"733-764","source":"DOI.org (Crossref)","title":"A survey of industrial model predictive control technology","volume":"11","author":[{"family":"Qin","given":"S.Joe"},{"family":"Badgwell","given":"Thomas A."}],"issued":{"date-parts":[["2003",7]]}}}],"schema":"https://github.com/citation-style-language/schema/raw/master/csl-citation.json"}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(Cadet, Touré, et al., 1999; Qin &amp; Badgwell, 2003) </w:t>
      </w:r>
      <w:r w:rsidRPr="00F45A84">
        <w:rPr>
          <w:rFonts w:cs="Times New Roman"/>
          <w:sz w:val="24"/>
          <w:szCs w:val="24"/>
        </w:rPr>
        <w:fldChar w:fldCharType="end"/>
      </w:r>
      <w:r w:rsidRPr="00F45A84">
        <w:rPr>
          <w:rFonts w:cs="Times New Roman"/>
          <w:sz w:val="24"/>
          <w:szCs w:val="24"/>
        </w:rPr>
        <w:t>.</w:t>
      </w:r>
    </w:p>
    <w:p w14:paraId="7DD3C22B"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Furthermore, the graph shows that although the number of publications per year is relatively low, the growth trend is stable and has not experienced long-term stagnation. This indicates that MPC in the sugar industry is a specific and applicable topic, not a massive research field, but remains relevant due to the complex, nonlinear nature of the sugar process and its numerous operational constraints. The need for product quality control, energy efficiency, and process stability makes MPC a viable solution in critical units such as multiple-effect evaporators and crystallization pans </w:t>
      </w:r>
      <w:r w:rsidRPr="00F45A84">
        <w:rPr>
          <w:rFonts w:cs="Times New Roman"/>
          <w:sz w:val="24"/>
          <w:szCs w:val="24"/>
        </w:rPr>
        <w:fldChar w:fldCharType="begin"/>
      </w:r>
      <w:r w:rsidRPr="00F45A84">
        <w:rPr>
          <w:rFonts w:cs="Times New Roman"/>
          <w:sz w:val="24"/>
          <w:szCs w:val="24"/>
        </w:rPr>
        <w:instrText xml:space="preserve"> ADDIN ZOTERO_ITEM CSL_CITATION {"citationID":"fRlM9lAh","properties":{"formattedCitation":"(Dahiya et al., 2019; Kadyan &amp; Kumar, 2017)","plainCitation":"(Dahiya et al., 2019; Kadyan &amp; Kumar, 2017)","noteIndex":0},"citationItems":[{"id":18751,"uris":["http://zotero.org/users/12817968/items/J2BJYXHQ"],"itemData":{"id":18751,"type":"article-journal","container-title":"SN Applied Sciences","DOI":"10.1007/s42452-019-0348-0","ISSN":"2523-3963, 2523-3971","issue":"4","journalAbbreviation":"SN Appl. Sci.","language":"en","page":"339","source":"DOI.org (Crossref)","title":"Mathematical modeling and performance evaluation of A-pan crystallization system in a sugar industry","volume":"1","author":[{"family":"Dahiya","given":"Ombir"},{"family":"Kumar","given":"Ashish"},{"family":"Saini","given":"Monika"}],"issued":{"date-parts":[["2019",4]]}}},{"id":18750,"uris":["http://zotero.org/users/12817968/items/55BL9MEA"],"itemData":{"id":18750,"type":"article-journal","container-title":"International Journal of System Assurance Engineering and Management","DOI":"10.1007/s13198-017-0614-8","ISSN":"0975-6809, 0976-4348","issue":"S2","journalAbbreviation":"Int J Syst Assur Eng Manag","language":"en","page":"1450-1460","source":"DOI.org (Crossref)","title":"Availability based operational behavior of B-Pan crystallization system in the sugar industry","volume":"8","author":[{"family":"Kadyan","given":"M. S."},{"family":"Kumar","given":"Ramesh"}],"issued":{"date-parts":[["2017",11]]}}}],"schema":"https://github.com/citation-style-language/schema/raw/master/csl-citation.json"}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(Dahiya et al., 2019; Kadyan &amp; Kumar, 2017).</w:t>
      </w:r>
      <w:r w:rsidRPr="00F45A84">
        <w:rPr>
          <w:rFonts w:cs="Times New Roman"/>
          <w:sz w:val="24"/>
          <w:szCs w:val="24"/>
        </w:rPr>
        <w:fldChar w:fldCharType="end"/>
      </w:r>
    </w:p>
    <w:p w14:paraId="3FCCD44C"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Based on Figure 3, the average number of citations per year indicates a peak in citations during certain periods, although the number of publications is not consistently high. This phenomenon indicates that several key articles have had a strong academic influence, particularly early works discussing nonlinear MPC </w:t>
      </w:r>
      <w:r w:rsidRPr="00F45A84">
        <w:rPr>
          <w:rFonts w:cs="Times New Roman"/>
          <w:sz w:val="24"/>
          <w:szCs w:val="24"/>
        </w:rPr>
        <w:fldChar w:fldCharType="begin"/>
      </w:r>
      <w:r w:rsidRPr="00F45A84">
        <w:rPr>
          <w:rFonts w:cs="Times New Roman"/>
          <w:sz w:val="24"/>
          <w:szCs w:val="24"/>
        </w:rPr>
        <w:instrText xml:space="preserve"> ADDIN ZOTERO_ITEM CSL_CITATION {"citationID":"xrXXQdUn","properties":{"formattedCitation":"(Cadet, Toure, et al., 1999; Zheng, 1997)","plainCitation":"(Cadet, Toure, et al., 1999; Zheng, 1997)","noteIndex":0},"citationItems":[{"id":18755,"uris":["http://zotero.org/users/12817968/items/U37B37RA"],"itemData":{"id":18755,"type":"paper-conference","container-title":"1999 European Control Conference (ECC)","DOI":"10.23919/ECC.1999.7099794","event-place":"Karlsruhe","event-title":"1999 European Control Conference (ECC)","ISBN":"978-3-9524173-5-5","page":"3053-3058","publisher":"IEEE","publisher-place":"Karlsruhe","source":"DOI.org (Crossref)","title":"Non linear receding horizon observer and model based predictive control of evaporators in cane sugar industry","URL":"https://ieeexplore.ieee.org/document/7099794/","author":[{"family":"Cadet","given":"C."},{"family":"Toure","given":"Y."},{"family":"Gilles","given":"G."},{"family":"Gatina","given":"J.C."}],"accessed":{"date-parts":[["2025",12,19]]},"issued":{"date-parts":[["1999",8]]}}},{"id":18753,"uris":["http://zotero.org/users/12817968/items/FSCXJE4D"],"itemData":{"id":18753,"type":"paper-conference","container-title":"Proceedings of the 1997 American Control Conference (Cat. No.97CH36041)","DOI":"10.1109/ACC.1997.610858","event-place":"Albuquerque, NM, USA","event-title":"Proceedings of 16th American CONTROL Conference","ISBN":"978-0-7803-3832-6","page":"1623-1627 vol.3","publisher":"IEEE","publisher-place":"Albuquerque, NM, USA","source":"DOI.org (Crossref)","title":"A computationally efficient nonlinear MPC algorithm","URL":"http://ieeexplore.ieee.org/document/610858/","author":[{"family":"Zheng","given":"A."}],"accessed":{"date-parts":[["2025",12,19]]},"issued":{"date-parts":[["1997"]]}}}],"schema":"https://github.com/citation-style-language/schema/raw/master/csl-citation.json"}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(Cadet, Toure, et al., 1999; Zheng, 1997) </w:t>
      </w:r>
      <w:r w:rsidRPr="00F45A84">
        <w:rPr>
          <w:rFonts w:cs="Times New Roman"/>
          <w:sz w:val="24"/>
          <w:szCs w:val="24"/>
        </w:rPr>
        <w:fldChar w:fldCharType="end"/>
      </w:r>
      <w:r w:rsidRPr="00F45A84">
        <w:rPr>
          <w:rFonts w:cs="Times New Roman"/>
          <w:sz w:val="24"/>
          <w:szCs w:val="24"/>
        </w:rPr>
        <w:t xml:space="preserve">, neural MPC </w:t>
      </w:r>
      <w:r w:rsidRPr="00F45A84">
        <w:rPr>
          <w:rFonts w:cs="Times New Roman"/>
          <w:sz w:val="24"/>
          <w:szCs w:val="24"/>
        </w:rPr>
        <w:fldChar w:fldCharType="begin"/>
      </w:r>
      <w:r w:rsidRPr="00F45A84">
        <w:rPr>
          <w:rFonts w:cs="Times New Roman"/>
          <w:sz w:val="24"/>
          <w:szCs w:val="24"/>
        </w:rPr>
        <w:instrText xml:space="preserve"> ADDIN ZOTERO_ITEM CSL_CITATION {"citationID":"kT52F1Np","properties":{"formattedCitation":"(Zamarre\\uc0\\u241{}o &amp; Vega, 1999)","plainCitation":"(Zamarreño &amp; Vega, 1999)","noteIndex":0},"citationItems":[{"id":18738,"uris":["http://zotero.org/users/12817968/items/WML4M9L9"],"itemData":{"id":18738,"type":"article-journal","container-title":"Engineering Applications of Artificial Intelligence","DOI":"10.1016/S0952-1976(98)00055-4","ISSN":"09521976","issue":"2","journalAbbreviation":"Engineering Applications of Artificial Intelligence","language":"en","license":"https://www.elsevier.com/tdm/userlicense/1.0/","page":"149-158","source":"DOI.org (Crossref)","title":"Neural predictive control. Application to a highly non-linear system","volume":"12","author":[{"family":"Zamarreño","given":"J.M."},{"family":"Vega","given":"P."}],"issued":{"date-parts":[["1999",4]]}}}],"schema":"https://github.com/citation-style-language/schema/raw/master/csl-citation.json"}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(Zamarreño &amp; Vega, 1999) </w:t>
      </w:r>
      <w:r w:rsidRPr="00F45A84">
        <w:rPr>
          <w:rFonts w:cs="Times New Roman"/>
          <w:sz w:val="24"/>
          <w:szCs w:val="24"/>
        </w:rPr>
        <w:fldChar w:fldCharType="end"/>
      </w:r>
      <w:r w:rsidRPr="00F45A84">
        <w:rPr>
          <w:rFonts w:cs="Times New Roman"/>
          <w:sz w:val="24"/>
          <w:szCs w:val="24"/>
        </w:rPr>
        <w:t xml:space="preserve">, and the application of physical model-based MPC to the sugar industry </w:t>
      </w:r>
      <w:r w:rsidRPr="00F45A84">
        <w:rPr>
          <w:rFonts w:cs="Times New Roman"/>
          <w:sz w:val="24"/>
          <w:szCs w:val="24"/>
        </w:rPr>
        <w:fldChar w:fldCharType="begin"/>
      </w:r>
      <w:r w:rsidRPr="00F45A84">
        <w:rPr>
          <w:rFonts w:cs="Times New Roman"/>
          <w:sz w:val="24"/>
          <w:szCs w:val="24"/>
        </w:rPr>
        <w:instrText xml:space="preserve"> ADDIN ZOTERO_ITEM CSL_CITATION {"citationID":"r8tPreWD","properties":{"formattedCitation":"(El\\uc0\\u8208{}Belghiti et al., 2005)","plainCitation":"(El</w:instrText>
      </w:r>
      <w:r w:rsidRPr="00F45A84">
        <w:rPr>
          <w:rFonts w:ascii="Cambria Math" w:hAnsi="Cambria Math" w:cs="Cambria Math"/>
          <w:sz w:val="24"/>
          <w:szCs w:val="24"/>
        </w:rPr>
        <w:instrText>‐</w:instrText>
      </w:r>
      <w:r w:rsidRPr="00F45A84">
        <w:rPr>
          <w:rFonts w:cs="Times New Roman"/>
          <w:sz w:val="24"/>
          <w:szCs w:val="24"/>
        </w:rPr>
        <w:instrText>Belghiti et al., 2005)","noteIndex":0},"citationItems":[{"id":18742,"uris":["http://zotero.org/users/12817968/items/QZMS7QWG"],"itemData":{"id":18742,"type":"article-journal","abstract":"Abstract\n            \n              Extraction of sugar from sugar beet slices was studied following various pulsed electric field (PEF) treatments (intensities from 300 to 800 V cm\n              −1\n              and number of pulses varying between 50 and 1000). Slices treated by PEF were immersed in water at ambient temperature at a liquid/solid ratio of 3. A significant increase in extraction yield was observed. This enhancement was due to permeabilisation of the cellular membrane and to the additional quantity of juice appearing on the surface of slices after PEF treatment being extracted rapidly by convection. The optimal conditions of PEF treatment were an intensity of 670 V cm\n              −1\n              and 250 pulses. The extraction kinetics was studied on the basis of two approaches: Fick's diffusion equation and a two</w:instrText>
      </w:r>
      <w:r w:rsidRPr="00F45A84">
        <w:rPr>
          <w:rFonts w:ascii="Cambria Math" w:hAnsi="Cambria Math" w:cs="Cambria Math"/>
          <w:sz w:val="24"/>
          <w:szCs w:val="24"/>
        </w:rPr>
        <w:instrText>‐</w:instrText>
      </w:r>
      <w:r w:rsidRPr="00F45A84">
        <w:rPr>
          <w:rFonts w:cs="Times New Roman"/>
          <w:sz w:val="24"/>
          <w:szCs w:val="24"/>
        </w:rPr>
        <w:instrText>exponential kinetic model. The coefficient of diffusion was only slightly influenced by the conditions of PEF treatment. The two</w:instrText>
      </w:r>
      <w:r w:rsidRPr="00F45A84">
        <w:rPr>
          <w:rFonts w:ascii="Cambria Math" w:hAnsi="Cambria Math" w:cs="Cambria Math"/>
          <w:sz w:val="24"/>
          <w:szCs w:val="24"/>
        </w:rPr>
        <w:instrText>‐</w:instrText>
      </w:r>
      <w:r w:rsidRPr="00F45A84">
        <w:rPr>
          <w:rFonts w:cs="Times New Roman"/>
          <w:sz w:val="24"/>
          <w:szCs w:val="24"/>
        </w:rPr>
        <w:instrText>exponential model successfully described both the rapid and prolonged stages of extraction. By heating the solution at mild temperatures of 30</w:instrText>
      </w:r>
      <w:r w:rsidRPr="00F45A84">
        <w:rPr>
          <w:sz w:val="24"/>
          <w:szCs w:val="24"/>
        </w:rPr>
        <w:instrText>–</w:instrText>
      </w:r>
      <w:r w:rsidRPr="00F45A84">
        <w:rPr>
          <w:rFonts w:cs="Times New Roman"/>
          <w:sz w:val="24"/>
          <w:szCs w:val="24"/>
        </w:rPr>
        <w:instrText xml:space="preserve">50 </w:instrText>
      </w:r>
      <w:r w:rsidRPr="00F45A84">
        <w:rPr>
          <w:sz w:val="24"/>
          <w:szCs w:val="24"/>
        </w:rPr>
        <w:instrText>°</w:instrText>
      </w:r>
      <w:r w:rsidRPr="00F45A84">
        <w:rPr>
          <w:rFonts w:cs="Times New Roman"/>
          <w:sz w:val="24"/>
          <w:szCs w:val="24"/>
        </w:rPr>
        <w:instrText>C, the coefficient of diffusion was increased and the kinetics of extraction was enhanced. The quality of cellular juice obtained after PEF treatment was higher than that of juice obtained after thermal pretreatment at 75 °C. Copyright © 2004 Society of Chemical Industry","container-title":"Journal of the Science of Food and Agriculture","DOI":"10.1002/jsfa.1944","ISSN":"0022-5142, 1097-0010","issue":"2","journalAbbreviation":"J Sci Food Agric","language":"en","page":"213-218","source":"DOI.org (Crossref)","title":"Kinetic model of sugar diffusion from sugar beet tissue treated by pulsed electric field","volume":"85","author":[{"family":"El</w:instrText>
      </w:r>
      <w:r w:rsidRPr="00F45A84">
        <w:rPr>
          <w:rFonts w:ascii="Cambria Math" w:hAnsi="Cambria Math" w:cs="Cambria Math"/>
          <w:sz w:val="24"/>
          <w:szCs w:val="24"/>
        </w:rPr>
        <w:instrText>‐</w:instrText>
      </w:r>
      <w:r w:rsidRPr="00F45A84">
        <w:rPr>
          <w:rFonts w:cs="Times New Roman"/>
          <w:sz w:val="24"/>
          <w:szCs w:val="24"/>
        </w:rPr>
        <w:instrText xml:space="preserve">Belghiti","given":"Kamal"},{"family":"Rabhi","given":"Zied"},{"family":"Vorobiev","given":"Eugene"}],"issued":{"date-parts":[["2005",1,30]]}}}],"schema":"https://github.com/citation-style-language/schema/raw/master/csl-citation.json"}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(El-Belghiti et al., 2005) </w:t>
      </w:r>
      <w:r w:rsidRPr="00F45A84">
        <w:rPr>
          <w:rFonts w:cs="Times New Roman"/>
          <w:sz w:val="24"/>
          <w:szCs w:val="24"/>
        </w:rPr>
        <w:fldChar w:fldCharType="end"/>
      </w:r>
      <w:r w:rsidRPr="00F45A84">
        <w:rPr>
          <w:rFonts w:cs="Times New Roman"/>
          <w:sz w:val="24"/>
          <w:szCs w:val="24"/>
        </w:rPr>
        <w:t>. These seminal articles are frequently cited because they provide a solid methodological foundation and real-world industrial case studies, thus remaining relevant even though they were published more than a decade earlier.</w:t>
      </w:r>
    </w:p>
    <w:p w14:paraId="260D82C7" w14:textId="77777777" w:rsidR="007A05E4" w:rsidRDefault="004269A5" w:rsidP="007A05E4">
      <w:pPr>
        <w:spacing w:before="240"/>
        <w:ind w:left="1560"/>
        <w:jc w:val="both"/>
        <w:rPr>
          <w:rFonts w:cs="Times New Roman"/>
          <w:sz w:val="24"/>
          <w:szCs w:val="24"/>
        </w:rPr>
      </w:pPr>
      <w:r w:rsidRPr="00F45A84">
        <w:rPr>
          <w:rFonts w:cs="Times New Roman"/>
          <w:sz w:val="24"/>
          <w:szCs w:val="24"/>
        </w:rPr>
        <w:t xml:space="preserve">Interestingly, in the period after 2020, the average annual citations tended to decline or fluctuate, although publications continued to emerge. This can be interpreted as a shift in research focus to other approaches such as machine learning </w:t>
      </w:r>
      <w:r w:rsidRPr="00F45A84">
        <w:rPr>
          <w:rFonts w:cs="Times New Roman"/>
          <w:sz w:val="24"/>
          <w:szCs w:val="24"/>
        </w:rPr>
        <w:fldChar w:fldCharType="begin"/>
      </w:r>
      <w:r w:rsidRPr="00F45A84">
        <w:rPr>
          <w:rFonts w:cs="Times New Roman"/>
          <w:sz w:val="24"/>
          <w:szCs w:val="24"/>
        </w:rPr>
        <w:instrText xml:space="preserve"> ADDIN ZOTERO_ITEM CSL_CITATION {"citationID":"FYR1IPnY","properties":{"formattedCitation":"(Alves et al., 2024)","plainCitation":"(Alves et al., 2024)","noteIndex":0},"citationItems":[{"id":18754,"uris":["http://zotero.org/users/12817968/items/YVKPA5RL"],"itemData":{"id":18754,"type":"article-journal","container-title":"Food Research International","DOI":"10.1016/j.foodres.2024.114673","ISSN":"09639969","journalAbbreviation":"Food Research International","language":"en","page":"114673","source":"DOI.org (Crossref)","title":"An eco-friendly approach for analysing sugars, minerals, and colour in brown sugar using digital image processing and machine learning","volume":"191","author":[{"family":"Alves","given":"Vandressa"},{"family":"Dos Santos","given":"Jeferson M."},{"family":"Viegas","given":"Olga"},{"family":"Pinto","given":"Edgar"},{"family":"Ferreira","given":"Isabel M.P.L.V.O."},{"family":"Aparecido Lima","given":"Vanderlei"},{"family":"Felsner","given":"Maria L."}],"issued":{"date-parts":[["2024",9]]}}}],"schema":"https://github.com/citation-style-language/schema/raw/master/csl-citation.json"}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(Alves et al., 2024) </w:t>
      </w:r>
      <w:r w:rsidRPr="00F45A84">
        <w:rPr>
          <w:rFonts w:cs="Times New Roman"/>
          <w:sz w:val="24"/>
          <w:szCs w:val="24"/>
        </w:rPr>
        <w:fldChar w:fldCharType="end"/>
      </w:r>
      <w:r w:rsidRPr="00F45A84">
        <w:rPr>
          <w:rFonts w:cs="Times New Roman"/>
          <w:sz w:val="24"/>
          <w:szCs w:val="24"/>
        </w:rPr>
        <w:t xml:space="preserve">, soft sensing </w:t>
      </w:r>
      <w:r w:rsidRPr="00F45A84">
        <w:rPr>
          <w:rFonts w:cs="Times New Roman"/>
          <w:sz w:val="24"/>
          <w:szCs w:val="24"/>
        </w:rPr>
        <w:fldChar w:fldCharType="begin"/>
      </w:r>
      <w:r w:rsidRPr="00F45A84">
        <w:rPr>
          <w:rFonts w:cs="Times New Roman"/>
          <w:sz w:val="24"/>
          <w:szCs w:val="24"/>
        </w:rPr>
        <w:instrText xml:space="preserve"> ADDIN ZOTERO_ITEM CSL_CITATION {"citationID":"LMFQcsh1","properties":{"formattedCitation":"(Sujatha et al., 2022)","plainCitation":"(Sujatha et al., 2022)","noteIndex":0},"citationItems":[{"id":18748,"uris":["http://zotero.org/users/12817968/items/HZVBFVCC"],"itemData":{"id":18748,"type":"chapter","container-title":"Smart Trends in Computing and Communications","event-place":"Singapore","ISBN":"978-981-16-4015-5","language":"en","note":"collection-title: Lecture Notes in Networks and Systems\nDOI: 10.1007/978-981-16-4016-2_39","page":"419-426","publisher":"Springer Singapore","publisher-place":"Singapore","source":"DOI.org (Crossref)","title":"Predictive Model-based Analytics to Control Drying Process in a Sugar Industry","URL":"https://link.springer.com/10.1007/978-981-16-4016-2_39","volume":"286","editor":[{"family":"Zhang","given":"Yu-Dong"},{"family":"Senjyu","given":"Tomonobu"},{"family":"So-In","given":"Chakchai"},{"family":"Joshi","given":"Amit"}],"author":[{"family":"Sujatha","given":"K."},{"family":"Nalinashini","given":"G."},{"family":"Ganesan","given":"B. A."},{"family":"Jayachitra","given":"N."},{"family":"Sankari","given":"Rengammal"},{"family":"Kalaivani","given":"A."},{"family":"Sendilvelan","given":"S."}],"accessed":{"date-parts":[["2025",12,19]]},"issued":{"date-parts":[["2022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(Sujatha et al., 2022) </w:t>
      </w:r>
      <w:r w:rsidRPr="00F45A84">
        <w:rPr>
          <w:rFonts w:cs="Times New Roman"/>
          <w:sz w:val="24"/>
          <w:szCs w:val="24"/>
        </w:rPr>
        <w:fldChar w:fldCharType="end"/>
      </w:r>
      <w:r w:rsidRPr="00F45A84">
        <w:rPr>
          <w:rFonts w:cs="Times New Roman"/>
          <w:sz w:val="24"/>
          <w:szCs w:val="24"/>
        </w:rPr>
        <w:t xml:space="preserve">, and hybrid control </w:t>
      </w:r>
      <w:r w:rsidRPr="00F45A84">
        <w:rPr>
          <w:rFonts w:cs="Times New Roman"/>
          <w:sz w:val="24"/>
          <w:szCs w:val="24"/>
        </w:rPr>
        <w:fldChar w:fldCharType="begin"/>
      </w:r>
      <w:r w:rsidRPr="00F45A84">
        <w:rPr>
          <w:rFonts w:cs="Times New Roman"/>
          <w:sz w:val="24"/>
          <w:szCs w:val="24"/>
        </w:rPr>
        <w:instrText xml:space="preserve"> ADDIN ZOTERO_ITEM CSL_CITATION {"citationID":"J5LwDQK8","properties":{"formattedCitation":"(Menezes Morato et al., 2017)","plainCitation":"(Menezes Morato et al., 2017)","noteIndex":0},"citationItems":[{"id":18756,"uris":["http://zotero.org/users/12817968/items/TEWZMXEY"],"itemData":{"id":18756,"type":"article-journal","abstract":"This study presents a control structure, based on model predictive control, applied to energy management optimisation in a sugar cane processing plant including renewable sources. The proposed energy plant is set upon a sugar cane processing industry and has to produce and maintain an amount of electric power throughout the year, defined by contract. This plant is, also, bound to produce flows of steam in different pressures, to comply to the demands of the production process of ethanol and sugar, from the sugar cane. The renewable sources in the system include photovoltaic, wind power generation and the use of biomass, from the remains of the sugar cane. The proposed control algorithm has the task of performing the management of which energy system to use (combined heat and power generation systems, boilers or others), maximise the use of renewable energy sources, maximise the gains of the boilers (that vary according to the biomass mixture used), manage the use of energy storages and supply the defined amount of energy. Simulation results show the satisfactory operation of the proposed control structure.","container-title":"IET Renewable Power Generation","DOI":"10.1049/iet-rpg.2016.0443","ISSN":"1752-1416, 1752-1424","issue":"8","journalAbbreviation":"IET Renewable Power Gen","language":"en","page":"1237-1245","source":"DOI.org (Crossref)","title":"Optimal operation of hybrid power systems including renewable sources in the sugar cane industry","volume":"11","author":[{"family":"Menezes Morato","given":"Marcelo"},{"family":"Da Costa Mendes","given":"Paulo Renato"},{"family":"Normey</w:instrText>
      </w:r>
      <w:r w:rsidRPr="00F45A84">
        <w:rPr>
          <w:rFonts w:ascii="Cambria Math" w:hAnsi="Cambria Math" w:cs="Cambria Math"/>
          <w:sz w:val="24"/>
          <w:szCs w:val="24"/>
        </w:rPr>
        <w:instrText>‐</w:instrText>
      </w:r>
      <w:r w:rsidRPr="00F45A84">
        <w:rPr>
          <w:rFonts w:cs="Times New Roman"/>
          <w:sz w:val="24"/>
          <w:szCs w:val="24"/>
        </w:rPr>
        <w:instrText xml:space="preserve">Rico","given":"Julio Elias"},{"family":"Bordons","given":"Carlos"}],"issued":{"date-parts":[["2017",6]]}}}],"schema":"https://github.com/citation-style-language/schema/raw/master/csl-citation.json"}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(Menezes Morato et al., 2017) </w:t>
      </w:r>
      <w:r w:rsidRPr="00F45A84">
        <w:rPr>
          <w:rFonts w:cs="Times New Roman"/>
          <w:sz w:val="24"/>
          <w:szCs w:val="24"/>
        </w:rPr>
        <w:fldChar w:fldCharType="end"/>
      </w:r>
      <w:r w:rsidRPr="00F45A84">
        <w:rPr>
          <w:rFonts w:cs="Times New Roman"/>
          <w:sz w:val="24"/>
          <w:szCs w:val="24"/>
        </w:rPr>
        <w:t>, which are often not explicitly labeled MPC despite still adopting prediction and optimization principles.</w:t>
      </w:r>
    </w:p>
    <w:p w14:paraId="237C3CE2" w14:textId="77777777" w:rsidR="007A05E4" w:rsidRDefault="007A05E4" w:rsidP="007A05E4">
      <w:pPr>
        <w:spacing w:before="240"/>
        <w:ind w:left="1560"/>
        <w:jc w:val="both"/>
        <w:rPr>
          <w:rFonts w:cs="Times New Roman"/>
          <w:sz w:val="24"/>
          <w:szCs w:val="24"/>
        </w:rPr>
      </w:pPr>
      <w:r w:rsidRPr="007A05E4">
        <w:rPr>
          <w:rFonts w:cs="Times New Roman"/>
          <w:sz w:val="24"/>
          <w:szCs w:val="24"/>
        </w:rPr>
        <w:t xml:space="preserve">Overall, the combination of a stable trend in scientific production (Figure 2) and a relatively high average citation rate over a given period (Figure 3) indicates that MPC research in the sugar industry is characterized by greater scientific depth than publication quantity. This field is supported by a number of influential studies that </w:t>
      </w:r>
      <w:r w:rsidRPr="007A05E4">
        <w:rPr>
          <w:rFonts w:cs="Times New Roman"/>
          <w:sz w:val="24"/>
          <w:szCs w:val="24"/>
        </w:rPr>
        <w:lastRenderedPageBreak/>
        <w:t>serve as references across time, such as studies from</w:t>
      </w:r>
      <w:r w:rsidR="004269A5" w:rsidRPr="00F45A84">
        <w:rPr>
          <w:rFonts w:cs="Times New Roman"/>
          <w:sz w:val="24"/>
          <w:szCs w:val="24"/>
        </w:rPr>
        <w:t xml:space="preserve"> </w:t>
      </w:r>
      <w:r w:rsidR="004269A5" w:rsidRPr="00F45A84">
        <w:rPr>
          <w:rFonts w:cs="Times New Roman"/>
          <w:sz w:val="24"/>
          <w:szCs w:val="24"/>
        </w:rPr>
        <w:fldChar w:fldCharType="begin"/>
      </w:r>
      <w:r w:rsidR="004269A5" w:rsidRPr="00F45A84">
        <w:rPr>
          <w:rFonts w:cs="Times New Roman"/>
          <w:sz w:val="24"/>
          <w:szCs w:val="24"/>
        </w:rPr>
        <w:instrText xml:space="preserve"> ADDIN ZOTERO_ITEM CSL_CITATION {"citationID":"FzE3kKd2","properties":{"formattedCitation":"(Eggleston &amp; Monge, 2005; El\\uc0\\u8208{}Belghiti et al., 2005; Higa et al., 2009; Kaya &amp; Ibrahim Sarac, 2007; Quintas et al., 2006; Zamarre\\uc0\\u241{}o &amp; Vega, 1999)","plainCitation":"(Eggleston &amp; Monge, 2005; El</w:instrText>
      </w:r>
      <w:r w:rsidR="004269A5" w:rsidRPr="00F45A84">
        <w:rPr>
          <w:rFonts w:ascii="Cambria Math" w:hAnsi="Cambria Math" w:cs="Cambria Math"/>
          <w:sz w:val="24"/>
          <w:szCs w:val="24"/>
        </w:rPr>
        <w:instrText>‐</w:instrText>
      </w:r>
      <w:r w:rsidR="004269A5" w:rsidRPr="00F45A84">
        <w:rPr>
          <w:rFonts w:cs="Times New Roman"/>
          <w:sz w:val="24"/>
          <w:szCs w:val="24"/>
        </w:rPr>
        <w:instrText>Belghiti et al., 2005; Higa et al., 2009; Kaya &amp; Ibrahim Sarac, 2007; Quintas et al., 2006; Zamarre</w:instrText>
      </w:r>
      <w:r w:rsidR="004269A5" w:rsidRPr="00F45A84">
        <w:rPr>
          <w:sz w:val="24"/>
          <w:szCs w:val="24"/>
        </w:rPr>
        <w:instrText>ñ</w:instrText>
      </w:r>
      <w:r w:rsidR="004269A5" w:rsidRPr="00F45A84">
        <w:rPr>
          <w:rFonts w:cs="Times New Roman"/>
          <w:sz w:val="24"/>
          <w:szCs w:val="24"/>
        </w:rPr>
        <w:instrText>o &amp; Vega, 1999)","noteIndex":0},"citationItems":[{"id":18736,"uris":["http://zotero.org/users/12817968/items/W9AS6YKV"],"itemData":{"id":18736,"type":"article-journal","container-title":"Process Biochemistry","DOI":"10.1016/j.procbio.2004.06.025","ISSN":"13595113","issue":"5","journalAbbreviation":"Process Biochemistry","language":"en","license":"https://www.elsevier.com/tdm/userlicense/1.0/","page":"1881-1894","source":"DOI.org (Crossref)","title":"Optimization of sugarcane factory application of commercial dextranases","volume":"40","author":[{"family":"Eggleston","given":"G."},{"family":"Monge","given":"A."}],"issued":{"date-parts":[["2005",4]]}}},{"id":18742,"uris":["http://zotero.org/users/12817968/items/QZMS7QWG"],"itemData":{"id":18742,"type":"article-journal","abstract":"Abstract\n            \n              Extraction of sugar from sugar beet slices was studied following various pulsed electric field (PEF) treatments (intensities from 300 to 800 V cm\n              −1\n              and number of pulses varying between 50 and 1000). Slices treated by PEF were immersed in water at ambient temperature at a liquid/solid ratio of 3. A significant increase in extraction yield was observed. This enhancement was due to permeabilisation of the cellular membrane and to the additional quantity of juice appearing on the surface of slices after PEF treatment being extracted rapidly by convection. The optimal conditions of PEF treatment were an intensity of 670 V cm\n              −1\n              and 250 pulses. The extraction kinetics was studied on the basis of two approaches: Fick's diffusion equation and a two</w:instrText>
      </w:r>
      <w:r w:rsidR="004269A5" w:rsidRPr="00F45A84">
        <w:rPr>
          <w:rFonts w:ascii="Cambria Math" w:hAnsi="Cambria Math" w:cs="Cambria Math"/>
          <w:sz w:val="24"/>
          <w:szCs w:val="24"/>
        </w:rPr>
        <w:instrText>‐</w:instrText>
      </w:r>
      <w:r w:rsidR="004269A5" w:rsidRPr="00F45A84">
        <w:rPr>
          <w:rFonts w:cs="Times New Roman"/>
          <w:sz w:val="24"/>
          <w:szCs w:val="24"/>
        </w:rPr>
        <w:instrText>exponential kinetic model. The coefficient of diffusion was only slightly influenced by the conditions of PEF treatment. The two</w:instrText>
      </w:r>
      <w:r w:rsidR="004269A5" w:rsidRPr="00F45A84">
        <w:rPr>
          <w:rFonts w:ascii="Cambria Math" w:hAnsi="Cambria Math" w:cs="Cambria Math"/>
          <w:sz w:val="24"/>
          <w:szCs w:val="24"/>
        </w:rPr>
        <w:instrText>‐</w:instrText>
      </w:r>
      <w:r w:rsidR="004269A5" w:rsidRPr="00F45A84">
        <w:rPr>
          <w:rFonts w:cs="Times New Roman"/>
          <w:sz w:val="24"/>
          <w:szCs w:val="24"/>
        </w:rPr>
        <w:instrText>exponential model successfully described both the rapid and prolonged stages of extraction. By heating the solution at mild temperatures of 30</w:instrText>
      </w:r>
      <w:r w:rsidR="004269A5" w:rsidRPr="00F45A84">
        <w:rPr>
          <w:sz w:val="24"/>
          <w:szCs w:val="24"/>
        </w:rPr>
        <w:instrText>–</w:instrText>
      </w:r>
      <w:r w:rsidR="004269A5" w:rsidRPr="00F45A84">
        <w:rPr>
          <w:rFonts w:cs="Times New Roman"/>
          <w:sz w:val="24"/>
          <w:szCs w:val="24"/>
        </w:rPr>
        <w:instrText xml:space="preserve">50 </w:instrText>
      </w:r>
      <w:r w:rsidR="004269A5" w:rsidRPr="00F45A84">
        <w:rPr>
          <w:sz w:val="24"/>
          <w:szCs w:val="24"/>
        </w:rPr>
        <w:instrText>°</w:instrText>
      </w:r>
      <w:r w:rsidR="004269A5" w:rsidRPr="00F45A84">
        <w:rPr>
          <w:rFonts w:cs="Times New Roman"/>
          <w:sz w:val="24"/>
          <w:szCs w:val="24"/>
        </w:rPr>
        <w:instrText xml:space="preserve">C, the coefficient of diffusion was increased and the kinetics of extraction was enhanced. The quality of cellular juice obtained after PEF treatment was higher than that of juice obtained after thermal pretreatment at 75 </w:instrText>
      </w:r>
      <w:r w:rsidR="004269A5" w:rsidRPr="00F45A84">
        <w:rPr>
          <w:sz w:val="24"/>
          <w:szCs w:val="24"/>
        </w:rPr>
        <w:instrText>°</w:instrText>
      </w:r>
      <w:r w:rsidR="004269A5" w:rsidRPr="00F45A84">
        <w:rPr>
          <w:rFonts w:cs="Times New Roman"/>
          <w:sz w:val="24"/>
          <w:szCs w:val="24"/>
        </w:rPr>
        <w:instrText>C. Copyright © 2004 Society of Chemical Industry","container-title":"Journal of the Science of Food and Agriculture","DOI":"10.1002/jsfa.1944","ISSN":"0022-5142, 1097-0010","issue":"2","journalAbbreviation":"J Sci Food Agric","language":"en","page":"213-218","source":"DOI.org (Crossref)","title":"Kinetic model of sugar diffusion from sugar beet tissue treated by pulsed electric field","volume":"85","author":[{"family":"El</w:instrText>
      </w:r>
      <w:r w:rsidR="004269A5" w:rsidRPr="00F45A84">
        <w:rPr>
          <w:rFonts w:ascii="Cambria Math" w:hAnsi="Cambria Math" w:cs="Cambria Math"/>
          <w:sz w:val="24"/>
          <w:szCs w:val="24"/>
        </w:rPr>
        <w:instrText>‐</w:instrText>
      </w:r>
      <w:r w:rsidR="004269A5" w:rsidRPr="00F45A84">
        <w:rPr>
          <w:rFonts w:cs="Times New Roman"/>
          <w:sz w:val="24"/>
          <w:szCs w:val="24"/>
        </w:rPr>
        <w:instrText xml:space="preserve">Belghiti","given":"Kamal"},{"family":"Rabhi","given":"Zied"},{"family":"Vorobiev","given":"Eugene"}],"issued":{"date-parts":[["2005",1,30]]}}},{"id":18743,"uris":["http://zotero.org/users/12817968/items/MQ3K9YDU"],"itemData":{"id":18743,"type":"article-journal","container-title":"Applied Thermal Engineering","DOI":"10.1016/j.applthermaleng.2008.03.009","ISSN":"13594311","issue":"2-3","journalAbbreviation":"Applied Thermal Engineering","language":"en","license":"https://www.elsevier.com/tdm/userlicense/1.0/","page":"515-522","source":"DOI.org (Crossref)","title":"Thermal integration of multiple effect evaporator in sugar plant","volume":"29","author":[{"family":"Higa","given":"M."},{"family":"Freitas","given":"A.J."},{"family":"Bannwart","given":"A.C."},{"family":"Zemp","given":"R.J."}],"issued":{"date-parts":[["2009",2]]}}},{"id":18740,"uris":["http://zotero.org/users/12817968/items/KYNYRVV4"],"itemData":{"id":18740,"type":"article-journal","container-title":"Energy","DOI":"10.1016/j.energy.2006.09.002","ISSN":"03605442","issue":"8","journalAbbreviation":"Energy","language":"en","license":"https://www.elsevier.com/tdm/userlicense/1.0/","page":"1536-1542","source":"DOI.org (Crossref)","title":"Mathematical modeling of multiple-effect evaporators and energy economy","volume":"32","author":[{"family":"Kaya","given":"Durmus"},{"family":"Ibrahim Sarac","given":"H."}],"issued":{"date-parts":[["2007",8]]}}},{"id":18739,"uris":["http://zotero.org/users/12817968/items/873G28H3"],"itemData":{"id":18739,"type":"article-journal","container-title":"Journal of Food Engineering","DOI":"10.1016/j.jfoodeng.2005.08.011","ISSN":"02608774","issue":"4","journalAbbreviation":"Journal of Food Engineering","language":"en","license":"https://www.elsevier.com/tdm/userlicense/1.0/","page":"844-852","source":"DOI.org (Crossref)","title":"Rheology of supersaturated sucrose solutions","volume":"77","author":[{"family":"Quintas","given":"M."},{"family":"Brandão","given":"T.R.S."},{"family":"Silva","given":"C.L.M."},{"family":"Cunha","given":"R.L."}],"issued":{"date-parts":[["2006",12]]}}},{"id":18738,"uris":["http://zotero.org/users/12817968/items/WML4M9L9"],"itemData":{"id":18738,"type":"article-journal","container-title":"Engineering Applications of Artificial Intelligence","DOI":"10.1016/S0952-1976(98)00055-4","ISSN":"09521976","issue":"2","journalAbbreviation":"Engineering Applications of Artificial Intelligence","language":"en","license":"https://www.elsevier.com/tdm/userlicense/1.0/","page":"149-158","source":"DOI.org (Crossref)","title":"Neural predictive control. Application to a highly non-linear system","volume":"12","author":[{"family":"Zamarreño","given":"J.M."},{"family":"Vega","given":"P."}],"issued":{"date-parts":[["1999",4]]}}}],"schema":"https://github.com/citation-style-language/schema/raw/master/csl-citation.json"} </w:instrText>
      </w:r>
      <w:r w:rsidR="004269A5" w:rsidRPr="00F45A84">
        <w:rPr>
          <w:rFonts w:cs="Times New Roman"/>
          <w:sz w:val="24"/>
          <w:szCs w:val="24"/>
        </w:rPr>
        <w:fldChar w:fldCharType="separate"/>
      </w:r>
      <w:r w:rsidR="004269A5" w:rsidRPr="00F45A84">
        <w:rPr>
          <w:rFonts w:cs="Times New Roman"/>
          <w:sz w:val="24"/>
          <w:szCs w:val="24"/>
        </w:rPr>
        <w:t>Eggleston &amp; Monge (2005), El</w:t>
      </w:r>
      <w:r w:rsidR="004269A5" w:rsidRPr="00F45A84">
        <w:rPr>
          <w:rFonts w:ascii="Cambria Math" w:hAnsi="Cambria Math" w:cs="Cambria Math"/>
          <w:sz w:val="24"/>
          <w:szCs w:val="24"/>
        </w:rPr>
        <w:t>‐</w:t>
      </w:r>
      <w:r w:rsidR="004269A5" w:rsidRPr="00F45A84">
        <w:rPr>
          <w:rFonts w:cs="Times New Roman"/>
          <w:sz w:val="24"/>
          <w:szCs w:val="24"/>
        </w:rPr>
        <w:t>Belghiti et al. (2005), Higa et al. (2009), Kaya &amp; Ibrahim Sarac (2007), Quintas et al. (2006), serta Zamarre</w:t>
      </w:r>
      <w:r w:rsidR="004269A5" w:rsidRPr="00F45A84">
        <w:rPr>
          <w:sz w:val="24"/>
          <w:szCs w:val="24"/>
        </w:rPr>
        <w:t>ñ</w:t>
      </w:r>
      <w:r w:rsidR="004269A5" w:rsidRPr="00F45A84">
        <w:rPr>
          <w:rFonts w:cs="Times New Roman"/>
          <w:sz w:val="24"/>
          <w:szCs w:val="24"/>
        </w:rPr>
        <w:t xml:space="preserve">o &amp; Vega (1999) </w:t>
      </w:r>
      <w:r w:rsidR="004269A5" w:rsidRPr="00F45A84">
        <w:rPr>
          <w:rFonts w:cs="Times New Roman"/>
          <w:sz w:val="24"/>
          <w:szCs w:val="24"/>
        </w:rPr>
        <w:fldChar w:fldCharType="end"/>
      </w:r>
      <w:r w:rsidR="004269A5" w:rsidRPr="00F45A84">
        <w:rPr>
          <w:rFonts w:cs="Times New Roman"/>
          <w:sz w:val="24"/>
          <w:szCs w:val="24"/>
        </w:rPr>
        <w:t xml:space="preserve">, </w:t>
      </w:r>
      <w:r w:rsidRPr="007A05E4">
        <w:rPr>
          <w:rFonts w:cs="Times New Roman"/>
          <w:sz w:val="24"/>
          <w:szCs w:val="24"/>
        </w:rPr>
        <w:t>indicating that MPC is still seen as a credible and effective approach to sugar process control.</w:t>
      </w:r>
    </w:p>
    <w:p w14:paraId="3766E14C" w14:textId="703874CD" w:rsidR="004269A5" w:rsidRDefault="004269A5" w:rsidP="007A05E4">
      <w:pPr>
        <w:spacing w:before="240"/>
        <w:ind w:left="1560"/>
        <w:jc w:val="both"/>
        <w:rPr>
          <w:rFonts w:cs="Times New Roman"/>
          <w:sz w:val="24"/>
          <w:szCs w:val="24"/>
        </w:rPr>
      </w:pPr>
      <w:r w:rsidRPr="00F45A84">
        <w:rPr>
          <w:rFonts w:cs="Times New Roman"/>
          <w:noProof/>
          <w:sz w:val="24"/>
          <w:szCs w:val="24"/>
        </w:rPr>
        <w:drawing>
          <wp:inline distT="0" distB="0" distL="0" distR="0" wp14:anchorId="4BAE5BCD" wp14:editId="7B049984">
            <wp:extent cx="5654642" cy="3088005"/>
            <wp:effectExtent l="0" t="0" r="3810" b="0"/>
            <wp:docPr id="998985513" name="Chart 1">
              <a:extLst xmlns:a="http://schemas.openxmlformats.org/drawingml/2006/main">
                <a:ext uri="{FF2B5EF4-FFF2-40B4-BE49-F238E27FC236}">
                  <a16:creationId xmlns:a16="http://schemas.microsoft.com/office/drawing/2014/main" id="{9AFF91F9-03D8-B9CF-170A-85499980D4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F45A84">
        <w:rPr>
          <w:rFonts w:cs="Times New Roman"/>
          <w:b/>
          <w:bCs/>
          <w:sz w:val="24"/>
          <w:szCs w:val="24"/>
        </w:rPr>
        <w:t xml:space="preserve">Figure 2. </w:t>
      </w:r>
      <w:r w:rsidRPr="00F45A84">
        <w:rPr>
          <w:rFonts w:cs="Times New Roman"/>
          <w:sz w:val="24"/>
          <w:szCs w:val="24"/>
        </w:rPr>
        <w:t>Number of articles published annually on MPC in the sugar industry</w:t>
      </w:r>
    </w:p>
    <w:p w14:paraId="4DDC842F" w14:textId="77777777" w:rsidR="007A05E4" w:rsidRPr="00F45A84" w:rsidRDefault="007A05E4" w:rsidP="007A05E4">
      <w:pPr>
        <w:spacing w:before="240"/>
        <w:ind w:left="1560"/>
        <w:jc w:val="both"/>
        <w:rPr>
          <w:rFonts w:cs="Times New Roman"/>
          <w:sz w:val="24"/>
          <w:szCs w:val="24"/>
        </w:rPr>
      </w:pPr>
    </w:p>
    <w:p w14:paraId="00DE0218" w14:textId="77777777" w:rsidR="004269A5" w:rsidRPr="00F45A84" w:rsidRDefault="004269A5" w:rsidP="004269A5">
      <w:pPr>
        <w:spacing w:before="240"/>
        <w:ind w:left="1560"/>
        <w:jc w:val="both"/>
        <w:rPr>
          <w:rFonts w:cs="Times New Roman"/>
          <w:sz w:val="24"/>
          <w:szCs w:val="24"/>
        </w:rPr>
      </w:pPr>
      <w:r w:rsidRPr="00F45A84">
        <w:rPr>
          <w:rFonts w:cs="Times New Roman"/>
          <w:noProof/>
          <w:sz w:val="24"/>
          <w:szCs w:val="24"/>
        </w:rPr>
        <w:drawing>
          <wp:inline distT="0" distB="0" distL="0" distR="0" wp14:anchorId="7A82592E" wp14:editId="151AC142">
            <wp:extent cx="5575300" cy="2921000"/>
            <wp:effectExtent l="0" t="0" r="6350" b="0"/>
            <wp:docPr id="1679464063" name="Chart 1">
              <a:extLst xmlns:a="http://schemas.openxmlformats.org/drawingml/2006/main">
                <a:ext uri="{FF2B5EF4-FFF2-40B4-BE49-F238E27FC236}">
                  <a16:creationId xmlns:a16="http://schemas.microsoft.com/office/drawing/2014/main" id="{0C16C056-30C7-BF51-CA76-0841E0C89F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0031242" w14:textId="77777777" w:rsidR="004269A5" w:rsidRPr="00F45A84" w:rsidRDefault="004269A5" w:rsidP="004269A5">
      <w:pPr>
        <w:spacing w:before="240"/>
        <w:ind w:left="1560"/>
        <w:jc w:val="both"/>
        <w:rPr>
          <w:rFonts w:cs="Times New Roman"/>
          <w:sz w:val="24"/>
          <w:szCs w:val="24"/>
        </w:rPr>
      </w:pPr>
      <w:r w:rsidRPr="00F45A84">
        <w:rPr>
          <w:rFonts w:cs="Times New Roman"/>
          <w:b/>
          <w:bCs/>
          <w:sz w:val="24"/>
          <w:szCs w:val="24"/>
        </w:rPr>
        <w:t xml:space="preserve">Figure 3. </w:t>
      </w:r>
      <w:r w:rsidRPr="00F45A84">
        <w:rPr>
          <w:rFonts w:cs="Times New Roman"/>
          <w:sz w:val="24"/>
          <w:szCs w:val="24"/>
        </w:rPr>
        <w:t>Average annual citations of MPC in the sugar industry</w:t>
      </w:r>
    </w:p>
    <w:p w14:paraId="70E04903" w14:textId="77777777" w:rsidR="004269A5" w:rsidRPr="00F45A84" w:rsidRDefault="004269A5" w:rsidP="004269A5">
      <w:pPr>
        <w:spacing w:before="240"/>
        <w:ind w:left="1560"/>
        <w:jc w:val="both"/>
        <w:rPr>
          <w:rFonts w:cs="Times New Roman"/>
          <w:b/>
          <w:bCs/>
          <w:sz w:val="24"/>
          <w:szCs w:val="24"/>
        </w:rPr>
      </w:pPr>
      <w:r w:rsidRPr="00F45A84">
        <w:rPr>
          <w:rFonts w:cs="Times New Roman"/>
          <w:b/>
          <w:bCs/>
          <w:sz w:val="24"/>
          <w:szCs w:val="24"/>
        </w:rPr>
        <w:t>The countries that contribute the most</w:t>
      </w:r>
    </w:p>
    <w:p w14:paraId="675DF7FE"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Based on Table 2, India emerged as the country with the highest number of publications (NP) in Model Predictive Control (MPC) research in the sugar industry, namely 84 documents since its first publication in 2003. This dominance of India can be attributed to the size of the national sugar industry and the high demand for process optimization, especially in units such as evaporators, crystallizers, and juice heaters. However, despite its high productivity, India's total citations (TC) and average article </w:t>
      </w:r>
      <w:r w:rsidRPr="00F45A84">
        <w:rPr>
          <w:rFonts w:cs="Times New Roman"/>
          <w:sz w:val="24"/>
          <w:szCs w:val="24"/>
        </w:rPr>
        <w:lastRenderedPageBreak/>
        <w:t xml:space="preserve">citations (AAC) are relatively lower than those of several European and Latin American countries, indicating that some publications are applicative and oriented towards local implementation </w:t>
      </w:r>
      <w:r w:rsidRPr="00F45A84">
        <w:rPr>
          <w:rFonts w:cs="Times New Roman"/>
          <w:sz w:val="24"/>
          <w:szCs w:val="24"/>
        </w:rPr>
        <w:fldChar w:fldCharType="begin"/>
      </w:r>
      <w:r w:rsidRPr="00F45A84">
        <w:rPr>
          <w:rFonts w:cs="Times New Roman"/>
          <w:sz w:val="24"/>
          <w:szCs w:val="24"/>
        </w:rPr>
        <w:instrText xml:space="preserve"> ADDIN ZOTERO_ITEM CSL_CITATION {"citationID":"MJzK5P3H","properties":{"formattedCitation":"(Sujatha et al., 2022; Sunori et al., 2016)","plainCitation":"(Sujatha et al., 2022; Sunori et al., 2016)","noteIndex":0},"citationItems":[{"id":18748,"uris":["http://zotero.org/users/12817968/items/HZVBFVCC"],"itemData":{"id":18748,"type":"chapter","container-title":"Smart Trends in Computing and Communications","event-place":"Singapore","ISBN":"978-981-16-4015-5","language":"en","note":"collection-title: Lecture Notes in Networks and Systems\nDOI: 10.1007/978-981-16-4016-2_39","page":"419-426","publisher":"Springer Singapore","publisher-place":"Singapore","source":"DOI.org (Crossref)","title":"Predictive Model-based Analytics to Control Drying Process in a Sugar Industry","URL":"https://link.springer.com/10.1007/978-981-16-4016-2_39","volume":"286","editor":[{"family":"Zhang","given":"Yu-Dong"},{"family":"Senjyu","given":"Tomonobu"},{"family":"So-In","given":"Chakchai"},{"family":"Joshi","given":"Amit"}],"author":[{"family":"Sujatha","given":"K."},{"family":"Nalinashini","given":"G."},{"family":"Ganesan","given":"B. A."},{"family":"Jayachitra","given":"N."},{"family":"Sankari","given":"Rengammal"},{"family":"Kalaivani","given":"A."},{"family":"Sendilvelan","given":"S."}],"accessed":{"date-parts":[["2025",12,19]]},"issued":{"date-parts":[["2022"]]}}},{"id":18757,"uris":["http://zotero.org/users/12817968/items/CTBCQ7EE"],"itemData":{"id":18757,"type":"paper-conference","container-title":"2016 8th International Conference on Computational Intelligence and Communication Networks (CICN)","DOI":"10.1109/CICN.2016.99","event-place":"Tehri, India","event-title":"2016 8th International Conference on Computational Intelligence and Communication Networks (CICN)","ISBN":"978-1-5090-1144-5","page":"480-482","publisher":"IEEE","publisher-place":"Tehri, India","source":"DOI.org (Crossref)","title":"Design and Analysis of Control Systems for Heat Exchanger System of Sugar Mill","URL":"http://ieeexplore.ieee.org/document/8082691/","author":[{"family":"Sunori","given":"Sandeep Kumar"},{"family":"Juneja","given":"Pradeep Kumar"},{"family":"Chaturvedi","given":"Mayank"},{"family":"Agarwal","given":"Niharika"}],"accessed":{"date-parts":[["2025",12,19]]},"issued":{"date-parts":[["2016",12]]}}}],"schema":"https://github.com/citation-style-language/schema/raw/master/csl-citation.json"}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(Sujatha et al., 2022; Sunori et al., 2016) </w:t>
      </w:r>
      <w:r w:rsidRPr="00F45A84">
        <w:rPr>
          <w:rFonts w:cs="Times New Roman"/>
          <w:sz w:val="24"/>
          <w:szCs w:val="24"/>
        </w:rPr>
        <w:fldChar w:fldCharType="end"/>
      </w:r>
      <w:r w:rsidRPr="00F45A84">
        <w:rPr>
          <w:rFonts w:cs="Times New Roman"/>
          <w:sz w:val="24"/>
          <w:szCs w:val="24"/>
        </w:rPr>
        <w:t>.</w:t>
      </w:r>
    </w:p>
    <w:p w14:paraId="1AFFA783"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In contrast, Brazil and France show higher scientific impact, reflected by their high AAC scores (27.0 and 27.3, respectively), despite having fewer publications than India. Brazil, as one of the world's largest sugar and bioethanol producers, has produced many studies linking MPC to energy efficiency and process system integration. </w:t>
      </w:r>
      <w:r w:rsidRPr="00F45A84">
        <w:rPr>
          <w:rFonts w:cs="Times New Roman"/>
          <w:sz w:val="24"/>
          <w:szCs w:val="24"/>
        </w:rPr>
        <w:fldChar w:fldCharType="begin"/>
      </w:r>
      <w:r w:rsidRPr="00F45A84">
        <w:rPr>
          <w:rFonts w:cs="Times New Roman"/>
          <w:sz w:val="24"/>
          <w:szCs w:val="24"/>
        </w:rPr>
        <w:instrText xml:space="preserve"> ADDIN ZOTERO_ITEM CSL_CITATION {"citationID":"8OXt7ZYR","properties":{"formattedCitation":"(Alves et al., 2024; Gomes et al., 2019)","plainCitation":"(Alves et al., 2024; Gomes et al., 2019)","noteIndex":0},"citationItems":[{"id":18754,"uris":["http://zotero.org/users/12817968/items/YVKPA5RL"],"itemData":{"id":18754,"type":"article-journal","container-title":"Food Research International","DOI":"10.1016/j.foodres.2024.114673","ISSN":"09639969","journalAbbreviation":"Food Research International","language":"en","page":"114673","source":"DOI.org (Crossref)","title":"An eco-friendly approach for analysing sugars, minerals, and colour in brown sugar using digital image processing and machine learning","volume":"191","author":[{"family":"Alves","given":"Vandressa"},{"family":"Dos Santos","given":"Jeferson M."},{"family":"Viegas","given":"Olga"},{"family":"Pinto","given":"Edgar"},{"family":"Ferreira","given":"Isabel M.P.L.V.O."},{"family":"Aparecido Lima","given":"Vanderlei"},{"family":"Felsner","given":"Maria L."}],"issued":{"date-parts":[["2024",9]]}}},{"id":18760,"uris":["http://zotero.org/users/12817968/items/QF3IKZB6"],"itemData":{"id":18760,"type":"article-journal","abstract":"Purpose\n              The purpose of this paper is to analyze the innovation strategies of the sugar–energy industry in Central-Southern Brazil with regard to its resource structure and results.\n            \n            \n              Design/methodology/approach\n              The data were collected through a questionnaire covering the three-year period from 2015 through 2017. The results were extracted based on a combination of factor analysis and multiple regression analysis.\n            \n            \n              Findings\n              The innovation strategies of Brazilian sugar–energy companies are characterized as defensive and imitative based on the resources dedicated to innovation and the implementation of innovation with respect to products, processes, eco-innovation and cost reductions.\n            \n            \n              Research limitations/implications\n              The sample is representative, but it does not cover all companies in the Brazilian sugar–energy industry. The data were acquired using a survey, and the results could not be compared to the financial results of the companies.\n            \n            \n              Practical implications\n              Sugar–energy companies need to define their innovation strategies, as these strategies lead to different results that can be achieved only through the management of resources dedicated to the generation and implementation of innovations. Managers and analysts need to know the profile of these innovation strategies to evaluate the effectiveness of the results based on the resources that were invested.\n            \n            \n              Originality/value\n              This study presents an exploratory model that identified two factors related to innovation efforts and three results. It is possible to define the innovation strategies of companies in the Brazilian sugar–energy industry, which is one of the most competitive in Brazil.","container-title":"Journal of Agribusiness in Developing and Emerging Economies","DOI":"10.1108/JADEE-09-2018-0120","ISSN":"2044-0839","issue":"5","journalAbbreviation":"JADEE","language":"en","license":"https://www.emerald.com/insight/site-policies","page":"536-551","source":"DOI.org (Crossref)","title":"Innovation strategies in the Brazilian sugar–energy industry","volume":"9","author":[{"family":"Gomes","given":"Samara Marques"},{"family":"Santos","given":"David Ferreira Lopes"},{"family":"Basso","given":"Leonardo Fernando Cruz"}],"issued":{"date-parts":[["2019",10,14]]}}}],"schema":"https://github.com/citation-style-language/schema/raw/master/csl-citation.json"}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(Alves et al., 2024; Gomes et al., 2019) </w:t>
      </w:r>
      <w:r w:rsidRPr="00F45A84">
        <w:rPr>
          <w:rFonts w:cs="Times New Roman"/>
          <w:sz w:val="24"/>
          <w:szCs w:val="24"/>
        </w:rPr>
        <w:fldChar w:fldCharType="end"/>
      </w:r>
      <w:r w:rsidRPr="00F45A84">
        <w:rPr>
          <w:rFonts w:cs="Times New Roman"/>
          <w:sz w:val="24"/>
          <w:szCs w:val="24"/>
        </w:rPr>
        <w:t>, so that their works receive wider citations.</w:t>
      </w:r>
    </w:p>
    <w:p w14:paraId="5CCA1711"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Spain and France have a prominent position as early pioneers of MPC research in the sugar industry, with the first publications being published in 1997 and 1999, respectively. These countries played a major role in the development of nonlinear MPC, generalized predictive control (GPC), and neural predictive control for sugar processes, particularly in evaporators and crystallization pans. Many seminal works originating from these Western European research groups remain the main references, thus explaining their high citation counts and AAC scores </w:t>
      </w:r>
      <w:r w:rsidRPr="00F45A84">
        <w:rPr>
          <w:rFonts w:cs="Times New Roman"/>
          <w:sz w:val="24"/>
          <w:szCs w:val="24"/>
        </w:rPr>
        <w:fldChar w:fldCharType="begin"/>
      </w:r>
      <w:r w:rsidRPr="00F45A84">
        <w:rPr>
          <w:rFonts w:cs="Times New Roman"/>
          <w:sz w:val="24"/>
          <w:szCs w:val="24"/>
        </w:rPr>
        <w:instrText xml:space="preserve"> ADDIN ZOTERO_ITEM CSL_CITATION {"citationID":"qGMxpDsy","properties":{"formattedCitation":"(Benne et al., 2000; Cadet, Toure, et al., 1999; Cadet, Tour\\uc0\\u233{}, et al., 1999; Zamarre\\uc0\\u241{}o &amp; Vega, 1999)","plainCitation":"(Benne et al., 2000; Cadet, Toure, et al., 1999; Cadet, Touré, et al., 1999; Zamarreño &amp; Vega, 1999)","noteIndex":0},"citationItems":[{"id":18761,"uris":["http://zotero.org/users/12817968/items/ADCJ3DZT"],"itemData":{"id":18761,"type":"article-journal","container-title":"Journal of Food Engineering","DOI":"10.1016/S0260-8774(00)00055-8","ISSN":"02608774","issue":"4","journalAbbreviation":"Journal of Food Engineering","language":"en","license":"https://www.elsevier.com/tdm/userlicense/1.0/","page":"227-234","source":"DOI.org (Crossref)","title":"Artificial neural networks for modelling and predictive control of an industrial evaporation process","volume":"46","author":[{"family":"Benne","given":"M"},{"family":"Grondin- Perez","given":"B"},{"family":"Chabriat","given":"J.-P"},{"family":"Hervé","given":"P"}],"issued":{"date-parts":[["2000",12]]}}},{"id":18755,"uris":["http://zotero.org/users/12817968/items/U37B37RA"],"itemData":{"id":18755,"type":"paper-conference","container-title":"1999 European Control Conference (ECC)","DOI":"10.23919/ECC.1999.7099794","event-place":"Karlsruhe","event-title":"1999 European Control Conference (ECC)","ISBN":"978-3-9524173-5-5","page":"3053-3058","publisher":"IEEE","publisher-place":"Karlsruhe","source":"DOI.org (Crossref)","title":"Non linear receding horizon observer and model based predictive control of evaporators in cane sugar industry","URL":"https://ieeexplore.ieee.org/document/7099794/","author":[{"family":"Cadet","given":"C."},{"family":"Toure","given":"Y."},{"family":"Gilles","given":"G."},{"family":"Gatina","given":"J.C."}],"accessed":{"date-parts":[["2025",12,19]]},"issued":{"date-parts":[["1999",8]]}}},{"id":18749,"uris":["http://zotero.org/users/12817968/items/RYRYL72R"],"itemData":{"id":18749,"type":"article-journal","container-title":"Journal of Food Engineering","DOI":"10.1016/S0260-8774(99)00037-0","ISSN":"02608774","issue":"1-2","journalAbbreviation":"Journal of Food Engineering","language":"en","license":"https://www.elsevier.com/tdm/userlicense/1.0/","page":"59-70","source":"DOI.org (Crossref)","title":"Knowledge modeling and nonlinear predictive control of evaporators in cane sugar production plants","volume":"40","author":[{"family":"Cadet","given":"C."},{"family":"Touré","given":"Y."},{"family":"Gilles","given":"G."},{"family":"Chabriat","given":"J.P."}],"issued":{"date-parts":[["1999",5]]}}},{"id":18738,"uris":["http://zotero.org/users/12817968/items/WML4M9L9"],"itemData":{"id":18738,"type":"article-journal","container-title":"Engineering Applications of Artificial Intelligence","DOI":"10.1016/S0952-1976(98)00055-4","ISSN":"09521976","issue":"2","journalAbbreviation":"Engineering Applications of Artificial Intelligence","language":"en","license":"https://www.elsevier.com/tdm/userlicense/1.0/","page":"149-158","source":"DOI.org (Crossref)","title":"Neural predictive control. Application to a highly non-linear system","volume":"12","author":[{"family":"Zamarreño","given":"J.M."},{"family":"Vega","given":"P."}],"issued":{"date-parts":[["1999",4]]}}}],"schema":"https://github.com/citation-style-language/schema/raw/master/csl-citation.json"}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(Benne et al., 2000; Cadet, Touré, et al., 1999; Cadet, Touré, et al., 1999; Zamarreño &amp; Vega, 1999) </w:t>
      </w:r>
      <w:r w:rsidRPr="00F45A84">
        <w:rPr>
          <w:rFonts w:cs="Times New Roman"/>
          <w:sz w:val="24"/>
          <w:szCs w:val="24"/>
        </w:rPr>
        <w:fldChar w:fldCharType="end"/>
      </w:r>
      <w:r w:rsidRPr="00F45A84">
        <w:rPr>
          <w:rFonts w:cs="Times New Roman"/>
          <w:sz w:val="24"/>
          <w:szCs w:val="24"/>
        </w:rPr>
        <w:t>.</w:t>
      </w:r>
    </w:p>
    <w:p w14:paraId="4FE3D625"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Contributions from Asian countries such as China, Thailand, and Malaysia are relatively recent, with the first publications occurring after 2010. Although the number of publications and citations is still limited, this trend reflects the increasing adoption of MPC and advanced process control along with the modernization of sugar factories and the push towards Industry 4.0. Malaysia's relatively high AAC score (21.5) indicates that despite its small contribution, the publications produced are of high relevance and citation quality, especially in the hybrid approach between MPC and data-driven techniques </w:t>
      </w:r>
      <w:r w:rsidRPr="00F45A84">
        <w:rPr>
          <w:rFonts w:cs="Times New Roman"/>
          <w:sz w:val="24"/>
          <w:szCs w:val="24"/>
        </w:rPr>
        <w:fldChar w:fldCharType="begin"/>
      </w:r>
      <w:r w:rsidRPr="00F45A84">
        <w:rPr>
          <w:rFonts w:cs="Times New Roman"/>
          <w:sz w:val="24"/>
          <w:szCs w:val="24"/>
        </w:rPr>
        <w:instrText xml:space="preserve"> ADDIN ZOTERO_ITEM CSL_CITATION {"citationID":"lFDSGuxm","properties":{"formattedCitation":"(Areeya et al., 2020; Meng et al., 2021)","plainCitation":"(Areeya et al., 2020; Meng et al., 2021)","noteIndex":0},"citationItems":[{"id":18763,"uris":["http://zotero.org/users/12817968/items/X8VSQJTY"],"itemData":{"id":18763,"type":"paper-conference","container-title":"2020 6th International Conference on Control, Automation and Robotics (ICCAR)","DOI":"10.1109/ICCAR49639.2020.9108066","event-place":"Singapore","event-title":"2020 6th International Conference on Control, Automation and Robotics (ICCAR)","ISBN":"978-1-7281-6139-6","license":"https://ieeexplore.ieee.org/Xplorehelp/downloads/license-information/IEEE.html","page":"536-540","publisher":"IEEE","publisher-place":"Singapore","source":"DOI.org (Crossref)","title":"Model-Based Control for Fed-Batch Enzymatic Hydrolysis Reactor of Lignocellulosic Biomass","URL":"https://ieeexplore.ieee.org/document/9108066/","author":[{"family":"Areeya","given":"Sukunya"},{"family":"Tawai","given":"Atthasit"},{"family":"Sriariyanun","given":"Malinee"}],"accessed":{"date-parts":[["2025",12,19]]},"issued":{"date-parts":[["2020",4]]}}},{"id":18762,"uris":["http://zotero.org/users/12817968/items/DWUAV8J8"],"itemData":{"id":18762,"type":"article-journal","abstract":"Abstract\n            \n              \n              Crystal size distribution (CSD) is important in evaluating crystal quality in cane sugar crystallization process. Due to the complex non</w:instrText>
      </w:r>
      <w:r w:rsidRPr="00F45A84">
        <w:rPr>
          <w:rFonts w:ascii="Cambria Math" w:hAnsi="Cambria Math" w:cs="Cambria Math"/>
          <w:sz w:val="24"/>
          <w:szCs w:val="24"/>
        </w:rPr>
        <w:instrText>‐</w:instrText>
      </w:r>
      <w:r w:rsidRPr="00F45A84">
        <w:rPr>
          <w:rFonts w:cs="Times New Roman"/>
          <w:sz w:val="24"/>
          <w:szCs w:val="24"/>
        </w:rPr>
        <w:instrText>linearity, time</w:instrText>
      </w:r>
      <w:r w:rsidRPr="00F45A84">
        <w:rPr>
          <w:rFonts w:ascii="Cambria Math" w:hAnsi="Cambria Math" w:cs="Cambria Math"/>
          <w:sz w:val="24"/>
          <w:szCs w:val="24"/>
        </w:rPr>
        <w:instrText>‐</w:instrText>
      </w:r>
      <w:r w:rsidRPr="00F45A84">
        <w:rPr>
          <w:rFonts w:cs="Times New Roman"/>
          <w:sz w:val="24"/>
          <w:szCs w:val="24"/>
        </w:rPr>
        <w:instrText>delay and strong coupling in cane sugar crystallization process, it is difficult to directly modeling in the mechanism of cane sugar crystallization process to obtain CSD parameters. In order to obtain two main CSD parameters so that to achieve better control and production of cane sugar, this article constructs a data</w:instrText>
      </w:r>
      <w:r w:rsidRPr="00F45A84">
        <w:rPr>
          <w:rFonts w:ascii="Cambria Math" w:hAnsi="Cambria Math" w:cs="Cambria Math"/>
          <w:sz w:val="24"/>
          <w:szCs w:val="24"/>
        </w:rPr>
        <w:instrText>‐</w:instrText>
      </w:r>
      <w:r w:rsidRPr="00F45A84">
        <w:rPr>
          <w:rFonts w:cs="Times New Roman"/>
          <w:sz w:val="24"/>
          <w:szCs w:val="24"/>
        </w:rPr>
        <w:instrText>driven model based on least squares support vector regression (LSSVR) and particle swarm optimization (PSO). Based on LSSVR, the model takes the easy to measureable variables (massecuite brix, massecuite level, massecuite temperature, steam pressure, feeding volume, and vacuum degree) as input variables, and outputs sugar CSD parameters (crystal average size, coefficient of variation of crystal size). PSO algorithm is used to optimize the key parameters of primary model to get better modeling performance. Compared with other modeling methods such as back propagation, extreme learning machine, radial basis function, and SVR, the constructed PSO</w:instrText>
      </w:r>
      <w:r w:rsidRPr="00F45A84">
        <w:rPr>
          <w:rFonts w:ascii="Cambria Math" w:hAnsi="Cambria Math" w:cs="Cambria Math"/>
          <w:sz w:val="24"/>
          <w:szCs w:val="24"/>
        </w:rPr>
        <w:instrText>‐</w:instrText>
      </w:r>
      <w:r w:rsidRPr="00F45A84">
        <w:rPr>
          <w:rFonts w:cs="Times New Roman"/>
          <w:sz w:val="24"/>
          <w:szCs w:val="24"/>
        </w:rPr>
        <w:instrText>LSSVR model has obvious advantages over other models in learning speed and predictive effect, generalization ability. This model has potential to be applied to the control system of cane sugar crystallization process and get better product of sugar.\n            \n            \n              Practical applications\n              The constructed model uses the measureable variables to obtain main crystal size distribution (CSD) parameters (which is not easy to be measured online directly), and the measureable variables can be easy to control. According the relation between the measureable variables and CSD parameters, the model is useful to set up better operation conditions, and form better crystallization environment, and improve the quality of sugar crystal. So, this method will benefit the control system of cane sugar crystallization process and improve the quality and efficiency of cane sugar crystallization process, and the model is also useful for the study of continuous sugar crystallization process.","container-title":"Journal of Food Process Engineering","DOI":"10.1111/jfpe.13648","ISSN":"0145-8876, 1745-4530","issue":"4","journalAbbreviation":"J Food Process Engineering","language":"en","page":"e13648","source":"DOI.org (Crossref)","title":"Data</w:instrText>
      </w:r>
      <w:r w:rsidRPr="00F45A84">
        <w:rPr>
          <w:rFonts w:ascii="Cambria Math" w:hAnsi="Cambria Math" w:cs="Cambria Math"/>
          <w:sz w:val="24"/>
          <w:szCs w:val="24"/>
        </w:rPr>
        <w:instrText>‐</w:instrText>
      </w:r>
      <w:r w:rsidRPr="00F45A84">
        <w:rPr>
          <w:rFonts w:cs="Times New Roman"/>
          <w:sz w:val="24"/>
          <w:szCs w:val="24"/>
        </w:rPr>
        <w:instrText xml:space="preserve">driven modeling for crystal size distribution parameters in cane sugar crystallization process","volume":"44","author":[{"family":"Meng","given":"Yanmei"},{"family":"Yao","given":"Tao"},{"family":"Yu","given":"Shuangshuang"},{"family":"Qin","given":"Johnny"},{"family":"Zhang","given":"Jinlai"},{"family":"Wu","given":"Jianfan"}],"issued":{"date-parts":[["2021"]]}}}],"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(Areeya et al., 2020; Meng et al., 2021) </w:t>
      </w:r>
      <w:r w:rsidRPr="00F45A84">
        <w:rPr>
          <w:rFonts w:cs="Times New Roman"/>
          <w:sz w:val="24"/>
          <w:szCs w:val="24"/>
        </w:rPr>
        <w:fldChar w:fldCharType="end"/>
      </w:r>
      <w:r w:rsidRPr="00F45A84">
        <w:rPr>
          <w:rFonts w:cs="Times New Roman"/>
          <w:sz w:val="24"/>
          <w:szCs w:val="24"/>
        </w:rPr>
        <w:t>.</w:t>
      </w:r>
    </w:p>
    <w:p w14:paraId="729B23A7" w14:textId="77777777" w:rsidR="004269A5" w:rsidRDefault="004269A5" w:rsidP="004269A5">
      <w:pPr>
        <w:spacing w:before="240"/>
        <w:ind w:left="1560"/>
        <w:jc w:val="both"/>
        <w:rPr>
          <w:rFonts w:cs="Times New Roman"/>
          <w:sz w:val="24"/>
          <w:szCs w:val="24"/>
        </w:rPr>
      </w:pPr>
      <w:r w:rsidRPr="00F45A84">
        <w:rPr>
          <w:rFonts w:cs="Times New Roman"/>
          <w:b/>
          <w:bCs/>
          <w:sz w:val="24"/>
          <w:szCs w:val="24"/>
        </w:rPr>
        <w:t xml:space="preserve">Table 2. </w:t>
      </w:r>
      <w:r w:rsidRPr="00F45A84">
        <w:rPr>
          <w:rFonts w:cs="Times New Roman"/>
          <w:sz w:val="24"/>
          <w:szCs w:val="24"/>
        </w:rPr>
        <w:t>Top 10 most productive countries</w:t>
      </w:r>
    </w:p>
    <w:tbl>
      <w:tblPr>
        <w:tblW w:w="4073" w:type="pct"/>
        <w:tblInd w:w="1668" w:type="dxa"/>
        <w:tblLook w:val="04A0" w:firstRow="1" w:lastRow="0" w:firstColumn="1" w:lastColumn="0" w:noHBand="0" w:noVBand="1"/>
      </w:tblPr>
      <w:tblGrid>
        <w:gridCol w:w="971"/>
        <w:gridCol w:w="1803"/>
        <w:gridCol w:w="1662"/>
        <w:gridCol w:w="1786"/>
        <w:gridCol w:w="1786"/>
        <w:gridCol w:w="656"/>
      </w:tblGrid>
      <w:tr w:rsidR="00704F90" w:rsidRPr="00C94C6D" w14:paraId="69F52B71" w14:textId="77777777" w:rsidTr="00704F90">
        <w:trPr>
          <w:trHeight w:val="288"/>
        </w:trPr>
        <w:tc>
          <w:tcPr>
            <w:tcW w:w="562" w:type="pct"/>
            <w:tcBorders>
              <w:top w:val="single" w:sz="4" w:space="0" w:color="auto"/>
              <w:left w:val="nil"/>
              <w:bottom w:val="single" w:sz="4" w:space="0" w:color="auto"/>
              <w:right w:val="nil"/>
            </w:tcBorders>
            <w:noWrap/>
            <w:vAlign w:val="bottom"/>
            <w:hideMark/>
          </w:tcPr>
          <w:p w14:paraId="71E38978" w14:textId="77777777" w:rsidR="00704F90" w:rsidRPr="00C94C6D" w:rsidRDefault="00704F90"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Rank</w:t>
            </w:r>
          </w:p>
        </w:tc>
        <w:tc>
          <w:tcPr>
            <w:tcW w:w="1042" w:type="pct"/>
            <w:tcBorders>
              <w:top w:val="single" w:sz="4" w:space="0" w:color="auto"/>
              <w:left w:val="nil"/>
              <w:bottom w:val="single" w:sz="4" w:space="0" w:color="auto"/>
              <w:right w:val="nil"/>
            </w:tcBorders>
            <w:noWrap/>
            <w:vAlign w:val="bottom"/>
            <w:hideMark/>
          </w:tcPr>
          <w:p w14:paraId="411DA4FF" w14:textId="77777777" w:rsidR="00704F90" w:rsidRPr="00C94C6D" w:rsidRDefault="00704F90"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Negara</w:t>
            </w:r>
          </w:p>
        </w:tc>
        <w:tc>
          <w:tcPr>
            <w:tcW w:w="961" w:type="pct"/>
            <w:tcBorders>
              <w:top w:val="single" w:sz="4" w:space="0" w:color="auto"/>
              <w:left w:val="nil"/>
              <w:bottom w:val="single" w:sz="4" w:space="0" w:color="auto"/>
              <w:right w:val="nil"/>
            </w:tcBorders>
            <w:noWrap/>
            <w:vAlign w:val="bottom"/>
            <w:hideMark/>
          </w:tcPr>
          <w:p w14:paraId="294FB3C3" w14:textId="77777777" w:rsidR="00704F90" w:rsidRPr="00C94C6D" w:rsidRDefault="00704F90"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NP</w:t>
            </w:r>
          </w:p>
        </w:tc>
        <w:tc>
          <w:tcPr>
            <w:tcW w:w="1032" w:type="pct"/>
            <w:tcBorders>
              <w:top w:val="single" w:sz="4" w:space="0" w:color="auto"/>
              <w:left w:val="nil"/>
              <w:bottom w:val="single" w:sz="4" w:space="0" w:color="auto"/>
              <w:right w:val="nil"/>
            </w:tcBorders>
            <w:noWrap/>
            <w:vAlign w:val="bottom"/>
            <w:hideMark/>
          </w:tcPr>
          <w:p w14:paraId="71B0139B" w14:textId="77777777" w:rsidR="00704F90" w:rsidRPr="00C94C6D" w:rsidRDefault="00704F90"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TC</w:t>
            </w:r>
          </w:p>
        </w:tc>
        <w:tc>
          <w:tcPr>
            <w:tcW w:w="1032" w:type="pct"/>
            <w:tcBorders>
              <w:top w:val="single" w:sz="4" w:space="0" w:color="auto"/>
              <w:left w:val="nil"/>
              <w:bottom w:val="single" w:sz="4" w:space="0" w:color="auto"/>
              <w:right w:val="nil"/>
            </w:tcBorders>
            <w:noWrap/>
            <w:vAlign w:val="bottom"/>
            <w:hideMark/>
          </w:tcPr>
          <w:p w14:paraId="0AED245D" w14:textId="77777777" w:rsidR="00704F90" w:rsidRPr="00C94C6D" w:rsidRDefault="00704F90"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AAC</w:t>
            </w:r>
          </w:p>
        </w:tc>
        <w:tc>
          <w:tcPr>
            <w:tcW w:w="371" w:type="pct"/>
            <w:tcBorders>
              <w:top w:val="single" w:sz="4" w:space="0" w:color="auto"/>
              <w:left w:val="nil"/>
              <w:bottom w:val="single" w:sz="4" w:space="0" w:color="auto"/>
              <w:right w:val="nil"/>
            </w:tcBorders>
            <w:noWrap/>
            <w:vAlign w:val="bottom"/>
            <w:hideMark/>
          </w:tcPr>
          <w:p w14:paraId="4698AB6C" w14:textId="77777777" w:rsidR="00704F90" w:rsidRPr="00C94C6D" w:rsidRDefault="00704F90"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FP</w:t>
            </w:r>
          </w:p>
        </w:tc>
      </w:tr>
      <w:tr w:rsidR="00704F90" w:rsidRPr="00C94C6D" w14:paraId="627A3C06" w14:textId="77777777" w:rsidTr="00704F90">
        <w:trPr>
          <w:trHeight w:val="288"/>
        </w:trPr>
        <w:tc>
          <w:tcPr>
            <w:tcW w:w="562" w:type="pct"/>
            <w:tcBorders>
              <w:top w:val="single" w:sz="4" w:space="0" w:color="auto"/>
              <w:left w:val="nil"/>
              <w:bottom w:val="nil"/>
              <w:right w:val="nil"/>
            </w:tcBorders>
            <w:noWrap/>
            <w:vAlign w:val="bottom"/>
            <w:hideMark/>
          </w:tcPr>
          <w:p w14:paraId="7D908CC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w:t>
            </w:r>
          </w:p>
        </w:tc>
        <w:tc>
          <w:tcPr>
            <w:tcW w:w="1042" w:type="pct"/>
            <w:tcBorders>
              <w:top w:val="single" w:sz="4" w:space="0" w:color="auto"/>
              <w:left w:val="nil"/>
              <w:bottom w:val="nil"/>
              <w:right w:val="nil"/>
            </w:tcBorders>
            <w:noWrap/>
            <w:vAlign w:val="bottom"/>
            <w:hideMark/>
          </w:tcPr>
          <w:p w14:paraId="2D74A7E0" w14:textId="77777777" w:rsidR="00704F90" w:rsidRPr="00C94C6D" w:rsidRDefault="00704F90" w:rsidP="00704F90">
            <w:pPr>
              <w:ind w:left="34"/>
              <w:rPr>
                <w:rFonts w:ascii="Times New Roman" w:eastAsia="Times New Roman" w:hAnsi="Times New Roman" w:cs="Times New Roman"/>
                <w:lang w:eastAsia="en-ID"/>
              </w:rPr>
            </w:pPr>
            <w:r w:rsidRPr="00C94C6D">
              <w:rPr>
                <w:rFonts w:ascii="Times New Roman" w:hAnsi="Times New Roman" w:cs="Times New Roman"/>
              </w:rPr>
              <w:t>India</w:t>
            </w:r>
          </w:p>
        </w:tc>
        <w:tc>
          <w:tcPr>
            <w:tcW w:w="961" w:type="pct"/>
            <w:tcBorders>
              <w:top w:val="single" w:sz="4" w:space="0" w:color="auto"/>
              <w:left w:val="nil"/>
              <w:bottom w:val="nil"/>
              <w:right w:val="nil"/>
            </w:tcBorders>
            <w:noWrap/>
            <w:vAlign w:val="bottom"/>
            <w:hideMark/>
          </w:tcPr>
          <w:p w14:paraId="6F58F53E"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84</w:t>
            </w:r>
          </w:p>
        </w:tc>
        <w:tc>
          <w:tcPr>
            <w:tcW w:w="1032" w:type="pct"/>
            <w:tcBorders>
              <w:top w:val="single" w:sz="4" w:space="0" w:color="auto"/>
              <w:left w:val="nil"/>
              <w:bottom w:val="nil"/>
              <w:right w:val="nil"/>
            </w:tcBorders>
            <w:noWrap/>
            <w:vAlign w:val="bottom"/>
            <w:hideMark/>
          </w:tcPr>
          <w:p w14:paraId="42C5468E"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148</w:t>
            </w:r>
          </w:p>
        </w:tc>
        <w:tc>
          <w:tcPr>
            <w:tcW w:w="1032" w:type="pct"/>
            <w:tcBorders>
              <w:top w:val="single" w:sz="4" w:space="0" w:color="auto"/>
              <w:left w:val="nil"/>
              <w:bottom w:val="nil"/>
              <w:right w:val="nil"/>
            </w:tcBorders>
            <w:noWrap/>
            <w:vAlign w:val="bottom"/>
            <w:hideMark/>
          </w:tcPr>
          <w:p w14:paraId="25309951"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9.9</w:t>
            </w:r>
          </w:p>
        </w:tc>
        <w:tc>
          <w:tcPr>
            <w:tcW w:w="371" w:type="pct"/>
            <w:tcBorders>
              <w:top w:val="single" w:sz="4" w:space="0" w:color="auto"/>
              <w:left w:val="nil"/>
              <w:bottom w:val="nil"/>
              <w:right w:val="nil"/>
            </w:tcBorders>
            <w:noWrap/>
            <w:vAlign w:val="bottom"/>
            <w:hideMark/>
          </w:tcPr>
          <w:p w14:paraId="54768933"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2003</w:t>
            </w:r>
          </w:p>
        </w:tc>
      </w:tr>
      <w:tr w:rsidR="00704F90" w:rsidRPr="00C94C6D" w14:paraId="1807ED8C" w14:textId="77777777" w:rsidTr="00704F90">
        <w:trPr>
          <w:trHeight w:val="288"/>
        </w:trPr>
        <w:tc>
          <w:tcPr>
            <w:tcW w:w="562" w:type="pct"/>
            <w:tcBorders>
              <w:top w:val="nil"/>
              <w:left w:val="nil"/>
              <w:bottom w:val="nil"/>
              <w:right w:val="nil"/>
            </w:tcBorders>
            <w:noWrap/>
            <w:vAlign w:val="bottom"/>
            <w:hideMark/>
          </w:tcPr>
          <w:p w14:paraId="065D8B8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w:t>
            </w:r>
          </w:p>
        </w:tc>
        <w:tc>
          <w:tcPr>
            <w:tcW w:w="1042" w:type="pct"/>
            <w:tcBorders>
              <w:top w:val="nil"/>
              <w:left w:val="nil"/>
              <w:bottom w:val="nil"/>
              <w:right w:val="nil"/>
            </w:tcBorders>
            <w:noWrap/>
            <w:vAlign w:val="bottom"/>
            <w:hideMark/>
          </w:tcPr>
          <w:p w14:paraId="4DBD4E65" w14:textId="77777777" w:rsidR="00704F90" w:rsidRPr="00C94C6D" w:rsidRDefault="00704F90" w:rsidP="00704F90">
            <w:pPr>
              <w:ind w:left="34"/>
              <w:rPr>
                <w:rFonts w:ascii="Times New Roman" w:eastAsia="Times New Roman" w:hAnsi="Times New Roman" w:cs="Times New Roman"/>
                <w:lang w:eastAsia="en-ID"/>
              </w:rPr>
            </w:pPr>
            <w:r w:rsidRPr="00C94C6D">
              <w:rPr>
                <w:rFonts w:ascii="Times New Roman" w:hAnsi="Times New Roman" w:cs="Times New Roman"/>
              </w:rPr>
              <w:t>Brazil</w:t>
            </w:r>
          </w:p>
        </w:tc>
        <w:tc>
          <w:tcPr>
            <w:tcW w:w="961" w:type="pct"/>
            <w:tcBorders>
              <w:top w:val="nil"/>
              <w:left w:val="nil"/>
              <w:bottom w:val="nil"/>
              <w:right w:val="nil"/>
            </w:tcBorders>
            <w:noWrap/>
            <w:vAlign w:val="bottom"/>
            <w:hideMark/>
          </w:tcPr>
          <w:p w14:paraId="7275489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59</w:t>
            </w:r>
          </w:p>
        </w:tc>
        <w:tc>
          <w:tcPr>
            <w:tcW w:w="1032" w:type="pct"/>
            <w:tcBorders>
              <w:top w:val="nil"/>
              <w:left w:val="nil"/>
              <w:bottom w:val="nil"/>
              <w:right w:val="nil"/>
            </w:tcBorders>
            <w:noWrap/>
            <w:vAlign w:val="bottom"/>
            <w:hideMark/>
          </w:tcPr>
          <w:p w14:paraId="186DAE48"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324</w:t>
            </w:r>
          </w:p>
        </w:tc>
        <w:tc>
          <w:tcPr>
            <w:tcW w:w="1032" w:type="pct"/>
            <w:tcBorders>
              <w:top w:val="nil"/>
              <w:left w:val="nil"/>
              <w:bottom w:val="nil"/>
              <w:right w:val="nil"/>
            </w:tcBorders>
            <w:noWrap/>
            <w:vAlign w:val="bottom"/>
            <w:hideMark/>
          </w:tcPr>
          <w:p w14:paraId="42C3BE46"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27.0</w:t>
            </w:r>
          </w:p>
        </w:tc>
        <w:tc>
          <w:tcPr>
            <w:tcW w:w="371" w:type="pct"/>
            <w:tcBorders>
              <w:top w:val="nil"/>
              <w:left w:val="nil"/>
              <w:bottom w:val="nil"/>
              <w:right w:val="nil"/>
            </w:tcBorders>
            <w:noWrap/>
            <w:vAlign w:val="bottom"/>
            <w:hideMark/>
          </w:tcPr>
          <w:p w14:paraId="6A674D28"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2004</w:t>
            </w:r>
          </w:p>
        </w:tc>
      </w:tr>
      <w:tr w:rsidR="00704F90" w:rsidRPr="00C94C6D" w14:paraId="5958DBAB" w14:textId="77777777" w:rsidTr="00704F90">
        <w:trPr>
          <w:trHeight w:val="288"/>
        </w:trPr>
        <w:tc>
          <w:tcPr>
            <w:tcW w:w="562" w:type="pct"/>
            <w:tcBorders>
              <w:top w:val="nil"/>
              <w:left w:val="nil"/>
              <w:bottom w:val="nil"/>
              <w:right w:val="nil"/>
            </w:tcBorders>
            <w:noWrap/>
            <w:vAlign w:val="bottom"/>
            <w:hideMark/>
          </w:tcPr>
          <w:p w14:paraId="0330CA9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3</w:t>
            </w:r>
          </w:p>
        </w:tc>
        <w:tc>
          <w:tcPr>
            <w:tcW w:w="1042" w:type="pct"/>
            <w:tcBorders>
              <w:top w:val="nil"/>
              <w:left w:val="nil"/>
              <w:bottom w:val="nil"/>
              <w:right w:val="nil"/>
            </w:tcBorders>
            <w:noWrap/>
            <w:vAlign w:val="bottom"/>
            <w:hideMark/>
          </w:tcPr>
          <w:p w14:paraId="01D79A5B" w14:textId="77777777" w:rsidR="00704F90" w:rsidRPr="00C94C6D" w:rsidRDefault="00704F90" w:rsidP="00704F90">
            <w:pPr>
              <w:ind w:left="34"/>
              <w:rPr>
                <w:rFonts w:ascii="Times New Roman" w:eastAsia="Times New Roman" w:hAnsi="Times New Roman" w:cs="Times New Roman"/>
                <w:lang w:eastAsia="en-ID"/>
              </w:rPr>
            </w:pPr>
            <w:r w:rsidRPr="00C94C6D">
              <w:rPr>
                <w:rFonts w:ascii="Times New Roman" w:hAnsi="Times New Roman" w:cs="Times New Roman"/>
              </w:rPr>
              <w:t>Spain</w:t>
            </w:r>
          </w:p>
        </w:tc>
        <w:tc>
          <w:tcPr>
            <w:tcW w:w="961" w:type="pct"/>
            <w:tcBorders>
              <w:top w:val="nil"/>
              <w:left w:val="nil"/>
              <w:bottom w:val="nil"/>
              <w:right w:val="nil"/>
            </w:tcBorders>
            <w:noWrap/>
            <w:vAlign w:val="bottom"/>
            <w:hideMark/>
          </w:tcPr>
          <w:p w14:paraId="474956B3"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48</w:t>
            </w:r>
          </w:p>
        </w:tc>
        <w:tc>
          <w:tcPr>
            <w:tcW w:w="1032" w:type="pct"/>
            <w:tcBorders>
              <w:top w:val="nil"/>
              <w:left w:val="nil"/>
              <w:bottom w:val="nil"/>
              <w:right w:val="nil"/>
            </w:tcBorders>
            <w:noWrap/>
            <w:vAlign w:val="bottom"/>
            <w:hideMark/>
          </w:tcPr>
          <w:p w14:paraId="638FDFFF"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189</w:t>
            </w:r>
          </w:p>
        </w:tc>
        <w:tc>
          <w:tcPr>
            <w:tcW w:w="1032" w:type="pct"/>
            <w:tcBorders>
              <w:top w:val="nil"/>
              <w:left w:val="nil"/>
              <w:bottom w:val="nil"/>
              <w:right w:val="nil"/>
            </w:tcBorders>
            <w:noWrap/>
            <w:vAlign w:val="bottom"/>
            <w:hideMark/>
          </w:tcPr>
          <w:p w14:paraId="21911D12"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17.2</w:t>
            </w:r>
          </w:p>
        </w:tc>
        <w:tc>
          <w:tcPr>
            <w:tcW w:w="371" w:type="pct"/>
            <w:tcBorders>
              <w:top w:val="nil"/>
              <w:left w:val="nil"/>
              <w:bottom w:val="nil"/>
              <w:right w:val="nil"/>
            </w:tcBorders>
            <w:noWrap/>
            <w:vAlign w:val="bottom"/>
            <w:hideMark/>
          </w:tcPr>
          <w:p w14:paraId="5714F07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1997</w:t>
            </w:r>
          </w:p>
        </w:tc>
      </w:tr>
      <w:tr w:rsidR="00704F90" w:rsidRPr="00C94C6D" w14:paraId="3F298419" w14:textId="77777777" w:rsidTr="00704F90">
        <w:trPr>
          <w:trHeight w:val="288"/>
        </w:trPr>
        <w:tc>
          <w:tcPr>
            <w:tcW w:w="562" w:type="pct"/>
            <w:tcBorders>
              <w:top w:val="nil"/>
              <w:left w:val="nil"/>
              <w:bottom w:val="nil"/>
              <w:right w:val="nil"/>
            </w:tcBorders>
            <w:noWrap/>
            <w:vAlign w:val="bottom"/>
            <w:hideMark/>
          </w:tcPr>
          <w:p w14:paraId="40F006F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4</w:t>
            </w:r>
          </w:p>
        </w:tc>
        <w:tc>
          <w:tcPr>
            <w:tcW w:w="1042" w:type="pct"/>
            <w:tcBorders>
              <w:top w:val="nil"/>
              <w:left w:val="nil"/>
              <w:bottom w:val="nil"/>
              <w:right w:val="nil"/>
            </w:tcBorders>
            <w:noWrap/>
            <w:vAlign w:val="bottom"/>
            <w:hideMark/>
          </w:tcPr>
          <w:p w14:paraId="5346FA88" w14:textId="77777777" w:rsidR="00704F90" w:rsidRPr="00C94C6D" w:rsidRDefault="00704F90" w:rsidP="00704F90">
            <w:pPr>
              <w:ind w:left="34"/>
              <w:rPr>
                <w:rFonts w:ascii="Times New Roman" w:eastAsia="Times New Roman" w:hAnsi="Times New Roman" w:cs="Times New Roman"/>
                <w:lang w:eastAsia="en-ID"/>
              </w:rPr>
            </w:pPr>
            <w:r w:rsidRPr="00C94C6D">
              <w:rPr>
                <w:rFonts w:ascii="Times New Roman" w:hAnsi="Times New Roman" w:cs="Times New Roman"/>
              </w:rPr>
              <w:t>France</w:t>
            </w:r>
          </w:p>
        </w:tc>
        <w:tc>
          <w:tcPr>
            <w:tcW w:w="961" w:type="pct"/>
            <w:tcBorders>
              <w:top w:val="nil"/>
              <w:left w:val="nil"/>
              <w:bottom w:val="nil"/>
              <w:right w:val="nil"/>
            </w:tcBorders>
            <w:noWrap/>
            <w:vAlign w:val="bottom"/>
            <w:hideMark/>
          </w:tcPr>
          <w:p w14:paraId="650608F9"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35</w:t>
            </w:r>
          </w:p>
        </w:tc>
        <w:tc>
          <w:tcPr>
            <w:tcW w:w="1032" w:type="pct"/>
            <w:tcBorders>
              <w:top w:val="nil"/>
              <w:left w:val="nil"/>
              <w:bottom w:val="nil"/>
              <w:right w:val="nil"/>
            </w:tcBorders>
            <w:noWrap/>
            <w:vAlign w:val="bottom"/>
            <w:hideMark/>
          </w:tcPr>
          <w:p w14:paraId="339322EE"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191</w:t>
            </w:r>
          </w:p>
        </w:tc>
        <w:tc>
          <w:tcPr>
            <w:tcW w:w="1032" w:type="pct"/>
            <w:tcBorders>
              <w:top w:val="nil"/>
              <w:left w:val="nil"/>
              <w:bottom w:val="nil"/>
              <w:right w:val="nil"/>
            </w:tcBorders>
            <w:noWrap/>
            <w:vAlign w:val="bottom"/>
            <w:hideMark/>
          </w:tcPr>
          <w:p w14:paraId="2EAFE292"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27.3</w:t>
            </w:r>
          </w:p>
        </w:tc>
        <w:tc>
          <w:tcPr>
            <w:tcW w:w="371" w:type="pct"/>
            <w:tcBorders>
              <w:top w:val="nil"/>
              <w:left w:val="nil"/>
              <w:bottom w:val="nil"/>
              <w:right w:val="nil"/>
            </w:tcBorders>
            <w:noWrap/>
            <w:vAlign w:val="bottom"/>
            <w:hideMark/>
          </w:tcPr>
          <w:p w14:paraId="2C93DA46"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1999</w:t>
            </w:r>
          </w:p>
        </w:tc>
      </w:tr>
      <w:tr w:rsidR="00704F90" w:rsidRPr="00C94C6D" w14:paraId="4FB2EB96" w14:textId="77777777" w:rsidTr="00704F90">
        <w:trPr>
          <w:trHeight w:val="288"/>
        </w:trPr>
        <w:tc>
          <w:tcPr>
            <w:tcW w:w="562" w:type="pct"/>
            <w:tcBorders>
              <w:top w:val="nil"/>
              <w:left w:val="nil"/>
              <w:bottom w:val="nil"/>
              <w:right w:val="nil"/>
            </w:tcBorders>
            <w:noWrap/>
            <w:vAlign w:val="bottom"/>
            <w:hideMark/>
          </w:tcPr>
          <w:p w14:paraId="36BD96AA"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5</w:t>
            </w:r>
          </w:p>
        </w:tc>
        <w:tc>
          <w:tcPr>
            <w:tcW w:w="1042" w:type="pct"/>
            <w:tcBorders>
              <w:top w:val="nil"/>
              <w:left w:val="nil"/>
              <w:bottom w:val="nil"/>
              <w:right w:val="nil"/>
            </w:tcBorders>
            <w:noWrap/>
            <w:vAlign w:val="bottom"/>
            <w:hideMark/>
          </w:tcPr>
          <w:p w14:paraId="2249BA99" w14:textId="77777777" w:rsidR="00704F90" w:rsidRPr="00C94C6D" w:rsidRDefault="00704F90" w:rsidP="00704F90">
            <w:pPr>
              <w:ind w:left="34"/>
              <w:rPr>
                <w:rFonts w:ascii="Times New Roman" w:eastAsia="Times New Roman" w:hAnsi="Times New Roman" w:cs="Times New Roman"/>
                <w:lang w:eastAsia="en-ID"/>
              </w:rPr>
            </w:pPr>
            <w:r w:rsidRPr="00C94C6D">
              <w:rPr>
                <w:rFonts w:ascii="Times New Roman" w:hAnsi="Times New Roman" w:cs="Times New Roman"/>
              </w:rPr>
              <w:t>China</w:t>
            </w:r>
          </w:p>
        </w:tc>
        <w:tc>
          <w:tcPr>
            <w:tcW w:w="961" w:type="pct"/>
            <w:tcBorders>
              <w:top w:val="nil"/>
              <w:left w:val="nil"/>
              <w:bottom w:val="nil"/>
              <w:right w:val="nil"/>
            </w:tcBorders>
            <w:noWrap/>
            <w:vAlign w:val="bottom"/>
            <w:hideMark/>
          </w:tcPr>
          <w:p w14:paraId="018833F6"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29</w:t>
            </w:r>
          </w:p>
        </w:tc>
        <w:tc>
          <w:tcPr>
            <w:tcW w:w="1032" w:type="pct"/>
            <w:tcBorders>
              <w:top w:val="nil"/>
              <w:left w:val="nil"/>
              <w:bottom w:val="nil"/>
              <w:right w:val="nil"/>
            </w:tcBorders>
            <w:noWrap/>
            <w:vAlign w:val="bottom"/>
            <w:hideMark/>
          </w:tcPr>
          <w:p w14:paraId="613E1691"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86</w:t>
            </w:r>
          </w:p>
        </w:tc>
        <w:tc>
          <w:tcPr>
            <w:tcW w:w="1032" w:type="pct"/>
            <w:tcBorders>
              <w:top w:val="nil"/>
              <w:left w:val="nil"/>
              <w:bottom w:val="nil"/>
              <w:right w:val="nil"/>
            </w:tcBorders>
            <w:noWrap/>
            <w:vAlign w:val="bottom"/>
            <w:hideMark/>
          </w:tcPr>
          <w:p w14:paraId="25F4AD58"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17.2</w:t>
            </w:r>
          </w:p>
        </w:tc>
        <w:tc>
          <w:tcPr>
            <w:tcW w:w="371" w:type="pct"/>
            <w:tcBorders>
              <w:top w:val="nil"/>
              <w:left w:val="nil"/>
              <w:bottom w:val="nil"/>
              <w:right w:val="nil"/>
            </w:tcBorders>
            <w:noWrap/>
            <w:vAlign w:val="bottom"/>
            <w:hideMark/>
          </w:tcPr>
          <w:p w14:paraId="36AAC0CB"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2013</w:t>
            </w:r>
          </w:p>
        </w:tc>
      </w:tr>
      <w:tr w:rsidR="00704F90" w:rsidRPr="00C94C6D" w14:paraId="35198865" w14:textId="77777777" w:rsidTr="00704F90">
        <w:trPr>
          <w:trHeight w:val="288"/>
        </w:trPr>
        <w:tc>
          <w:tcPr>
            <w:tcW w:w="562" w:type="pct"/>
            <w:tcBorders>
              <w:top w:val="nil"/>
              <w:left w:val="nil"/>
              <w:bottom w:val="nil"/>
              <w:right w:val="nil"/>
            </w:tcBorders>
            <w:noWrap/>
            <w:vAlign w:val="bottom"/>
            <w:hideMark/>
          </w:tcPr>
          <w:p w14:paraId="1E04AA0B"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6</w:t>
            </w:r>
          </w:p>
        </w:tc>
        <w:tc>
          <w:tcPr>
            <w:tcW w:w="1042" w:type="pct"/>
            <w:tcBorders>
              <w:top w:val="nil"/>
              <w:left w:val="nil"/>
              <w:bottom w:val="nil"/>
              <w:right w:val="nil"/>
            </w:tcBorders>
            <w:noWrap/>
            <w:vAlign w:val="bottom"/>
            <w:hideMark/>
          </w:tcPr>
          <w:p w14:paraId="33FC2597" w14:textId="77777777" w:rsidR="00704F90" w:rsidRPr="00C94C6D" w:rsidRDefault="00704F90" w:rsidP="00704F90">
            <w:pPr>
              <w:ind w:left="34"/>
              <w:rPr>
                <w:rFonts w:ascii="Times New Roman" w:eastAsia="Times New Roman" w:hAnsi="Times New Roman" w:cs="Times New Roman"/>
                <w:lang w:eastAsia="en-ID"/>
              </w:rPr>
            </w:pPr>
            <w:r w:rsidRPr="00C94C6D">
              <w:rPr>
                <w:rFonts w:ascii="Times New Roman" w:hAnsi="Times New Roman" w:cs="Times New Roman"/>
              </w:rPr>
              <w:t>Argentina</w:t>
            </w:r>
          </w:p>
        </w:tc>
        <w:tc>
          <w:tcPr>
            <w:tcW w:w="961" w:type="pct"/>
            <w:tcBorders>
              <w:top w:val="nil"/>
              <w:left w:val="nil"/>
              <w:bottom w:val="nil"/>
              <w:right w:val="nil"/>
            </w:tcBorders>
            <w:noWrap/>
            <w:vAlign w:val="bottom"/>
            <w:hideMark/>
          </w:tcPr>
          <w:p w14:paraId="6B3AD12B"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15</w:t>
            </w:r>
          </w:p>
        </w:tc>
        <w:tc>
          <w:tcPr>
            <w:tcW w:w="1032" w:type="pct"/>
            <w:tcBorders>
              <w:top w:val="nil"/>
              <w:left w:val="nil"/>
              <w:bottom w:val="nil"/>
              <w:right w:val="nil"/>
            </w:tcBorders>
            <w:noWrap/>
            <w:vAlign w:val="bottom"/>
            <w:hideMark/>
          </w:tcPr>
          <w:p w14:paraId="4A774B1E"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24</w:t>
            </w:r>
          </w:p>
        </w:tc>
        <w:tc>
          <w:tcPr>
            <w:tcW w:w="1032" w:type="pct"/>
            <w:tcBorders>
              <w:top w:val="nil"/>
              <w:left w:val="nil"/>
              <w:bottom w:val="nil"/>
              <w:right w:val="nil"/>
            </w:tcBorders>
            <w:noWrap/>
            <w:vAlign w:val="bottom"/>
            <w:hideMark/>
          </w:tcPr>
          <w:p w14:paraId="5D899856"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8.0</w:t>
            </w:r>
          </w:p>
        </w:tc>
        <w:tc>
          <w:tcPr>
            <w:tcW w:w="371" w:type="pct"/>
            <w:tcBorders>
              <w:top w:val="nil"/>
              <w:left w:val="nil"/>
              <w:bottom w:val="nil"/>
              <w:right w:val="nil"/>
            </w:tcBorders>
            <w:noWrap/>
            <w:vAlign w:val="bottom"/>
            <w:hideMark/>
          </w:tcPr>
          <w:p w14:paraId="02A5FE4D"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2007</w:t>
            </w:r>
          </w:p>
        </w:tc>
      </w:tr>
      <w:tr w:rsidR="00704F90" w:rsidRPr="00C94C6D" w14:paraId="65C54430" w14:textId="77777777" w:rsidTr="00704F90">
        <w:trPr>
          <w:trHeight w:val="288"/>
        </w:trPr>
        <w:tc>
          <w:tcPr>
            <w:tcW w:w="562" w:type="pct"/>
            <w:tcBorders>
              <w:top w:val="nil"/>
              <w:left w:val="nil"/>
              <w:bottom w:val="nil"/>
              <w:right w:val="nil"/>
            </w:tcBorders>
            <w:noWrap/>
            <w:vAlign w:val="bottom"/>
            <w:hideMark/>
          </w:tcPr>
          <w:p w14:paraId="2F925BEB"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7</w:t>
            </w:r>
          </w:p>
        </w:tc>
        <w:tc>
          <w:tcPr>
            <w:tcW w:w="1042" w:type="pct"/>
            <w:tcBorders>
              <w:top w:val="nil"/>
              <w:left w:val="nil"/>
              <w:bottom w:val="nil"/>
              <w:right w:val="nil"/>
            </w:tcBorders>
            <w:noWrap/>
            <w:vAlign w:val="bottom"/>
            <w:hideMark/>
          </w:tcPr>
          <w:p w14:paraId="1CDD0CF5" w14:textId="77777777" w:rsidR="00704F90" w:rsidRPr="00C94C6D" w:rsidRDefault="00704F90" w:rsidP="00704F90">
            <w:pPr>
              <w:ind w:left="34"/>
              <w:rPr>
                <w:rFonts w:ascii="Times New Roman" w:eastAsia="Times New Roman" w:hAnsi="Times New Roman" w:cs="Times New Roman"/>
                <w:lang w:eastAsia="en-ID"/>
              </w:rPr>
            </w:pPr>
            <w:r w:rsidRPr="00C94C6D">
              <w:rPr>
                <w:rFonts w:ascii="Times New Roman" w:hAnsi="Times New Roman" w:cs="Times New Roman"/>
              </w:rPr>
              <w:t>Hungary</w:t>
            </w:r>
          </w:p>
        </w:tc>
        <w:tc>
          <w:tcPr>
            <w:tcW w:w="961" w:type="pct"/>
            <w:tcBorders>
              <w:top w:val="nil"/>
              <w:left w:val="nil"/>
              <w:bottom w:val="nil"/>
              <w:right w:val="nil"/>
            </w:tcBorders>
            <w:noWrap/>
            <w:vAlign w:val="bottom"/>
            <w:hideMark/>
          </w:tcPr>
          <w:p w14:paraId="6746CA86"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15</w:t>
            </w:r>
          </w:p>
        </w:tc>
        <w:tc>
          <w:tcPr>
            <w:tcW w:w="1032" w:type="pct"/>
            <w:tcBorders>
              <w:top w:val="nil"/>
              <w:left w:val="nil"/>
              <w:bottom w:val="nil"/>
              <w:right w:val="nil"/>
            </w:tcBorders>
            <w:noWrap/>
            <w:vAlign w:val="bottom"/>
            <w:hideMark/>
          </w:tcPr>
          <w:p w14:paraId="21D4676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33</w:t>
            </w:r>
          </w:p>
        </w:tc>
        <w:tc>
          <w:tcPr>
            <w:tcW w:w="1032" w:type="pct"/>
            <w:tcBorders>
              <w:top w:val="nil"/>
              <w:left w:val="nil"/>
              <w:bottom w:val="nil"/>
              <w:right w:val="nil"/>
            </w:tcBorders>
            <w:noWrap/>
            <w:vAlign w:val="bottom"/>
            <w:hideMark/>
          </w:tcPr>
          <w:p w14:paraId="6C8E888B"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11.0</w:t>
            </w:r>
          </w:p>
        </w:tc>
        <w:tc>
          <w:tcPr>
            <w:tcW w:w="371" w:type="pct"/>
            <w:tcBorders>
              <w:top w:val="nil"/>
              <w:left w:val="nil"/>
              <w:bottom w:val="nil"/>
              <w:right w:val="nil"/>
            </w:tcBorders>
            <w:noWrap/>
            <w:vAlign w:val="bottom"/>
            <w:hideMark/>
          </w:tcPr>
          <w:p w14:paraId="33191EF4"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2006</w:t>
            </w:r>
          </w:p>
        </w:tc>
      </w:tr>
      <w:tr w:rsidR="00704F90" w:rsidRPr="00C94C6D" w14:paraId="5FB15EFF" w14:textId="77777777" w:rsidTr="00704F90">
        <w:trPr>
          <w:trHeight w:val="288"/>
        </w:trPr>
        <w:tc>
          <w:tcPr>
            <w:tcW w:w="562" w:type="pct"/>
            <w:tcBorders>
              <w:top w:val="nil"/>
              <w:left w:val="nil"/>
              <w:bottom w:val="nil"/>
              <w:right w:val="nil"/>
            </w:tcBorders>
            <w:noWrap/>
            <w:vAlign w:val="bottom"/>
            <w:hideMark/>
          </w:tcPr>
          <w:p w14:paraId="5BD5E59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8</w:t>
            </w:r>
          </w:p>
        </w:tc>
        <w:tc>
          <w:tcPr>
            <w:tcW w:w="1042" w:type="pct"/>
            <w:tcBorders>
              <w:top w:val="nil"/>
              <w:left w:val="nil"/>
              <w:bottom w:val="nil"/>
              <w:right w:val="nil"/>
            </w:tcBorders>
            <w:noWrap/>
            <w:vAlign w:val="bottom"/>
            <w:hideMark/>
          </w:tcPr>
          <w:p w14:paraId="37D4B661" w14:textId="77777777" w:rsidR="00704F90" w:rsidRPr="00C94C6D" w:rsidRDefault="00704F90" w:rsidP="00704F90">
            <w:pPr>
              <w:ind w:left="34"/>
              <w:rPr>
                <w:rFonts w:ascii="Times New Roman" w:eastAsia="Times New Roman" w:hAnsi="Times New Roman" w:cs="Times New Roman"/>
                <w:lang w:eastAsia="en-ID"/>
              </w:rPr>
            </w:pPr>
            <w:r w:rsidRPr="00C94C6D">
              <w:rPr>
                <w:rFonts w:ascii="Times New Roman" w:hAnsi="Times New Roman" w:cs="Times New Roman"/>
              </w:rPr>
              <w:t>Mexico</w:t>
            </w:r>
          </w:p>
        </w:tc>
        <w:tc>
          <w:tcPr>
            <w:tcW w:w="961" w:type="pct"/>
            <w:tcBorders>
              <w:top w:val="nil"/>
              <w:left w:val="nil"/>
              <w:bottom w:val="nil"/>
              <w:right w:val="nil"/>
            </w:tcBorders>
            <w:noWrap/>
            <w:vAlign w:val="bottom"/>
            <w:hideMark/>
          </w:tcPr>
          <w:p w14:paraId="766584BF"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14</w:t>
            </w:r>
          </w:p>
        </w:tc>
        <w:tc>
          <w:tcPr>
            <w:tcW w:w="1032" w:type="pct"/>
            <w:tcBorders>
              <w:top w:val="nil"/>
              <w:left w:val="nil"/>
              <w:bottom w:val="nil"/>
              <w:right w:val="nil"/>
            </w:tcBorders>
            <w:noWrap/>
            <w:vAlign w:val="bottom"/>
            <w:hideMark/>
          </w:tcPr>
          <w:p w14:paraId="2FA2879A"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15</w:t>
            </w:r>
          </w:p>
        </w:tc>
        <w:tc>
          <w:tcPr>
            <w:tcW w:w="1032" w:type="pct"/>
            <w:tcBorders>
              <w:top w:val="nil"/>
              <w:left w:val="nil"/>
              <w:bottom w:val="nil"/>
              <w:right w:val="nil"/>
            </w:tcBorders>
            <w:noWrap/>
            <w:vAlign w:val="bottom"/>
            <w:hideMark/>
          </w:tcPr>
          <w:p w14:paraId="0938EE4C"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7.5</w:t>
            </w:r>
          </w:p>
        </w:tc>
        <w:tc>
          <w:tcPr>
            <w:tcW w:w="371" w:type="pct"/>
            <w:tcBorders>
              <w:top w:val="nil"/>
              <w:left w:val="nil"/>
              <w:bottom w:val="nil"/>
              <w:right w:val="nil"/>
            </w:tcBorders>
            <w:noWrap/>
            <w:vAlign w:val="bottom"/>
            <w:hideMark/>
          </w:tcPr>
          <w:p w14:paraId="681A9ACB"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2008</w:t>
            </w:r>
          </w:p>
        </w:tc>
      </w:tr>
      <w:tr w:rsidR="00704F90" w:rsidRPr="00C94C6D" w14:paraId="6ED65443" w14:textId="77777777" w:rsidTr="00704F90">
        <w:trPr>
          <w:trHeight w:val="288"/>
        </w:trPr>
        <w:tc>
          <w:tcPr>
            <w:tcW w:w="562" w:type="pct"/>
            <w:tcBorders>
              <w:top w:val="nil"/>
              <w:left w:val="nil"/>
              <w:right w:val="nil"/>
            </w:tcBorders>
            <w:noWrap/>
            <w:vAlign w:val="bottom"/>
            <w:hideMark/>
          </w:tcPr>
          <w:p w14:paraId="32964324"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9</w:t>
            </w:r>
          </w:p>
        </w:tc>
        <w:tc>
          <w:tcPr>
            <w:tcW w:w="1042" w:type="pct"/>
            <w:tcBorders>
              <w:top w:val="nil"/>
              <w:left w:val="nil"/>
              <w:right w:val="nil"/>
            </w:tcBorders>
            <w:noWrap/>
            <w:vAlign w:val="bottom"/>
            <w:hideMark/>
          </w:tcPr>
          <w:p w14:paraId="499A8223" w14:textId="77777777" w:rsidR="00704F90" w:rsidRPr="00C94C6D" w:rsidRDefault="00704F90" w:rsidP="00704F90">
            <w:pPr>
              <w:ind w:left="34"/>
              <w:rPr>
                <w:rFonts w:ascii="Times New Roman" w:eastAsia="Times New Roman" w:hAnsi="Times New Roman" w:cs="Times New Roman"/>
                <w:lang w:eastAsia="en-ID"/>
              </w:rPr>
            </w:pPr>
            <w:r w:rsidRPr="00C94C6D">
              <w:rPr>
                <w:rFonts w:ascii="Times New Roman" w:hAnsi="Times New Roman" w:cs="Times New Roman"/>
              </w:rPr>
              <w:t>Thailand</w:t>
            </w:r>
          </w:p>
        </w:tc>
        <w:tc>
          <w:tcPr>
            <w:tcW w:w="961" w:type="pct"/>
            <w:tcBorders>
              <w:top w:val="nil"/>
              <w:left w:val="nil"/>
              <w:right w:val="nil"/>
            </w:tcBorders>
            <w:noWrap/>
            <w:vAlign w:val="bottom"/>
            <w:hideMark/>
          </w:tcPr>
          <w:p w14:paraId="477F4C2F"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12</w:t>
            </w:r>
          </w:p>
        </w:tc>
        <w:tc>
          <w:tcPr>
            <w:tcW w:w="1032" w:type="pct"/>
            <w:tcBorders>
              <w:top w:val="nil"/>
              <w:left w:val="nil"/>
              <w:right w:val="nil"/>
            </w:tcBorders>
            <w:noWrap/>
            <w:vAlign w:val="bottom"/>
            <w:hideMark/>
          </w:tcPr>
          <w:p w14:paraId="799A8E3F"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4</w:t>
            </w:r>
          </w:p>
        </w:tc>
        <w:tc>
          <w:tcPr>
            <w:tcW w:w="1032" w:type="pct"/>
            <w:tcBorders>
              <w:top w:val="nil"/>
              <w:left w:val="nil"/>
              <w:right w:val="nil"/>
            </w:tcBorders>
            <w:noWrap/>
            <w:vAlign w:val="bottom"/>
            <w:hideMark/>
          </w:tcPr>
          <w:p w14:paraId="39500BA9"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2.0</w:t>
            </w:r>
          </w:p>
        </w:tc>
        <w:tc>
          <w:tcPr>
            <w:tcW w:w="371" w:type="pct"/>
            <w:tcBorders>
              <w:top w:val="nil"/>
              <w:left w:val="nil"/>
              <w:right w:val="nil"/>
            </w:tcBorders>
            <w:noWrap/>
            <w:vAlign w:val="bottom"/>
            <w:hideMark/>
          </w:tcPr>
          <w:p w14:paraId="4EDC2723"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2014</w:t>
            </w:r>
          </w:p>
        </w:tc>
      </w:tr>
      <w:tr w:rsidR="00704F90" w:rsidRPr="00C94C6D" w14:paraId="406A6ED0" w14:textId="77777777" w:rsidTr="00704F90">
        <w:trPr>
          <w:trHeight w:val="288"/>
        </w:trPr>
        <w:tc>
          <w:tcPr>
            <w:tcW w:w="562" w:type="pct"/>
            <w:tcBorders>
              <w:top w:val="nil"/>
              <w:left w:val="nil"/>
              <w:bottom w:val="single" w:sz="4" w:space="0" w:color="auto"/>
              <w:right w:val="nil"/>
            </w:tcBorders>
            <w:noWrap/>
            <w:vAlign w:val="bottom"/>
            <w:hideMark/>
          </w:tcPr>
          <w:p w14:paraId="2F6B736B"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10</w:t>
            </w:r>
          </w:p>
        </w:tc>
        <w:tc>
          <w:tcPr>
            <w:tcW w:w="1042" w:type="pct"/>
            <w:tcBorders>
              <w:top w:val="nil"/>
              <w:left w:val="nil"/>
              <w:bottom w:val="single" w:sz="4" w:space="0" w:color="auto"/>
              <w:right w:val="nil"/>
            </w:tcBorders>
            <w:noWrap/>
            <w:vAlign w:val="bottom"/>
            <w:hideMark/>
          </w:tcPr>
          <w:p w14:paraId="4837AB0F" w14:textId="77777777" w:rsidR="00704F90" w:rsidRPr="00C94C6D" w:rsidRDefault="00704F90" w:rsidP="00704F90">
            <w:pPr>
              <w:ind w:left="34"/>
              <w:rPr>
                <w:rFonts w:ascii="Times New Roman" w:eastAsia="Times New Roman" w:hAnsi="Times New Roman" w:cs="Times New Roman"/>
                <w:lang w:eastAsia="en-ID"/>
              </w:rPr>
            </w:pPr>
            <w:r w:rsidRPr="00C94C6D">
              <w:rPr>
                <w:rFonts w:ascii="Times New Roman" w:hAnsi="Times New Roman" w:cs="Times New Roman"/>
              </w:rPr>
              <w:t>Malaysia</w:t>
            </w:r>
          </w:p>
        </w:tc>
        <w:tc>
          <w:tcPr>
            <w:tcW w:w="961" w:type="pct"/>
            <w:tcBorders>
              <w:top w:val="nil"/>
              <w:left w:val="nil"/>
              <w:bottom w:val="single" w:sz="4" w:space="0" w:color="auto"/>
              <w:right w:val="nil"/>
            </w:tcBorders>
            <w:noWrap/>
            <w:vAlign w:val="bottom"/>
            <w:hideMark/>
          </w:tcPr>
          <w:p w14:paraId="1AAA3A77"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11</w:t>
            </w:r>
          </w:p>
        </w:tc>
        <w:tc>
          <w:tcPr>
            <w:tcW w:w="1032" w:type="pct"/>
            <w:tcBorders>
              <w:top w:val="nil"/>
              <w:left w:val="nil"/>
              <w:bottom w:val="single" w:sz="4" w:space="0" w:color="auto"/>
              <w:right w:val="nil"/>
            </w:tcBorders>
            <w:noWrap/>
            <w:vAlign w:val="bottom"/>
            <w:hideMark/>
          </w:tcPr>
          <w:p w14:paraId="0F919CCF"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43</w:t>
            </w:r>
          </w:p>
        </w:tc>
        <w:tc>
          <w:tcPr>
            <w:tcW w:w="1032" w:type="pct"/>
            <w:tcBorders>
              <w:top w:val="nil"/>
              <w:left w:val="nil"/>
              <w:bottom w:val="single" w:sz="4" w:space="0" w:color="auto"/>
              <w:right w:val="nil"/>
            </w:tcBorders>
            <w:noWrap/>
            <w:vAlign w:val="bottom"/>
            <w:hideMark/>
          </w:tcPr>
          <w:p w14:paraId="60395FCE"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21.5</w:t>
            </w:r>
          </w:p>
        </w:tc>
        <w:tc>
          <w:tcPr>
            <w:tcW w:w="371" w:type="pct"/>
            <w:tcBorders>
              <w:top w:val="nil"/>
              <w:left w:val="nil"/>
              <w:bottom w:val="single" w:sz="4" w:space="0" w:color="auto"/>
              <w:right w:val="nil"/>
            </w:tcBorders>
            <w:noWrap/>
            <w:vAlign w:val="bottom"/>
            <w:hideMark/>
          </w:tcPr>
          <w:p w14:paraId="141D3AEE"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hAnsi="Times New Roman" w:cs="Times New Roman"/>
              </w:rPr>
              <w:t>2019</w:t>
            </w:r>
          </w:p>
        </w:tc>
      </w:tr>
    </w:tbl>
    <w:p w14:paraId="6536C68D" w14:textId="77777777" w:rsidR="004269A5" w:rsidRPr="00F45A84" w:rsidRDefault="004269A5" w:rsidP="004269A5">
      <w:pPr>
        <w:tabs>
          <w:tab w:val="left" w:pos="2831"/>
        </w:tabs>
        <w:spacing w:before="240"/>
        <w:ind w:left="1560"/>
        <w:jc w:val="both"/>
        <w:rPr>
          <w:rFonts w:cs="Times New Roman"/>
          <w:i/>
          <w:iCs/>
          <w:sz w:val="24"/>
          <w:szCs w:val="24"/>
        </w:rPr>
      </w:pPr>
      <w:r w:rsidRPr="00F45A84">
        <w:rPr>
          <w:rFonts w:cs="Times New Roman"/>
          <w:i/>
          <w:iCs/>
          <w:sz w:val="24"/>
          <w:szCs w:val="24"/>
        </w:rPr>
        <w:t>NP=total number of publications, TC=total citations, AAC=average number of citations per article, FP=year of first publication</w:t>
      </w:r>
    </w:p>
    <w:p w14:paraId="016BF56E" w14:textId="77777777" w:rsidR="004269A5" w:rsidRPr="00F45A84" w:rsidRDefault="004269A5" w:rsidP="004269A5">
      <w:pPr>
        <w:tabs>
          <w:tab w:val="left" w:pos="2831"/>
        </w:tabs>
        <w:spacing w:before="240"/>
        <w:ind w:left="1560"/>
        <w:jc w:val="both"/>
        <w:rPr>
          <w:rFonts w:cs="Times New Roman"/>
          <w:i/>
          <w:iCs/>
          <w:sz w:val="24"/>
          <w:szCs w:val="24"/>
        </w:rPr>
      </w:pPr>
      <w:r w:rsidRPr="00F45A84">
        <w:rPr>
          <w:rFonts w:cs="Times New Roman"/>
          <w:i/>
          <w:iCs/>
          <w:noProof/>
          <w:sz w:val="24"/>
          <w:szCs w:val="24"/>
        </w:rPr>
        <w:lastRenderedPageBreak/>
        <w:drawing>
          <wp:inline distT="0" distB="0" distL="0" distR="0" wp14:anchorId="39400CE4" wp14:editId="693B665C">
            <wp:extent cx="5731510" cy="2430045"/>
            <wp:effectExtent l="0" t="0" r="2540" b="8890"/>
            <wp:docPr id="516257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57611" name="Picture 516257611"/>
                    <pic:cNvPicPr/>
                  </pic:nvPicPr>
                  <pic:blipFill rotWithShape="1">
                    <a:blip r:embed="rId16" cstate="print">
                      <a:extLst>
                        <a:ext uri="{28A0092B-C50C-407E-A947-70E740481C1C}">
                          <a14:useLocalDpi xmlns:a14="http://schemas.microsoft.com/office/drawing/2010/main" val="0"/>
                        </a:ext>
                      </a:extLst>
                    </a:blip>
                    <a:srcRect t="28202"/>
                    <a:stretch>
                      <a:fillRect/>
                    </a:stretch>
                  </pic:blipFill>
                  <pic:spPr bwMode="auto">
                    <a:xfrm>
                      <a:off x="0" y="0"/>
                      <a:ext cx="5731510" cy="2430045"/>
                    </a:xfrm>
                    <a:prstGeom prst="rect">
                      <a:avLst/>
                    </a:prstGeom>
                    <a:ln>
                      <a:noFill/>
                    </a:ln>
                    <a:extLst>
                      <a:ext uri="{53640926-AAD7-44D8-BBD7-CCE9431645EC}">
                        <a14:shadowObscured xmlns:a14="http://schemas.microsoft.com/office/drawing/2010/main"/>
                      </a:ext>
                    </a:extLst>
                  </pic:spPr>
                </pic:pic>
              </a:graphicData>
            </a:graphic>
          </wp:inline>
        </w:drawing>
      </w:r>
    </w:p>
    <w:p w14:paraId="25B32726" w14:textId="77777777" w:rsidR="004269A5" w:rsidRPr="00F45A84" w:rsidRDefault="004269A5" w:rsidP="004269A5">
      <w:pPr>
        <w:spacing w:before="240"/>
        <w:ind w:left="1560"/>
        <w:jc w:val="both"/>
        <w:rPr>
          <w:rFonts w:cs="Times New Roman"/>
          <w:sz w:val="24"/>
          <w:szCs w:val="24"/>
        </w:rPr>
      </w:pPr>
      <w:r w:rsidRPr="00F45A84">
        <w:rPr>
          <w:rFonts w:cs="Times New Roman"/>
          <w:b/>
          <w:bCs/>
          <w:sz w:val="24"/>
          <w:szCs w:val="24"/>
        </w:rPr>
        <w:t xml:space="preserve">Figure 4. </w:t>
      </w:r>
      <w:r w:rsidRPr="00F45A84">
        <w:rPr>
          <w:rFonts w:cs="Times New Roman"/>
          <w:sz w:val="24"/>
          <w:szCs w:val="24"/>
        </w:rPr>
        <w:t>Co-authorship networks of countries</w:t>
      </w:r>
    </w:p>
    <w:p w14:paraId="64F19A65" w14:textId="77777777" w:rsidR="004269A5" w:rsidRPr="00F45A84" w:rsidRDefault="004269A5" w:rsidP="004269A5">
      <w:pPr>
        <w:tabs>
          <w:tab w:val="left" w:pos="2831"/>
        </w:tabs>
        <w:spacing w:before="240"/>
        <w:ind w:left="1560"/>
        <w:jc w:val="both"/>
        <w:rPr>
          <w:rFonts w:cs="Times New Roman"/>
          <w:sz w:val="24"/>
          <w:szCs w:val="24"/>
        </w:rPr>
      </w:pPr>
      <w:r w:rsidRPr="00F45A84">
        <w:rPr>
          <w:rFonts w:cs="Times New Roman"/>
          <w:sz w:val="24"/>
          <w:szCs w:val="24"/>
        </w:rPr>
        <w:t>Based on Figure 4, the inter-country co-authorship network in Model Predictive Control (MPC) research on the sugar industry exhibits a sparse and poorly clustered structure. Only a few countries are interconnected, indicating that most publications are still conducted within the national scope. India emerges as the most dominant node, but its international connections are relatively limited, reflecting its high domestic productivity rather than global collaboration.</w:t>
      </w:r>
    </w:p>
    <w:p w14:paraId="23BD05DF" w14:textId="77777777" w:rsidR="004269A5" w:rsidRPr="00F45A84" w:rsidRDefault="004269A5" w:rsidP="004269A5">
      <w:pPr>
        <w:tabs>
          <w:tab w:val="left" w:pos="2831"/>
        </w:tabs>
        <w:spacing w:before="240"/>
        <w:ind w:left="1560"/>
        <w:jc w:val="both"/>
        <w:rPr>
          <w:rFonts w:cs="Times New Roman"/>
          <w:sz w:val="24"/>
          <w:szCs w:val="24"/>
        </w:rPr>
      </w:pPr>
      <w:r w:rsidRPr="00F45A84">
        <w:rPr>
          <w:rFonts w:cs="Times New Roman"/>
          <w:sz w:val="24"/>
          <w:szCs w:val="24"/>
        </w:rPr>
        <w:t xml:space="preserve">In Europe, separate collaboration pathways are observed between Denmark, Italy, Poland, and the United Kingdom, forming a linear, low-intensity network. This pattern indicates that MPC research collaboration in the sugar industry tends to take place within specific regional or project-based research groups, rather than within broad international networks. This is consistent with the nature of MPC research, which is often developed based on case studies of specific sugar mills and local process conditions </w:t>
      </w:r>
      <w:r w:rsidRPr="00F45A84">
        <w:rPr>
          <w:rFonts w:cs="Times New Roman"/>
          <w:sz w:val="24"/>
          <w:szCs w:val="24"/>
        </w:rPr>
        <w:fldChar w:fldCharType="begin"/>
      </w:r>
      <w:r w:rsidRPr="00F45A84">
        <w:rPr>
          <w:rFonts w:cs="Times New Roman"/>
          <w:sz w:val="24"/>
          <w:szCs w:val="24"/>
        </w:rPr>
        <w:instrText xml:space="preserve"> ADDIN ZOTERO_ITEM CSL_CITATION {"citationID":"JgkYmeIT","properties":{"formattedCitation":"(Qin &amp; Badgwell, 2003; Sujatha et al., 2022)","plainCitation":"(Qin &amp; Badgwell, 2003; Sujatha et al., 2022)","noteIndex":0},"citationItems":[{"id":18747,"uris":["http://zotero.org/users/12817968/items/CPJ2ATBW"],"itemData":{"id":18747,"type":"article-journal","container-title":"Control Engineering Practice","DOI":"10.1016/S0967-0661(02)00186-7","ISSN":"09670661","issue":"7","journalAbbreviation":"Control Engineering Practice","language":"en","license":"https://www.elsevier.com/tdm/userlicense/1.0/","page":"733-764","source":"DOI.org (Crossref)","title":"A survey of industrial model predictive control technology","volume":"11","author":[{"family":"Qin","given":"S.Joe"},{"family":"Badgwell","given":"Thomas A."}],"issued":{"date-parts":[["2003",7]]}}},{"id":18748,"uris":["http://zotero.org/users/12817968/items/HZVBFVCC"],"itemData":{"id":18748,"type":"chapter","container-title":"Smart Trends in Computing and Communications","event-place":"Singapore","ISBN":"978-981-16-4015-5","language":"en","note":"collection-title: Lecture Notes in Networks and Systems\nDOI: 10.1007/978-981-16-4016-2_39","page":"419-426","publisher":"Springer Singapore","publisher-place":"Singapore","source":"DOI.org (Crossref)","title":"Predictive Model-based Analytics to Control Drying Process in a Sugar Industry","URL":"https://link.springer.com/10.1007/978-981-16-4016-2_39","volume":"286","editor":[{"family":"Zhang","given":"Yu-Dong"},{"family":"Senjyu","given":"Tomonobu"},{"family":"So-In","given":"Chakchai"},{"family":"Joshi","given":"Amit"}],"author":[{"family":"Sujatha","given":"K."},{"family":"Nalinashini","given":"G."},{"family":"Ganesan","given":"B. A."},{"family":"Jayachitra","given":"N."},{"family":"Sankari","given":"Rengammal"},{"family":"Kalaivani","given":"A."},{"family":"Sendilvelan","given":"S."}],"accessed":{"date-parts":[["2025",12,19]]},"issued":{"date-parts":[["2022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(Qin &amp; Badgwell, 2003; Sujatha et al., 2022) </w:t>
      </w:r>
      <w:r w:rsidRPr="00F45A84">
        <w:rPr>
          <w:rFonts w:cs="Times New Roman"/>
          <w:sz w:val="24"/>
          <w:szCs w:val="24"/>
        </w:rPr>
        <w:fldChar w:fldCharType="end"/>
      </w:r>
      <w:r w:rsidRPr="00F45A84">
        <w:rPr>
          <w:rFonts w:cs="Times New Roman"/>
          <w:sz w:val="24"/>
          <w:szCs w:val="24"/>
        </w:rPr>
        <w:t>.</w:t>
      </w:r>
    </w:p>
    <w:p w14:paraId="259710D5" w14:textId="77777777" w:rsidR="004269A5" w:rsidRPr="00F45A84" w:rsidRDefault="004269A5" w:rsidP="004269A5">
      <w:pPr>
        <w:tabs>
          <w:tab w:val="left" w:pos="2831"/>
        </w:tabs>
        <w:spacing w:before="240"/>
        <w:ind w:left="1560"/>
        <w:jc w:val="both"/>
        <w:rPr>
          <w:rFonts w:cs="Times New Roman"/>
          <w:sz w:val="24"/>
          <w:szCs w:val="24"/>
        </w:rPr>
      </w:pPr>
      <w:r w:rsidRPr="00F45A84">
        <w:rPr>
          <w:rFonts w:cs="Times New Roman"/>
          <w:sz w:val="24"/>
          <w:szCs w:val="24"/>
        </w:rPr>
        <w:t>Overall, this visualization confirms that the level of international collaboration remains low, consistent with the 15.32% international co-authorship percentage. This finding suggests significant opportunities to expand cross-national collaboration, particularly between high-productivity and high-citation impact countries, to improve the quality, visibility, and generalizability of MPC research in the sugar industry.</w:t>
      </w:r>
    </w:p>
    <w:p w14:paraId="2F6D8689" w14:textId="77777777" w:rsidR="004269A5" w:rsidRPr="00F45A84" w:rsidRDefault="004269A5" w:rsidP="004269A5">
      <w:pPr>
        <w:spacing w:before="240"/>
        <w:ind w:left="1560"/>
        <w:jc w:val="both"/>
        <w:rPr>
          <w:rFonts w:cs="Times New Roman"/>
          <w:b/>
          <w:bCs/>
          <w:sz w:val="24"/>
          <w:szCs w:val="24"/>
        </w:rPr>
      </w:pPr>
      <w:r w:rsidRPr="00F45A84">
        <w:rPr>
          <w:rFonts w:cs="Times New Roman"/>
          <w:b/>
          <w:bCs/>
          <w:sz w:val="24"/>
          <w:szCs w:val="24"/>
        </w:rPr>
        <w:t>The most contributing institutions</w:t>
      </w:r>
    </w:p>
    <w:p w14:paraId="17CEF05E"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Based on Table 3, the University of Valladolid (Spain) is the most productive institution in Model Predictive Control (MPC) research in the sugar industry, with a total of 12 publications and continuous contributions since 1997. This consistency is also clearly visible in Figure 5, which shows a gradual increasing trend over time. The dominance of the University of Valladolid reflects the strength of the process control research group in Spain, especially in the development of nonlinear MPC and its application to energy- and food-based industrial processes, including the sugar industry </w:t>
      </w:r>
      <w:r w:rsidRPr="00F45A84">
        <w:rPr>
          <w:rFonts w:cs="Times New Roman"/>
          <w:sz w:val="24"/>
          <w:szCs w:val="24"/>
        </w:rPr>
        <w:fldChar w:fldCharType="begin"/>
      </w:r>
      <w:r w:rsidRPr="00F45A84">
        <w:rPr>
          <w:rFonts w:cs="Times New Roman"/>
          <w:sz w:val="24"/>
          <w:szCs w:val="24"/>
        </w:rPr>
        <w:instrText xml:space="preserve"> ADDIN ZOTERO_ITEM CSL_CITATION {"citationID":"aGFnbDHe","properties":{"formattedCitation":"(Mazaeda et al., 2020; Zamarre\\uc0\\u241{}o et al., 2000; Zamarre\\uc0\\u241{}o &amp; Vega, 1999)","plainCitation":"(Mazaeda et al., 2020; Zamarreño et al., 2000; Zamarreño &amp; Vega, 1999)","noteIndex":0},"citationItems":[{"id":18764,"uris":["http://zotero.org/users/12817968/items/859ADSMN"],"itemData":{"id":18764,"type":"article-journal","abstract":"Summary\n            This paper deals with the optimal operation of processes that combine batch and continuous units. The proposed approach is based on a hierarchical architecture with two layers. The lower layer manages the optimal operation of the batch units in a noncentralized fashion, whereas the upper layer is concerned with the scheduling of the batch units and with their smooth integration with the continuous ones. The strategy has been applied to a challenging problem found at the interface of the fed</w:instrText>
      </w:r>
      <w:r w:rsidRPr="00F45A84">
        <w:rPr>
          <w:rFonts w:ascii="Cambria Math" w:hAnsi="Cambria Math" w:cs="Cambria Math"/>
          <w:sz w:val="24"/>
          <w:szCs w:val="24"/>
        </w:rPr>
        <w:instrText>‐</w:instrText>
      </w:r>
      <w:r w:rsidRPr="00F45A84">
        <w:rPr>
          <w:rFonts w:cs="Times New Roman"/>
          <w:sz w:val="24"/>
          <w:szCs w:val="24"/>
        </w:rPr>
        <w:instrText>batch crystallizers with the upstream evaporation section in beet sugar factories. The presented approach aims at designing a system that can effectively perform the plantwide economic optimization, specifically addressing the issue of energy efficiency, while complying with all process and operational constraints.","container-title":"Optimal Control Applications and Methods","DOI":"10.1002/oca.2535","ISSN":"0143-2087, 1099-1514","issue":"1","journalAbbreviation":"Optim Control Appl Methods","language":"en","page":"190-214","source":"DOI.org (Crossref)","title":"Hierarchically coordinated economic MPC plantwide control of mixed continuous</w:instrText>
      </w:r>
      <w:r w:rsidRPr="00F45A84">
        <w:rPr>
          <w:rFonts w:ascii="Cambria Math" w:hAnsi="Cambria Math" w:cs="Cambria Math"/>
          <w:sz w:val="24"/>
          <w:szCs w:val="24"/>
        </w:rPr>
        <w:instrText>‐</w:instrText>
      </w:r>
      <w:r w:rsidRPr="00F45A84">
        <w:rPr>
          <w:rFonts w:cs="Times New Roman"/>
          <w:sz w:val="24"/>
          <w:szCs w:val="24"/>
        </w:rPr>
        <w:instrText>batch units in process industries with application to a beet sugar plant","volume":"41","author":[{"family":"Mazaeda","given":"Rogelio"},{"family":"Cristea","given":"Smaranda P."},{"family":"De Prada","given":"C</w:instrText>
      </w:r>
      <w:r w:rsidRPr="00F45A84">
        <w:rPr>
          <w:sz w:val="24"/>
          <w:szCs w:val="24"/>
        </w:rPr>
        <w:instrText>é</w:instrText>
      </w:r>
      <w:r w:rsidRPr="00F45A84">
        <w:rPr>
          <w:rFonts w:cs="Times New Roman"/>
          <w:sz w:val="24"/>
          <w:szCs w:val="24"/>
        </w:rPr>
        <w:instrText xml:space="preserve">sar"}],"issued":{"date-parts":[["2020",1]]}}},{"id":18765,"uris":["http://zotero.org/users/12817968/items/43HHIWUJ"],"itemData":{"id":18765,"type":"article-journal","container-title":"Control Engineering Practice","DOI":"10.1016/S0967-0661(00)00045-9","ISSN":"09670661","issue":"9","journalAbbreviation":"Control Engineering Practice","language":"en","license":"https://www.elsevier.com/tdm/userlicense/1.0/","page":"1063-1075","source":"DOI.org (Crossref)","title":"State-space neural network for modelling, prediction and control","volume":"8","author":[{"family":"Zamarreño","given":"J.M"},{"family":"Vega","given":"P"},{"family":"Garcı́a","given":"L.D"},{"family":"Francisco","given":"M"}],"issued":{"date-parts":[["2000",9]]}}},{"id":18738,"uris":["http://zotero.org/users/12817968/items/WML4M9L9"],"itemData":{"id":18738,"type":"article-journal","container-title":"Engineering Applications of Artificial Intelligence","DOI":"10.1016/S0952-1976(98)00055-4","ISSN":"09521976","issue":"2","journalAbbreviation":"Engineering Applications of Artificial Intelligence","language":"en","license":"https://www.elsevier.com/tdm/userlicense/1.0/","page":"149-158","source":"DOI.org (Crossref)","title":"Neural predictive control. Application to a highly non-linear system","volume":"12","author":[{"family":"Zamarreño","given":"J.M."},{"family":"Vega","given":"P."}],"issued":{"date-parts":[["1999",4]]}}}],"schema":"https://github.com/citation-style-language/schema/raw/master/csl-citation.json"}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(Mazaeda et al., 2020; Zamarreño et al., 2000; Zamarreño &amp; Vega, 1999) </w:t>
      </w:r>
      <w:r w:rsidRPr="00F45A84">
        <w:rPr>
          <w:rFonts w:cs="Times New Roman"/>
          <w:sz w:val="24"/>
          <w:szCs w:val="24"/>
        </w:rPr>
        <w:fldChar w:fldCharType="end"/>
      </w:r>
      <w:r w:rsidRPr="00F45A84">
        <w:rPr>
          <w:rFonts w:cs="Times New Roman"/>
          <w:sz w:val="24"/>
          <w:szCs w:val="24"/>
        </w:rPr>
        <w:t>.</w:t>
      </w:r>
    </w:p>
    <w:p w14:paraId="78E7FB45"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Indian institutions, particularly Graphic Era Hill University, ranked second with 7 publications, despite only starting to contribute since 2016. The curve in Figure 5 shows relatively rapid growth in a short period, indicating an increase in interest and capacity in MPC research in India over the last decade. This phenomenon is in line </w:t>
      </w:r>
      <w:r w:rsidRPr="00F45A84">
        <w:rPr>
          <w:rFonts w:cs="Times New Roman"/>
          <w:sz w:val="24"/>
          <w:szCs w:val="24"/>
        </w:rPr>
        <w:lastRenderedPageBreak/>
        <w:t xml:space="preserve">with the development of advanced control and process optimization research in developing countries with large-scale sugar industries and high operational complexity </w:t>
      </w:r>
      <w:r w:rsidRPr="00F45A84">
        <w:rPr>
          <w:rFonts w:cs="Times New Roman"/>
          <w:sz w:val="24"/>
          <w:szCs w:val="24"/>
        </w:rPr>
        <w:fldChar w:fldCharType="begin"/>
      </w:r>
      <w:r w:rsidRPr="00F45A84">
        <w:rPr>
          <w:rFonts w:cs="Times New Roman"/>
          <w:sz w:val="24"/>
          <w:szCs w:val="24"/>
        </w:rPr>
        <w:instrText xml:space="preserve"> ADDIN ZOTERO_ITEM CSL_CITATION {"citationID":"4FwcJrSW","properties":{"formattedCitation":"(Saravanan &amp; Valarmathi, 2012; Sunori et al., 2016)","plainCitation":"(Saravanan &amp; Valarmathi, 2012; Sunori et al., 2016)","noteIndex":0},"citationItems":[{"id":18767,"uris":["http://zotero.org/users/12817968/items/ELVGFJ7K"],"itemData":{"id":18767,"type":"paper-conference","container-title":"2012 Third International Conference on Computing, Communication and Networking Technologies (ICCCNT'12)","DOI":"10.1109/ICCCNT.2012.6395916","event-place":"Coimbatore","event-title":"2012 Third International Conference on Computing, Communication and Networking Technologies (ICCCNT 2012)","page":"1-7","publisher":"IEEE","publisher-place":"Coimbatore","source":"DOI.org (Crossref)","title":"Model based controller design for Melter process in sugar industry","URL":"http://ieeexplore.ieee.org/document/6395916/","author":[{"family":"Saravanan","given":"V."},{"family":"Valarmathi","given":"K."}],"accessed":{"date-parts":[["2025",12,19]]},"issued":{"date-parts":[["2012",7]]}}},{"id":18757,"uris":["http://zotero.org/users/12817968/items/CTBCQ7EE"],"itemData":{"id":18757,"type":"paper-conference","container-title":"2016 8th International Conference on Computational Intelligence and Communication Networks (CICN)","DOI":"10.1109/CICN.2016.99","event-place":"Tehri, India","event-title":"2016 8th International Conference on Computational Intelligence and Communication Networks (CICN)","ISBN":"978-1-5090-1144-5","page":"480-482","publisher":"IEEE","publisher-place":"Tehri, India","source":"DOI.org (Crossref)","title":"Design and Analysis of Control Systems for Heat Exchanger System of Sugar Mill","URL":"http://ieeexplore.ieee.org/document/8082691/","author":[{"family":"Sunori","given":"Sandeep Kumar"},{"family":"Juneja","given":"Pradeep Kumar"},{"family":"Chaturvedi","given":"Mayank"},{"family":"Agarwal","given":"Niharika"}],"accessed":{"date-parts":[["2025",12,19]]},"issued":{"date-parts":[["2016",12]]}}}],"schema":"https://github.com/citation-style-language/schema/raw/master/csl-citation.json"}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(Saravanan &amp; Valarmathi, 2012; Sunori et al., 2016) </w:t>
      </w:r>
      <w:r w:rsidRPr="00F45A84">
        <w:rPr>
          <w:rFonts w:cs="Times New Roman"/>
          <w:sz w:val="24"/>
          <w:szCs w:val="24"/>
        </w:rPr>
        <w:fldChar w:fldCharType="end"/>
      </w:r>
      <w:r w:rsidRPr="00F45A84">
        <w:rPr>
          <w:rFonts w:cs="Times New Roman"/>
          <w:sz w:val="24"/>
          <w:szCs w:val="24"/>
        </w:rPr>
        <w:t>.</w:t>
      </w:r>
    </w:p>
    <w:p w14:paraId="769F7DF3"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From other European regions, Université de La Réunion (France) is ranked third with 6 publications since 1999. The contribution of this institution appears to be stable but not very aggressive in annual growth. This is likely related to the research focus on MPC applications in tropical sugar cane mills and multi-effect evaporation systems, which are often used as industrial case studies based on specific geographical locations </w:t>
      </w:r>
      <w:r w:rsidRPr="00F45A84">
        <w:rPr>
          <w:rFonts w:cs="Times New Roman"/>
          <w:sz w:val="24"/>
          <w:szCs w:val="24"/>
        </w:rPr>
        <w:fldChar w:fldCharType="begin"/>
      </w:r>
      <w:r w:rsidRPr="00F45A84">
        <w:rPr>
          <w:rFonts w:cs="Times New Roman"/>
          <w:sz w:val="24"/>
          <w:szCs w:val="24"/>
        </w:rPr>
        <w:instrText xml:space="preserve"> ADDIN ZOTERO_ITEM CSL_CITATION {"citationID":"PHEXeiTi","properties":{"formattedCitation":"(Benne et al., 2000; Cadet, Tour\\uc0\\u233{}, et al., 1999)","plainCitation":"(Benne et al., 2000; Cadet, Touré, et al., 1999)","noteIndex":0},"citationItems":[{"id":18761,"uris":["http://zotero.org/users/12817968/items/ADCJ3DZT"],"itemData":{"id":18761,"type":"article-journal","container-title":"Journal of Food Engineering","DOI":"10.1016/S0260-8774(00)00055-8","ISSN":"02608774","issue":"4","journalAbbreviation":"Journal of Food Engineering","language":"en","license":"https://www.elsevier.com/tdm/userlicense/1.0/","page":"227-234","source":"DOI.org (Crossref)","title":"Artificial neural networks for modelling and predictive control of an industrial evaporation process","volume":"46","author":[{"family":"Benne","given":"M"},{"family":"Grondin- Perez","given":"B"},{"family":"Chabriat","given":"J.-P"},{"family":"Hervé","given":"P"}],"issued":{"date-parts":[["2000",12]]}}},{"id":18749,"uris":["http://zotero.org/users/12817968/items/RYRYL72R"],"itemData":{"id":18749,"type":"article-journal","container-title":"Journal of Food Engineering","DOI":"10.1016/S0260-8774(99)00037-0","ISSN":"02608774","issue":"1-2","journalAbbreviation":"Journal of Food Engineering","language":"en","license":"https://www.elsevier.com/tdm/userlicense/1.0/","page":"59-70","source":"DOI.org (Crossref)","title":"Knowledge modeling and nonlinear predictive control of evaporators in cane sugar production plants","volume":"40","author":[{"family":"Cadet","given":"C."},{"family":"Touré","given":"Y."},{"family":"Gilles","given":"G."},{"family":"Chabriat","given":"J.P."}],"issued":{"date-parts":[["1999",5]]}}}],"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(Benne et al., 2000; Cadet, Touré, et al., 1999) </w:t>
      </w:r>
      <w:r w:rsidRPr="00F45A84">
        <w:rPr>
          <w:rFonts w:cs="Times New Roman"/>
          <w:sz w:val="24"/>
          <w:szCs w:val="24"/>
        </w:rPr>
        <w:fldChar w:fldCharType="end"/>
      </w:r>
      <w:r w:rsidRPr="00F45A84">
        <w:rPr>
          <w:rFonts w:cs="Times New Roman"/>
          <w:sz w:val="24"/>
          <w:szCs w:val="24"/>
        </w:rPr>
        <w:t>.</w:t>
      </w:r>
    </w:p>
    <w:p w14:paraId="5FAFC518"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Brazil has the largest number of institutions in the top 10, namely the Universidade Estadual de Campinas, Universidade Federal de Santa Catarina, Universidade Estadual de Maringá, and Universidade Federal do Rio de Janeiro. Although each institution has a moderate number of publications (2–5 papers), collectively Brazil demonstrates a strong research ecosystem. This is closely related to Brazil's position as one of the world's largest sugar and bioethanol producers, thus encouraging MPC research for energy efficiency, evaporation, and crystallization </w:t>
      </w:r>
      <w:r w:rsidRPr="00F45A84">
        <w:rPr>
          <w:rFonts w:cs="Times New Roman"/>
          <w:sz w:val="24"/>
          <w:szCs w:val="24"/>
        </w:rPr>
        <w:fldChar w:fldCharType="begin"/>
      </w:r>
      <w:r w:rsidRPr="00F45A84">
        <w:rPr>
          <w:rFonts w:cs="Times New Roman"/>
          <w:sz w:val="24"/>
          <w:szCs w:val="24"/>
        </w:rPr>
        <w:instrText xml:space="preserve"> ADDIN ZOTERO_ITEM CSL_CITATION {"citationID":"S3qXFvGK","properties":{"formattedCitation":"(Jorge et al., 2010; Menezes Morato et al., 2017; Pacheco &amp; Frioni, 2004; William Herrera et al., 2016)","plainCitation":"(Jorge et al., 2010; Menezes Morato et al., 2017; Pacheco &amp; Frioni, 2004; William Herrera et al., 2016)","noteIndex":0},"citationItems":[{"id":18771,"uris":["http://zotero.org/users/12817968/items/EKWREQKX"],"itemData":{"id":18771,"type":"article-journal","container-title":"Journal of Food Engineering","DOI":"10.1016/j.jfoodeng.2010.03.017","ISSN":"02608774","issue":"3","journalAbbreviation":"Journal of Food Engineering","language":"en","page":"351-359","source":"DOI.org (Crossref)","title":"Simulation and analysis of a sugarcane juice evaporation system","volume":"99","author":[{"family":"Jorge","given":"L.M.M."},{"family":"Righetto","given":"A.R."},{"family":"Polli","given":"P.A."},{"family":"Santos","given":"O.A.A."},{"family":"Filho","given":"R. Maciel"}],"issued":{"date-parts":[["2010",8]]}}},{"id":18756,"uris":["http://zotero.org/users/12817968/items/TEWZMXEY"],"itemData":{"id":18756,"type":"article-journal","abstract":"This study presents a control structure, based on model predictive control, applied to energy management optimisation in a sugar cane processing plant including renewable sources. The proposed energy plant is set upon a sugar cane processing industry and has to produce and maintain an amount of electric power throughout the year, defined by contract. This plant is, also, bound to produce flows of steam in different pressures, to comply to the demands of the production process of ethanol and sugar, from the sugar cane. The renewable sources in the system include photovoltaic, wind power generation and the use of biomass, from the remains of the sugar cane. The proposed control algorithm has the task of performing the management of which energy system to use (combined heat and power generation systems, boilers or others), maximise the use of renewable energy sources, maximise the gains of the boilers (that vary according to the biomass mixture used), manage the use of energy storages and supply the defined amount of energy. Simulation results show the satisfactory operation of the proposed control structure.","container-title":"IET Renewable Power Generation","DOI":"10.1049/iet-rpg.2016.0443","ISSN":"1752-1416, 1752-1424","issue":"8","journalAbbreviation":"IET Renewable Power Gen","language":"en","page":"1237-1245","source":"DOI.org (Crossref)","title":"Optimal operation of hybrid power systems including renewable sources in the sugar cane industry","volume":"11","author":[{"family":"Menezes Morato","given":"Marcelo"},{"family":"Da Costa Mendes","given":"Paulo Renato"},{"family":"Normey</w:instrText>
      </w:r>
      <w:r w:rsidRPr="00F45A84">
        <w:rPr>
          <w:rFonts w:ascii="Cambria Math" w:hAnsi="Cambria Math" w:cs="Cambria Math"/>
          <w:sz w:val="24"/>
          <w:szCs w:val="24"/>
        </w:rPr>
        <w:instrText>‐</w:instrText>
      </w:r>
      <w:r w:rsidRPr="00F45A84">
        <w:rPr>
          <w:rFonts w:cs="Times New Roman"/>
          <w:sz w:val="24"/>
          <w:szCs w:val="24"/>
        </w:rPr>
        <w:instrText xml:space="preserve">Rico","given":"Julio Elias"},{"family":"Bordons","given":"Carlos"}],"issued":{"date-parts":[["2017",6]]}}},{"id":18770,"uris":["http://zotero.org/users/12817968/items/5UNGP2YY"],"itemData":{"id":18770,"type":"article-journal","container-title":"Journal of Food Engineering","DOI":"10.1016/j.jfoodeng.2003.11.014","ISSN":"02608774","issue":"4","journalAbbreviation":"Journal of Food Engineering","language":"en","license":"https://www.elsevier.com/tdm/userlicense/1.0/","page":"471-480","source":"DOI.org (Crossref)","title":"Experimental results for evaporation of sucrose solution using a climbing/falling film plate evaporator","volume":"64","author":[{"family":"Pacheco","given":"C.R.F."},{"family":"Frioni","given":"L.S.M."}],"issued":{"date-parts":[["2004",10]]}}},{"id":18769,"uris":["http://zotero.org/users/12817968/items/F6VQ7HGI"],"itemData":{"id":18769,"type":"article-journal","container-title":"Chemical Engineering Transactions","DOI":"10.3303/CET1650029","page":"169–174","source":"DOI.org (CSL JSON)","title":"Modelling and control of a continuous ethanol fermentation using a mixture of enzymatic hydrolysate and molasses from sugarcane","volume":"50","author":[{"literal":"William Herrera"},{"literal":"Elmer Rivera"},{"literal":"Luz A. Alvarez"},{"literal":"Laura Plazas Tovar"},{"literal":"Sebastian Tamayo Rojas"},{"literal":"Celina Yamakawa"},{"literal":"Antonio Bonomi"},{"literal":"Rubens Maciel Filho"}],"issued":{"date-parts":[["2016",6]]}}}],"schema":"https://github.com/citation-style-language/schema/raw/master/csl-citation.json"}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(Jorge et al., 2010; Menezes Morato et al., 2017; Pacheco &amp; Frioni, 2004; William Herrera et al., 2016) </w:t>
      </w:r>
      <w:r w:rsidRPr="00F45A84">
        <w:rPr>
          <w:rFonts w:cs="Times New Roman"/>
          <w:sz w:val="24"/>
          <w:szCs w:val="24"/>
        </w:rPr>
        <w:fldChar w:fldCharType="end"/>
      </w:r>
      <w:r w:rsidRPr="00F45A84">
        <w:rPr>
          <w:rFonts w:cs="Times New Roman"/>
          <w:sz w:val="24"/>
          <w:szCs w:val="24"/>
        </w:rPr>
        <w:t>.</w:t>
      </w:r>
    </w:p>
    <w:p w14:paraId="75290042"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Spanish institutions other than the University of Valladolid, namely the Universidad de Salamanca and the Universidad de Sevilla, also showed consistent contributions from the late 1990s to the mid-2010s. This pattern confirms that Spain was one of the early centers for the development and application of MPC in the sugar industry, particularly through model-based predictive control (MPC), generalized predictive control (GPC), and neural predictive control approaches </w:t>
      </w:r>
      <w:r w:rsidRPr="00F45A84">
        <w:rPr>
          <w:rFonts w:cs="Times New Roman"/>
          <w:sz w:val="24"/>
          <w:szCs w:val="24"/>
        </w:rPr>
        <w:fldChar w:fldCharType="begin"/>
      </w:r>
      <w:r w:rsidRPr="00F45A84">
        <w:rPr>
          <w:rFonts w:cs="Times New Roman"/>
          <w:sz w:val="24"/>
          <w:szCs w:val="24"/>
        </w:rPr>
        <w:instrText xml:space="preserve"> ADDIN ZOTERO_ITEM CSL_CITATION {"citationID":"dtfMHjht","properties":{"formattedCitation":"(Mazaeda et al., 2020; Menezes Morato et al., 2017; Zamarre\\uc0\\u241{}o &amp; Vega, 1999)","plainCitation":"(Mazaeda et al., 2020; Menezes Morato et al., 2017; Zamarreño &amp; Vega, 1999)","noteIndex":0},"citationItems":[{"id":18764,"uris":["http://zotero.org/users/12817968/items/859ADSMN"],"itemData":{"id":18764,"type":"article-journal","abstract":"Summary\n            This paper deals with the optimal operation of processes that combine batch and continuous units. The proposed approach is based on a hierarchical architecture with two layers. The lower layer manages the optimal operation of the batch units in a noncentralized fashion, whereas the upper layer is concerned with the scheduling of the batch units and with their smooth integration with the continuous ones. The strategy has been applied to a challenging problem found at the interface of the fed</w:instrText>
      </w:r>
      <w:r w:rsidRPr="00F45A84">
        <w:rPr>
          <w:rFonts w:ascii="Cambria Math" w:hAnsi="Cambria Math" w:cs="Cambria Math"/>
          <w:sz w:val="24"/>
          <w:szCs w:val="24"/>
        </w:rPr>
        <w:instrText>‐</w:instrText>
      </w:r>
      <w:r w:rsidRPr="00F45A84">
        <w:rPr>
          <w:rFonts w:cs="Times New Roman"/>
          <w:sz w:val="24"/>
          <w:szCs w:val="24"/>
        </w:rPr>
        <w:instrText>batch crystallizers with the upstream evaporation section in beet sugar factories. The presented approach aims at designing a system that can effectively perform the plantwide economic optimization, specifically addressing the issue of energy efficiency, while complying with all process and operational constraints.","container-title":"Optimal Control Applications and Methods","DOI":"10.1002/oca.2535","ISSN":"0143-2087, 1099-1514","issue":"1","journalAbbreviation":"Optim Control Appl Methods","language":"en","page":"190-214","source":"DOI.org (Crossref)","title":"Hierarchically coordinated economic MPC plantwide control of mixed continuous</w:instrText>
      </w:r>
      <w:r w:rsidRPr="00F45A84">
        <w:rPr>
          <w:rFonts w:ascii="Cambria Math" w:hAnsi="Cambria Math" w:cs="Cambria Math"/>
          <w:sz w:val="24"/>
          <w:szCs w:val="24"/>
        </w:rPr>
        <w:instrText>‐</w:instrText>
      </w:r>
      <w:r w:rsidRPr="00F45A84">
        <w:rPr>
          <w:rFonts w:cs="Times New Roman"/>
          <w:sz w:val="24"/>
          <w:szCs w:val="24"/>
        </w:rPr>
        <w:instrText>batch units in process industries with application to a beet sugar plant","volume":"41","author":[{"family":"Mazaeda","given":"Rogelio"},{"family":"Cristea","given":"Smaranda P."},{"family":"De Prada","given":"C</w:instrText>
      </w:r>
      <w:r w:rsidRPr="00F45A84">
        <w:rPr>
          <w:sz w:val="24"/>
          <w:szCs w:val="24"/>
        </w:rPr>
        <w:instrText>é</w:instrText>
      </w:r>
      <w:r w:rsidRPr="00F45A84">
        <w:rPr>
          <w:rFonts w:cs="Times New Roman"/>
          <w:sz w:val="24"/>
          <w:szCs w:val="24"/>
        </w:rPr>
        <w:instrText>sar"}],"issued":{"date-parts":[["2020",1]]}}},{"id":18756,"uris":["http://zotero.org/users/12817968/items/TEWZMXEY"],"itemData":{"id":18756,"type":"article-journal","abstract":"This study presents a control structure, based on model predictive control, applied to energy management optimisation in a sugar cane processing plant including renewable sources. The proposed energy plant is set upon a sugar cane processing industry and has to produce and maintain an amount of electric power throughout the year, defined by contract. This plant is, also, bound to produce flows of steam in different pressures, to comply to the demands of the production process of ethanol and sugar, from the sugar cane. The renewable sources in the system include photovoltaic, wind power generation and the use of biomass, from the remains of the sugar cane. The proposed control algorithm has the task of performing the management of which energy system to use (combined heat and power generation systems, boilers or others), maximise the use of renewable energy sources, maximise the gains of the boilers (that vary according to the biomass mixture used), manage the use of energy storages and supply the defined amount of energy. Simulation results show the satisfactory operation of the proposed control structure.","container-title":"IET Renewable Power Generation","DOI":"10.1049/iet-rpg.2016.0443","ISSN":"1752-1416, 1752-1424","issue":"8","journalAbbreviation":"IET Renewable Power Gen","language":"en","page":"1237-1245","source":"DOI.org (Crossref)","title":"Optimal operation of hybrid power systems including renewable sources in the sugar cane industry","volume":"11","author":[{"family":"Menezes Morato","given":"Marcelo"},{"family":"Da Costa Mendes","given":"Paulo Renato"},{"family":"Normey</w:instrText>
      </w:r>
      <w:r w:rsidRPr="00F45A84">
        <w:rPr>
          <w:rFonts w:ascii="Cambria Math" w:hAnsi="Cambria Math" w:cs="Cambria Math"/>
          <w:sz w:val="24"/>
          <w:szCs w:val="24"/>
        </w:rPr>
        <w:instrText>‐</w:instrText>
      </w:r>
      <w:r w:rsidRPr="00F45A84">
        <w:rPr>
          <w:rFonts w:cs="Times New Roman"/>
          <w:sz w:val="24"/>
          <w:szCs w:val="24"/>
        </w:rPr>
        <w:instrText xml:space="preserve">Rico","given":"Julio Elias"},{"family":"Bordons","given":"Carlos"}],"issued":{"date-parts":[["2017",6]]}}},{"id":18738,"uris":["http://zotero.org/users/12817968/items/WML4M9L9"],"itemData":{"id":18738,"type":"article-journal","container-title":"Engineering Applications of Artificial Intelligence","DOI":"10.1016/S0952-1976(98)00055-4","ISSN":"09521976","issue":"2","journalAbbreviation":"Engineering Applications of Artificial Intelligence","language":"en","license":"https://www.elsevier.com/tdm/userlicense/1.0/","page":"149-158","source":"DOI.org (Crossref)","title":"Neural predictive control. Application to a highly non-linear system","volume":"12","author":[{"family":"Zamarreño","given":"J.M."},{"family":"Vega","given":"P."}],"issued":{"date-parts":[["1999",4]]}}}],"schema":"https://github.com/citation-style-language/schema/raw/master/csl-citation.json"}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(Mazaeda et al., 2020; Menezes Morato et al., 2017; Zamarreño &amp; Vega, 1999).</w:t>
      </w:r>
      <w:r w:rsidRPr="00F45A84">
        <w:rPr>
          <w:rFonts w:cs="Times New Roman"/>
          <w:sz w:val="24"/>
          <w:szCs w:val="24"/>
        </w:rPr>
        <w:fldChar w:fldCharType="end"/>
      </w:r>
    </w:p>
    <w:p w14:paraId="40FBDC50"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Overall, Figure 5 shows that institutional contributions are incremental and long-term, rather than short-term. This reflects the nature of MPC research, which requires in-depth modeling, industrial validation, and collaboration with real-world factories. The distribution of institutions across Europe, Asia, and South America demonstrates that MPC research in the sugar industry is growing globally, but remains concentrated in select research groups with strong access to industrial facilities and process data.</w:t>
      </w:r>
    </w:p>
    <w:p w14:paraId="433AC1F3" w14:textId="7DB8D3DD" w:rsidR="00704F90" w:rsidRDefault="004269A5" w:rsidP="00704F90">
      <w:pPr>
        <w:spacing w:before="240"/>
        <w:ind w:left="1560"/>
        <w:jc w:val="both"/>
        <w:rPr>
          <w:rFonts w:cs="Times New Roman"/>
          <w:sz w:val="24"/>
          <w:szCs w:val="24"/>
        </w:rPr>
      </w:pPr>
      <w:r w:rsidRPr="00F45A84">
        <w:rPr>
          <w:rFonts w:cs="Times New Roman"/>
          <w:b/>
          <w:bCs/>
          <w:sz w:val="24"/>
          <w:szCs w:val="24"/>
        </w:rPr>
        <w:t xml:space="preserve">Table 3. </w:t>
      </w:r>
      <w:r w:rsidRPr="00F45A84">
        <w:rPr>
          <w:rFonts w:cs="Times New Roman"/>
          <w:sz w:val="24"/>
          <w:szCs w:val="24"/>
        </w:rPr>
        <w:t>Top 10 most productive institutions</w:t>
      </w:r>
    </w:p>
    <w:tbl>
      <w:tblPr>
        <w:tblW w:w="4102" w:type="pct"/>
        <w:tblInd w:w="1668" w:type="dxa"/>
        <w:tblLook w:val="04A0" w:firstRow="1" w:lastRow="0" w:firstColumn="1" w:lastColumn="0" w:noHBand="0" w:noVBand="1"/>
      </w:tblPr>
      <w:tblGrid>
        <w:gridCol w:w="730"/>
        <w:gridCol w:w="4631"/>
        <w:gridCol w:w="1627"/>
        <w:gridCol w:w="1082"/>
        <w:gridCol w:w="656"/>
      </w:tblGrid>
      <w:tr w:rsidR="00704F90" w:rsidRPr="00C94C6D" w14:paraId="54645A37" w14:textId="77777777" w:rsidTr="00704F90">
        <w:trPr>
          <w:trHeight w:val="288"/>
        </w:trPr>
        <w:tc>
          <w:tcPr>
            <w:tcW w:w="408" w:type="pct"/>
            <w:tcBorders>
              <w:top w:val="single" w:sz="4" w:space="0" w:color="auto"/>
              <w:left w:val="nil"/>
              <w:bottom w:val="single" w:sz="4" w:space="0" w:color="auto"/>
              <w:right w:val="nil"/>
            </w:tcBorders>
            <w:noWrap/>
            <w:vAlign w:val="bottom"/>
            <w:hideMark/>
          </w:tcPr>
          <w:p w14:paraId="6B1518A4" w14:textId="77777777" w:rsidR="00704F90" w:rsidRPr="00C94C6D" w:rsidRDefault="00704F90"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Rank</w:t>
            </w:r>
          </w:p>
        </w:tc>
        <w:tc>
          <w:tcPr>
            <w:tcW w:w="2659" w:type="pct"/>
            <w:tcBorders>
              <w:top w:val="single" w:sz="4" w:space="0" w:color="auto"/>
              <w:left w:val="nil"/>
              <w:bottom w:val="single" w:sz="4" w:space="0" w:color="auto"/>
              <w:right w:val="nil"/>
            </w:tcBorders>
            <w:noWrap/>
            <w:vAlign w:val="bottom"/>
            <w:hideMark/>
          </w:tcPr>
          <w:p w14:paraId="235F3FCB" w14:textId="4A3130D5" w:rsidR="00704F90" w:rsidRPr="00C94C6D" w:rsidRDefault="0059729C" w:rsidP="00786302">
            <w:pPr>
              <w:ind w:left="175"/>
              <w:jc w:val="both"/>
              <w:rPr>
                <w:rFonts w:ascii="Times New Roman" w:eastAsia="Times New Roman" w:hAnsi="Times New Roman" w:cs="Times New Roman"/>
                <w:b/>
                <w:bCs/>
                <w:lang w:eastAsia="en-ID"/>
              </w:rPr>
            </w:pPr>
            <w:r w:rsidRPr="0059729C">
              <w:rPr>
                <w:rFonts w:ascii="Times New Roman" w:eastAsia="Times New Roman" w:hAnsi="Times New Roman" w:cs="Times New Roman"/>
                <w:b/>
                <w:bCs/>
                <w:lang w:eastAsia="en-ID"/>
              </w:rPr>
              <w:t>Institution</w:t>
            </w:r>
          </w:p>
        </w:tc>
        <w:tc>
          <w:tcPr>
            <w:tcW w:w="938" w:type="pct"/>
            <w:tcBorders>
              <w:top w:val="single" w:sz="4" w:space="0" w:color="auto"/>
              <w:left w:val="nil"/>
              <w:bottom w:val="single" w:sz="4" w:space="0" w:color="auto"/>
              <w:right w:val="nil"/>
            </w:tcBorders>
            <w:noWrap/>
            <w:vAlign w:val="bottom"/>
            <w:hideMark/>
          </w:tcPr>
          <w:p w14:paraId="181F1E19" w14:textId="14E4D4EE" w:rsidR="00704F90" w:rsidRPr="00C94C6D" w:rsidRDefault="0059729C" w:rsidP="00786302">
            <w:pPr>
              <w:jc w:val="both"/>
              <w:rPr>
                <w:rFonts w:ascii="Times New Roman" w:eastAsia="Times New Roman" w:hAnsi="Times New Roman" w:cs="Times New Roman"/>
                <w:b/>
                <w:bCs/>
                <w:lang w:eastAsia="en-ID"/>
              </w:rPr>
            </w:pPr>
            <w:r>
              <w:rPr>
                <w:rFonts w:ascii="Times New Roman" w:eastAsia="Times New Roman" w:hAnsi="Times New Roman" w:cs="Times New Roman"/>
                <w:b/>
                <w:bCs/>
                <w:lang w:eastAsia="en-ID"/>
              </w:rPr>
              <w:t>L</w:t>
            </w:r>
            <w:r w:rsidRPr="0059729C">
              <w:rPr>
                <w:rFonts w:ascii="Times New Roman" w:eastAsia="Times New Roman" w:hAnsi="Times New Roman" w:cs="Times New Roman"/>
                <w:b/>
                <w:bCs/>
                <w:lang w:eastAsia="en-ID"/>
              </w:rPr>
              <w:t>ocation</w:t>
            </w:r>
          </w:p>
        </w:tc>
        <w:tc>
          <w:tcPr>
            <w:tcW w:w="626" w:type="pct"/>
            <w:tcBorders>
              <w:top w:val="single" w:sz="4" w:space="0" w:color="auto"/>
              <w:left w:val="nil"/>
              <w:bottom w:val="single" w:sz="4" w:space="0" w:color="auto"/>
              <w:right w:val="nil"/>
            </w:tcBorders>
            <w:noWrap/>
            <w:vAlign w:val="bottom"/>
            <w:hideMark/>
          </w:tcPr>
          <w:p w14:paraId="7CD26644" w14:textId="77777777" w:rsidR="00704F90" w:rsidRPr="00C94C6D" w:rsidRDefault="00704F90"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NP</w:t>
            </w:r>
          </w:p>
        </w:tc>
        <w:tc>
          <w:tcPr>
            <w:tcW w:w="368" w:type="pct"/>
            <w:tcBorders>
              <w:top w:val="single" w:sz="4" w:space="0" w:color="auto"/>
              <w:left w:val="nil"/>
              <w:bottom w:val="single" w:sz="4" w:space="0" w:color="auto"/>
              <w:right w:val="nil"/>
            </w:tcBorders>
            <w:noWrap/>
            <w:vAlign w:val="bottom"/>
            <w:hideMark/>
          </w:tcPr>
          <w:p w14:paraId="2EAA3FF5" w14:textId="77777777" w:rsidR="00704F90" w:rsidRPr="00C94C6D" w:rsidRDefault="00704F90"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FP</w:t>
            </w:r>
          </w:p>
        </w:tc>
      </w:tr>
      <w:tr w:rsidR="00704F90" w:rsidRPr="00C94C6D" w14:paraId="69412383" w14:textId="77777777" w:rsidTr="00704F90">
        <w:trPr>
          <w:trHeight w:val="288"/>
        </w:trPr>
        <w:tc>
          <w:tcPr>
            <w:tcW w:w="408" w:type="pct"/>
            <w:tcBorders>
              <w:top w:val="single" w:sz="4" w:space="0" w:color="auto"/>
              <w:left w:val="nil"/>
              <w:bottom w:val="nil"/>
              <w:right w:val="nil"/>
            </w:tcBorders>
            <w:noWrap/>
            <w:vAlign w:val="bottom"/>
            <w:hideMark/>
          </w:tcPr>
          <w:p w14:paraId="28E5E35F"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w:t>
            </w:r>
          </w:p>
        </w:tc>
        <w:tc>
          <w:tcPr>
            <w:tcW w:w="2659" w:type="pct"/>
            <w:tcBorders>
              <w:top w:val="single" w:sz="4" w:space="0" w:color="auto"/>
              <w:left w:val="nil"/>
              <w:bottom w:val="nil"/>
              <w:right w:val="nil"/>
            </w:tcBorders>
            <w:noWrap/>
            <w:vAlign w:val="bottom"/>
            <w:hideMark/>
          </w:tcPr>
          <w:p w14:paraId="165082DD" w14:textId="77777777" w:rsidR="00704F90" w:rsidRPr="00C94C6D" w:rsidRDefault="00704F90" w:rsidP="00786302">
            <w:pPr>
              <w:ind w:left="175"/>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University of Valladolid</w:t>
            </w:r>
          </w:p>
        </w:tc>
        <w:tc>
          <w:tcPr>
            <w:tcW w:w="938" w:type="pct"/>
            <w:tcBorders>
              <w:top w:val="single" w:sz="4" w:space="0" w:color="auto"/>
              <w:left w:val="nil"/>
              <w:bottom w:val="nil"/>
              <w:right w:val="nil"/>
            </w:tcBorders>
            <w:noWrap/>
            <w:vAlign w:val="bottom"/>
          </w:tcPr>
          <w:p w14:paraId="29B91979"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Spanyol</w:t>
            </w:r>
          </w:p>
        </w:tc>
        <w:tc>
          <w:tcPr>
            <w:tcW w:w="626" w:type="pct"/>
            <w:tcBorders>
              <w:top w:val="single" w:sz="4" w:space="0" w:color="auto"/>
              <w:left w:val="nil"/>
              <w:bottom w:val="nil"/>
              <w:right w:val="nil"/>
            </w:tcBorders>
            <w:noWrap/>
            <w:vAlign w:val="bottom"/>
            <w:hideMark/>
          </w:tcPr>
          <w:p w14:paraId="3D1311D8"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12</w:t>
            </w:r>
          </w:p>
        </w:tc>
        <w:tc>
          <w:tcPr>
            <w:tcW w:w="368" w:type="pct"/>
            <w:tcBorders>
              <w:top w:val="single" w:sz="4" w:space="0" w:color="auto"/>
              <w:left w:val="nil"/>
              <w:bottom w:val="nil"/>
              <w:right w:val="nil"/>
            </w:tcBorders>
            <w:noWrap/>
            <w:vAlign w:val="bottom"/>
            <w:hideMark/>
          </w:tcPr>
          <w:p w14:paraId="1FA071F9"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1997</w:t>
            </w:r>
          </w:p>
        </w:tc>
      </w:tr>
      <w:tr w:rsidR="00704F90" w:rsidRPr="00C94C6D" w14:paraId="0BA60254" w14:textId="77777777" w:rsidTr="00704F90">
        <w:trPr>
          <w:trHeight w:val="288"/>
        </w:trPr>
        <w:tc>
          <w:tcPr>
            <w:tcW w:w="408" w:type="pct"/>
            <w:tcBorders>
              <w:top w:val="nil"/>
              <w:left w:val="nil"/>
              <w:bottom w:val="nil"/>
              <w:right w:val="nil"/>
            </w:tcBorders>
            <w:noWrap/>
            <w:vAlign w:val="bottom"/>
            <w:hideMark/>
          </w:tcPr>
          <w:p w14:paraId="02FC526D"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w:t>
            </w:r>
          </w:p>
        </w:tc>
        <w:tc>
          <w:tcPr>
            <w:tcW w:w="2659" w:type="pct"/>
            <w:tcBorders>
              <w:top w:val="nil"/>
              <w:left w:val="nil"/>
              <w:bottom w:val="nil"/>
              <w:right w:val="nil"/>
            </w:tcBorders>
            <w:noWrap/>
            <w:vAlign w:val="bottom"/>
            <w:hideMark/>
          </w:tcPr>
          <w:p w14:paraId="24F2E06A" w14:textId="77777777" w:rsidR="00704F90" w:rsidRPr="00C94C6D" w:rsidRDefault="00704F90" w:rsidP="00786302">
            <w:pPr>
              <w:ind w:left="175"/>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Graphic Era Hill University</w:t>
            </w:r>
          </w:p>
        </w:tc>
        <w:tc>
          <w:tcPr>
            <w:tcW w:w="938" w:type="pct"/>
            <w:tcBorders>
              <w:top w:val="nil"/>
              <w:left w:val="nil"/>
              <w:bottom w:val="nil"/>
              <w:right w:val="nil"/>
            </w:tcBorders>
            <w:noWrap/>
            <w:vAlign w:val="bottom"/>
          </w:tcPr>
          <w:p w14:paraId="1497FA8F"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India</w:t>
            </w:r>
          </w:p>
        </w:tc>
        <w:tc>
          <w:tcPr>
            <w:tcW w:w="626" w:type="pct"/>
            <w:tcBorders>
              <w:top w:val="nil"/>
              <w:left w:val="nil"/>
              <w:bottom w:val="nil"/>
              <w:right w:val="nil"/>
            </w:tcBorders>
            <w:noWrap/>
            <w:vAlign w:val="bottom"/>
            <w:hideMark/>
          </w:tcPr>
          <w:p w14:paraId="25740556"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7</w:t>
            </w:r>
          </w:p>
        </w:tc>
        <w:tc>
          <w:tcPr>
            <w:tcW w:w="368" w:type="pct"/>
            <w:tcBorders>
              <w:top w:val="nil"/>
              <w:left w:val="nil"/>
              <w:bottom w:val="nil"/>
              <w:right w:val="nil"/>
            </w:tcBorders>
            <w:noWrap/>
            <w:vAlign w:val="bottom"/>
            <w:hideMark/>
          </w:tcPr>
          <w:p w14:paraId="6EFD6F5C"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2016</w:t>
            </w:r>
          </w:p>
        </w:tc>
      </w:tr>
      <w:tr w:rsidR="00704F90" w:rsidRPr="00C94C6D" w14:paraId="6A92FE0F" w14:textId="77777777" w:rsidTr="00704F90">
        <w:trPr>
          <w:trHeight w:val="288"/>
        </w:trPr>
        <w:tc>
          <w:tcPr>
            <w:tcW w:w="408" w:type="pct"/>
            <w:tcBorders>
              <w:top w:val="nil"/>
              <w:left w:val="nil"/>
              <w:bottom w:val="nil"/>
              <w:right w:val="nil"/>
            </w:tcBorders>
            <w:noWrap/>
            <w:vAlign w:val="bottom"/>
            <w:hideMark/>
          </w:tcPr>
          <w:p w14:paraId="7AB4053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3</w:t>
            </w:r>
          </w:p>
        </w:tc>
        <w:tc>
          <w:tcPr>
            <w:tcW w:w="2659" w:type="pct"/>
            <w:tcBorders>
              <w:top w:val="nil"/>
              <w:left w:val="nil"/>
              <w:bottom w:val="nil"/>
              <w:right w:val="nil"/>
            </w:tcBorders>
            <w:noWrap/>
            <w:vAlign w:val="bottom"/>
          </w:tcPr>
          <w:p w14:paraId="6737F6E0" w14:textId="77777777" w:rsidR="00704F90" w:rsidRPr="00C94C6D" w:rsidRDefault="00704F90" w:rsidP="00786302">
            <w:pPr>
              <w:ind w:left="175"/>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Universite de la Reunion</w:t>
            </w:r>
          </w:p>
        </w:tc>
        <w:tc>
          <w:tcPr>
            <w:tcW w:w="938" w:type="pct"/>
            <w:tcBorders>
              <w:top w:val="nil"/>
              <w:left w:val="nil"/>
              <w:bottom w:val="nil"/>
              <w:right w:val="nil"/>
            </w:tcBorders>
            <w:noWrap/>
            <w:vAlign w:val="bottom"/>
          </w:tcPr>
          <w:p w14:paraId="6906D3B4"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Perancis</w:t>
            </w:r>
          </w:p>
        </w:tc>
        <w:tc>
          <w:tcPr>
            <w:tcW w:w="626" w:type="pct"/>
            <w:tcBorders>
              <w:top w:val="nil"/>
              <w:left w:val="nil"/>
              <w:bottom w:val="nil"/>
              <w:right w:val="nil"/>
            </w:tcBorders>
            <w:noWrap/>
            <w:vAlign w:val="bottom"/>
          </w:tcPr>
          <w:p w14:paraId="45F4828C"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6</w:t>
            </w:r>
          </w:p>
        </w:tc>
        <w:tc>
          <w:tcPr>
            <w:tcW w:w="368" w:type="pct"/>
            <w:tcBorders>
              <w:top w:val="nil"/>
              <w:left w:val="nil"/>
              <w:bottom w:val="nil"/>
              <w:right w:val="nil"/>
            </w:tcBorders>
            <w:noWrap/>
            <w:vAlign w:val="bottom"/>
          </w:tcPr>
          <w:p w14:paraId="50410CC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1999</w:t>
            </w:r>
          </w:p>
        </w:tc>
      </w:tr>
      <w:tr w:rsidR="00704F90" w:rsidRPr="00C94C6D" w14:paraId="67B80F16" w14:textId="77777777" w:rsidTr="00704F90">
        <w:trPr>
          <w:trHeight w:val="288"/>
        </w:trPr>
        <w:tc>
          <w:tcPr>
            <w:tcW w:w="408" w:type="pct"/>
            <w:tcBorders>
              <w:top w:val="nil"/>
              <w:left w:val="nil"/>
              <w:bottom w:val="nil"/>
              <w:right w:val="nil"/>
            </w:tcBorders>
            <w:noWrap/>
            <w:vAlign w:val="bottom"/>
            <w:hideMark/>
          </w:tcPr>
          <w:p w14:paraId="24297D43"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4</w:t>
            </w:r>
          </w:p>
        </w:tc>
        <w:tc>
          <w:tcPr>
            <w:tcW w:w="2659" w:type="pct"/>
            <w:tcBorders>
              <w:top w:val="nil"/>
              <w:left w:val="nil"/>
              <w:bottom w:val="nil"/>
              <w:right w:val="nil"/>
            </w:tcBorders>
            <w:noWrap/>
            <w:vAlign w:val="bottom"/>
          </w:tcPr>
          <w:p w14:paraId="66B737D3" w14:textId="77777777" w:rsidR="00704F90" w:rsidRPr="00C94C6D" w:rsidRDefault="00704F90" w:rsidP="00786302">
            <w:pPr>
              <w:ind w:left="175"/>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Universidade Estadual de Campinas</w:t>
            </w:r>
          </w:p>
        </w:tc>
        <w:tc>
          <w:tcPr>
            <w:tcW w:w="938" w:type="pct"/>
            <w:tcBorders>
              <w:top w:val="nil"/>
              <w:left w:val="nil"/>
              <w:bottom w:val="nil"/>
              <w:right w:val="nil"/>
            </w:tcBorders>
            <w:noWrap/>
            <w:vAlign w:val="bottom"/>
          </w:tcPr>
          <w:p w14:paraId="1DE5743E"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Brazil</w:t>
            </w:r>
          </w:p>
        </w:tc>
        <w:tc>
          <w:tcPr>
            <w:tcW w:w="626" w:type="pct"/>
            <w:tcBorders>
              <w:top w:val="nil"/>
              <w:left w:val="nil"/>
              <w:bottom w:val="nil"/>
              <w:right w:val="nil"/>
            </w:tcBorders>
            <w:noWrap/>
            <w:vAlign w:val="bottom"/>
          </w:tcPr>
          <w:p w14:paraId="06A93928"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5</w:t>
            </w:r>
          </w:p>
        </w:tc>
        <w:tc>
          <w:tcPr>
            <w:tcW w:w="368" w:type="pct"/>
            <w:tcBorders>
              <w:top w:val="nil"/>
              <w:left w:val="nil"/>
              <w:bottom w:val="nil"/>
              <w:right w:val="nil"/>
            </w:tcBorders>
            <w:noWrap/>
            <w:vAlign w:val="bottom"/>
          </w:tcPr>
          <w:p w14:paraId="250263B6"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2009</w:t>
            </w:r>
          </w:p>
        </w:tc>
      </w:tr>
      <w:tr w:rsidR="00704F90" w:rsidRPr="00C94C6D" w14:paraId="0D3A8608" w14:textId="77777777" w:rsidTr="00704F90">
        <w:trPr>
          <w:trHeight w:val="288"/>
        </w:trPr>
        <w:tc>
          <w:tcPr>
            <w:tcW w:w="408" w:type="pct"/>
            <w:tcBorders>
              <w:top w:val="nil"/>
              <w:left w:val="nil"/>
              <w:bottom w:val="nil"/>
              <w:right w:val="nil"/>
            </w:tcBorders>
            <w:noWrap/>
            <w:vAlign w:val="bottom"/>
            <w:hideMark/>
          </w:tcPr>
          <w:p w14:paraId="1B27B442"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5</w:t>
            </w:r>
          </w:p>
        </w:tc>
        <w:tc>
          <w:tcPr>
            <w:tcW w:w="2659" w:type="pct"/>
            <w:tcBorders>
              <w:top w:val="nil"/>
              <w:left w:val="nil"/>
              <w:bottom w:val="nil"/>
              <w:right w:val="nil"/>
            </w:tcBorders>
            <w:noWrap/>
            <w:vAlign w:val="bottom"/>
          </w:tcPr>
          <w:p w14:paraId="5D3B05B7" w14:textId="77777777" w:rsidR="00704F90" w:rsidRPr="00C94C6D" w:rsidRDefault="00704F90" w:rsidP="00786302">
            <w:pPr>
              <w:ind w:left="175"/>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Universidad Federal de Santa Catarina</w:t>
            </w:r>
          </w:p>
        </w:tc>
        <w:tc>
          <w:tcPr>
            <w:tcW w:w="938" w:type="pct"/>
            <w:tcBorders>
              <w:top w:val="nil"/>
              <w:left w:val="nil"/>
              <w:bottom w:val="nil"/>
              <w:right w:val="nil"/>
            </w:tcBorders>
            <w:noWrap/>
            <w:vAlign w:val="bottom"/>
          </w:tcPr>
          <w:p w14:paraId="3C573118"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Brazil</w:t>
            </w:r>
          </w:p>
        </w:tc>
        <w:tc>
          <w:tcPr>
            <w:tcW w:w="626" w:type="pct"/>
            <w:tcBorders>
              <w:top w:val="nil"/>
              <w:left w:val="nil"/>
              <w:bottom w:val="nil"/>
              <w:right w:val="nil"/>
            </w:tcBorders>
            <w:noWrap/>
            <w:vAlign w:val="bottom"/>
          </w:tcPr>
          <w:p w14:paraId="780349F8"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4</w:t>
            </w:r>
          </w:p>
        </w:tc>
        <w:tc>
          <w:tcPr>
            <w:tcW w:w="368" w:type="pct"/>
            <w:tcBorders>
              <w:top w:val="nil"/>
              <w:left w:val="nil"/>
              <w:bottom w:val="nil"/>
              <w:right w:val="nil"/>
            </w:tcBorders>
            <w:noWrap/>
            <w:vAlign w:val="bottom"/>
          </w:tcPr>
          <w:p w14:paraId="3139B0A5"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2005</w:t>
            </w:r>
          </w:p>
        </w:tc>
      </w:tr>
      <w:tr w:rsidR="00704F90" w:rsidRPr="00C94C6D" w14:paraId="44F2EB69" w14:textId="77777777" w:rsidTr="00704F90">
        <w:trPr>
          <w:trHeight w:val="288"/>
        </w:trPr>
        <w:tc>
          <w:tcPr>
            <w:tcW w:w="408" w:type="pct"/>
            <w:tcBorders>
              <w:top w:val="nil"/>
              <w:left w:val="nil"/>
              <w:bottom w:val="nil"/>
              <w:right w:val="nil"/>
            </w:tcBorders>
            <w:noWrap/>
            <w:vAlign w:val="bottom"/>
            <w:hideMark/>
          </w:tcPr>
          <w:p w14:paraId="19349D73"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6</w:t>
            </w:r>
          </w:p>
        </w:tc>
        <w:tc>
          <w:tcPr>
            <w:tcW w:w="2659" w:type="pct"/>
            <w:tcBorders>
              <w:top w:val="nil"/>
              <w:left w:val="nil"/>
              <w:bottom w:val="nil"/>
              <w:right w:val="nil"/>
            </w:tcBorders>
            <w:noWrap/>
            <w:vAlign w:val="bottom"/>
          </w:tcPr>
          <w:p w14:paraId="128915A1" w14:textId="77777777" w:rsidR="00704F90" w:rsidRPr="00C94C6D" w:rsidRDefault="00704F90" w:rsidP="00786302">
            <w:pPr>
              <w:ind w:left="175"/>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Universidad de Salamanca</w:t>
            </w:r>
          </w:p>
        </w:tc>
        <w:tc>
          <w:tcPr>
            <w:tcW w:w="938" w:type="pct"/>
            <w:tcBorders>
              <w:top w:val="nil"/>
              <w:left w:val="nil"/>
              <w:bottom w:val="nil"/>
              <w:right w:val="nil"/>
            </w:tcBorders>
            <w:noWrap/>
            <w:vAlign w:val="bottom"/>
          </w:tcPr>
          <w:p w14:paraId="300F7497"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Spanyol</w:t>
            </w:r>
          </w:p>
        </w:tc>
        <w:tc>
          <w:tcPr>
            <w:tcW w:w="626" w:type="pct"/>
            <w:tcBorders>
              <w:top w:val="nil"/>
              <w:left w:val="nil"/>
              <w:bottom w:val="nil"/>
              <w:right w:val="nil"/>
            </w:tcBorders>
            <w:noWrap/>
            <w:vAlign w:val="bottom"/>
          </w:tcPr>
          <w:p w14:paraId="5BF89A0C"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4</w:t>
            </w:r>
          </w:p>
        </w:tc>
        <w:tc>
          <w:tcPr>
            <w:tcW w:w="368" w:type="pct"/>
            <w:tcBorders>
              <w:top w:val="nil"/>
              <w:left w:val="nil"/>
              <w:bottom w:val="nil"/>
              <w:right w:val="nil"/>
            </w:tcBorders>
            <w:noWrap/>
            <w:vAlign w:val="bottom"/>
          </w:tcPr>
          <w:p w14:paraId="6B3AAC5A"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1997</w:t>
            </w:r>
          </w:p>
        </w:tc>
      </w:tr>
      <w:tr w:rsidR="00704F90" w:rsidRPr="00C94C6D" w14:paraId="2A877A23" w14:textId="77777777" w:rsidTr="00704F90">
        <w:trPr>
          <w:trHeight w:val="288"/>
        </w:trPr>
        <w:tc>
          <w:tcPr>
            <w:tcW w:w="408" w:type="pct"/>
            <w:tcBorders>
              <w:top w:val="nil"/>
              <w:left w:val="nil"/>
              <w:bottom w:val="nil"/>
              <w:right w:val="nil"/>
            </w:tcBorders>
            <w:noWrap/>
            <w:vAlign w:val="bottom"/>
            <w:hideMark/>
          </w:tcPr>
          <w:p w14:paraId="363DF895"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7</w:t>
            </w:r>
          </w:p>
        </w:tc>
        <w:tc>
          <w:tcPr>
            <w:tcW w:w="2659" w:type="pct"/>
            <w:tcBorders>
              <w:top w:val="nil"/>
              <w:left w:val="nil"/>
              <w:bottom w:val="nil"/>
              <w:right w:val="nil"/>
            </w:tcBorders>
            <w:noWrap/>
            <w:vAlign w:val="bottom"/>
          </w:tcPr>
          <w:p w14:paraId="02763304" w14:textId="77777777" w:rsidR="00704F90" w:rsidRPr="00C94C6D" w:rsidRDefault="00704F90" w:rsidP="00786302">
            <w:pPr>
              <w:ind w:left="175"/>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Universidad de Sevilla</w:t>
            </w:r>
          </w:p>
        </w:tc>
        <w:tc>
          <w:tcPr>
            <w:tcW w:w="938" w:type="pct"/>
            <w:tcBorders>
              <w:top w:val="nil"/>
              <w:left w:val="nil"/>
              <w:bottom w:val="nil"/>
              <w:right w:val="nil"/>
            </w:tcBorders>
            <w:noWrap/>
            <w:vAlign w:val="bottom"/>
          </w:tcPr>
          <w:p w14:paraId="0B8FCD7D"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Spanyol</w:t>
            </w:r>
          </w:p>
        </w:tc>
        <w:tc>
          <w:tcPr>
            <w:tcW w:w="626" w:type="pct"/>
            <w:tcBorders>
              <w:top w:val="nil"/>
              <w:left w:val="nil"/>
              <w:bottom w:val="nil"/>
              <w:right w:val="nil"/>
            </w:tcBorders>
            <w:noWrap/>
            <w:vAlign w:val="bottom"/>
          </w:tcPr>
          <w:p w14:paraId="26CAEE42"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4</w:t>
            </w:r>
          </w:p>
        </w:tc>
        <w:tc>
          <w:tcPr>
            <w:tcW w:w="368" w:type="pct"/>
            <w:tcBorders>
              <w:top w:val="nil"/>
              <w:left w:val="nil"/>
              <w:bottom w:val="nil"/>
              <w:right w:val="nil"/>
            </w:tcBorders>
            <w:noWrap/>
            <w:vAlign w:val="bottom"/>
          </w:tcPr>
          <w:p w14:paraId="52232D23"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2015</w:t>
            </w:r>
          </w:p>
        </w:tc>
      </w:tr>
      <w:tr w:rsidR="00704F90" w:rsidRPr="00C94C6D" w14:paraId="6EAB4F58" w14:textId="77777777" w:rsidTr="00704F90">
        <w:trPr>
          <w:trHeight w:val="288"/>
        </w:trPr>
        <w:tc>
          <w:tcPr>
            <w:tcW w:w="408" w:type="pct"/>
            <w:tcBorders>
              <w:top w:val="nil"/>
              <w:left w:val="nil"/>
              <w:bottom w:val="nil"/>
              <w:right w:val="nil"/>
            </w:tcBorders>
            <w:noWrap/>
            <w:vAlign w:val="bottom"/>
            <w:hideMark/>
          </w:tcPr>
          <w:p w14:paraId="2A65476A"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8</w:t>
            </w:r>
          </w:p>
        </w:tc>
        <w:tc>
          <w:tcPr>
            <w:tcW w:w="2659" w:type="pct"/>
            <w:tcBorders>
              <w:top w:val="nil"/>
              <w:left w:val="nil"/>
              <w:bottom w:val="nil"/>
              <w:right w:val="nil"/>
            </w:tcBorders>
            <w:noWrap/>
            <w:vAlign w:val="bottom"/>
          </w:tcPr>
          <w:p w14:paraId="0A7177EA" w14:textId="77777777" w:rsidR="00704F90" w:rsidRPr="00C94C6D" w:rsidRDefault="00704F90" w:rsidP="00786302">
            <w:pPr>
              <w:ind w:left="175"/>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Universidade Estadual de Maringa</w:t>
            </w:r>
          </w:p>
        </w:tc>
        <w:tc>
          <w:tcPr>
            <w:tcW w:w="938" w:type="pct"/>
            <w:tcBorders>
              <w:top w:val="nil"/>
              <w:left w:val="nil"/>
              <w:bottom w:val="nil"/>
              <w:right w:val="nil"/>
            </w:tcBorders>
            <w:noWrap/>
            <w:vAlign w:val="bottom"/>
          </w:tcPr>
          <w:p w14:paraId="3E120DA5"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Brazil</w:t>
            </w:r>
          </w:p>
        </w:tc>
        <w:tc>
          <w:tcPr>
            <w:tcW w:w="626" w:type="pct"/>
            <w:tcBorders>
              <w:top w:val="nil"/>
              <w:left w:val="nil"/>
              <w:bottom w:val="nil"/>
              <w:right w:val="nil"/>
            </w:tcBorders>
            <w:noWrap/>
            <w:vAlign w:val="bottom"/>
          </w:tcPr>
          <w:p w14:paraId="55A25146"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3</w:t>
            </w:r>
          </w:p>
        </w:tc>
        <w:tc>
          <w:tcPr>
            <w:tcW w:w="368" w:type="pct"/>
            <w:tcBorders>
              <w:top w:val="nil"/>
              <w:left w:val="nil"/>
              <w:bottom w:val="nil"/>
              <w:right w:val="nil"/>
            </w:tcBorders>
            <w:noWrap/>
            <w:vAlign w:val="bottom"/>
          </w:tcPr>
          <w:p w14:paraId="4F14DE91"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2009</w:t>
            </w:r>
          </w:p>
        </w:tc>
      </w:tr>
      <w:tr w:rsidR="00704F90" w:rsidRPr="00C94C6D" w14:paraId="5933AA13" w14:textId="77777777" w:rsidTr="00704F90">
        <w:trPr>
          <w:trHeight w:val="288"/>
        </w:trPr>
        <w:tc>
          <w:tcPr>
            <w:tcW w:w="408" w:type="pct"/>
            <w:tcBorders>
              <w:top w:val="nil"/>
              <w:left w:val="nil"/>
              <w:right w:val="nil"/>
            </w:tcBorders>
            <w:noWrap/>
            <w:vAlign w:val="bottom"/>
            <w:hideMark/>
          </w:tcPr>
          <w:p w14:paraId="3D0FC7AC"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9</w:t>
            </w:r>
          </w:p>
        </w:tc>
        <w:tc>
          <w:tcPr>
            <w:tcW w:w="2659" w:type="pct"/>
            <w:tcBorders>
              <w:top w:val="nil"/>
              <w:left w:val="nil"/>
              <w:right w:val="nil"/>
            </w:tcBorders>
            <w:noWrap/>
            <w:vAlign w:val="bottom"/>
          </w:tcPr>
          <w:p w14:paraId="216BF01F" w14:textId="77777777" w:rsidR="00704F90" w:rsidRPr="00C94C6D" w:rsidRDefault="00704F90" w:rsidP="00786302">
            <w:pPr>
              <w:ind w:left="175"/>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Saveetha School of Engineering</w:t>
            </w:r>
          </w:p>
        </w:tc>
        <w:tc>
          <w:tcPr>
            <w:tcW w:w="938" w:type="pct"/>
            <w:tcBorders>
              <w:top w:val="nil"/>
              <w:left w:val="nil"/>
              <w:right w:val="nil"/>
            </w:tcBorders>
            <w:noWrap/>
            <w:vAlign w:val="bottom"/>
          </w:tcPr>
          <w:p w14:paraId="44E7988C"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India</w:t>
            </w:r>
          </w:p>
        </w:tc>
        <w:tc>
          <w:tcPr>
            <w:tcW w:w="626" w:type="pct"/>
            <w:tcBorders>
              <w:top w:val="nil"/>
              <w:left w:val="nil"/>
              <w:right w:val="nil"/>
            </w:tcBorders>
            <w:noWrap/>
            <w:vAlign w:val="bottom"/>
          </w:tcPr>
          <w:p w14:paraId="03D4110C"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3</w:t>
            </w:r>
          </w:p>
        </w:tc>
        <w:tc>
          <w:tcPr>
            <w:tcW w:w="368" w:type="pct"/>
            <w:tcBorders>
              <w:top w:val="nil"/>
              <w:left w:val="nil"/>
              <w:right w:val="nil"/>
            </w:tcBorders>
            <w:noWrap/>
            <w:vAlign w:val="bottom"/>
          </w:tcPr>
          <w:p w14:paraId="799EB932"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2022</w:t>
            </w:r>
          </w:p>
        </w:tc>
      </w:tr>
      <w:tr w:rsidR="00704F90" w:rsidRPr="00C94C6D" w14:paraId="25CB1C42" w14:textId="77777777" w:rsidTr="00704F90">
        <w:trPr>
          <w:trHeight w:val="288"/>
        </w:trPr>
        <w:tc>
          <w:tcPr>
            <w:tcW w:w="408" w:type="pct"/>
            <w:tcBorders>
              <w:top w:val="nil"/>
              <w:left w:val="nil"/>
              <w:bottom w:val="single" w:sz="4" w:space="0" w:color="auto"/>
              <w:right w:val="nil"/>
            </w:tcBorders>
            <w:noWrap/>
            <w:vAlign w:val="bottom"/>
            <w:hideMark/>
          </w:tcPr>
          <w:p w14:paraId="2E107EEF"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10</w:t>
            </w:r>
          </w:p>
        </w:tc>
        <w:tc>
          <w:tcPr>
            <w:tcW w:w="2659" w:type="pct"/>
            <w:tcBorders>
              <w:top w:val="nil"/>
              <w:left w:val="nil"/>
              <w:bottom w:val="single" w:sz="4" w:space="0" w:color="auto"/>
              <w:right w:val="nil"/>
            </w:tcBorders>
            <w:noWrap/>
            <w:vAlign w:val="bottom"/>
          </w:tcPr>
          <w:p w14:paraId="49E25D1B" w14:textId="77777777" w:rsidR="00704F90" w:rsidRPr="00C94C6D" w:rsidRDefault="00704F90" w:rsidP="00786302">
            <w:pPr>
              <w:ind w:left="175"/>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Universidade Federal do Rio de Janeiro</w:t>
            </w:r>
          </w:p>
        </w:tc>
        <w:tc>
          <w:tcPr>
            <w:tcW w:w="938" w:type="pct"/>
            <w:tcBorders>
              <w:top w:val="nil"/>
              <w:left w:val="nil"/>
              <w:bottom w:val="single" w:sz="4" w:space="0" w:color="auto"/>
              <w:right w:val="nil"/>
            </w:tcBorders>
            <w:noWrap/>
            <w:vAlign w:val="bottom"/>
          </w:tcPr>
          <w:p w14:paraId="0C1ABD3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Brazil</w:t>
            </w:r>
          </w:p>
        </w:tc>
        <w:tc>
          <w:tcPr>
            <w:tcW w:w="626" w:type="pct"/>
            <w:tcBorders>
              <w:top w:val="nil"/>
              <w:left w:val="nil"/>
              <w:bottom w:val="single" w:sz="4" w:space="0" w:color="auto"/>
              <w:right w:val="nil"/>
            </w:tcBorders>
            <w:noWrap/>
            <w:vAlign w:val="bottom"/>
          </w:tcPr>
          <w:p w14:paraId="78D88EE2"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w:t>
            </w:r>
          </w:p>
        </w:tc>
        <w:tc>
          <w:tcPr>
            <w:tcW w:w="368" w:type="pct"/>
            <w:tcBorders>
              <w:top w:val="nil"/>
              <w:left w:val="nil"/>
              <w:bottom w:val="single" w:sz="4" w:space="0" w:color="auto"/>
              <w:right w:val="nil"/>
            </w:tcBorders>
            <w:noWrap/>
            <w:vAlign w:val="bottom"/>
          </w:tcPr>
          <w:p w14:paraId="26EE7A00" w14:textId="77777777" w:rsidR="00704F90" w:rsidRPr="00C94C6D" w:rsidRDefault="00704F90"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2017</w:t>
            </w:r>
          </w:p>
        </w:tc>
      </w:tr>
    </w:tbl>
    <w:p w14:paraId="3C7D64C6" w14:textId="33312573" w:rsidR="004269A5" w:rsidRDefault="004269A5" w:rsidP="00704F90">
      <w:pPr>
        <w:spacing w:before="240"/>
        <w:ind w:left="1560"/>
        <w:jc w:val="both"/>
        <w:rPr>
          <w:rFonts w:cs="Times New Roman"/>
          <w:i/>
          <w:iCs/>
          <w:sz w:val="24"/>
          <w:szCs w:val="24"/>
        </w:rPr>
      </w:pPr>
      <w:r w:rsidRPr="00F45A84">
        <w:rPr>
          <w:rFonts w:cs="Times New Roman"/>
          <w:i/>
          <w:iCs/>
          <w:sz w:val="24"/>
          <w:szCs w:val="24"/>
        </w:rPr>
        <w:t>NP=total number of publications, FP=year of first publication</w:t>
      </w:r>
    </w:p>
    <w:p w14:paraId="1CA063F0" w14:textId="77777777" w:rsidR="00704F90" w:rsidRPr="00F45A84" w:rsidRDefault="00704F90" w:rsidP="00704F90">
      <w:pPr>
        <w:spacing w:before="240"/>
        <w:ind w:left="1560"/>
        <w:jc w:val="both"/>
        <w:rPr>
          <w:rFonts w:cs="Times New Roman"/>
          <w:i/>
          <w:iCs/>
          <w:sz w:val="24"/>
          <w:szCs w:val="24"/>
        </w:rPr>
      </w:pPr>
    </w:p>
    <w:p w14:paraId="318FE0E3" w14:textId="77777777" w:rsidR="004269A5" w:rsidRPr="00F45A84" w:rsidRDefault="004269A5" w:rsidP="004269A5">
      <w:pPr>
        <w:spacing w:before="240"/>
        <w:ind w:left="1560"/>
        <w:jc w:val="both"/>
        <w:rPr>
          <w:rFonts w:cs="Times New Roman"/>
          <w:sz w:val="24"/>
          <w:szCs w:val="24"/>
        </w:rPr>
      </w:pPr>
    </w:p>
    <w:p w14:paraId="77B33FF3" w14:textId="77777777" w:rsidR="004269A5" w:rsidRPr="00F45A84" w:rsidRDefault="004269A5" w:rsidP="004269A5">
      <w:pPr>
        <w:spacing w:before="240"/>
        <w:ind w:left="1560"/>
        <w:jc w:val="both"/>
        <w:rPr>
          <w:rFonts w:cs="Times New Roman"/>
          <w:sz w:val="24"/>
          <w:szCs w:val="24"/>
        </w:rPr>
      </w:pPr>
      <w:r w:rsidRPr="00F45A84">
        <w:rPr>
          <w:rFonts w:cs="Times New Roman"/>
          <w:noProof/>
          <w:sz w:val="24"/>
          <w:szCs w:val="24"/>
        </w:rPr>
        <w:lastRenderedPageBreak/>
        <w:drawing>
          <wp:inline distT="0" distB="0" distL="0" distR="0" wp14:anchorId="26D2C7F7" wp14:editId="7F4E21D3">
            <wp:extent cx="5326380" cy="3532239"/>
            <wp:effectExtent l="0" t="0" r="7620" b="0"/>
            <wp:docPr id="1885522787" name="Chart 1">
              <a:extLst xmlns:a="http://schemas.openxmlformats.org/drawingml/2006/main">
                <a:ext uri="{FF2B5EF4-FFF2-40B4-BE49-F238E27FC236}">
                  <a16:creationId xmlns:a16="http://schemas.microsoft.com/office/drawing/2014/main" id="{1279BF00-37C3-BD66-82CB-8DDA1FBB37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2A9452A" w14:textId="77777777" w:rsidR="004269A5" w:rsidRPr="00F45A84" w:rsidRDefault="004269A5" w:rsidP="004269A5">
      <w:pPr>
        <w:spacing w:before="240"/>
        <w:ind w:left="1560"/>
        <w:jc w:val="both"/>
        <w:rPr>
          <w:rFonts w:cs="Times New Roman"/>
          <w:sz w:val="24"/>
          <w:szCs w:val="24"/>
        </w:rPr>
      </w:pPr>
      <w:r w:rsidRPr="00F45A84">
        <w:rPr>
          <w:rFonts w:cs="Times New Roman"/>
          <w:b/>
          <w:bCs/>
          <w:sz w:val="24"/>
          <w:szCs w:val="24"/>
        </w:rPr>
        <w:t xml:space="preserve">Figure 5. </w:t>
      </w:r>
      <w:r w:rsidRPr="00F45A84">
        <w:rPr>
          <w:rFonts w:cs="Times New Roman"/>
          <w:sz w:val="24"/>
          <w:szCs w:val="24"/>
        </w:rPr>
        <w:t>Affiliate production from year to year</w:t>
      </w:r>
    </w:p>
    <w:p w14:paraId="22CF27B6" w14:textId="77777777" w:rsidR="004269A5" w:rsidRPr="00F45A84" w:rsidRDefault="004269A5" w:rsidP="004269A5">
      <w:pPr>
        <w:spacing w:before="240"/>
        <w:ind w:left="1560"/>
        <w:jc w:val="both"/>
        <w:rPr>
          <w:rFonts w:cs="Times New Roman"/>
          <w:b/>
          <w:bCs/>
          <w:sz w:val="24"/>
          <w:szCs w:val="24"/>
        </w:rPr>
      </w:pPr>
      <w:r w:rsidRPr="00F45A84">
        <w:rPr>
          <w:rFonts w:cs="Times New Roman"/>
          <w:b/>
          <w:bCs/>
          <w:sz w:val="24"/>
          <w:szCs w:val="24"/>
        </w:rPr>
        <w:t>The most influential journals</w:t>
      </w:r>
    </w:p>
    <w:p w14:paraId="00334797"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Based on Table 4, the Journal of Food Engineering holds the top position as the most influential journal in Model Predictive Control (MPC) research in the sugar industry, with the highest total citations (TC = 241) despite containing only 8 publications. This indicates that MPC articles published in this journal have a significant scientific impact and are often used as primary references. This journal's dominance can be explained by its focus on modeling, process control, and the application of advanced control techniques in the food industry, including sugar evaporation and crystallization </w:t>
      </w:r>
      <w:r w:rsidRPr="00F45A84">
        <w:rPr>
          <w:rFonts w:cs="Times New Roman"/>
          <w:sz w:val="24"/>
          <w:szCs w:val="24"/>
        </w:rPr>
        <w:fldChar w:fldCharType="begin"/>
      </w:r>
      <w:r w:rsidRPr="00F45A84">
        <w:rPr>
          <w:rFonts w:cs="Times New Roman"/>
          <w:sz w:val="24"/>
          <w:szCs w:val="24"/>
        </w:rPr>
        <w:instrText xml:space="preserve"> ADDIN ZOTERO_ITEM CSL_CITATION {"citationID":"Q30JqwBC","properties":{"formattedCitation":"(Jorge et al., 2010; Khaire &amp; Gogate, 2018; Quintas et al., 2006)","plainCitation":"(Jorge et al., 2010; Khaire &amp; Gogate, 2018; Quintas et al., 2006)","noteIndex":0},"citationItems":[{"id":18771,"uris":["http://zotero.org/users/12817968/items/EKWREQKX"],"itemData":{"id":18771,"type":"article-journal","container-title":"Journal of Food Engineering","DOI":"10.1016/j.jfoodeng.2010.03.017","ISSN":"02608774","issue":"3","journalAbbreviation":"Journal of Food Engineering","language":"en","page":"351-359","source":"DOI.org (Crossref)","title":"Simulation and analysis of a sugarcane juice evaporation system","volume":"99","author":[{"family":"Jorge","given":"L.M.M."},{"family":"Righetto","given":"A.R."},{"family":"Polli","given":"P.A."},{"family":"Santos","given":"O.A.A."},{"family":"Filho","given":"R. Maciel"}],"issued":{"date-parts":[["2010",8]]}}},{"id":18774,"uris":["http://zotero.org/users/12817968/items/92GJXCUG"],"itemData":{"id":18774,"type":"article-journal","container-title":"Journal of Food Engineering","DOI":"10.1016/j.jfoodeng.2018.04.027","ISSN":"02608774","journalAbbreviation":"Journal of Food Engineering","language":"en","page":"240-248","source":"DOI.org (Crossref)","title":"Intensified recovery of lactose from whey using thermal, ultrasonic and thermosonication pretreatments","volume":"237","author":[{"family":"Khaire","given":"Rajeshree A."},{"family":"Gogate","given":"Parag R."}],"issued":{"date-parts":[["2018",11]]}}},{"id":18739,"uris":["http://zotero.org/users/12817968/items/873G28H3"],"itemData":{"id":18739,"type":"article-journal","container-title":"Journal of Food Engineering","DOI":"10.1016/j.jfoodeng.2005.08.011","ISSN":"02608774","issue":"4","journalAbbreviation":"Journal of Food Engineering","language":"en","license":"https://www.elsevier.com/tdm/userlicense/1.0/","page":"844-852","source":"DOI.org (Crossref)","title":"Rheology of supersaturated sucrose solutions","volume":"77","author":[{"family":"Quintas","given":"M."},{"family":"Brandão","given":"T.R.S."},{"family":"Silva","given":"C.L.M."},{"family":"Cunha","given":"R.L."}],"issued":{"date-parts":[["2006",12]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(Jorge et al., 2010; Khaire &amp; Gogate, 2018; Quintas et al., 2006) </w:t>
      </w:r>
      <w:r w:rsidRPr="00F45A84">
        <w:rPr>
          <w:rFonts w:cs="Times New Roman"/>
          <w:sz w:val="24"/>
          <w:szCs w:val="24"/>
        </w:rPr>
        <w:fldChar w:fldCharType="end"/>
      </w:r>
      <w:r w:rsidRPr="00F45A84">
        <w:rPr>
          <w:rFonts w:cs="Times New Roman"/>
          <w:sz w:val="24"/>
          <w:szCs w:val="24"/>
        </w:rPr>
        <w:t>.</w:t>
      </w:r>
    </w:p>
    <w:p w14:paraId="4A4E107F"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The journals Energy and Applied Thermal Engineering, both ranked in the Q1 quartile, also showed significant influence despite their relatively limited number of publications. The presence of these two journals confirms that MPC research in the sugar industry is not only positioned as a process control issue, but is also closely related to energy efficiency and thermal system optimization, particularly in multi-effect evaporator units and process heating systems </w:t>
      </w:r>
      <w:r w:rsidRPr="00F45A84">
        <w:rPr>
          <w:rFonts w:cs="Times New Roman"/>
          <w:sz w:val="24"/>
          <w:szCs w:val="24"/>
        </w:rPr>
        <w:fldChar w:fldCharType="begin"/>
      </w:r>
      <w:r w:rsidRPr="00F45A84">
        <w:rPr>
          <w:rFonts w:cs="Times New Roman"/>
          <w:sz w:val="24"/>
          <w:szCs w:val="24"/>
        </w:rPr>
        <w:instrText xml:space="preserve"> ADDIN ZOTERO_ITEM CSL_CITATION {"citationID":"0ooUZW0i","properties":{"formattedCitation":"(Kaya &amp; Ibrahim Sarac, 2007; Mkwananzi et al., 2019; Pina et al., 2017)","plainCitation":"(Kaya &amp; Ibrahim Sarac, 2007; Mkwananzi et al., 2019; Pina et al., 2017)","noteIndex":0},"citationItems":[{"id":18740,"uris":["http://zotero.org/users/12817968/items/KYNYRVV4"],"itemData":{"id":18740,"type":"article-journal","container-title":"Energy","DOI":"10.1016/j.energy.2006.09.002","ISSN":"03605442","issue":"8","journalAbbreviation":"Energy","language":"en","license":"https://www.elsevier.com/tdm/userlicense/1.0/","page":"1536-1542","source":"DOI.org (Crossref)","title":"Mathematical modeling of multiple-effect evaporators and energy economy","volume":"32","author":[{"family":"Kaya","given":"Durmus"},{"family":"Ibrahim Sarac","given":"H."}],"issued":{"date-parts":[["2007",8]]}}},{"id":18776,"uris":["http://zotero.org/users/12817968/items/C285IHEY"],"itemData":{"id":18776,"type":"article-journal","container-title":"Energy","DOI":"10.1016/j.energy.2019.03.191","ISSN":"03605442","journalAbbreviation":"Energy","language":"en","page":"211-223","source":"DOI.org (Crossref)","title":"Disturbance modelling through steady-state value deviations: The determination of suitable energy indicators and parameters for energy consumption monitoring in a typical sugar mill","title-short":"Disturbance modelling through steady-state value deviations","volume":"176","author":[{"family":"Mkwananzi","given":"Thobeka"},{"family":"Mandegari","given":"Mohsen"},{"family":"Görgens","given":"Johann F."}],"issued":{"date-parts":[["2019",6]]}}},{"id":18741,"uris":["http://zotero.org/users/12817968/items/E828N99P"],"itemData":{"id":18741,"type":"article-journal","container-title":"Energy","DOI":"10.1016/j.energy.2015.06.054","ISSN":"03605442","journalAbbreviation":"Energy","language":"en","page":"1263-1280","source":"DOI.org (Crossref)","title":"Reduction of process steam demand and water-usage through heat integration in sugar and ethanol production from sugarcane – Evaluation of different plant configurations","volume":"138","author":[{"family":"Pina","given":"Eduardo A."},{"family":"Palacios-Bereche","given":"Reynaldo"},{"family":"Chavez-Rodriguez","given":"Mauro F."},{"family":"Ensinas","given":"Adriano V."},{"family":"Modesto","given":"Marcelo"},{"family":"Nebra","given":"Silvia A."}],"issued":{"date-parts":[["2017",11]]}}}],"schema":"https://github.com/citation-style-language/schema/raw/master/csl-citation.json"}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(Kaya &amp; Ibrahim Sarac, 2007; Mkwananzi et al., 2019; Pina et al., 2017) </w:t>
      </w:r>
      <w:r w:rsidRPr="00F45A84">
        <w:rPr>
          <w:rFonts w:cs="Times New Roman"/>
          <w:sz w:val="24"/>
          <w:szCs w:val="24"/>
        </w:rPr>
        <w:fldChar w:fldCharType="end"/>
      </w:r>
      <w:r w:rsidRPr="00F45A84">
        <w:rPr>
          <w:rFonts w:cs="Times New Roman"/>
          <w:sz w:val="24"/>
          <w:szCs w:val="24"/>
        </w:rPr>
        <w:t>. This aligns with the energy-intensive nature of the sugar industry and the need for a model-based optimization approach.</w:t>
      </w:r>
    </w:p>
    <w:p w14:paraId="2FDBAB29" w14:textId="77777777" w:rsidR="004269A5" w:rsidRDefault="004269A5" w:rsidP="004269A5">
      <w:pPr>
        <w:spacing w:before="240"/>
        <w:ind w:left="1560"/>
        <w:jc w:val="both"/>
        <w:rPr>
          <w:rFonts w:cs="Times New Roman"/>
          <w:sz w:val="24"/>
          <w:szCs w:val="24"/>
        </w:rPr>
      </w:pPr>
      <w:r w:rsidRPr="00F45A84">
        <w:rPr>
          <w:rFonts w:cs="Times New Roman"/>
          <w:sz w:val="24"/>
          <w:szCs w:val="24"/>
        </w:rPr>
        <w:t xml:space="preserve">From a systems control perspective, the Journal of Process Control and Control Engineering Practice emerged as core journals with a Q1 quartile and stable citation counts. These journals played a key role in publishing methodological developments in MPC, such as generalized predictive control (GPC), nonlinear MPC, and neural predictive control, which were then applied to sugar and related bioindustrial processes </w:t>
      </w:r>
      <w:r w:rsidRPr="00F45A84">
        <w:rPr>
          <w:rFonts w:cs="Times New Roman"/>
          <w:sz w:val="24"/>
          <w:szCs w:val="24"/>
        </w:rPr>
        <w:fldChar w:fldCharType="begin"/>
      </w:r>
      <w:r w:rsidRPr="00F45A84">
        <w:rPr>
          <w:rFonts w:cs="Times New Roman"/>
          <w:sz w:val="24"/>
          <w:szCs w:val="24"/>
        </w:rPr>
        <w:instrText xml:space="preserve"> ADDIN ZOTERO_ITEM CSL_CITATION {"citationID":"mz3xODry","properties":{"formattedCitation":"(Mazaeda et al., 2020; Menezes Morato et al., 2017; Vergara-Dietrich et al., 2019a; Zamarre\\uc0\\u241{}o &amp; Vega, 1999)","plainCitation":"(Mazaeda et al., 2020; Menezes Morato et al., 2017; Vergara-Dietrich et al., 2019a; Zamarreño &amp; Vega, 1999)","noteIndex":0},"citationItems":[{"id":18764,"uris":["http://zotero.org/users/12817968/items/859ADSMN"],"itemData":{"id":18764,"type":"article-journal","abstract":"Summary\n            This paper deals with the optimal operation of processes that combine batch and continuous units. The proposed approach is based on a hierarchical architecture with two layers. The lower layer manages the optimal operation of the batch units in a noncentralized fashion, whereas the upper layer is concerned with the scheduling of the batch units and with their smooth integration with the continuous ones. The strategy has been applied to a challenging problem found at the interface of the fed</w:instrText>
      </w:r>
      <w:r w:rsidRPr="00F45A84">
        <w:rPr>
          <w:rFonts w:ascii="Cambria Math" w:hAnsi="Cambria Math" w:cs="Cambria Math"/>
          <w:sz w:val="24"/>
          <w:szCs w:val="24"/>
        </w:rPr>
        <w:instrText>‐</w:instrText>
      </w:r>
      <w:r w:rsidRPr="00F45A84">
        <w:rPr>
          <w:rFonts w:cs="Times New Roman"/>
          <w:sz w:val="24"/>
          <w:szCs w:val="24"/>
        </w:rPr>
        <w:instrText>batch crystallizers with the upstream evaporation section in beet sugar factories. The presented approach aims at designing a system that can effectively perform the plantwide economic optimization, specifically addressing the issue of energy efficiency, while complying with all process and operational constraints.","container-title":"Optimal Control Applications and Methods","DOI":"10.1002/oca.2535","ISSN":"0143-2087, 1099-1514","issue":"1","journalAbbreviation":"Optim Control Appl Methods","language":"en","page":"190-214","source":"DOI.org (Crossref)","title":"Hierarchically coordinated economic MPC plantwide control of mixed continuous</w:instrText>
      </w:r>
      <w:r w:rsidRPr="00F45A84">
        <w:rPr>
          <w:rFonts w:ascii="Cambria Math" w:hAnsi="Cambria Math" w:cs="Cambria Math"/>
          <w:sz w:val="24"/>
          <w:szCs w:val="24"/>
        </w:rPr>
        <w:instrText>‐</w:instrText>
      </w:r>
      <w:r w:rsidRPr="00F45A84">
        <w:rPr>
          <w:rFonts w:cs="Times New Roman"/>
          <w:sz w:val="24"/>
          <w:szCs w:val="24"/>
        </w:rPr>
        <w:instrText>batch units in process industries with application to a beet sugar plant","volume":"41","author":[{"family":"Mazaeda","given":"Rogelio"},{"family":"Cristea","given":"Smaranda P."},{"family":"De Prada","given":"C</w:instrText>
      </w:r>
      <w:r w:rsidRPr="00F45A84">
        <w:rPr>
          <w:sz w:val="24"/>
          <w:szCs w:val="24"/>
        </w:rPr>
        <w:instrText>é</w:instrText>
      </w:r>
      <w:r w:rsidRPr="00F45A84">
        <w:rPr>
          <w:rFonts w:cs="Times New Roman"/>
          <w:sz w:val="24"/>
          <w:szCs w:val="24"/>
        </w:rPr>
        <w:instrText>sar"}],"issued":{"date-parts":[["2020",1]]}}},{"id":18756,"uris":["http://zotero.org/users/12817968/items/TEWZMXEY"],"itemData":{"id":18756,"type":"article-journal","abstract":"This study presents a control structure, based on model predictive control, applied to energy management optimisation in a sugar cane processing plant including renewable sources. The proposed energy plant is set upon a sugar cane processing industry and has to produce and maintain an amount of electric power throughout the year, defined by contract. This plant is, also, bound to produce flows of steam in different pressures, to comply to the demands of the production process of ethanol and sugar, from the sugar cane. The renewable sources in the system include photovoltaic, wind power generation and the use of biomass, from the remains of the sugar cane. The proposed control algorithm has the task of performing the management of which energy system to use (combined heat and power generation systems, boilers or others), maximise the use of renewable energy sources, maximise the gains of the boilers (that vary according to the biomass mixture used), manage the use of energy storages and supply the defined amount of energy. Simulation results show the satisfactory operation of the proposed control structure.","container-title":"IET Renewable Power Generation","DOI":"10.1049/iet-rpg.2016.0443","ISSN":"1752-1416, 1752-1424","issue":"8","journalAbbreviation":"IET Renewable Power Gen","language":"en","page":"1237-1245","source":"DOI.org (Crossref)","title":"Optimal operation of hybrid power systems including renewable sources in the sugar cane industry","volume":"11","author":[{"family":"Menezes Morato","given":"Marcelo"},{"family":"Da Costa Mendes","given":"Paulo Renato"},{"family":"Normey</w:instrText>
      </w:r>
      <w:r w:rsidRPr="00F45A84">
        <w:rPr>
          <w:rFonts w:ascii="Cambria Math" w:hAnsi="Cambria Math" w:cs="Cambria Math"/>
          <w:sz w:val="24"/>
          <w:szCs w:val="24"/>
        </w:rPr>
        <w:instrText>‐</w:instrText>
      </w:r>
      <w:r w:rsidRPr="00F45A84">
        <w:rPr>
          <w:rFonts w:cs="Times New Roman"/>
          <w:sz w:val="24"/>
          <w:szCs w:val="24"/>
        </w:rPr>
        <w:instrText xml:space="preserve">Rico","given":"Julio Elias"},{"family":"Bordons","given":"Carlos"}],"issued":{"date-parts":[["2017",6]]}}},{"id":"4rWKKTha/uVuPWkIL","uris":["http://zotero.org/users/12817968/items/LCRV4FEG"],"itemData":{"id":18772,"type":"article-journal","container-title":"Journal of Process Control","DOI":"10.1016/j.jprocont.2017.11.003","ISSN":"09591524","journalAbbreviation":"Journal of Process Control","language":"en","page":"120-132","source":"DOI.org (Crossref)","title":"Advanced chance-constrained predictive control for the efficient energy management of renewable power systems","volume":"74","author":[{"family":"Vergara-Dietrich","given":"José D."},{"family":"Morato","given":"Marcelo M."},{"family":"Mendes","given":"Paulo R.C."},{"family":"Cani","given":"Alex A."},{"family":"Normey-Rico","given":"Julio E."},{"family":"Bordons","given":"Carlos"}],"issued":{"date-parts":[["2019",2]]}}},{"id":18738,"uris":["http://zotero.org/users/12817968/items/WML4M9L9"],"itemData":{"id":18738,"type":"article-journal","container-title":"Engineering Applications of Artificial Intelligence","DOI":"10.1016/S0952-1976(98)00055-4","ISSN":"09521976","issue":"2","journalAbbreviation":"Engineering Applications of Artificial Intelligence","language":"en","license":"https://www.elsevier.com/tdm/userlicense/1.0/","page":"149-158","source":"DOI.org (Crossref)","title":"Neural predictive control. Application to a highly non-linear system","volume":"12","author":[{"family":"Zamarreño","given":"J.M."},{"family":"Vega","given":"P."}],"issued":{"date-parts":[["1999",4]]}}}],"schema":"https://github.com/citation-style-language/schema/raw/master/csl-citation.json"}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(Mazaeda et al., 2020; Menezes Morato et al., 2017; Vergara-Dietrich et al., 2019; Zamarreño &amp; Vega, 1999) </w:t>
      </w:r>
      <w:r w:rsidRPr="00F45A84">
        <w:rPr>
          <w:rFonts w:cs="Times New Roman"/>
          <w:sz w:val="24"/>
          <w:szCs w:val="24"/>
        </w:rPr>
        <w:fldChar w:fldCharType="end"/>
      </w:r>
      <w:r w:rsidRPr="00F45A84">
        <w:rPr>
          <w:rFonts w:cs="Times New Roman"/>
          <w:sz w:val="24"/>
          <w:szCs w:val="24"/>
        </w:rPr>
        <w:t>. The existence of these pure control journals demonstrates a strong theoretical foundation in the field of MPC in the sugar industry.</w:t>
      </w:r>
    </w:p>
    <w:p w14:paraId="07728F81" w14:textId="77777777" w:rsidR="007A05E4" w:rsidRPr="00F45A84" w:rsidRDefault="007A05E4" w:rsidP="004269A5">
      <w:pPr>
        <w:spacing w:before="240"/>
        <w:ind w:left="1560"/>
        <w:jc w:val="both"/>
        <w:rPr>
          <w:rFonts w:cs="Times New Roman"/>
          <w:sz w:val="24"/>
          <w:szCs w:val="24"/>
        </w:rPr>
      </w:pPr>
    </w:p>
    <w:p w14:paraId="19420FA6" w14:textId="77777777" w:rsidR="004269A5" w:rsidRDefault="004269A5" w:rsidP="004269A5">
      <w:pPr>
        <w:spacing w:before="240"/>
        <w:ind w:left="1560"/>
        <w:jc w:val="both"/>
        <w:rPr>
          <w:rFonts w:cs="Times New Roman"/>
          <w:sz w:val="24"/>
          <w:szCs w:val="24"/>
        </w:rPr>
      </w:pPr>
      <w:r w:rsidRPr="00F45A84">
        <w:rPr>
          <w:rFonts w:cs="Times New Roman"/>
          <w:b/>
          <w:bCs/>
          <w:sz w:val="24"/>
          <w:szCs w:val="24"/>
        </w:rPr>
        <w:lastRenderedPageBreak/>
        <w:t xml:space="preserve">Table 4. </w:t>
      </w:r>
      <w:r w:rsidRPr="00F45A84">
        <w:rPr>
          <w:rFonts w:cs="Times New Roman"/>
          <w:sz w:val="24"/>
          <w:szCs w:val="24"/>
        </w:rPr>
        <w:t>Top 10 most influential journals</w:t>
      </w:r>
    </w:p>
    <w:tbl>
      <w:tblPr>
        <w:tblW w:w="4180" w:type="pct"/>
        <w:tblInd w:w="1668" w:type="dxa"/>
        <w:tblLayout w:type="fixed"/>
        <w:tblLook w:val="04A0" w:firstRow="1" w:lastRow="0" w:firstColumn="1" w:lastColumn="0" w:noHBand="0" w:noVBand="1"/>
      </w:tblPr>
      <w:tblGrid>
        <w:gridCol w:w="833"/>
        <w:gridCol w:w="4588"/>
        <w:gridCol w:w="724"/>
        <w:gridCol w:w="569"/>
        <w:gridCol w:w="599"/>
        <w:gridCol w:w="1579"/>
      </w:tblGrid>
      <w:tr w:rsidR="0059729C" w:rsidRPr="00C94C6D" w14:paraId="0EF3D800" w14:textId="77777777" w:rsidTr="0059729C">
        <w:trPr>
          <w:trHeight w:val="288"/>
        </w:trPr>
        <w:tc>
          <w:tcPr>
            <w:tcW w:w="468" w:type="pct"/>
            <w:tcBorders>
              <w:top w:val="single" w:sz="4" w:space="0" w:color="auto"/>
              <w:left w:val="nil"/>
              <w:bottom w:val="single" w:sz="4" w:space="0" w:color="auto"/>
              <w:right w:val="nil"/>
            </w:tcBorders>
            <w:noWrap/>
            <w:vAlign w:val="bottom"/>
            <w:hideMark/>
          </w:tcPr>
          <w:p w14:paraId="01B1A869" w14:textId="77777777" w:rsidR="0059729C" w:rsidRPr="00C94C6D" w:rsidRDefault="0059729C"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Rank</w:t>
            </w:r>
          </w:p>
        </w:tc>
        <w:tc>
          <w:tcPr>
            <w:tcW w:w="2579" w:type="pct"/>
            <w:tcBorders>
              <w:top w:val="single" w:sz="4" w:space="0" w:color="auto"/>
              <w:left w:val="nil"/>
              <w:bottom w:val="single" w:sz="4" w:space="0" w:color="auto"/>
              <w:right w:val="nil"/>
            </w:tcBorders>
            <w:noWrap/>
            <w:vAlign w:val="bottom"/>
            <w:hideMark/>
          </w:tcPr>
          <w:p w14:paraId="179675D3" w14:textId="77777777" w:rsidR="0059729C" w:rsidRPr="00C94C6D" w:rsidRDefault="0059729C"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Sources</w:t>
            </w:r>
          </w:p>
        </w:tc>
        <w:tc>
          <w:tcPr>
            <w:tcW w:w="407" w:type="pct"/>
            <w:tcBorders>
              <w:top w:val="single" w:sz="4" w:space="0" w:color="auto"/>
              <w:left w:val="nil"/>
              <w:bottom w:val="single" w:sz="4" w:space="0" w:color="auto"/>
              <w:right w:val="nil"/>
            </w:tcBorders>
            <w:noWrap/>
            <w:vAlign w:val="bottom"/>
            <w:hideMark/>
          </w:tcPr>
          <w:p w14:paraId="0232E38B" w14:textId="77777777" w:rsidR="0059729C" w:rsidRPr="00C94C6D" w:rsidRDefault="0059729C"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TC</w:t>
            </w:r>
          </w:p>
        </w:tc>
        <w:tc>
          <w:tcPr>
            <w:tcW w:w="320" w:type="pct"/>
            <w:tcBorders>
              <w:top w:val="single" w:sz="4" w:space="0" w:color="auto"/>
              <w:left w:val="nil"/>
              <w:bottom w:val="single" w:sz="4" w:space="0" w:color="auto"/>
              <w:right w:val="nil"/>
            </w:tcBorders>
            <w:noWrap/>
            <w:vAlign w:val="bottom"/>
            <w:hideMark/>
          </w:tcPr>
          <w:p w14:paraId="75500556" w14:textId="77777777" w:rsidR="0059729C" w:rsidRPr="00C94C6D" w:rsidRDefault="0059729C"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NP</w:t>
            </w:r>
          </w:p>
        </w:tc>
        <w:tc>
          <w:tcPr>
            <w:tcW w:w="337" w:type="pct"/>
            <w:tcBorders>
              <w:top w:val="single" w:sz="4" w:space="0" w:color="auto"/>
              <w:left w:val="nil"/>
              <w:bottom w:val="single" w:sz="4" w:space="0" w:color="auto"/>
              <w:right w:val="nil"/>
            </w:tcBorders>
            <w:noWrap/>
            <w:vAlign w:val="bottom"/>
            <w:hideMark/>
          </w:tcPr>
          <w:p w14:paraId="19E9BD24" w14:textId="77777777" w:rsidR="0059729C" w:rsidRPr="00C94C6D" w:rsidRDefault="0059729C"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Q</w:t>
            </w:r>
          </w:p>
        </w:tc>
        <w:tc>
          <w:tcPr>
            <w:tcW w:w="888" w:type="pct"/>
            <w:tcBorders>
              <w:top w:val="single" w:sz="4" w:space="0" w:color="auto"/>
              <w:left w:val="nil"/>
              <w:bottom w:val="single" w:sz="4" w:space="0" w:color="auto"/>
              <w:right w:val="nil"/>
            </w:tcBorders>
            <w:noWrap/>
            <w:vAlign w:val="bottom"/>
            <w:hideMark/>
          </w:tcPr>
          <w:p w14:paraId="3709D317" w14:textId="77777777" w:rsidR="0059729C" w:rsidRPr="00C94C6D" w:rsidRDefault="0059729C"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Publisher</w:t>
            </w:r>
          </w:p>
        </w:tc>
      </w:tr>
      <w:tr w:rsidR="0059729C" w:rsidRPr="00C94C6D" w14:paraId="07C55B6D" w14:textId="77777777" w:rsidTr="0059729C">
        <w:trPr>
          <w:trHeight w:val="288"/>
        </w:trPr>
        <w:tc>
          <w:tcPr>
            <w:tcW w:w="468" w:type="pct"/>
            <w:tcBorders>
              <w:top w:val="single" w:sz="4" w:space="0" w:color="auto"/>
              <w:left w:val="nil"/>
              <w:bottom w:val="nil"/>
              <w:right w:val="nil"/>
            </w:tcBorders>
            <w:noWrap/>
            <w:vAlign w:val="bottom"/>
            <w:hideMark/>
          </w:tcPr>
          <w:p w14:paraId="3BB225C8"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w:t>
            </w:r>
          </w:p>
        </w:tc>
        <w:tc>
          <w:tcPr>
            <w:tcW w:w="2579" w:type="pct"/>
            <w:tcBorders>
              <w:top w:val="single" w:sz="4" w:space="0" w:color="auto"/>
              <w:left w:val="nil"/>
              <w:bottom w:val="nil"/>
              <w:right w:val="nil"/>
            </w:tcBorders>
            <w:noWrap/>
            <w:vAlign w:val="bottom"/>
            <w:hideMark/>
          </w:tcPr>
          <w:p w14:paraId="3C6042D2"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Journal of Food Engineering</w:t>
            </w:r>
          </w:p>
        </w:tc>
        <w:tc>
          <w:tcPr>
            <w:tcW w:w="407" w:type="pct"/>
            <w:tcBorders>
              <w:top w:val="single" w:sz="4" w:space="0" w:color="auto"/>
              <w:left w:val="nil"/>
              <w:bottom w:val="nil"/>
              <w:right w:val="nil"/>
            </w:tcBorders>
            <w:noWrap/>
            <w:vAlign w:val="bottom"/>
            <w:hideMark/>
          </w:tcPr>
          <w:p w14:paraId="53F051F9"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241</w:t>
            </w:r>
          </w:p>
        </w:tc>
        <w:tc>
          <w:tcPr>
            <w:tcW w:w="320" w:type="pct"/>
            <w:tcBorders>
              <w:top w:val="single" w:sz="4" w:space="0" w:color="auto"/>
              <w:left w:val="nil"/>
              <w:bottom w:val="nil"/>
              <w:right w:val="nil"/>
            </w:tcBorders>
            <w:noWrap/>
            <w:vAlign w:val="bottom"/>
            <w:hideMark/>
          </w:tcPr>
          <w:p w14:paraId="45859593"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8</w:t>
            </w:r>
          </w:p>
        </w:tc>
        <w:tc>
          <w:tcPr>
            <w:tcW w:w="337" w:type="pct"/>
            <w:tcBorders>
              <w:top w:val="single" w:sz="4" w:space="0" w:color="auto"/>
              <w:left w:val="nil"/>
              <w:bottom w:val="nil"/>
              <w:right w:val="nil"/>
            </w:tcBorders>
            <w:noWrap/>
            <w:vAlign w:val="bottom"/>
            <w:hideMark/>
          </w:tcPr>
          <w:p w14:paraId="30C7F342"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Q1</w:t>
            </w:r>
          </w:p>
        </w:tc>
        <w:tc>
          <w:tcPr>
            <w:tcW w:w="888" w:type="pct"/>
            <w:tcBorders>
              <w:top w:val="single" w:sz="4" w:space="0" w:color="auto"/>
              <w:left w:val="nil"/>
              <w:bottom w:val="nil"/>
              <w:right w:val="nil"/>
            </w:tcBorders>
            <w:noWrap/>
            <w:vAlign w:val="bottom"/>
            <w:hideMark/>
          </w:tcPr>
          <w:p w14:paraId="01CBF011"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Elsevier</w:t>
            </w:r>
          </w:p>
        </w:tc>
      </w:tr>
      <w:tr w:rsidR="0059729C" w:rsidRPr="00C94C6D" w14:paraId="5CF3F14B" w14:textId="77777777" w:rsidTr="0059729C">
        <w:trPr>
          <w:trHeight w:val="288"/>
        </w:trPr>
        <w:tc>
          <w:tcPr>
            <w:tcW w:w="468" w:type="pct"/>
            <w:tcBorders>
              <w:top w:val="nil"/>
              <w:left w:val="nil"/>
              <w:bottom w:val="nil"/>
              <w:right w:val="nil"/>
            </w:tcBorders>
            <w:noWrap/>
            <w:vAlign w:val="bottom"/>
            <w:hideMark/>
          </w:tcPr>
          <w:p w14:paraId="39510E43"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w:t>
            </w:r>
          </w:p>
        </w:tc>
        <w:tc>
          <w:tcPr>
            <w:tcW w:w="2579" w:type="pct"/>
            <w:tcBorders>
              <w:top w:val="nil"/>
              <w:left w:val="nil"/>
              <w:bottom w:val="nil"/>
              <w:right w:val="nil"/>
            </w:tcBorders>
            <w:noWrap/>
            <w:vAlign w:val="bottom"/>
            <w:hideMark/>
          </w:tcPr>
          <w:p w14:paraId="759CEA82"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Energy</w:t>
            </w:r>
          </w:p>
        </w:tc>
        <w:tc>
          <w:tcPr>
            <w:tcW w:w="407" w:type="pct"/>
            <w:tcBorders>
              <w:top w:val="nil"/>
              <w:left w:val="nil"/>
              <w:bottom w:val="nil"/>
              <w:right w:val="nil"/>
            </w:tcBorders>
            <w:noWrap/>
            <w:vAlign w:val="bottom"/>
            <w:hideMark/>
          </w:tcPr>
          <w:p w14:paraId="1FDD6767"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202</w:t>
            </w:r>
          </w:p>
        </w:tc>
        <w:tc>
          <w:tcPr>
            <w:tcW w:w="320" w:type="pct"/>
            <w:tcBorders>
              <w:top w:val="nil"/>
              <w:left w:val="nil"/>
              <w:bottom w:val="nil"/>
              <w:right w:val="nil"/>
            </w:tcBorders>
            <w:noWrap/>
            <w:vAlign w:val="bottom"/>
            <w:hideMark/>
          </w:tcPr>
          <w:p w14:paraId="0BD49CBC"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4</w:t>
            </w:r>
          </w:p>
        </w:tc>
        <w:tc>
          <w:tcPr>
            <w:tcW w:w="337" w:type="pct"/>
            <w:tcBorders>
              <w:top w:val="nil"/>
              <w:left w:val="nil"/>
              <w:bottom w:val="nil"/>
              <w:right w:val="nil"/>
            </w:tcBorders>
            <w:noWrap/>
            <w:vAlign w:val="bottom"/>
            <w:hideMark/>
          </w:tcPr>
          <w:p w14:paraId="768D8241"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Q1</w:t>
            </w:r>
          </w:p>
        </w:tc>
        <w:tc>
          <w:tcPr>
            <w:tcW w:w="888" w:type="pct"/>
            <w:tcBorders>
              <w:top w:val="nil"/>
              <w:left w:val="nil"/>
              <w:bottom w:val="nil"/>
              <w:right w:val="nil"/>
            </w:tcBorders>
            <w:noWrap/>
            <w:vAlign w:val="bottom"/>
            <w:hideMark/>
          </w:tcPr>
          <w:p w14:paraId="2DCAED07"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Elsevier</w:t>
            </w:r>
          </w:p>
        </w:tc>
      </w:tr>
      <w:tr w:rsidR="0059729C" w:rsidRPr="00C94C6D" w14:paraId="7786CACA" w14:textId="77777777" w:rsidTr="0059729C">
        <w:trPr>
          <w:trHeight w:val="288"/>
        </w:trPr>
        <w:tc>
          <w:tcPr>
            <w:tcW w:w="468" w:type="pct"/>
            <w:tcBorders>
              <w:top w:val="nil"/>
              <w:left w:val="nil"/>
              <w:bottom w:val="nil"/>
              <w:right w:val="nil"/>
            </w:tcBorders>
            <w:noWrap/>
            <w:vAlign w:val="bottom"/>
            <w:hideMark/>
          </w:tcPr>
          <w:p w14:paraId="157CBC97"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3</w:t>
            </w:r>
          </w:p>
        </w:tc>
        <w:tc>
          <w:tcPr>
            <w:tcW w:w="2579" w:type="pct"/>
            <w:tcBorders>
              <w:top w:val="nil"/>
              <w:left w:val="nil"/>
              <w:bottom w:val="nil"/>
              <w:right w:val="nil"/>
            </w:tcBorders>
            <w:noWrap/>
            <w:vAlign w:val="bottom"/>
            <w:hideMark/>
          </w:tcPr>
          <w:p w14:paraId="6D5BA75F"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Process Biochemistry</w:t>
            </w:r>
          </w:p>
        </w:tc>
        <w:tc>
          <w:tcPr>
            <w:tcW w:w="407" w:type="pct"/>
            <w:tcBorders>
              <w:top w:val="nil"/>
              <w:left w:val="nil"/>
              <w:bottom w:val="nil"/>
              <w:right w:val="nil"/>
            </w:tcBorders>
            <w:noWrap/>
            <w:vAlign w:val="bottom"/>
            <w:hideMark/>
          </w:tcPr>
          <w:p w14:paraId="7030E264"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112</w:t>
            </w:r>
          </w:p>
        </w:tc>
        <w:tc>
          <w:tcPr>
            <w:tcW w:w="320" w:type="pct"/>
            <w:tcBorders>
              <w:top w:val="nil"/>
              <w:left w:val="nil"/>
              <w:bottom w:val="nil"/>
              <w:right w:val="nil"/>
            </w:tcBorders>
            <w:noWrap/>
            <w:vAlign w:val="bottom"/>
            <w:hideMark/>
          </w:tcPr>
          <w:p w14:paraId="1E6A1256"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2</w:t>
            </w:r>
          </w:p>
        </w:tc>
        <w:tc>
          <w:tcPr>
            <w:tcW w:w="337" w:type="pct"/>
            <w:tcBorders>
              <w:top w:val="nil"/>
              <w:left w:val="nil"/>
              <w:bottom w:val="nil"/>
              <w:right w:val="nil"/>
            </w:tcBorders>
            <w:noWrap/>
            <w:vAlign w:val="bottom"/>
            <w:hideMark/>
          </w:tcPr>
          <w:p w14:paraId="664E3865"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Q2</w:t>
            </w:r>
          </w:p>
        </w:tc>
        <w:tc>
          <w:tcPr>
            <w:tcW w:w="888" w:type="pct"/>
            <w:tcBorders>
              <w:top w:val="nil"/>
              <w:left w:val="nil"/>
              <w:bottom w:val="nil"/>
              <w:right w:val="nil"/>
            </w:tcBorders>
            <w:noWrap/>
            <w:vAlign w:val="bottom"/>
            <w:hideMark/>
          </w:tcPr>
          <w:p w14:paraId="61D65BA6"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Elsevier</w:t>
            </w:r>
          </w:p>
        </w:tc>
      </w:tr>
      <w:tr w:rsidR="0059729C" w:rsidRPr="00C94C6D" w14:paraId="39829528" w14:textId="77777777" w:rsidTr="0059729C">
        <w:trPr>
          <w:trHeight w:val="288"/>
        </w:trPr>
        <w:tc>
          <w:tcPr>
            <w:tcW w:w="468" w:type="pct"/>
            <w:tcBorders>
              <w:top w:val="nil"/>
              <w:left w:val="nil"/>
              <w:bottom w:val="nil"/>
              <w:right w:val="nil"/>
            </w:tcBorders>
            <w:noWrap/>
            <w:vAlign w:val="bottom"/>
            <w:hideMark/>
          </w:tcPr>
          <w:p w14:paraId="091E9F46"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4</w:t>
            </w:r>
          </w:p>
        </w:tc>
        <w:tc>
          <w:tcPr>
            <w:tcW w:w="2579" w:type="pct"/>
            <w:tcBorders>
              <w:top w:val="nil"/>
              <w:left w:val="nil"/>
              <w:bottom w:val="nil"/>
              <w:right w:val="nil"/>
            </w:tcBorders>
            <w:noWrap/>
            <w:vAlign w:val="bottom"/>
            <w:hideMark/>
          </w:tcPr>
          <w:p w14:paraId="76D0E584"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Journal of Process Control</w:t>
            </w:r>
          </w:p>
        </w:tc>
        <w:tc>
          <w:tcPr>
            <w:tcW w:w="407" w:type="pct"/>
            <w:tcBorders>
              <w:top w:val="nil"/>
              <w:left w:val="nil"/>
              <w:bottom w:val="nil"/>
              <w:right w:val="nil"/>
            </w:tcBorders>
            <w:noWrap/>
            <w:vAlign w:val="bottom"/>
            <w:hideMark/>
          </w:tcPr>
          <w:p w14:paraId="4701F5C9"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90</w:t>
            </w:r>
          </w:p>
        </w:tc>
        <w:tc>
          <w:tcPr>
            <w:tcW w:w="320" w:type="pct"/>
            <w:tcBorders>
              <w:top w:val="nil"/>
              <w:left w:val="nil"/>
              <w:bottom w:val="nil"/>
              <w:right w:val="nil"/>
            </w:tcBorders>
            <w:noWrap/>
            <w:vAlign w:val="bottom"/>
            <w:hideMark/>
          </w:tcPr>
          <w:p w14:paraId="313EEB2D"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4</w:t>
            </w:r>
          </w:p>
        </w:tc>
        <w:tc>
          <w:tcPr>
            <w:tcW w:w="337" w:type="pct"/>
            <w:tcBorders>
              <w:top w:val="nil"/>
              <w:left w:val="nil"/>
              <w:bottom w:val="nil"/>
              <w:right w:val="nil"/>
            </w:tcBorders>
            <w:noWrap/>
            <w:vAlign w:val="bottom"/>
            <w:hideMark/>
          </w:tcPr>
          <w:p w14:paraId="55D0D7F1"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Q1</w:t>
            </w:r>
          </w:p>
        </w:tc>
        <w:tc>
          <w:tcPr>
            <w:tcW w:w="888" w:type="pct"/>
            <w:tcBorders>
              <w:top w:val="nil"/>
              <w:left w:val="nil"/>
              <w:bottom w:val="nil"/>
              <w:right w:val="nil"/>
            </w:tcBorders>
            <w:noWrap/>
            <w:vAlign w:val="bottom"/>
            <w:hideMark/>
          </w:tcPr>
          <w:p w14:paraId="47F9140A"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Elsevier</w:t>
            </w:r>
          </w:p>
        </w:tc>
      </w:tr>
      <w:tr w:rsidR="0059729C" w:rsidRPr="00C94C6D" w14:paraId="753FC511" w14:textId="77777777" w:rsidTr="0059729C">
        <w:trPr>
          <w:trHeight w:val="288"/>
        </w:trPr>
        <w:tc>
          <w:tcPr>
            <w:tcW w:w="468" w:type="pct"/>
            <w:tcBorders>
              <w:top w:val="nil"/>
              <w:left w:val="nil"/>
              <w:bottom w:val="nil"/>
              <w:right w:val="nil"/>
            </w:tcBorders>
            <w:noWrap/>
            <w:vAlign w:val="bottom"/>
            <w:hideMark/>
          </w:tcPr>
          <w:p w14:paraId="61A0EAFB"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5</w:t>
            </w:r>
          </w:p>
        </w:tc>
        <w:tc>
          <w:tcPr>
            <w:tcW w:w="2579" w:type="pct"/>
            <w:tcBorders>
              <w:top w:val="nil"/>
              <w:left w:val="nil"/>
              <w:bottom w:val="nil"/>
              <w:right w:val="nil"/>
            </w:tcBorders>
            <w:noWrap/>
            <w:vAlign w:val="bottom"/>
            <w:hideMark/>
          </w:tcPr>
          <w:p w14:paraId="75639C03"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Applied Thermal Engineering</w:t>
            </w:r>
          </w:p>
        </w:tc>
        <w:tc>
          <w:tcPr>
            <w:tcW w:w="407" w:type="pct"/>
            <w:tcBorders>
              <w:top w:val="nil"/>
              <w:left w:val="nil"/>
              <w:bottom w:val="nil"/>
              <w:right w:val="nil"/>
            </w:tcBorders>
            <w:noWrap/>
            <w:vAlign w:val="bottom"/>
            <w:hideMark/>
          </w:tcPr>
          <w:p w14:paraId="09651076"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84</w:t>
            </w:r>
          </w:p>
        </w:tc>
        <w:tc>
          <w:tcPr>
            <w:tcW w:w="320" w:type="pct"/>
            <w:tcBorders>
              <w:top w:val="nil"/>
              <w:left w:val="nil"/>
              <w:bottom w:val="nil"/>
              <w:right w:val="nil"/>
            </w:tcBorders>
            <w:noWrap/>
            <w:vAlign w:val="bottom"/>
            <w:hideMark/>
          </w:tcPr>
          <w:p w14:paraId="05352B9A"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2</w:t>
            </w:r>
          </w:p>
        </w:tc>
        <w:tc>
          <w:tcPr>
            <w:tcW w:w="337" w:type="pct"/>
            <w:tcBorders>
              <w:top w:val="nil"/>
              <w:left w:val="nil"/>
              <w:bottom w:val="nil"/>
              <w:right w:val="nil"/>
            </w:tcBorders>
            <w:noWrap/>
            <w:vAlign w:val="bottom"/>
            <w:hideMark/>
          </w:tcPr>
          <w:p w14:paraId="63D67747"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Q1</w:t>
            </w:r>
          </w:p>
        </w:tc>
        <w:tc>
          <w:tcPr>
            <w:tcW w:w="888" w:type="pct"/>
            <w:tcBorders>
              <w:top w:val="nil"/>
              <w:left w:val="nil"/>
              <w:bottom w:val="nil"/>
              <w:right w:val="nil"/>
            </w:tcBorders>
            <w:noWrap/>
            <w:vAlign w:val="bottom"/>
            <w:hideMark/>
          </w:tcPr>
          <w:p w14:paraId="35AAD1CF"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Elsevier</w:t>
            </w:r>
          </w:p>
        </w:tc>
      </w:tr>
      <w:tr w:rsidR="0059729C" w:rsidRPr="00C94C6D" w14:paraId="4AD77CC9" w14:textId="77777777" w:rsidTr="0059729C">
        <w:trPr>
          <w:trHeight w:val="288"/>
        </w:trPr>
        <w:tc>
          <w:tcPr>
            <w:tcW w:w="468" w:type="pct"/>
            <w:tcBorders>
              <w:top w:val="nil"/>
              <w:left w:val="nil"/>
              <w:bottom w:val="nil"/>
              <w:right w:val="nil"/>
            </w:tcBorders>
            <w:noWrap/>
            <w:vAlign w:val="bottom"/>
            <w:hideMark/>
          </w:tcPr>
          <w:p w14:paraId="2A781955"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6</w:t>
            </w:r>
          </w:p>
        </w:tc>
        <w:tc>
          <w:tcPr>
            <w:tcW w:w="2579" w:type="pct"/>
            <w:tcBorders>
              <w:top w:val="nil"/>
              <w:left w:val="nil"/>
              <w:bottom w:val="nil"/>
              <w:right w:val="nil"/>
            </w:tcBorders>
            <w:noWrap/>
            <w:vAlign w:val="bottom"/>
            <w:hideMark/>
          </w:tcPr>
          <w:p w14:paraId="5C70AAF8"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Biofuels, Bioproducts and Biorefining</w:t>
            </w:r>
          </w:p>
        </w:tc>
        <w:tc>
          <w:tcPr>
            <w:tcW w:w="407" w:type="pct"/>
            <w:tcBorders>
              <w:top w:val="nil"/>
              <w:left w:val="nil"/>
              <w:bottom w:val="nil"/>
              <w:right w:val="nil"/>
            </w:tcBorders>
            <w:noWrap/>
            <w:vAlign w:val="bottom"/>
            <w:hideMark/>
          </w:tcPr>
          <w:p w14:paraId="695BC4CF"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76</w:t>
            </w:r>
          </w:p>
        </w:tc>
        <w:tc>
          <w:tcPr>
            <w:tcW w:w="320" w:type="pct"/>
            <w:tcBorders>
              <w:top w:val="nil"/>
              <w:left w:val="nil"/>
              <w:bottom w:val="nil"/>
              <w:right w:val="nil"/>
            </w:tcBorders>
            <w:noWrap/>
            <w:vAlign w:val="bottom"/>
            <w:hideMark/>
          </w:tcPr>
          <w:p w14:paraId="009A1571"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1</w:t>
            </w:r>
          </w:p>
        </w:tc>
        <w:tc>
          <w:tcPr>
            <w:tcW w:w="337" w:type="pct"/>
            <w:tcBorders>
              <w:top w:val="nil"/>
              <w:left w:val="nil"/>
              <w:bottom w:val="nil"/>
              <w:right w:val="nil"/>
            </w:tcBorders>
            <w:noWrap/>
            <w:vAlign w:val="bottom"/>
            <w:hideMark/>
          </w:tcPr>
          <w:p w14:paraId="3235342B"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Q2</w:t>
            </w:r>
          </w:p>
        </w:tc>
        <w:tc>
          <w:tcPr>
            <w:tcW w:w="888" w:type="pct"/>
            <w:tcBorders>
              <w:top w:val="nil"/>
              <w:left w:val="nil"/>
              <w:bottom w:val="nil"/>
              <w:right w:val="nil"/>
            </w:tcBorders>
            <w:noWrap/>
            <w:vAlign w:val="bottom"/>
            <w:hideMark/>
          </w:tcPr>
          <w:p w14:paraId="3E1F1E3A"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John Wiley and Sons</w:t>
            </w:r>
          </w:p>
        </w:tc>
      </w:tr>
      <w:tr w:rsidR="0059729C" w:rsidRPr="00C94C6D" w14:paraId="3A9E87C1" w14:textId="77777777" w:rsidTr="0059729C">
        <w:trPr>
          <w:trHeight w:val="288"/>
        </w:trPr>
        <w:tc>
          <w:tcPr>
            <w:tcW w:w="468" w:type="pct"/>
            <w:tcBorders>
              <w:top w:val="nil"/>
              <w:left w:val="nil"/>
              <w:bottom w:val="nil"/>
              <w:right w:val="nil"/>
            </w:tcBorders>
            <w:noWrap/>
            <w:vAlign w:val="bottom"/>
            <w:hideMark/>
          </w:tcPr>
          <w:p w14:paraId="47DB07C8"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7</w:t>
            </w:r>
          </w:p>
        </w:tc>
        <w:tc>
          <w:tcPr>
            <w:tcW w:w="2579" w:type="pct"/>
            <w:tcBorders>
              <w:top w:val="nil"/>
              <w:left w:val="nil"/>
              <w:bottom w:val="nil"/>
              <w:right w:val="nil"/>
            </w:tcBorders>
            <w:noWrap/>
            <w:vAlign w:val="bottom"/>
            <w:hideMark/>
          </w:tcPr>
          <w:p w14:paraId="38C6588D"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Engineering Applications of Artificial Intelligence</w:t>
            </w:r>
          </w:p>
        </w:tc>
        <w:tc>
          <w:tcPr>
            <w:tcW w:w="407" w:type="pct"/>
            <w:tcBorders>
              <w:top w:val="nil"/>
              <w:left w:val="nil"/>
              <w:bottom w:val="nil"/>
              <w:right w:val="nil"/>
            </w:tcBorders>
            <w:noWrap/>
            <w:vAlign w:val="bottom"/>
            <w:hideMark/>
          </w:tcPr>
          <w:p w14:paraId="2C3FEB58"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74</w:t>
            </w:r>
          </w:p>
        </w:tc>
        <w:tc>
          <w:tcPr>
            <w:tcW w:w="320" w:type="pct"/>
            <w:tcBorders>
              <w:top w:val="nil"/>
              <w:left w:val="nil"/>
              <w:bottom w:val="nil"/>
              <w:right w:val="nil"/>
            </w:tcBorders>
            <w:noWrap/>
            <w:vAlign w:val="bottom"/>
            <w:hideMark/>
          </w:tcPr>
          <w:p w14:paraId="2B346BCE"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1</w:t>
            </w:r>
          </w:p>
        </w:tc>
        <w:tc>
          <w:tcPr>
            <w:tcW w:w="337" w:type="pct"/>
            <w:tcBorders>
              <w:top w:val="nil"/>
              <w:left w:val="nil"/>
              <w:bottom w:val="nil"/>
              <w:right w:val="nil"/>
            </w:tcBorders>
            <w:noWrap/>
            <w:vAlign w:val="bottom"/>
            <w:hideMark/>
          </w:tcPr>
          <w:p w14:paraId="151899B3"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Q1</w:t>
            </w:r>
          </w:p>
        </w:tc>
        <w:tc>
          <w:tcPr>
            <w:tcW w:w="888" w:type="pct"/>
            <w:tcBorders>
              <w:top w:val="nil"/>
              <w:left w:val="nil"/>
              <w:bottom w:val="nil"/>
              <w:right w:val="nil"/>
            </w:tcBorders>
            <w:noWrap/>
            <w:vAlign w:val="bottom"/>
            <w:hideMark/>
          </w:tcPr>
          <w:p w14:paraId="6BCD3606"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Elsevier</w:t>
            </w:r>
          </w:p>
        </w:tc>
      </w:tr>
      <w:tr w:rsidR="0059729C" w:rsidRPr="00C94C6D" w14:paraId="391AAC00" w14:textId="77777777" w:rsidTr="0059729C">
        <w:trPr>
          <w:trHeight w:val="288"/>
        </w:trPr>
        <w:tc>
          <w:tcPr>
            <w:tcW w:w="468" w:type="pct"/>
            <w:tcBorders>
              <w:top w:val="nil"/>
              <w:left w:val="nil"/>
              <w:bottom w:val="nil"/>
              <w:right w:val="nil"/>
            </w:tcBorders>
            <w:noWrap/>
            <w:vAlign w:val="bottom"/>
            <w:hideMark/>
          </w:tcPr>
          <w:p w14:paraId="6ECACF74"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8</w:t>
            </w:r>
          </w:p>
        </w:tc>
        <w:tc>
          <w:tcPr>
            <w:tcW w:w="2579" w:type="pct"/>
            <w:tcBorders>
              <w:top w:val="nil"/>
              <w:left w:val="nil"/>
              <w:bottom w:val="nil"/>
              <w:right w:val="nil"/>
            </w:tcBorders>
            <w:noWrap/>
            <w:vAlign w:val="bottom"/>
            <w:hideMark/>
          </w:tcPr>
          <w:p w14:paraId="758574E5"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Journal of the Science of Food and Agriculture</w:t>
            </w:r>
          </w:p>
        </w:tc>
        <w:tc>
          <w:tcPr>
            <w:tcW w:w="407" w:type="pct"/>
            <w:tcBorders>
              <w:top w:val="nil"/>
              <w:left w:val="nil"/>
              <w:bottom w:val="nil"/>
              <w:right w:val="nil"/>
            </w:tcBorders>
            <w:noWrap/>
            <w:vAlign w:val="bottom"/>
            <w:hideMark/>
          </w:tcPr>
          <w:p w14:paraId="1BE27ACB"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66</w:t>
            </w:r>
          </w:p>
        </w:tc>
        <w:tc>
          <w:tcPr>
            <w:tcW w:w="320" w:type="pct"/>
            <w:tcBorders>
              <w:top w:val="nil"/>
              <w:left w:val="nil"/>
              <w:bottom w:val="nil"/>
              <w:right w:val="nil"/>
            </w:tcBorders>
            <w:noWrap/>
            <w:vAlign w:val="bottom"/>
            <w:hideMark/>
          </w:tcPr>
          <w:p w14:paraId="5A8D6C20"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1</w:t>
            </w:r>
          </w:p>
        </w:tc>
        <w:tc>
          <w:tcPr>
            <w:tcW w:w="337" w:type="pct"/>
            <w:tcBorders>
              <w:top w:val="nil"/>
              <w:left w:val="nil"/>
              <w:bottom w:val="nil"/>
              <w:right w:val="nil"/>
            </w:tcBorders>
            <w:noWrap/>
            <w:vAlign w:val="bottom"/>
            <w:hideMark/>
          </w:tcPr>
          <w:p w14:paraId="7E79F22B"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Q1</w:t>
            </w:r>
          </w:p>
        </w:tc>
        <w:tc>
          <w:tcPr>
            <w:tcW w:w="888" w:type="pct"/>
            <w:tcBorders>
              <w:top w:val="nil"/>
              <w:left w:val="nil"/>
              <w:bottom w:val="nil"/>
              <w:right w:val="nil"/>
            </w:tcBorders>
            <w:noWrap/>
            <w:vAlign w:val="bottom"/>
            <w:hideMark/>
          </w:tcPr>
          <w:p w14:paraId="274C6711"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John Wiley and Sons</w:t>
            </w:r>
          </w:p>
        </w:tc>
      </w:tr>
      <w:tr w:rsidR="0059729C" w:rsidRPr="00C94C6D" w14:paraId="1F6F0730" w14:textId="77777777" w:rsidTr="0059729C">
        <w:trPr>
          <w:trHeight w:val="288"/>
        </w:trPr>
        <w:tc>
          <w:tcPr>
            <w:tcW w:w="468" w:type="pct"/>
            <w:tcBorders>
              <w:top w:val="nil"/>
              <w:left w:val="nil"/>
              <w:right w:val="nil"/>
            </w:tcBorders>
            <w:noWrap/>
            <w:vAlign w:val="bottom"/>
            <w:hideMark/>
          </w:tcPr>
          <w:p w14:paraId="4F455803"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9</w:t>
            </w:r>
          </w:p>
        </w:tc>
        <w:tc>
          <w:tcPr>
            <w:tcW w:w="2579" w:type="pct"/>
            <w:tcBorders>
              <w:top w:val="nil"/>
              <w:left w:val="nil"/>
              <w:right w:val="nil"/>
            </w:tcBorders>
            <w:noWrap/>
            <w:vAlign w:val="bottom"/>
            <w:hideMark/>
          </w:tcPr>
          <w:p w14:paraId="324E4707"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Control Engineering Practice</w:t>
            </w:r>
          </w:p>
        </w:tc>
        <w:tc>
          <w:tcPr>
            <w:tcW w:w="407" w:type="pct"/>
            <w:tcBorders>
              <w:top w:val="nil"/>
              <w:left w:val="nil"/>
              <w:right w:val="nil"/>
            </w:tcBorders>
            <w:noWrap/>
            <w:vAlign w:val="bottom"/>
            <w:hideMark/>
          </w:tcPr>
          <w:p w14:paraId="0007AC84"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64</w:t>
            </w:r>
          </w:p>
        </w:tc>
        <w:tc>
          <w:tcPr>
            <w:tcW w:w="320" w:type="pct"/>
            <w:tcBorders>
              <w:top w:val="nil"/>
              <w:left w:val="nil"/>
              <w:right w:val="nil"/>
            </w:tcBorders>
            <w:noWrap/>
            <w:vAlign w:val="bottom"/>
            <w:hideMark/>
          </w:tcPr>
          <w:p w14:paraId="4171F6AE"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2</w:t>
            </w:r>
          </w:p>
        </w:tc>
        <w:tc>
          <w:tcPr>
            <w:tcW w:w="337" w:type="pct"/>
            <w:tcBorders>
              <w:top w:val="nil"/>
              <w:left w:val="nil"/>
              <w:right w:val="nil"/>
            </w:tcBorders>
            <w:noWrap/>
            <w:vAlign w:val="bottom"/>
            <w:hideMark/>
          </w:tcPr>
          <w:p w14:paraId="4C1149ED"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Q1</w:t>
            </w:r>
          </w:p>
        </w:tc>
        <w:tc>
          <w:tcPr>
            <w:tcW w:w="888" w:type="pct"/>
            <w:tcBorders>
              <w:top w:val="nil"/>
              <w:left w:val="nil"/>
              <w:right w:val="nil"/>
            </w:tcBorders>
            <w:noWrap/>
            <w:vAlign w:val="bottom"/>
            <w:hideMark/>
          </w:tcPr>
          <w:p w14:paraId="4E4DF2F9"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Elsevier</w:t>
            </w:r>
          </w:p>
        </w:tc>
      </w:tr>
      <w:tr w:rsidR="0059729C" w:rsidRPr="00C94C6D" w14:paraId="3035051F" w14:textId="77777777" w:rsidTr="0059729C">
        <w:trPr>
          <w:trHeight w:val="288"/>
        </w:trPr>
        <w:tc>
          <w:tcPr>
            <w:tcW w:w="468" w:type="pct"/>
            <w:tcBorders>
              <w:top w:val="nil"/>
              <w:left w:val="nil"/>
              <w:bottom w:val="single" w:sz="4" w:space="0" w:color="auto"/>
              <w:right w:val="nil"/>
            </w:tcBorders>
            <w:noWrap/>
            <w:vAlign w:val="bottom"/>
            <w:hideMark/>
          </w:tcPr>
          <w:p w14:paraId="01736FEB"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10</w:t>
            </w:r>
          </w:p>
        </w:tc>
        <w:tc>
          <w:tcPr>
            <w:tcW w:w="2579" w:type="pct"/>
            <w:tcBorders>
              <w:top w:val="nil"/>
              <w:left w:val="nil"/>
              <w:bottom w:val="single" w:sz="4" w:space="0" w:color="auto"/>
              <w:right w:val="nil"/>
            </w:tcBorders>
            <w:noWrap/>
            <w:vAlign w:val="bottom"/>
            <w:hideMark/>
          </w:tcPr>
          <w:p w14:paraId="449935AE"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International Sugar Journal</w:t>
            </w:r>
          </w:p>
        </w:tc>
        <w:tc>
          <w:tcPr>
            <w:tcW w:w="407" w:type="pct"/>
            <w:tcBorders>
              <w:top w:val="nil"/>
              <w:left w:val="nil"/>
              <w:bottom w:val="single" w:sz="4" w:space="0" w:color="auto"/>
              <w:right w:val="nil"/>
            </w:tcBorders>
            <w:noWrap/>
            <w:vAlign w:val="bottom"/>
            <w:hideMark/>
          </w:tcPr>
          <w:p w14:paraId="44AD2D9A"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61</w:t>
            </w:r>
          </w:p>
        </w:tc>
        <w:tc>
          <w:tcPr>
            <w:tcW w:w="320" w:type="pct"/>
            <w:tcBorders>
              <w:top w:val="nil"/>
              <w:left w:val="nil"/>
              <w:bottom w:val="single" w:sz="4" w:space="0" w:color="auto"/>
              <w:right w:val="nil"/>
            </w:tcBorders>
            <w:noWrap/>
            <w:vAlign w:val="bottom"/>
            <w:hideMark/>
          </w:tcPr>
          <w:p w14:paraId="42BB46A2"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11</w:t>
            </w:r>
          </w:p>
        </w:tc>
        <w:tc>
          <w:tcPr>
            <w:tcW w:w="337" w:type="pct"/>
            <w:tcBorders>
              <w:top w:val="nil"/>
              <w:left w:val="nil"/>
              <w:bottom w:val="single" w:sz="4" w:space="0" w:color="auto"/>
              <w:right w:val="nil"/>
            </w:tcBorders>
            <w:noWrap/>
            <w:vAlign w:val="bottom"/>
            <w:hideMark/>
          </w:tcPr>
          <w:p w14:paraId="25919EF4"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w:t>
            </w:r>
          </w:p>
        </w:tc>
        <w:tc>
          <w:tcPr>
            <w:tcW w:w="888" w:type="pct"/>
            <w:tcBorders>
              <w:top w:val="nil"/>
              <w:left w:val="nil"/>
              <w:bottom w:val="single" w:sz="4" w:space="0" w:color="auto"/>
              <w:right w:val="nil"/>
            </w:tcBorders>
            <w:noWrap/>
            <w:vAlign w:val="bottom"/>
            <w:hideMark/>
          </w:tcPr>
          <w:p w14:paraId="5E8BB1E8"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Agra Europe</w:t>
            </w:r>
          </w:p>
        </w:tc>
      </w:tr>
    </w:tbl>
    <w:p w14:paraId="1133C79B" w14:textId="77777777" w:rsidR="004269A5" w:rsidRPr="00F45A84" w:rsidRDefault="004269A5" w:rsidP="004269A5">
      <w:pPr>
        <w:tabs>
          <w:tab w:val="left" w:pos="2831"/>
        </w:tabs>
        <w:spacing w:before="240"/>
        <w:ind w:left="1560"/>
        <w:jc w:val="both"/>
        <w:rPr>
          <w:rFonts w:cs="Times New Roman"/>
          <w:i/>
          <w:iCs/>
          <w:sz w:val="24"/>
          <w:szCs w:val="24"/>
        </w:rPr>
      </w:pPr>
      <w:r w:rsidRPr="00F45A84">
        <w:rPr>
          <w:rFonts w:cs="Times New Roman"/>
          <w:i/>
          <w:iCs/>
          <w:sz w:val="24"/>
          <w:szCs w:val="24"/>
        </w:rPr>
        <w:t>TC=total citations, NP=total number of publications, Q=Quartile</w:t>
      </w:r>
    </w:p>
    <w:p w14:paraId="090B7EA6" w14:textId="77777777" w:rsidR="007A05E4" w:rsidRDefault="004269A5" w:rsidP="007A05E4">
      <w:pPr>
        <w:spacing w:before="240"/>
        <w:ind w:left="1560"/>
        <w:jc w:val="both"/>
        <w:rPr>
          <w:rFonts w:cs="Times New Roman"/>
          <w:sz w:val="24"/>
          <w:szCs w:val="24"/>
        </w:rPr>
      </w:pPr>
      <w:r w:rsidRPr="00F45A84">
        <w:rPr>
          <w:rFonts w:cs="Times New Roman"/>
          <w:sz w:val="24"/>
          <w:szCs w:val="24"/>
        </w:rPr>
        <w:t xml:space="preserve">Figure 6 shows the interconnected co-citation network between control journals (e.g., Automatica, Journal of Process Control) and process and energy engineering journals (Journal of Food Engineering, Energy, Applied Thermal Engineering). This pattern indicates that MPC research in the sugar industry is interdisciplinary, integrating control theory, chemical engineering, and energy management. Interestingly, the International Sugar Journal has the highest number of publications (NP = 11) but relatively lower total citations compared to other Q1 journals. This reflects the journal's role as an applied and industry-specific medium, oriented more toward practice and field case studies than broad theoretical contributions. Nevertheless, this journal remains important as a link between academic MPC research and actual implementation in sugar mills </w:t>
      </w:r>
      <w:r w:rsidRPr="00F45A84">
        <w:rPr>
          <w:rFonts w:cs="Times New Roman"/>
          <w:sz w:val="24"/>
          <w:szCs w:val="24"/>
        </w:rPr>
        <w:fldChar w:fldCharType="begin"/>
      </w:r>
      <w:r w:rsidRPr="00F45A84">
        <w:rPr>
          <w:rFonts w:cs="Times New Roman"/>
          <w:sz w:val="24"/>
          <w:szCs w:val="24"/>
        </w:rPr>
        <w:instrText xml:space="preserve"> ADDIN ZOTERO_ITEM CSL_CITATION {"citationID":"I9MbcaG9","properties":{"formattedCitation":"(Lavarack, 2007; Rozsa et al., 2016)","plainCitation":"(Lavarack, 2007; Rozsa et al., 2016)","noteIndex":0},"citationItems":[{"id":18777,"uris":["http://zotero.org/users/12817968/items/DD63UZT2"],"itemData":{"id":18777,"type":"article-journal","container-title":"International Sugar Journal","page":"58-68","title":"Application of energy integration techniques (pinch technology) to reduce process steam consumption for raw sugar factories","author":[{"family":"Lavarack","given":"B.P"}],"issued":{"date-parts":[["2007"]]}}},{"id":18778,"uris":["http://zotero.org/users/12817968/items/4L3JU9W5"],"itemData":{"id":18778,"type":"article-journal","container-title":"International Sugar Journal","page":"746-755","title":"Crystal growth and crystallization control tactics in industrial sugar crystallizers Part 1. Crystal growth","volume":"118","author":[{"family":"Rozsa","given":"L"},{"family":"Rozsa","given":"J"},{"family":"Kilpinen","given":"S"}],"issued":{"date-parts":[["2016"]]}}}],"schema":"https://github.com/citation-style-language/schema/raw/master/csl-citation.json"}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(Lavarack, 2007; Rozsa et al., 2016) </w:t>
      </w:r>
      <w:r w:rsidRPr="00F45A84">
        <w:rPr>
          <w:rFonts w:cs="Times New Roman"/>
          <w:sz w:val="24"/>
          <w:szCs w:val="24"/>
        </w:rPr>
        <w:fldChar w:fldCharType="end"/>
      </w:r>
      <w:r w:rsidRPr="00F45A84">
        <w:rPr>
          <w:rFonts w:cs="Times New Roman"/>
          <w:sz w:val="24"/>
          <w:szCs w:val="24"/>
        </w:rPr>
        <w:t>.</w:t>
      </w:r>
    </w:p>
    <w:p w14:paraId="012366C1" w14:textId="5272614C" w:rsidR="004269A5" w:rsidRPr="00F45A84" w:rsidRDefault="004269A5" w:rsidP="007A05E4">
      <w:pPr>
        <w:spacing w:before="240"/>
        <w:ind w:left="1560"/>
        <w:jc w:val="both"/>
        <w:rPr>
          <w:rFonts w:cs="Times New Roman"/>
          <w:sz w:val="24"/>
          <w:szCs w:val="24"/>
        </w:rPr>
      </w:pPr>
      <w:r w:rsidRPr="00F45A84">
        <w:rPr>
          <w:rFonts w:cs="Times New Roman"/>
          <w:sz w:val="24"/>
          <w:szCs w:val="24"/>
        </w:rPr>
        <w:t>Overall, the journal distribution in Table 4 and the network structure in Figure 6 confirm that MPC research in the sugar industry has two main axes: (1) the development of predictive control and modeling methods published in highly reputable control journals, and (2) applications to energy systems and food processes that appear frequently in process and energy engineering journals. This combination reflects the maturity of the MPC field in the sugar industry as a theoretically well-established and industrially relevant research domain.</w:t>
      </w:r>
      <w:r w:rsidRPr="00F45A84">
        <w:rPr>
          <w:rFonts w:cs="Times New Roman"/>
          <w:noProof/>
          <w:sz w:val="24"/>
          <w:szCs w:val="24"/>
        </w:rPr>
        <w:lastRenderedPageBreak/>
        <w:drawing>
          <wp:inline distT="0" distB="0" distL="0" distR="0" wp14:anchorId="73748659" wp14:editId="5852F759">
            <wp:extent cx="5731510" cy="3384550"/>
            <wp:effectExtent l="0" t="0" r="2540" b="6350"/>
            <wp:docPr id="19282392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239211" name="Picture 19282392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384550"/>
                    </a:xfrm>
                    <a:prstGeom prst="rect">
                      <a:avLst/>
                    </a:prstGeom>
                  </pic:spPr>
                </pic:pic>
              </a:graphicData>
            </a:graphic>
          </wp:inline>
        </w:drawing>
      </w:r>
    </w:p>
    <w:p w14:paraId="4629BC0D" w14:textId="77777777" w:rsidR="004269A5" w:rsidRPr="00F45A84" w:rsidRDefault="004269A5" w:rsidP="004269A5">
      <w:pPr>
        <w:spacing w:before="240"/>
        <w:ind w:left="1560"/>
        <w:jc w:val="both"/>
        <w:rPr>
          <w:rFonts w:cs="Times New Roman"/>
          <w:sz w:val="24"/>
          <w:szCs w:val="24"/>
        </w:rPr>
      </w:pPr>
      <w:r w:rsidRPr="00F45A84">
        <w:rPr>
          <w:rFonts w:cs="Times New Roman"/>
          <w:b/>
          <w:bCs/>
          <w:sz w:val="24"/>
          <w:szCs w:val="24"/>
        </w:rPr>
        <w:t xml:space="preserve">Figure 6. </w:t>
      </w:r>
      <w:r w:rsidRPr="00F45A84">
        <w:rPr>
          <w:rFonts w:cs="Times New Roman"/>
          <w:sz w:val="24"/>
          <w:szCs w:val="24"/>
        </w:rPr>
        <w:t>Co-citation networks of journals</w:t>
      </w:r>
    </w:p>
    <w:p w14:paraId="4A201291" w14:textId="77777777" w:rsidR="004269A5" w:rsidRPr="00F45A84" w:rsidRDefault="004269A5" w:rsidP="004269A5">
      <w:pPr>
        <w:spacing w:before="240"/>
        <w:ind w:left="1560"/>
        <w:jc w:val="both"/>
        <w:rPr>
          <w:rFonts w:cs="Times New Roman"/>
          <w:b/>
          <w:bCs/>
          <w:sz w:val="24"/>
          <w:szCs w:val="24"/>
        </w:rPr>
      </w:pPr>
      <w:r w:rsidRPr="00F45A84">
        <w:rPr>
          <w:rFonts w:cs="Times New Roman"/>
          <w:b/>
          <w:bCs/>
          <w:sz w:val="24"/>
          <w:szCs w:val="24"/>
        </w:rPr>
        <w:t>Most cited documents</w:t>
      </w:r>
    </w:p>
    <w:p w14:paraId="4B7533CB"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The citation analysis results in Table 5 indicate that the most influential document in the MPC research landscape in the sugar industry is the work of Eggleston and Monge (2005) published in Process Biochemistry. With the highest total citations (TC = 86), this article emphasizes the importance of understanding the kinetics and control of sugar-based biochemical processes as a foundation for the development of advanced control strategies, including MPC. The high number of citations indicates that aspects of sugar-based bioprocesses and fermentation have become cross-disciplinary references in process control and optimization (Eggleston &amp; Monge, 2005).</w:t>
      </w:r>
    </w:p>
    <w:p w14:paraId="6A50DAE5"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The paper with the highest annual citation rate (TCY) is Mandegari et al.'s (2017) work in Biofuels, Bioproducts, and Biorefining. This indicates a shift in research focus from conventional sugar process control to bioenergy and biorefinery, where MPC plays a crucial role in managing process complexity, feedstock variability, and energy efficiency. These findings strengthen the link between the sugar industry and the development of sustainable sugarcane-based energy systems (Mandegari et al., 2017).</w:t>
      </w:r>
    </w:p>
    <w:p w14:paraId="3AEA6F77"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A fundamental contribution to the development of MPC is directly reflected in Zamarreño and Vega's (1999) article in Engineering Applications of Artificial Intelligence. This article was one of the early milestones in the application of neural predictive control to sugar industry processes and remains a primary reference, as reflected by its high citation count (TC = 74). This work serves as a bridge between nonlinear MPC theory and its actual implementation in sugar processing units, such as melters and evaporators (Zamarreño &amp; Vega, 1999).</w:t>
      </w:r>
    </w:p>
    <w:p w14:paraId="4EC2EDC3"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In addition to the control aspect, a number of highly cited documents come from the Energy and Applied Thermal Engineering journals, such as the work of Kaya and Ibrahim Sarac (2007) and Higa et al. (2009). The dominance of these articles confirms that the issues of energy efficiency, thermal integration, and optimization of multi-effect evaporators are central topics in the sugar industry. Although not always </w:t>
      </w:r>
      <w:r w:rsidRPr="00F45A84">
        <w:rPr>
          <w:rFonts w:cs="Times New Roman"/>
          <w:sz w:val="24"/>
          <w:szCs w:val="24"/>
        </w:rPr>
        <w:lastRenderedPageBreak/>
        <w:t>explicitly mentioning MPC, these studies often form the basis of models and objective functions in designing MPC in the sugar industry energy system (Kaya &amp; Ibrahim Sarac, 2007; Higa et al., 2009).</w:t>
      </w:r>
    </w:p>
    <w:p w14:paraId="27284143"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More recent articles, such as Vergara-Dietrich et al. (2019) in the Journal of Process Control, demonstrate the evolution of research toward advanced MPC, including plant-wide control and hierarchical approaches. The high TCY in this article reflects the growing interest in integrated MPC across process units, in line with the complexity of modern sugar mills involving simultaneous continuous and batch processes (Vergara-Dietrich et al., 2019).</w:t>
      </w:r>
    </w:p>
    <w:p w14:paraId="4E5C5EA3" w14:textId="77777777" w:rsidR="004269A5" w:rsidRDefault="004269A5" w:rsidP="004269A5">
      <w:pPr>
        <w:spacing w:before="240"/>
        <w:ind w:left="1560"/>
        <w:jc w:val="both"/>
        <w:rPr>
          <w:rFonts w:cs="Times New Roman"/>
          <w:sz w:val="24"/>
          <w:szCs w:val="24"/>
        </w:rPr>
      </w:pPr>
      <w:r w:rsidRPr="00F45A84">
        <w:rPr>
          <w:rFonts w:cs="Times New Roman"/>
          <w:b/>
          <w:bCs/>
          <w:sz w:val="24"/>
          <w:szCs w:val="24"/>
        </w:rPr>
        <w:t xml:space="preserve">Table 5. </w:t>
      </w:r>
      <w:r w:rsidRPr="00F45A84">
        <w:rPr>
          <w:rFonts w:cs="Times New Roman"/>
          <w:sz w:val="24"/>
          <w:szCs w:val="24"/>
        </w:rPr>
        <w:t>Top 10 most cited documents</w:t>
      </w:r>
    </w:p>
    <w:tbl>
      <w:tblPr>
        <w:tblW w:w="4180" w:type="pct"/>
        <w:tblInd w:w="1668" w:type="dxa"/>
        <w:tblLayout w:type="fixed"/>
        <w:tblLook w:val="04A0" w:firstRow="1" w:lastRow="0" w:firstColumn="1" w:lastColumn="0" w:noHBand="0" w:noVBand="1"/>
      </w:tblPr>
      <w:tblGrid>
        <w:gridCol w:w="835"/>
        <w:gridCol w:w="2331"/>
        <w:gridCol w:w="1974"/>
        <w:gridCol w:w="2363"/>
        <w:gridCol w:w="557"/>
        <w:gridCol w:w="832"/>
      </w:tblGrid>
      <w:tr w:rsidR="0092413E" w:rsidRPr="00C94C6D" w14:paraId="1ABB144B" w14:textId="77777777" w:rsidTr="0092413E">
        <w:trPr>
          <w:trHeight w:val="288"/>
        </w:trPr>
        <w:tc>
          <w:tcPr>
            <w:tcW w:w="469" w:type="pct"/>
            <w:tcBorders>
              <w:top w:val="single" w:sz="4" w:space="0" w:color="auto"/>
              <w:left w:val="nil"/>
              <w:bottom w:val="single" w:sz="4" w:space="0" w:color="auto"/>
              <w:right w:val="nil"/>
            </w:tcBorders>
            <w:noWrap/>
            <w:hideMark/>
          </w:tcPr>
          <w:p w14:paraId="1BF3FC2B" w14:textId="77777777" w:rsidR="0059729C" w:rsidRPr="00C94C6D" w:rsidRDefault="0059729C"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Rank</w:t>
            </w:r>
          </w:p>
        </w:tc>
        <w:tc>
          <w:tcPr>
            <w:tcW w:w="1311" w:type="pct"/>
            <w:tcBorders>
              <w:top w:val="single" w:sz="4" w:space="0" w:color="auto"/>
              <w:left w:val="nil"/>
              <w:bottom w:val="single" w:sz="4" w:space="0" w:color="auto"/>
              <w:right w:val="nil"/>
            </w:tcBorders>
            <w:noWrap/>
            <w:hideMark/>
          </w:tcPr>
          <w:p w14:paraId="7A1DABB3" w14:textId="77777777" w:rsidR="0059729C" w:rsidRPr="00C94C6D" w:rsidRDefault="0059729C"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DOI</w:t>
            </w:r>
          </w:p>
        </w:tc>
        <w:tc>
          <w:tcPr>
            <w:tcW w:w="1110" w:type="pct"/>
            <w:tcBorders>
              <w:top w:val="single" w:sz="4" w:space="0" w:color="auto"/>
              <w:left w:val="nil"/>
              <w:bottom w:val="single" w:sz="4" w:space="0" w:color="auto"/>
              <w:right w:val="nil"/>
            </w:tcBorders>
            <w:noWrap/>
            <w:hideMark/>
          </w:tcPr>
          <w:p w14:paraId="5F50E710" w14:textId="77777777" w:rsidR="0059729C" w:rsidRPr="00C94C6D" w:rsidRDefault="0059729C" w:rsidP="0092413E">
            <w:pPr>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Author</w:t>
            </w:r>
          </w:p>
        </w:tc>
        <w:tc>
          <w:tcPr>
            <w:tcW w:w="1329" w:type="pct"/>
            <w:tcBorders>
              <w:top w:val="single" w:sz="4" w:space="0" w:color="auto"/>
              <w:left w:val="nil"/>
              <w:bottom w:val="single" w:sz="4" w:space="0" w:color="auto"/>
              <w:right w:val="nil"/>
            </w:tcBorders>
            <w:noWrap/>
            <w:hideMark/>
          </w:tcPr>
          <w:p w14:paraId="3DBD4686" w14:textId="77777777" w:rsidR="0059729C" w:rsidRPr="00C94C6D" w:rsidRDefault="0059729C"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Journal</w:t>
            </w:r>
          </w:p>
        </w:tc>
        <w:tc>
          <w:tcPr>
            <w:tcW w:w="313" w:type="pct"/>
            <w:tcBorders>
              <w:top w:val="single" w:sz="4" w:space="0" w:color="auto"/>
              <w:left w:val="nil"/>
              <w:bottom w:val="single" w:sz="4" w:space="0" w:color="auto"/>
              <w:right w:val="nil"/>
            </w:tcBorders>
            <w:noWrap/>
            <w:hideMark/>
          </w:tcPr>
          <w:p w14:paraId="21476A3C" w14:textId="77777777" w:rsidR="0059729C" w:rsidRPr="00C94C6D" w:rsidRDefault="0059729C"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TC</w:t>
            </w:r>
          </w:p>
        </w:tc>
        <w:tc>
          <w:tcPr>
            <w:tcW w:w="468" w:type="pct"/>
            <w:tcBorders>
              <w:top w:val="single" w:sz="4" w:space="0" w:color="auto"/>
              <w:left w:val="nil"/>
              <w:bottom w:val="single" w:sz="4" w:space="0" w:color="auto"/>
              <w:right w:val="nil"/>
            </w:tcBorders>
            <w:noWrap/>
            <w:hideMark/>
          </w:tcPr>
          <w:p w14:paraId="4BC33452" w14:textId="77777777" w:rsidR="0059729C" w:rsidRPr="00C94C6D" w:rsidRDefault="0059729C"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TCY</w:t>
            </w:r>
          </w:p>
        </w:tc>
      </w:tr>
      <w:tr w:rsidR="0092413E" w:rsidRPr="00C94C6D" w14:paraId="697E847C" w14:textId="77777777" w:rsidTr="0092413E">
        <w:trPr>
          <w:trHeight w:val="288"/>
        </w:trPr>
        <w:tc>
          <w:tcPr>
            <w:tcW w:w="469" w:type="pct"/>
            <w:tcBorders>
              <w:top w:val="single" w:sz="4" w:space="0" w:color="auto"/>
              <w:left w:val="nil"/>
              <w:bottom w:val="nil"/>
              <w:right w:val="nil"/>
            </w:tcBorders>
            <w:noWrap/>
            <w:hideMark/>
          </w:tcPr>
          <w:p w14:paraId="1606474F"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w:t>
            </w:r>
          </w:p>
        </w:tc>
        <w:tc>
          <w:tcPr>
            <w:tcW w:w="1311" w:type="pct"/>
            <w:tcBorders>
              <w:top w:val="single" w:sz="4" w:space="0" w:color="auto"/>
              <w:left w:val="nil"/>
              <w:bottom w:val="nil"/>
              <w:right w:val="nil"/>
            </w:tcBorders>
            <w:noWrap/>
            <w:hideMark/>
          </w:tcPr>
          <w:p w14:paraId="09EA4ECF"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hAnsi="Times New Roman" w:cs="Times New Roman"/>
              </w:rPr>
              <w:t>10.1016/j.procbio.2004.06.025</w:t>
            </w:r>
          </w:p>
        </w:tc>
        <w:tc>
          <w:tcPr>
            <w:tcW w:w="1110" w:type="pct"/>
            <w:tcBorders>
              <w:top w:val="single" w:sz="4" w:space="0" w:color="auto"/>
              <w:left w:val="nil"/>
              <w:bottom w:val="nil"/>
              <w:right w:val="nil"/>
            </w:tcBorders>
            <w:noWrap/>
          </w:tcPr>
          <w:p w14:paraId="7CDE1C02"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fldChar w:fldCharType="begin"/>
            </w:r>
            <w:r w:rsidRPr="00C94C6D">
              <w:rPr>
                <w:rFonts w:ascii="Times New Roman" w:eastAsia="Times New Roman" w:hAnsi="Times New Roman" w:cs="Times New Roman"/>
                <w:lang w:eastAsia="en-ID"/>
              </w:rPr>
              <w:instrText xml:space="preserve"> ADDIN ZOTERO_ITEM CSL_CITATION {"citationID":"u1WiaEtn","properties":{"formattedCitation":"(Eggleston &amp; Monge, 2005)","plainCitation":"(Eggleston &amp; Monge, 2005)","dontUpdate":true,"noteIndex":0},"citationItems":[{"id":18736,"uris":["http://zotero.org/users/12817968/items/W9AS6YKV"],"itemData":{"id":18736,"type":"article-journal","container-title":"Process Biochemistry","DOI":"10.1016/j.procbio.2004.06.025","ISSN":"13595113","issue":"5","journalAbbreviation":"Process Biochemistry","language":"en","license":"https://www.elsevier.com/tdm/userlicense/1.0/","page":"1881-1894","source":"DOI.org (Crossref)","title":"Optimization of sugarcane factory application of commercial dextranases","volume":"40","author":[{"family":"Eggleston","given":"G."},{"family":"Monge","given":"A."}],"issued":{"date-parts":[["2005",4]]}}}],"schema":"https://github.com/citation-style-language/schema/raw/master/csl-citation.json"} </w:instrText>
            </w:r>
            <w:r w:rsidRPr="00C94C6D">
              <w:rPr>
                <w:rFonts w:ascii="Times New Roman" w:eastAsia="Times New Roman" w:hAnsi="Times New Roman" w:cs="Times New Roman"/>
                <w:lang w:eastAsia="en-ID"/>
              </w:rPr>
              <w:fldChar w:fldCharType="separate"/>
            </w:r>
            <w:r w:rsidRPr="00C94C6D">
              <w:rPr>
                <w:rFonts w:ascii="Times New Roman" w:hAnsi="Times New Roman" w:cs="Times New Roman"/>
              </w:rPr>
              <w:t>Eggleston &amp; Monge (2005)</w:t>
            </w:r>
            <w:r w:rsidRPr="00C94C6D">
              <w:rPr>
                <w:rFonts w:ascii="Times New Roman" w:eastAsia="Times New Roman" w:hAnsi="Times New Roman" w:cs="Times New Roman"/>
                <w:lang w:eastAsia="en-ID"/>
              </w:rPr>
              <w:fldChar w:fldCharType="end"/>
            </w:r>
          </w:p>
        </w:tc>
        <w:tc>
          <w:tcPr>
            <w:tcW w:w="1329" w:type="pct"/>
            <w:tcBorders>
              <w:top w:val="single" w:sz="4" w:space="0" w:color="auto"/>
              <w:left w:val="nil"/>
              <w:bottom w:val="nil"/>
              <w:right w:val="nil"/>
            </w:tcBorders>
            <w:noWrap/>
          </w:tcPr>
          <w:p w14:paraId="6FE57D7F"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Process Biochemistry</w:t>
            </w:r>
          </w:p>
        </w:tc>
        <w:tc>
          <w:tcPr>
            <w:tcW w:w="313" w:type="pct"/>
            <w:tcBorders>
              <w:top w:val="single" w:sz="4" w:space="0" w:color="auto"/>
              <w:left w:val="nil"/>
              <w:bottom w:val="nil"/>
              <w:right w:val="nil"/>
            </w:tcBorders>
            <w:noWrap/>
            <w:hideMark/>
          </w:tcPr>
          <w:p w14:paraId="520C6C3E"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86</w:t>
            </w:r>
          </w:p>
        </w:tc>
        <w:tc>
          <w:tcPr>
            <w:tcW w:w="468" w:type="pct"/>
            <w:tcBorders>
              <w:top w:val="single" w:sz="4" w:space="0" w:color="auto"/>
              <w:left w:val="nil"/>
              <w:bottom w:val="nil"/>
              <w:right w:val="nil"/>
            </w:tcBorders>
            <w:noWrap/>
            <w:hideMark/>
          </w:tcPr>
          <w:p w14:paraId="41A17126"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4,10</w:t>
            </w:r>
          </w:p>
        </w:tc>
      </w:tr>
      <w:tr w:rsidR="0092413E" w:rsidRPr="00C94C6D" w14:paraId="7274E9A0" w14:textId="77777777" w:rsidTr="0092413E">
        <w:trPr>
          <w:trHeight w:val="288"/>
        </w:trPr>
        <w:tc>
          <w:tcPr>
            <w:tcW w:w="469" w:type="pct"/>
            <w:tcBorders>
              <w:top w:val="nil"/>
              <w:left w:val="nil"/>
              <w:bottom w:val="nil"/>
              <w:right w:val="nil"/>
            </w:tcBorders>
            <w:noWrap/>
            <w:hideMark/>
          </w:tcPr>
          <w:p w14:paraId="35AD8667"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w:t>
            </w:r>
          </w:p>
        </w:tc>
        <w:tc>
          <w:tcPr>
            <w:tcW w:w="1311" w:type="pct"/>
            <w:tcBorders>
              <w:top w:val="nil"/>
              <w:left w:val="nil"/>
              <w:bottom w:val="nil"/>
              <w:right w:val="nil"/>
            </w:tcBorders>
            <w:noWrap/>
            <w:hideMark/>
          </w:tcPr>
          <w:p w14:paraId="5D09F2D6"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hAnsi="Times New Roman" w:cs="Times New Roman"/>
              </w:rPr>
              <w:t>10.1002/bbb.1801</w:t>
            </w:r>
          </w:p>
        </w:tc>
        <w:tc>
          <w:tcPr>
            <w:tcW w:w="1110" w:type="pct"/>
            <w:tcBorders>
              <w:top w:val="nil"/>
              <w:left w:val="nil"/>
              <w:bottom w:val="nil"/>
              <w:right w:val="nil"/>
            </w:tcBorders>
            <w:noWrap/>
          </w:tcPr>
          <w:p w14:paraId="61B5D847"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fldChar w:fldCharType="begin"/>
            </w:r>
            <w:r w:rsidRPr="00C94C6D">
              <w:rPr>
                <w:rFonts w:ascii="Times New Roman" w:eastAsia="Times New Roman" w:hAnsi="Times New Roman" w:cs="Times New Roman"/>
                <w:lang w:eastAsia="en-ID"/>
              </w:rPr>
              <w:instrText xml:space="preserve"> ADDIN ZOTERO_ITEM CSL_CITATION {"citationID":"YSCqmBz3","properties":{"formattedCitation":"(Mandegari et al., 2017)","plainCitation":"(Mandegari et al., 2017)","dontUpdate":true,"noteIndex":0},"citationItems":[{"id":18737,"uris":["http://zotero.org/users/12817968/items/VXGIS4WA"],"itemData":{"id":18737,"type":"article-journal","abstract":"Abstract\n            Biorefineries are regarded as a key enabler to facilitate the transition toward a sustainable and low carbon bioeconomy. In this study, alternative lignocellulose biorefineries annexed to a typical sugar mill were investigated to co‐produce ethanol (EtOH), lactic acid (LA), and/or electricity, utilizing bagasse and a component of harvesting residues (brown leaves) as feedstock. Studied scenarios included EtOH as the sole product from glucose and xylose (Scenario 1), LA as the sole product from these two sugars (Scenario 2), EtOH from glucose and LA from xylose (Scenario 3), and EtOH from xylose and LA from glucose (Scenario 4), all of which were associated with some level of export electricity production. Aspen Plus® simulations of the scenarios were developed considering all supplementary units, such as evaporation, water treatment, boiler, and steam/power generation in addition to the process units required for the main product streams. Economic evaluation, energy assessment, and environmental life cycle assessment (LCA) were carried out on the developed simulations, in a multi‐criteria analysis of the desirability of each scenario. To service the combined energy demands of a sugar mill and annexed biorefinery, a 35 to 40% bypass of lignocellulose directly to the boiler section was required to achieve integrated scenarios that were energy self‐sufficient, i.e., not dependent on external (fossil) energy sources. Scenario 2 was economically most attractive with the highest internal rate of return (IRR) of 31.1%, whereas Scenario 1 had the lowest IRR of 10.0%. Scenarios 2 and 4 were economically the most robust, with the least sensitivity to variations in the key economic drivers, i.e., EtOH, LA and enzymes. The LCA suggested that LA producing scenarios introduced environmental burdens that were marginally higher than Scenario 1, due to higher consumption of processing chemicals. Overall, Scenario 4 was found to be the most desirable biorefinery scenario, by balancing financial and environmental considerations. © 2017 Society of Chemical Industry and John Wiley &amp; Sons, Ltd","container-title":"Biofuels, Bioproducts and Biorefining","DOI":"10.1002/bbb.1801","ISSN":"1932-104X, 1932-1031","issue":"6","journalAbbreviation":"Biofuels Bioprod Bioref","language":"en","page":"971-990","source":"DOI.org (Crossref)","title":"Multi‐criteria analysis of a biorefinery for co‐production of lactic acid and ethanol from sugarcane lignocellulose","volume":"11","author":[{"family":"Mandegari","given":"Mohsen Ali"},{"family":"Farzad","given":"Somayeh"},{"family":"Van Rensburg","given":"Eugéne"},{"family":"Görgens","given":"Johann F."}],"issued":{"date-parts":[["2017",11]]}}}],"schema":"https://github.com/citation-style-language/schema/raw/master/csl-citation.json"} </w:instrText>
            </w:r>
            <w:r w:rsidRPr="00C94C6D">
              <w:rPr>
                <w:rFonts w:ascii="Times New Roman" w:eastAsia="Times New Roman" w:hAnsi="Times New Roman" w:cs="Times New Roman"/>
                <w:lang w:eastAsia="en-ID"/>
              </w:rPr>
              <w:fldChar w:fldCharType="separate"/>
            </w:r>
            <w:r w:rsidRPr="00C94C6D">
              <w:rPr>
                <w:rFonts w:ascii="Times New Roman" w:hAnsi="Times New Roman" w:cs="Times New Roman"/>
              </w:rPr>
              <w:t>Mandegari et al. (2017)</w:t>
            </w:r>
            <w:r w:rsidRPr="00C94C6D">
              <w:rPr>
                <w:rFonts w:ascii="Times New Roman" w:eastAsia="Times New Roman" w:hAnsi="Times New Roman" w:cs="Times New Roman"/>
                <w:lang w:eastAsia="en-ID"/>
              </w:rPr>
              <w:fldChar w:fldCharType="end"/>
            </w:r>
          </w:p>
        </w:tc>
        <w:tc>
          <w:tcPr>
            <w:tcW w:w="1329" w:type="pct"/>
            <w:tcBorders>
              <w:top w:val="nil"/>
              <w:left w:val="nil"/>
              <w:bottom w:val="nil"/>
              <w:right w:val="nil"/>
            </w:tcBorders>
            <w:noWrap/>
          </w:tcPr>
          <w:p w14:paraId="18370226"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Biofuels, Bioproducts and Biorefining</w:t>
            </w:r>
          </w:p>
        </w:tc>
        <w:tc>
          <w:tcPr>
            <w:tcW w:w="313" w:type="pct"/>
            <w:tcBorders>
              <w:top w:val="nil"/>
              <w:left w:val="nil"/>
              <w:bottom w:val="nil"/>
              <w:right w:val="nil"/>
            </w:tcBorders>
            <w:noWrap/>
            <w:hideMark/>
          </w:tcPr>
          <w:p w14:paraId="115A23EE"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76</w:t>
            </w:r>
          </w:p>
        </w:tc>
        <w:tc>
          <w:tcPr>
            <w:tcW w:w="468" w:type="pct"/>
            <w:tcBorders>
              <w:top w:val="nil"/>
              <w:left w:val="nil"/>
              <w:bottom w:val="nil"/>
              <w:right w:val="nil"/>
            </w:tcBorders>
            <w:noWrap/>
            <w:hideMark/>
          </w:tcPr>
          <w:p w14:paraId="4A2116CF"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8,44</w:t>
            </w:r>
          </w:p>
        </w:tc>
      </w:tr>
      <w:tr w:rsidR="0092413E" w:rsidRPr="00C94C6D" w14:paraId="466B069A" w14:textId="77777777" w:rsidTr="0092413E">
        <w:trPr>
          <w:trHeight w:val="288"/>
        </w:trPr>
        <w:tc>
          <w:tcPr>
            <w:tcW w:w="469" w:type="pct"/>
            <w:tcBorders>
              <w:top w:val="nil"/>
              <w:left w:val="nil"/>
              <w:bottom w:val="nil"/>
              <w:right w:val="nil"/>
            </w:tcBorders>
            <w:noWrap/>
            <w:hideMark/>
          </w:tcPr>
          <w:p w14:paraId="0A338495"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3</w:t>
            </w:r>
          </w:p>
        </w:tc>
        <w:tc>
          <w:tcPr>
            <w:tcW w:w="1311" w:type="pct"/>
            <w:tcBorders>
              <w:top w:val="nil"/>
              <w:left w:val="nil"/>
              <w:bottom w:val="nil"/>
              <w:right w:val="nil"/>
            </w:tcBorders>
            <w:noWrap/>
            <w:hideMark/>
          </w:tcPr>
          <w:p w14:paraId="7571F981"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hAnsi="Times New Roman" w:cs="Times New Roman"/>
              </w:rPr>
              <w:t>10.1016/S0952-1976(98)00055-4</w:t>
            </w:r>
          </w:p>
        </w:tc>
        <w:tc>
          <w:tcPr>
            <w:tcW w:w="1110" w:type="pct"/>
            <w:tcBorders>
              <w:top w:val="nil"/>
              <w:left w:val="nil"/>
              <w:bottom w:val="nil"/>
              <w:right w:val="nil"/>
            </w:tcBorders>
            <w:noWrap/>
          </w:tcPr>
          <w:p w14:paraId="307DBE9A"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fldChar w:fldCharType="begin"/>
            </w:r>
            <w:r w:rsidRPr="00C94C6D">
              <w:rPr>
                <w:rFonts w:ascii="Times New Roman" w:eastAsia="Times New Roman" w:hAnsi="Times New Roman" w:cs="Times New Roman"/>
                <w:lang w:eastAsia="en-ID"/>
              </w:rPr>
              <w:instrText xml:space="preserve"> ADDIN ZOTERO_ITEM CSL_CITATION {"citationID":"ful17nBW","properties":{"formattedCitation":"(Zamarre\\uc0\\u241{}o &amp; Vega, 1999)","plainCitation":"(Zamarreño &amp; Vega, 1999)","dontUpdate":true,"noteIndex":0},"citationItems":[{"id":18738,"uris":["http://zotero.org/users/12817968/items/WML4M9L9"],"itemData":{"id":18738,"type":"article-journal","container-title":"Engineering Applications of Artificial Intelligence","DOI":"10.1016/S0952-1976(98)00055-4","ISSN":"09521976","issue":"2","journalAbbreviation":"Engineering Applications of Artificial Intelligence","language":"en","license":"https://www.elsevier.com/tdm/userlicense/1.0/","page":"149-158","source":"DOI.org (Crossref)","title":"Neural predictive control. Application to a highly non-linear system","volume":"12","author":[{"family":"Zamarreño","given":"J.M."},{"family":"Vega","given":"P."}],"issued":{"date-parts":[["1999",4]]}}}],"schema":"https://github.com/citation-style-language/schema/raw/master/csl-citation.json"} </w:instrText>
            </w:r>
            <w:r w:rsidRPr="00C94C6D">
              <w:rPr>
                <w:rFonts w:ascii="Times New Roman" w:eastAsia="Times New Roman" w:hAnsi="Times New Roman" w:cs="Times New Roman"/>
                <w:lang w:eastAsia="en-ID"/>
              </w:rPr>
              <w:fldChar w:fldCharType="separate"/>
            </w:r>
            <w:r w:rsidRPr="00C94C6D">
              <w:rPr>
                <w:rFonts w:ascii="Times New Roman" w:hAnsi="Times New Roman" w:cs="Times New Roman"/>
              </w:rPr>
              <w:t>Zamarreño &amp; Vega (1999)</w:t>
            </w:r>
            <w:r w:rsidRPr="00C94C6D">
              <w:rPr>
                <w:rFonts w:ascii="Times New Roman" w:eastAsia="Times New Roman" w:hAnsi="Times New Roman" w:cs="Times New Roman"/>
                <w:lang w:eastAsia="en-ID"/>
              </w:rPr>
              <w:fldChar w:fldCharType="end"/>
            </w:r>
          </w:p>
        </w:tc>
        <w:tc>
          <w:tcPr>
            <w:tcW w:w="1329" w:type="pct"/>
            <w:tcBorders>
              <w:top w:val="nil"/>
              <w:left w:val="nil"/>
              <w:bottom w:val="nil"/>
              <w:right w:val="nil"/>
            </w:tcBorders>
            <w:noWrap/>
          </w:tcPr>
          <w:p w14:paraId="6305F3C8"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Engineering Applications of Artificial Intelligence</w:t>
            </w:r>
          </w:p>
        </w:tc>
        <w:tc>
          <w:tcPr>
            <w:tcW w:w="313" w:type="pct"/>
            <w:tcBorders>
              <w:top w:val="nil"/>
              <w:left w:val="nil"/>
              <w:bottom w:val="nil"/>
              <w:right w:val="nil"/>
            </w:tcBorders>
            <w:noWrap/>
            <w:hideMark/>
          </w:tcPr>
          <w:p w14:paraId="766637B0"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74</w:t>
            </w:r>
          </w:p>
        </w:tc>
        <w:tc>
          <w:tcPr>
            <w:tcW w:w="468" w:type="pct"/>
            <w:tcBorders>
              <w:top w:val="nil"/>
              <w:left w:val="nil"/>
              <w:bottom w:val="nil"/>
              <w:right w:val="nil"/>
            </w:tcBorders>
            <w:noWrap/>
            <w:hideMark/>
          </w:tcPr>
          <w:p w14:paraId="4A735AB1"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2,74</w:t>
            </w:r>
          </w:p>
        </w:tc>
      </w:tr>
      <w:tr w:rsidR="0092413E" w:rsidRPr="00C94C6D" w14:paraId="59E3C033" w14:textId="77777777" w:rsidTr="0092413E">
        <w:trPr>
          <w:trHeight w:val="288"/>
        </w:trPr>
        <w:tc>
          <w:tcPr>
            <w:tcW w:w="469" w:type="pct"/>
            <w:tcBorders>
              <w:top w:val="nil"/>
              <w:left w:val="nil"/>
              <w:bottom w:val="nil"/>
              <w:right w:val="nil"/>
            </w:tcBorders>
            <w:noWrap/>
            <w:hideMark/>
          </w:tcPr>
          <w:p w14:paraId="12E914AB"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4</w:t>
            </w:r>
          </w:p>
        </w:tc>
        <w:tc>
          <w:tcPr>
            <w:tcW w:w="1311" w:type="pct"/>
            <w:tcBorders>
              <w:top w:val="nil"/>
              <w:left w:val="nil"/>
              <w:bottom w:val="nil"/>
              <w:right w:val="nil"/>
            </w:tcBorders>
            <w:noWrap/>
            <w:hideMark/>
          </w:tcPr>
          <w:p w14:paraId="12CAABFB"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hAnsi="Times New Roman" w:cs="Times New Roman"/>
              </w:rPr>
              <w:t>10.1016/j.jfoodeng.2005.08.011</w:t>
            </w:r>
          </w:p>
        </w:tc>
        <w:tc>
          <w:tcPr>
            <w:tcW w:w="1110" w:type="pct"/>
            <w:tcBorders>
              <w:top w:val="nil"/>
              <w:left w:val="nil"/>
              <w:bottom w:val="nil"/>
              <w:right w:val="nil"/>
            </w:tcBorders>
            <w:noWrap/>
          </w:tcPr>
          <w:p w14:paraId="04347715"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fldChar w:fldCharType="begin"/>
            </w:r>
            <w:r w:rsidRPr="00C94C6D">
              <w:rPr>
                <w:rFonts w:ascii="Times New Roman" w:eastAsia="Times New Roman" w:hAnsi="Times New Roman" w:cs="Times New Roman"/>
                <w:lang w:eastAsia="en-ID"/>
              </w:rPr>
              <w:instrText xml:space="preserve"> ADDIN ZOTERO_ITEM CSL_CITATION {"citationID":"stn5yjWx","properties":{"formattedCitation":"(Quintas et al., 2006)","plainCitation":"(Quintas et al., 2006)","dontUpdate":true,"noteIndex":0},"citationItems":[{"id":18739,"uris":["http://zotero.org/users/12817968/items/873G28H3"],"itemData":{"id":18739,"type":"article-journal","container-title":"Journal of Food Engineering","DOI":"10.1016/j.jfoodeng.2005.08.011","ISSN":"02608774","issue":"4","journalAbbreviation":"Journal of Food Engineering","language":"en","license":"https://www.elsevier.com/tdm/userlicense/1.0/","page":"844-852","source":"DOI.org (Crossref)","title":"Rheology of supersaturated sucrose solutions","volume":"77","author":[{"family":"Quintas","given":"M."},{"family":"Brandão","given":"T.R.S."},{"family":"Silva","given":"C.L.M."},{"family":"Cunha","given":"R.L."}],"issued":{"date-parts":[["2006",12]]}}}],"schema":"https://github.com/citation-style-language/schema/raw/master/csl-citation.json"} </w:instrText>
            </w:r>
            <w:r w:rsidRPr="00C94C6D">
              <w:rPr>
                <w:rFonts w:ascii="Times New Roman" w:eastAsia="Times New Roman" w:hAnsi="Times New Roman" w:cs="Times New Roman"/>
                <w:lang w:eastAsia="en-ID"/>
              </w:rPr>
              <w:fldChar w:fldCharType="separate"/>
            </w:r>
            <w:r w:rsidRPr="00C94C6D">
              <w:rPr>
                <w:rFonts w:ascii="Times New Roman" w:hAnsi="Times New Roman" w:cs="Times New Roman"/>
              </w:rPr>
              <w:t>Quintas et al. (2006)</w:t>
            </w:r>
            <w:r w:rsidRPr="00C94C6D">
              <w:rPr>
                <w:rFonts w:ascii="Times New Roman" w:eastAsia="Times New Roman" w:hAnsi="Times New Roman" w:cs="Times New Roman"/>
                <w:lang w:eastAsia="en-ID"/>
              </w:rPr>
              <w:fldChar w:fldCharType="end"/>
            </w:r>
          </w:p>
        </w:tc>
        <w:tc>
          <w:tcPr>
            <w:tcW w:w="1329" w:type="pct"/>
            <w:tcBorders>
              <w:top w:val="nil"/>
              <w:left w:val="nil"/>
              <w:bottom w:val="nil"/>
              <w:right w:val="nil"/>
            </w:tcBorders>
            <w:noWrap/>
          </w:tcPr>
          <w:p w14:paraId="6BC90B43"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Journal of Food Engineering</w:t>
            </w:r>
          </w:p>
        </w:tc>
        <w:tc>
          <w:tcPr>
            <w:tcW w:w="313" w:type="pct"/>
            <w:tcBorders>
              <w:top w:val="nil"/>
              <w:left w:val="nil"/>
              <w:bottom w:val="nil"/>
              <w:right w:val="nil"/>
            </w:tcBorders>
            <w:noWrap/>
            <w:hideMark/>
          </w:tcPr>
          <w:p w14:paraId="1AC1F0BE"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74</w:t>
            </w:r>
          </w:p>
        </w:tc>
        <w:tc>
          <w:tcPr>
            <w:tcW w:w="468" w:type="pct"/>
            <w:tcBorders>
              <w:top w:val="nil"/>
              <w:left w:val="nil"/>
              <w:bottom w:val="nil"/>
              <w:right w:val="nil"/>
            </w:tcBorders>
            <w:noWrap/>
            <w:hideMark/>
          </w:tcPr>
          <w:p w14:paraId="1D3D75FA"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3,70</w:t>
            </w:r>
          </w:p>
        </w:tc>
      </w:tr>
      <w:tr w:rsidR="0092413E" w:rsidRPr="00C94C6D" w14:paraId="1EDB7464" w14:textId="77777777" w:rsidTr="0092413E">
        <w:trPr>
          <w:trHeight w:val="288"/>
        </w:trPr>
        <w:tc>
          <w:tcPr>
            <w:tcW w:w="469" w:type="pct"/>
            <w:tcBorders>
              <w:top w:val="nil"/>
              <w:left w:val="nil"/>
              <w:bottom w:val="nil"/>
              <w:right w:val="nil"/>
            </w:tcBorders>
            <w:noWrap/>
            <w:hideMark/>
          </w:tcPr>
          <w:p w14:paraId="11515034"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5</w:t>
            </w:r>
          </w:p>
        </w:tc>
        <w:tc>
          <w:tcPr>
            <w:tcW w:w="1311" w:type="pct"/>
            <w:tcBorders>
              <w:top w:val="nil"/>
              <w:left w:val="nil"/>
              <w:bottom w:val="nil"/>
              <w:right w:val="nil"/>
            </w:tcBorders>
            <w:noWrap/>
            <w:hideMark/>
          </w:tcPr>
          <w:p w14:paraId="777E8F0A"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hAnsi="Times New Roman" w:cs="Times New Roman"/>
              </w:rPr>
              <w:t>10.1016/j.energy.2006.09.002</w:t>
            </w:r>
          </w:p>
        </w:tc>
        <w:tc>
          <w:tcPr>
            <w:tcW w:w="1110" w:type="pct"/>
            <w:tcBorders>
              <w:top w:val="nil"/>
              <w:left w:val="nil"/>
              <w:bottom w:val="nil"/>
              <w:right w:val="nil"/>
            </w:tcBorders>
            <w:noWrap/>
          </w:tcPr>
          <w:p w14:paraId="4D425CA8"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fldChar w:fldCharType="begin"/>
            </w:r>
            <w:r w:rsidRPr="00C94C6D">
              <w:rPr>
                <w:rFonts w:ascii="Times New Roman" w:eastAsia="Times New Roman" w:hAnsi="Times New Roman" w:cs="Times New Roman"/>
                <w:lang w:eastAsia="en-ID"/>
              </w:rPr>
              <w:instrText xml:space="preserve"> ADDIN ZOTERO_ITEM CSL_CITATION {"citationID":"rJztQ8GL","properties":{"formattedCitation":"(Kaya &amp; Ibrahim Sarac, 2007)","plainCitation":"(Kaya &amp; Ibrahim Sarac, 2007)","dontUpdate":true,"noteIndex":0},"citationItems":[{"id":18740,"uris":["http://zotero.org/users/12817968/items/KYNYRVV4"],"itemData":{"id":18740,"type":"article-journal","container-title":"Energy","DOI":"10.1016/j.energy.2006.09.002","ISSN":"03605442","issue":"8","journalAbbreviation":"Energy","language":"en","license":"https://www.elsevier.com/tdm/userlicense/1.0/","page":"1536-1542","source":"DOI.org (Crossref)","title":"Mathematical modeling of multiple-effect evaporators and energy economy","volume":"32","author":[{"family":"Kaya","given":"Durmus"},{"family":"Ibrahim Sarac","given":"H."}],"issued":{"date-parts":[["2007",8]]}}}],"schema":"https://github.com/citation-style-language/schema/raw/master/csl-citation.json"} </w:instrText>
            </w:r>
            <w:r w:rsidRPr="00C94C6D">
              <w:rPr>
                <w:rFonts w:ascii="Times New Roman" w:eastAsia="Times New Roman" w:hAnsi="Times New Roman" w:cs="Times New Roman"/>
                <w:lang w:eastAsia="en-ID"/>
              </w:rPr>
              <w:fldChar w:fldCharType="separate"/>
            </w:r>
            <w:r w:rsidRPr="00C94C6D">
              <w:rPr>
                <w:rFonts w:ascii="Times New Roman" w:hAnsi="Times New Roman" w:cs="Times New Roman"/>
              </w:rPr>
              <w:t>Kaya &amp; Ibrahim Sarac (2007)</w:t>
            </w:r>
            <w:r w:rsidRPr="00C94C6D">
              <w:rPr>
                <w:rFonts w:ascii="Times New Roman" w:eastAsia="Times New Roman" w:hAnsi="Times New Roman" w:cs="Times New Roman"/>
                <w:lang w:eastAsia="en-ID"/>
              </w:rPr>
              <w:fldChar w:fldCharType="end"/>
            </w:r>
          </w:p>
        </w:tc>
        <w:tc>
          <w:tcPr>
            <w:tcW w:w="1329" w:type="pct"/>
            <w:tcBorders>
              <w:top w:val="nil"/>
              <w:left w:val="nil"/>
              <w:bottom w:val="nil"/>
              <w:right w:val="nil"/>
            </w:tcBorders>
            <w:noWrap/>
          </w:tcPr>
          <w:p w14:paraId="05E973C6"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Energy</w:t>
            </w:r>
          </w:p>
        </w:tc>
        <w:tc>
          <w:tcPr>
            <w:tcW w:w="313" w:type="pct"/>
            <w:tcBorders>
              <w:top w:val="nil"/>
              <w:left w:val="nil"/>
              <w:bottom w:val="nil"/>
              <w:right w:val="nil"/>
            </w:tcBorders>
            <w:noWrap/>
            <w:hideMark/>
          </w:tcPr>
          <w:p w14:paraId="680B2521"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74</w:t>
            </w:r>
          </w:p>
        </w:tc>
        <w:tc>
          <w:tcPr>
            <w:tcW w:w="468" w:type="pct"/>
            <w:tcBorders>
              <w:top w:val="nil"/>
              <w:left w:val="nil"/>
              <w:bottom w:val="nil"/>
              <w:right w:val="nil"/>
            </w:tcBorders>
            <w:noWrap/>
            <w:hideMark/>
          </w:tcPr>
          <w:p w14:paraId="0E9C57A8"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3,89</w:t>
            </w:r>
          </w:p>
        </w:tc>
      </w:tr>
      <w:tr w:rsidR="0092413E" w:rsidRPr="00C94C6D" w14:paraId="553D4160" w14:textId="77777777" w:rsidTr="0092413E">
        <w:trPr>
          <w:trHeight w:val="288"/>
        </w:trPr>
        <w:tc>
          <w:tcPr>
            <w:tcW w:w="469" w:type="pct"/>
            <w:tcBorders>
              <w:top w:val="nil"/>
              <w:left w:val="nil"/>
              <w:bottom w:val="nil"/>
              <w:right w:val="nil"/>
            </w:tcBorders>
            <w:noWrap/>
            <w:hideMark/>
          </w:tcPr>
          <w:p w14:paraId="640CE82F"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6</w:t>
            </w:r>
          </w:p>
        </w:tc>
        <w:tc>
          <w:tcPr>
            <w:tcW w:w="1311" w:type="pct"/>
            <w:tcBorders>
              <w:top w:val="nil"/>
              <w:left w:val="nil"/>
              <w:bottom w:val="nil"/>
              <w:right w:val="nil"/>
            </w:tcBorders>
            <w:noWrap/>
            <w:hideMark/>
          </w:tcPr>
          <w:p w14:paraId="5E343454"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hAnsi="Times New Roman" w:cs="Times New Roman"/>
              </w:rPr>
              <w:t>10.1016/j.energy.2015.06.054</w:t>
            </w:r>
          </w:p>
        </w:tc>
        <w:tc>
          <w:tcPr>
            <w:tcW w:w="1110" w:type="pct"/>
            <w:tcBorders>
              <w:top w:val="nil"/>
              <w:left w:val="nil"/>
              <w:bottom w:val="nil"/>
              <w:right w:val="nil"/>
            </w:tcBorders>
            <w:noWrap/>
          </w:tcPr>
          <w:p w14:paraId="13C871E1"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fldChar w:fldCharType="begin"/>
            </w:r>
            <w:r w:rsidRPr="00C94C6D">
              <w:rPr>
                <w:rFonts w:ascii="Times New Roman" w:eastAsia="Times New Roman" w:hAnsi="Times New Roman" w:cs="Times New Roman"/>
                <w:lang w:eastAsia="en-ID"/>
              </w:rPr>
              <w:instrText xml:space="preserve"> ADDIN ZOTERO_ITEM CSL_CITATION {"citationID":"3ftDFdu8","properties":{"formattedCitation":"(Pina et al., 2017)","plainCitation":"(Pina et al., 2017)","dontUpdate":true,"noteIndex":0},"citationItems":[{"id":18741,"uris":["http://zotero.org/users/12817968/items/E828N99P"],"itemData":{"id":18741,"type":"article-journal","container-title":"Energy","DOI":"10.1016/j.energy.2015.06.054","ISSN":"03605442","journalAbbreviation":"Energy","language":"en","page":"1263-1280","source":"DOI.org (Crossref)","title":"Reduction of process steam demand and water-usage through heat integration in sugar and ethanol production from sugarcane – Evaluation of different plant configurations","volume":"138","author":[{"family":"Pina","given":"Eduardo A."},{"family":"Palacios-Bereche","given":"Reynaldo"},{"family":"Chavez-Rodriguez","given":"Mauro F."},{"family":"Ensinas","given":"Adriano V."},{"family":"Modesto","given":"Marcelo"},{"family":"Nebra","given":"Silvia A."}],"issued":{"date-parts":[["2017",11]]}}}],"schema":"https://github.com/citation-style-language/schema/raw/master/csl-citation.json"} </w:instrText>
            </w:r>
            <w:r w:rsidRPr="00C94C6D">
              <w:rPr>
                <w:rFonts w:ascii="Times New Roman" w:eastAsia="Times New Roman" w:hAnsi="Times New Roman" w:cs="Times New Roman"/>
                <w:lang w:eastAsia="en-ID"/>
              </w:rPr>
              <w:fldChar w:fldCharType="separate"/>
            </w:r>
            <w:r w:rsidRPr="00C94C6D">
              <w:rPr>
                <w:rFonts w:ascii="Times New Roman" w:hAnsi="Times New Roman" w:cs="Times New Roman"/>
              </w:rPr>
              <w:t>Pina et al. (2017)</w:t>
            </w:r>
            <w:r w:rsidRPr="00C94C6D">
              <w:rPr>
                <w:rFonts w:ascii="Times New Roman" w:eastAsia="Times New Roman" w:hAnsi="Times New Roman" w:cs="Times New Roman"/>
                <w:lang w:eastAsia="en-ID"/>
              </w:rPr>
              <w:fldChar w:fldCharType="end"/>
            </w:r>
          </w:p>
        </w:tc>
        <w:tc>
          <w:tcPr>
            <w:tcW w:w="1329" w:type="pct"/>
            <w:tcBorders>
              <w:top w:val="nil"/>
              <w:left w:val="nil"/>
              <w:bottom w:val="nil"/>
              <w:right w:val="nil"/>
            </w:tcBorders>
            <w:noWrap/>
          </w:tcPr>
          <w:p w14:paraId="0BC585C8"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Energy</w:t>
            </w:r>
          </w:p>
        </w:tc>
        <w:tc>
          <w:tcPr>
            <w:tcW w:w="313" w:type="pct"/>
            <w:tcBorders>
              <w:top w:val="nil"/>
              <w:left w:val="nil"/>
              <w:bottom w:val="nil"/>
              <w:right w:val="nil"/>
            </w:tcBorders>
            <w:noWrap/>
            <w:hideMark/>
          </w:tcPr>
          <w:p w14:paraId="33A9F03F"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70</w:t>
            </w:r>
          </w:p>
        </w:tc>
        <w:tc>
          <w:tcPr>
            <w:tcW w:w="468" w:type="pct"/>
            <w:tcBorders>
              <w:top w:val="nil"/>
              <w:left w:val="nil"/>
              <w:bottom w:val="nil"/>
              <w:right w:val="nil"/>
            </w:tcBorders>
            <w:noWrap/>
            <w:hideMark/>
          </w:tcPr>
          <w:p w14:paraId="19726945"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7,78</w:t>
            </w:r>
          </w:p>
        </w:tc>
      </w:tr>
      <w:tr w:rsidR="0092413E" w:rsidRPr="00C94C6D" w14:paraId="0AB3BC83" w14:textId="77777777" w:rsidTr="0092413E">
        <w:trPr>
          <w:trHeight w:val="288"/>
        </w:trPr>
        <w:tc>
          <w:tcPr>
            <w:tcW w:w="469" w:type="pct"/>
            <w:tcBorders>
              <w:top w:val="nil"/>
              <w:left w:val="nil"/>
              <w:bottom w:val="nil"/>
              <w:right w:val="nil"/>
            </w:tcBorders>
            <w:noWrap/>
            <w:hideMark/>
          </w:tcPr>
          <w:p w14:paraId="2A01DA64"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7</w:t>
            </w:r>
          </w:p>
        </w:tc>
        <w:tc>
          <w:tcPr>
            <w:tcW w:w="1311" w:type="pct"/>
            <w:tcBorders>
              <w:top w:val="nil"/>
              <w:left w:val="nil"/>
              <w:bottom w:val="nil"/>
              <w:right w:val="nil"/>
            </w:tcBorders>
            <w:noWrap/>
            <w:hideMark/>
          </w:tcPr>
          <w:p w14:paraId="2423F1FE"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hAnsi="Times New Roman" w:cs="Times New Roman"/>
              </w:rPr>
              <w:t>10.1002/jsfa.1944</w:t>
            </w:r>
          </w:p>
        </w:tc>
        <w:tc>
          <w:tcPr>
            <w:tcW w:w="1110" w:type="pct"/>
            <w:tcBorders>
              <w:top w:val="nil"/>
              <w:left w:val="nil"/>
              <w:bottom w:val="nil"/>
              <w:right w:val="nil"/>
            </w:tcBorders>
            <w:noWrap/>
          </w:tcPr>
          <w:p w14:paraId="12075194"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fldChar w:fldCharType="begin"/>
            </w:r>
            <w:r w:rsidRPr="00C94C6D">
              <w:rPr>
                <w:rFonts w:ascii="Times New Roman" w:eastAsia="Times New Roman" w:hAnsi="Times New Roman" w:cs="Times New Roman"/>
                <w:lang w:eastAsia="en-ID"/>
              </w:rPr>
              <w:instrText xml:space="preserve"> ADDIN ZOTERO_ITEM CSL_CITATION {"citationID":"JIFHIogw","properties":{"formattedCitation":"(El\\uc0\\u8208{}Belghiti et al., 2005)","plainCitation":"(El‐Belghiti et al., 2005)","dontUpdate":true,"noteIndex":0},"citationItems":[{"id":18742,"uris":["http://zotero.org/users/12817968/items/QZMS7QWG"],"itemData":{"id":18742,"type":"article-journal","abstract":"Abstract\n            \n              Extraction of sugar from sugar beet slices was studied following various pulsed electric field (PEF) treatments (intensities from 300 to 800 V cm\n              −1\n              and number of pulses varying between 50 and 1000). Slices treated by PEF were immersed in water at ambient temperature at a liquid/solid ratio of 3. A significant increase in extraction yield was observed. This enhancement was due to permeabilisation of the cellular membrane and to the additional quantity of juice appearing on the surface of slices after PEF treatment being extracted rapidly by convection. The optimal conditions of PEF treatment were an intensity of 670 V cm\n              −1\n              and 250 pulses. The extraction kinetics was studied on the basis of two approaches: Fick's diffusion equation and a two‐exponential kinetic model. The coefficient of diffusion was only slightly influenced by the conditions of PEF treatment. The two‐exponential model successfully described both the rapid and prolonged stages of extraction. By heating the solution at mild temperatures of 30–50 °C, the coefficient of diffusion was increased and the kinetics of extraction was enhanced. The quality of cellular juice obtained after PEF treatment was higher than that of juice obtained after thermal pretreatment at 75 °C. Copyright © 2004 Society of Chemical Industry","container-title":"Journal of the Science of Food and Agriculture","DOI":"10.1002/jsfa.1944","ISSN":"0022-5142, 1097-0010","issue":"2","journalAbbreviation":"J Sci Food Agric","language":"en","page":"213-218","source":"DOI.org (Crossref)","title":"Kinetic model of sugar diffusion from sugar beet tissue treated by pulsed electric field","volume":"85","author":[{"family":"El‐Belghiti","given":"Kamal"},{"family":"Rabhi","given":"Zied"},{"family":"Vorobiev","given":"Eugene"}],"issued":{"date-parts":[["2005",1,30]]}}}],"schema":"https://github.com/citation-style-language/schema/raw/master/csl-citation.json"} </w:instrText>
            </w:r>
            <w:r w:rsidRPr="00C94C6D">
              <w:rPr>
                <w:rFonts w:ascii="Times New Roman" w:eastAsia="Times New Roman" w:hAnsi="Times New Roman" w:cs="Times New Roman"/>
                <w:lang w:eastAsia="en-ID"/>
              </w:rPr>
              <w:fldChar w:fldCharType="separate"/>
            </w:r>
            <w:r w:rsidRPr="00C94C6D">
              <w:rPr>
                <w:rFonts w:ascii="Times New Roman" w:hAnsi="Times New Roman" w:cs="Times New Roman"/>
              </w:rPr>
              <w:t>El‐Belghiti et al. (2005)</w:t>
            </w:r>
            <w:r w:rsidRPr="00C94C6D">
              <w:rPr>
                <w:rFonts w:ascii="Times New Roman" w:eastAsia="Times New Roman" w:hAnsi="Times New Roman" w:cs="Times New Roman"/>
                <w:lang w:eastAsia="en-ID"/>
              </w:rPr>
              <w:fldChar w:fldCharType="end"/>
            </w:r>
          </w:p>
        </w:tc>
        <w:tc>
          <w:tcPr>
            <w:tcW w:w="1329" w:type="pct"/>
            <w:tcBorders>
              <w:top w:val="nil"/>
              <w:left w:val="nil"/>
              <w:bottom w:val="nil"/>
              <w:right w:val="nil"/>
            </w:tcBorders>
            <w:noWrap/>
          </w:tcPr>
          <w:p w14:paraId="3DD14600"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Journal of the Science of Food and Agriculture</w:t>
            </w:r>
          </w:p>
        </w:tc>
        <w:tc>
          <w:tcPr>
            <w:tcW w:w="313" w:type="pct"/>
            <w:tcBorders>
              <w:top w:val="nil"/>
              <w:left w:val="nil"/>
              <w:bottom w:val="nil"/>
              <w:right w:val="nil"/>
            </w:tcBorders>
            <w:noWrap/>
            <w:hideMark/>
          </w:tcPr>
          <w:p w14:paraId="2077406C"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66</w:t>
            </w:r>
          </w:p>
        </w:tc>
        <w:tc>
          <w:tcPr>
            <w:tcW w:w="468" w:type="pct"/>
            <w:tcBorders>
              <w:top w:val="nil"/>
              <w:left w:val="nil"/>
              <w:bottom w:val="nil"/>
              <w:right w:val="nil"/>
            </w:tcBorders>
            <w:noWrap/>
            <w:hideMark/>
          </w:tcPr>
          <w:p w14:paraId="19EF4195"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3,14</w:t>
            </w:r>
          </w:p>
        </w:tc>
      </w:tr>
      <w:tr w:rsidR="0092413E" w:rsidRPr="00C94C6D" w14:paraId="300DD160" w14:textId="77777777" w:rsidTr="0092413E">
        <w:trPr>
          <w:trHeight w:val="288"/>
        </w:trPr>
        <w:tc>
          <w:tcPr>
            <w:tcW w:w="469" w:type="pct"/>
            <w:tcBorders>
              <w:top w:val="nil"/>
              <w:left w:val="nil"/>
              <w:bottom w:val="nil"/>
              <w:right w:val="nil"/>
            </w:tcBorders>
            <w:noWrap/>
            <w:hideMark/>
          </w:tcPr>
          <w:p w14:paraId="2C5396BA"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8</w:t>
            </w:r>
          </w:p>
        </w:tc>
        <w:tc>
          <w:tcPr>
            <w:tcW w:w="1311" w:type="pct"/>
            <w:tcBorders>
              <w:top w:val="nil"/>
              <w:left w:val="nil"/>
              <w:bottom w:val="nil"/>
              <w:right w:val="nil"/>
            </w:tcBorders>
            <w:noWrap/>
          </w:tcPr>
          <w:p w14:paraId="1DCA2CB2"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hAnsi="Times New Roman" w:cs="Times New Roman"/>
              </w:rPr>
              <w:t>10.1016/j.applthermaleng.2008.03.009</w:t>
            </w:r>
          </w:p>
        </w:tc>
        <w:tc>
          <w:tcPr>
            <w:tcW w:w="1110" w:type="pct"/>
            <w:tcBorders>
              <w:top w:val="nil"/>
              <w:left w:val="nil"/>
              <w:bottom w:val="nil"/>
              <w:right w:val="nil"/>
            </w:tcBorders>
            <w:noWrap/>
          </w:tcPr>
          <w:p w14:paraId="70217B4F"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fldChar w:fldCharType="begin"/>
            </w:r>
            <w:r w:rsidRPr="00C94C6D">
              <w:rPr>
                <w:rFonts w:ascii="Times New Roman" w:eastAsia="Times New Roman" w:hAnsi="Times New Roman" w:cs="Times New Roman"/>
                <w:lang w:eastAsia="en-ID"/>
              </w:rPr>
              <w:instrText xml:space="preserve"> ADDIN ZOTERO_ITEM CSL_CITATION {"citationID":"rjakbPiT","properties":{"formattedCitation":"(Higa et al., 2009)","plainCitation":"(Higa et al., 2009)","dontUpdate":true,"noteIndex":0},"citationItems":[{"id":18743,"uris":["http://zotero.org/users/12817968/items/MQ3K9YDU"],"itemData":{"id":18743,"type":"article-journal","container-title":"Applied Thermal Engineering","DOI":"10.1016/j.applthermaleng.2008.03.009","ISSN":"13594311","issue":"2-3","journalAbbreviation":"Applied Thermal Engineering","language":"en","license":"https://www.elsevier.com/tdm/userlicense/1.0/","page":"515-522","source":"DOI.org (Crossref)","title":"Thermal integration of multiple effect evaporator in sugar plant","volume":"29","author":[{"family":"Higa","given":"M."},{"family":"Freitas","given":"A.J."},{"family":"Bannwart","given":"A.C."},{"family":"Zemp","given":"R.J."}],"issued":{"date-parts":[["2009",2]]}}}],"schema":"https://github.com/citation-style-language/schema/raw/master/csl-citation.json"} </w:instrText>
            </w:r>
            <w:r w:rsidRPr="00C94C6D">
              <w:rPr>
                <w:rFonts w:ascii="Times New Roman" w:eastAsia="Times New Roman" w:hAnsi="Times New Roman" w:cs="Times New Roman"/>
                <w:lang w:eastAsia="en-ID"/>
              </w:rPr>
              <w:fldChar w:fldCharType="separate"/>
            </w:r>
            <w:r w:rsidRPr="00C94C6D">
              <w:rPr>
                <w:rFonts w:ascii="Times New Roman" w:hAnsi="Times New Roman" w:cs="Times New Roman"/>
              </w:rPr>
              <w:t>Higa et al. (2009)</w:t>
            </w:r>
            <w:r w:rsidRPr="00C94C6D">
              <w:rPr>
                <w:rFonts w:ascii="Times New Roman" w:eastAsia="Times New Roman" w:hAnsi="Times New Roman" w:cs="Times New Roman"/>
                <w:lang w:eastAsia="en-ID"/>
              </w:rPr>
              <w:fldChar w:fldCharType="end"/>
            </w:r>
          </w:p>
        </w:tc>
        <w:tc>
          <w:tcPr>
            <w:tcW w:w="1329" w:type="pct"/>
            <w:tcBorders>
              <w:top w:val="nil"/>
              <w:left w:val="nil"/>
              <w:bottom w:val="nil"/>
              <w:right w:val="nil"/>
            </w:tcBorders>
            <w:noWrap/>
          </w:tcPr>
          <w:p w14:paraId="4F846CF3"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Applied Thermal Engineering</w:t>
            </w:r>
          </w:p>
        </w:tc>
        <w:tc>
          <w:tcPr>
            <w:tcW w:w="313" w:type="pct"/>
            <w:tcBorders>
              <w:top w:val="nil"/>
              <w:left w:val="nil"/>
              <w:bottom w:val="nil"/>
              <w:right w:val="nil"/>
            </w:tcBorders>
            <w:noWrap/>
            <w:hideMark/>
          </w:tcPr>
          <w:p w14:paraId="26548BCF"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61</w:t>
            </w:r>
          </w:p>
        </w:tc>
        <w:tc>
          <w:tcPr>
            <w:tcW w:w="468" w:type="pct"/>
            <w:tcBorders>
              <w:top w:val="nil"/>
              <w:left w:val="nil"/>
              <w:bottom w:val="nil"/>
              <w:right w:val="nil"/>
            </w:tcBorders>
            <w:noWrap/>
            <w:hideMark/>
          </w:tcPr>
          <w:p w14:paraId="14843C66"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3,59</w:t>
            </w:r>
          </w:p>
        </w:tc>
      </w:tr>
      <w:tr w:rsidR="0092413E" w:rsidRPr="00C94C6D" w14:paraId="312D4D7D" w14:textId="77777777" w:rsidTr="0092413E">
        <w:trPr>
          <w:trHeight w:val="288"/>
        </w:trPr>
        <w:tc>
          <w:tcPr>
            <w:tcW w:w="469" w:type="pct"/>
            <w:tcBorders>
              <w:top w:val="nil"/>
              <w:left w:val="nil"/>
              <w:right w:val="nil"/>
            </w:tcBorders>
            <w:noWrap/>
            <w:hideMark/>
          </w:tcPr>
          <w:p w14:paraId="1D260BD2"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9</w:t>
            </w:r>
          </w:p>
        </w:tc>
        <w:tc>
          <w:tcPr>
            <w:tcW w:w="1311" w:type="pct"/>
            <w:tcBorders>
              <w:top w:val="nil"/>
              <w:left w:val="nil"/>
              <w:right w:val="nil"/>
            </w:tcBorders>
            <w:noWrap/>
          </w:tcPr>
          <w:p w14:paraId="57A036C1"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hAnsi="Times New Roman" w:cs="Times New Roman"/>
              </w:rPr>
              <w:t>10.1016/j.jprocont.2017.11.003</w:t>
            </w:r>
          </w:p>
        </w:tc>
        <w:tc>
          <w:tcPr>
            <w:tcW w:w="1110" w:type="pct"/>
            <w:tcBorders>
              <w:top w:val="nil"/>
              <w:left w:val="nil"/>
              <w:right w:val="nil"/>
            </w:tcBorders>
            <w:noWrap/>
          </w:tcPr>
          <w:p w14:paraId="38615E2F"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fldChar w:fldCharType="begin"/>
            </w:r>
            <w:r w:rsidRPr="00C94C6D">
              <w:rPr>
                <w:rFonts w:ascii="Times New Roman" w:eastAsia="Times New Roman" w:hAnsi="Times New Roman" w:cs="Times New Roman"/>
                <w:lang w:eastAsia="en-ID"/>
              </w:rPr>
              <w:instrText xml:space="preserve"> ADDIN ZOTERO_ITEM CSL_CITATION {"citationID":"52e1xSKn","properties":{"formattedCitation":"(Vergara-Dietrich et al., 2019)","plainCitation":"(Vergara-Dietrich et al., 2019)","dontUpdate":true,"noteIndex":0},"citationItems":[{"id":18744,"uris":["http://zotero.org/users/12817968/items/TESXKJ6W"],"itemData":{"id":18744,"type":"article-journal","container-title":"Journal of Process Control","DOI":"10.1016/j.jprocont.2017.11.003","ISSN":"09591524","journalAbbreviation":"Journal of Process Control","language":"en","page":"120-132","source":"DOI.org (Crossref)","title":"Advanced chance-constrained predictive control for the efficient energy management of renewable power systems","volume":"74","author":[{"family":"Vergara-Dietrich","given":"José D."},{"family":"Morato","given":"Marcelo M."},{"family":"Mendes","given":"Paulo R.C."},{"family":"Cani","given":"Alex A."},{"family":"Normey-Rico","given":"Julio E."},{"family":"Bordons","given":"Carlos"}],"issued":{"date-parts":[["2019",2]]}}}],"schema":"https://github.com/citation-style-language/schema/raw/master/csl-citation.json"} </w:instrText>
            </w:r>
            <w:r w:rsidRPr="00C94C6D">
              <w:rPr>
                <w:rFonts w:ascii="Times New Roman" w:eastAsia="Times New Roman" w:hAnsi="Times New Roman" w:cs="Times New Roman"/>
                <w:lang w:eastAsia="en-ID"/>
              </w:rPr>
              <w:fldChar w:fldCharType="separate"/>
            </w:r>
            <w:r w:rsidRPr="00C94C6D">
              <w:rPr>
                <w:rFonts w:ascii="Times New Roman" w:hAnsi="Times New Roman" w:cs="Times New Roman"/>
              </w:rPr>
              <w:t>Vergara-Dietrich et al. (2019)</w:t>
            </w:r>
            <w:r w:rsidRPr="00C94C6D">
              <w:rPr>
                <w:rFonts w:ascii="Times New Roman" w:eastAsia="Times New Roman" w:hAnsi="Times New Roman" w:cs="Times New Roman"/>
                <w:lang w:eastAsia="en-ID"/>
              </w:rPr>
              <w:fldChar w:fldCharType="end"/>
            </w:r>
          </w:p>
        </w:tc>
        <w:tc>
          <w:tcPr>
            <w:tcW w:w="1329" w:type="pct"/>
            <w:tcBorders>
              <w:top w:val="nil"/>
              <w:left w:val="nil"/>
              <w:right w:val="nil"/>
            </w:tcBorders>
            <w:noWrap/>
          </w:tcPr>
          <w:p w14:paraId="0A670346"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Journal of Process Control</w:t>
            </w:r>
          </w:p>
        </w:tc>
        <w:tc>
          <w:tcPr>
            <w:tcW w:w="313" w:type="pct"/>
            <w:tcBorders>
              <w:top w:val="nil"/>
              <w:left w:val="nil"/>
              <w:right w:val="nil"/>
            </w:tcBorders>
            <w:noWrap/>
            <w:hideMark/>
          </w:tcPr>
          <w:p w14:paraId="2CF551DF"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55</w:t>
            </w:r>
          </w:p>
        </w:tc>
        <w:tc>
          <w:tcPr>
            <w:tcW w:w="468" w:type="pct"/>
            <w:tcBorders>
              <w:top w:val="nil"/>
              <w:left w:val="nil"/>
              <w:right w:val="nil"/>
            </w:tcBorders>
            <w:noWrap/>
            <w:hideMark/>
          </w:tcPr>
          <w:p w14:paraId="5A52AFC0"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7,86</w:t>
            </w:r>
          </w:p>
        </w:tc>
      </w:tr>
      <w:tr w:rsidR="0092413E" w:rsidRPr="00C94C6D" w14:paraId="162F8879" w14:textId="77777777" w:rsidTr="0092413E">
        <w:trPr>
          <w:trHeight w:val="288"/>
        </w:trPr>
        <w:tc>
          <w:tcPr>
            <w:tcW w:w="469" w:type="pct"/>
            <w:tcBorders>
              <w:top w:val="nil"/>
              <w:left w:val="nil"/>
              <w:bottom w:val="single" w:sz="4" w:space="0" w:color="auto"/>
              <w:right w:val="nil"/>
            </w:tcBorders>
            <w:noWrap/>
            <w:hideMark/>
          </w:tcPr>
          <w:p w14:paraId="32028E1A"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10</w:t>
            </w:r>
          </w:p>
        </w:tc>
        <w:tc>
          <w:tcPr>
            <w:tcW w:w="1311" w:type="pct"/>
            <w:tcBorders>
              <w:top w:val="nil"/>
              <w:left w:val="nil"/>
              <w:bottom w:val="single" w:sz="4" w:space="0" w:color="auto"/>
              <w:right w:val="nil"/>
            </w:tcBorders>
            <w:noWrap/>
          </w:tcPr>
          <w:p w14:paraId="27123F2F"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hAnsi="Times New Roman" w:cs="Times New Roman"/>
              </w:rPr>
              <w:t>10.1186/s13068-016-0566-2</w:t>
            </w:r>
          </w:p>
        </w:tc>
        <w:tc>
          <w:tcPr>
            <w:tcW w:w="1110" w:type="pct"/>
            <w:tcBorders>
              <w:top w:val="nil"/>
              <w:left w:val="nil"/>
              <w:bottom w:val="single" w:sz="4" w:space="0" w:color="auto"/>
              <w:right w:val="nil"/>
            </w:tcBorders>
            <w:noWrap/>
          </w:tcPr>
          <w:p w14:paraId="020EA959"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fldChar w:fldCharType="begin"/>
            </w:r>
            <w:r w:rsidRPr="00C94C6D">
              <w:rPr>
                <w:rFonts w:ascii="Times New Roman" w:eastAsia="Times New Roman" w:hAnsi="Times New Roman" w:cs="Times New Roman"/>
                <w:lang w:eastAsia="en-ID"/>
              </w:rPr>
              <w:instrText xml:space="preserve"> ADDIN ZOTERO_ITEM CSL_CITATION {"citationID":"yo9F00kH","properties":{"formattedCitation":"(Xue et al., 2016)","plainCitation":"(Xue et al., 2016)","dontUpdate":true,"noteIndex":0},"citationItems":[{"id":18745,"uris":["http://zotero.org/users/12817968/items/P5RKALAT"],"itemData":{"id":18745,"type":"article-journal","container-title":"Biotechnology for Biofuels","DOI":"10.1186/s13068-016-0566-2","ISSN":"1754-6834","issue":"1","journalAbbreviation":"Biotechnol Biofuels","language":"en","page":"146","source":"DOI.org (Crossref)","title":"The vital role of citrate buffer in acetone–butanol–ethanol (ABE) fermentation using corn stover and high-efficient product recovery by vapor stripping–vapor permeation (VSVP) process","volume":"9","author":[{"family":"Xue","given":"Chuang"},{"family":"Wang","given":"Zixuan"},{"family":"Wang","given":"Shudong"},{"family":"Zhang","given":"Xiaotong"},{"family":"Chen","given":"Lijie"},{"family":"Mu","given":"Ying"},{"family":"Bai","given":"Fengwu"}],"issued":{"date-parts":[["2016",12]]}}}],"schema":"https://github.com/citation-style-language/schema/raw/master/csl-citation.json"} </w:instrText>
            </w:r>
            <w:r w:rsidRPr="00C94C6D">
              <w:rPr>
                <w:rFonts w:ascii="Times New Roman" w:eastAsia="Times New Roman" w:hAnsi="Times New Roman" w:cs="Times New Roman"/>
                <w:lang w:eastAsia="en-ID"/>
              </w:rPr>
              <w:fldChar w:fldCharType="separate"/>
            </w:r>
            <w:r w:rsidRPr="00C94C6D">
              <w:rPr>
                <w:rFonts w:ascii="Times New Roman" w:hAnsi="Times New Roman" w:cs="Times New Roman"/>
              </w:rPr>
              <w:t>Xue et al. (2016)</w:t>
            </w:r>
            <w:r w:rsidRPr="00C94C6D">
              <w:rPr>
                <w:rFonts w:ascii="Times New Roman" w:eastAsia="Times New Roman" w:hAnsi="Times New Roman" w:cs="Times New Roman"/>
                <w:lang w:eastAsia="en-ID"/>
              </w:rPr>
              <w:fldChar w:fldCharType="end"/>
            </w:r>
          </w:p>
        </w:tc>
        <w:tc>
          <w:tcPr>
            <w:tcW w:w="1329" w:type="pct"/>
            <w:tcBorders>
              <w:top w:val="nil"/>
              <w:left w:val="nil"/>
              <w:bottom w:val="single" w:sz="4" w:space="0" w:color="auto"/>
              <w:right w:val="nil"/>
            </w:tcBorders>
            <w:noWrap/>
          </w:tcPr>
          <w:p w14:paraId="07836273" w14:textId="77777777" w:rsidR="0059729C" w:rsidRPr="00C94C6D" w:rsidRDefault="0059729C" w:rsidP="0092413E">
            <w:pPr>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Biotechnology for Biofuels</w:t>
            </w:r>
          </w:p>
        </w:tc>
        <w:tc>
          <w:tcPr>
            <w:tcW w:w="313" w:type="pct"/>
            <w:tcBorders>
              <w:top w:val="nil"/>
              <w:left w:val="nil"/>
              <w:bottom w:val="single" w:sz="4" w:space="0" w:color="auto"/>
              <w:right w:val="nil"/>
            </w:tcBorders>
            <w:noWrap/>
            <w:hideMark/>
          </w:tcPr>
          <w:p w14:paraId="56648236"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46</w:t>
            </w:r>
          </w:p>
        </w:tc>
        <w:tc>
          <w:tcPr>
            <w:tcW w:w="468" w:type="pct"/>
            <w:tcBorders>
              <w:top w:val="nil"/>
              <w:left w:val="nil"/>
              <w:bottom w:val="single" w:sz="4" w:space="0" w:color="auto"/>
              <w:right w:val="nil"/>
            </w:tcBorders>
            <w:noWrap/>
            <w:hideMark/>
          </w:tcPr>
          <w:p w14:paraId="68E4376F" w14:textId="77777777" w:rsidR="0059729C" w:rsidRPr="00C94C6D" w:rsidRDefault="0059729C" w:rsidP="00786302">
            <w:pPr>
              <w:jc w:val="both"/>
              <w:rPr>
                <w:rFonts w:ascii="Times New Roman" w:eastAsia="Times New Roman" w:hAnsi="Times New Roman" w:cs="Times New Roman"/>
                <w:lang w:eastAsia="en-ID"/>
              </w:rPr>
            </w:pPr>
            <w:r w:rsidRPr="00C94C6D">
              <w:rPr>
                <w:rFonts w:ascii="Times New Roman" w:hAnsi="Times New Roman" w:cs="Times New Roman"/>
              </w:rPr>
              <w:t>4,60</w:t>
            </w:r>
          </w:p>
        </w:tc>
      </w:tr>
    </w:tbl>
    <w:p w14:paraId="442E841B" w14:textId="77777777" w:rsidR="004269A5" w:rsidRPr="00F45A84" w:rsidRDefault="004269A5" w:rsidP="004269A5">
      <w:pPr>
        <w:tabs>
          <w:tab w:val="left" w:pos="2831"/>
        </w:tabs>
        <w:spacing w:before="240"/>
        <w:ind w:left="1560"/>
        <w:jc w:val="both"/>
        <w:rPr>
          <w:rFonts w:cs="Times New Roman"/>
          <w:i/>
          <w:iCs/>
          <w:sz w:val="24"/>
          <w:szCs w:val="24"/>
        </w:rPr>
      </w:pPr>
      <w:r w:rsidRPr="00F45A84">
        <w:rPr>
          <w:rFonts w:cs="Times New Roman"/>
          <w:i/>
          <w:iCs/>
          <w:sz w:val="24"/>
          <w:szCs w:val="24"/>
        </w:rPr>
        <w:t>TC=total citations, TCY=total citations per year</w:t>
      </w:r>
    </w:p>
    <w:p w14:paraId="478EC6FE" w14:textId="77777777" w:rsidR="004269A5" w:rsidRDefault="004269A5" w:rsidP="004269A5">
      <w:pPr>
        <w:spacing w:before="240"/>
        <w:ind w:left="1560"/>
        <w:jc w:val="both"/>
        <w:rPr>
          <w:rFonts w:cs="Times New Roman"/>
          <w:b/>
          <w:bCs/>
          <w:sz w:val="24"/>
          <w:szCs w:val="24"/>
        </w:rPr>
      </w:pPr>
    </w:p>
    <w:p w14:paraId="4E57FB16" w14:textId="77777777" w:rsidR="0059729C" w:rsidRDefault="0059729C" w:rsidP="004269A5">
      <w:pPr>
        <w:spacing w:before="240"/>
        <w:ind w:left="1560"/>
        <w:jc w:val="both"/>
        <w:rPr>
          <w:rFonts w:cs="Times New Roman"/>
          <w:b/>
          <w:bCs/>
          <w:sz w:val="24"/>
          <w:szCs w:val="24"/>
        </w:rPr>
      </w:pPr>
    </w:p>
    <w:p w14:paraId="0FE2F876" w14:textId="77777777" w:rsidR="0059729C" w:rsidRPr="00F45A84" w:rsidRDefault="0059729C" w:rsidP="004269A5">
      <w:pPr>
        <w:spacing w:before="240"/>
        <w:ind w:left="1560"/>
        <w:jc w:val="both"/>
        <w:rPr>
          <w:rFonts w:cs="Times New Roman"/>
          <w:b/>
          <w:bCs/>
          <w:sz w:val="24"/>
          <w:szCs w:val="24"/>
        </w:rPr>
      </w:pPr>
    </w:p>
    <w:p w14:paraId="4B74C72E" w14:textId="77777777" w:rsidR="004269A5" w:rsidRDefault="004269A5" w:rsidP="004269A5">
      <w:pPr>
        <w:spacing w:before="240"/>
        <w:ind w:left="1560"/>
        <w:jc w:val="both"/>
        <w:rPr>
          <w:rFonts w:cs="Times New Roman"/>
          <w:b/>
          <w:bCs/>
          <w:sz w:val="24"/>
          <w:szCs w:val="24"/>
        </w:rPr>
      </w:pPr>
    </w:p>
    <w:p w14:paraId="56FC8B2F" w14:textId="77777777" w:rsidR="0092413E" w:rsidRPr="00F45A84" w:rsidRDefault="0092413E" w:rsidP="004269A5">
      <w:pPr>
        <w:spacing w:before="240"/>
        <w:ind w:left="1560"/>
        <w:jc w:val="both"/>
        <w:rPr>
          <w:rFonts w:cs="Times New Roman"/>
          <w:b/>
          <w:bCs/>
          <w:sz w:val="24"/>
          <w:szCs w:val="24"/>
        </w:rPr>
      </w:pPr>
    </w:p>
    <w:p w14:paraId="2D16B66E" w14:textId="77777777" w:rsidR="0092413E" w:rsidRDefault="0092413E" w:rsidP="004269A5">
      <w:pPr>
        <w:spacing w:before="240"/>
        <w:ind w:left="1560"/>
        <w:jc w:val="both"/>
        <w:rPr>
          <w:rFonts w:cs="Times New Roman"/>
          <w:b/>
          <w:bCs/>
          <w:noProof/>
          <w:sz w:val="24"/>
          <w:szCs w:val="24"/>
        </w:rPr>
      </w:pPr>
    </w:p>
    <w:p w14:paraId="5A09FF6F" w14:textId="1387CEC7" w:rsidR="004269A5" w:rsidRDefault="004269A5" w:rsidP="004269A5">
      <w:pPr>
        <w:spacing w:before="240"/>
        <w:ind w:left="1560"/>
        <w:jc w:val="both"/>
        <w:rPr>
          <w:rFonts w:cs="Times New Roman"/>
          <w:b/>
          <w:bCs/>
          <w:sz w:val="24"/>
          <w:szCs w:val="24"/>
        </w:rPr>
      </w:pPr>
    </w:p>
    <w:p w14:paraId="5A4A32EF" w14:textId="73DC58D3" w:rsidR="0092413E" w:rsidRDefault="0092413E" w:rsidP="004269A5">
      <w:pPr>
        <w:spacing w:before="240"/>
        <w:ind w:left="1560"/>
        <w:jc w:val="both"/>
        <w:rPr>
          <w:rFonts w:cs="Times New Roman"/>
          <w:b/>
          <w:bCs/>
          <w:sz w:val="24"/>
          <w:szCs w:val="24"/>
        </w:rPr>
      </w:pPr>
    </w:p>
    <w:p w14:paraId="70BCB1D4" w14:textId="77777777" w:rsidR="0092413E" w:rsidRDefault="0092413E" w:rsidP="004269A5">
      <w:pPr>
        <w:spacing w:before="240"/>
        <w:ind w:left="1560"/>
        <w:jc w:val="both"/>
        <w:rPr>
          <w:rFonts w:cs="Times New Roman"/>
          <w:b/>
          <w:bCs/>
          <w:sz w:val="24"/>
          <w:szCs w:val="24"/>
        </w:rPr>
      </w:pPr>
    </w:p>
    <w:p w14:paraId="7DD009AD" w14:textId="77777777" w:rsidR="0092413E" w:rsidRPr="00F45A84" w:rsidRDefault="0092413E" w:rsidP="004269A5">
      <w:pPr>
        <w:spacing w:before="240"/>
        <w:ind w:left="1560"/>
        <w:jc w:val="both"/>
        <w:rPr>
          <w:rFonts w:cs="Times New Roman"/>
          <w:b/>
          <w:bCs/>
          <w:sz w:val="24"/>
          <w:szCs w:val="24"/>
        </w:rPr>
      </w:pPr>
    </w:p>
    <w:p w14:paraId="65413BD6" w14:textId="1C224A30" w:rsidR="0092413E" w:rsidRDefault="0092413E" w:rsidP="004269A5">
      <w:pPr>
        <w:spacing w:before="240"/>
        <w:ind w:left="1560"/>
        <w:jc w:val="both"/>
        <w:rPr>
          <w:rFonts w:cs="Times New Roman"/>
          <w:b/>
          <w:bCs/>
          <w:sz w:val="24"/>
          <w:szCs w:val="24"/>
        </w:rPr>
      </w:pPr>
      <w:r w:rsidRPr="00F45A84">
        <w:rPr>
          <w:rFonts w:cs="Times New Roman"/>
          <w:b/>
          <w:bCs/>
          <w:noProof/>
          <w:sz w:val="24"/>
          <w:szCs w:val="24"/>
        </w:rPr>
        <w:lastRenderedPageBreak/>
        <w:drawing>
          <wp:inline distT="0" distB="0" distL="0" distR="0" wp14:anchorId="6A84D7B2" wp14:editId="0553B3B7">
            <wp:extent cx="5731510" cy="2237539"/>
            <wp:effectExtent l="0" t="0" r="2540" b="0"/>
            <wp:docPr id="9124747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74733" name="Picture 912474733"/>
                    <pic:cNvPicPr/>
                  </pic:nvPicPr>
                  <pic:blipFill rotWithShape="1">
                    <a:blip r:embed="rId19" cstate="print">
                      <a:extLst>
                        <a:ext uri="{28A0092B-C50C-407E-A947-70E740481C1C}">
                          <a14:useLocalDpi xmlns:a14="http://schemas.microsoft.com/office/drawing/2010/main" val="0"/>
                        </a:ext>
                      </a:extLst>
                    </a:blip>
                    <a:srcRect t="33890"/>
                    <a:stretch>
                      <a:fillRect/>
                    </a:stretch>
                  </pic:blipFill>
                  <pic:spPr bwMode="auto">
                    <a:xfrm>
                      <a:off x="0" y="0"/>
                      <a:ext cx="5731510" cy="2237539"/>
                    </a:xfrm>
                    <a:prstGeom prst="rect">
                      <a:avLst/>
                    </a:prstGeom>
                    <a:ln>
                      <a:noFill/>
                    </a:ln>
                    <a:extLst>
                      <a:ext uri="{53640926-AAD7-44D8-BBD7-CCE9431645EC}">
                        <a14:shadowObscured xmlns:a14="http://schemas.microsoft.com/office/drawing/2010/main"/>
                      </a:ext>
                    </a:extLst>
                  </pic:spPr>
                </pic:pic>
              </a:graphicData>
            </a:graphic>
          </wp:inline>
        </w:drawing>
      </w:r>
    </w:p>
    <w:p w14:paraId="4C99295A" w14:textId="673B33DB" w:rsidR="004269A5" w:rsidRPr="00F45A84" w:rsidRDefault="004269A5" w:rsidP="004269A5">
      <w:pPr>
        <w:spacing w:before="240"/>
        <w:ind w:left="1560"/>
        <w:jc w:val="both"/>
        <w:rPr>
          <w:rFonts w:cs="Times New Roman"/>
          <w:sz w:val="24"/>
          <w:szCs w:val="24"/>
        </w:rPr>
      </w:pPr>
      <w:r w:rsidRPr="00F45A84">
        <w:rPr>
          <w:rFonts w:cs="Times New Roman"/>
          <w:b/>
          <w:bCs/>
          <w:sz w:val="24"/>
          <w:szCs w:val="24"/>
        </w:rPr>
        <w:t xml:space="preserve">Figure 7. </w:t>
      </w:r>
      <w:r w:rsidRPr="00F45A84">
        <w:rPr>
          <w:rFonts w:cs="Times New Roman"/>
          <w:sz w:val="24"/>
          <w:szCs w:val="24"/>
        </w:rPr>
        <w:t>Co-citation networks of references</w:t>
      </w:r>
    </w:p>
    <w:p w14:paraId="2AD44E58"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Figure 7 shows that the resulting network is relatively simple and elongated, with a limited number of nodes and sequential connections. This pattern indicates that research on MPC and optimization related to the sugar industry relies heavily on a small number of key references that are frequently cited together. References at the beginning of the network serve as foundational references, followed by subsequent works that develop or apply the concept.</w:t>
      </w:r>
    </w:p>
    <w:p w14:paraId="2DCE47FB"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The sparse interconnectedness of references indicates that this field remains quite focused and specific, with a clear path of scientific development. Each group of references tends to represent a specific stage of development, from early approaches to more sophisticated applications. Overall, this co-citation network confirms that research development in this field is incremental, with key references acting as bridges between research periods.</w:t>
      </w:r>
    </w:p>
    <w:p w14:paraId="3493102C" w14:textId="77777777" w:rsidR="004269A5" w:rsidRDefault="004269A5" w:rsidP="004269A5">
      <w:pPr>
        <w:spacing w:before="240"/>
        <w:ind w:left="1560"/>
        <w:jc w:val="both"/>
        <w:rPr>
          <w:rFonts w:cs="Times New Roman"/>
          <w:b/>
          <w:bCs/>
          <w:sz w:val="24"/>
          <w:szCs w:val="24"/>
        </w:rPr>
      </w:pPr>
      <w:r w:rsidRPr="00F45A84">
        <w:rPr>
          <w:rFonts w:cs="Times New Roman"/>
          <w:b/>
          <w:bCs/>
          <w:sz w:val="24"/>
          <w:szCs w:val="24"/>
        </w:rPr>
        <w:t>The most influential writer</w:t>
      </w:r>
    </w:p>
    <w:p w14:paraId="12F61F0B" w14:textId="1445AC54" w:rsidR="0092413E" w:rsidRPr="0092413E" w:rsidRDefault="0092413E" w:rsidP="004269A5">
      <w:pPr>
        <w:spacing w:before="240"/>
        <w:ind w:left="1560"/>
        <w:jc w:val="both"/>
        <w:rPr>
          <w:rFonts w:cs="Times New Roman"/>
          <w:sz w:val="24"/>
          <w:szCs w:val="24"/>
        </w:rPr>
      </w:pPr>
      <w:r w:rsidRPr="0092413E">
        <w:rPr>
          <w:rFonts w:cs="Times New Roman"/>
          <w:b/>
          <w:bCs/>
          <w:sz w:val="24"/>
          <w:szCs w:val="24"/>
        </w:rPr>
        <w:t xml:space="preserve">Table 6. </w:t>
      </w:r>
      <w:r w:rsidRPr="0092413E">
        <w:rPr>
          <w:rFonts w:cs="Times New Roman"/>
          <w:sz w:val="24"/>
          <w:szCs w:val="24"/>
        </w:rPr>
        <w:t>Top 10 most influential authors based on total citations</w:t>
      </w:r>
    </w:p>
    <w:tbl>
      <w:tblPr>
        <w:tblW w:w="3844" w:type="pct"/>
        <w:tblInd w:w="1658" w:type="dxa"/>
        <w:tblLook w:val="04A0" w:firstRow="1" w:lastRow="0" w:firstColumn="1" w:lastColumn="0" w:noHBand="0" w:noVBand="1"/>
      </w:tblPr>
      <w:tblGrid>
        <w:gridCol w:w="730"/>
        <w:gridCol w:w="1701"/>
        <w:gridCol w:w="652"/>
        <w:gridCol w:w="510"/>
        <w:gridCol w:w="3677"/>
        <w:gridCol w:w="907"/>
      </w:tblGrid>
      <w:tr w:rsidR="0092413E" w:rsidRPr="00C94C6D" w14:paraId="3B19B5E9" w14:textId="77777777" w:rsidTr="0092413E">
        <w:trPr>
          <w:trHeight w:val="288"/>
        </w:trPr>
        <w:tc>
          <w:tcPr>
            <w:tcW w:w="438" w:type="pct"/>
            <w:tcBorders>
              <w:top w:val="single" w:sz="4" w:space="0" w:color="auto"/>
              <w:left w:val="nil"/>
              <w:bottom w:val="single" w:sz="4" w:space="0" w:color="auto"/>
              <w:right w:val="nil"/>
            </w:tcBorders>
            <w:noWrap/>
            <w:hideMark/>
          </w:tcPr>
          <w:p w14:paraId="2EBD7F50"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Rank</w:t>
            </w:r>
          </w:p>
        </w:tc>
        <w:tc>
          <w:tcPr>
            <w:tcW w:w="1019" w:type="pct"/>
            <w:tcBorders>
              <w:top w:val="single" w:sz="4" w:space="0" w:color="auto"/>
              <w:left w:val="nil"/>
              <w:bottom w:val="single" w:sz="4" w:space="0" w:color="auto"/>
              <w:right w:val="nil"/>
            </w:tcBorders>
            <w:noWrap/>
            <w:hideMark/>
          </w:tcPr>
          <w:p w14:paraId="36C9E513"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Author</w:t>
            </w:r>
          </w:p>
        </w:tc>
        <w:tc>
          <w:tcPr>
            <w:tcW w:w="410" w:type="pct"/>
            <w:tcBorders>
              <w:top w:val="single" w:sz="4" w:space="0" w:color="auto"/>
              <w:left w:val="nil"/>
              <w:bottom w:val="single" w:sz="4" w:space="0" w:color="auto"/>
              <w:right w:val="nil"/>
            </w:tcBorders>
            <w:noWrap/>
            <w:hideMark/>
          </w:tcPr>
          <w:p w14:paraId="7A65C88A"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TC</w:t>
            </w:r>
          </w:p>
        </w:tc>
        <w:tc>
          <w:tcPr>
            <w:tcW w:w="307" w:type="pct"/>
            <w:tcBorders>
              <w:top w:val="single" w:sz="4" w:space="0" w:color="auto"/>
              <w:left w:val="nil"/>
              <w:bottom w:val="single" w:sz="4" w:space="0" w:color="auto"/>
              <w:right w:val="nil"/>
            </w:tcBorders>
          </w:tcPr>
          <w:p w14:paraId="2DCB50A4"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NP</w:t>
            </w:r>
          </w:p>
        </w:tc>
        <w:tc>
          <w:tcPr>
            <w:tcW w:w="2260" w:type="pct"/>
            <w:tcBorders>
              <w:top w:val="single" w:sz="4" w:space="0" w:color="auto"/>
              <w:left w:val="nil"/>
              <w:bottom w:val="single" w:sz="4" w:space="0" w:color="auto"/>
              <w:right w:val="nil"/>
            </w:tcBorders>
            <w:noWrap/>
            <w:hideMark/>
          </w:tcPr>
          <w:p w14:paraId="6BE17CD1"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Institution</w:t>
            </w:r>
          </w:p>
        </w:tc>
        <w:tc>
          <w:tcPr>
            <w:tcW w:w="566" w:type="pct"/>
            <w:tcBorders>
              <w:top w:val="single" w:sz="4" w:space="0" w:color="auto"/>
              <w:left w:val="nil"/>
              <w:bottom w:val="single" w:sz="4" w:space="0" w:color="auto"/>
              <w:right w:val="nil"/>
            </w:tcBorders>
          </w:tcPr>
          <w:p w14:paraId="447E4494"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FP</w:t>
            </w:r>
          </w:p>
        </w:tc>
      </w:tr>
      <w:tr w:rsidR="0092413E" w:rsidRPr="00C94C6D" w14:paraId="7F3C2C3F" w14:textId="77777777" w:rsidTr="0092413E">
        <w:trPr>
          <w:trHeight w:val="288"/>
        </w:trPr>
        <w:tc>
          <w:tcPr>
            <w:tcW w:w="438" w:type="pct"/>
            <w:tcBorders>
              <w:top w:val="single" w:sz="4" w:space="0" w:color="auto"/>
              <w:left w:val="nil"/>
              <w:bottom w:val="nil"/>
              <w:right w:val="nil"/>
            </w:tcBorders>
            <w:noWrap/>
            <w:hideMark/>
          </w:tcPr>
          <w:p w14:paraId="646484CF"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w:t>
            </w:r>
          </w:p>
        </w:tc>
        <w:tc>
          <w:tcPr>
            <w:tcW w:w="1019" w:type="pct"/>
            <w:tcBorders>
              <w:top w:val="single" w:sz="4" w:space="0" w:color="auto"/>
              <w:left w:val="nil"/>
              <w:bottom w:val="nil"/>
              <w:right w:val="nil"/>
            </w:tcBorders>
            <w:noWrap/>
          </w:tcPr>
          <w:p w14:paraId="7F47D8E1"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Vega P</w:t>
            </w:r>
          </w:p>
        </w:tc>
        <w:tc>
          <w:tcPr>
            <w:tcW w:w="410" w:type="pct"/>
            <w:tcBorders>
              <w:top w:val="single" w:sz="4" w:space="0" w:color="auto"/>
              <w:left w:val="nil"/>
              <w:bottom w:val="nil"/>
              <w:right w:val="nil"/>
            </w:tcBorders>
            <w:noWrap/>
          </w:tcPr>
          <w:p w14:paraId="02582E39"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127</w:t>
            </w:r>
          </w:p>
        </w:tc>
        <w:tc>
          <w:tcPr>
            <w:tcW w:w="307" w:type="pct"/>
            <w:tcBorders>
              <w:top w:val="single" w:sz="4" w:space="0" w:color="auto"/>
              <w:left w:val="nil"/>
              <w:bottom w:val="nil"/>
              <w:right w:val="nil"/>
            </w:tcBorders>
          </w:tcPr>
          <w:p w14:paraId="0BF1E533"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3</w:t>
            </w:r>
          </w:p>
        </w:tc>
        <w:tc>
          <w:tcPr>
            <w:tcW w:w="2260" w:type="pct"/>
            <w:tcBorders>
              <w:top w:val="single" w:sz="4" w:space="0" w:color="auto"/>
              <w:left w:val="nil"/>
              <w:bottom w:val="nil"/>
              <w:right w:val="nil"/>
            </w:tcBorders>
            <w:noWrap/>
          </w:tcPr>
          <w:p w14:paraId="59F29A9D"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Universidad de Salamanca</w:t>
            </w:r>
          </w:p>
        </w:tc>
        <w:tc>
          <w:tcPr>
            <w:tcW w:w="566" w:type="pct"/>
            <w:tcBorders>
              <w:top w:val="single" w:sz="4" w:space="0" w:color="auto"/>
              <w:left w:val="nil"/>
              <w:bottom w:val="nil"/>
              <w:right w:val="nil"/>
            </w:tcBorders>
          </w:tcPr>
          <w:p w14:paraId="4B2255A3"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1997</w:t>
            </w:r>
          </w:p>
        </w:tc>
      </w:tr>
      <w:tr w:rsidR="0092413E" w:rsidRPr="00C94C6D" w14:paraId="220EC28B" w14:textId="77777777" w:rsidTr="0092413E">
        <w:trPr>
          <w:trHeight w:val="288"/>
        </w:trPr>
        <w:tc>
          <w:tcPr>
            <w:tcW w:w="438" w:type="pct"/>
            <w:tcBorders>
              <w:top w:val="nil"/>
              <w:left w:val="nil"/>
              <w:bottom w:val="nil"/>
              <w:right w:val="nil"/>
            </w:tcBorders>
            <w:noWrap/>
            <w:hideMark/>
          </w:tcPr>
          <w:p w14:paraId="427A6B84"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w:t>
            </w:r>
          </w:p>
        </w:tc>
        <w:tc>
          <w:tcPr>
            <w:tcW w:w="1019" w:type="pct"/>
            <w:tcBorders>
              <w:top w:val="nil"/>
              <w:left w:val="nil"/>
              <w:bottom w:val="nil"/>
              <w:right w:val="nil"/>
            </w:tcBorders>
            <w:noWrap/>
          </w:tcPr>
          <w:p w14:paraId="6D7B7FE4"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Zamarreño JM</w:t>
            </w:r>
          </w:p>
        </w:tc>
        <w:tc>
          <w:tcPr>
            <w:tcW w:w="410" w:type="pct"/>
            <w:tcBorders>
              <w:top w:val="nil"/>
              <w:left w:val="nil"/>
              <w:bottom w:val="nil"/>
              <w:right w:val="nil"/>
            </w:tcBorders>
            <w:noWrap/>
          </w:tcPr>
          <w:p w14:paraId="35E63EF9"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127</w:t>
            </w:r>
          </w:p>
        </w:tc>
        <w:tc>
          <w:tcPr>
            <w:tcW w:w="307" w:type="pct"/>
            <w:tcBorders>
              <w:top w:val="nil"/>
              <w:left w:val="nil"/>
              <w:bottom w:val="nil"/>
              <w:right w:val="nil"/>
            </w:tcBorders>
          </w:tcPr>
          <w:p w14:paraId="5D0A94B9"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3</w:t>
            </w:r>
          </w:p>
        </w:tc>
        <w:tc>
          <w:tcPr>
            <w:tcW w:w="2260" w:type="pct"/>
            <w:tcBorders>
              <w:top w:val="nil"/>
              <w:left w:val="nil"/>
              <w:bottom w:val="nil"/>
              <w:right w:val="nil"/>
            </w:tcBorders>
            <w:noWrap/>
          </w:tcPr>
          <w:p w14:paraId="79F854DF"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Universidad de Valladolid</w:t>
            </w:r>
          </w:p>
        </w:tc>
        <w:tc>
          <w:tcPr>
            <w:tcW w:w="566" w:type="pct"/>
            <w:tcBorders>
              <w:top w:val="nil"/>
              <w:left w:val="nil"/>
              <w:bottom w:val="nil"/>
              <w:right w:val="nil"/>
            </w:tcBorders>
          </w:tcPr>
          <w:p w14:paraId="46DCDCC8"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1997</w:t>
            </w:r>
          </w:p>
        </w:tc>
      </w:tr>
      <w:tr w:rsidR="0092413E" w:rsidRPr="00C94C6D" w14:paraId="1DBD78AC" w14:textId="77777777" w:rsidTr="0092413E">
        <w:trPr>
          <w:trHeight w:val="288"/>
        </w:trPr>
        <w:tc>
          <w:tcPr>
            <w:tcW w:w="438" w:type="pct"/>
            <w:tcBorders>
              <w:top w:val="nil"/>
              <w:left w:val="nil"/>
              <w:bottom w:val="nil"/>
              <w:right w:val="nil"/>
            </w:tcBorders>
            <w:noWrap/>
            <w:hideMark/>
          </w:tcPr>
          <w:p w14:paraId="2B4A18D4"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3</w:t>
            </w:r>
          </w:p>
        </w:tc>
        <w:tc>
          <w:tcPr>
            <w:tcW w:w="1019" w:type="pct"/>
            <w:tcBorders>
              <w:top w:val="nil"/>
              <w:left w:val="nil"/>
              <w:bottom w:val="nil"/>
              <w:right w:val="nil"/>
            </w:tcBorders>
            <w:noWrap/>
          </w:tcPr>
          <w:p w14:paraId="54A737AF"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Normey-Rico JE</w:t>
            </w:r>
          </w:p>
        </w:tc>
        <w:tc>
          <w:tcPr>
            <w:tcW w:w="410" w:type="pct"/>
            <w:tcBorders>
              <w:top w:val="nil"/>
              <w:left w:val="nil"/>
              <w:bottom w:val="nil"/>
              <w:right w:val="nil"/>
            </w:tcBorders>
            <w:noWrap/>
          </w:tcPr>
          <w:p w14:paraId="2E101708"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97</w:t>
            </w:r>
          </w:p>
        </w:tc>
        <w:tc>
          <w:tcPr>
            <w:tcW w:w="307" w:type="pct"/>
            <w:tcBorders>
              <w:top w:val="nil"/>
              <w:left w:val="nil"/>
              <w:bottom w:val="nil"/>
              <w:right w:val="nil"/>
            </w:tcBorders>
          </w:tcPr>
          <w:p w14:paraId="3A505B4F"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4</w:t>
            </w:r>
          </w:p>
        </w:tc>
        <w:tc>
          <w:tcPr>
            <w:tcW w:w="2260" w:type="pct"/>
            <w:tcBorders>
              <w:top w:val="nil"/>
              <w:left w:val="nil"/>
              <w:bottom w:val="nil"/>
              <w:right w:val="nil"/>
            </w:tcBorders>
            <w:noWrap/>
          </w:tcPr>
          <w:p w14:paraId="37CBB187"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Federal University of Santa Catarina</w:t>
            </w:r>
          </w:p>
        </w:tc>
        <w:tc>
          <w:tcPr>
            <w:tcW w:w="566" w:type="pct"/>
            <w:tcBorders>
              <w:top w:val="nil"/>
              <w:left w:val="nil"/>
              <w:bottom w:val="nil"/>
              <w:right w:val="nil"/>
            </w:tcBorders>
          </w:tcPr>
          <w:p w14:paraId="1C665AFE"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2005</w:t>
            </w:r>
          </w:p>
        </w:tc>
      </w:tr>
      <w:tr w:rsidR="0092413E" w:rsidRPr="00C94C6D" w14:paraId="42C72840" w14:textId="77777777" w:rsidTr="0092413E">
        <w:trPr>
          <w:trHeight w:val="288"/>
        </w:trPr>
        <w:tc>
          <w:tcPr>
            <w:tcW w:w="438" w:type="pct"/>
            <w:tcBorders>
              <w:top w:val="nil"/>
              <w:left w:val="nil"/>
              <w:bottom w:val="nil"/>
              <w:right w:val="nil"/>
            </w:tcBorders>
            <w:noWrap/>
            <w:hideMark/>
          </w:tcPr>
          <w:p w14:paraId="08CB3362"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4</w:t>
            </w:r>
          </w:p>
        </w:tc>
        <w:tc>
          <w:tcPr>
            <w:tcW w:w="1019" w:type="pct"/>
            <w:tcBorders>
              <w:top w:val="nil"/>
              <w:left w:val="nil"/>
              <w:bottom w:val="nil"/>
              <w:right w:val="nil"/>
            </w:tcBorders>
            <w:noWrap/>
          </w:tcPr>
          <w:p w14:paraId="767EE25B"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Bordons C</w:t>
            </w:r>
          </w:p>
        </w:tc>
        <w:tc>
          <w:tcPr>
            <w:tcW w:w="410" w:type="pct"/>
            <w:tcBorders>
              <w:top w:val="nil"/>
              <w:left w:val="nil"/>
              <w:bottom w:val="nil"/>
              <w:right w:val="nil"/>
            </w:tcBorders>
            <w:noWrap/>
          </w:tcPr>
          <w:p w14:paraId="7CBEC041"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96</w:t>
            </w:r>
          </w:p>
        </w:tc>
        <w:tc>
          <w:tcPr>
            <w:tcW w:w="307" w:type="pct"/>
            <w:tcBorders>
              <w:top w:val="nil"/>
              <w:left w:val="nil"/>
              <w:bottom w:val="nil"/>
              <w:right w:val="nil"/>
            </w:tcBorders>
          </w:tcPr>
          <w:p w14:paraId="3CE27FEA" w14:textId="77777777" w:rsidR="0092413E" w:rsidRPr="00C94C6D" w:rsidRDefault="0092413E" w:rsidP="00786302">
            <w:pPr>
              <w:jc w:val="both"/>
              <w:rPr>
                <w:rFonts w:ascii="Times New Roman" w:hAnsi="Times New Roman" w:cs="Times New Roman"/>
              </w:rPr>
            </w:pPr>
            <w:r w:rsidRPr="00C94C6D">
              <w:rPr>
                <w:rFonts w:ascii="Times New Roman" w:hAnsi="Times New Roman" w:cs="Times New Roman"/>
              </w:rPr>
              <w:t>4</w:t>
            </w:r>
          </w:p>
        </w:tc>
        <w:tc>
          <w:tcPr>
            <w:tcW w:w="2260" w:type="pct"/>
            <w:tcBorders>
              <w:top w:val="nil"/>
              <w:left w:val="nil"/>
              <w:bottom w:val="nil"/>
              <w:right w:val="nil"/>
            </w:tcBorders>
            <w:noWrap/>
          </w:tcPr>
          <w:p w14:paraId="5852090D" w14:textId="77777777" w:rsidR="0092413E" w:rsidRPr="00C94C6D" w:rsidRDefault="0092413E" w:rsidP="00786302">
            <w:pPr>
              <w:jc w:val="both"/>
              <w:rPr>
                <w:rFonts w:ascii="Times New Roman" w:eastAsia="Times New Roman" w:hAnsi="Times New Roman" w:cs="Times New Roman"/>
                <w:lang w:eastAsia="en-ID"/>
              </w:rPr>
            </w:pPr>
            <w:hyperlink r:id="rId20" w:history="1">
              <w:r w:rsidRPr="00C94C6D">
                <w:rPr>
                  <w:rStyle w:val="typography-modulelvnit"/>
                  <w:rFonts w:ascii="Times New Roman" w:hAnsi="Times New Roman" w:cs="Times New Roman"/>
                  <w:color w:val="2E2E2E"/>
                  <w:bdr w:val="none" w:sz="0" w:space="0" w:color="auto" w:frame="1"/>
                  <w:shd w:val="clear" w:color="auto" w:fill="FFFFFF"/>
                </w:rPr>
                <w:t>Universidad de Sevilla</w:t>
              </w:r>
            </w:hyperlink>
          </w:p>
        </w:tc>
        <w:tc>
          <w:tcPr>
            <w:tcW w:w="566" w:type="pct"/>
            <w:tcBorders>
              <w:top w:val="nil"/>
              <w:left w:val="nil"/>
              <w:bottom w:val="nil"/>
              <w:right w:val="nil"/>
            </w:tcBorders>
          </w:tcPr>
          <w:p w14:paraId="5E3217C7"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2015</w:t>
            </w:r>
          </w:p>
        </w:tc>
      </w:tr>
      <w:tr w:rsidR="0092413E" w:rsidRPr="00C94C6D" w14:paraId="6228A893" w14:textId="77777777" w:rsidTr="0092413E">
        <w:trPr>
          <w:trHeight w:val="288"/>
        </w:trPr>
        <w:tc>
          <w:tcPr>
            <w:tcW w:w="438" w:type="pct"/>
            <w:tcBorders>
              <w:top w:val="nil"/>
              <w:left w:val="nil"/>
              <w:bottom w:val="nil"/>
              <w:right w:val="nil"/>
            </w:tcBorders>
            <w:noWrap/>
            <w:hideMark/>
          </w:tcPr>
          <w:p w14:paraId="6D5FFBDC"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5</w:t>
            </w:r>
          </w:p>
        </w:tc>
        <w:tc>
          <w:tcPr>
            <w:tcW w:w="1019" w:type="pct"/>
            <w:tcBorders>
              <w:top w:val="nil"/>
              <w:left w:val="nil"/>
              <w:bottom w:val="nil"/>
              <w:right w:val="nil"/>
            </w:tcBorders>
            <w:noWrap/>
          </w:tcPr>
          <w:p w14:paraId="164E143F"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Morato MM</w:t>
            </w:r>
          </w:p>
        </w:tc>
        <w:tc>
          <w:tcPr>
            <w:tcW w:w="410" w:type="pct"/>
            <w:tcBorders>
              <w:top w:val="nil"/>
              <w:left w:val="nil"/>
              <w:bottom w:val="nil"/>
              <w:right w:val="nil"/>
            </w:tcBorders>
            <w:noWrap/>
          </w:tcPr>
          <w:p w14:paraId="4C6B68F6"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96</w:t>
            </w:r>
          </w:p>
        </w:tc>
        <w:tc>
          <w:tcPr>
            <w:tcW w:w="307" w:type="pct"/>
            <w:tcBorders>
              <w:top w:val="nil"/>
              <w:left w:val="nil"/>
              <w:bottom w:val="nil"/>
              <w:right w:val="nil"/>
            </w:tcBorders>
          </w:tcPr>
          <w:p w14:paraId="4FA6886C" w14:textId="77777777" w:rsidR="0092413E" w:rsidRPr="00C94C6D" w:rsidRDefault="0092413E" w:rsidP="00786302">
            <w:pPr>
              <w:jc w:val="both"/>
              <w:rPr>
                <w:rFonts w:ascii="Times New Roman" w:hAnsi="Times New Roman" w:cs="Times New Roman"/>
              </w:rPr>
            </w:pPr>
            <w:r w:rsidRPr="00C94C6D">
              <w:rPr>
                <w:rFonts w:ascii="Times New Roman" w:hAnsi="Times New Roman" w:cs="Times New Roman"/>
              </w:rPr>
              <w:t>3</w:t>
            </w:r>
          </w:p>
        </w:tc>
        <w:tc>
          <w:tcPr>
            <w:tcW w:w="2260" w:type="pct"/>
            <w:tcBorders>
              <w:top w:val="nil"/>
              <w:left w:val="nil"/>
              <w:bottom w:val="nil"/>
              <w:right w:val="nil"/>
            </w:tcBorders>
            <w:noWrap/>
          </w:tcPr>
          <w:p w14:paraId="42CC7605" w14:textId="77777777" w:rsidR="0092413E" w:rsidRPr="00C94C6D" w:rsidRDefault="0092413E" w:rsidP="00786302">
            <w:pPr>
              <w:jc w:val="both"/>
              <w:rPr>
                <w:rFonts w:ascii="Times New Roman" w:eastAsia="Times New Roman" w:hAnsi="Times New Roman" w:cs="Times New Roman"/>
                <w:lang w:eastAsia="en-ID"/>
              </w:rPr>
            </w:pPr>
            <w:hyperlink r:id="rId21" w:history="1">
              <w:r w:rsidRPr="00C94C6D">
                <w:rPr>
                  <w:rStyle w:val="typography-modulelvnit"/>
                  <w:rFonts w:ascii="Times New Roman" w:hAnsi="Times New Roman" w:cs="Times New Roman"/>
                  <w:color w:val="2E2E2E"/>
                  <w:bdr w:val="none" w:sz="0" w:space="0" w:color="auto" w:frame="1"/>
                  <w:shd w:val="clear" w:color="auto" w:fill="FFFFFF"/>
                </w:rPr>
                <w:t>Universidad de Sevilla</w:t>
              </w:r>
            </w:hyperlink>
          </w:p>
        </w:tc>
        <w:tc>
          <w:tcPr>
            <w:tcW w:w="566" w:type="pct"/>
            <w:tcBorders>
              <w:top w:val="nil"/>
              <w:left w:val="nil"/>
              <w:bottom w:val="nil"/>
              <w:right w:val="nil"/>
            </w:tcBorders>
          </w:tcPr>
          <w:p w14:paraId="38D86F0A"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2017</w:t>
            </w:r>
          </w:p>
        </w:tc>
      </w:tr>
      <w:tr w:rsidR="0092413E" w:rsidRPr="00C94C6D" w14:paraId="52D64A12" w14:textId="77777777" w:rsidTr="0092413E">
        <w:trPr>
          <w:trHeight w:val="288"/>
        </w:trPr>
        <w:tc>
          <w:tcPr>
            <w:tcW w:w="438" w:type="pct"/>
            <w:tcBorders>
              <w:top w:val="nil"/>
              <w:left w:val="nil"/>
              <w:bottom w:val="nil"/>
              <w:right w:val="nil"/>
            </w:tcBorders>
            <w:noWrap/>
            <w:hideMark/>
          </w:tcPr>
          <w:p w14:paraId="4CD7F65A"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6</w:t>
            </w:r>
          </w:p>
        </w:tc>
        <w:tc>
          <w:tcPr>
            <w:tcW w:w="1019" w:type="pct"/>
            <w:tcBorders>
              <w:top w:val="nil"/>
              <w:left w:val="nil"/>
              <w:bottom w:val="nil"/>
              <w:right w:val="nil"/>
            </w:tcBorders>
            <w:noWrap/>
          </w:tcPr>
          <w:p w14:paraId="1412CA91"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Benne M</w:t>
            </w:r>
          </w:p>
        </w:tc>
        <w:tc>
          <w:tcPr>
            <w:tcW w:w="410" w:type="pct"/>
            <w:tcBorders>
              <w:top w:val="nil"/>
              <w:left w:val="nil"/>
              <w:bottom w:val="nil"/>
              <w:right w:val="nil"/>
            </w:tcBorders>
            <w:noWrap/>
          </w:tcPr>
          <w:p w14:paraId="2FF1D76C"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94</w:t>
            </w:r>
          </w:p>
        </w:tc>
        <w:tc>
          <w:tcPr>
            <w:tcW w:w="307" w:type="pct"/>
            <w:tcBorders>
              <w:top w:val="nil"/>
              <w:left w:val="nil"/>
              <w:bottom w:val="nil"/>
              <w:right w:val="nil"/>
            </w:tcBorders>
          </w:tcPr>
          <w:p w14:paraId="6BE20D4B" w14:textId="77777777" w:rsidR="0092413E" w:rsidRPr="00C94C6D" w:rsidRDefault="0092413E" w:rsidP="00786302">
            <w:pPr>
              <w:jc w:val="both"/>
              <w:rPr>
                <w:rFonts w:ascii="Times New Roman" w:hAnsi="Times New Roman" w:cs="Times New Roman"/>
              </w:rPr>
            </w:pPr>
            <w:r w:rsidRPr="00C94C6D">
              <w:rPr>
                <w:rFonts w:ascii="Times New Roman" w:hAnsi="Times New Roman" w:cs="Times New Roman"/>
              </w:rPr>
              <w:t>4</w:t>
            </w:r>
          </w:p>
        </w:tc>
        <w:tc>
          <w:tcPr>
            <w:tcW w:w="2260" w:type="pct"/>
            <w:tcBorders>
              <w:top w:val="nil"/>
              <w:left w:val="nil"/>
              <w:bottom w:val="nil"/>
              <w:right w:val="nil"/>
            </w:tcBorders>
            <w:noWrap/>
          </w:tcPr>
          <w:p w14:paraId="5A24E5E3" w14:textId="77777777" w:rsidR="0092413E" w:rsidRPr="00C94C6D" w:rsidRDefault="0092413E" w:rsidP="00786302">
            <w:pPr>
              <w:jc w:val="both"/>
              <w:rPr>
                <w:rFonts w:ascii="Times New Roman" w:eastAsia="Times New Roman" w:hAnsi="Times New Roman" w:cs="Times New Roman"/>
                <w:lang w:eastAsia="en-ID"/>
              </w:rPr>
            </w:pPr>
            <w:hyperlink r:id="rId22" w:history="1">
              <w:r w:rsidRPr="00C94C6D">
                <w:rPr>
                  <w:rStyle w:val="typography-modulelvnit"/>
                  <w:rFonts w:ascii="Times New Roman" w:hAnsi="Times New Roman" w:cs="Times New Roman"/>
                  <w:color w:val="2E2E2E"/>
                  <w:bdr w:val="none" w:sz="0" w:space="0" w:color="auto" w:frame="1"/>
                  <w:shd w:val="clear" w:color="auto" w:fill="FFFFFF"/>
                </w:rPr>
                <w:t>Université de La Réunion</w:t>
              </w:r>
            </w:hyperlink>
          </w:p>
        </w:tc>
        <w:tc>
          <w:tcPr>
            <w:tcW w:w="566" w:type="pct"/>
            <w:tcBorders>
              <w:top w:val="nil"/>
              <w:left w:val="nil"/>
              <w:bottom w:val="nil"/>
              <w:right w:val="nil"/>
            </w:tcBorders>
          </w:tcPr>
          <w:p w14:paraId="5494282E"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2000</w:t>
            </w:r>
          </w:p>
        </w:tc>
      </w:tr>
      <w:tr w:rsidR="0092413E" w:rsidRPr="00C94C6D" w14:paraId="5D2E67AE" w14:textId="77777777" w:rsidTr="0092413E">
        <w:trPr>
          <w:trHeight w:val="288"/>
        </w:trPr>
        <w:tc>
          <w:tcPr>
            <w:tcW w:w="438" w:type="pct"/>
            <w:tcBorders>
              <w:top w:val="nil"/>
              <w:left w:val="nil"/>
              <w:bottom w:val="nil"/>
              <w:right w:val="nil"/>
            </w:tcBorders>
            <w:noWrap/>
            <w:hideMark/>
          </w:tcPr>
          <w:p w14:paraId="01E47AD2"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7</w:t>
            </w:r>
          </w:p>
        </w:tc>
        <w:tc>
          <w:tcPr>
            <w:tcW w:w="1019" w:type="pct"/>
            <w:tcBorders>
              <w:top w:val="nil"/>
              <w:left w:val="nil"/>
              <w:bottom w:val="nil"/>
              <w:right w:val="nil"/>
            </w:tcBorders>
            <w:noWrap/>
          </w:tcPr>
          <w:p w14:paraId="35487B71"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Chabriat J-P</w:t>
            </w:r>
          </w:p>
        </w:tc>
        <w:tc>
          <w:tcPr>
            <w:tcW w:w="410" w:type="pct"/>
            <w:tcBorders>
              <w:top w:val="nil"/>
              <w:left w:val="nil"/>
              <w:bottom w:val="nil"/>
              <w:right w:val="nil"/>
            </w:tcBorders>
            <w:noWrap/>
          </w:tcPr>
          <w:p w14:paraId="38B47DE3"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94</w:t>
            </w:r>
          </w:p>
        </w:tc>
        <w:tc>
          <w:tcPr>
            <w:tcW w:w="307" w:type="pct"/>
            <w:tcBorders>
              <w:top w:val="nil"/>
              <w:left w:val="nil"/>
              <w:bottom w:val="nil"/>
              <w:right w:val="nil"/>
            </w:tcBorders>
          </w:tcPr>
          <w:p w14:paraId="7F4E4427" w14:textId="77777777" w:rsidR="0092413E" w:rsidRPr="00C94C6D" w:rsidRDefault="0092413E" w:rsidP="00786302">
            <w:pPr>
              <w:jc w:val="both"/>
              <w:rPr>
                <w:rFonts w:ascii="Times New Roman" w:hAnsi="Times New Roman" w:cs="Times New Roman"/>
              </w:rPr>
            </w:pPr>
            <w:r w:rsidRPr="00C94C6D">
              <w:rPr>
                <w:rFonts w:ascii="Times New Roman" w:hAnsi="Times New Roman" w:cs="Times New Roman"/>
              </w:rPr>
              <w:t>4</w:t>
            </w:r>
          </w:p>
        </w:tc>
        <w:tc>
          <w:tcPr>
            <w:tcW w:w="2260" w:type="pct"/>
            <w:tcBorders>
              <w:top w:val="nil"/>
              <w:left w:val="nil"/>
              <w:bottom w:val="nil"/>
              <w:right w:val="nil"/>
            </w:tcBorders>
            <w:noWrap/>
          </w:tcPr>
          <w:p w14:paraId="78999270" w14:textId="77777777" w:rsidR="0092413E" w:rsidRPr="00C94C6D" w:rsidRDefault="0092413E" w:rsidP="00786302">
            <w:pPr>
              <w:jc w:val="both"/>
              <w:rPr>
                <w:rFonts w:ascii="Times New Roman" w:eastAsia="Times New Roman" w:hAnsi="Times New Roman" w:cs="Times New Roman"/>
                <w:lang w:eastAsia="en-ID"/>
              </w:rPr>
            </w:pPr>
            <w:hyperlink r:id="rId23" w:history="1">
              <w:r w:rsidRPr="00C94C6D">
                <w:rPr>
                  <w:rStyle w:val="typography-modulelvnit"/>
                  <w:rFonts w:ascii="Times New Roman" w:hAnsi="Times New Roman" w:cs="Times New Roman"/>
                  <w:color w:val="2E2E2E"/>
                  <w:bdr w:val="none" w:sz="0" w:space="0" w:color="auto" w:frame="1"/>
                  <w:shd w:val="clear" w:color="auto" w:fill="FFFFFF"/>
                </w:rPr>
                <w:t>Université de La Réunion</w:t>
              </w:r>
            </w:hyperlink>
          </w:p>
        </w:tc>
        <w:tc>
          <w:tcPr>
            <w:tcW w:w="566" w:type="pct"/>
            <w:tcBorders>
              <w:top w:val="nil"/>
              <w:left w:val="nil"/>
              <w:bottom w:val="nil"/>
              <w:right w:val="nil"/>
            </w:tcBorders>
          </w:tcPr>
          <w:p w14:paraId="3693BFB6"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2000</w:t>
            </w:r>
          </w:p>
        </w:tc>
      </w:tr>
      <w:tr w:rsidR="0092413E" w:rsidRPr="00C94C6D" w14:paraId="5660A67E" w14:textId="77777777" w:rsidTr="0092413E">
        <w:trPr>
          <w:trHeight w:val="288"/>
        </w:trPr>
        <w:tc>
          <w:tcPr>
            <w:tcW w:w="438" w:type="pct"/>
            <w:tcBorders>
              <w:top w:val="nil"/>
              <w:left w:val="nil"/>
              <w:bottom w:val="nil"/>
              <w:right w:val="nil"/>
            </w:tcBorders>
            <w:noWrap/>
            <w:hideMark/>
          </w:tcPr>
          <w:p w14:paraId="584C71C0"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8</w:t>
            </w:r>
          </w:p>
        </w:tc>
        <w:tc>
          <w:tcPr>
            <w:tcW w:w="1019" w:type="pct"/>
            <w:tcBorders>
              <w:top w:val="nil"/>
              <w:left w:val="nil"/>
              <w:bottom w:val="nil"/>
              <w:right w:val="nil"/>
            </w:tcBorders>
            <w:noWrap/>
          </w:tcPr>
          <w:p w14:paraId="07B4B00A"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Görgens JF</w:t>
            </w:r>
          </w:p>
        </w:tc>
        <w:tc>
          <w:tcPr>
            <w:tcW w:w="410" w:type="pct"/>
            <w:tcBorders>
              <w:top w:val="nil"/>
              <w:left w:val="nil"/>
              <w:bottom w:val="nil"/>
              <w:right w:val="nil"/>
            </w:tcBorders>
            <w:noWrap/>
          </w:tcPr>
          <w:p w14:paraId="39D22894"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92</w:t>
            </w:r>
          </w:p>
        </w:tc>
        <w:tc>
          <w:tcPr>
            <w:tcW w:w="307" w:type="pct"/>
            <w:tcBorders>
              <w:top w:val="nil"/>
              <w:left w:val="nil"/>
              <w:bottom w:val="nil"/>
              <w:right w:val="nil"/>
            </w:tcBorders>
          </w:tcPr>
          <w:p w14:paraId="4E6B9167"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w:t>
            </w:r>
          </w:p>
        </w:tc>
        <w:tc>
          <w:tcPr>
            <w:tcW w:w="2260" w:type="pct"/>
            <w:tcBorders>
              <w:top w:val="nil"/>
              <w:left w:val="nil"/>
              <w:bottom w:val="nil"/>
              <w:right w:val="nil"/>
            </w:tcBorders>
            <w:noWrap/>
          </w:tcPr>
          <w:p w14:paraId="0FB5FBE1"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University of Stellenbosch</w:t>
            </w:r>
          </w:p>
        </w:tc>
        <w:tc>
          <w:tcPr>
            <w:tcW w:w="566" w:type="pct"/>
            <w:tcBorders>
              <w:top w:val="nil"/>
              <w:left w:val="nil"/>
              <w:bottom w:val="nil"/>
              <w:right w:val="nil"/>
            </w:tcBorders>
          </w:tcPr>
          <w:p w14:paraId="538CA9F3"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2017</w:t>
            </w:r>
          </w:p>
        </w:tc>
      </w:tr>
      <w:tr w:rsidR="0092413E" w:rsidRPr="00C94C6D" w14:paraId="5DE9AAB5" w14:textId="77777777" w:rsidTr="0092413E">
        <w:trPr>
          <w:trHeight w:val="288"/>
        </w:trPr>
        <w:tc>
          <w:tcPr>
            <w:tcW w:w="438" w:type="pct"/>
            <w:tcBorders>
              <w:top w:val="nil"/>
              <w:left w:val="nil"/>
              <w:right w:val="nil"/>
            </w:tcBorders>
            <w:noWrap/>
            <w:hideMark/>
          </w:tcPr>
          <w:p w14:paraId="54E01A19"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9</w:t>
            </w:r>
          </w:p>
        </w:tc>
        <w:tc>
          <w:tcPr>
            <w:tcW w:w="1019" w:type="pct"/>
            <w:tcBorders>
              <w:top w:val="nil"/>
              <w:left w:val="nil"/>
              <w:right w:val="nil"/>
            </w:tcBorders>
            <w:noWrap/>
          </w:tcPr>
          <w:p w14:paraId="34560142"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Eggleston G</w:t>
            </w:r>
          </w:p>
        </w:tc>
        <w:tc>
          <w:tcPr>
            <w:tcW w:w="410" w:type="pct"/>
            <w:tcBorders>
              <w:top w:val="nil"/>
              <w:left w:val="nil"/>
              <w:right w:val="nil"/>
            </w:tcBorders>
            <w:noWrap/>
          </w:tcPr>
          <w:p w14:paraId="627B0216"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86</w:t>
            </w:r>
          </w:p>
        </w:tc>
        <w:tc>
          <w:tcPr>
            <w:tcW w:w="307" w:type="pct"/>
            <w:tcBorders>
              <w:top w:val="nil"/>
              <w:left w:val="nil"/>
              <w:right w:val="nil"/>
            </w:tcBorders>
          </w:tcPr>
          <w:p w14:paraId="240C0047" w14:textId="77777777" w:rsidR="0092413E" w:rsidRPr="00C94C6D" w:rsidRDefault="0092413E" w:rsidP="00786302">
            <w:pPr>
              <w:jc w:val="both"/>
              <w:rPr>
                <w:rFonts w:ascii="Times New Roman" w:hAnsi="Times New Roman" w:cs="Times New Roman"/>
              </w:rPr>
            </w:pPr>
            <w:r w:rsidRPr="00C94C6D">
              <w:rPr>
                <w:rFonts w:ascii="Times New Roman" w:hAnsi="Times New Roman" w:cs="Times New Roman"/>
              </w:rPr>
              <w:t>1</w:t>
            </w:r>
          </w:p>
        </w:tc>
        <w:tc>
          <w:tcPr>
            <w:tcW w:w="2260" w:type="pct"/>
            <w:tcBorders>
              <w:top w:val="nil"/>
              <w:left w:val="nil"/>
              <w:right w:val="nil"/>
            </w:tcBorders>
            <w:noWrap/>
          </w:tcPr>
          <w:p w14:paraId="7B73680D" w14:textId="77777777" w:rsidR="0092413E" w:rsidRPr="00C94C6D" w:rsidRDefault="0092413E" w:rsidP="00786302">
            <w:pPr>
              <w:jc w:val="both"/>
              <w:rPr>
                <w:rFonts w:ascii="Times New Roman" w:eastAsia="Times New Roman" w:hAnsi="Times New Roman" w:cs="Times New Roman"/>
                <w:lang w:eastAsia="en-ID"/>
              </w:rPr>
            </w:pPr>
            <w:hyperlink r:id="rId24" w:history="1">
              <w:r w:rsidRPr="00C94C6D">
                <w:rPr>
                  <w:rStyle w:val="typography-modulelvnit"/>
                  <w:rFonts w:ascii="Times New Roman" w:hAnsi="Times New Roman" w:cs="Times New Roman"/>
                  <w:color w:val="2E2E2E"/>
                  <w:bdr w:val="none" w:sz="0" w:space="0" w:color="auto" w:frame="1"/>
                  <w:shd w:val="clear" w:color="auto" w:fill="FFFFFF"/>
                </w:rPr>
                <w:t>LSU Agricultural Center</w:t>
              </w:r>
            </w:hyperlink>
          </w:p>
        </w:tc>
        <w:tc>
          <w:tcPr>
            <w:tcW w:w="566" w:type="pct"/>
            <w:tcBorders>
              <w:top w:val="nil"/>
              <w:left w:val="nil"/>
              <w:right w:val="nil"/>
            </w:tcBorders>
          </w:tcPr>
          <w:p w14:paraId="156BA6C6"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2005</w:t>
            </w:r>
          </w:p>
        </w:tc>
      </w:tr>
      <w:tr w:rsidR="0092413E" w:rsidRPr="00C94C6D" w14:paraId="786A44B3" w14:textId="77777777" w:rsidTr="0092413E">
        <w:trPr>
          <w:trHeight w:val="288"/>
        </w:trPr>
        <w:tc>
          <w:tcPr>
            <w:tcW w:w="438" w:type="pct"/>
            <w:tcBorders>
              <w:top w:val="nil"/>
              <w:left w:val="nil"/>
              <w:bottom w:val="single" w:sz="4" w:space="0" w:color="auto"/>
              <w:right w:val="nil"/>
            </w:tcBorders>
            <w:noWrap/>
            <w:hideMark/>
          </w:tcPr>
          <w:p w14:paraId="6846C51B"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10</w:t>
            </w:r>
          </w:p>
        </w:tc>
        <w:tc>
          <w:tcPr>
            <w:tcW w:w="1019" w:type="pct"/>
            <w:tcBorders>
              <w:top w:val="nil"/>
              <w:left w:val="nil"/>
              <w:bottom w:val="single" w:sz="4" w:space="0" w:color="auto"/>
              <w:right w:val="nil"/>
            </w:tcBorders>
            <w:noWrap/>
          </w:tcPr>
          <w:p w14:paraId="7E049776"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Monge A</w:t>
            </w:r>
          </w:p>
        </w:tc>
        <w:tc>
          <w:tcPr>
            <w:tcW w:w="410" w:type="pct"/>
            <w:tcBorders>
              <w:top w:val="nil"/>
              <w:left w:val="nil"/>
              <w:bottom w:val="single" w:sz="4" w:space="0" w:color="auto"/>
              <w:right w:val="nil"/>
            </w:tcBorders>
            <w:noWrap/>
          </w:tcPr>
          <w:p w14:paraId="11339756"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86</w:t>
            </w:r>
          </w:p>
        </w:tc>
        <w:tc>
          <w:tcPr>
            <w:tcW w:w="307" w:type="pct"/>
            <w:tcBorders>
              <w:top w:val="nil"/>
              <w:left w:val="nil"/>
              <w:bottom w:val="single" w:sz="4" w:space="0" w:color="auto"/>
              <w:right w:val="nil"/>
            </w:tcBorders>
          </w:tcPr>
          <w:p w14:paraId="03416F53" w14:textId="77777777" w:rsidR="0092413E" w:rsidRPr="00C94C6D" w:rsidRDefault="0092413E" w:rsidP="00786302">
            <w:pPr>
              <w:jc w:val="both"/>
              <w:rPr>
                <w:rFonts w:ascii="Times New Roman" w:hAnsi="Times New Roman" w:cs="Times New Roman"/>
                <w:color w:val="2E2E2E"/>
                <w:shd w:val="clear" w:color="auto" w:fill="FFFFFF"/>
              </w:rPr>
            </w:pPr>
            <w:r w:rsidRPr="00C94C6D">
              <w:rPr>
                <w:rFonts w:ascii="Times New Roman" w:hAnsi="Times New Roman" w:cs="Times New Roman"/>
              </w:rPr>
              <w:t>1</w:t>
            </w:r>
          </w:p>
        </w:tc>
        <w:tc>
          <w:tcPr>
            <w:tcW w:w="2260" w:type="pct"/>
            <w:tcBorders>
              <w:top w:val="nil"/>
              <w:left w:val="nil"/>
              <w:bottom w:val="single" w:sz="4" w:space="0" w:color="auto"/>
              <w:right w:val="nil"/>
            </w:tcBorders>
            <w:noWrap/>
          </w:tcPr>
          <w:p w14:paraId="005875A9"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color w:val="2E2E2E"/>
                <w:shd w:val="clear" w:color="auto" w:fill="FFFFFF"/>
              </w:rPr>
              <w:t>Cora Texas Manufacturing Co</w:t>
            </w:r>
          </w:p>
        </w:tc>
        <w:tc>
          <w:tcPr>
            <w:tcW w:w="566" w:type="pct"/>
            <w:tcBorders>
              <w:top w:val="nil"/>
              <w:left w:val="nil"/>
              <w:bottom w:val="single" w:sz="4" w:space="0" w:color="auto"/>
              <w:right w:val="nil"/>
            </w:tcBorders>
          </w:tcPr>
          <w:p w14:paraId="5CA671D8"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2005</w:t>
            </w:r>
          </w:p>
        </w:tc>
      </w:tr>
    </w:tbl>
    <w:p w14:paraId="598E1507" w14:textId="3D24DF21" w:rsidR="004269A5" w:rsidRPr="00F45A84" w:rsidRDefault="004269A5" w:rsidP="004269A5">
      <w:pPr>
        <w:tabs>
          <w:tab w:val="left" w:pos="2831"/>
        </w:tabs>
        <w:spacing w:before="240"/>
        <w:ind w:left="1560"/>
        <w:jc w:val="both"/>
        <w:rPr>
          <w:rFonts w:cs="Times New Roman"/>
          <w:i/>
          <w:iCs/>
          <w:sz w:val="24"/>
          <w:szCs w:val="24"/>
        </w:rPr>
      </w:pPr>
      <w:r w:rsidRPr="00F45A84">
        <w:rPr>
          <w:rFonts w:cs="Times New Roman"/>
          <w:i/>
          <w:iCs/>
          <w:sz w:val="24"/>
          <w:szCs w:val="24"/>
        </w:rPr>
        <w:t>TC= Total Citations, NP=total number of publications, FP=year of first publication</w:t>
      </w:r>
    </w:p>
    <w:p w14:paraId="3AC9819D" w14:textId="77777777" w:rsidR="004269A5" w:rsidRDefault="004269A5" w:rsidP="004269A5">
      <w:pPr>
        <w:spacing w:before="240"/>
        <w:ind w:left="1560"/>
        <w:jc w:val="both"/>
        <w:rPr>
          <w:rFonts w:cs="Times New Roman"/>
          <w:b/>
          <w:bCs/>
          <w:sz w:val="24"/>
          <w:szCs w:val="24"/>
        </w:rPr>
      </w:pPr>
    </w:p>
    <w:p w14:paraId="635B6DC5" w14:textId="77777777" w:rsidR="0092413E" w:rsidRDefault="0092413E" w:rsidP="004269A5">
      <w:pPr>
        <w:spacing w:before="240"/>
        <w:ind w:left="1560"/>
        <w:jc w:val="both"/>
        <w:rPr>
          <w:rFonts w:cs="Times New Roman"/>
          <w:b/>
          <w:bCs/>
          <w:sz w:val="24"/>
          <w:szCs w:val="24"/>
        </w:rPr>
      </w:pPr>
    </w:p>
    <w:p w14:paraId="1CD611AD" w14:textId="77777777" w:rsidR="0092413E" w:rsidRDefault="0092413E" w:rsidP="004269A5">
      <w:pPr>
        <w:spacing w:before="240"/>
        <w:ind w:left="1560"/>
        <w:jc w:val="both"/>
        <w:rPr>
          <w:rFonts w:cs="Times New Roman"/>
          <w:b/>
          <w:bCs/>
          <w:sz w:val="24"/>
          <w:szCs w:val="24"/>
        </w:rPr>
      </w:pPr>
    </w:p>
    <w:p w14:paraId="02DCAB35" w14:textId="77777777" w:rsidR="00CF554D" w:rsidRPr="00F45A84" w:rsidRDefault="00CF554D" w:rsidP="004269A5">
      <w:pPr>
        <w:spacing w:before="240"/>
        <w:ind w:left="1560"/>
        <w:jc w:val="both"/>
        <w:rPr>
          <w:rFonts w:cs="Times New Roman"/>
          <w:b/>
          <w:bCs/>
          <w:sz w:val="24"/>
          <w:szCs w:val="24"/>
        </w:rPr>
      </w:pPr>
    </w:p>
    <w:p w14:paraId="5F7E363B" w14:textId="77777777" w:rsidR="004269A5" w:rsidRDefault="004269A5" w:rsidP="004269A5">
      <w:pPr>
        <w:spacing w:before="240"/>
        <w:ind w:left="1560"/>
        <w:jc w:val="both"/>
        <w:rPr>
          <w:rFonts w:cs="Times New Roman"/>
          <w:sz w:val="24"/>
          <w:szCs w:val="24"/>
        </w:rPr>
      </w:pPr>
      <w:r w:rsidRPr="00F45A84">
        <w:rPr>
          <w:rFonts w:cs="Times New Roman"/>
          <w:b/>
          <w:bCs/>
          <w:sz w:val="24"/>
          <w:szCs w:val="24"/>
        </w:rPr>
        <w:lastRenderedPageBreak/>
        <w:t xml:space="preserve">Table 7. </w:t>
      </w:r>
      <w:r w:rsidRPr="00F45A84">
        <w:rPr>
          <w:rFonts w:cs="Times New Roman"/>
          <w:sz w:val="24"/>
          <w:szCs w:val="24"/>
        </w:rPr>
        <w:t>Top 10 most influential authors based on total publications</w:t>
      </w:r>
    </w:p>
    <w:tbl>
      <w:tblPr>
        <w:tblW w:w="3894" w:type="pct"/>
        <w:tblInd w:w="1668" w:type="dxa"/>
        <w:tblLook w:val="04A0" w:firstRow="1" w:lastRow="0" w:firstColumn="1" w:lastColumn="0" w:noHBand="0" w:noVBand="1"/>
      </w:tblPr>
      <w:tblGrid>
        <w:gridCol w:w="730"/>
        <w:gridCol w:w="1774"/>
        <w:gridCol w:w="510"/>
        <w:gridCol w:w="985"/>
        <w:gridCol w:w="3628"/>
        <w:gridCol w:w="656"/>
      </w:tblGrid>
      <w:tr w:rsidR="0092413E" w:rsidRPr="00C94C6D" w14:paraId="503FD1DD" w14:textId="77777777" w:rsidTr="0092413E">
        <w:trPr>
          <w:trHeight w:val="288"/>
        </w:trPr>
        <w:tc>
          <w:tcPr>
            <w:tcW w:w="438" w:type="pct"/>
            <w:tcBorders>
              <w:top w:val="single" w:sz="4" w:space="0" w:color="auto"/>
              <w:left w:val="nil"/>
              <w:bottom w:val="single" w:sz="4" w:space="0" w:color="auto"/>
              <w:right w:val="nil"/>
            </w:tcBorders>
            <w:noWrap/>
            <w:hideMark/>
          </w:tcPr>
          <w:p w14:paraId="0D25CFE8"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Rank</w:t>
            </w:r>
          </w:p>
        </w:tc>
        <w:tc>
          <w:tcPr>
            <w:tcW w:w="1075" w:type="pct"/>
            <w:tcBorders>
              <w:top w:val="single" w:sz="4" w:space="0" w:color="auto"/>
              <w:left w:val="nil"/>
              <w:bottom w:val="single" w:sz="4" w:space="0" w:color="auto"/>
              <w:right w:val="nil"/>
            </w:tcBorders>
            <w:noWrap/>
            <w:hideMark/>
          </w:tcPr>
          <w:p w14:paraId="7EA5A210"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Author</w:t>
            </w:r>
          </w:p>
        </w:tc>
        <w:tc>
          <w:tcPr>
            <w:tcW w:w="306" w:type="pct"/>
            <w:tcBorders>
              <w:top w:val="single" w:sz="4" w:space="0" w:color="auto"/>
              <w:left w:val="nil"/>
              <w:bottom w:val="single" w:sz="4" w:space="0" w:color="auto"/>
              <w:right w:val="nil"/>
            </w:tcBorders>
            <w:noWrap/>
            <w:hideMark/>
          </w:tcPr>
          <w:p w14:paraId="33473527"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NP</w:t>
            </w:r>
          </w:p>
        </w:tc>
        <w:tc>
          <w:tcPr>
            <w:tcW w:w="599" w:type="pct"/>
            <w:tcBorders>
              <w:top w:val="single" w:sz="4" w:space="0" w:color="auto"/>
              <w:left w:val="nil"/>
              <w:bottom w:val="single" w:sz="4" w:space="0" w:color="auto"/>
              <w:right w:val="nil"/>
            </w:tcBorders>
          </w:tcPr>
          <w:p w14:paraId="4DCEDE07"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TC</w:t>
            </w:r>
          </w:p>
        </w:tc>
        <w:tc>
          <w:tcPr>
            <w:tcW w:w="2194" w:type="pct"/>
            <w:tcBorders>
              <w:top w:val="single" w:sz="4" w:space="0" w:color="auto"/>
              <w:left w:val="nil"/>
              <w:bottom w:val="single" w:sz="4" w:space="0" w:color="auto"/>
              <w:right w:val="nil"/>
            </w:tcBorders>
            <w:noWrap/>
            <w:hideMark/>
          </w:tcPr>
          <w:p w14:paraId="1428899D"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Institution</w:t>
            </w:r>
          </w:p>
        </w:tc>
        <w:tc>
          <w:tcPr>
            <w:tcW w:w="388" w:type="pct"/>
            <w:tcBorders>
              <w:top w:val="single" w:sz="4" w:space="0" w:color="auto"/>
              <w:left w:val="nil"/>
              <w:bottom w:val="single" w:sz="4" w:space="0" w:color="auto"/>
              <w:right w:val="nil"/>
            </w:tcBorders>
          </w:tcPr>
          <w:p w14:paraId="7234020E" w14:textId="77777777" w:rsidR="0092413E" w:rsidRPr="00C94C6D" w:rsidRDefault="0092413E" w:rsidP="00786302">
            <w:pPr>
              <w:jc w:val="both"/>
              <w:rPr>
                <w:rFonts w:ascii="Times New Roman" w:eastAsia="Times New Roman" w:hAnsi="Times New Roman" w:cs="Times New Roman"/>
                <w:b/>
                <w:bCs/>
                <w:lang w:eastAsia="en-ID"/>
              </w:rPr>
            </w:pPr>
            <w:r w:rsidRPr="00C94C6D">
              <w:rPr>
                <w:rFonts w:ascii="Times New Roman" w:eastAsia="Times New Roman" w:hAnsi="Times New Roman" w:cs="Times New Roman"/>
                <w:b/>
                <w:bCs/>
                <w:lang w:eastAsia="en-ID"/>
              </w:rPr>
              <w:t>FP</w:t>
            </w:r>
          </w:p>
        </w:tc>
      </w:tr>
      <w:tr w:rsidR="0092413E" w:rsidRPr="00C94C6D" w14:paraId="0E3682F1" w14:textId="77777777" w:rsidTr="0092413E">
        <w:trPr>
          <w:trHeight w:val="288"/>
        </w:trPr>
        <w:tc>
          <w:tcPr>
            <w:tcW w:w="438" w:type="pct"/>
            <w:tcBorders>
              <w:top w:val="single" w:sz="4" w:space="0" w:color="auto"/>
              <w:left w:val="nil"/>
              <w:bottom w:val="nil"/>
              <w:right w:val="nil"/>
            </w:tcBorders>
            <w:noWrap/>
            <w:hideMark/>
          </w:tcPr>
          <w:p w14:paraId="3B62F203"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w:t>
            </w:r>
          </w:p>
        </w:tc>
        <w:tc>
          <w:tcPr>
            <w:tcW w:w="1075" w:type="pct"/>
            <w:tcBorders>
              <w:top w:val="single" w:sz="4" w:space="0" w:color="auto"/>
              <w:left w:val="nil"/>
              <w:bottom w:val="nil"/>
              <w:right w:val="nil"/>
            </w:tcBorders>
            <w:noWrap/>
          </w:tcPr>
          <w:p w14:paraId="5DEB380D"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De Prada C</w:t>
            </w:r>
          </w:p>
        </w:tc>
        <w:tc>
          <w:tcPr>
            <w:tcW w:w="306" w:type="pct"/>
            <w:tcBorders>
              <w:top w:val="single" w:sz="4" w:space="0" w:color="auto"/>
              <w:left w:val="nil"/>
              <w:bottom w:val="nil"/>
              <w:right w:val="nil"/>
            </w:tcBorders>
            <w:noWrap/>
          </w:tcPr>
          <w:p w14:paraId="23D23832"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9</w:t>
            </w:r>
          </w:p>
        </w:tc>
        <w:tc>
          <w:tcPr>
            <w:tcW w:w="599" w:type="pct"/>
            <w:tcBorders>
              <w:top w:val="single" w:sz="4" w:space="0" w:color="auto"/>
              <w:left w:val="nil"/>
              <w:bottom w:val="nil"/>
              <w:right w:val="nil"/>
            </w:tcBorders>
          </w:tcPr>
          <w:p w14:paraId="52C2981A"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57</w:t>
            </w:r>
          </w:p>
        </w:tc>
        <w:tc>
          <w:tcPr>
            <w:tcW w:w="2194" w:type="pct"/>
            <w:tcBorders>
              <w:top w:val="single" w:sz="4" w:space="0" w:color="auto"/>
              <w:left w:val="nil"/>
              <w:bottom w:val="nil"/>
              <w:right w:val="nil"/>
            </w:tcBorders>
            <w:noWrap/>
          </w:tcPr>
          <w:p w14:paraId="0E51F14B"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Universidad de Valladolid</w:t>
            </w:r>
          </w:p>
        </w:tc>
        <w:tc>
          <w:tcPr>
            <w:tcW w:w="388" w:type="pct"/>
            <w:tcBorders>
              <w:top w:val="single" w:sz="4" w:space="0" w:color="auto"/>
              <w:left w:val="nil"/>
              <w:bottom w:val="nil"/>
              <w:right w:val="nil"/>
            </w:tcBorders>
          </w:tcPr>
          <w:p w14:paraId="78A28789"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1998</w:t>
            </w:r>
          </w:p>
        </w:tc>
      </w:tr>
      <w:tr w:rsidR="0092413E" w:rsidRPr="00C94C6D" w14:paraId="753F4570" w14:textId="77777777" w:rsidTr="0092413E">
        <w:trPr>
          <w:trHeight w:val="288"/>
        </w:trPr>
        <w:tc>
          <w:tcPr>
            <w:tcW w:w="438" w:type="pct"/>
            <w:tcBorders>
              <w:top w:val="nil"/>
              <w:left w:val="nil"/>
              <w:bottom w:val="nil"/>
              <w:right w:val="nil"/>
            </w:tcBorders>
            <w:noWrap/>
            <w:hideMark/>
          </w:tcPr>
          <w:p w14:paraId="5C4A07E1"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2</w:t>
            </w:r>
          </w:p>
        </w:tc>
        <w:tc>
          <w:tcPr>
            <w:tcW w:w="1075" w:type="pct"/>
            <w:tcBorders>
              <w:top w:val="nil"/>
              <w:left w:val="nil"/>
              <w:bottom w:val="nil"/>
              <w:right w:val="nil"/>
            </w:tcBorders>
            <w:noWrap/>
          </w:tcPr>
          <w:p w14:paraId="1F1D22A6"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Mazaeda R</w:t>
            </w:r>
          </w:p>
        </w:tc>
        <w:tc>
          <w:tcPr>
            <w:tcW w:w="306" w:type="pct"/>
            <w:tcBorders>
              <w:top w:val="nil"/>
              <w:left w:val="nil"/>
              <w:bottom w:val="nil"/>
              <w:right w:val="nil"/>
            </w:tcBorders>
            <w:noWrap/>
          </w:tcPr>
          <w:p w14:paraId="3BC700F6"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8</w:t>
            </w:r>
          </w:p>
        </w:tc>
        <w:tc>
          <w:tcPr>
            <w:tcW w:w="599" w:type="pct"/>
            <w:tcBorders>
              <w:top w:val="nil"/>
              <w:left w:val="nil"/>
              <w:bottom w:val="nil"/>
              <w:right w:val="nil"/>
            </w:tcBorders>
          </w:tcPr>
          <w:p w14:paraId="5C7CC238"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54</w:t>
            </w:r>
          </w:p>
        </w:tc>
        <w:tc>
          <w:tcPr>
            <w:tcW w:w="2194" w:type="pct"/>
            <w:tcBorders>
              <w:top w:val="nil"/>
              <w:left w:val="nil"/>
              <w:bottom w:val="nil"/>
              <w:right w:val="nil"/>
            </w:tcBorders>
            <w:noWrap/>
          </w:tcPr>
          <w:p w14:paraId="3933CAEA"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Universidad de Valladolid</w:t>
            </w:r>
          </w:p>
        </w:tc>
        <w:tc>
          <w:tcPr>
            <w:tcW w:w="388" w:type="pct"/>
            <w:tcBorders>
              <w:top w:val="nil"/>
              <w:left w:val="nil"/>
              <w:bottom w:val="nil"/>
              <w:right w:val="nil"/>
            </w:tcBorders>
          </w:tcPr>
          <w:p w14:paraId="12FC546B"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2006</w:t>
            </w:r>
          </w:p>
        </w:tc>
      </w:tr>
      <w:tr w:rsidR="0092413E" w:rsidRPr="00C94C6D" w14:paraId="6B72605D" w14:textId="77777777" w:rsidTr="0092413E">
        <w:trPr>
          <w:trHeight w:val="288"/>
        </w:trPr>
        <w:tc>
          <w:tcPr>
            <w:tcW w:w="438" w:type="pct"/>
            <w:tcBorders>
              <w:top w:val="nil"/>
              <w:left w:val="nil"/>
              <w:bottom w:val="nil"/>
              <w:right w:val="nil"/>
            </w:tcBorders>
            <w:noWrap/>
            <w:hideMark/>
          </w:tcPr>
          <w:p w14:paraId="1757DF36"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3</w:t>
            </w:r>
          </w:p>
        </w:tc>
        <w:tc>
          <w:tcPr>
            <w:tcW w:w="1075" w:type="pct"/>
            <w:tcBorders>
              <w:top w:val="nil"/>
              <w:left w:val="nil"/>
              <w:bottom w:val="nil"/>
              <w:right w:val="nil"/>
            </w:tcBorders>
            <w:noWrap/>
          </w:tcPr>
          <w:p w14:paraId="211AE878"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Sunori SK</w:t>
            </w:r>
          </w:p>
        </w:tc>
        <w:tc>
          <w:tcPr>
            <w:tcW w:w="306" w:type="pct"/>
            <w:tcBorders>
              <w:top w:val="nil"/>
              <w:left w:val="nil"/>
              <w:bottom w:val="nil"/>
              <w:right w:val="nil"/>
            </w:tcBorders>
            <w:noWrap/>
          </w:tcPr>
          <w:p w14:paraId="205512DF"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7</w:t>
            </w:r>
          </w:p>
        </w:tc>
        <w:tc>
          <w:tcPr>
            <w:tcW w:w="599" w:type="pct"/>
            <w:tcBorders>
              <w:top w:val="nil"/>
              <w:left w:val="nil"/>
              <w:bottom w:val="nil"/>
              <w:right w:val="nil"/>
            </w:tcBorders>
          </w:tcPr>
          <w:p w14:paraId="7AC1AF3A"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30</w:t>
            </w:r>
          </w:p>
        </w:tc>
        <w:tc>
          <w:tcPr>
            <w:tcW w:w="2194" w:type="pct"/>
            <w:tcBorders>
              <w:top w:val="nil"/>
              <w:left w:val="nil"/>
              <w:bottom w:val="nil"/>
              <w:right w:val="nil"/>
            </w:tcBorders>
            <w:noWrap/>
          </w:tcPr>
          <w:p w14:paraId="736C4971"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Graphic Era Hill University</w:t>
            </w:r>
          </w:p>
        </w:tc>
        <w:tc>
          <w:tcPr>
            <w:tcW w:w="388" w:type="pct"/>
            <w:tcBorders>
              <w:top w:val="nil"/>
              <w:left w:val="nil"/>
              <w:bottom w:val="nil"/>
              <w:right w:val="nil"/>
            </w:tcBorders>
          </w:tcPr>
          <w:p w14:paraId="1C4A5A2E"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2016</w:t>
            </w:r>
          </w:p>
        </w:tc>
      </w:tr>
      <w:tr w:rsidR="0092413E" w:rsidRPr="00C94C6D" w14:paraId="0067F44A" w14:textId="77777777" w:rsidTr="0092413E">
        <w:trPr>
          <w:trHeight w:val="288"/>
        </w:trPr>
        <w:tc>
          <w:tcPr>
            <w:tcW w:w="438" w:type="pct"/>
            <w:tcBorders>
              <w:top w:val="nil"/>
              <w:left w:val="nil"/>
              <w:bottom w:val="nil"/>
              <w:right w:val="nil"/>
            </w:tcBorders>
            <w:noWrap/>
            <w:hideMark/>
          </w:tcPr>
          <w:p w14:paraId="1DE7BED5"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4</w:t>
            </w:r>
          </w:p>
        </w:tc>
        <w:tc>
          <w:tcPr>
            <w:tcW w:w="1075" w:type="pct"/>
            <w:tcBorders>
              <w:top w:val="nil"/>
              <w:left w:val="nil"/>
              <w:bottom w:val="nil"/>
              <w:right w:val="nil"/>
            </w:tcBorders>
            <w:noWrap/>
          </w:tcPr>
          <w:p w14:paraId="5E90AC59"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Benne M</w:t>
            </w:r>
          </w:p>
        </w:tc>
        <w:tc>
          <w:tcPr>
            <w:tcW w:w="306" w:type="pct"/>
            <w:tcBorders>
              <w:top w:val="nil"/>
              <w:left w:val="nil"/>
              <w:bottom w:val="nil"/>
              <w:right w:val="nil"/>
            </w:tcBorders>
            <w:noWrap/>
          </w:tcPr>
          <w:p w14:paraId="6F30AA4C"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4</w:t>
            </w:r>
          </w:p>
        </w:tc>
        <w:tc>
          <w:tcPr>
            <w:tcW w:w="599" w:type="pct"/>
            <w:tcBorders>
              <w:top w:val="nil"/>
              <w:left w:val="nil"/>
              <w:bottom w:val="nil"/>
              <w:right w:val="nil"/>
            </w:tcBorders>
          </w:tcPr>
          <w:p w14:paraId="390208E4" w14:textId="77777777" w:rsidR="0092413E" w:rsidRPr="00C94C6D" w:rsidRDefault="0092413E" w:rsidP="00786302">
            <w:pPr>
              <w:jc w:val="both"/>
              <w:rPr>
                <w:rFonts w:ascii="Times New Roman" w:hAnsi="Times New Roman" w:cs="Times New Roman"/>
              </w:rPr>
            </w:pPr>
            <w:r w:rsidRPr="00C94C6D">
              <w:rPr>
                <w:rFonts w:ascii="Times New Roman" w:hAnsi="Times New Roman" w:cs="Times New Roman"/>
              </w:rPr>
              <w:t>94</w:t>
            </w:r>
          </w:p>
        </w:tc>
        <w:tc>
          <w:tcPr>
            <w:tcW w:w="2194" w:type="pct"/>
            <w:tcBorders>
              <w:top w:val="nil"/>
              <w:left w:val="nil"/>
              <w:bottom w:val="nil"/>
              <w:right w:val="nil"/>
            </w:tcBorders>
            <w:noWrap/>
          </w:tcPr>
          <w:p w14:paraId="1E1BE03B" w14:textId="77777777" w:rsidR="0092413E" w:rsidRPr="00C94C6D" w:rsidRDefault="0092413E" w:rsidP="00786302">
            <w:pPr>
              <w:jc w:val="both"/>
              <w:rPr>
                <w:rFonts w:ascii="Times New Roman" w:eastAsia="Times New Roman" w:hAnsi="Times New Roman" w:cs="Times New Roman"/>
                <w:lang w:eastAsia="en-ID"/>
              </w:rPr>
            </w:pPr>
            <w:hyperlink r:id="rId25" w:history="1">
              <w:r w:rsidRPr="00C94C6D">
                <w:rPr>
                  <w:rStyle w:val="typography-modulelvnit"/>
                  <w:rFonts w:ascii="Times New Roman" w:hAnsi="Times New Roman" w:cs="Times New Roman"/>
                  <w:color w:val="2E2E2E"/>
                  <w:bdr w:val="none" w:sz="0" w:space="0" w:color="auto" w:frame="1"/>
                  <w:shd w:val="clear" w:color="auto" w:fill="FFFFFF"/>
                </w:rPr>
                <w:t>Université de La Réunion</w:t>
              </w:r>
            </w:hyperlink>
          </w:p>
        </w:tc>
        <w:tc>
          <w:tcPr>
            <w:tcW w:w="388" w:type="pct"/>
            <w:tcBorders>
              <w:top w:val="nil"/>
              <w:left w:val="nil"/>
              <w:bottom w:val="nil"/>
              <w:right w:val="nil"/>
            </w:tcBorders>
          </w:tcPr>
          <w:p w14:paraId="2E760343"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2000</w:t>
            </w:r>
          </w:p>
        </w:tc>
      </w:tr>
      <w:tr w:rsidR="0092413E" w:rsidRPr="00C94C6D" w14:paraId="6CFA5C19" w14:textId="77777777" w:rsidTr="0092413E">
        <w:trPr>
          <w:trHeight w:val="288"/>
        </w:trPr>
        <w:tc>
          <w:tcPr>
            <w:tcW w:w="438" w:type="pct"/>
            <w:tcBorders>
              <w:top w:val="nil"/>
              <w:left w:val="nil"/>
              <w:bottom w:val="nil"/>
              <w:right w:val="nil"/>
            </w:tcBorders>
            <w:noWrap/>
            <w:hideMark/>
          </w:tcPr>
          <w:p w14:paraId="2F137148"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5</w:t>
            </w:r>
          </w:p>
        </w:tc>
        <w:tc>
          <w:tcPr>
            <w:tcW w:w="1075" w:type="pct"/>
            <w:tcBorders>
              <w:top w:val="nil"/>
              <w:left w:val="nil"/>
              <w:bottom w:val="nil"/>
              <w:right w:val="nil"/>
            </w:tcBorders>
            <w:noWrap/>
          </w:tcPr>
          <w:p w14:paraId="17EDAC0E"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Chabriat J-P</w:t>
            </w:r>
          </w:p>
        </w:tc>
        <w:tc>
          <w:tcPr>
            <w:tcW w:w="306" w:type="pct"/>
            <w:tcBorders>
              <w:top w:val="nil"/>
              <w:left w:val="nil"/>
              <w:bottom w:val="nil"/>
              <w:right w:val="nil"/>
            </w:tcBorders>
            <w:noWrap/>
          </w:tcPr>
          <w:p w14:paraId="13EE4F3C"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4</w:t>
            </w:r>
          </w:p>
        </w:tc>
        <w:tc>
          <w:tcPr>
            <w:tcW w:w="599" w:type="pct"/>
            <w:tcBorders>
              <w:top w:val="nil"/>
              <w:left w:val="nil"/>
              <w:bottom w:val="nil"/>
              <w:right w:val="nil"/>
            </w:tcBorders>
          </w:tcPr>
          <w:p w14:paraId="3862627A" w14:textId="77777777" w:rsidR="0092413E" w:rsidRPr="00C94C6D" w:rsidRDefault="0092413E" w:rsidP="00786302">
            <w:pPr>
              <w:jc w:val="both"/>
              <w:rPr>
                <w:rFonts w:ascii="Times New Roman" w:hAnsi="Times New Roman" w:cs="Times New Roman"/>
              </w:rPr>
            </w:pPr>
            <w:r w:rsidRPr="00C94C6D">
              <w:rPr>
                <w:rFonts w:ascii="Times New Roman" w:hAnsi="Times New Roman" w:cs="Times New Roman"/>
              </w:rPr>
              <w:t>94</w:t>
            </w:r>
          </w:p>
        </w:tc>
        <w:tc>
          <w:tcPr>
            <w:tcW w:w="2194" w:type="pct"/>
            <w:tcBorders>
              <w:top w:val="nil"/>
              <w:left w:val="nil"/>
              <w:bottom w:val="nil"/>
              <w:right w:val="nil"/>
            </w:tcBorders>
            <w:noWrap/>
          </w:tcPr>
          <w:p w14:paraId="3168A635" w14:textId="77777777" w:rsidR="0092413E" w:rsidRPr="00C94C6D" w:rsidRDefault="0092413E" w:rsidP="00786302">
            <w:pPr>
              <w:jc w:val="both"/>
              <w:rPr>
                <w:rFonts w:ascii="Times New Roman" w:eastAsia="Times New Roman" w:hAnsi="Times New Roman" w:cs="Times New Roman"/>
                <w:lang w:eastAsia="en-ID"/>
              </w:rPr>
            </w:pPr>
            <w:hyperlink r:id="rId26" w:history="1">
              <w:r w:rsidRPr="00C94C6D">
                <w:rPr>
                  <w:rStyle w:val="typography-modulelvnit"/>
                  <w:rFonts w:ascii="Times New Roman" w:hAnsi="Times New Roman" w:cs="Times New Roman"/>
                  <w:color w:val="2E2E2E"/>
                  <w:bdr w:val="none" w:sz="0" w:space="0" w:color="auto" w:frame="1"/>
                  <w:shd w:val="clear" w:color="auto" w:fill="FFFFFF"/>
                </w:rPr>
                <w:t>Université de La Réunion</w:t>
              </w:r>
            </w:hyperlink>
          </w:p>
        </w:tc>
        <w:tc>
          <w:tcPr>
            <w:tcW w:w="388" w:type="pct"/>
            <w:tcBorders>
              <w:top w:val="nil"/>
              <w:left w:val="nil"/>
              <w:bottom w:val="nil"/>
              <w:right w:val="nil"/>
            </w:tcBorders>
          </w:tcPr>
          <w:p w14:paraId="16BD0876"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2000</w:t>
            </w:r>
          </w:p>
        </w:tc>
      </w:tr>
      <w:tr w:rsidR="0092413E" w:rsidRPr="00C94C6D" w14:paraId="0631D2C2" w14:textId="77777777" w:rsidTr="0092413E">
        <w:trPr>
          <w:trHeight w:val="288"/>
        </w:trPr>
        <w:tc>
          <w:tcPr>
            <w:tcW w:w="438" w:type="pct"/>
            <w:tcBorders>
              <w:top w:val="nil"/>
              <w:left w:val="nil"/>
              <w:bottom w:val="nil"/>
              <w:right w:val="nil"/>
            </w:tcBorders>
            <w:noWrap/>
            <w:hideMark/>
          </w:tcPr>
          <w:p w14:paraId="5BAC24FD"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6</w:t>
            </w:r>
          </w:p>
        </w:tc>
        <w:tc>
          <w:tcPr>
            <w:tcW w:w="1075" w:type="pct"/>
            <w:tcBorders>
              <w:top w:val="nil"/>
              <w:left w:val="nil"/>
              <w:bottom w:val="nil"/>
              <w:right w:val="nil"/>
            </w:tcBorders>
            <w:noWrap/>
          </w:tcPr>
          <w:p w14:paraId="7613EC20"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Bordons C</w:t>
            </w:r>
          </w:p>
        </w:tc>
        <w:tc>
          <w:tcPr>
            <w:tcW w:w="306" w:type="pct"/>
            <w:tcBorders>
              <w:top w:val="nil"/>
              <w:left w:val="nil"/>
              <w:bottom w:val="nil"/>
              <w:right w:val="nil"/>
            </w:tcBorders>
            <w:noWrap/>
          </w:tcPr>
          <w:p w14:paraId="75568F3E"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4</w:t>
            </w:r>
          </w:p>
        </w:tc>
        <w:tc>
          <w:tcPr>
            <w:tcW w:w="599" w:type="pct"/>
            <w:tcBorders>
              <w:top w:val="nil"/>
              <w:left w:val="nil"/>
              <w:bottom w:val="nil"/>
              <w:right w:val="nil"/>
            </w:tcBorders>
          </w:tcPr>
          <w:p w14:paraId="14C23509" w14:textId="77777777" w:rsidR="0092413E" w:rsidRPr="00C94C6D" w:rsidRDefault="0092413E" w:rsidP="00786302">
            <w:pPr>
              <w:jc w:val="both"/>
              <w:rPr>
                <w:rFonts w:ascii="Times New Roman" w:hAnsi="Times New Roman" w:cs="Times New Roman"/>
              </w:rPr>
            </w:pPr>
            <w:r w:rsidRPr="00C94C6D">
              <w:rPr>
                <w:rFonts w:ascii="Times New Roman" w:hAnsi="Times New Roman" w:cs="Times New Roman"/>
              </w:rPr>
              <w:t>96</w:t>
            </w:r>
          </w:p>
        </w:tc>
        <w:tc>
          <w:tcPr>
            <w:tcW w:w="2194" w:type="pct"/>
            <w:tcBorders>
              <w:top w:val="nil"/>
              <w:left w:val="nil"/>
              <w:bottom w:val="nil"/>
              <w:right w:val="nil"/>
            </w:tcBorders>
            <w:noWrap/>
          </w:tcPr>
          <w:p w14:paraId="79796951" w14:textId="77777777" w:rsidR="0092413E" w:rsidRPr="00C94C6D" w:rsidRDefault="0092413E" w:rsidP="00786302">
            <w:pPr>
              <w:jc w:val="both"/>
              <w:rPr>
                <w:rFonts w:ascii="Times New Roman" w:eastAsia="Times New Roman" w:hAnsi="Times New Roman" w:cs="Times New Roman"/>
                <w:lang w:eastAsia="en-ID"/>
              </w:rPr>
            </w:pPr>
            <w:hyperlink r:id="rId27" w:history="1">
              <w:r w:rsidRPr="00C94C6D">
                <w:rPr>
                  <w:rStyle w:val="typography-modulelvnit"/>
                  <w:rFonts w:ascii="Times New Roman" w:hAnsi="Times New Roman" w:cs="Times New Roman"/>
                  <w:color w:val="2E2E2E"/>
                  <w:bdr w:val="none" w:sz="0" w:space="0" w:color="auto" w:frame="1"/>
                  <w:shd w:val="clear" w:color="auto" w:fill="FFFFFF"/>
                </w:rPr>
                <w:t>Universidad de Sevilla</w:t>
              </w:r>
            </w:hyperlink>
          </w:p>
        </w:tc>
        <w:tc>
          <w:tcPr>
            <w:tcW w:w="388" w:type="pct"/>
            <w:tcBorders>
              <w:top w:val="nil"/>
              <w:left w:val="nil"/>
              <w:bottom w:val="nil"/>
              <w:right w:val="nil"/>
            </w:tcBorders>
          </w:tcPr>
          <w:p w14:paraId="41CA3A78"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2015</w:t>
            </w:r>
          </w:p>
        </w:tc>
      </w:tr>
      <w:tr w:rsidR="0092413E" w:rsidRPr="00C94C6D" w14:paraId="540CFBBC" w14:textId="77777777" w:rsidTr="0092413E">
        <w:trPr>
          <w:trHeight w:val="288"/>
        </w:trPr>
        <w:tc>
          <w:tcPr>
            <w:tcW w:w="438" w:type="pct"/>
            <w:tcBorders>
              <w:top w:val="nil"/>
              <w:left w:val="nil"/>
              <w:bottom w:val="nil"/>
              <w:right w:val="nil"/>
            </w:tcBorders>
            <w:noWrap/>
            <w:hideMark/>
          </w:tcPr>
          <w:p w14:paraId="406F02B1"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7</w:t>
            </w:r>
          </w:p>
        </w:tc>
        <w:tc>
          <w:tcPr>
            <w:tcW w:w="1075" w:type="pct"/>
            <w:tcBorders>
              <w:top w:val="nil"/>
              <w:left w:val="nil"/>
              <w:bottom w:val="nil"/>
              <w:right w:val="nil"/>
            </w:tcBorders>
            <w:noWrap/>
          </w:tcPr>
          <w:p w14:paraId="7DC70C33"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Normey-Rico Je</w:t>
            </w:r>
          </w:p>
        </w:tc>
        <w:tc>
          <w:tcPr>
            <w:tcW w:w="306" w:type="pct"/>
            <w:tcBorders>
              <w:top w:val="nil"/>
              <w:left w:val="nil"/>
              <w:bottom w:val="nil"/>
              <w:right w:val="nil"/>
            </w:tcBorders>
            <w:noWrap/>
          </w:tcPr>
          <w:p w14:paraId="582C00CE"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4</w:t>
            </w:r>
          </w:p>
        </w:tc>
        <w:tc>
          <w:tcPr>
            <w:tcW w:w="599" w:type="pct"/>
            <w:tcBorders>
              <w:top w:val="nil"/>
              <w:left w:val="nil"/>
              <w:bottom w:val="nil"/>
              <w:right w:val="nil"/>
            </w:tcBorders>
          </w:tcPr>
          <w:p w14:paraId="2B27B77A" w14:textId="77777777" w:rsidR="0092413E" w:rsidRPr="00C94C6D" w:rsidRDefault="0092413E" w:rsidP="00786302">
            <w:pPr>
              <w:jc w:val="both"/>
              <w:rPr>
                <w:rFonts w:ascii="Times New Roman" w:hAnsi="Times New Roman" w:cs="Times New Roman"/>
              </w:rPr>
            </w:pPr>
            <w:r w:rsidRPr="00C94C6D">
              <w:rPr>
                <w:rFonts w:ascii="Times New Roman" w:hAnsi="Times New Roman" w:cs="Times New Roman"/>
              </w:rPr>
              <w:t>97</w:t>
            </w:r>
          </w:p>
        </w:tc>
        <w:tc>
          <w:tcPr>
            <w:tcW w:w="2194" w:type="pct"/>
            <w:tcBorders>
              <w:top w:val="nil"/>
              <w:left w:val="nil"/>
              <w:bottom w:val="nil"/>
              <w:right w:val="nil"/>
            </w:tcBorders>
            <w:noWrap/>
          </w:tcPr>
          <w:p w14:paraId="2DB69897"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Federal University of Santa Catarina</w:t>
            </w:r>
          </w:p>
        </w:tc>
        <w:tc>
          <w:tcPr>
            <w:tcW w:w="388" w:type="pct"/>
            <w:tcBorders>
              <w:top w:val="nil"/>
              <w:left w:val="nil"/>
              <w:bottom w:val="nil"/>
              <w:right w:val="nil"/>
            </w:tcBorders>
          </w:tcPr>
          <w:p w14:paraId="5108A774"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2005</w:t>
            </w:r>
          </w:p>
        </w:tc>
      </w:tr>
      <w:tr w:rsidR="0092413E" w:rsidRPr="00C94C6D" w14:paraId="22BCBC29" w14:textId="77777777" w:rsidTr="0092413E">
        <w:trPr>
          <w:trHeight w:val="288"/>
        </w:trPr>
        <w:tc>
          <w:tcPr>
            <w:tcW w:w="438" w:type="pct"/>
            <w:tcBorders>
              <w:top w:val="nil"/>
              <w:left w:val="nil"/>
              <w:bottom w:val="nil"/>
              <w:right w:val="nil"/>
            </w:tcBorders>
            <w:noWrap/>
            <w:hideMark/>
          </w:tcPr>
          <w:p w14:paraId="11223909"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8</w:t>
            </w:r>
          </w:p>
        </w:tc>
        <w:tc>
          <w:tcPr>
            <w:tcW w:w="1075" w:type="pct"/>
            <w:tcBorders>
              <w:top w:val="nil"/>
              <w:left w:val="nil"/>
              <w:bottom w:val="nil"/>
              <w:right w:val="nil"/>
            </w:tcBorders>
            <w:noWrap/>
          </w:tcPr>
          <w:p w14:paraId="68F2CAA9"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Juneja P</w:t>
            </w:r>
          </w:p>
        </w:tc>
        <w:tc>
          <w:tcPr>
            <w:tcW w:w="306" w:type="pct"/>
            <w:tcBorders>
              <w:top w:val="nil"/>
              <w:left w:val="nil"/>
              <w:bottom w:val="nil"/>
              <w:right w:val="nil"/>
            </w:tcBorders>
            <w:noWrap/>
          </w:tcPr>
          <w:p w14:paraId="45559EAB"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4</w:t>
            </w:r>
          </w:p>
        </w:tc>
        <w:tc>
          <w:tcPr>
            <w:tcW w:w="599" w:type="pct"/>
            <w:tcBorders>
              <w:top w:val="nil"/>
              <w:left w:val="nil"/>
              <w:bottom w:val="nil"/>
              <w:right w:val="nil"/>
            </w:tcBorders>
          </w:tcPr>
          <w:p w14:paraId="00B4E7D5"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7</w:t>
            </w:r>
          </w:p>
        </w:tc>
        <w:tc>
          <w:tcPr>
            <w:tcW w:w="2194" w:type="pct"/>
            <w:tcBorders>
              <w:top w:val="nil"/>
              <w:left w:val="nil"/>
              <w:bottom w:val="nil"/>
              <w:right w:val="nil"/>
            </w:tcBorders>
            <w:noWrap/>
          </w:tcPr>
          <w:p w14:paraId="372E8476"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Graphic Era Hill University</w:t>
            </w:r>
          </w:p>
        </w:tc>
        <w:tc>
          <w:tcPr>
            <w:tcW w:w="388" w:type="pct"/>
            <w:tcBorders>
              <w:top w:val="nil"/>
              <w:left w:val="nil"/>
              <w:bottom w:val="nil"/>
              <w:right w:val="nil"/>
            </w:tcBorders>
          </w:tcPr>
          <w:p w14:paraId="0E9C718C"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2016</w:t>
            </w:r>
          </w:p>
        </w:tc>
      </w:tr>
      <w:tr w:rsidR="0092413E" w:rsidRPr="00C94C6D" w14:paraId="1BE7839E" w14:textId="77777777" w:rsidTr="0092413E">
        <w:trPr>
          <w:trHeight w:val="288"/>
        </w:trPr>
        <w:tc>
          <w:tcPr>
            <w:tcW w:w="438" w:type="pct"/>
            <w:tcBorders>
              <w:top w:val="nil"/>
              <w:left w:val="nil"/>
              <w:right w:val="nil"/>
            </w:tcBorders>
            <w:noWrap/>
            <w:hideMark/>
          </w:tcPr>
          <w:p w14:paraId="3D8B427E"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9</w:t>
            </w:r>
          </w:p>
        </w:tc>
        <w:tc>
          <w:tcPr>
            <w:tcW w:w="1075" w:type="pct"/>
            <w:tcBorders>
              <w:top w:val="nil"/>
              <w:left w:val="nil"/>
              <w:right w:val="nil"/>
            </w:tcBorders>
            <w:noWrap/>
          </w:tcPr>
          <w:p w14:paraId="2282AE32"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Cristea SP</w:t>
            </w:r>
          </w:p>
        </w:tc>
        <w:tc>
          <w:tcPr>
            <w:tcW w:w="306" w:type="pct"/>
            <w:tcBorders>
              <w:top w:val="nil"/>
              <w:left w:val="nil"/>
              <w:right w:val="nil"/>
            </w:tcBorders>
            <w:noWrap/>
          </w:tcPr>
          <w:p w14:paraId="0A618684"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3</w:t>
            </w:r>
          </w:p>
        </w:tc>
        <w:tc>
          <w:tcPr>
            <w:tcW w:w="599" w:type="pct"/>
            <w:tcBorders>
              <w:top w:val="nil"/>
              <w:left w:val="nil"/>
              <w:right w:val="nil"/>
            </w:tcBorders>
          </w:tcPr>
          <w:p w14:paraId="5A721AF7" w14:textId="77777777" w:rsidR="0092413E" w:rsidRPr="00C94C6D" w:rsidRDefault="0092413E" w:rsidP="00786302">
            <w:pPr>
              <w:jc w:val="both"/>
              <w:rPr>
                <w:rFonts w:ascii="Times New Roman" w:hAnsi="Times New Roman" w:cs="Times New Roman"/>
              </w:rPr>
            </w:pPr>
            <w:r w:rsidRPr="00C94C6D">
              <w:rPr>
                <w:rFonts w:ascii="Times New Roman" w:hAnsi="Times New Roman" w:cs="Times New Roman"/>
              </w:rPr>
              <w:t>24</w:t>
            </w:r>
          </w:p>
        </w:tc>
        <w:tc>
          <w:tcPr>
            <w:tcW w:w="2194" w:type="pct"/>
            <w:tcBorders>
              <w:top w:val="nil"/>
              <w:left w:val="nil"/>
              <w:right w:val="nil"/>
            </w:tcBorders>
            <w:noWrap/>
          </w:tcPr>
          <w:p w14:paraId="66816B97"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Universidad de Valladolid</w:t>
            </w:r>
          </w:p>
        </w:tc>
        <w:tc>
          <w:tcPr>
            <w:tcW w:w="388" w:type="pct"/>
            <w:tcBorders>
              <w:top w:val="nil"/>
              <w:left w:val="nil"/>
              <w:right w:val="nil"/>
            </w:tcBorders>
          </w:tcPr>
          <w:p w14:paraId="0E097559"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2006</w:t>
            </w:r>
          </w:p>
        </w:tc>
      </w:tr>
      <w:tr w:rsidR="0092413E" w:rsidRPr="00C94C6D" w14:paraId="006398D9" w14:textId="77777777" w:rsidTr="0092413E">
        <w:trPr>
          <w:trHeight w:val="288"/>
        </w:trPr>
        <w:tc>
          <w:tcPr>
            <w:tcW w:w="438" w:type="pct"/>
            <w:tcBorders>
              <w:top w:val="nil"/>
              <w:left w:val="nil"/>
              <w:bottom w:val="single" w:sz="4" w:space="0" w:color="auto"/>
              <w:right w:val="nil"/>
            </w:tcBorders>
            <w:noWrap/>
            <w:hideMark/>
          </w:tcPr>
          <w:p w14:paraId="1BB1054A"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10</w:t>
            </w:r>
          </w:p>
        </w:tc>
        <w:tc>
          <w:tcPr>
            <w:tcW w:w="1075" w:type="pct"/>
            <w:tcBorders>
              <w:top w:val="nil"/>
              <w:left w:val="nil"/>
              <w:bottom w:val="single" w:sz="4" w:space="0" w:color="auto"/>
              <w:right w:val="nil"/>
            </w:tcBorders>
            <w:noWrap/>
          </w:tcPr>
          <w:p w14:paraId="7124A6E5"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Filho RM</w:t>
            </w:r>
          </w:p>
        </w:tc>
        <w:tc>
          <w:tcPr>
            <w:tcW w:w="306" w:type="pct"/>
            <w:tcBorders>
              <w:top w:val="nil"/>
              <w:left w:val="nil"/>
              <w:bottom w:val="single" w:sz="4" w:space="0" w:color="auto"/>
              <w:right w:val="nil"/>
            </w:tcBorders>
            <w:noWrap/>
          </w:tcPr>
          <w:p w14:paraId="2623962E"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3</w:t>
            </w:r>
          </w:p>
        </w:tc>
        <w:tc>
          <w:tcPr>
            <w:tcW w:w="599" w:type="pct"/>
            <w:tcBorders>
              <w:top w:val="nil"/>
              <w:left w:val="nil"/>
              <w:bottom w:val="single" w:sz="4" w:space="0" w:color="auto"/>
              <w:right w:val="nil"/>
            </w:tcBorders>
          </w:tcPr>
          <w:p w14:paraId="3E452745" w14:textId="77777777" w:rsidR="0092413E" w:rsidRPr="00C94C6D" w:rsidRDefault="0092413E" w:rsidP="00786302">
            <w:pPr>
              <w:jc w:val="both"/>
              <w:rPr>
                <w:rFonts w:ascii="Times New Roman" w:hAnsi="Times New Roman" w:cs="Times New Roman"/>
                <w:color w:val="2E2E2E"/>
                <w:shd w:val="clear" w:color="auto" w:fill="FFFFFF"/>
              </w:rPr>
            </w:pPr>
            <w:r w:rsidRPr="00C94C6D">
              <w:rPr>
                <w:rFonts w:ascii="Times New Roman" w:hAnsi="Times New Roman" w:cs="Times New Roman"/>
                <w:color w:val="2E2E2E"/>
                <w:shd w:val="clear" w:color="auto" w:fill="FFFFFF"/>
              </w:rPr>
              <w:t>49</w:t>
            </w:r>
          </w:p>
        </w:tc>
        <w:tc>
          <w:tcPr>
            <w:tcW w:w="2194" w:type="pct"/>
            <w:tcBorders>
              <w:top w:val="nil"/>
              <w:left w:val="nil"/>
              <w:bottom w:val="single" w:sz="4" w:space="0" w:color="auto"/>
              <w:right w:val="nil"/>
            </w:tcBorders>
            <w:noWrap/>
          </w:tcPr>
          <w:p w14:paraId="7E00639F"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eastAsia="Times New Roman" w:hAnsi="Times New Roman" w:cs="Times New Roman"/>
                <w:lang w:eastAsia="en-ID"/>
              </w:rPr>
              <w:t>University of Campinas</w:t>
            </w:r>
          </w:p>
        </w:tc>
        <w:tc>
          <w:tcPr>
            <w:tcW w:w="388" w:type="pct"/>
            <w:tcBorders>
              <w:top w:val="nil"/>
              <w:left w:val="nil"/>
              <w:bottom w:val="single" w:sz="4" w:space="0" w:color="auto"/>
              <w:right w:val="nil"/>
            </w:tcBorders>
          </w:tcPr>
          <w:p w14:paraId="6FFAB7A1" w14:textId="77777777" w:rsidR="0092413E" w:rsidRPr="00C94C6D" w:rsidRDefault="0092413E" w:rsidP="00786302">
            <w:pPr>
              <w:jc w:val="both"/>
              <w:rPr>
                <w:rFonts w:ascii="Times New Roman" w:eastAsia="Times New Roman" w:hAnsi="Times New Roman" w:cs="Times New Roman"/>
                <w:lang w:eastAsia="en-ID"/>
              </w:rPr>
            </w:pPr>
            <w:r w:rsidRPr="00C94C6D">
              <w:rPr>
                <w:rFonts w:ascii="Times New Roman" w:hAnsi="Times New Roman" w:cs="Times New Roman"/>
              </w:rPr>
              <w:t>2015</w:t>
            </w:r>
          </w:p>
        </w:tc>
      </w:tr>
    </w:tbl>
    <w:p w14:paraId="1DD5FA52" w14:textId="4B7CE4F1" w:rsidR="004269A5" w:rsidRPr="00F45A84" w:rsidRDefault="0092413E" w:rsidP="0092413E">
      <w:pPr>
        <w:tabs>
          <w:tab w:val="left" w:pos="2831"/>
        </w:tabs>
        <w:spacing w:before="240"/>
        <w:jc w:val="both"/>
        <w:rPr>
          <w:rFonts w:cs="Times New Roman"/>
          <w:i/>
          <w:iCs/>
          <w:sz w:val="24"/>
          <w:szCs w:val="24"/>
        </w:rPr>
      </w:pPr>
      <w:r>
        <w:rPr>
          <w:rFonts w:cs="Times New Roman"/>
          <w:i/>
          <w:iCs/>
          <w:sz w:val="24"/>
          <w:szCs w:val="24"/>
        </w:rPr>
        <w:t xml:space="preserve">                          </w:t>
      </w:r>
      <w:r w:rsidR="004269A5" w:rsidRPr="00F45A84">
        <w:rPr>
          <w:rFonts w:cs="Times New Roman"/>
          <w:i/>
          <w:iCs/>
          <w:sz w:val="24"/>
          <w:szCs w:val="24"/>
        </w:rPr>
        <w:t>TC= Total Citations, NP=total number of publications, FP=year of first publication</w:t>
      </w:r>
    </w:p>
    <w:p w14:paraId="34F0EA04"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Based on the total citations (TC) in Table 6, P. Vega and J.M. Zamarreño occupy the top positions as the most influential authors, each with 127 citations despite having only three publications. This indicates that their contributions are fundamental and have a long-term impact, especially through the development and application of neural predictive control and nonlinear MPC in sugar industry processes. Their initial work in the late 1990s became an important milestone in the application of artificial intelligence-based MPC in process units such as evaporators and melters in sugar mills </w:t>
      </w:r>
      <w:r w:rsidRPr="00F45A84">
        <w:rPr>
          <w:rFonts w:cs="Times New Roman"/>
          <w:sz w:val="24"/>
          <w:szCs w:val="24"/>
        </w:rPr>
        <w:fldChar w:fldCharType="begin"/>
      </w:r>
      <w:r w:rsidRPr="00F45A84">
        <w:rPr>
          <w:rFonts w:cs="Times New Roman"/>
          <w:sz w:val="24"/>
          <w:szCs w:val="24"/>
        </w:rPr>
        <w:instrText xml:space="preserve"> ADDIN ZOTERO_ITEM CSL_CITATION {"citationID":"d2GMX3yd","properties":{"formattedCitation":"(Zamarre\\uc0\\u241{}o et al., 2000; Zamarre\\uc0\\u241{}o &amp; Vega, 1997, 1999)","plainCitation":"(Zamarreño et al., 2000; Zamarreño &amp; Vega, 1997, 1999)","noteIndex":0},"citationItems":[{"id":18765,"uris":["http://zotero.org/users/12817968/items/43HHIWUJ"],"itemData":{"id":18765,"type":"article-journal","container-title":"Control Engineering Practice","DOI":"10.1016/S0967-0661(00)00045-9","ISSN":"09670661","issue":"9","journalAbbreviation":"Control Engineering Practice","language":"en","license":"https://www.elsevier.com/tdm/userlicense/1.0/","page":"1063-1075","source":"DOI.org (Crossref)","title":"State-space neural network for modelling, prediction and control","volume":"8","author":[{"family":"Zamarreño","given":"J.M"},{"family":"Vega","given":"P"},{"family":"Garcı́a","given":"L.D"},{"family":"Francisco","given":"M"}],"issued":{"date-parts":[["2000",9]]}}},{"id":18779,"uris":["http://zotero.org/users/12817968/items/VFSIYPGE"],"itemData":{"id":18779,"type":"article-journal","container-title":"Artificial Intelligence in Engineering","DOI":"10.1016/S0954-1810(96)00055-6","ISSN":"09541810","issue":"4","journalAbbreviation":"Artificial Intelligence in Engineering","language":"en","license":"https://www.elsevier.com/tdm/userlicense/1.0/","page":"365-373","source":"DOI.org (Crossref)","title":"Identification and predictive control of a melter unit used in the sugar industry","volume":"11","author":[{"family":"Zamarreño","given":"J.M."},{"family":"Vega","given":"P."}],"issued":{"date-parts":[["1997",10]]}}},{"id":18738,"uris":["http://zotero.org/users/12817968/items/WML4M9L9"],"itemData":{"id":18738,"type":"article-journal","container-title":"Engineering Applications of Artificial Intelligence","DOI":"10.1016/S0952-1976(98)00055-4","ISSN":"09521976","issue":"2","journalAbbreviation":"Engineering Applications of Artificial Intelligence","language":"en","license":"https://www.elsevier.com/tdm/userlicense/1.0/","page":"149-158","source":"DOI.org (Crossref)","title":"Neural predictive control. Application to a highly non-linear system","volume":"12","author":[{"family":"Zamarreño","given":"J.M."},{"family":"Vega","given":"P."}],"issued":{"date-parts":[["1999",4]]}}}],"schema":"https://github.com/citation-style-language/schema/raw/master/csl-citation.json"}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(Zamarreño et al., 2000; Zamarreño &amp; Vega, 1997, 1999) </w:t>
      </w:r>
      <w:r w:rsidRPr="00F45A84">
        <w:rPr>
          <w:rFonts w:cs="Times New Roman"/>
          <w:sz w:val="24"/>
          <w:szCs w:val="24"/>
        </w:rPr>
        <w:fldChar w:fldCharType="end"/>
      </w:r>
      <w:r w:rsidRPr="00F45A84">
        <w:rPr>
          <w:rFonts w:cs="Times New Roman"/>
          <w:sz w:val="24"/>
          <w:szCs w:val="24"/>
        </w:rPr>
        <w:t>.</w:t>
      </w:r>
    </w:p>
    <w:p w14:paraId="194E6735"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The next influential group of authors is Normey-Rico, Bordons, and Morato, who are widely recognized in the fields of advanced process control and economic MPC. Their contributions marked a shift from regulation-based MPC to hierarchical and plant-wide MPC, particularly in the context of energy optimization and process integration in sugarcane-based industries. Normey-Rico and Bordons' work has been widely cited in the development of multivariate MPC and constrained control, both in the sugar industry and in the related energy sector </w:t>
      </w:r>
      <w:r w:rsidRPr="00F45A84">
        <w:rPr>
          <w:rFonts w:cs="Times New Roman"/>
          <w:sz w:val="24"/>
          <w:szCs w:val="24"/>
        </w:rPr>
        <w:fldChar w:fldCharType="begin"/>
      </w:r>
      <w:r w:rsidRPr="00F45A84">
        <w:rPr>
          <w:rFonts w:cs="Times New Roman"/>
          <w:sz w:val="24"/>
          <w:szCs w:val="24"/>
        </w:rPr>
        <w:instrText xml:space="preserve"> ADDIN ZOTERO_ITEM CSL_CITATION {"citationID":"FcxEyEXC","properties":{"formattedCitation":"(Bordons &amp; Camacho, 1999; Menezes Morato et al., 2017; Vergara-Dietrich et al., 2019b)","plainCitation":"(Bordons &amp; Camacho, 1999; Menezes Morato et al., 2017; Vergara-Dietrich et al., 2019b)","noteIndex":0},"citationItems":[{"id":18780,"uris":["http://zotero.org/users/12817968/items/6V23ZXV8"],"itemData":{"id":18780,"type":"paper-conference","container-title":"1999 European Control Conference (ECC)","DOI":"10.23919/ECC.1999.7099508","event-place":"Karlsruhe","event-title":"1999 European Control Conference (ECC)","ISBN":"978-3-9524173-5-5","page":"1405-1410","publisher":"IEEE","publisher-place":"Karlsruhe","source":"DOI.org (Crossref)","title":"Application of simple cascade GPC with robust behaviour to a sugar refinery","URL":"https://ieeexplore.ieee.org/document/7099508/","author":[{"family":"Bordons","given":"C."},{"family":"Camacho","given":"E. F."}],"accessed":{"date-parts":[["2025",12,20]]},"issued":{"date-parts":[["1999",8]]}}},{"id":18756,"uris":["http://zotero.org/users/12817968/items/TEWZMXEY"],"itemData":{"id":18756,"type":"article-journal","abstract":"This study presents a control structure, based on model predictive control, applied to energy management optimisation in a sugar cane processing plant including renewable sources. The proposed energy plant is set upon a sugar cane processing industry and has to produce and maintain an amount of electric power throughout the year, defined by contract. This plant is, also, bound to produce flows of steam in different pressures, to comply to the demands of the production process of ethanol and sugar, from the sugar cane. The renewable sources in the system include photovoltaic, wind power generation and the use of biomass, from the remains of the sugar cane. The proposed control algorithm has the task of performing the management of which energy system to use (combined heat and power generation systems, boilers or others), maximise the use of renewable energy sources, maximise the gains of the boilers (that vary according to the biomass mixture used), manage the use of energy storages and supply the defined amount of energy. Simulation results show the satisfactory operation of the proposed control structure.","container-title":"IET Renewable Power Generation","DOI":"10.1049/iet-rpg.2016.0443","ISSN":"1752-1416, 1752-1424","issue":"8","journalAbbreviation":"IET Renewable Power Gen","language":"en","page":"1237-1245","source":"DOI.org (Crossref)","title":"Optimal operation of hybrid power systems including renewable sources in the sugar cane industry","volume":"11","author":[{"family":"Menezes Morato","given":"Marcelo"},{"family":"Da Costa Mendes","given":"Paulo Renato"},{"family":"Normey</w:instrText>
      </w:r>
      <w:r w:rsidRPr="00F45A84">
        <w:rPr>
          <w:rFonts w:ascii="Cambria Math" w:hAnsi="Cambria Math" w:cs="Cambria Math"/>
          <w:sz w:val="24"/>
          <w:szCs w:val="24"/>
        </w:rPr>
        <w:instrText>‐</w:instrText>
      </w:r>
      <w:r w:rsidRPr="00F45A84">
        <w:rPr>
          <w:rFonts w:cs="Times New Roman"/>
          <w:sz w:val="24"/>
          <w:szCs w:val="24"/>
        </w:rPr>
        <w:instrText xml:space="preserve">Rico","given":"Julio Elias"},{"family":"Bordons","given":"Carlos"}],"issued":{"date-parts":[["2017",6]]}}},{"id":18744,"uris":["http://zotero.org/users/12817968/items/TESXKJ6W"],"itemData":{"id":18744,"type":"article-journal","container-title":"Journal of Process Control","DOI":"10.1016/j.jprocont.2017.11.003","ISSN":"09591524","journalAbbreviation":"Journal of Process Control","language":"en","page":"120-132","source":"DOI.org (Crossref)","title":"Advanced chance-constrained predictive control for the efficient energy management of renewable power systems","volume":"74","author":[{"family":"Vergara-Dietrich","given":"José D."},{"family":"Morato","given":"Marcelo M."},{"family":"Mendes","given":"Paulo R.C."},{"family":"Cani","given":"Alex A."},{"family":"Normey-Rico","given":"Julio E."},{"family":"Bordons","given":"Carlos"}],"issued":{"date-parts":[["2019",2]]}}}],"schema":"https://github.com/citation-style-language/schema/raw/master/csl-citation.json"}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(Bordons &amp; Camacho, 1999; Menezes Morato et al., 2017; Vergara-Dietrich et al., 2019).</w:t>
      </w:r>
      <w:r w:rsidRPr="00F45A84">
        <w:rPr>
          <w:rFonts w:cs="Times New Roman"/>
          <w:sz w:val="24"/>
          <w:szCs w:val="24"/>
        </w:rPr>
        <w:fldChar w:fldCharType="end"/>
      </w:r>
    </w:p>
    <w:p w14:paraId="6FDA283B"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Authors from the Université de La Réunion, namely M. Benne and J.-P. Chabriat, also showed a very high influence with a TC of 94. Their collaboration focused on nonlinear modeling and neural network-based MPC for multi-effect evaporation systems in the sugar cane industry. Their research emphasized the importance of accurate predictive models to deal with nonlinearities and large disturbances in the evaporation process, making their work a main reference in MPC of thermal processes in the sugar industry </w:t>
      </w:r>
      <w:r w:rsidRPr="00F45A84">
        <w:rPr>
          <w:rFonts w:cs="Times New Roman"/>
          <w:sz w:val="24"/>
          <w:szCs w:val="24"/>
        </w:rPr>
        <w:fldChar w:fldCharType="begin"/>
      </w:r>
      <w:r w:rsidRPr="00F45A84">
        <w:rPr>
          <w:rFonts w:cs="Times New Roman"/>
          <w:sz w:val="24"/>
          <w:szCs w:val="24"/>
        </w:rPr>
        <w:instrText xml:space="preserve"> ADDIN ZOTERO_ITEM CSL_CITATION {"citationID":"lqBBnB7D","properties":{"formattedCitation":"(Benne et al., 2000; Cadet, Tour\\uc0\\u233{}, et al., 1999; Grondin-Perez et al., 2005)","plainCitation":"(Benne et al., 2000; Cadet, Touré, et al., 1999; Grondin-Perez et al., 2005)","noteIndex":0},"citationItems":[{"id":18761,"uris":["http://zotero.org/users/12817968/items/ADCJ3DZT"],"itemData":{"id":18761,"type":"article-journal","container-title":"Journal of Food Engineering","DOI":"10.1016/S0260-8774(00)00055-8","ISSN":"02608774","issue":"4","journalAbbreviation":"Journal of Food Engineering","language":"en","license":"https://www.elsevier.com/tdm/userlicense/1.0/","page":"227-234","source":"DOI.org (Crossref)","title":"Artificial neural networks for modelling and predictive control of an industrial evaporation process","volume":"46","author":[{"family":"Benne","given":"M"},{"family":"Grondin- Perez","given":"B"},{"family":"Chabriat","given":"J.-P"},{"family":"Hervé","given":"P"}],"issued":{"date-parts":[["2000",12]]}}},{"id":18749,"uris":["http://zotero.org/users/12817968/items/RYRYL72R"],"itemData":{"id":18749,"type":"article-journal","container-title":"Journal of Food Engineering","DOI":"10.1016/S0260-8774(99)00037-0","ISSN":"02608774","issue":"1-2","journalAbbreviation":"Journal of Food Engineering","language":"en","license":"https://www.elsevier.com/tdm/userlicense/1.0/","page":"59-70","source":"DOI.org (Crossref)","title":"Knowledge modeling and nonlinear predictive control of evaporators in cane sugar production plants","volume":"40","author":[{"family":"Cadet","given":"C."},{"family":"Touré","given":"Y."},{"family":"Gilles","given":"G."},{"family":"Chabriat","given":"J.P."}],"issued":{"date-parts":[["1999",5]]}}},{"id":18787,"uris":["http://zotero.org/users/12817968/items/VUCTPH6D"],"itemData":{"id":18787,"type":"article-journal","container-title":"Journal of Food Engineering","DOI":"10.1016/j.jfoodeng.2004.04.002","ISSN":"02608774","issue":"3","journalAbbreviation":"Journal of Food Engineering","language":"en","license":"https://www.elsevier.com/tdm/userlicense/1.0/","page":"361-367","source":"DOI.org (Crossref)","title":"Industrial multi-step forward predictor of mother liquor purity of the final stage of a cane sugar crystallisation plant","volume":"66","author":[{"family":"Grondin-Perez","given":"Brigitte"},{"family":"Benne","given":"Michel"},{"family":"Bonnecaze","given":"Christelle"},{"family":"Chabriat","given":"Jean-Pierre"}],"issued":{"date-parts":[["2005",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(Benne et al., 2000; Cadet, Touré, et al., 1999; Grondin-Perez et al., 2005) </w:t>
      </w:r>
      <w:r w:rsidRPr="00F45A84">
        <w:rPr>
          <w:rFonts w:cs="Times New Roman"/>
          <w:sz w:val="24"/>
          <w:szCs w:val="24"/>
        </w:rPr>
        <w:fldChar w:fldCharType="end"/>
      </w:r>
      <w:r w:rsidRPr="00F45A84">
        <w:rPr>
          <w:rFonts w:cs="Times New Roman"/>
          <w:sz w:val="24"/>
          <w:szCs w:val="24"/>
        </w:rPr>
        <w:t>.</w:t>
      </w:r>
    </w:p>
    <w:p w14:paraId="1F464051"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From the perspective of the number of publications (NP) in Table 7, C. de Prada and R. Mazaeda emerge as the most prolific authors. Although their total citations are not as high as those of Vega or Zamarreño, their consistent publications reflect their continued contributions to the development of plant-wide control, hierarchical MPC, and crystallization process optimization. Their role is crucial in expanding the application of MPC from the unit operation level to the entire plant system level, including in the sugar crystallization process </w:t>
      </w:r>
      <w:r w:rsidRPr="00F45A84">
        <w:rPr>
          <w:rFonts w:cs="Times New Roman"/>
          <w:sz w:val="24"/>
          <w:szCs w:val="24"/>
        </w:rPr>
        <w:fldChar w:fldCharType="begin"/>
      </w:r>
      <w:r w:rsidRPr="00F45A84">
        <w:rPr>
          <w:rFonts w:cs="Times New Roman"/>
          <w:sz w:val="24"/>
          <w:szCs w:val="24"/>
        </w:rPr>
        <w:instrText xml:space="preserve"> ADDIN ZOTERO_ITEM CSL_CITATION {"citationID":"d2aT7zln","properties":{"formattedCitation":"(De Prada et al., 2008; Mazaeda et al., 2015, 2020; Sarabia et al., 2007)","plainCitation":"(De Prada et al., 2008; Mazaeda et al., 2015, 2020; Sarabia et al., 2007)","noteIndex":0},"citationItems":[{"id":18789,"uris":["http://zotero.org/users/12817968/items/B5MH92SJ"],"itemData":{"id":18789,"type":"article-journal","abstract":"Abstract\n            This paper deals with the model predictive control (MPC) of an industrial hybrid process where continuous and batch units operate jointly: the crystallization section of a sugar factory. The paper describes a plant</w:instrText>
      </w:r>
      <w:r w:rsidRPr="00F45A84">
        <w:rPr>
          <w:rFonts w:ascii="Cambria Math" w:hAnsi="Cambria Math" w:cs="Cambria Math"/>
          <w:sz w:val="24"/>
          <w:szCs w:val="24"/>
        </w:rPr>
        <w:instrText>‐</w:instrText>
      </w:r>
      <w:r w:rsidRPr="00F45A84">
        <w:rPr>
          <w:rFonts w:cs="Times New Roman"/>
          <w:sz w:val="24"/>
          <w:szCs w:val="24"/>
        </w:rPr>
        <w:instrText>wide predictive controller that takes into account, both, continuous objectives and manipulated variables, as well as those related to the discrete operation and logic of the batch units. The MPC is formulated with time events, so that a more efficient NLP optimization technique, instead of MINLP, could be applied. Adaptation is provided by model updating and error estimation. Results of the controller operation in an industrial simulator are provided. Copyright © 2007 John Wiley &amp; Sons, Ltd.","container-title":"International Journal of Adaptive Control and Signal Processing","DOI":"10.1002/acs.983","ISSN":"0890-6327, 1099-1115","issue":"2","journalAbbreviation":"Adaptive Control &amp; Signal","language":"en","license":"http://onlinelibrary.wiley.com/termsAndConditions#vor","page":"124-141","source":"DOI.org (Crossref)","title":"Plant</w:instrText>
      </w:r>
      <w:r w:rsidRPr="00F45A84">
        <w:rPr>
          <w:rFonts w:ascii="Cambria Math" w:hAnsi="Cambria Math" w:cs="Cambria Math"/>
          <w:sz w:val="24"/>
          <w:szCs w:val="24"/>
        </w:rPr>
        <w:instrText>‐</w:instrText>
      </w:r>
      <w:r w:rsidRPr="00F45A84">
        <w:rPr>
          <w:rFonts w:cs="Times New Roman"/>
          <w:sz w:val="24"/>
          <w:szCs w:val="24"/>
        </w:rPr>
        <w:instrText>wide control of a hybrid process","volume":"22","author":[{"family":"De Prada","given":"C."},{"family":"Sarabia","given":"D."},{"family":"Cristea","given":"S."},{"family":"Mazaeda","given":"R."}],"issued":{"date-parts":[["2008",3]]}}},{"id":18788,"uris":["http://zotero.org/users/12817968/items/TT62LK7Z"],"itemData":{"id":18788,"type":"article-journal","container-title":"IFAC-PapersOnLine","DOI":"10.1016/j.ifacol.2015.09.133","ISSN":"24058963","issue":"8","journalAbbreviation":"IFAC-PapersOnLine","language":"en","license":"https://www.elsevier.com/tdm/userlicense/1.0/","page":"1210-1215","source":"DOI.org (Crossref)","title":"Plant-wide hierarchical optimal control of a crystallization process","volume":"48","author":[{"family":"Mazaeda","given":"Rogelio"},{"family":"Cristea","given":"Smaranda P."},{"family":"De Prada","given":"Cesar"}],"issued":{"date-parts":[["2015"]]}}},{"id":18764,"uris":["http://zotero.org/users/12817968/items/859ADSMN"],"itemData":{"id":18764,"type":"article-journal","abstract":"Summary\n            This paper deals with the optimal operation of processes that combine batch and continuous units. The proposed approach is based on a hierarchical architecture with two layers. The lower layer manages the optimal operation of the batch units in a noncentralized fashion, whereas the upper layer is concerned with the scheduling of the batch units and with their smooth integration with the continuous ones. The strategy has been applied to a challenging problem found at the interface of the fed</w:instrText>
      </w:r>
      <w:r w:rsidRPr="00F45A84">
        <w:rPr>
          <w:rFonts w:ascii="Cambria Math" w:hAnsi="Cambria Math" w:cs="Cambria Math"/>
          <w:sz w:val="24"/>
          <w:szCs w:val="24"/>
        </w:rPr>
        <w:instrText>‐</w:instrText>
      </w:r>
      <w:r w:rsidRPr="00F45A84">
        <w:rPr>
          <w:rFonts w:cs="Times New Roman"/>
          <w:sz w:val="24"/>
          <w:szCs w:val="24"/>
        </w:rPr>
        <w:instrText>batch crystallizers with the upstream evaporation section in beet sugar factories. The presented approach aims at designing a system that can effectively perform the plantwide economic optimization, specifically addressing the issue of energy efficiency, while complying with all process and operational constraints.","container-title":"Optimal Control Applications and Methods","DOI":"10.1002/oca.2535","ISSN":"0143-2087, 1099-1514","issue":"1","journalAbbreviation":"Optim Control Appl Methods","language":"en","page":"190-214","source":"DOI.org (Crossref)","title":"Hierarchically coordinated economic MPC plantwide control of mixed continuous</w:instrText>
      </w:r>
      <w:r w:rsidRPr="00F45A84">
        <w:rPr>
          <w:rFonts w:ascii="Cambria Math" w:hAnsi="Cambria Math" w:cs="Cambria Math"/>
          <w:sz w:val="24"/>
          <w:szCs w:val="24"/>
        </w:rPr>
        <w:instrText>‐</w:instrText>
      </w:r>
      <w:r w:rsidRPr="00F45A84">
        <w:rPr>
          <w:rFonts w:cs="Times New Roman"/>
          <w:sz w:val="24"/>
          <w:szCs w:val="24"/>
        </w:rPr>
        <w:instrText>batch units in process industries with application to a beet sugar plant","volume":"41","author":[{"family":"Mazaeda","given":"Rogelio"},{"family":"Cristea","given":"Smaranda P."},{"family":"De Prada","given":"C</w:instrText>
      </w:r>
      <w:r w:rsidRPr="00F45A84">
        <w:rPr>
          <w:sz w:val="24"/>
          <w:szCs w:val="24"/>
        </w:rPr>
        <w:instrText>é</w:instrText>
      </w:r>
      <w:r w:rsidRPr="00F45A84">
        <w:rPr>
          <w:rFonts w:cs="Times New Roman"/>
          <w:sz w:val="24"/>
          <w:szCs w:val="24"/>
        </w:rPr>
        <w:instrText xml:space="preserve">sar"}],"issued":{"date-parts":[["2020",1]]}}},{"id":18790,"uris":["http://zotero.org/users/12817968/items/2EW372SN"],"itemData":{"id":18790,"type":"chapter","container-title":"Assessment and Future Directions of Nonlinear Model Predictive Control","event-place":"Berlin, Heidelberg","ISBN":"978-3-540-72698-2","note":"collection-title: Lecture Notes in Control and Information Sciences\nDOI: 10.1007/978-3-540-72699-9_41","page":"495-502","publisher":"Springer Berlin Heidelberg","publisher-place":"Berlin, Heidelberg","source":"DOI.org (Crossref)","title":"Hybrid NMPC Control of a Sugar House","URL":"http://link.springer.com/10.1007/978-3-540-72699-9_41","volume":"358","collection-editor":[{"family":"Thoma","given":"M."},{"family":"Morari","given":"M."}],"editor":[{"family":"Findeisen","given":"Rolf"},{"family":"Allgöwer","given":"Frank"},{"family":"Biegler","given":"Lorenz T."}],"author":[{"family":"Sarabia","given":"D."},{"family":"De Prada","given":"C."},{"family":"Cristea","given":"S."},{"family":"Mazaeda","given":"R."},{"family":"Colmenares","given":"W."}],"accessed":{"date-parts":[["2025",12,20]]},"issued":{"date-parts":[["2007"]]}}}],"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(De Prada et al., 2008; Mazaeda et al., 2015, 2020; Sarabia et al., 2007) </w:t>
      </w:r>
      <w:r w:rsidRPr="00F45A84">
        <w:rPr>
          <w:rFonts w:cs="Times New Roman"/>
          <w:sz w:val="24"/>
          <w:szCs w:val="24"/>
        </w:rPr>
        <w:fldChar w:fldCharType="end"/>
      </w:r>
      <w:r w:rsidRPr="00F45A84">
        <w:rPr>
          <w:rFonts w:cs="Times New Roman"/>
          <w:sz w:val="24"/>
          <w:szCs w:val="24"/>
        </w:rPr>
        <w:t>.</w:t>
      </w:r>
    </w:p>
    <w:p w14:paraId="651E3805"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The presence of authors from South Asia, such as S.K. Sunori and P. Juneja from India, demonstrates the geographic diffusion of MPC research in the sugar industry over the </w:t>
      </w:r>
      <w:r w:rsidRPr="00F45A84">
        <w:rPr>
          <w:rFonts w:cs="Times New Roman"/>
          <w:sz w:val="24"/>
          <w:szCs w:val="24"/>
        </w:rPr>
        <w:lastRenderedPageBreak/>
        <w:t xml:space="preserve">past decade. Despite their relatively lower citation count, these contributions signal a growing focus on the application of MPC and predictive control in sugar mills in developing countries, which typically face challenges in energy efficiency, product quality, and control system modernization </w:t>
      </w:r>
      <w:r w:rsidRPr="00F45A84">
        <w:rPr>
          <w:rFonts w:cs="Times New Roman"/>
          <w:sz w:val="24"/>
          <w:szCs w:val="24"/>
        </w:rPr>
        <w:fldChar w:fldCharType="begin"/>
      </w:r>
      <w:r w:rsidRPr="00F45A84">
        <w:rPr>
          <w:rFonts w:cs="Times New Roman"/>
          <w:sz w:val="24"/>
          <w:szCs w:val="24"/>
        </w:rPr>
        <w:instrText xml:space="preserve"> ADDIN ZOTERO_ITEM CSL_CITATION {"citationID":"P5EMAR5r","properties":{"formattedCitation":"(Sunori et al., 2016, 2021, 2022)","plainCitation":"(Sunori et al., 2016, 2021, 2022)","noteIndex":0},"citationItems":[{"id":18757,"uris":["http://zotero.org/users/12817968/items/CTBCQ7EE"],"itemData":{"id":18757,"type":"paper-conference","container-title":"2016 8th International Conference on Computational Intelligence and Communication Networks (CICN)","DOI":"10.1109/CICN.2016.99","event-place":"Tehri, India","event-title":"2016 8th International Conference on Computational Intelligence and Communication Networks (CICN)","ISBN":"978-1-5090-1144-5","page":"480-482","publisher":"IEEE","publisher-place":"Tehri, India","source":"DOI.org (Crossref)","title":"Design and Analysis of Control Systems for Heat Exchanger System of Sugar Mill","URL":"http://ieeexplore.ieee.org/document/8082691/","author":[{"family":"Sunori","given":"Sandeep Kumar"},{"family":"Juneja","given":"Pradeep Kumar"},{"family":"Chaturvedi","given":"Mayank"},{"family":"Agarwal","given":"Niharika"}],"accessed":{"date-parts":[["2025",12,19]]},"issued":{"date-parts":[["2016",12]]}}},{"id":18793,"uris":["http://zotero.org/users/12817968/items/9GUJVN6Q"],"itemData":{"id":18793,"type":"paper-conference","container-title":"2021 Second International Conference on Electronics and Sustainable Communication Systems (ICESC)","DOI":"10.1109/ICESC51422.2021.9532703","event-place":"Coimbatore, India","event-title":"2021 Second International Conference on Electronics and Sustainable Communication Systems (ICESC)","ISBN":"978-1-6654-2867-5","license":"https://ieeexplore.ieee.org/Xplorehelp/downloads/license-information/IEEE.html","page":"312-319","publisher":"IEEE","publisher-place":"Coimbatore, India","source":"DOI.org (Crossref)","title":"Model Identification and MPC based control of Heat Exchanger System of Sugar Crystallizer","URL":"https://ieeexplore.ieee.org/document/9532703/","author":[{"family":"Sunori","given":"Sandeep Kumar"},{"family":"Singh","given":"Govind"},{"family":"Maurya","given":"Sudhanshu"},{"family":"Mittal","given":"Amit"},{"family":"Arora","given":"Shweta"},{"family":"Juneja","given":"Pradeep"}],"accessed":{"date-parts":[["2025",12,20]]},"issued":{"date-parts":[["2021",8,4]]}}},{"id":18791,"uris":["http://zotero.org/users/12817968/items/WBDAZTMC"],"itemData":{"id":18791,"type":"paper-conference","container-title":"2022 6th International Conference on Computing Methodologies and Communication (ICCMC)","DOI":"10.1109/ICCMC53470.2022.9753728","event-place":"Erode, India","event-title":"2022 6th International Conference on Computing Methodologies and Communication (ICCMC)","ISBN":"978-1-6654-1028-1","license":"https://doi.org/10.15223/policy-029","page":"464-468","publisher":"IEEE","publisher-place":"Erode, India","source":"DOI.org (Crossref)","title":"Controller Design for Dead Time Approximated Model of Juice Extraction Unit of Sugar Factory","URL":"https://ieeexplore.ieee.org/document/9753728/","author":[{"family":"Sunori","given":"Sandeep Kumar"},{"family":"Singh Jethi","given":"Govind"},{"family":"Arora","given":"Shweta"},{"family":"Mittal","given":"Amit"},{"family":"Khan","given":"Farha"},{"family":"Juneja","given":"Pradeep"}],"accessed":{"date-parts":[["2025",12,20]]},"issued":{"date-parts":[["2022",3,29]]}}}],"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(Sunori et al., 2016, 2021, 2022) </w:t>
      </w:r>
      <w:r w:rsidRPr="00F45A84">
        <w:rPr>
          <w:rFonts w:cs="Times New Roman"/>
          <w:sz w:val="24"/>
          <w:szCs w:val="24"/>
        </w:rPr>
        <w:fldChar w:fldCharType="end"/>
      </w:r>
      <w:r w:rsidRPr="00F45A84">
        <w:rPr>
          <w:rFonts w:cs="Times New Roman"/>
          <w:sz w:val="24"/>
          <w:szCs w:val="24"/>
        </w:rPr>
        <w:t>.</w:t>
      </w:r>
    </w:p>
    <w:p w14:paraId="5357F46D"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Based on Figure 8, the co-citation network of authors in MPC research in the sugar industry forms several main, interconnected clusters, indicating a strong and multi-layered scientific foundation. The red cluster appears to be the core of the network and is dominated by authors such as Bordons, C., Morato, MM, De Prada, C., and Cristea, SP, who are widely known for their work on MPC, economic MPC, and hierarchical control. The central position of this cluster indicates that their works are frequently referenced across topics, particularly on integrated control and process optimization in the sugar and energy industries </w:t>
      </w:r>
      <w:r w:rsidRPr="00F45A84">
        <w:rPr>
          <w:rFonts w:cs="Times New Roman"/>
          <w:sz w:val="24"/>
          <w:szCs w:val="24"/>
        </w:rPr>
        <w:fldChar w:fldCharType="begin"/>
      </w:r>
      <w:r w:rsidRPr="00F45A84">
        <w:rPr>
          <w:rFonts w:cs="Times New Roman"/>
          <w:sz w:val="24"/>
          <w:szCs w:val="24"/>
        </w:rPr>
        <w:instrText xml:space="preserve"> ADDIN ZOTERO_ITEM CSL_CITATION {"citationID":"8lX88LAP","properties":{"formattedCitation":"(Bordons &amp; Camacho, 1999; De Prada et al., 2008; Menezes Morato et al., 2017; Vergara-Dietrich et al., 2019b)","plainCitation":"(Bordons &amp; Camacho, 1999; De Prada et al., 2008; Menezes Morato et al., 2017; Vergara-Dietrich et al., 2019b)","noteIndex":0},"citationItems":[{"id":18780,"uris":["http://zotero.org/users/12817968/items/6V23ZXV8"],"itemData":{"id":18780,"type":"paper-conference","container-title":"1999 European Control Conference (ECC)","DOI":"10.23919/ECC.1999.7099508","event-place":"Karlsruhe","event-title":"1999 European Control Conference (ECC)","ISBN":"978-3-9524173-5-5","page":"1405-1410","publisher":"IEEE","publisher-place":"Karlsruhe","source":"DOI.org (Crossref)","title":"Application of simple cascade GPC with robust behaviour to a sugar refinery","URL":"https://ieeexplore.ieee.org/document/7099508/","author":[{"family":"Bordons","given":"C."},{"family":"Camacho","given":"E. F."}],"accessed":{"date-parts":[["2025",12,20]]},"issued":{"date-parts":[["1999",8]]}}},{"id":18789,"uris":["http://zotero.org/users/12817968/items/B5MH92SJ"],"itemData":{"id":18789,"type":"article-journal","abstract":"Abstract\n            This paper deals with the model predictive control (MPC) of an industrial hybrid process where continuous and batch units operate jointly: the crystallization section of a sugar factory. The paper describes a plant</w:instrText>
      </w:r>
      <w:r w:rsidRPr="00F45A84">
        <w:rPr>
          <w:rFonts w:ascii="Cambria Math" w:hAnsi="Cambria Math" w:cs="Cambria Math"/>
          <w:sz w:val="24"/>
          <w:szCs w:val="24"/>
        </w:rPr>
        <w:instrText>‐</w:instrText>
      </w:r>
      <w:r w:rsidRPr="00F45A84">
        <w:rPr>
          <w:rFonts w:cs="Times New Roman"/>
          <w:sz w:val="24"/>
          <w:szCs w:val="24"/>
        </w:rPr>
        <w:instrText>wide predictive controller that takes into account, both, continuous objectives and manipulated variables, as well as those related to the discrete operation and logic of the batch units. The MPC is formulated with time events, so that a more efficient NLP optimization technique, instead of MINLP, could be applied. Adaptation is provided by model updating and error estimation. Results of the controller operation in an industrial simulator are provided. Copyright © 2007 John Wiley &amp; Sons, Ltd.","container-title":"International Journal of Adaptive Control and Signal Processing","DOI":"10.1002/acs.983","ISSN":"0890-6327, 1099-1115","issue":"2","journalAbbreviation":"Adaptive Control &amp; Signal","language":"en","license":"http://onlinelibrary.wiley.com/termsAndConditions#vor","page":"124-141","source":"DOI.org (Crossref)","title":"Plant</w:instrText>
      </w:r>
      <w:r w:rsidRPr="00F45A84">
        <w:rPr>
          <w:rFonts w:ascii="Cambria Math" w:hAnsi="Cambria Math" w:cs="Cambria Math"/>
          <w:sz w:val="24"/>
          <w:szCs w:val="24"/>
        </w:rPr>
        <w:instrText>‐</w:instrText>
      </w:r>
      <w:r w:rsidRPr="00F45A84">
        <w:rPr>
          <w:rFonts w:cs="Times New Roman"/>
          <w:sz w:val="24"/>
          <w:szCs w:val="24"/>
        </w:rPr>
        <w:instrText>wide control of a hybrid process","volume":"22","author":[{"family":"De Prada","given":"C."},{"family":"Sarabia","given":"D."},{"family":"Cristea","given":"S."},{"family":"Mazaeda","given":"R."}],"issued":{"date-parts":[["2008",3]]}}},{"id":18756,"uris":["http://zotero.org/users/12817968/items/TEWZMXEY"],"itemData":{"id":18756,"type":"article-journal","abstract":"This study presents a control structure, based on model predictive control, applied to energy management optimisation in a sugar cane processing plant including renewable sources. The proposed energy plant is set upon a sugar cane processing industry and has to produce and maintain an amount of electric power throughout the year, defined by contract. This plant is, also, bound to produce flows of steam in different pressures, to comply to the demands of the production process of ethanol and sugar, from the sugar cane. The renewable sources in the system include photovoltaic, wind power generation and the use of biomass, from the remains of the sugar cane. The proposed control algorithm has the task of performing the management of which energy system to use (combined heat and power generation systems, boilers or others), maximise the use of renewable energy sources, maximise the gains of the boilers (that vary according to the biomass mixture used), manage the use of energy storages and supply the defined amount of energy. Simulation results show the satisfactory operation of the proposed control structure.","container-title":"IET Renewable Power Generation","DOI":"10.1049/iet-rpg.2016.0443","ISSN":"1752-1416, 1752-1424","issue":"8","journalAbbreviation":"IET Renewable Power Gen","language":"en","page":"1237-1245","source":"DOI.org (Crossref)","title":"Optimal operation of hybrid power systems including renewable sources in the sugar cane industry","volume":"11","author":[{"family":"Menezes Morato","given":"Marcelo"},{"family":"Da Costa Mendes","given":"Paulo Renato"},{"family":"Normey</w:instrText>
      </w:r>
      <w:r w:rsidRPr="00F45A84">
        <w:rPr>
          <w:rFonts w:ascii="Cambria Math" w:hAnsi="Cambria Math" w:cs="Cambria Math"/>
          <w:sz w:val="24"/>
          <w:szCs w:val="24"/>
        </w:rPr>
        <w:instrText>‐</w:instrText>
      </w:r>
      <w:r w:rsidRPr="00F45A84">
        <w:rPr>
          <w:rFonts w:cs="Times New Roman"/>
          <w:sz w:val="24"/>
          <w:szCs w:val="24"/>
        </w:rPr>
        <w:instrText xml:space="preserve">Rico","given":"Julio Elias"},{"family":"Bordons","given":"Carlos"}],"issued":{"date-parts":[["2017",6]]}}},{"id":18744,"uris":["http://zotero.org/users/12817968/items/TESXKJ6W"],"itemData":{"id":18744,"type":"article-journal","container-title":"Journal of Process Control","DOI":"10.1016/j.jprocont.2017.11.003","ISSN":"09591524","journalAbbreviation":"Journal of Process Control","language":"en","page":"120-132","source":"DOI.org (Crossref)","title":"Advanced chance-constrained predictive control for the efficient energy management of renewable power systems","volume":"74","author":[{"family":"Vergara-Dietrich","given":"José D."},{"family":"Morato","given":"Marcelo M."},{"family":"Mendes","given":"Paulo R.C."},{"family":"Cani","given":"Alex A."},{"family":"Normey-Rico","given":"Julio E."},{"family":"Bordons","given":"Carlos"}],"issued":{"date-parts":[["2019",2]]}}}],"schema":"https://github.com/citation-style-language/schema/raw/master/csl-citation.json"}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(Bordons &amp; Camacho, 1999; De Prada et al., 2008; Menezes Morato et al., 2017; Vergara-Dietrich et al., 2019) </w:t>
      </w:r>
      <w:r w:rsidRPr="00F45A84">
        <w:rPr>
          <w:rFonts w:cs="Times New Roman"/>
          <w:sz w:val="24"/>
          <w:szCs w:val="24"/>
        </w:rPr>
        <w:fldChar w:fldCharType="end"/>
      </w:r>
      <w:r w:rsidRPr="00F45A84">
        <w:rPr>
          <w:rFonts w:cs="Times New Roman"/>
          <w:sz w:val="24"/>
          <w:szCs w:val="24"/>
        </w:rPr>
        <w:t>.</w:t>
      </w:r>
    </w:p>
    <w:p w14:paraId="7048E6EA"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The green cluster represents strong contributions to advanced nonlinear and model-based MPC, with authors such as Georgieva, P., De Azevedo, S.F., and Grondin-Perez, B. This cluster is largely concerned with MPC applications in batch and semi-continuous processes, including crystallization and evaporation, which are key unit operations in the sugar industry. The close relationship between the green and red clusters suggests that nonlinear approaches and economic optimization are evolving as a natural extension of classical MPC </w:t>
      </w:r>
      <w:r w:rsidRPr="00F45A84">
        <w:rPr>
          <w:rFonts w:cs="Times New Roman"/>
          <w:sz w:val="24"/>
          <w:szCs w:val="24"/>
        </w:rPr>
        <w:fldChar w:fldCharType="begin"/>
      </w:r>
      <w:r w:rsidRPr="00F45A84">
        <w:rPr>
          <w:rFonts w:cs="Times New Roman"/>
          <w:sz w:val="24"/>
          <w:szCs w:val="24"/>
        </w:rPr>
        <w:instrText xml:space="preserve"> ADDIN ZOTERO_ITEM CSL_CITATION {"citationID":"NiYEbZL5","properties":{"formattedCitation":"(Benne et al., 2000; Grondin-Perez et al., 2005; Paz Su\\uc0\\u225{}rez et al., 2011)","plainCitation":"(Benne et al., 2000; Grondin-Perez et al., 2005; Paz Suárez et al., 2011)","noteIndex":0},"citationItems":[{"id":18761,"uris":["http://zotero.org/users/12817968/items/ADCJ3DZT"],"itemData":{"id":18761,"type":"article-journal","container-title":"Journal of Food Engineering","DOI":"10.1016/S0260-8774(00)00055-8","ISSN":"02608774","issue":"4","journalAbbreviation":"Journal of Food Engineering","language":"en","license":"https://www.elsevier.com/tdm/userlicense/1.0/","page":"227-234","source":"DOI.org (Crossref)","title":"Artificial neural networks for modelling and predictive control of an industrial evaporation process","volume":"46","author":[{"family":"Benne","given":"M"},{"family":"Grondin- Perez","given":"B"},{"family":"Chabriat","given":"J.-P"},{"family":"Hervé","given":"P"}],"issued":{"date-parts":[["2000",12]]}}},{"id":18787,"uris":["http://zotero.org/users/12817968/items/VUCTPH6D"],"itemData":{"id":18787,"type":"article-journal","container-title":"Journal of Food Engineering","DOI":"10.1016/j.jfoodeng.2004.04.002","ISSN":"02608774","issue":"3","journalAbbreviation":"Journal of Food Engineering","language":"en","license":"https://www.elsevier.com/tdm/userlicense/1.0/","page":"361-367","source":"DOI.org (Crossref)","title":"Industrial multi-step forward predictor of mother liquor purity of the final stage of a cane sugar crystallisation plant","volume":"66","author":[{"family":"Grondin-Perez","given":"Brigitte"},{"family":"Benne","given":"Michel"},{"family":"Bonnecaze","given":"Christelle"},{"family":"Chabriat","given":"Jean-Pierre"}],"issued":{"date-parts":[["2005",2]]}}},{"id":18794,"uris":["http://zotero.org/users/12817968/items/DU4MYKCN"],"itemData":{"id":18794,"type":"article-journal","container-title":"Chemical Engineering Research and Design","DOI":"10.1016/j.cherd.2010.10.010","ISSN":"02638762","issue":"6","journalAbbreviation":"Chemical Engineering Research and Design","language":"en","license":"https://www.elsevier.com/tdm/userlicense/1.0/","page":"753-767","source":"DOI.org (Crossref)","title":"Nonlinear MPC for fed-batch multiple stages sugar crystallization","volume":"89","author":[{"family":"Paz Suárez","given":"Luis Alberto"},{"family":"Georgieva","given":"Petia"},{"family":"Feyo De Azevedo","given":"Sebastião"}],"issued":{"date-parts":[["2011",6]]}}}],"schema":"https://github.com/citation-style-language/schema/raw/master/csl-citation.json"}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(Benne et al., 2000; Grondin-Perez et al., 2005; Paz Suárez et al., 2011) </w:t>
      </w:r>
      <w:r w:rsidRPr="00F45A84">
        <w:rPr>
          <w:rFonts w:cs="Times New Roman"/>
          <w:sz w:val="24"/>
          <w:szCs w:val="24"/>
        </w:rPr>
        <w:fldChar w:fldCharType="end"/>
      </w:r>
      <w:r w:rsidRPr="00F45A84">
        <w:rPr>
          <w:rFonts w:cs="Times New Roman"/>
          <w:sz w:val="24"/>
          <w:szCs w:val="24"/>
        </w:rPr>
        <w:t>.</w:t>
      </w:r>
    </w:p>
    <w:p w14:paraId="37CF9FBC"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Meanwhile, the smaller blue cluster shows authors such as Görgens, JF and Nebra, SA, who have contributed significantly to the integration of MPC with sugarcane-based energy and bioenergy systems, such as cogeneration and biomass utilization. The relationship of this cluster with the main cluster shows that MPC research in the sugar industry is not only focused on process quality, but is also increasingly directed towards energy efficiency and sustainability of production systems ( </w:t>
      </w:r>
      <w:r w:rsidRPr="00F45A84">
        <w:rPr>
          <w:rFonts w:cs="Times New Roman"/>
          <w:sz w:val="24"/>
          <w:szCs w:val="24"/>
        </w:rPr>
        <w:fldChar w:fldCharType="begin"/>
      </w:r>
      <w:r w:rsidRPr="00F45A84">
        <w:rPr>
          <w:rFonts w:cs="Times New Roman"/>
          <w:sz w:val="24"/>
          <w:szCs w:val="24"/>
        </w:rPr>
        <w:instrText xml:space="preserve"> ADDIN ZOTERO_ITEM CSL_CITATION {"citationID":"qT5c92gq","properties":{"formattedCitation":"(Mandegari et al., 2017; Pina et al., 2017)","plainCitation":"(Mandegari et al., 2017; Pina et al., 2017)","noteIndex":0},"citationItems":[{"id":18737,"uris":["http://zotero.org/users/12817968/items/VXGIS4WA"],"itemData":{"id":18737,"type":"article-journal","abstract":"Abstract\n            Biorefineries are regarded as a key enabler to facilitate the transition toward a sustainable and low carbon bioeconomy. In this study, alternative lignocellulose biorefineries annexed to a typical sugar mill were investigated to co</w:instrText>
      </w:r>
      <w:r w:rsidRPr="00F45A84">
        <w:rPr>
          <w:rFonts w:ascii="Cambria Math" w:hAnsi="Cambria Math" w:cs="Cambria Math"/>
          <w:sz w:val="24"/>
          <w:szCs w:val="24"/>
        </w:rPr>
        <w:instrText>‐</w:instrText>
      </w:r>
      <w:r w:rsidRPr="00F45A84">
        <w:rPr>
          <w:rFonts w:cs="Times New Roman"/>
          <w:sz w:val="24"/>
          <w:szCs w:val="24"/>
        </w:rPr>
        <w:instrText>produce ethanol (EtOH), lactic acid (LA), and/or electricity, utilizing bagasse and a component of harvesting residues (brown leaves) as feedstock. Studied scenarios included EtOH as the sole product from glucose and xylose (Scenario 1), LA as the sole product from these two sugars (Scenario 2), EtOH from glucose and LA from xylose (Scenario 3), and EtOH from xylose and LA from glucose (Scenario 4), all of which were associated with some level of export electricity production. Aspen Plus® simulations of the scenarios were developed considering all supplementary units, such as evaporation, water treatment, boiler, and steam/power generation in addition to the process units required for the main product streams. Economic evaluation, energy assessment, and environmental life cycle assessment (LCA) were carried out on the developed simulations, in a multi</w:instrText>
      </w:r>
      <w:r w:rsidRPr="00F45A84">
        <w:rPr>
          <w:rFonts w:ascii="Cambria Math" w:hAnsi="Cambria Math" w:cs="Cambria Math"/>
          <w:sz w:val="24"/>
          <w:szCs w:val="24"/>
        </w:rPr>
        <w:instrText>‐</w:instrText>
      </w:r>
      <w:r w:rsidRPr="00F45A84">
        <w:rPr>
          <w:rFonts w:cs="Times New Roman"/>
          <w:sz w:val="24"/>
          <w:szCs w:val="24"/>
        </w:rPr>
        <w:instrText>criteria analysis of the desirability of each scenario. To service the combined energy demands of a sugar mill and annexed biorefinery, a 35 to 40% bypass of lignocellulose directly to the boiler section was required to achieve integrated scenarios that were energy self</w:instrText>
      </w:r>
      <w:r w:rsidRPr="00F45A84">
        <w:rPr>
          <w:rFonts w:ascii="Cambria Math" w:hAnsi="Cambria Math" w:cs="Cambria Math"/>
          <w:sz w:val="24"/>
          <w:szCs w:val="24"/>
        </w:rPr>
        <w:instrText>‐</w:instrText>
      </w:r>
      <w:r w:rsidRPr="00F45A84">
        <w:rPr>
          <w:rFonts w:cs="Times New Roman"/>
          <w:sz w:val="24"/>
          <w:szCs w:val="24"/>
        </w:rPr>
        <w:instrText>sufficient, i.e., not dependent on external (fossil) energy sources. Scenario 2 was economically most attractive with the highest internal rate of return (IRR) of 31.1%, whereas Scenario 1 had the lowest IRR of 10.0%. Scenarios 2 and 4 were economically the most robust, with the least sensitivity to variations in the key economic drivers, i.e., EtOH, LA and enzymes. The LCA suggested that LA producing scenarios introduced environmental burdens that were marginally higher than Scenario 1, due to higher consumption of processing chemicals. Overall, Scenario 4 was found to be the most desirable biorefinery scenario, by balancing financial and environmental considerations. © 2017 Society of Chemical Industry and John Wiley &amp; Sons, Ltd","container-title":"Biofuels, Bioproducts and Biorefining","DOI":"10.1002/bbb.1801","ISSN":"1932-104X, 1932-1031","issue":"6","journalAbbreviation":"Biofuels Bioprod Bioref","language":"en","page":"971-990","source":"DOI.org (Crossref)","title":"Multi</w:instrText>
      </w:r>
      <w:r w:rsidRPr="00F45A84">
        <w:rPr>
          <w:rFonts w:ascii="Cambria Math" w:hAnsi="Cambria Math" w:cs="Cambria Math"/>
          <w:sz w:val="24"/>
          <w:szCs w:val="24"/>
        </w:rPr>
        <w:instrText>‐</w:instrText>
      </w:r>
      <w:r w:rsidRPr="00F45A84">
        <w:rPr>
          <w:rFonts w:cs="Times New Roman"/>
          <w:sz w:val="24"/>
          <w:szCs w:val="24"/>
        </w:rPr>
        <w:instrText>criteria analysis of a biorefinery for co</w:instrText>
      </w:r>
      <w:r w:rsidRPr="00F45A84">
        <w:rPr>
          <w:rFonts w:ascii="Cambria Math" w:hAnsi="Cambria Math" w:cs="Cambria Math"/>
          <w:sz w:val="24"/>
          <w:szCs w:val="24"/>
        </w:rPr>
        <w:instrText>‐</w:instrText>
      </w:r>
      <w:r w:rsidRPr="00F45A84">
        <w:rPr>
          <w:rFonts w:cs="Times New Roman"/>
          <w:sz w:val="24"/>
          <w:szCs w:val="24"/>
        </w:rPr>
        <w:instrText>production of lactic acid and ethanol from sugarcane lignocellulose","volume":"11","author":[{"family":"Mandegari","given":"Mohsen Ali"},{"family":"Farzad","given":"Somayeh"},{"family":"Van Rensburg","given":"Eug</w:instrText>
      </w:r>
      <w:r w:rsidRPr="00F45A84">
        <w:rPr>
          <w:sz w:val="24"/>
          <w:szCs w:val="24"/>
        </w:rPr>
        <w:instrText>é</w:instrText>
      </w:r>
      <w:r w:rsidRPr="00F45A84">
        <w:rPr>
          <w:rFonts w:cs="Times New Roman"/>
          <w:sz w:val="24"/>
          <w:szCs w:val="24"/>
        </w:rPr>
        <w:instrText>ne"},{"family":"G</w:instrText>
      </w:r>
      <w:r w:rsidRPr="00F45A84">
        <w:rPr>
          <w:sz w:val="24"/>
          <w:szCs w:val="24"/>
        </w:rPr>
        <w:instrText>ö</w:instrText>
      </w:r>
      <w:r w:rsidRPr="00F45A84">
        <w:rPr>
          <w:rFonts w:cs="Times New Roman"/>
          <w:sz w:val="24"/>
          <w:szCs w:val="24"/>
        </w:rPr>
        <w:instrText xml:space="preserve">rgens","given":"Johann F."}],"issued":{"date-parts":[["2017",11]]}}},{"id":18741,"uris":["http://zotero.org/users/12817968/items/E828N99P"],"itemData":{"id":18741,"type":"article-journal","container-title":"Energy","DOI":"10.1016/j.energy.2015.06.054","ISSN":"03605442","journalAbbreviation":"Energy","language":"en","page":"1263-1280","source":"DOI.org (Crossref)","title":"Reduction of process steam demand and water-usage through heat integration in sugar and ethanol production from sugarcane – Evaluation of different plant configurations","volume":"138","author":[{"family":"Pina","given":"Eduardo A."},{"family":"Palacios-Bereche","given":"Reynaldo"},{"family":"Chavez-Rodriguez","given":"Mauro F."},{"family":"Ensinas","given":"Adriano V."},{"family":"Modesto","given":"Marcelo"},{"family":"Nebra","given":"Silvia A."}],"issued":{"date-parts":[["2017",11]]}}}],"schema":"https://github.com/citation-style-language/schema/raw/master/csl-citation.json"}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Mandegari et al., 2017; Pina et al., 2017) </w:t>
      </w:r>
      <w:r w:rsidRPr="00F45A84">
        <w:rPr>
          <w:rFonts w:cs="Times New Roman"/>
          <w:sz w:val="24"/>
          <w:szCs w:val="24"/>
        </w:rPr>
        <w:fldChar w:fldCharType="end"/>
      </w:r>
      <w:r w:rsidRPr="00F45A84">
        <w:rPr>
          <w:rFonts w:cs="Times New Roman"/>
          <w:sz w:val="24"/>
          <w:szCs w:val="24"/>
        </w:rPr>
        <w:t>.</w:t>
      </w:r>
    </w:p>
    <w:p w14:paraId="332FCB89"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The yellow and turquoise clusters located at the edge of the network reflect more specific or relatively recent contributions, including authors such as Sunori, SK, who has extensively studied the application of MPC and predictive control to sugar mills in developing countries. While not as strongly connected as the core cluster, their presence demonstrates the geographic and thematic expansion of MPC research from European centers to Asia and Latin America in the last decade </w:t>
      </w:r>
      <w:r w:rsidRPr="00F45A84">
        <w:rPr>
          <w:rFonts w:cs="Times New Roman"/>
          <w:sz w:val="24"/>
          <w:szCs w:val="24"/>
        </w:rPr>
        <w:fldChar w:fldCharType="begin"/>
      </w:r>
      <w:r w:rsidRPr="00F45A84">
        <w:rPr>
          <w:rFonts w:cs="Times New Roman"/>
          <w:sz w:val="24"/>
          <w:szCs w:val="24"/>
        </w:rPr>
        <w:instrText xml:space="preserve"> ADDIN ZOTERO_ITEM CSL_CITATION {"citationID":"Igao4pM2","properties":{"formattedCitation":"(Sunori et al., 2016, 2021, 2022)","plainCitation":"(Sunori et al., 2016, 2021, 2022)","noteIndex":0},"citationItems":[{"id":18757,"uris":["http://zotero.org/users/12817968/items/CTBCQ7EE"],"itemData":{"id":18757,"type":"paper-conference","container-title":"2016 8th International Conference on Computational Intelligence and Communication Networks (CICN)","DOI":"10.1109/CICN.2016.99","event-place":"Tehri, India","event-title":"2016 8th International Conference on Computational Intelligence and Communication Networks (CICN)","ISBN":"978-1-5090-1144-5","page":"480-482","publisher":"IEEE","publisher-place":"Tehri, India","source":"DOI.org (Crossref)","title":"Design and Analysis of Control Systems for Heat Exchanger System of Sugar Mill","URL":"http://ieeexplore.ieee.org/document/8082691/","author":[{"family":"Sunori","given":"Sandeep Kumar"},{"family":"Juneja","given":"Pradeep Kumar"},{"family":"Chaturvedi","given":"Mayank"},{"family":"Agarwal","given":"Niharika"}],"accessed":{"date-parts":[["2025",12,19]]},"issued":{"date-parts":[["2016",12]]}}},{"id":18793,"uris":["http://zotero.org/users/12817968/items/9GUJVN6Q"],"itemData":{"id":18793,"type":"paper-conference","container-title":"2021 Second International Conference on Electronics and Sustainable Communication Systems (ICESC)","DOI":"10.1109/ICESC51422.2021.9532703","event-place":"Coimbatore, India","event-title":"2021 Second International Conference on Electronics and Sustainable Communication Systems (ICESC)","ISBN":"978-1-6654-2867-5","license":"https://ieeexplore.ieee.org/Xplorehelp/downloads/license-information/IEEE.html","page":"312-319","publisher":"IEEE","publisher-place":"Coimbatore, India","source":"DOI.org (Crossref)","title":"Model Identification and MPC based control of Heat Exchanger System of Sugar Crystallizer","URL":"https://ieeexplore.ieee.org/document/9532703/","author":[{"family":"Sunori","given":"Sandeep Kumar"},{"family":"Singh","given":"Govind"},{"family":"Maurya","given":"Sudhanshu"},{"family":"Mittal","given":"Amit"},{"family":"Arora","given":"Shweta"},{"family":"Juneja","given":"Pradeep"}],"accessed":{"date-parts":[["2025",12,20]]},"issued":{"date-parts":[["2021",8,4]]}}},{"id":18791,"uris":["http://zotero.org/users/12817968/items/WBDAZTMC"],"itemData":{"id":18791,"type":"paper-conference","container-title":"2022 6th International Conference on Computing Methodologies and Communication (ICCMC)","DOI":"10.1109/ICCMC53470.2022.9753728","event-place":"Erode, India","event-title":"2022 6th International Conference on Computing Methodologies and Communication (ICCMC)","ISBN":"978-1-6654-1028-1","license":"https://doi.org/10.15223/policy-029","page":"464-468","publisher":"IEEE","publisher-place":"Erode, India","source":"DOI.org (Crossref)","title":"Controller Design for Dead Time Approximated Model of Juice Extraction Unit of Sugar Factory","URL":"https://ieeexplore.ieee.org/document/9753728/","author":[{"family":"Sunori","given":"Sandeep Kumar"},{"family":"Singh Jethi","given":"Govind"},{"family":"Arora","given":"Shweta"},{"family":"Mittal","given":"Amit"},{"family":"Khan","given":"Farha"},{"family":"Juneja","given":"Pradeep"}],"accessed":{"date-parts":[["2025",12,20]]},"issued":{"date-parts":[["2022",3,29]]}}}],"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(Sunori et al., 2016, 2021, 2022) </w:t>
      </w:r>
      <w:r w:rsidRPr="00F45A84">
        <w:rPr>
          <w:rFonts w:cs="Times New Roman"/>
          <w:sz w:val="24"/>
          <w:szCs w:val="24"/>
        </w:rPr>
        <w:fldChar w:fldCharType="end"/>
      </w:r>
      <w:r w:rsidRPr="00F45A84">
        <w:rPr>
          <w:rFonts w:cs="Times New Roman"/>
          <w:sz w:val="24"/>
          <w:szCs w:val="24"/>
        </w:rPr>
        <w:t>.</w:t>
      </w:r>
    </w:p>
    <w:p w14:paraId="4BA0113F"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Overall, the network structure in Figure 8 confirms that the development of MPC in the sugar industry has been cumulative and collaborative, with early authors establishing a theoretical foundation that was later expanded to include nonlinear MPC, economic MPC, and energy-process integration. This co-citation pattern is consistent with the general evolution of MPC in the process industry, from a regulatory approach to system-wide optimization </w:t>
      </w:r>
      <w:r w:rsidRPr="00F45A84">
        <w:rPr>
          <w:rFonts w:cs="Times New Roman"/>
          <w:sz w:val="24"/>
          <w:szCs w:val="24"/>
        </w:rPr>
        <w:fldChar w:fldCharType="begin"/>
      </w:r>
      <w:r w:rsidRPr="00F45A84">
        <w:rPr>
          <w:rFonts w:cs="Times New Roman"/>
          <w:sz w:val="24"/>
          <w:szCs w:val="24"/>
        </w:rPr>
        <w:instrText xml:space="preserve"> ADDIN ZOTERO_ITEM CSL_CITATION {"citationID":"GqGPJp3j","properties":{"formattedCitation":"(Mazaeda et al., 2020; Sujatha et al., 2022)","plainCitation":"(Mazaeda et al., 2020; Sujatha et al., 2022)","noteIndex":0},"citationItems":[{"id":18764,"uris":["http://zotero.org/users/12817968/items/859ADSMN"],"itemData":{"id":18764,"type":"article-journal","abstract":"Summary\n            This paper deals with the optimal operation of processes that combine batch and continuous units. The proposed approach is based on a hierarchical architecture with two layers. The lower layer manages the optimal operation of the batch units in a noncentralized fashion, whereas the upper layer is concerned with the scheduling of the batch units and with their smooth integration with the continuous ones. The strategy has been applied to a challenging problem found at the interface of the fed</w:instrText>
      </w:r>
      <w:r w:rsidRPr="00F45A84">
        <w:rPr>
          <w:rFonts w:ascii="Cambria Math" w:hAnsi="Cambria Math" w:cs="Cambria Math"/>
          <w:sz w:val="24"/>
          <w:szCs w:val="24"/>
        </w:rPr>
        <w:instrText>‐</w:instrText>
      </w:r>
      <w:r w:rsidRPr="00F45A84">
        <w:rPr>
          <w:rFonts w:cs="Times New Roman"/>
          <w:sz w:val="24"/>
          <w:szCs w:val="24"/>
        </w:rPr>
        <w:instrText>batch crystallizers with the upstream evaporation section in beet sugar factories. The presented approach aims at designing a system that can effectively perform the plantwide economic optimization, specifically addressing the issue of energy efficiency, while complying with all process and operational constraints.","container-title":"Optimal Control Applications and Methods","DOI":"10.1002/oca.2535","ISSN":"0143-2087, 1099-1514","issue":"1","journalAbbreviation":"Optim Control Appl Methods","language":"en","page":"190-214","source":"DOI.org (Crossref)","title":"Hierarchically coordinated economic MPC plantwide control of mixed continuous</w:instrText>
      </w:r>
      <w:r w:rsidRPr="00F45A84">
        <w:rPr>
          <w:rFonts w:ascii="Cambria Math" w:hAnsi="Cambria Math" w:cs="Cambria Math"/>
          <w:sz w:val="24"/>
          <w:szCs w:val="24"/>
        </w:rPr>
        <w:instrText>‐</w:instrText>
      </w:r>
      <w:r w:rsidRPr="00F45A84">
        <w:rPr>
          <w:rFonts w:cs="Times New Roman"/>
          <w:sz w:val="24"/>
          <w:szCs w:val="24"/>
        </w:rPr>
        <w:instrText xml:space="preserve">batch units in process industries with application to a beet sugar plant","volume":"41","author":[{"family":"Mazaeda","given":"Rogelio"},{"family":"Cristea","given":"Smaranda P."},{"family":"De Prada","given":"César"}],"issued":{"date-parts":[["2020",1]]}}},{"id":18748,"uris":["http://zotero.org/users/12817968/items/HZVBFVCC"],"itemData":{"id":18748,"type":"chapter","container-title":"Smart Trends in Computing and Communications","event-place":"Singapore","ISBN":"978-981-16-4015-5","language":"en","note":"collection-title: Lecture Notes in Networks and Systems\nDOI: 10.1007/978-981-16-4016-2_39","page":"419-426","publisher":"Springer Singapore","publisher-place":"Singapore","source":"DOI.org (Crossref)","title":"Predictive Model-based Analytics to Control Drying Process in a Sugar Industry","URL":"https://link.springer.com/10.1007/978-981-16-4016-2_39","volume":"286","editor":[{"family":"Zhang","given":"Yu-Dong"},{"family":"Senjyu","given":"Tomonobu"},{"family":"So-In","given":"Chakchai"},{"family":"Joshi","given":"Amit"}],"author":[{"family":"Sujatha","given":"K."},{"family":"Nalinashini","given":"G."},{"family":"Ganesan","given":"B. A."},{"family":"Jayachitra","given":"N."},{"family":"Sankari","given":"Rengammal"},{"family":"Kalaivani","given":"A."},{"family":"Sendilvelan","given":"S."}],"accessed":{"date-parts":[["2025",12,19]]},"issued":{"date-parts":[["2022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(Mazaeda et al., 2020; Sujatha et al., 2022) </w:t>
      </w:r>
      <w:r w:rsidRPr="00F45A84">
        <w:rPr>
          <w:rFonts w:cs="Times New Roman"/>
          <w:sz w:val="24"/>
          <w:szCs w:val="24"/>
        </w:rPr>
        <w:fldChar w:fldCharType="end"/>
      </w:r>
      <w:r w:rsidRPr="00F45A84">
        <w:rPr>
          <w:rFonts w:cs="Times New Roman"/>
          <w:sz w:val="24"/>
          <w:szCs w:val="24"/>
        </w:rPr>
        <w:t>.</w:t>
      </w:r>
    </w:p>
    <w:p w14:paraId="56C28CDB" w14:textId="77777777" w:rsidR="004269A5" w:rsidRPr="00F45A84" w:rsidRDefault="004269A5" w:rsidP="004269A5">
      <w:pPr>
        <w:spacing w:before="240"/>
        <w:ind w:left="1560"/>
        <w:jc w:val="both"/>
        <w:rPr>
          <w:rFonts w:cs="Times New Roman"/>
          <w:b/>
          <w:bCs/>
          <w:sz w:val="24"/>
          <w:szCs w:val="24"/>
        </w:rPr>
      </w:pPr>
      <w:r w:rsidRPr="00F45A84">
        <w:rPr>
          <w:rFonts w:cs="Times New Roman"/>
          <w:b/>
          <w:bCs/>
          <w:noProof/>
          <w:sz w:val="24"/>
          <w:szCs w:val="24"/>
        </w:rPr>
        <w:lastRenderedPageBreak/>
        <w:drawing>
          <wp:inline distT="0" distB="0" distL="0" distR="0" wp14:anchorId="3E11A07C" wp14:editId="454677CF">
            <wp:extent cx="5731510" cy="3384550"/>
            <wp:effectExtent l="0" t="0" r="2540" b="6350"/>
            <wp:docPr id="4323251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25129" name="Picture 43232512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3384550"/>
                    </a:xfrm>
                    <a:prstGeom prst="rect">
                      <a:avLst/>
                    </a:prstGeom>
                  </pic:spPr>
                </pic:pic>
              </a:graphicData>
            </a:graphic>
          </wp:inline>
        </w:drawing>
      </w:r>
    </w:p>
    <w:p w14:paraId="00A287C7" w14:textId="77777777" w:rsidR="004269A5" w:rsidRPr="00F45A84" w:rsidRDefault="004269A5" w:rsidP="004269A5">
      <w:pPr>
        <w:spacing w:before="240"/>
        <w:ind w:left="1560"/>
        <w:jc w:val="both"/>
        <w:rPr>
          <w:rFonts w:cs="Times New Roman"/>
          <w:sz w:val="24"/>
          <w:szCs w:val="24"/>
        </w:rPr>
      </w:pPr>
      <w:r w:rsidRPr="00F45A84">
        <w:rPr>
          <w:rFonts w:cs="Times New Roman"/>
          <w:b/>
          <w:bCs/>
          <w:sz w:val="24"/>
          <w:szCs w:val="24"/>
        </w:rPr>
        <w:t xml:space="preserve">Figure 8. </w:t>
      </w:r>
      <w:r w:rsidRPr="00F45A84">
        <w:rPr>
          <w:rFonts w:cs="Times New Roman"/>
          <w:sz w:val="24"/>
          <w:szCs w:val="24"/>
        </w:rPr>
        <w:t>Co-citation networks of authors</w:t>
      </w:r>
    </w:p>
    <w:p w14:paraId="763F8514" w14:textId="77777777" w:rsidR="004269A5" w:rsidRPr="00F45A84" w:rsidRDefault="004269A5" w:rsidP="004269A5">
      <w:pPr>
        <w:spacing w:before="240"/>
        <w:ind w:left="1560"/>
        <w:jc w:val="both"/>
        <w:rPr>
          <w:rFonts w:cs="Times New Roman"/>
          <w:b/>
          <w:bCs/>
          <w:sz w:val="24"/>
          <w:szCs w:val="24"/>
        </w:rPr>
      </w:pPr>
      <w:r w:rsidRPr="00F45A84">
        <w:rPr>
          <w:rFonts w:cs="Times New Roman"/>
          <w:b/>
          <w:bCs/>
          <w:sz w:val="24"/>
          <w:szCs w:val="24"/>
        </w:rPr>
        <w:t>Keyword Analysis</w:t>
      </w:r>
    </w:p>
    <w:p w14:paraId="7DE13B69"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Based on the keyword co-occurrence map (Figure 9a), it can be seen that MPC research in the sugar industry is grouped into several main clusters. The core cluster centers on the keywords "model predictive control (MPC)," "process control," and "predictive control," indicating that MPC is the dominant approach in sugar industry process control. These keywords have a strong correlation with "robust control," "setpoint tracking," and "dead time," indicating the research focus on handling process delays, uncertainty, and control system stability </w:t>
      </w:r>
      <w:r w:rsidRPr="00F45A84">
        <w:rPr>
          <w:rFonts w:cs="Times New Roman"/>
          <w:sz w:val="24"/>
          <w:szCs w:val="24"/>
        </w:rPr>
        <w:fldChar w:fldCharType="begin"/>
      </w:r>
      <w:r w:rsidRPr="00F45A84">
        <w:rPr>
          <w:rFonts w:cs="Times New Roman"/>
          <w:sz w:val="24"/>
          <w:szCs w:val="24"/>
        </w:rPr>
        <w:instrText xml:space="preserve"> ADDIN ZOTERO_ITEM CSL_CITATION {"citationID":"Ezl8slhR","properties":{"formattedCitation":"(Saravanan &amp; Valarmathi, 2012; Sujatha et al., 2022)","plainCitation":"(Saravanan &amp; Valarmathi, 2012; Sujatha et al., 2022)","noteIndex":0},"citationItems":[{"id":18767,"uris":["http://zotero.org/users/12817968/items/ELVGFJ7K"],"itemData":{"id":18767,"type":"paper-conference","container-title":"2012 Third International Conference on Computing, Communication and Networking Technologies (ICCCNT'12)","DOI":"10.1109/ICCCNT.2012.6395916","event-place":"Coimbatore","event-title":"2012 Third International Conference on Computing, Communication and Networking Technologies (ICCCNT 2012)","page":"1-7","publisher":"IEEE","publisher-place":"Coimbatore","source":"DOI.org (Crossref)","title":"Model based controller design for Melter process in sugar industry","URL":"http://ieeexplore.ieee.org/document/6395916/","author":[{"family":"Saravanan","given":"V."},{"family":"Valarmathi","given":"K."}],"accessed":{"date-parts":[["2025",12,19]]},"issued":{"date-parts":[["2012",7]]}}},{"id":18748,"uris":["http://zotero.org/users/12817968/items/HZVBFVCC"],"itemData":{"id":18748,"type":"chapter","container-title":"Smart Trends in Computing and Communications","event-place":"Singapore","ISBN":"978-981-16-4015-5","language":"en","note":"collection-title: Lecture Notes in Networks and Systems\nDOI: 10.1007/978-981-16-4016-2_39","page":"419-426","publisher":"Springer Singapore","publisher-place":"Singapore","source":"DOI.org (Crossref)","title":"Predictive Model-based Analytics to Control Drying Process in a Sugar Industry","URL":"https://link.springer.com/10.1007/978-981-16-4016-2_39","volume":"286","editor":[{"family":"Zhang","given":"Yu-Dong"},{"family":"Senjyu","given":"Tomonobu"},{"family":"So-In","given":"Chakchai"},{"family":"Joshi","given":"Amit"}],"author":[{"family":"Sujatha","given":"K."},{"family":"Nalinashini","given":"G."},{"family":"Ganesan","given":"B. A."},{"family":"Jayachitra","given":"N."},{"family":"Sankari","given":"Rengammal"},{"family":"Kalaivani","given":"A."},{"family":"Sendilvelan","given":"S."}],"accessed":{"date-parts":[["2025",12,19]]},"issued":{"date-parts":[["2022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(Saravanan &amp; Valarmathi, 2012; Sujatha et al., 2022) </w:t>
      </w:r>
      <w:r w:rsidRPr="00F45A84">
        <w:rPr>
          <w:rFonts w:cs="Times New Roman"/>
          <w:sz w:val="24"/>
          <w:szCs w:val="24"/>
        </w:rPr>
        <w:fldChar w:fldCharType="end"/>
      </w:r>
      <w:r w:rsidRPr="00F45A84">
        <w:rPr>
          <w:rFonts w:cs="Times New Roman"/>
          <w:sz w:val="24"/>
          <w:szCs w:val="24"/>
        </w:rPr>
        <w:t>.</w:t>
      </w:r>
    </w:p>
    <w:p w14:paraId="44B12D25"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Other clusters show a close relationship between MPC and specific unit operations, such as "sugar mill," "multiple-effect evaporator," "evaporation," "crystallization," and "heat exchanger." This indicates that MPC applications in the sugar industry are largely focused on thermal and separation processes, which are inherently nonlinear, multivariate, and energy-intensive. This finding aligns with the literature stating that evaporation and crystallization are the primary targets for MPC applications due to their sensitivity to disturbances and changes in operating load </w:t>
      </w:r>
      <w:r w:rsidRPr="00F45A84">
        <w:rPr>
          <w:rFonts w:cs="Times New Roman"/>
          <w:sz w:val="24"/>
          <w:szCs w:val="24"/>
        </w:rPr>
        <w:fldChar w:fldCharType="begin"/>
      </w:r>
      <w:r w:rsidRPr="00F45A84">
        <w:rPr>
          <w:rFonts w:cs="Times New Roman"/>
          <w:sz w:val="24"/>
          <w:szCs w:val="24"/>
        </w:rPr>
        <w:instrText xml:space="preserve"> ADDIN ZOTERO_ITEM CSL_CITATION {"citationID":"Asj1ZRsa","properties":{"formattedCitation":"(Jorge et al., 2010; Mazaeda et al., 2015; Sunori et al., 2021)","plainCitation":"(Jorge et al., 2010; Mazaeda et al., 2015; Sunori et al., 2021)","noteIndex":0},"citationItems":[{"id":18771,"uris":["http://zotero.org/users/12817968/items/EKWREQKX"],"itemData":{"id":18771,"type":"article-journal","container-title":"Journal of Food Engineering","DOI":"10.1016/j.jfoodeng.2010.03.017","ISSN":"02608774","issue":"3","journalAbbreviation":"Journal of Food Engineering","language":"en","page":"351-359","source":"DOI.org (Crossref)","title":"Simulation and analysis of a sugarcane juice evaporation system","volume":"99","author":[{"family":"Jorge","given":"L.M.M."},{"family":"Righetto","given":"A.R."},{"family":"Polli","given":"P.A."},{"family":"Santos","given":"O.A.A."},{"family":"Filho","given":"R. Maciel"}],"issued":{"date-parts":[["2010",8]]}}},{"id":18788,"uris":["http://zotero.org/users/12817968/items/TT62LK7Z"],"itemData":{"id":18788,"type":"article-journal","container-title":"IFAC-PapersOnLine","DOI":"10.1016/j.ifacol.2015.09.133","ISSN":"24058963","issue":"8","journalAbbreviation":"IFAC-PapersOnLine","language":"en","license":"https://www.elsevier.com/tdm/userlicense/1.0/","page":"1210-1215","source":"DOI.org (Crossref)","title":"Plant-wide hierarchical optimal control of a crystallization process","volume":"48","author":[{"family":"Mazaeda","given":"Rogelio"},{"family":"Cristea","given":"Smaranda P."},{"family":"De Prada","given":"Cesar"}],"issued":{"date-parts":[["2015"]]}}},{"id":18793,"uris":["http://zotero.org/users/12817968/items/9GUJVN6Q"],"itemData":{"id":18793,"type":"paper-conference","container-title":"2021 Second International Conference on Electronics and Sustainable Communication Systems (ICESC)","DOI":"10.1109/ICESC51422.2021.9532703","event-place":"Coimbatore, India","event-title":"2021 Second International Conference on Electronics and Sustainable Communication Systems (ICESC)","ISBN":"978-1-6654-2867-5","license":"https://ieeexplore.ieee.org/Xplorehelp/downloads/license-information/IEEE.html","page":"312-319","publisher":"IEEE","publisher-place":"Coimbatore, India","source":"DOI.org (Crossref)","title":"Model Identification and MPC based control of Heat Exchanger System of Sugar Crystallizer","URL":"https://ieeexplore.ieee.org/document/9532703/","author":[{"family":"Sunori","given":"Sandeep Kumar"},{"family":"Singh","given":"Govind"},{"family":"Maurya","given":"Sudhanshu"},{"family":"Mittal","given":"Amit"},{"family":"Arora","given":"Shweta"},{"family":"Juneja","given":"Pradeep"}],"accessed":{"date-parts":[["2025",12,20]]},"issued":{"date-parts":[["2021",8,4]]}}}],"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(Jorge et al., 2010; Mazaeda et al., 2015; Sunori et al., 2021) </w:t>
      </w:r>
      <w:r w:rsidRPr="00F45A84">
        <w:rPr>
          <w:rFonts w:cs="Times New Roman"/>
          <w:sz w:val="24"/>
          <w:szCs w:val="24"/>
        </w:rPr>
        <w:fldChar w:fldCharType="end"/>
      </w:r>
      <w:r w:rsidRPr="00F45A84">
        <w:rPr>
          <w:rFonts w:cs="Times New Roman"/>
          <w:sz w:val="24"/>
          <w:szCs w:val="24"/>
        </w:rPr>
        <w:t>.</w:t>
      </w:r>
    </w:p>
    <w:p w14:paraId="5C1DC3F9"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The time-overlapping network analysis (Figure 9b) shows the dynamic evolution of research topics over time. In the early period (around before 2010), the dominant keywords were “process control,” “evaporation,” and “simulation,” indicating an initial focus on modeling and basic control of sugar industry processes. In the middle period, the use of “nonlinear control,” “robust control,” and “predictive control” increased, indicating a shift toward advanced control approaches to address process complexity.</w:t>
      </w:r>
    </w:p>
    <w:p w14:paraId="7CF417FF"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 xml:space="preserve">In the more recent period (after 2015), the timeline shows the emergence and strengthening of keywords such as "hierarchical control," "plant-wide control," "hybrid predictive control," and the association with "bioethanol." This reflects the current </w:t>
      </w:r>
      <w:r w:rsidRPr="00F45A84">
        <w:rPr>
          <w:rFonts w:cs="Times New Roman"/>
          <w:sz w:val="24"/>
          <w:szCs w:val="24"/>
        </w:rPr>
        <w:lastRenderedPageBreak/>
        <w:t>research direction, which focuses not only on a single unit process but on the integrated optimization of the entire sugar mill and its derivatives, including bioenergy. This shift confirms that MPC is evolving from a mere operational control tool to part of the sugar industry's overall energy optimization and sustainability strategy.</w:t>
      </w:r>
    </w:p>
    <w:p w14:paraId="3B498B19" w14:textId="77777777" w:rsidR="004269A5" w:rsidRPr="00F45A84" w:rsidRDefault="004269A5" w:rsidP="004269A5">
      <w:pPr>
        <w:spacing w:before="240"/>
        <w:ind w:left="1560"/>
        <w:jc w:val="both"/>
        <w:rPr>
          <w:rFonts w:cs="Times New Roman"/>
          <w:sz w:val="24"/>
          <w:szCs w:val="24"/>
        </w:rPr>
      </w:pPr>
      <w:r w:rsidRPr="00F45A84">
        <w:rPr>
          <w:rFonts w:cs="Times New Roman"/>
          <w:sz w:val="24"/>
          <w:szCs w:val="24"/>
        </w:rPr>
        <w:t>Overall, the keyword analysis shows that MPC research in the sugar industry has evolved from conventional control approaches to integrated, plant-wide predictive control. The consistent dominance of MPC keywords across time periods confirms its position as a key method for addressing the challenges of complexity, energy efficiency, and sustainability in the modern sugar industry.</w:t>
      </w:r>
    </w:p>
    <w:p w14:paraId="0F6A027F" w14:textId="77777777" w:rsidR="004269A5" w:rsidRPr="00F45A84" w:rsidRDefault="004269A5" w:rsidP="004269A5">
      <w:pPr>
        <w:tabs>
          <w:tab w:val="left" w:pos="2831"/>
        </w:tabs>
        <w:spacing w:before="240"/>
        <w:ind w:left="1560"/>
        <w:jc w:val="center"/>
        <w:rPr>
          <w:rFonts w:cs="Times New Roman"/>
          <w:b/>
          <w:bCs/>
          <w:sz w:val="24"/>
          <w:szCs w:val="24"/>
        </w:rPr>
      </w:pPr>
      <w:r w:rsidRPr="00F45A84">
        <w:rPr>
          <w:rFonts w:cs="Times New Roman"/>
          <w:b/>
          <w:bCs/>
          <w:noProof/>
          <w:sz w:val="24"/>
          <w:szCs w:val="24"/>
        </w:rPr>
        <w:drawing>
          <wp:inline distT="0" distB="0" distL="0" distR="0" wp14:anchorId="3B6F13F8" wp14:editId="2F5DEDC8">
            <wp:extent cx="4240162" cy="2503884"/>
            <wp:effectExtent l="0" t="0" r="8255" b="0"/>
            <wp:docPr id="11601724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72475" name="Picture 116017247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247320" cy="2508111"/>
                    </a:xfrm>
                    <a:prstGeom prst="rect">
                      <a:avLst/>
                    </a:prstGeom>
                  </pic:spPr>
                </pic:pic>
              </a:graphicData>
            </a:graphic>
          </wp:inline>
        </w:drawing>
      </w:r>
    </w:p>
    <w:p w14:paraId="70EE6F64" w14:textId="77777777" w:rsidR="004269A5" w:rsidRPr="00F45A84" w:rsidRDefault="004269A5" w:rsidP="004269A5">
      <w:pPr>
        <w:tabs>
          <w:tab w:val="left" w:pos="2831"/>
        </w:tabs>
        <w:spacing w:before="240"/>
        <w:ind w:left="1560"/>
        <w:jc w:val="center"/>
        <w:rPr>
          <w:rFonts w:cs="Times New Roman"/>
          <w:b/>
          <w:bCs/>
          <w:sz w:val="24"/>
          <w:szCs w:val="24"/>
        </w:rPr>
      </w:pPr>
      <w:r w:rsidRPr="00F45A84">
        <w:rPr>
          <w:rFonts w:cs="Times New Roman"/>
          <w:b/>
          <w:bCs/>
          <w:sz w:val="24"/>
          <w:szCs w:val="24"/>
        </w:rPr>
        <w:t>(a)</w:t>
      </w:r>
    </w:p>
    <w:p w14:paraId="06344472" w14:textId="77777777" w:rsidR="004269A5" w:rsidRPr="00F45A84" w:rsidRDefault="004269A5" w:rsidP="004269A5">
      <w:pPr>
        <w:tabs>
          <w:tab w:val="left" w:pos="2831"/>
        </w:tabs>
        <w:spacing w:before="240"/>
        <w:ind w:left="1560"/>
        <w:jc w:val="center"/>
        <w:rPr>
          <w:rFonts w:cs="Times New Roman"/>
          <w:b/>
          <w:bCs/>
          <w:sz w:val="24"/>
          <w:szCs w:val="24"/>
        </w:rPr>
      </w:pPr>
      <w:r w:rsidRPr="00F45A84">
        <w:rPr>
          <w:rFonts w:cs="Times New Roman"/>
          <w:b/>
          <w:bCs/>
          <w:noProof/>
          <w:sz w:val="24"/>
          <w:szCs w:val="24"/>
        </w:rPr>
        <w:drawing>
          <wp:inline distT="0" distB="0" distL="0" distR="0" wp14:anchorId="4177DF95" wp14:editId="2EC92D5F">
            <wp:extent cx="4055806" cy="2395020"/>
            <wp:effectExtent l="0" t="0" r="1905" b="5715"/>
            <wp:docPr id="7453731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373128" name="Picture 74537312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60980" cy="2398076"/>
                    </a:xfrm>
                    <a:prstGeom prst="rect">
                      <a:avLst/>
                    </a:prstGeom>
                  </pic:spPr>
                </pic:pic>
              </a:graphicData>
            </a:graphic>
          </wp:inline>
        </w:drawing>
      </w:r>
    </w:p>
    <w:p w14:paraId="1E32794C" w14:textId="77777777" w:rsidR="004269A5" w:rsidRPr="00F45A84" w:rsidRDefault="004269A5" w:rsidP="004269A5">
      <w:pPr>
        <w:tabs>
          <w:tab w:val="left" w:pos="2831"/>
        </w:tabs>
        <w:spacing w:before="240"/>
        <w:ind w:left="1560"/>
        <w:jc w:val="center"/>
        <w:rPr>
          <w:rFonts w:cs="Times New Roman"/>
          <w:b/>
          <w:bCs/>
          <w:sz w:val="24"/>
          <w:szCs w:val="24"/>
        </w:rPr>
      </w:pPr>
      <w:r w:rsidRPr="00F45A84">
        <w:rPr>
          <w:rFonts w:cs="Times New Roman"/>
          <w:b/>
          <w:bCs/>
          <w:sz w:val="24"/>
          <w:szCs w:val="24"/>
        </w:rPr>
        <w:t>(b)</w:t>
      </w:r>
    </w:p>
    <w:p w14:paraId="11640EB6" w14:textId="77777777" w:rsidR="004269A5" w:rsidRPr="00F45A84" w:rsidRDefault="004269A5" w:rsidP="004269A5">
      <w:pPr>
        <w:tabs>
          <w:tab w:val="left" w:pos="2831"/>
        </w:tabs>
        <w:spacing w:before="240"/>
        <w:ind w:left="1560"/>
        <w:jc w:val="both"/>
        <w:rPr>
          <w:rFonts w:cs="Times New Roman"/>
          <w:sz w:val="24"/>
          <w:szCs w:val="24"/>
        </w:rPr>
      </w:pPr>
      <w:r w:rsidRPr="00F45A84">
        <w:rPr>
          <w:rFonts w:cs="Times New Roman"/>
          <w:b/>
          <w:bCs/>
          <w:sz w:val="24"/>
          <w:szCs w:val="24"/>
        </w:rPr>
        <w:t xml:space="preserve">Figure 9. </w:t>
      </w:r>
      <w:r w:rsidRPr="00F45A84">
        <w:rPr>
          <w:rFonts w:cs="Times New Roman"/>
          <w:sz w:val="24"/>
          <w:szCs w:val="24"/>
        </w:rPr>
        <w:t>Co-occurrence keyword analysis: a. clustering network and b. time-overlapping network</w:t>
      </w:r>
    </w:p>
    <w:p w14:paraId="46951523" w14:textId="77777777" w:rsidR="004269A5" w:rsidRPr="00F45A84" w:rsidRDefault="004269A5" w:rsidP="004269A5">
      <w:pPr>
        <w:spacing w:before="240"/>
        <w:ind w:left="1560"/>
        <w:jc w:val="center"/>
        <w:rPr>
          <w:rFonts w:cs="Times New Roman"/>
          <w:b/>
          <w:bCs/>
          <w:sz w:val="24"/>
          <w:szCs w:val="24"/>
        </w:rPr>
      </w:pPr>
      <w:r w:rsidRPr="00F45A84">
        <w:rPr>
          <w:rFonts w:cs="Times New Roman"/>
          <w:b/>
          <w:bCs/>
          <w:noProof/>
          <w:sz w:val="24"/>
          <w:szCs w:val="24"/>
        </w:rPr>
        <w:lastRenderedPageBreak/>
        <w:drawing>
          <wp:inline distT="0" distB="0" distL="0" distR="0" wp14:anchorId="76DE71F8" wp14:editId="293D7052">
            <wp:extent cx="5161935" cy="3441099"/>
            <wp:effectExtent l="0" t="0" r="635" b="6985"/>
            <wp:docPr id="20789105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910565" name="Picture 207891056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166084" cy="3443865"/>
                    </a:xfrm>
                    <a:prstGeom prst="rect">
                      <a:avLst/>
                    </a:prstGeom>
                  </pic:spPr>
                </pic:pic>
              </a:graphicData>
            </a:graphic>
          </wp:inline>
        </w:drawing>
      </w:r>
    </w:p>
    <w:p w14:paraId="6058C252" w14:textId="77777777" w:rsidR="004269A5" w:rsidRPr="00F45A84" w:rsidRDefault="004269A5" w:rsidP="004269A5">
      <w:pPr>
        <w:tabs>
          <w:tab w:val="left" w:pos="2831"/>
        </w:tabs>
        <w:spacing w:before="240"/>
        <w:ind w:left="1560"/>
        <w:jc w:val="both"/>
        <w:rPr>
          <w:rFonts w:cs="Times New Roman"/>
          <w:sz w:val="24"/>
          <w:szCs w:val="24"/>
        </w:rPr>
      </w:pPr>
      <w:r w:rsidRPr="00F45A84">
        <w:rPr>
          <w:rFonts w:cs="Times New Roman"/>
          <w:b/>
          <w:bCs/>
          <w:sz w:val="24"/>
          <w:szCs w:val="24"/>
        </w:rPr>
        <w:t xml:space="preserve">Figure 10. </w:t>
      </w:r>
      <w:r w:rsidRPr="00F45A84">
        <w:rPr>
          <w:rFonts w:cs="Times New Roman"/>
          <w:sz w:val="24"/>
          <w:szCs w:val="24"/>
        </w:rPr>
        <w:t>Thematic map</w:t>
      </w:r>
    </w:p>
    <w:p w14:paraId="48239F20" w14:textId="77777777" w:rsidR="004269A5" w:rsidRPr="00F45A84" w:rsidRDefault="004269A5" w:rsidP="004269A5">
      <w:pPr>
        <w:tabs>
          <w:tab w:val="left" w:pos="2831"/>
        </w:tabs>
        <w:spacing w:before="240"/>
        <w:ind w:left="1560"/>
        <w:jc w:val="both"/>
        <w:rPr>
          <w:rFonts w:cs="Times New Roman"/>
          <w:sz w:val="24"/>
          <w:szCs w:val="24"/>
        </w:rPr>
      </w:pPr>
      <w:r w:rsidRPr="00F45A84">
        <w:rPr>
          <w:rFonts w:cs="Times New Roman"/>
          <w:sz w:val="24"/>
          <w:szCs w:val="24"/>
        </w:rPr>
        <w:t xml:space="preserve">Based on Figure 10, the themes “model predictive control,” “sugar factories,” and “predictive control systems” are located in the center of the map with moderate centrality and density. This position indicates that MPC is a core theme in sugar industry research, acting as a bridge between various other topics but still developing conceptually and methodologically. This finding is consistent with the literature that mentions MPC as a primary approach in sugar industry process control due to its ability to handle multivariate systems, operational constraints, and nonlinear dynamics </w:t>
      </w:r>
      <w:r w:rsidRPr="00F45A84">
        <w:rPr>
          <w:rFonts w:cs="Times New Roman"/>
          <w:sz w:val="24"/>
          <w:szCs w:val="24"/>
        </w:rPr>
        <w:fldChar w:fldCharType="begin"/>
      </w:r>
      <w:r w:rsidRPr="00F45A84">
        <w:rPr>
          <w:rFonts w:cs="Times New Roman"/>
          <w:sz w:val="24"/>
          <w:szCs w:val="24"/>
        </w:rPr>
        <w:instrText xml:space="preserve"> ADDIN ZOTERO_ITEM CSL_CITATION {"citationID":"AfODT2Qh","properties":{"formattedCitation":"(Bordons &amp; Camacho, 1999; Qin &amp; Badgwell, 2003)","plainCitation":"(Bordons &amp; Camacho, 1999; Qin &amp; Badgwell, 2003)","noteIndex":0},"citationItems":[{"id":18780,"uris":["http://zotero.org/users/12817968/items/6V23ZXV8"],"itemData":{"id":18780,"type":"paper-conference","container-title":"1999 European Control Conference (ECC)","DOI":"10.23919/ECC.1999.7099508","event-place":"Karlsruhe","event-title":"1999 European Control Conference (ECC)","ISBN":"978-3-9524173-5-5","page":"1405-1410","publisher":"IEEE","publisher-place":"Karlsruhe","source":"DOI.org (Crossref)","title":"Application of simple cascade GPC with robust behaviour to a sugar refinery","URL":"https://ieeexplore.ieee.org/document/7099508/","author":[{"family":"Bordons","given":"C."},{"family":"Camacho","given":"E. F."}],"accessed":{"date-parts":[["2025",12,20]]},"issued":{"date-parts":[["1999",8]]}}},{"id":18747,"uris":["http://zotero.org/users/12817968/items/CPJ2ATBW"],"itemData":{"id":18747,"type":"article-journal","container-title":"Control Engineering Practice","DOI":"10.1016/S0967-0661(02)00186-7","ISSN":"09670661","issue":"7","journalAbbreviation":"Control Engineering Practice","language":"en","license":"https://www.elsevier.com/tdm/userlicense/1.0/","page":"733-764","source":"DOI.org (Crossref)","title":"A survey of industrial model predictive control technology","volume":"11","author":[{"family":"Qin","given":"S.Joe"},{"family":"Badgwell","given":"Thomas A."}],"issued":{"date-parts":[["2003",7]]}}}],"schema":"https://github.com/citation-style-language/schema/raw/master/csl-citation.json"}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(Bordons &amp; Camacho, 1999; Qin &amp; Badgwell, 2003) </w:t>
      </w:r>
      <w:r w:rsidRPr="00F45A84">
        <w:rPr>
          <w:rFonts w:cs="Times New Roman"/>
          <w:sz w:val="24"/>
          <w:szCs w:val="24"/>
        </w:rPr>
        <w:fldChar w:fldCharType="end"/>
      </w:r>
      <w:r w:rsidRPr="00F45A84">
        <w:rPr>
          <w:rFonts w:cs="Times New Roman"/>
          <w:sz w:val="24"/>
          <w:szCs w:val="24"/>
        </w:rPr>
        <w:t>.</w:t>
      </w:r>
    </w:p>
    <w:p w14:paraId="199C7894" w14:textId="77777777" w:rsidR="004269A5" w:rsidRPr="00F45A84" w:rsidRDefault="004269A5" w:rsidP="004269A5">
      <w:pPr>
        <w:tabs>
          <w:tab w:val="left" w:pos="2831"/>
        </w:tabs>
        <w:spacing w:before="240"/>
        <w:ind w:left="1560"/>
        <w:jc w:val="both"/>
        <w:rPr>
          <w:rFonts w:cs="Times New Roman"/>
          <w:sz w:val="24"/>
          <w:szCs w:val="24"/>
        </w:rPr>
      </w:pPr>
      <w:r w:rsidRPr="00F45A84">
        <w:rPr>
          <w:rFonts w:cs="Times New Roman"/>
          <w:sz w:val="24"/>
          <w:szCs w:val="24"/>
        </w:rPr>
        <w:t xml:space="preserve">In the Motor Themes quadrant, themes such as "ethanol" and "simulation" exhibit high centrality and density, indicating that these topics are mature and are key drivers of current research. This indicates a shift in the focus of MPC research from conventional unit process control to bioenergy process optimization, particularly for sugarcane-based bioethanol, supported by advanced simulations. This development aligns with the growing attention to energy efficiency, plant integration, and sustainability in the sugar industry </w:t>
      </w:r>
      <w:r w:rsidRPr="00F45A84">
        <w:rPr>
          <w:rFonts w:cs="Times New Roman"/>
          <w:sz w:val="24"/>
          <w:szCs w:val="24"/>
        </w:rPr>
        <w:fldChar w:fldCharType="begin"/>
      </w:r>
      <w:r w:rsidRPr="00F45A84">
        <w:rPr>
          <w:rFonts w:cs="Times New Roman"/>
          <w:sz w:val="24"/>
          <w:szCs w:val="24"/>
        </w:rPr>
        <w:instrText xml:space="preserve"> ADDIN ZOTERO_ITEM CSL_CITATION {"citationID":"YYeBwa44","properties":{"formattedCitation":"(Pina et al., 2017; Vergara-Dietrich et al., 2019b)","plainCitation":"(Pina et al., 2017; Vergara-Dietrich et al., 2019b)","noteIndex":0},"citationItems":[{"id":18741,"uris":["http://zotero.org/users/12817968/items/E828N99P"],"itemData":{"id":18741,"type":"article-journal","container-title":"Energy","DOI":"10.1016/j.energy.2015.06.054","ISSN":"03605442","journalAbbreviation":"Energy","language":"en","page":"1263-1280","source":"DOI.org (Crossref)","title":"Reduction of process steam demand and water-usage through heat integration in sugar and ethanol production from sugarcane – Evaluation of different plant configurations","volume":"138","author":[{"family":"Pina","given":"Eduardo A."},{"family":"Palacios-Bereche","given":"Reynaldo"},{"family":"Chavez-Rodriguez","given":"Mauro F."},{"family":"Ensinas","given":"Adriano V."},{"family":"Modesto","given":"Marcelo"},{"family":"Nebra","given":"Silvia A."}],"issued":{"date-parts":[["2017",11]]}}},{"id":18744,"uris":["http://zotero.org/users/12817968/items/TESXKJ6W"],"itemData":{"id":18744,"type":"article-journal","container-title":"Journal of Process Control","DOI":"10.1016/j.jprocont.2017.11.003","ISSN":"09591524","journalAbbreviation":"Journal of Process Control","language":"en","page":"120-132","source":"DOI.org (Crossref)","title":"Advanced chance-constrained predictive control for the efficient energy management of renewable power systems","volume":"74","author":[{"family":"Vergara-Dietrich","given":"José D."},{"family":"Morato","given":"Marcelo M."},{"family":"Mendes","given":"Paulo R.C."},{"family":"Cani","given":"Alex A."},{"family":"Normey-Rico","given":"Julio E."},{"family":"Bordons","given":"Carlos"}],"issued":{"date-parts":[["2019",2]]}}}],"schema":"https://github.com/citation-style-language/schema/raw/master/csl-citation.json"}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(Pina et al., 2017; Vergara-Dietrich et al., 2019) </w:t>
      </w:r>
      <w:r w:rsidRPr="00F45A84">
        <w:rPr>
          <w:rFonts w:cs="Times New Roman"/>
          <w:sz w:val="24"/>
          <w:szCs w:val="24"/>
        </w:rPr>
        <w:fldChar w:fldCharType="end"/>
      </w:r>
      <w:r w:rsidRPr="00F45A84">
        <w:rPr>
          <w:rFonts w:cs="Times New Roman"/>
          <w:sz w:val="24"/>
          <w:szCs w:val="24"/>
        </w:rPr>
        <w:t>.</w:t>
      </w:r>
    </w:p>
    <w:p w14:paraId="22CA7319" w14:textId="77777777" w:rsidR="004269A5" w:rsidRPr="00F45A84" w:rsidRDefault="004269A5" w:rsidP="004269A5">
      <w:pPr>
        <w:tabs>
          <w:tab w:val="left" w:pos="2831"/>
        </w:tabs>
        <w:spacing w:before="240"/>
        <w:ind w:left="1560"/>
        <w:jc w:val="both"/>
        <w:rPr>
          <w:rFonts w:cs="Times New Roman"/>
          <w:sz w:val="24"/>
          <w:szCs w:val="24"/>
        </w:rPr>
      </w:pPr>
      <w:r w:rsidRPr="00F45A84">
        <w:rPr>
          <w:rFonts w:cs="Times New Roman"/>
          <w:sz w:val="24"/>
          <w:szCs w:val="24"/>
        </w:rPr>
        <w:t xml:space="preserve">Meanwhile, the themes “sugar industry,” “crystallization,” and “evaporation” are in the Basic Themes quadrant, indicating high relevance but a relatively lower level of development. This confirms that evaporation and crystallization remain the main foundation of MPC research in the sugar industry, but their approaches and methodological innovations tend to be more established. Conversely, themes in the Declining Themes quadrant, such as “hybrid predictive control” and “plant-wide control,” show potential as future research directions, although they are currently underdeveloped. Overall, this thematic map demonstrates the evolution of MPC research from unit process control to system integration and plant-scale energy optimization </w:t>
      </w:r>
      <w:r w:rsidRPr="00F45A84">
        <w:rPr>
          <w:rFonts w:cs="Times New Roman"/>
          <w:sz w:val="24"/>
          <w:szCs w:val="24"/>
        </w:rPr>
        <w:fldChar w:fldCharType="begin"/>
      </w:r>
      <w:r w:rsidRPr="00F45A84">
        <w:rPr>
          <w:rFonts w:cs="Times New Roman"/>
          <w:sz w:val="24"/>
          <w:szCs w:val="24"/>
        </w:rPr>
        <w:instrText xml:space="preserve"> ADDIN ZOTERO_ITEM CSL_CITATION {"citationID":"3USFKj4q","properties":{"formattedCitation":"(Mazaeda et al., 2015; Menezes Morato et al., 2017)","plainCitation":"(Mazaeda et al., 2015; Menezes Morato et al., 2017)","noteIndex":0},"citationItems":[{"id":18788,"uris":["http://zotero.org/users/12817968/items/TT62LK7Z"],"itemData":{"id":18788,"type":"article-journal","container-title":"IFAC-PapersOnLine","DOI":"10.1016/j.ifacol.2015.09.133","ISSN":"24058963","issue":"8","journalAbbreviation":"IFAC-PapersOnLine","language":"en","license":"https://www.elsevier.com/tdm/userlicense/1.0/","page":"1210-1215","source":"DOI.org (Crossref)","title":"Plant-wide hierarchical optimal control of a crystallization process","volume":"48","author":[{"family":"Mazaeda","given":"Rogelio"},{"family":"Cristea","given":"Smaranda P."},{"family":"De Prada","given":"Cesar"}],"issued":{"date-parts":[["2015"]]}}},{"id":18756,"uris":["http://zotero.org/users/12817968/items/TEWZMXEY"],"itemData":{"id":18756,"type":"article-journal","abstract":"This study presents a control structure, based on model predictive control, applied to energy management optimisation in a sugar cane processing plant including renewable sources. The proposed energy plant is set upon a sugar cane processing industry and has to produce and maintain an amount of electric power throughout the year, defined by contract. This plant is, also, bound to produce flows of steam in different pressures, to comply to the demands of the production process of ethanol and sugar, from the sugar cane. The renewable sources in the system include photovoltaic, wind power generation and the use of biomass, from the remains of the sugar cane. The proposed control algorithm has the task of performing the management of which energy system to use (combined heat and power generation systems, boilers or others), maximise the use of renewable energy sources, maximise the gains of the boilers (that vary according to the biomass mixture used), manage the use of energy storages and supply the defined amount of energy. Simulation results show the satisfactory operation of the proposed control structure.","container-title":"IET Renewable Power Generation","DOI":"10.1049/iet-rpg.2016.0443","ISSN":"1752-1416, 1752-1424","issue":"8","journalAbbreviation":"IET Renewable Power Gen","language":"en","page":"1237-1245","source":"DOI.org (Crossref)","title":"Optimal operation of hybrid power systems including renewable sources in the sugar cane industry","volume":"11","author":[{"family":"Menezes Morato","given":"Marcelo"},{"family":"Da Costa Mendes","given":"Paulo Renato"},{"family":"Normey</w:instrText>
      </w:r>
      <w:r w:rsidRPr="00F45A84">
        <w:rPr>
          <w:rFonts w:ascii="Cambria Math" w:hAnsi="Cambria Math" w:cs="Cambria Math"/>
          <w:sz w:val="24"/>
          <w:szCs w:val="24"/>
        </w:rPr>
        <w:instrText>‐</w:instrText>
      </w:r>
      <w:r w:rsidRPr="00F45A84">
        <w:rPr>
          <w:rFonts w:cs="Times New Roman"/>
          <w:sz w:val="24"/>
          <w:szCs w:val="24"/>
        </w:rPr>
        <w:instrText xml:space="preserve">Rico","given":"Julio Elias"},{"family":"Bordons","given":"Carlos"}],"issued":{"date-parts":[["2017",6]]}}}],"schema":"https://github.com/citation-style-language/schema/raw/master/csl-citation.json"} </w:instrText>
      </w:r>
      <w:r w:rsidRPr="00F45A84">
        <w:rPr>
          <w:rFonts w:cs="Times New Roman"/>
          <w:sz w:val="24"/>
          <w:szCs w:val="24"/>
        </w:rPr>
        <w:fldChar w:fldCharType="separate"/>
      </w:r>
      <w:r w:rsidRPr="00F45A84">
        <w:rPr>
          <w:rFonts w:cs="Times New Roman"/>
          <w:sz w:val="24"/>
          <w:szCs w:val="24"/>
        </w:rPr>
        <w:t xml:space="preserve">(Mazaeda et al., 2015; Menezes Morato et al., 2017) </w:t>
      </w:r>
      <w:r w:rsidRPr="00F45A84">
        <w:rPr>
          <w:rFonts w:cs="Times New Roman"/>
          <w:sz w:val="24"/>
          <w:szCs w:val="24"/>
        </w:rPr>
        <w:fldChar w:fldCharType="end"/>
      </w:r>
      <w:r w:rsidRPr="00F45A84">
        <w:rPr>
          <w:rFonts w:cs="Times New Roman"/>
          <w:sz w:val="24"/>
          <w:szCs w:val="24"/>
        </w:rPr>
        <w:t>.</w:t>
      </w:r>
    </w:p>
    <w:p w14:paraId="3019616B" w14:textId="457154A8" w:rsidR="00956FBD" w:rsidRDefault="00956FBD">
      <w:pPr>
        <w:pStyle w:val="BodyText"/>
        <w:spacing w:before="159"/>
        <w:ind w:right="146"/>
      </w:pPr>
    </w:p>
    <w:p w14:paraId="5C0E6469" w14:textId="77777777" w:rsidR="0092413E" w:rsidRDefault="0092413E">
      <w:pPr>
        <w:pStyle w:val="BodyText"/>
        <w:spacing w:before="159"/>
        <w:ind w:right="146"/>
      </w:pPr>
    </w:p>
    <w:p w14:paraId="58BB2328" w14:textId="77777777" w:rsidR="00956FBD" w:rsidRDefault="00000000">
      <w:pPr>
        <w:pStyle w:val="Heading1"/>
        <w:spacing w:before="160"/>
      </w:pPr>
      <w:r>
        <w:rPr>
          <w:spacing w:val="-2"/>
        </w:rPr>
        <w:lastRenderedPageBreak/>
        <w:t>Conclusion</w:t>
      </w:r>
    </w:p>
    <w:p w14:paraId="555637D2" w14:textId="77777777" w:rsidR="0092413E" w:rsidRPr="00F45A84" w:rsidRDefault="0092413E" w:rsidP="00561CB6">
      <w:pPr>
        <w:tabs>
          <w:tab w:val="left" w:pos="2831"/>
        </w:tabs>
        <w:spacing w:before="240"/>
        <w:ind w:left="1560"/>
        <w:jc w:val="both"/>
        <w:rPr>
          <w:rFonts w:cs="Times New Roman"/>
          <w:sz w:val="24"/>
          <w:szCs w:val="24"/>
        </w:rPr>
      </w:pPr>
      <w:r w:rsidRPr="00F45A84">
        <w:rPr>
          <w:rFonts w:cs="Times New Roman"/>
          <w:sz w:val="24"/>
          <w:szCs w:val="24"/>
        </w:rPr>
        <w:t>This study shows that publications on model predictive control (MPC) in the sugar industry have gradually evolved over time. Initial publications appeared in the late 1990s and were dominated by fundamental studies of MPC in key process units such as evaporators and crystallizers. After a period of relatively slow growth, the number of publications has increased more consistently since the mid-2010s, in line with the development of issues related to energy efficiency, bioethanol, and plant system integration. This indicates that MPC is increasingly seen as a relevant solution to the operational and sustainability challenges of the modern sugar industry.</w:t>
      </w:r>
    </w:p>
    <w:p w14:paraId="67A858BD" w14:textId="77777777" w:rsidR="0092413E" w:rsidRPr="00F45A84" w:rsidRDefault="0092413E" w:rsidP="00561CB6">
      <w:pPr>
        <w:tabs>
          <w:tab w:val="left" w:pos="2831"/>
        </w:tabs>
        <w:spacing w:before="240"/>
        <w:ind w:left="1560"/>
        <w:jc w:val="both"/>
        <w:rPr>
          <w:rFonts w:cs="Times New Roman"/>
          <w:sz w:val="24"/>
          <w:szCs w:val="24"/>
        </w:rPr>
      </w:pPr>
      <w:r w:rsidRPr="00F45A84">
        <w:rPr>
          <w:rFonts w:cs="Times New Roman"/>
          <w:sz w:val="24"/>
          <w:szCs w:val="24"/>
        </w:rPr>
        <w:t>In terms of geographic and institutional contributions, countries such as India, Brazil, Spain, and France emerge as major contributors, reflecting the combination of academic strength and the size of the sugar industry in the region. Institutions such as the University of Valladolid, Universidad de Salamanca, Université de La Réunion, and Universidade Estadual de Campinas play a central role in the development of MPC research, both in terms of productivity and citation impact. Furthermore, highly reputable journals such as the Journal of Food Engineering, Energy, and Journal of Process Control serve as key channels for knowledge dissemination, demonstrating the interdisciplinary nature of MPC research, bridging control engineering, process engineering, and energy.</w:t>
      </w:r>
    </w:p>
    <w:p w14:paraId="4061489D" w14:textId="77777777" w:rsidR="0092413E" w:rsidRPr="00F45A84" w:rsidRDefault="0092413E" w:rsidP="00561CB6">
      <w:pPr>
        <w:tabs>
          <w:tab w:val="left" w:pos="2831"/>
        </w:tabs>
        <w:spacing w:before="240"/>
        <w:ind w:left="1560"/>
        <w:jc w:val="both"/>
        <w:rPr>
          <w:rFonts w:cs="Times New Roman"/>
          <w:sz w:val="24"/>
          <w:szCs w:val="24"/>
        </w:rPr>
      </w:pPr>
      <w:r w:rsidRPr="00F45A84">
        <w:rPr>
          <w:rFonts w:cs="Times New Roman"/>
          <w:sz w:val="24"/>
          <w:szCs w:val="24"/>
        </w:rPr>
        <w:t>Citation analysis reveals that a number of classical and methodological publications receive the highest number of citations, especially works integrating MPC with nonlinear modeling, energy optimization, and real-world industrial applications. Authors such as Vega, Zamarreño, Normey-Rico, Bordons, and Benne prove to be the most influential, both in terms of total citations and central position in the co-citation network. Meanwhile, keyword analysis shows that the most frequently explored topics include evaporation, crystallization, sugar industry, model predictive control, energy efficiency, and ethanol, with recent trends toward plant-wide control, hierarchical MPC, and bioenergy systems, signaling the evolution of research from unit control to comprehensive system integration.</w:t>
      </w:r>
    </w:p>
    <w:p w14:paraId="6F2B95D6" w14:textId="77777777" w:rsidR="0092413E" w:rsidRPr="00F45A84" w:rsidRDefault="0092413E" w:rsidP="00561CB6">
      <w:pPr>
        <w:tabs>
          <w:tab w:val="left" w:pos="2831"/>
        </w:tabs>
        <w:spacing w:before="240"/>
        <w:ind w:left="1560"/>
        <w:jc w:val="both"/>
        <w:rPr>
          <w:rFonts w:cs="Times New Roman"/>
          <w:sz w:val="24"/>
          <w:szCs w:val="24"/>
        </w:rPr>
      </w:pPr>
      <w:r w:rsidRPr="00F45A84">
        <w:rPr>
          <w:rFonts w:cs="Times New Roman"/>
          <w:sz w:val="24"/>
          <w:szCs w:val="24"/>
        </w:rPr>
        <w:t>Theoretically, the results of this study strengthen the position of MPC as a dominant and mature approach in process control in the sugar industry, while also demonstrating a shift in research focus toward issues of integration, energy efficiency, and sustainability. Mapping influential authors, institutions, and journals can serve as a strategic reference for new researchers to understand the scientific landscape, build international collaborations, and identify relevant journals for publication. From a practical and industrial perspective, these findings indicate that the application of MPC is no longer limited to the unit operation level, but is increasingly directed toward plant-wide control and energy optimization, which is highly relevant for modern sugar mills facing pressures of cost, efficiency, and environmental regulations. Furthermore, the dominance of bioethanol and energy topics opens up opportunities for integrating MPC with energy transition and green industry policies, particularly in sugarcane-producing countries.</w:t>
      </w:r>
    </w:p>
    <w:p w14:paraId="762014AC" w14:textId="77777777" w:rsidR="0092413E" w:rsidRDefault="0092413E" w:rsidP="00561CB6">
      <w:pPr>
        <w:tabs>
          <w:tab w:val="left" w:pos="2831"/>
        </w:tabs>
        <w:spacing w:before="240"/>
        <w:ind w:left="1560"/>
        <w:jc w:val="both"/>
        <w:rPr>
          <w:rFonts w:cs="Times New Roman"/>
          <w:sz w:val="24"/>
          <w:szCs w:val="24"/>
        </w:rPr>
      </w:pPr>
      <w:r w:rsidRPr="00F45A84">
        <w:rPr>
          <w:rFonts w:cs="Times New Roman"/>
          <w:sz w:val="24"/>
          <w:szCs w:val="24"/>
        </w:rPr>
        <w:t xml:space="preserve">This study has several limitations that require attention. First, the bibliometric analysis relies on a single primary database, potentially overlooking publications that are not indexed or fall outside the scope of that database. Second, the use of quantitative indicators such as the number of publications and citations does not fully represent the quality or practical impact of each study. Third, keyword analysis relies heavily on </w:t>
      </w:r>
      <w:r w:rsidRPr="00F45A84">
        <w:rPr>
          <w:rFonts w:cs="Times New Roman"/>
          <w:sz w:val="24"/>
          <w:szCs w:val="24"/>
        </w:rPr>
        <w:lastRenderedPageBreak/>
        <w:t>the consistency of terminology used by authors, so variations in terminology can influence the results of thematic mapping. Therefore, further studies are recommended to combine bibliometrics with systematic literature reviews or industry case studies to gain a more in-depth and contextual understanding.</w:t>
      </w:r>
    </w:p>
    <w:p w14:paraId="33F5FE32" w14:textId="6CF39FAF" w:rsidR="00956FBD" w:rsidRDefault="00CF554D" w:rsidP="00CF554D">
      <w:pPr>
        <w:tabs>
          <w:tab w:val="left" w:pos="1558"/>
        </w:tabs>
      </w:pPr>
      <w:r>
        <w:rPr>
          <w:rFonts w:cs="Times New Roman"/>
          <w:sz w:val="24"/>
          <w:szCs w:val="24"/>
        </w:rPr>
        <w:tab/>
      </w:r>
    </w:p>
    <w:p w14:paraId="20908FC2" w14:textId="7A02DBBF" w:rsidR="00743D6E" w:rsidRDefault="00000000" w:rsidP="00CF554D">
      <w:pPr>
        <w:pStyle w:val="Heading1"/>
        <w:ind w:left="823"/>
        <w:rPr>
          <w:spacing w:val="-2"/>
        </w:rPr>
      </w:pPr>
      <w:r>
        <w:rPr>
          <w:spacing w:val="-2"/>
        </w:rPr>
        <w:t>References</w:t>
      </w:r>
    </w:p>
    <w:p w14:paraId="458210B6" w14:textId="4A90EEF6"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b/>
          <w:bCs/>
          <w:sz w:val="22"/>
          <w:szCs w:val="22"/>
        </w:rPr>
        <w:fldChar w:fldCharType="begin"/>
      </w:r>
      <w:r w:rsidRPr="00C94C6D">
        <w:rPr>
          <w:rFonts w:ascii="Times New Roman" w:hAnsi="Times New Roman" w:cs="Times New Roman"/>
          <w:b/>
          <w:bCs/>
          <w:sz w:val="22"/>
          <w:szCs w:val="22"/>
        </w:rPr>
        <w:instrText xml:space="preserve"> ADDIN ZOTERO_BIBL {"uncited":[],"omitted":[],"custom":[]} CSL_BIBLIOGRAPHY </w:instrText>
      </w:r>
      <w:r w:rsidRPr="00C94C6D">
        <w:rPr>
          <w:rFonts w:ascii="Times New Roman" w:hAnsi="Times New Roman" w:cs="Times New Roman"/>
          <w:b/>
          <w:bCs/>
          <w:sz w:val="22"/>
          <w:szCs w:val="22"/>
        </w:rPr>
        <w:fldChar w:fldCharType="separate"/>
      </w:r>
      <w:r w:rsidRPr="00C94C6D">
        <w:rPr>
          <w:rFonts w:ascii="Times New Roman" w:hAnsi="Times New Roman" w:cs="Times New Roman"/>
          <w:sz w:val="22"/>
          <w:szCs w:val="22"/>
        </w:rPr>
        <w:t xml:space="preserve">Afram, A., &amp; Janabi-Sharifi, F. (2014). Theory and applications of HVAC control systems – A review of model predictive control (MPC). </w:t>
      </w:r>
      <w:r w:rsidRPr="00C94C6D">
        <w:rPr>
          <w:rFonts w:ascii="Times New Roman" w:hAnsi="Times New Roman" w:cs="Times New Roman"/>
          <w:i/>
          <w:iCs/>
          <w:sz w:val="22"/>
          <w:szCs w:val="22"/>
        </w:rPr>
        <w:t>Building and Environment</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72</w:t>
      </w:r>
      <w:r w:rsidRPr="00C94C6D">
        <w:rPr>
          <w:rFonts w:ascii="Times New Roman" w:hAnsi="Times New Roman" w:cs="Times New Roman"/>
          <w:sz w:val="22"/>
          <w:szCs w:val="22"/>
        </w:rPr>
        <w:t>, 343–355. https://doi.org/10.1016/j.buildenv.2013.11.016</w:t>
      </w:r>
    </w:p>
    <w:p w14:paraId="29C7DF06"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Alves, V., Dos Santos, J. M., Viegas, O., Pinto, E., Ferreira, I. M. P. L. V. O., Aparecido Lima, V., &amp; Felsner, M. L. (2024). An eco-friendly approach for analysing sugars, minerals, and colour in brown sugar using digital image processing and machine learning. </w:t>
      </w:r>
      <w:r w:rsidRPr="00C94C6D">
        <w:rPr>
          <w:rFonts w:ascii="Times New Roman" w:hAnsi="Times New Roman" w:cs="Times New Roman"/>
          <w:i/>
          <w:iCs/>
          <w:sz w:val="22"/>
          <w:szCs w:val="22"/>
        </w:rPr>
        <w:t>Food Research International</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191</w:t>
      </w:r>
      <w:r w:rsidRPr="00C94C6D">
        <w:rPr>
          <w:rFonts w:ascii="Times New Roman" w:hAnsi="Times New Roman" w:cs="Times New Roman"/>
          <w:sz w:val="22"/>
          <w:szCs w:val="22"/>
        </w:rPr>
        <w:t>, 114673. https://doi.org/10.1016/j.foodres.2024.114673</w:t>
      </w:r>
    </w:p>
    <w:p w14:paraId="73C3B8E7"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Areeya, S., Tawai, A., &amp; Sriariyanun, M. (2020). Model-Based Control for Fed-Batch Enzymatic Hydrolysis Reactor of Lignocellulosic Biomass. </w:t>
      </w:r>
      <w:r w:rsidRPr="00C94C6D">
        <w:rPr>
          <w:rFonts w:ascii="Times New Roman" w:hAnsi="Times New Roman" w:cs="Times New Roman"/>
          <w:i/>
          <w:iCs/>
          <w:sz w:val="22"/>
          <w:szCs w:val="22"/>
        </w:rPr>
        <w:t>2020 6th International Conference on Control, Automation and Robotics (ICCAR)</w:t>
      </w:r>
      <w:r w:rsidRPr="00C94C6D">
        <w:rPr>
          <w:rFonts w:ascii="Times New Roman" w:hAnsi="Times New Roman" w:cs="Times New Roman"/>
          <w:sz w:val="22"/>
          <w:szCs w:val="22"/>
        </w:rPr>
        <w:t>, 536–540. https://doi.org/10.1109/ICCAR49639.2020.9108066</w:t>
      </w:r>
    </w:p>
    <w:p w14:paraId="369959F3"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Benne, M., Grondin- Perez, B., Chabriat, J.-P., &amp; Hervé, P. (2000). Artificial neural networks for modelling and predictive control of an industrial evaporation process. </w:t>
      </w:r>
      <w:r w:rsidRPr="00C94C6D">
        <w:rPr>
          <w:rFonts w:ascii="Times New Roman" w:hAnsi="Times New Roman" w:cs="Times New Roman"/>
          <w:i/>
          <w:iCs/>
          <w:sz w:val="22"/>
          <w:szCs w:val="22"/>
        </w:rPr>
        <w:t>Journal of Food Engineering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46</w:t>
      </w:r>
      <w:r w:rsidRPr="00C94C6D">
        <w:rPr>
          <w:rFonts w:ascii="Times New Roman" w:hAnsi="Times New Roman" w:cs="Times New Roman"/>
          <w:sz w:val="22"/>
          <w:szCs w:val="22"/>
        </w:rPr>
        <w:t>(4), 227–234. https://doi.org/10.1016/S0260-8774(00)00055-8</w:t>
      </w:r>
    </w:p>
    <w:p w14:paraId="341C85A3"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Bordons, C., &amp; Camacho, E. F. (1999). Application of simple cascade GPC with robust behaviour to a sugar refinery. </w:t>
      </w:r>
      <w:r w:rsidRPr="00C94C6D">
        <w:rPr>
          <w:rFonts w:ascii="Times New Roman" w:hAnsi="Times New Roman" w:cs="Times New Roman"/>
          <w:i/>
          <w:iCs/>
          <w:sz w:val="22"/>
          <w:szCs w:val="22"/>
        </w:rPr>
        <w:t>1999 European Control Conference (ECC)</w:t>
      </w:r>
      <w:r w:rsidRPr="00C94C6D">
        <w:rPr>
          <w:rFonts w:ascii="Times New Roman" w:hAnsi="Times New Roman" w:cs="Times New Roman"/>
          <w:sz w:val="22"/>
          <w:szCs w:val="22"/>
        </w:rPr>
        <w:t>, 1405–1410. https://doi.org/10.23919/ECC.1999.7099508</w:t>
      </w:r>
    </w:p>
    <w:p w14:paraId="453F8732"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Cadet, C., Touré, Y., Gilles, G., &amp; Chabriat, J. P. (1999). Knowledge modeling and nonlinear predictive control of evaporators in cane sugar production plants. </w:t>
      </w:r>
      <w:r w:rsidRPr="00C94C6D">
        <w:rPr>
          <w:rFonts w:ascii="Times New Roman" w:hAnsi="Times New Roman" w:cs="Times New Roman"/>
          <w:i/>
          <w:iCs/>
          <w:sz w:val="22"/>
          <w:szCs w:val="22"/>
        </w:rPr>
        <w:t>Journal of Food Engineering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40</w:t>
      </w:r>
      <w:r w:rsidRPr="00C94C6D">
        <w:rPr>
          <w:rFonts w:ascii="Times New Roman" w:hAnsi="Times New Roman" w:cs="Times New Roman"/>
          <w:sz w:val="22"/>
          <w:szCs w:val="22"/>
        </w:rPr>
        <w:t>(1–2), 59–70. https://doi.org/10.1016/S0260-8774(99)00037-0</w:t>
      </w:r>
    </w:p>
    <w:p w14:paraId="31325FDB"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Cadet, C., Toure, Y., Gilles, G., &amp; Gatina, J. C. (1999). Non linear receding horizon observer and model based predictive control of evaporators in cane sugar industry. </w:t>
      </w:r>
      <w:r w:rsidRPr="00C94C6D">
        <w:rPr>
          <w:rFonts w:ascii="Times New Roman" w:hAnsi="Times New Roman" w:cs="Times New Roman"/>
          <w:i/>
          <w:iCs/>
          <w:sz w:val="22"/>
          <w:szCs w:val="22"/>
        </w:rPr>
        <w:t>1999 European Control Conference (ECC)</w:t>
      </w:r>
      <w:r w:rsidRPr="00C94C6D">
        <w:rPr>
          <w:rFonts w:ascii="Times New Roman" w:hAnsi="Times New Roman" w:cs="Times New Roman"/>
          <w:sz w:val="22"/>
          <w:szCs w:val="22"/>
        </w:rPr>
        <w:t>, 3053–3058. https://doi.org/10.23919/ECC.1999.7099794</w:t>
      </w:r>
    </w:p>
    <w:p w14:paraId="74943477"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Cavalcante, C. S., &amp; De Albuquerque, F. M. (2015). The Sugar Production Process. In </w:t>
      </w:r>
      <w:r w:rsidRPr="00C94C6D">
        <w:rPr>
          <w:rFonts w:ascii="Times New Roman" w:hAnsi="Times New Roman" w:cs="Times New Roman"/>
          <w:i/>
          <w:iCs/>
          <w:sz w:val="22"/>
          <w:szCs w:val="22"/>
        </w:rPr>
        <w:t>Sugarcane</w:t>
      </w:r>
      <w:r w:rsidRPr="00C94C6D">
        <w:rPr>
          <w:rFonts w:ascii="Times New Roman" w:hAnsi="Times New Roman" w:cs="Times New Roman"/>
          <w:sz w:val="22"/>
          <w:szCs w:val="22"/>
        </w:rPr>
        <w:t xml:space="preserve"> (pp. 285–310). Elsevier. https://doi.org/10.1016/B978-0-12-802239-9.00014-1</w:t>
      </w:r>
    </w:p>
    <w:p w14:paraId="74ADA640"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Chusniyah, A., Makruf, I., &amp; Supriyanto. (2024). Two decades of sustainable development studies in higher education management: A bibliometric analysis. </w:t>
      </w:r>
      <w:r w:rsidRPr="00C94C6D">
        <w:rPr>
          <w:rFonts w:ascii="Times New Roman" w:hAnsi="Times New Roman" w:cs="Times New Roman"/>
          <w:i/>
          <w:iCs/>
          <w:sz w:val="22"/>
          <w:szCs w:val="22"/>
        </w:rPr>
        <w:t>International Journal of Sustainability in Higher Education</w:t>
      </w:r>
      <w:r w:rsidRPr="00C94C6D">
        <w:rPr>
          <w:rFonts w:ascii="Times New Roman" w:hAnsi="Times New Roman" w:cs="Times New Roman"/>
          <w:sz w:val="22"/>
          <w:szCs w:val="22"/>
        </w:rPr>
        <w:t>. https://doi.org/10.1108/IJSHE-11-2023-0546</w:t>
      </w:r>
    </w:p>
    <w:p w14:paraId="44CFCA2E"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Dahiya, O., Kumar, A., &amp; Saini, M. (2019). Mathematical modeling and performance evaluation of A-pan crystallization system in a sugar industry. </w:t>
      </w:r>
      <w:r w:rsidRPr="00C94C6D">
        <w:rPr>
          <w:rFonts w:ascii="Times New Roman" w:hAnsi="Times New Roman" w:cs="Times New Roman"/>
          <w:i/>
          <w:iCs/>
          <w:sz w:val="22"/>
          <w:szCs w:val="22"/>
        </w:rPr>
        <w:t>SN Applied Sciences</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w:t>
      </w:r>
      <w:r w:rsidRPr="00C94C6D">
        <w:rPr>
          <w:rFonts w:ascii="Times New Roman" w:hAnsi="Times New Roman" w:cs="Times New Roman"/>
          <w:sz w:val="22"/>
          <w:szCs w:val="22"/>
        </w:rPr>
        <w:t>(4), 339. https://doi.org/10.1007/s42452-019-0348-0</w:t>
      </w:r>
    </w:p>
    <w:p w14:paraId="728C13F6"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Darby, M. L., &amp; Nikolaou, M. (2012). MPC: Current practice and challenges. </w:t>
      </w:r>
      <w:r w:rsidRPr="00C94C6D">
        <w:rPr>
          <w:rFonts w:ascii="Times New Roman" w:hAnsi="Times New Roman" w:cs="Times New Roman"/>
          <w:i/>
          <w:iCs/>
          <w:sz w:val="22"/>
          <w:szCs w:val="22"/>
        </w:rPr>
        <w:t>Control Engineering Practice</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20</w:t>
      </w:r>
      <w:r w:rsidRPr="00C94C6D">
        <w:rPr>
          <w:rFonts w:ascii="Times New Roman" w:hAnsi="Times New Roman" w:cs="Times New Roman"/>
          <w:sz w:val="22"/>
          <w:szCs w:val="22"/>
        </w:rPr>
        <w:t>(4), 328–342. https://doi.org/10.1016/j.conengprac.2011.12.004</w:t>
      </w:r>
    </w:p>
    <w:p w14:paraId="02E6A8A0"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De Prada, C., Sarabia, D., Cristea, S., &amp; Mazaeda, R. (2008). Plant‐wide control of a hybrid process. </w:t>
      </w:r>
      <w:r w:rsidRPr="00C94C6D">
        <w:rPr>
          <w:rFonts w:ascii="Times New Roman" w:hAnsi="Times New Roman" w:cs="Times New Roman"/>
          <w:i/>
          <w:iCs/>
          <w:sz w:val="22"/>
          <w:szCs w:val="22"/>
        </w:rPr>
        <w:t>International Journal of Adaptive Control and Signal Processing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22</w:t>
      </w:r>
      <w:r w:rsidRPr="00C94C6D">
        <w:rPr>
          <w:rFonts w:ascii="Times New Roman" w:hAnsi="Times New Roman" w:cs="Times New Roman"/>
          <w:sz w:val="22"/>
          <w:szCs w:val="22"/>
        </w:rPr>
        <w:t>(2), 124–141. https://doi.org/10.1002/acs.983</w:t>
      </w:r>
    </w:p>
    <w:p w14:paraId="65DFB719"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Eggleston, G., &amp; Monge, A. (2005). Optimization of sugarcane factory application of commercial dextranases. </w:t>
      </w:r>
      <w:r w:rsidRPr="00C94C6D">
        <w:rPr>
          <w:rFonts w:ascii="Times New Roman" w:hAnsi="Times New Roman" w:cs="Times New Roman"/>
          <w:i/>
          <w:iCs/>
          <w:sz w:val="22"/>
          <w:szCs w:val="22"/>
        </w:rPr>
        <w:t>Process Biochemistry</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40</w:t>
      </w:r>
      <w:r w:rsidRPr="00C94C6D">
        <w:rPr>
          <w:rFonts w:ascii="Times New Roman" w:hAnsi="Times New Roman" w:cs="Times New Roman"/>
          <w:sz w:val="22"/>
          <w:szCs w:val="22"/>
        </w:rPr>
        <w:t>(5), 1881–1894. https://doi.org/10.1016/j.procbio.2004.06.025</w:t>
      </w:r>
    </w:p>
    <w:p w14:paraId="52802408"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El‐Belghiti, K., Rabhi, Z., &amp; Vorobiev, E. (2005). Kinetic model of sugar diffusion from sugar beet tissue treated by pulsed electric field. </w:t>
      </w:r>
      <w:r w:rsidRPr="00C94C6D">
        <w:rPr>
          <w:rFonts w:ascii="Times New Roman" w:hAnsi="Times New Roman" w:cs="Times New Roman"/>
          <w:i/>
          <w:iCs/>
          <w:sz w:val="22"/>
          <w:szCs w:val="22"/>
        </w:rPr>
        <w:t>Journal of the Science of Food and Agriculture</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85</w:t>
      </w:r>
      <w:r w:rsidRPr="00C94C6D">
        <w:rPr>
          <w:rFonts w:ascii="Times New Roman" w:hAnsi="Times New Roman" w:cs="Times New Roman"/>
          <w:sz w:val="22"/>
          <w:szCs w:val="22"/>
        </w:rPr>
        <w:t>(2), 213–218. https://doi.org/10.1002/jsfa.1944</w:t>
      </w:r>
    </w:p>
    <w:p w14:paraId="18F3319B"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Gomes, S. M., Santos, D. F. L., &amp; Basso, L. F. C. (2019). Innovation strategies in the Brazilian sugar–energy industry. </w:t>
      </w:r>
      <w:r w:rsidRPr="00C94C6D">
        <w:rPr>
          <w:rFonts w:ascii="Times New Roman" w:hAnsi="Times New Roman" w:cs="Times New Roman"/>
          <w:i/>
          <w:iCs/>
          <w:sz w:val="22"/>
          <w:szCs w:val="22"/>
        </w:rPr>
        <w:t>Journal of Agribusiness in Developing and Emerging Economies</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9</w:t>
      </w:r>
      <w:r w:rsidRPr="00C94C6D">
        <w:rPr>
          <w:rFonts w:ascii="Times New Roman" w:hAnsi="Times New Roman" w:cs="Times New Roman"/>
          <w:sz w:val="22"/>
          <w:szCs w:val="22"/>
        </w:rPr>
        <w:t>(5), 536–551. https://doi.org/10.1108/JADEE-09-2018-0120</w:t>
      </w:r>
    </w:p>
    <w:p w14:paraId="44C2D3F6"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Grondin-Perez, B., Benne, M., Bonnecaze, C., &amp; Chabriat, J.-P. (2005). Industrial multi-step forward predictor of mother liquor purity of the final stage of a cane sugar crystallisation plant. </w:t>
      </w:r>
      <w:r w:rsidRPr="00C94C6D">
        <w:rPr>
          <w:rFonts w:ascii="Times New Roman" w:hAnsi="Times New Roman" w:cs="Times New Roman"/>
          <w:i/>
          <w:iCs/>
          <w:sz w:val="22"/>
          <w:szCs w:val="22"/>
        </w:rPr>
        <w:t>Journal of Food Engineering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66</w:t>
      </w:r>
      <w:r w:rsidRPr="00C94C6D">
        <w:rPr>
          <w:rFonts w:ascii="Times New Roman" w:hAnsi="Times New Roman" w:cs="Times New Roman"/>
          <w:sz w:val="22"/>
          <w:szCs w:val="22"/>
        </w:rPr>
        <w:t>(3), 361–367. https://doi.org/10.1016/j.jfoodeng.2004.04.002</w:t>
      </w:r>
    </w:p>
    <w:p w14:paraId="014A573E"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Higa, M., Freitas, A. J., Bannwart, A. C., &amp; Zemp, R. J. (2009). Thermal integration of multiple effect evaporator in sugar plant. </w:t>
      </w:r>
      <w:r w:rsidRPr="00C94C6D">
        <w:rPr>
          <w:rFonts w:ascii="Times New Roman" w:hAnsi="Times New Roman" w:cs="Times New Roman"/>
          <w:i/>
          <w:iCs/>
          <w:sz w:val="22"/>
          <w:szCs w:val="22"/>
        </w:rPr>
        <w:t>Applied Thermal Engineering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29</w:t>
      </w:r>
      <w:r w:rsidRPr="00C94C6D">
        <w:rPr>
          <w:rFonts w:ascii="Times New Roman" w:hAnsi="Times New Roman" w:cs="Times New Roman"/>
          <w:sz w:val="22"/>
          <w:szCs w:val="22"/>
        </w:rPr>
        <w:t>(2–3), 515–522. https://doi.org/10.1016/j.applthermaleng.2008.03.009</w:t>
      </w:r>
    </w:p>
    <w:p w14:paraId="1C0194F5"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Irwanto, I. (2025). Research trends on artificial intelligence in K-12 education in Asia: A bibliometric analysis using the Scopus database (1996–2025). </w:t>
      </w:r>
      <w:r w:rsidRPr="00C94C6D">
        <w:rPr>
          <w:rFonts w:ascii="Times New Roman" w:hAnsi="Times New Roman" w:cs="Times New Roman"/>
          <w:i/>
          <w:iCs/>
          <w:sz w:val="22"/>
          <w:szCs w:val="22"/>
        </w:rPr>
        <w:t>Discover Artificial Intelligence</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5</w:t>
      </w:r>
      <w:r w:rsidRPr="00C94C6D">
        <w:rPr>
          <w:rFonts w:ascii="Times New Roman" w:hAnsi="Times New Roman" w:cs="Times New Roman"/>
          <w:sz w:val="22"/>
          <w:szCs w:val="22"/>
        </w:rPr>
        <w:t>(1), 155. https://doi.org/10.1007/s44163-025-00389-4</w:t>
      </w:r>
    </w:p>
    <w:p w14:paraId="03BC2DA9"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lastRenderedPageBreak/>
        <w:t xml:space="preserve">Jorge, L. M. M., Righetto, A. R., Polli, P. A., Santos, O. A. A., &amp; Filho, R. M. (2010). Simulation and analysis of a sugarcane juice evaporation system. </w:t>
      </w:r>
      <w:r w:rsidRPr="00C94C6D">
        <w:rPr>
          <w:rFonts w:ascii="Times New Roman" w:hAnsi="Times New Roman" w:cs="Times New Roman"/>
          <w:i/>
          <w:iCs/>
          <w:sz w:val="22"/>
          <w:szCs w:val="22"/>
        </w:rPr>
        <w:t>Journal of Food Engineering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99</w:t>
      </w:r>
      <w:r w:rsidRPr="00C94C6D">
        <w:rPr>
          <w:rFonts w:ascii="Times New Roman" w:hAnsi="Times New Roman" w:cs="Times New Roman"/>
          <w:sz w:val="22"/>
          <w:szCs w:val="22"/>
        </w:rPr>
        <w:t>(3), 351–359. https://doi.org/10.1016/j.jfoodeng.2010.03.017</w:t>
      </w:r>
    </w:p>
    <w:p w14:paraId="65306347"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Kadyan, M. S., &amp; Kumar, R. (2017). Availability based operational behavior of B-Pan crystallization system in the sugar industry. </w:t>
      </w:r>
      <w:r w:rsidRPr="00C94C6D">
        <w:rPr>
          <w:rFonts w:ascii="Times New Roman" w:hAnsi="Times New Roman" w:cs="Times New Roman"/>
          <w:i/>
          <w:iCs/>
          <w:sz w:val="22"/>
          <w:szCs w:val="22"/>
        </w:rPr>
        <w:t>International Journal of System Assurance Engineering and Management</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8</w:t>
      </w:r>
      <w:r w:rsidRPr="00C94C6D">
        <w:rPr>
          <w:rFonts w:ascii="Times New Roman" w:hAnsi="Times New Roman" w:cs="Times New Roman"/>
          <w:sz w:val="22"/>
          <w:szCs w:val="22"/>
        </w:rPr>
        <w:t>(S2), 1450–1460. https://doi.org/10.1007/s13198-017-0614-8</w:t>
      </w:r>
    </w:p>
    <w:p w14:paraId="0C5D89CD"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Kaya, D., &amp; Ibrahim Sarac, H. (2007). Mathematical modeling of multiple-effect evaporators and energy economy. </w:t>
      </w:r>
      <w:r w:rsidRPr="00C94C6D">
        <w:rPr>
          <w:rFonts w:ascii="Times New Roman" w:hAnsi="Times New Roman" w:cs="Times New Roman"/>
          <w:i/>
          <w:iCs/>
          <w:sz w:val="22"/>
          <w:szCs w:val="22"/>
        </w:rPr>
        <w:t>Energy</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32</w:t>
      </w:r>
      <w:r w:rsidRPr="00C94C6D">
        <w:rPr>
          <w:rFonts w:ascii="Times New Roman" w:hAnsi="Times New Roman" w:cs="Times New Roman"/>
          <w:sz w:val="22"/>
          <w:szCs w:val="22"/>
        </w:rPr>
        <w:t>(8), 1536–1542. https://doi.org/10.1016/j.energy.2006.09.002</w:t>
      </w:r>
    </w:p>
    <w:p w14:paraId="7B7C47F3"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Khaire, R. A., &amp; Gogate, P. R. (2018). Intensified recovery of lactose from whey using thermal, ultrasonic and thermosonication pretreatments. </w:t>
      </w:r>
      <w:r w:rsidRPr="00C94C6D">
        <w:rPr>
          <w:rFonts w:ascii="Times New Roman" w:hAnsi="Times New Roman" w:cs="Times New Roman"/>
          <w:i/>
          <w:iCs/>
          <w:sz w:val="22"/>
          <w:szCs w:val="22"/>
        </w:rPr>
        <w:t>Journal of Food Engineering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237</w:t>
      </w:r>
      <w:r w:rsidRPr="00C94C6D">
        <w:rPr>
          <w:rFonts w:ascii="Times New Roman" w:hAnsi="Times New Roman" w:cs="Times New Roman"/>
          <w:sz w:val="22"/>
          <w:szCs w:val="22"/>
        </w:rPr>
        <w:t>, 240–248. https://doi.org/10.1016/j.jfoodeng.2018.04.027</w:t>
      </w:r>
    </w:p>
    <w:p w14:paraId="69E1243E"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Kozak, S. (2016). From PID to MPC: Control engineering methods development and applications. </w:t>
      </w:r>
      <w:r w:rsidRPr="00C94C6D">
        <w:rPr>
          <w:rFonts w:ascii="Times New Roman" w:hAnsi="Times New Roman" w:cs="Times New Roman"/>
          <w:i/>
          <w:iCs/>
          <w:sz w:val="22"/>
          <w:szCs w:val="22"/>
        </w:rPr>
        <w:t>2016 Cybernetics &amp; Informatics (K&amp;I)</w:t>
      </w:r>
      <w:r w:rsidRPr="00C94C6D">
        <w:rPr>
          <w:rFonts w:ascii="Times New Roman" w:hAnsi="Times New Roman" w:cs="Times New Roman"/>
          <w:sz w:val="22"/>
          <w:szCs w:val="22"/>
        </w:rPr>
        <w:t>, 1–7. https://doi.org/10.1109/CYBERI.2016.7438634</w:t>
      </w:r>
    </w:p>
    <w:p w14:paraId="7D385F2C"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Lavarack, B. P. (2007). Application of energy integration techniques (pinch technology) to reduce process steam consumption for raw sugar factories. </w:t>
      </w:r>
      <w:r w:rsidRPr="00C94C6D">
        <w:rPr>
          <w:rFonts w:ascii="Times New Roman" w:hAnsi="Times New Roman" w:cs="Times New Roman"/>
          <w:i/>
          <w:iCs/>
          <w:sz w:val="22"/>
          <w:szCs w:val="22"/>
        </w:rPr>
        <w:t>International Sugar Journal</w:t>
      </w:r>
      <w:r w:rsidRPr="00C94C6D">
        <w:rPr>
          <w:rFonts w:ascii="Times New Roman" w:hAnsi="Times New Roman" w:cs="Times New Roman"/>
          <w:sz w:val="22"/>
          <w:szCs w:val="22"/>
        </w:rPr>
        <w:t>, 58–68.</w:t>
      </w:r>
    </w:p>
    <w:p w14:paraId="76A81677"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Lee, J. H. (2011). Model predictive control: Review of the three decades of development. </w:t>
      </w:r>
      <w:r w:rsidRPr="00C94C6D">
        <w:rPr>
          <w:rFonts w:ascii="Times New Roman" w:hAnsi="Times New Roman" w:cs="Times New Roman"/>
          <w:i/>
          <w:iCs/>
          <w:sz w:val="22"/>
          <w:szCs w:val="22"/>
        </w:rPr>
        <w:t>International Journal of Control, Automation and Systems</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9</w:t>
      </w:r>
      <w:r w:rsidRPr="00C94C6D">
        <w:rPr>
          <w:rFonts w:ascii="Times New Roman" w:hAnsi="Times New Roman" w:cs="Times New Roman"/>
          <w:sz w:val="22"/>
          <w:szCs w:val="22"/>
        </w:rPr>
        <w:t>(3), 415–424. https://doi.org/10.1007/s12555-011-0300-6</w:t>
      </w:r>
    </w:p>
    <w:p w14:paraId="2972BA42"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Mandegari, M. A., Farzad, S., Van Rensburg, E., &amp; Görgens, J. F. (2017). Multi‐criteria analysis of a biorefinery for co‐production of lactic acid and ethanol from sugarcane lignocellulose. </w:t>
      </w:r>
      <w:r w:rsidRPr="00C94C6D">
        <w:rPr>
          <w:rFonts w:ascii="Times New Roman" w:hAnsi="Times New Roman" w:cs="Times New Roman"/>
          <w:i/>
          <w:iCs/>
          <w:sz w:val="22"/>
          <w:szCs w:val="22"/>
        </w:rPr>
        <w:t>Biofuels, Bioproducts and Biorefining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11</w:t>
      </w:r>
      <w:r w:rsidRPr="00C94C6D">
        <w:rPr>
          <w:rFonts w:ascii="Times New Roman" w:hAnsi="Times New Roman" w:cs="Times New Roman"/>
          <w:sz w:val="22"/>
          <w:szCs w:val="22"/>
        </w:rPr>
        <w:t>(6), 971–990. https://doi.org/10.1002/bbb.1801</w:t>
      </w:r>
    </w:p>
    <w:p w14:paraId="31604687"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Mazaeda, R., Cristea, S. P., &amp; De Prada, C. (2015). Plant-wide hierarchical optimal control of a crystallization process. </w:t>
      </w:r>
      <w:r w:rsidRPr="00C94C6D">
        <w:rPr>
          <w:rFonts w:ascii="Times New Roman" w:hAnsi="Times New Roman" w:cs="Times New Roman"/>
          <w:i/>
          <w:iCs/>
          <w:sz w:val="22"/>
          <w:szCs w:val="22"/>
        </w:rPr>
        <w:t>IFAC-PapersOnLine</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48</w:t>
      </w:r>
      <w:r w:rsidRPr="00C94C6D">
        <w:rPr>
          <w:rFonts w:ascii="Times New Roman" w:hAnsi="Times New Roman" w:cs="Times New Roman"/>
          <w:sz w:val="22"/>
          <w:szCs w:val="22"/>
        </w:rPr>
        <w:t>(8), 1210–1215. https://doi.org/10.1016/j.ifacol.2015.09.133</w:t>
      </w:r>
    </w:p>
    <w:p w14:paraId="557E66A2"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Mazaeda, R., Cristea, S. P., &amp; De Prada, C. (2020). Hierarchically coordinated economic MPC plantwide control of mixed continuous‐batch units in process industries with application to a beet sugar plant. </w:t>
      </w:r>
      <w:r w:rsidRPr="00C94C6D">
        <w:rPr>
          <w:rFonts w:ascii="Times New Roman" w:hAnsi="Times New Roman" w:cs="Times New Roman"/>
          <w:i/>
          <w:iCs/>
          <w:sz w:val="22"/>
          <w:szCs w:val="22"/>
        </w:rPr>
        <w:t>Optimal Control Applications and Methods</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41</w:t>
      </w:r>
      <w:r w:rsidRPr="00C94C6D">
        <w:rPr>
          <w:rFonts w:ascii="Times New Roman" w:hAnsi="Times New Roman" w:cs="Times New Roman"/>
          <w:sz w:val="22"/>
          <w:szCs w:val="22"/>
        </w:rPr>
        <w:t>(1), 190–214. https://doi.org/10.1002/oca.2535</w:t>
      </w:r>
    </w:p>
    <w:p w14:paraId="6D343A87"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Menezes Morato, M., Da Costa Mendes, P. R., Normey‐Rico, J. E., &amp; Bordons, C. (2017). Optimal operation of hybrid power systems including renewable sources in the sugar cane industry. </w:t>
      </w:r>
      <w:r w:rsidRPr="00C94C6D">
        <w:rPr>
          <w:rFonts w:ascii="Times New Roman" w:hAnsi="Times New Roman" w:cs="Times New Roman"/>
          <w:i/>
          <w:iCs/>
          <w:sz w:val="22"/>
          <w:szCs w:val="22"/>
        </w:rPr>
        <w:t>IET Renewable Power Generation</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11</w:t>
      </w:r>
      <w:r w:rsidRPr="00C94C6D">
        <w:rPr>
          <w:rFonts w:ascii="Times New Roman" w:hAnsi="Times New Roman" w:cs="Times New Roman"/>
          <w:sz w:val="22"/>
          <w:szCs w:val="22"/>
        </w:rPr>
        <w:t>(8), 1237–1245. https://doi.org/10.1049/iet-rpg.2016.0443</w:t>
      </w:r>
    </w:p>
    <w:p w14:paraId="07B6398B"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Meng, Y., Yao, T., Yu, S., Qin, J., Zhang, J., &amp; Wu, J. (2021). Data‐driven modeling for crystal size distribution parameters in cane sugar crystallization process. </w:t>
      </w:r>
      <w:r w:rsidRPr="00C94C6D">
        <w:rPr>
          <w:rFonts w:ascii="Times New Roman" w:hAnsi="Times New Roman" w:cs="Times New Roman"/>
          <w:i/>
          <w:iCs/>
          <w:sz w:val="22"/>
          <w:szCs w:val="22"/>
        </w:rPr>
        <w:t>Journal of Food Process Engineering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44</w:t>
      </w:r>
      <w:r w:rsidRPr="00C94C6D">
        <w:rPr>
          <w:rFonts w:ascii="Times New Roman" w:hAnsi="Times New Roman" w:cs="Times New Roman"/>
          <w:sz w:val="22"/>
          <w:szCs w:val="22"/>
        </w:rPr>
        <w:t>(4), e13648. https://doi.org/10.1111/jfpe.13648</w:t>
      </w:r>
    </w:p>
    <w:p w14:paraId="74CA3D92"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Mkwananzi, T., Mandegari, M., &amp; Görgens, J. F. (2019). Disturbance modelling through steady-state value deviations: The determination of suitable energy indicators and parameters for energy consumption monitoring in a typical sugar mill. </w:t>
      </w:r>
      <w:r w:rsidRPr="00C94C6D">
        <w:rPr>
          <w:rFonts w:ascii="Times New Roman" w:hAnsi="Times New Roman" w:cs="Times New Roman"/>
          <w:i/>
          <w:iCs/>
          <w:sz w:val="22"/>
          <w:szCs w:val="22"/>
        </w:rPr>
        <w:t>Energy</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176</w:t>
      </w:r>
      <w:r w:rsidRPr="00C94C6D">
        <w:rPr>
          <w:rFonts w:ascii="Times New Roman" w:hAnsi="Times New Roman" w:cs="Times New Roman"/>
          <w:sz w:val="22"/>
          <w:szCs w:val="22"/>
        </w:rPr>
        <w:t>, 211–223. https://doi.org/10.1016/j.energy.2019.03.191</w:t>
      </w:r>
    </w:p>
    <w:p w14:paraId="0DA8ED19"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Mukherjee, D., Lim, W. M., Kumar, S., &amp; Donthu, N. (2022). Guidelines for advancing theory and practice through bibliometric research. </w:t>
      </w:r>
      <w:r w:rsidRPr="00C94C6D">
        <w:rPr>
          <w:rFonts w:ascii="Times New Roman" w:hAnsi="Times New Roman" w:cs="Times New Roman"/>
          <w:i/>
          <w:iCs/>
          <w:sz w:val="22"/>
          <w:szCs w:val="22"/>
        </w:rPr>
        <w:t>Journal of Business Research</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148</w:t>
      </w:r>
      <w:r w:rsidRPr="00C94C6D">
        <w:rPr>
          <w:rFonts w:ascii="Times New Roman" w:hAnsi="Times New Roman" w:cs="Times New Roman"/>
          <w:sz w:val="22"/>
          <w:szCs w:val="22"/>
        </w:rPr>
        <w:t>, 101–115. https://doi.org/10.1016/j.jbusres.2022.04.042</w:t>
      </w:r>
    </w:p>
    <w:p w14:paraId="249C90A8"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Pacheco, C. R. F., &amp; Frioni, L. S. M. (2004). Experimental results for evaporation of sucrose solution using a climbing/falling film plate evaporator. </w:t>
      </w:r>
      <w:r w:rsidRPr="00C94C6D">
        <w:rPr>
          <w:rFonts w:ascii="Times New Roman" w:hAnsi="Times New Roman" w:cs="Times New Roman"/>
          <w:i/>
          <w:iCs/>
          <w:sz w:val="22"/>
          <w:szCs w:val="22"/>
        </w:rPr>
        <w:t>Journal of Food Engineering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64</w:t>
      </w:r>
      <w:r w:rsidRPr="00C94C6D">
        <w:rPr>
          <w:rFonts w:ascii="Times New Roman" w:hAnsi="Times New Roman" w:cs="Times New Roman"/>
          <w:sz w:val="22"/>
          <w:szCs w:val="22"/>
        </w:rPr>
        <w:t>(4), 471–480. https://doi.org/10.1016/j.jfoodeng.2003.11.014</w:t>
      </w:r>
    </w:p>
    <w:p w14:paraId="256635D4"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Paz Suárez, L. A., Georgieva, P., &amp; Feyo De Azevedo, S. (2011). Nonlinear MPC for fed-batch multiple stages sugar crystallization. </w:t>
      </w:r>
      <w:r w:rsidRPr="00C94C6D">
        <w:rPr>
          <w:rFonts w:ascii="Times New Roman" w:hAnsi="Times New Roman" w:cs="Times New Roman"/>
          <w:i/>
          <w:iCs/>
          <w:sz w:val="22"/>
          <w:szCs w:val="22"/>
        </w:rPr>
        <w:t>Chemical Engineering Research and Design</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89</w:t>
      </w:r>
      <w:r w:rsidRPr="00C94C6D">
        <w:rPr>
          <w:rFonts w:ascii="Times New Roman" w:hAnsi="Times New Roman" w:cs="Times New Roman"/>
          <w:sz w:val="22"/>
          <w:szCs w:val="22"/>
        </w:rPr>
        <w:t>(6), 753–767. https://doi.org/10.1016/j.cherd.2010.10.010</w:t>
      </w:r>
    </w:p>
    <w:p w14:paraId="5D2BD3B7"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Pina, E. A., Palacios-Bereche, R., Chavez-Rodriguez, M. F., Ensinas, A. V., Modesto, M., &amp; Nebra, S. A. (2017). Reduction of process steam demand and water-usage through heat integration in sugar and ethanol production from sugarcane – Evaluation of different plant configurations. </w:t>
      </w:r>
      <w:r w:rsidRPr="00C94C6D">
        <w:rPr>
          <w:rFonts w:ascii="Times New Roman" w:hAnsi="Times New Roman" w:cs="Times New Roman"/>
          <w:i/>
          <w:iCs/>
          <w:sz w:val="22"/>
          <w:szCs w:val="22"/>
        </w:rPr>
        <w:t>Energy</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138</w:t>
      </w:r>
      <w:r w:rsidRPr="00C94C6D">
        <w:rPr>
          <w:rFonts w:ascii="Times New Roman" w:hAnsi="Times New Roman" w:cs="Times New Roman"/>
          <w:sz w:val="22"/>
          <w:szCs w:val="22"/>
        </w:rPr>
        <w:t>, 1263–1280. https://doi.org/10.1016/j.energy.2015.06.054</w:t>
      </w:r>
    </w:p>
    <w:p w14:paraId="7565FB2E"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Qin, S. J., &amp; Badgwell, T. A. (2003). A survey of industrial model predictive control technology. </w:t>
      </w:r>
      <w:r w:rsidRPr="00C94C6D">
        <w:rPr>
          <w:rFonts w:ascii="Times New Roman" w:hAnsi="Times New Roman" w:cs="Times New Roman"/>
          <w:i/>
          <w:iCs/>
          <w:sz w:val="22"/>
          <w:szCs w:val="22"/>
        </w:rPr>
        <w:t>Control Engineering Practice</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11</w:t>
      </w:r>
      <w:r w:rsidRPr="00C94C6D">
        <w:rPr>
          <w:rFonts w:ascii="Times New Roman" w:hAnsi="Times New Roman" w:cs="Times New Roman"/>
          <w:sz w:val="22"/>
          <w:szCs w:val="22"/>
        </w:rPr>
        <w:t>(7), 733–764. https://doi.org/10.1016/S0967-0661(02)00186-7</w:t>
      </w:r>
    </w:p>
    <w:p w14:paraId="6461FC89"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Quintas, M., Brandão, T. R. S., Silva, C. L. M., &amp; Cunha, R. L. (2006). Rheology of supersaturated sucrose solutions. </w:t>
      </w:r>
      <w:r w:rsidRPr="00C94C6D">
        <w:rPr>
          <w:rFonts w:ascii="Times New Roman" w:hAnsi="Times New Roman" w:cs="Times New Roman"/>
          <w:i/>
          <w:iCs/>
          <w:sz w:val="22"/>
          <w:szCs w:val="22"/>
        </w:rPr>
        <w:t>Journal of Food Engineering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77</w:t>
      </w:r>
      <w:r w:rsidRPr="00C94C6D">
        <w:rPr>
          <w:rFonts w:ascii="Times New Roman" w:hAnsi="Times New Roman" w:cs="Times New Roman"/>
          <w:sz w:val="22"/>
          <w:szCs w:val="22"/>
        </w:rPr>
        <w:t>(4), 844–852. https://doi.org/10.1016/j.jfoodeng.2005.08.011</w:t>
      </w:r>
    </w:p>
    <w:p w14:paraId="1E21F21B"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Rozsa, L., Rozsa, J., &amp; Kilpinen, S. (2016). Crystal growth and crystallization control tactics in industrial sugar crystallizers Part 1. Crystal growth. </w:t>
      </w:r>
      <w:r w:rsidRPr="00C94C6D">
        <w:rPr>
          <w:rFonts w:ascii="Times New Roman" w:hAnsi="Times New Roman" w:cs="Times New Roman"/>
          <w:i/>
          <w:iCs/>
          <w:sz w:val="22"/>
          <w:szCs w:val="22"/>
        </w:rPr>
        <w:t>International Sugar Journal</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118</w:t>
      </w:r>
      <w:r w:rsidRPr="00C94C6D">
        <w:rPr>
          <w:rFonts w:ascii="Times New Roman" w:hAnsi="Times New Roman" w:cs="Times New Roman"/>
          <w:sz w:val="22"/>
          <w:szCs w:val="22"/>
        </w:rPr>
        <w:t>, 746–755.</w:t>
      </w:r>
    </w:p>
    <w:p w14:paraId="1751C396"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Sarabia, D., De Prada, C., Cristea, S., Mazaeda, R., &amp; Colmenares, W. (2007). Hybrid NMPC Control of a Sugar House. In R. Findeisen, F. Allgöwer, &amp; L. T. Biegler (Eds.), </w:t>
      </w:r>
      <w:r w:rsidRPr="00C94C6D">
        <w:rPr>
          <w:rFonts w:ascii="Times New Roman" w:hAnsi="Times New Roman" w:cs="Times New Roman"/>
          <w:i/>
          <w:iCs/>
          <w:sz w:val="22"/>
          <w:szCs w:val="22"/>
        </w:rPr>
        <w:t>Assessment and Future Directions of Nonlinear Model Predictive Control</w:t>
      </w:r>
      <w:r w:rsidRPr="00C94C6D">
        <w:rPr>
          <w:rFonts w:ascii="Times New Roman" w:hAnsi="Times New Roman" w:cs="Times New Roman"/>
          <w:sz w:val="22"/>
          <w:szCs w:val="22"/>
        </w:rPr>
        <w:t xml:space="preserve"> (Vol. 358, pp. 495–502). Springer Berlin Heidelberg. https://doi.org/10.1007/978-3-540-72699-9_41</w:t>
      </w:r>
    </w:p>
    <w:p w14:paraId="36C919CD"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lastRenderedPageBreak/>
        <w:t xml:space="preserve">Saravanan, V., &amp; Valarmathi, K. (2012). Model based controller design for Melter process in sugar industry. </w:t>
      </w:r>
      <w:r w:rsidRPr="00C94C6D">
        <w:rPr>
          <w:rFonts w:ascii="Times New Roman" w:hAnsi="Times New Roman" w:cs="Times New Roman"/>
          <w:i/>
          <w:iCs/>
          <w:sz w:val="22"/>
          <w:szCs w:val="22"/>
        </w:rPr>
        <w:t>2012 Third International Conference on Computing, Communication and Networking Technologies (ICCCNT’12)</w:t>
      </w:r>
      <w:r w:rsidRPr="00C94C6D">
        <w:rPr>
          <w:rFonts w:ascii="Times New Roman" w:hAnsi="Times New Roman" w:cs="Times New Roman"/>
          <w:sz w:val="22"/>
          <w:szCs w:val="22"/>
        </w:rPr>
        <w:t>, 1–7. https://doi.org/10.1109/ICCCNT.2012.6395916</w:t>
      </w:r>
    </w:p>
    <w:p w14:paraId="5BEF8BD0"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Solomon, S. (2016). Sugarcane Production and Development of Sugar Industry in India. </w:t>
      </w:r>
      <w:r w:rsidRPr="00C94C6D">
        <w:rPr>
          <w:rFonts w:ascii="Times New Roman" w:hAnsi="Times New Roman" w:cs="Times New Roman"/>
          <w:i/>
          <w:iCs/>
          <w:sz w:val="22"/>
          <w:szCs w:val="22"/>
        </w:rPr>
        <w:t>Sugar Tech</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18</w:t>
      </w:r>
      <w:r w:rsidRPr="00C94C6D">
        <w:rPr>
          <w:rFonts w:ascii="Times New Roman" w:hAnsi="Times New Roman" w:cs="Times New Roman"/>
          <w:sz w:val="22"/>
          <w:szCs w:val="22"/>
        </w:rPr>
        <w:t>(6), 588–602. https://doi.org/10.1007/s12355-016-0494-2</w:t>
      </w:r>
    </w:p>
    <w:p w14:paraId="0FD38933"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Sujatha, K., Nalinashini, G., Ganesan, B. A., Jayachitra, N., Sankari, R., Kalaivani, A., &amp; Sendilvelan, S. (2022). Predictive Model-based Analytics to Control Drying Process in a Sugar Industry. In Y.-D. Zhang, T. Senjyu, C. So-In, &amp; A. Joshi (Eds.), </w:t>
      </w:r>
      <w:r w:rsidRPr="00C94C6D">
        <w:rPr>
          <w:rFonts w:ascii="Times New Roman" w:hAnsi="Times New Roman" w:cs="Times New Roman"/>
          <w:i/>
          <w:iCs/>
          <w:sz w:val="22"/>
          <w:szCs w:val="22"/>
        </w:rPr>
        <w:t>Smart Trends in Computing and Communications</w:t>
      </w:r>
      <w:r w:rsidRPr="00C94C6D">
        <w:rPr>
          <w:rFonts w:ascii="Times New Roman" w:hAnsi="Times New Roman" w:cs="Times New Roman"/>
          <w:sz w:val="22"/>
          <w:szCs w:val="22"/>
        </w:rPr>
        <w:t xml:space="preserve"> (Vol. 286, pp. 419–426). Springer Singapore. https://doi.org/10.1007/978-981-16-4016-2_39</w:t>
      </w:r>
    </w:p>
    <w:p w14:paraId="41432CD0"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Sunori, S. K., Juneja, P. K., Chaturvedi, M., &amp; Agarwal, N. (2016). Design and Analysis of Control Systems for Heat Exchanger System of Sugar Mill. </w:t>
      </w:r>
      <w:r w:rsidRPr="00C94C6D">
        <w:rPr>
          <w:rFonts w:ascii="Times New Roman" w:hAnsi="Times New Roman" w:cs="Times New Roman"/>
          <w:i/>
          <w:iCs/>
          <w:sz w:val="22"/>
          <w:szCs w:val="22"/>
        </w:rPr>
        <w:t>2016 8th International Conference on Computational Intelligence and Communication Networks (CICN)</w:t>
      </w:r>
      <w:r w:rsidRPr="00C94C6D">
        <w:rPr>
          <w:rFonts w:ascii="Times New Roman" w:hAnsi="Times New Roman" w:cs="Times New Roman"/>
          <w:sz w:val="22"/>
          <w:szCs w:val="22"/>
        </w:rPr>
        <w:t>, 480–482. https://doi.org/10.1109/CICN.2016.99</w:t>
      </w:r>
    </w:p>
    <w:p w14:paraId="491B05BF"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Sunori, S. K., Singh, G., Maurya, S., Mittal, A., Arora, S., &amp; Juneja, P. (2021). Model Identification and MPC based control of Heat Exchanger System of Sugar Crystallizer. </w:t>
      </w:r>
      <w:r w:rsidRPr="00C94C6D">
        <w:rPr>
          <w:rFonts w:ascii="Times New Roman" w:hAnsi="Times New Roman" w:cs="Times New Roman"/>
          <w:i/>
          <w:iCs/>
          <w:sz w:val="22"/>
          <w:szCs w:val="22"/>
        </w:rPr>
        <w:t>2021 Second International Conference on Electronics and Sustainable Communication Systems (ICESC)</w:t>
      </w:r>
      <w:r w:rsidRPr="00C94C6D">
        <w:rPr>
          <w:rFonts w:ascii="Times New Roman" w:hAnsi="Times New Roman" w:cs="Times New Roman"/>
          <w:sz w:val="22"/>
          <w:szCs w:val="22"/>
        </w:rPr>
        <w:t>, 312–319. https://doi.org/10.1109/ICESC51422.2021.9532703</w:t>
      </w:r>
    </w:p>
    <w:p w14:paraId="2CB85697"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Sunori, S. K., Singh Jethi, G., Arora, S., Mittal, A., Khan, F., &amp; Juneja, P. (2022). Controller Design for Dead Time Approximated Model of Juice Extraction Unit of Sugar Factory. </w:t>
      </w:r>
      <w:r w:rsidRPr="00C94C6D">
        <w:rPr>
          <w:rFonts w:ascii="Times New Roman" w:hAnsi="Times New Roman" w:cs="Times New Roman"/>
          <w:i/>
          <w:iCs/>
          <w:sz w:val="22"/>
          <w:szCs w:val="22"/>
        </w:rPr>
        <w:t>2022 6th International Conference on Computing Methodologies and Communication (ICCMC)</w:t>
      </w:r>
      <w:r w:rsidRPr="00C94C6D">
        <w:rPr>
          <w:rFonts w:ascii="Times New Roman" w:hAnsi="Times New Roman" w:cs="Times New Roman"/>
          <w:sz w:val="22"/>
          <w:szCs w:val="22"/>
        </w:rPr>
        <w:t>, 464–468. https://doi.org/10.1109/ICCMC53470.2022.9753728</w:t>
      </w:r>
    </w:p>
    <w:p w14:paraId="36DEAF67"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Vergara-Dietrich, J. D., Morato, M. M., Mendes, P. R. C., Cani, A. A., Normey-Rico, J. E., &amp; Bordons, C. (2019). Advanced chance-constrained predictive control for the efficient energy management of renewable power systems. </w:t>
      </w:r>
      <w:r w:rsidRPr="00C94C6D">
        <w:rPr>
          <w:rFonts w:ascii="Times New Roman" w:hAnsi="Times New Roman" w:cs="Times New Roman"/>
          <w:i/>
          <w:iCs/>
          <w:sz w:val="22"/>
          <w:szCs w:val="22"/>
        </w:rPr>
        <w:t>Journal of Process Control</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74</w:t>
      </w:r>
      <w:r w:rsidRPr="00C94C6D">
        <w:rPr>
          <w:rFonts w:ascii="Times New Roman" w:hAnsi="Times New Roman" w:cs="Times New Roman"/>
          <w:sz w:val="22"/>
          <w:szCs w:val="22"/>
        </w:rPr>
        <w:t>, 120–132. https://doi.org/10.1016/j.jprocont.2017.11.003</w:t>
      </w:r>
    </w:p>
    <w:p w14:paraId="17FBE660"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William Herrera, Elmer Rivera, Luz A. Alvarez, Laura Plazas Tovar, Sebastian Tamayo Rojas, Celina Yamakawa, Antonio Bonomi, &amp; Rubens Maciel Filho. (2016). Modelling and control of a continuous ethanol fermentation using a mixture of enzymatic hydrolysate and molasses from sugarcane. </w:t>
      </w:r>
      <w:r w:rsidRPr="00C94C6D">
        <w:rPr>
          <w:rFonts w:ascii="Times New Roman" w:hAnsi="Times New Roman" w:cs="Times New Roman"/>
          <w:i/>
          <w:iCs/>
          <w:sz w:val="22"/>
          <w:szCs w:val="22"/>
        </w:rPr>
        <w:t>Chemical Engineering Transactions</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50</w:t>
      </w:r>
      <w:r w:rsidRPr="00C94C6D">
        <w:rPr>
          <w:rFonts w:ascii="Times New Roman" w:hAnsi="Times New Roman" w:cs="Times New Roman"/>
          <w:sz w:val="22"/>
          <w:szCs w:val="22"/>
        </w:rPr>
        <w:t>, 169–174. https://doi.org/10.3303/CET1650029</w:t>
      </w:r>
    </w:p>
    <w:p w14:paraId="35C1B031"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Xue, C., Wang, Z., Wang, S., Zhang, X., Chen, L., Mu, Y., &amp; Bai, F. (2016). The vital role of citrate buffer in acetone–butanol–ethanol (ABE) fermentation using corn stover and high-efficient product recovery by vapor stripping–vapor permeation (VSVP) process. </w:t>
      </w:r>
      <w:r w:rsidRPr="00C94C6D">
        <w:rPr>
          <w:rFonts w:ascii="Times New Roman" w:hAnsi="Times New Roman" w:cs="Times New Roman"/>
          <w:i/>
          <w:iCs/>
          <w:sz w:val="22"/>
          <w:szCs w:val="22"/>
        </w:rPr>
        <w:t>Biotechnology for Biofuels</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9</w:t>
      </w:r>
      <w:r w:rsidRPr="00C94C6D">
        <w:rPr>
          <w:rFonts w:ascii="Times New Roman" w:hAnsi="Times New Roman" w:cs="Times New Roman"/>
          <w:sz w:val="22"/>
          <w:szCs w:val="22"/>
        </w:rPr>
        <w:t>(1), 146. https://doi.org/10.1186/s13068-016-0566-2</w:t>
      </w:r>
    </w:p>
    <w:p w14:paraId="62910DEF"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Zamarreño, J. M., &amp; Vega, P. (1997). Identification and predictive control of a melter unit used in the sugar industry. </w:t>
      </w:r>
      <w:r w:rsidRPr="00C94C6D">
        <w:rPr>
          <w:rFonts w:ascii="Times New Roman" w:hAnsi="Times New Roman" w:cs="Times New Roman"/>
          <w:i/>
          <w:iCs/>
          <w:sz w:val="22"/>
          <w:szCs w:val="22"/>
        </w:rPr>
        <w:t>Artificial Intelligence in Engineering</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11</w:t>
      </w:r>
      <w:r w:rsidRPr="00C94C6D">
        <w:rPr>
          <w:rFonts w:ascii="Times New Roman" w:hAnsi="Times New Roman" w:cs="Times New Roman"/>
          <w:sz w:val="22"/>
          <w:szCs w:val="22"/>
        </w:rPr>
        <w:t>(4), 365–373. https://doi.org/10.1016/S0954-1810(96)00055-6</w:t>
      </w:r>
    </w:p>
    <w:p w14:paraId="71D06443"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Zamarreño, J. M., &amp; Vega, P. (1999). Neural predictive control. Application to a highly non-linear system. </w:t>
      </w:r>
      <w:r w:rsidRPr="00C94C6D">
        <w:rPr>
          <w:rFonts w:ascii="Times New Roman" w:hAnsi="Times New Roman" w:cs="Times New Roman"/>
          <w:i/>
          <w:iCs/>
          <w:sz w:val="22"/>
          <w:szCs w:val="22"/>
        </w:rPr>
        <w:t>Engineering Applications of Artificial Intelligence</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12</w:t>
      </w:r>
      <w:r w:rsidRPr="00C94C6D">
        <w:rPr>
          <w:rFonts w:ascii="Times New Roman" w:hAnsi="Times New Roman" w:cs="Times New Roman"/>
          <w:sz w:val="22"/>
          <w:szCs w:val="22"/>
        </w:rPr>
        <w:t>(2), 149–158. https://doi.org/10.1016/S0952-1976(98)00055-4</w:t>
      </w:r>
    </w:p>
    <w:p w14:paraId="62A34165"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Zamarreño, J. M., Vega, P., Garcı́a, L. D., &amp; Francisco, M. (2000). State-space neural network for modelling, prediction and control. </w:t>
      </w:r>
      <w:r w:rsidRPr="00C94C6D">
        <w:rPr>
          <w:rFonts w:ascii="Times New Roman" w:hAnsi="Times New Roman" w:cs="Times New Roman"/>
          <w:i/>
          <w:iCs/>
          <w:sz w:val="22"/>
          <w:szCs w:val="22"/>
        </w:rPr>
        <w:t>Control Engineering Practice</w:t>
      </w:r>
      <w:r w:rsidRPr="00C94C6D">
        <w:rPr>
          <w:rFonts w:ascii="Times New Roman" w:hAnsi="Times New Roman" w:cs="Times New Roman"/>
          <w:sz w:val="22"/>
          <w:szCs w:val="22"/>
        </w:rPr>
        <w:t xml:space="preserve">, </w:t>
      </w:r>
      <w:r w:rsidRPr="00C94C6D">
        <w:rPr>
          <w:rFonts w:ascii="Times New Roman" w:hAnsi="Times New Roman" w:cs="Times New Roman"/>
          <w:i/>
          <w:iCs/>
          <w:sz w:val="22"/>
          <w:szCs w:val="22"/>
        </w:rPr>
        <w:t>8</w:t>
      </w:r>
      <w:r w:rsidRPr="00C94C6D">
        <w:rPr>
          <w:rFonts w:ascii="Times New Roman" w:hAnsi="Times New Roman" w:cs="Times New Roman"/>
          <w:sz w:val="22"/>
          <w:szCs w:val="22"/>
        </w:rPr>
        <w:t>(9), 1063–1075. https://doi.org/10.1016/S0967-0661(00)00045-9</w:t>
      </w:r>
    </w:p>
    <w:p w14:paraId="2C109EA1" w14:textId="77777777" w:rsidR="00561CB6" w:rsidRPr="00C94C6D" w:rsidRDefault="00561CB6" w:rsidP="00743D6E">
      <w:pPr>
        <w:pStyle w:val="Bibliography"/>
        <w:spacing w:line="240" w:lineRule="auto"/>
        <w:ind w:left="1560"/>
        <w:jc w:val="both"/>
        <w:rPr>
          <w:rFonts w:ascii="Times New Roman" w:hAnsi="Times New Roman" w:cs="Times New Roman"/>
          <w:sz w:val="22"/>
          <w:szCs w:val="22"/>
        </w:rPr>
      </w:pPr>
      <w:r w:rsidRPr="00C94C6D">
        <w:rPr>
          <w:rFonts w:ascii="Times New Roman" w:hAnsi="Times New Roman" w:cs="Times New Roman"/>
          <w:sz w:val="22"/>
          <w:szCs w:val="22"/>
        </w:rPr>
        <w:t xml:space="preserve">Zheng, A. (1997). A computationally efficient nonlinear MPC algorithm. </w:t>
      </w:r>
      <w:r w:rsidRPr="00C94C6D">
        <w:rPr>
          <w:rFonts w:ascii="Times New Roman" w:hAnsi="Times New Roman" w:cs="Times New Roman"/>
          <w:i/>
          <w:iCs/>
          <w:sz w:val="22"/>
          <w:szCs w:val="22"/>
        </w:rPr>
        <w:t>Proceedings of the 1997 American Control Conference (Cat. No.97CH36041)</w:t>
      </w:r>
      <w:r w:rsidRPr="00C94C6D">
        <w:rPr>
          <w:rFonts w:ascii="Times New Roman" w:hAnsi="Times New Roman" w:cs="Times New Roman"/>
          <w:sz w:val="22"/>
          <w:szCs w:val="22"/>
        </w:rPr>
        <w:t>, 1623–1627 vol.3. https://doi.org/10.1109/ACC.1997.610858</w:t>
      </w:r>
    </w:p>
    <w:p w14:paraId="38AC5C5B" w14:textId="1FC7CE5A" w:rsidR="00561CB6" w:rsidRPr="00561CB6" w:rsidRDefault="00561CB6" w:rsidP="007A05E4">
      <w:pPr>
        <w:tabs>
          <w:tab w:val="left" w:pos="1080"/>
          <w:tab w:val="left" w:pos="7651"/>
        </w:tabs>
        <w:ind w:left="1560"/>
      </w:pPr>
      <w:r w:rsidRPr="00C94C6D">
        <w:rPr>
          <w:rFonts w:ascii="Times New Roman" w:hAnsi="Times New Roman" w:cs="Times New Roman"/>
          <w:b/>
          <w:bCs/>
        </w:rPr>
        <w:fldChar w:fldCharType="end"/>
      </w:r>
      <w:r w:rsidR="007A05E4">
        <w:rPr>
          <w:rFonts w:ascii="Times New Roman" w:hAnsi="Times New Roman" w:cs="Times New Roman"/>
          <w:b/>
          <w:bCs/>
        </w:rPr>
        <w:tab/>
      </w:r>
    </w:p>
    <w:sectPr w:rsidR="00561CB6" w:rsidRPr="00561CB6">
      <w:headerReference w:type="default" r:id="rId32"/>
      <w:pgSz w:w="11910" w:h="16840"/>
      <w:pgMar w:top="1220" w:right="566" w:bottom="280" w:left="708" w:header="54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3FB68" w14:textId="77777777" w:rsidR="009820E3" w:rsidRDefault="009820E3">
      <w:r>
        <w:separator/>
      </w:r>
    </w:p>
  </w:endnote>
  <w:endnote w:type="continuationSeparator" w:id="0">
    <w:p w14:paraId="5D4EC5E3" w14:textId="77777777" w:rsidR="009820E3" w:rsidRDefault="00982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98B57" w14:textId="77777777" w:rsidR="009820E3" w:rsidRDefault="009820E3">
      <w:r>
        <w:separator/>
      </w:r>
    </w:p>
  </w:footnote>
  <w:footnote w:type="continuationSeparator" w:id="0">
    <w:p w14:paraId="3DA1801C" w14:textId="77777777" w:rsidR="009820E3" w:rsidRDefault="00982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3462" w14:textId="77777777" w:rsidR="00956FBD" w:rsidRDefault="00000000">
    <w:pPr>
      <w:pStyle w:val="BodyText"/>
      <w:spacing w:line="14" w:lineRule="auto"/>
      <w:ind w:left="0"/>
      <w:jc w:val="left"/>
      <w:rPr>
        <w:sz w:val="20"/>
      </w:rPr>
    </w:pPr>
    <w:r>
      <w:rPr>
        <w:noProof/>
        <w:sz w:val="20"/>
      </w:rPr>
      <mc:AlternateContent>
        <mc:Choice Requires="wps">
          <w:drawing>
            <wp:anchor distT="0" distB="0" distL="0" distR="0" simplePos="0" relativeHeight="251655680" behindDoc="1" locked="0" layoutInCell="1" allowOverlap="1" wp14:anchorId="2B46517D" wp14:editId="43B0F729">
              <wp:simplePos x="0" y="0"/>
              <wp:positionH relativeFrom="page">
                <wp:posOffset>496823</wp:posOffset>
              </wp:positionH>
              <wp:positionV relativeFrom="page">
                <wp:posOffset>774191</wp:posOffset>
              </wp:positionV>
              <wp:extent cx="6628130"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8130" cy="6350"/>
                      </a:xfrm>
                      <a:custGeom>
                        <a:avLst/>
                        <a:gdLst/>
                        <a:ahLst/>
                        <a:cxnLst/>
                        <a:rect l="l" t="t" r="r" b="b"/>
                        <a:pathLst>
                          <a:path w="6628130" h="6350">
                            <a:moveTo>
                              <a:pt x="6627876" y="0"/>
                            </a:moveTo>
                            <a:lnTo>
                              <a:pt x="0" y="0"/>
                            </a:lnTo>
                            <a:lnTo>
                              <a:pt x="0" y="6096"/>
                            </a:lnTo>
                            <a:lnTo>
                              <a:pt x="6627876" y="6096"/>
                            </a:lnTo>
                            <a:lnTo>
                              <a:pt x="66278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BC3BEE" id="Graphic 8" o:spid="_x0000_s1026" style="position:absolute;margin-left:39.1pt;margin-top:60.95pt;width:521.9pt;height:.5pt;z-index:-251660800;visibility:visible;mso-wrap-style:square;mso-wrap-distance-left:0;mso-wrap-distance-top:0;mso-wrap-distance-right:0;mso-wrap-distance-bottom:0;mso-position-horizontal:absolute;mso-position-horizontal-relative:page;mso-position-vertical:absolute;mso-position-vertical-relative:page;v-text-anchor:top" coordsize="66281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" path="m6627876,l,,,6096r6627876,l6627876,xe" fillcolor="black" stroked="f">
              <v:path arrowok="t"/>
              <w10:wrap anchorx="page" anchory="page"/>
            </v:shape>
          </w:pict>
        </mc:Fallback>
      </mc:AlternateContent>
    </w:r>
    <w:r>
      <w:rPr>
        <w:noProof/>
        <w:sz w:val="20"/>
      </w:rPr>
      <mc:AlternateContent>
        <mc:Choice Requires="wps">
          <w:drawing>
            <wp:anchor distT="0" distB="0" distL="0" distR="0" simplePos="0" relativeHeight="251658752" behindDoc="1" locked="0" layoutInCell="1" allowOverlap="1" wp14:anchorId="7706B60F" wp14:editId="5783594E">
              <wp:simplePos x="0" y="0"/>
              <wp:positionH relativeFrom="page">
                <wp:posOffset>502412</wp:posOffset>
              </wp:positionH>
              <wp:positionV relativeFrom="page">
                <wp:posOffset>331804</wp:posOffset>
              </wp:positionV>
              <wp:extent cx="3141980" cy="36131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1980" cy="361315"/>
                      </a:xfrm>
                      <a:prstGeom prst="rect">
                        <a:avLst/>
                      </a:prstGeom>
                    </wps:spPr>
                    <wps:txbx>
                      <w:txbxContent>
                        <w:p w14:paraId="15349781" w14:textId="38F0A6F6" w:rsidR="00956FBD" w:rsidRDefault="00000000">
                          <w:pPr>
                            <w:spacing w:before="17"/>
                            <w:ind w:left="20"/>
                            <w:rPr>
                              <w:b/>
                              <w:sz w:val="20"/>
                            </w:rPr>
                          </w:pPr>
                          <w:r>
                            <w:rPr>
                              <w:b/>
                              <w:i/>
                            </w:rPr>
                            <w:t>Nsukka</w:t>
                          </w:r>
                          <w:r>
                            <w:rPr>
                              <w:b/>
                              <w:i/>
                              <w:spacing w:val="-6"/>
                            </w:rPr>
                            <w:t xml:space="preserve"> </w:t>
                          </w:r>
                          <w:r>
                            <w:rPr>
                              <w:b/>
                              <w:i/>
                            </w:rPr>
                            <w:t>Journal</w:t>
                          </w:r>
                          <w:r>
                            <w:rPr>
                              <w:b/>
                              <w:i/>
                              <w:spacing w:val="-6"/>
                            </w:rPr>
                            <w:t xml:space="preserve"> </w:t>
                          </w:r>
                          <w:r>
                            <w:rPr>
                              <w:b/>
                              <w:i/>
                            </w:rPr>
                            <w:t>of</w:t>
                          </w:r>
                          <w:r>
                            <w:rPr>
                              <w:b/>
                              <w:i/>
                              <w:spacing w:val="-5"/>
                            </w:rPr>
                            <w:t xml:space="preserve"> </w:t>
                          </w:r>
                          <w:r>
                            <w:rPr>
                              <w:b/>
                              <w:i/>
                            </w:rPr>
                            <w:t>the</w:t>
                          </w:r>
                          <w:r>
                            <w:rPr>
                              <w:b/>
                              <w:i/>
                              <w:spacing w:val="-6"/>
                            </w:rPr>
                            <w:t xml:space="preserve"> </w:t>
                          </w:r>
                          <w:r>
                            <w:rPr>
                              <w:b/>
                              <w:i/>
                            </w:rPr>
                            <w:t>Humanities</w:t>
                          </w:r>
                          <w:r>
                            <w:rPr>
                              <w:b/>
                            </w:rPr>
                            <w:t>,</w:t>
                          </w:r>
                          <w:r>
                            <w:rPr>
                              <w:b/>
                              <w:spacing w:val="-10"/>
                            </w:rPr>
                            <w:t xml:space="preserve"> </w:t>
                          </w:r>
                          <w:r w:rsidR="00872491">
                            <w:rPr>
                              <w:b/>
                              <w:sz w:val="20"/>
                            </w:rPr>
                            <w:t>Januari 2026</w:t>
                          </w:r>
                        </w:p>
                        <w:p w14:paraId="1DA4F7B9" w14:textId="77777777" w:rsidR="00956FBD" w:rsidRDefault="00000000">
                          <w:pPr>
                            <w:spacing w:before="15"/>
                            <w:ind w:left="20"/>
                            <w:rPr>
                              <w:sz w:val="20"/>
                            </w:rPr>
                          </w:pPr>
                          <w:r>
                            <w:rPr>
                              <w:spacing w:val="-2"/>
                              <w:sz w:val="20"/>
                            </w:rPr>
                            <w:t>https://doi.org/10.</w:t>
                          </w:r>
                          <w:r>
                            <w:rPr>
                              <w:spacing w:val="49"/>
                              <w:sz w:val="20"/>
                            </w:rPr>
                            <w:t xml:space="preserve"> </w:t>
                          </w:r>
                          <w:r>
                            <w:rPr>
                              <w:spacing w:val="-2"/>
                              <w:sz w:val="20"/>
                            </w:rPr>
                            <w:t>62250/nsuk.2025.33.3.1-</w:t>
                          </w:r>
                          <w:r>
                            <w:rPr>
                              <w:spacing w:val="-5"/>
                              <w:sz w:val="20"/>
                            </w:rPr>
                            <w:t>13</w:t>
                          </w:r>
                        </w:p>
                      </w:txbxContent>
                    </wps:txbx>
                    <wps:bodyPr wrap="square" lIns="0" tIns="0" rIns="0" bIns="0" rtlCol="0">
                      <a:noAutofit/>
                    </wps:bodyPr>
                  </wps:wsp>
                </a:graphicData>
              </a:graphic>
            </wp:anchor>
          </w:drawing>
        </mc:Choice>
        <mc:Fallback>
          <w:pict>
            <v:shapetype w14:anchorId="7706B60F" id="_x0000_t202" coordsize="21600,21600" o:spt="202" path="m,l,21600r21600,l21600,xe">
              <v:stroke joinstyle="miter"/>
              <v:path gradientshapeok="t" o:connecttype="rect"/>
            </v:shapetype>
            <v:shape id="Textbox 9" o:spid="_x0000_s1045" type="#_x0000_t202" style="position:absolute;margin-left:39.55pt;margin-top:26.15pt;width:247.4pt;height:28.4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" filled="f" stroked="f">
              <v:textbox inset="0,0,0,0">
                <w:txbxContent>
                  <w:p w14:paraId="15349781" w14:textId="38F0A6F6" w:rsidR="00956FBD" w:rsidRDefault="00000000">
                    <w:pPr>
                      <w:spacing w:before="17"/>
                      <w:ind w:left="20"/>
                      <w:rPr>
                        <w:b/>
                        <w:sz w:val="20"/>
                      </w:rPr>
                    </w:pPr>
                    <w:r>
                      <w:rPr>
                        <w:b/>
                        <w:i/>
                      </w:rPr>
                      <w:t>Nsukka</w:t>
                    </w:r>
                    <w:r>
                      <w:rPr>
                        <w:b/>
                        <w:i/>
                        <w:spacing w:val="-6"/>
                      </w:rPr>
                      <w:t xml:space="preserve"> </w:t>
                    </w:r>
                    <w:r>
                      <w:rPr>
                        <w:b/>
                        <w:i/>
                      </w:rPr>
                      <w:t>Journal</w:t>
                    </w:r>
                    <w:r>
                      <w:rPr>
                        <w:b/>
                        <w:i/>
                        <w:spacing w:val="-6"/>
                      </w:rPr>
                      <w:t xml:space="preserve"> </w:t>
                    </w:r>
                    <w:r>
                      <w:rPr>
                        <w:b/>
                        <w:i/>
                      </w:rPr>
                      <w:t>of</w:t>
                    </w:r>
                    <w:r>
                      <w:rPr>
                        <w:b/>
                        <w:i/>
                        <w:spacing w:val="-5"/>
                      </w:rPr>
                      <w:t xml:space="preserve"> </w:t>
                    </w:r>
                    <w:r>
                      <w:rPr>
                        <w:b/>
                        <w:i/>
                      </w:rPr>
                      <w:t>the</w:t>
                    </w:r>
                    <w:r>
                      <w:rPr>
                        <w:b/>
                        <w:i/>
                        <w:spacing w:val="-6"/>
                      </w:rPr>
                      <w:t xml:space="preserve"> </w:t>
                    </w:r>
                    <w:r>
                      <w:rPr>
                        <w:b/>
                        <w:i/>
                      </w:rPr>
                      <w:t>Humanities</w:t>
                    </w:r>
                    <w:r>
                      <w:rPr>
                        <w:b/>
                      </w:rPr>
                      <w:t>,</w:t>
                    </w:r>
                    <w:r>
                      <w:rPr>
                        <w:b/>
                        <w:spacing w:val="-10"/>
                      </w:rPr>
                      <w:t xml:space="preserve"> </w:t>
                    </w:r>
                    <w:r w:rsidR="00872491">
                      <w:rPr>
                        <w:b/>
                        <w:sz w:val="20"/>
                      </w:rPr>
                      <w:t>Januari 2026</w:t>
                    </w:r>
                  </w:p>
                  <w:p w14:paraId="1DA4F7B9" w14:textId="77777777" w:rsidR="00956FBD" w:rsidRDefault="00000000">
                    <w:pPr>
                      <w:spacing w:before="15"/>
                      <w:ind w:left="20"/>
                      <w:rPr>
                        <w:sz w:val="20"/>
                      </w:rPr>
                    </w:pPr>
                    <w:r>
                      <w:rPr>
                        <w:spacing w:val="-2"/>
                        <w:sz w:val="20"/>
                      </w:rPr>
                      <w:t>https://doi.org/10.</w:t>
                    </w:r>
                    <w:r>
                      <w:rPr>
                        <w:spacing w:val="49"/>
                        <w:sz w:val="20"/>
                      </w:rPr>
                      <w:t xml:space="preserve"> </w:t>
                    </w:r>
                    <w:r>
                      <w:rPr>
                        <w:spacing w:val="-2"/>
                        <w:sz w:val="20"/>
                      </w:rPr>
                      <w:t>62250/nsuk.2025.33.3.1-</w:t>
                    </w:r>
                    <w:r>
                      <w:rPr>
                        <w:spacing w:val="-5"/>
                        <w:sz w:val="20"/>
                      </w:rPr>
                      <w:t>13</w:t>
                    </w:r>
                  </w:p>
                </w:txbxContent>
              </v:textbox>
              <w10:wrap anchorx="page" anchory="page"/>
            </v:shape>
          </w:pict>
        </mc:Fallback>
      </mc:AlternateContent>
    </w:r>
    <w:r>
      <w:rPr>
        <w:noProof/>
        <w:sz w:val="20"/>
      </w:rPr>
      <mc:AlternateContent>
        <mc:Choice Requires="wps">
          <w:drawing>
            <wp:anchor distT="0" distB="0" distL="0" distR="0" simplePos="0" relativeHeight="251661824" behindDoc="1" locked="0" layoutInCell="1" allowOverlap="1" wp14:anchorId="6505E8EA" wp14:editId="2EC54235">
              <wp:simplePos x="0" y="0"/>
              <wp:positionH relativeFrom="page">
                <wp:posOffset>6935216</wp:posOffset>
              </wp:positionH>
              <wp:positionV relativeFrom="page">
                <wp:posOffset>526795</wp:posOffset>
              </wp:positionV>
              <wp:extent cx="20701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53DBC971" w14:textId="77777777" w:rsidR="00956FBD"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w14:anchorId="6505E8EA" id="Textbox 10" o:spid="_x0000_s1046" type="#_x0000_t202" style="position:absolute;margin-left:546.1pt;margin-top:41.5pt;width:16.3pt;height:13.0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" filled="f" stroked="f">
              <v:textbox inset="0,0,0,0">
                <w:txbxContent>
                  <w:p w14:paraId="53DBC971" w14:textId="77777777" w:rsidR="00956FBD"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BD"/>
    <w:rsid w:val="00081AB4"/>
    <w:rsid w:val="001E432D"/>
    <w:rsid w:val="00380B8E"/>
    <w:rsid w:val="003E108F"/>
    <w:rsid w:val="004269A5"/>
    <w:rsid w:val="00463BBA"/>
    <w:rsid w:val="00471BA9"/>
    <w:rsid w:val="00561CB6"/>
    <w:rsid w:val="00570761"/>
    <w:rsid w:val="0059729C"/>
    <w:rsid w:val="00611090"/>
    <w:rsid w:val="006868E9"/>
    <w:rsid w:val="00696F63"/>
    <w:rsid w:val="006B1A69"/>
    <w:rsid w:val="00702983"/>
    <w:rsid w:val="00704F90"/>
    <w:rsid w:val="00743D6E"/>
    <w:rsid w:val="007713CB"/>
    <w:rsid w:val="007A05E4"/>
    <w:rsid w:val="00810A00"/>
    <w:rsid w:val="00872491"/>
    <w:rsid w:val="0092413E"/>
    <w:rsid w:val="00956FBD"/>
    <w:rsid w:val="009820E3"/>
    <w:rsid w:val="009E3E38"/>
    <w:rsid w:val="00A56D24"/>
    <w:rsid w:val="00B149A4"/>
    <w:rsid w:val="00CC0E32"/>
    <w:rsid w:val="00CC755F"/>
    <w:rsid w:val="00CF554D"/>
    <w:rsid w:val="00D45BAA"/>
    <w:rsid w:val="00FE1AE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315E7"/>
  <w15:docId w15:val="{47C919B1-9043-4BC8-B93D-F15871F55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link w:val="Heading1Char"/>
    <w:uiPriority w:val="9"/>
    <w:qFormat/>
    <w:pPr>
      <w:ind w:left="1543"/>
      <w:outlineLvl w:val="0"/>
    </w:pPr>
    <w:rPr>
      <w:b/>
      <w:bCs/>
      <w:sz w:val="28"/>
      <w:szCs w:val="28"/>
    </w:rPr>
  </w:style>
  <w:style w:type="paragraph" w:styleId="Heading2">
    <w:name w:val="heading 2"/>
    <w:basedOn w:val="Normal"/>
    <w:link w:val="Heading2Char"/>
    <w:uiPriority w:val="9"/>
    <w:unhideWhenUsed/>
    <w:qFormat/>
    <w:pPr>
      <w:spacing w:before="162"/>
      <w:ind w:left="1531"/>
      <w:outlineLvl w:val="1"/>
    </w:pPr>
    <w:rPr>
      <w:b/>
      <w:bCs/>
      <w:i/>
      <w:iCs/>
      <w:sz w:val="24"/>
      <w:szCs w:val="24"/>
    </w:rPr>
  </w:style>
  <w:style w:type="paragraph" w:styleId="Heading3">
    <w:name w:val="heading 3"/>
    <w:basedOn w:val="Normal"/>
    <w:next w:val="Normal"/>
    <w:link w:val="Heading3Char"/>
    <w:uiPriority w:val="9"/>
    <w:semiHidden/>
    <w:unhideWhenUsed/>
    <w:qFormat/>
    <w:rsid w:val="004269A5"/>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lang w:val="en"/>
      <w14:ligatures w14:val="standardContextual"/>
    </w:rPr>
  </w:style>
  <w:style w:type="paragraph" w:styleId="Heading4">
    <w:name w:val="heading 4"/>
    <w:basedOn w:val="Normal"/>
    <w:next w:val="Normal"/>
    <w:link w:val="Heading4Char"/>
    <w:uiPriority w:val="9"/>
    <w:semiHidden/>
    <w:unhideWhenUsed/>
    <w:qFormat/>
    <w:rsid w:val="004269A5"/>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lang w:val="en"/>
      <w14:ligatures w14:val="standardContextual"/>
    </w:rPr>
  </w:style>
  <w:style w:type="paragraph" w:styleId="Heading5">
    <w:name w:val="heading 5"/>
    <w:basedOn w:val="Normal"/>
    <w:next w:val="Normal"/>
    <w:link w:val="Heading5Char"/>
    <w:uiPriority w:val="9"/>
    <w:semiHidden/>
    <w:unhideWhenUsed/>
    <w:qFormat/>
    <w:rsid w:val="004269A5"/>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lang w:val="en"/>
      <w14:ligatures w14:val="standardContextual"/>
    </w:rPr>
  </w:style>
  <w:style w:type="paragraph" w:styleId="Heading6">
    <w:name w:val="heading 6"/>
    <w:basedOn w:val="Normal"/>
    <w:next w:val="Normal"/>
    <w:link w:val="Heading6Char"/>
    <w:uiPriority w:val="9"/>
    <w:semiHidden/>
    <w:unhideWhenUsed/>
    <w:qFormat/>
    <w:rsid w:val="004269A5"/>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
      <w14:ligatures w14:val="standardContextual"/>
    </w:rPr>
  </w:style>
  <w:style w:type="paragraph" w:styleId="Heading7">
    <w:name w:val="heading 7"/>
    <w:basedOn w:val="Normal"/>
    <w:next w:val="Normal"/>
    <w:link w:val="Heading7Char"/>
    <w:uiPriority w:val="9"/>
    <w:semiHidden/>
    <w:unhideWhenUsed/>
    <w:qFormat/>
    <w:rsid w:val="004269A5"/>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
      <w14:ligatures w14:val="standardContextual"/>
    </w:rPr>
  </w:style>
  <w:style w:type="paragraph" w:styleId="Heading8">
    <w:name w:val="heading 8"/>
    <w:basedOn w:val="Normal"/>
    <w:next w:val="Normal"/>
    <w:link w:val="Heading8Char"/>
    <w:uiPriority w:val="9"/>
    <w:semiHidden/>
    <w:unhideWhenUsed/>
    <w:qFormat/>
    <w:rsid w:val="004269A5"/>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
      <w14:ligatures w14:val="standardContextual"/>
    </w:rPr>
  </w:style>
  <w:style w:type="paragraph" w:styleId="Heading9">
    <w:name w:val="heading 9"/>
    <w:basedOn w:val="Normal"/>
    <w:next w:val="Normal"/>
    <w:link w:val="Heading9Char"/>
    <w:uiPriority w:val="9"/>
    <w:semiHidden/>
    <w:unhideWhenUsed/>
    <w:qFormat/>
    <w:rsid w:val="004269A5"/>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43"/>
      <w:jc w:val="both"/>
    </w:pPr>
    <w:rPr>
      <w:sz w:val="24"/>
      <w:szCs w:val="24"/>
    </w:rPr>
  </w:style>
  <w:style w:type="paragraph" w:styleId="Title">
    <w:name w:val="Title"/>
    <w:basedOn w:val="Normal"/>
    <w:link w:val="TitleChar"/>
    <w:uiPriority w:val="10"/>
    <w:qFormat/>
    <w:pPr>
      <w:spacing w:before="146"/>
      <w:ind w:left="103"/>
    </w:pPr>
    <w:rPr>
      <w:b/>
      <w:bCs/>
      <w:sz w:val="32"/>
      <w:szCs w:val="32"/>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AuthorName">
    <w:name w:val="Author Name"/>
    <w:basedOn w:val="Normal"/>
    <w:qFormat/>
    <w:rsid w:val="00611090"/>
    <w:pPr>
      <w:autoSpaceDE/>
      <w:autoSpaceDN/>
      <w:spacing w:afterLines="50"/>
      <w:jc w:val="center"/>
    </w:pPr>
    <w:rPr>
      <w:rFonts w:ascii="Times New Roman" w:eastAsia="MS Mincho" w:hAnsi="Times New Roman" w:cs="Times New Roman"/>
      <w:kern w:val="2"/>
      <w:lang w:eastAsia="ja-JP"/>
    </w:rPr>
  </w:style>
  <w:style w:type="paragraph" w:styleId="Header">
    <w:name w:val="header"/>
    <w:basedOn w:val="Normal"/>
    <w:link w:val="HeaderChar"/>
    <w:uiPriority w:val="99"/>
    <w:unhideWhenUsed/>
    <w:rsid w:val="00872491"/>
    <w:pPr>
      <w:tabs>
        <w:tab w:val="center" w:pos="4513"/>
        <w:tab w:val="right" w:pos="9026"/>
      </w:tabs>
    </w:pPr>
  </w:style>
  <w:style w:type="character" w:customStyle="1" w:styleId="HeaderChar">
    <w:name w:val="Header Char"/>
    <w:basedOn w:val="DefaultParagraphFont"/>
    <w:link w:val="Header"/>
    <w:uiPriority w:val="99"/>
    <w:rsid w:val="00872491"/>
    <w:rPr>
      <w:rFonts w:ascii="Book Antiqua" w:eastAsia="Book Antiqua" w:hAnsi="Book Antiqua" w:cs="Book Antiqua"/>
    </w:rPr>
  </w:style>
  <w:style w:type="paragraph" w:styleId="Footer">
    <w:name w:val="footer"/>
    <w:basedOn w:val="Normal"/>
    <w:link w:val="FooterChar"/>
    <w:uiPriority w:val="99"/>
    <w:unhideWhenUsed/>
    <w:rsid w:val="00872491"/>
    <w:pPr>
      <w:tabs>
        <w:tab w:val="center" w:pos="4513"/>
        <w:tab w:val="right" w:pos="9026"/>
      </w:tabs>
    </w:pPr>
  </w:style>
  <w:style w:type="character" w:customStyle="1" w:styleId="FooterChar">
    <w:name w:val="Footer Char"/>
    <w:basedOn w:val="DefaultParagraphFont"/>
    <w:link w:val="Footer"/>
    <w:uiPriority w:val="99"/>
    <w:rsid w:val="00872491"/>
    <w:rPr>
      <w:rFonts w:ascii="Book Antiqua" w:eastAsia="Book Antiqua" w:hAnsi="Book Antiqua" w:cs="Book Antiqua"/>
    </w:rPr>
  </w:style>
  <w:style w:type="character" w:customStyle="1" w:styleId="Heading3Char">
    <w:name w:val="Heading 3 Char"/>
    <w:basedOn w:val="DefaultParagraphFont"/>
    <w:link w:val="Heading3"/>
    <w:uiPriority w:val="9"/>
    <w:semiHidden/>
    <w:rsid w:val="004269A5"/>
    <w:rPr>
      <w:rFonts w:eastAsiaTheme="majorEastAsia" w:cstheme="majorBidi"/>
      <w:color w:val="365F91" w:themeColor="accent1" w:themeShade="BF"/>
      <w:kern w:val="2"/>
      <w:sz w:val="28"/>
      <w:szCs w:val="28"/>
      <w:lang w:val="en"/>
      <w14:ligatures w14:val="standardContextual"/>
    </w:rPr>
  </w:style>
  <w:style w:type="character" w:customStyle="1" w:styleId="Heading4Char">
    <w:name w:val="Heading 4 Char"/>
    <w:basedOn w:val="DefaultParagraphFont"/>
    <w:link w:val="Heading4"/>
    <w:uiPriority w:val="9"/>
    <w:semiHidden/>
    <w:rsid w:val="004269A5"/>
    <w:rPr>
      <w:rFonts w:eastAsiaTheme="majorEastAsia" w:cstheme="majorBidi"/>
      <w:i/>
      <w:iCs/>
      <w:color w:val="365F91" w:themeColor="accent1" w:themeShade="BF"/>
      <w:kern w:val="2"/>
      <w:sz w:val="24"/>
      <w:szCs w:val="24"/>
      <w:lang w:val="en"/>
      <w14:ligatures w14:val="standardContextual"/>
    </w:rPr>
  </w:style>
  <w:style w:type="character" w:customStyle="1" w:styleId="Heading5Char">
    <w:name w:val="Heading 5 Char"/>
    <w:basedOn w:val="DefaultParagraphFont"/>
    <w:link w:val="Heading5"/>
    <w:uiPriority w:val="9"/>
    <w:semiHidden/>
    <w:rsid w:val="004269A5"/>
    <w:rPr>
      <w:rFonts w:eastAsiaTheme="majorEastAsia" w:cstheme="majorBidi"/>
      <w:color w:val="365F91" w:themeColor="accent1" w:themeShade="BF"/>
      <w:kern w:val="2"/>
      <w:sz w:val="24"/>
      <w:szCs w:val="24"/>
      <w:lang w:val="en"/>
      <w14:ligatures w14:val="standardContextual"/>
    </w:rPr>
  </w:style>
  <w:style w:type="character" w:customStyle="1" w:styleId="Heading6Char">
    <w:name w:val="Heading 6 Char"/>
    <w:basedOn w:val="DefaultParagraphFont"/>
    <w:link w:val="Heading6"/>
    <w:uiPriority w:val="9"/>
    <w:semiHidden/>
    <w:rsid w:val="004269A5"/>
    <w:rPr>
      <w:rFonts w:eastAsiaTheme="majorEastAsia" w:cstheme="majorBidi"/>
      <w:i/>
      <w:iCs/>
      <w:color w:val="595959" w:themeColor="text1" w:themeTint="A6"/>
      <w:kern w:val="2"/>
      <w:sz w:val="24"/>
      <w:szCs w:val="24"/>
      <w:lang w:val="en"/>
      <w14:ligatures w14:val="standardContextual"/>
    </w:rPr>
  </w:style>
  <w:style w:type="character" w:customStyle="1" w:styleId="Heading7Char">
    <w:name w:val="Heading 7 Char"/>
    <w:basedOn w:val="DefaultParagraphFont"/>
    <w:link w:val="Heading7"/>
    <w:uiPriority w:val="9"/>
    <w:semiHidden/>
    <w:rsid w:val="004269A5"/>
    <w:rPr>
      <w:rFonts w:eastAsiaTheme="majorEastAsia" w:cstheme="majorBidi"/>
      <w:color w:val="595959" w:themeColor="text1" w:themeTint="A6"/>
      <w:kern w:val="2"/>
      <w:sz w:val="24"/>
      <w:szCs w:val="24"/>
      <w:lang w:val="en"/>
      <w14:ligatures w14:val="standardContextual"/>
    </w:rPr>
  </w:style>
  <w:style w:type="character" w:customStyle="1" w:styleId="Heading8Char">
    <w:name w:val="Heading 8 Char"/>
    <w:basedOn w:val="DefaultParagraphFont"/>
    <w:link w:val="Heading8"/>
    <w:uiPriority w:val="9"/>
    <w:semiHidden/>
    <w:rsid w:val="004269A5"/>
    <w:rPr>
      <w:rFonts w:eastAsiaTheme="majorEastAsia" w:cstheme="majorBidi"/>
      <w:i/>
      <w:iCs/>
      <w:color w:val="272727" w:themeColor="text1" w:themeTint="D8"/>
      <w:kern w:val="2"/>
      <w:sz w:val="24"/>
      <w:szCs w:val="24"/>
      <w:lang w:val="en"/>
      <w14:ligatures w14:val="standardContextual"/>
    </w:rPr>
  </w:style>
  <w:style w:type="character" w:customStyle="1" w:styleId="Heading9Char">
    <w:name w:val="Heading 9 Char"/>
    <w:basedOn w:val="DefaultParagraphFont"/>
    <w:link w:val="Heading9"/>
    <w:uiPriority w:val="9"/>
    <w:semiHidden/>
    <w:rsid w:val="004269A5"/>
    <w:rPr>
      <w:rFonts w:eastAsiaTheme="majorEastAsia" w:cstheme="majorBidi"/>
      <w:color w:val="272727" w:themeColor="text1" w:themeTint="D8"/>
      <w:kern w:val="2"/>
      <w:sz w:val="24"/>
      <w:szCs w:val="24"/>
      <w:lang w:val="en"/>
      <w14:ligatures w14:val="standardContextual"/>
    </w:rPr>
  </w:style>
  <w:style w:type="character" w:customStyle="1" w:styleId="Heading1Char">
    <w:name w:val="Heading 1 Char"/>
    <w:basedOn w:val="DefaultParagraphFont"/>
    <w:link w:val="Heading1"/>
    <w:uiPriority w:val="9"/>
    <w:rsid w:val="004269A5"/>
    <w:rPr>
      <w:rFonts w:ascii="Book Antiqua" w:eastAsia="Book Antiqua" w:hAnsi="Book Antiqua" w:cs="Book Antiqua"/>
      <w:b/>
      <w:bCs/>
      <w:sz w:val="28"/>
      <w:szCs w:val="28"/>
    </w:rPr>
  </w:style>
  <w:style w:type="character" w:customStyle="1" w:styleId="Heading2Char">
    <w:name w:val="Heading 2 Char"/>
    <w:basedOn w:val="DefaultParagraphFont"/>
    <w:link w:val="Heading2"/>
    <w:uiPriority w:val="9"/>
    <w:rsid w:val="004269A5"/>
    <w:rPr>
      <w:rFonts w:ascii="Book Antiqua" w:eastAsia="Book Antiqua" w:hAnsi="Book Antiqua" w:cs="Book Antiqua"/>
      <w:b/>
      <w:bCs/>
      <w:i/>
      <w:iCs/>
      <w:sz w:val="24"/>
      <w:szCs w:val="24"/>
    </w:rPr>
  </w:style>
  <w:style w:type="character" w:customStyle="1" w:styleId="TitleChar">
    <w:name w:val="Title Char"/>
    <w:basedOn w:val="DefaultParagraphFont"/>
    <w:link w:val="Title"/>
    <w:uiPriority w:val="10"/>
    <w:rsid w:val="004269A5"/>
    <w:rPr>
      <w:rFonts w:ascii="Book Antiqua" w:eastAsia="Book Antiqua" w:hAnsi="Book Antiqua" w:cs="Book Antiqua"/>
      <w:b/>
      <w:bCs/>
      <w:sz w:val="32"/>
      <w:szCs w:val="32"/>
    </w:rPr>
  </w:style>
  <w:style w:type="paragraph" w:styleId="Subtitle">
    <w:name w:val="Subtitle"/>
    <w:basedOn w:val="Normal"/>
    <w:next w:val="Normal"/>
    <w:link w:val="SubtitleChar"/>
    <w:uiPriority w:val="11"/>
    <w:qFormat/>
    <w:rsid w:val="004269A5"/>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
      <w14:ligatures w14:val="standardContextual"/>
    </w:rPr>
  </w:style>
  <w:style w:type="character" w:customStyle="1" w:styleId="SubtitleChar">
    <w:name w:val="Subtitle Char"/>
    <w:basedOn w:val="DefaultParagraphFont"/>
    <w:link w:val="Subtitle"/>
    <w:uiPriority w:val="11"/>
    <w:rsid w:val="004269A5"/>
    <w:rPr>
      <w:rFonts w:eastAsiaTheme="majorEastAsia" w:cstheme="majorBidi"/>
      <w:color w:val="595959" w:themeColor="text1" w:themeTint="A6"/>
      <w:spacing w:val="15"/>
      <w:kern w:val="2"/>
      <w:sz w:val="28"/>
      <w:szCs w:val="28"/>
      <w:lang w:val="en"/>
      <w14:ligatures w14:val="standardContextual"/>
    </w:rPr>
  </w:style>
  <w:style w:type="paragraph" w:styleId="Quote">
    <w:name w:val="Quote"/>
    <w:basedOn w:val="Normal"/>
    <w:next w:val="Normal"/>
    <w:link w:val="QuoteChar"/>
    <w:uiPriority w:val="29"/>
    <w:qFormat/>
    <w:rsid w:val="004269A5"/>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
      <w14:ligatures w14:val="standardContextual"/>
    </w:rPr>
  </w:style>
  <w:style w:type="character" w:customStyle="1" w:styleId="QuoteChar">
    <w:name w:val="Quote Char"/>
    <w:basedOn w:val="DefaultParagraphFont"/>
    <w:link w:val="Quote"/>
    <w:uiPriority w:val="29"/>
    <w:rsid w:val="004269A5"/>
    <w:rPr>
      <w:i/>
      <w:iCs/>
      <w:color w:val="404040" w:themeColor="text1" w:themeTint="BF"/>
      <w:kern w:val="2"/>
      <w:sz w:val="24"/>
      <w:szCs w:val="24"/>
      <w:lang w:val="en"/>
      <w14:ligatures w14:val="standardContextual"/>
    </w:rPr>
  </w:style>
  <w:style w:type="character" w:styleId="IntenseEmphasis">
    <w:name w:val="Intense Emphasis"/>
    <w:basedOn w:val="DefaultParagraphFont"/>
    <w:uiPriority w:val="21"/>
    <w:qFormat/>
    <w:rsid w:val="004269A5"/>
    <w:rPr>
      <w:i/>
      <w:iCs/>
      <w:color w:val="365F91" w:themeColor="accent1" w:themeShade="BF"/>
    </w:rPr>
  </w:style>
  <w:style w:type="paragraph" w:styleId="IntenseQuote">
    <w:name w:val="Intense Quote"/>
    <w:basedOn w:val="Normal"/>
    <w:next w:val="Normal"/>
    <w:link w:val="IntenseQuoteChar"/>
    <w:uiPriority w:val="30"/>
    <w:qFormat/>
    <w:rsid w:val="004269A5"/>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n"/>
      <w14:ligatures w14:val="standardContextual"/>
    </w:rPr>
  </w:style>
  <w:style w:type="character" w:customStyle="1" w:styleId="IntenseQuoteChar">
    <w:name w:val="Intense Quote Char"/>
    <w:basedOn w:val="DefaultParagraphFont"/>
    <w:link w:val="IntenseQuote"/>
    <w:uiPriority w:val="30"/>
    <w:rsid w:val="004269A5"/>
    <w:rPr>
      <w:i/>
      <w:iCs/>
      <w:color w:val="365F91" w:themeColor="accent1" w:themeShade="BF"/>
      <w:kern w:val="2"/>
      <w:sz w:val="24"/>
      <w:szCs w:val="24"/>
      <w:lang w:val="en"/>
      <w14:ligatures w14:val="standardContextual"/>
    </w:rPr>
  </w:style>
  <w:style w:type="character" w:styleId="IntenseReference">
    <w:name w:val="Intense Reference"/>
    <w:basedOn w:val="DefaultParagraphFont"/>
    <w:uiPriority w:val="32"/>
    <w:qFormat/>
    <w:rsid w:val="004269A5"/>
    <w:rPr>
      <w:b/>
      <w:bCs/>
      <w:smallCaps/>
      <w:color w:val="365F91" w:themeColor="accent1" w:themeShade="BF"/>
      <w:spacing w:val="5"/>
    </w:rPr>
  </w:style>
  <w:style w:type="table" w:styleId="TableGrid">
    <w:name w:val="Table Grid"/>
    <w:basedOn w:val="TableNormal"/>
    <w:uiPriority w:val="39"/>
    <w:rsid w:val="004269A5"/>
    <w:pPr>
      <w:widowControl/>
      <w:autoSpaceDE/>
      <w:autoSpaceDN/>
    </w:pPr>
    <w:rPr>
      <w:kern w:val="2"/>
      <w:sz w:val="24"/>
      <w:szCs w:val="24"/>
      <w:lang w:val="e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phy-modulelvnit">
    <w:name w:val="typography-module__lvnit"/>
    <w:basedOn w:val="DefaultParagraphFont"/>
    <w:rsid w:val="004269A5"/>
  </w:style>
  <w:style w:type="paragraph" w:styleId="Bibliography">
    <w:name w:val="Bibliography"/>
    <w:basedOn w:val="Normal"/>
    <w:next w:val="Normal"/>
    <w:uiPriority w:val="37"/>
    <w:unhideWhenUsed/>
    <w:rsid w:val="004269A5"/>
    <w:pPr>
      <w:widowControl/>
      <w:autoSpaceDE/>
      <w:autoSpaceDN/>
      <w:spacing w:line="480" w:lineRule="auto"/>
      <w:ind w:left="720" w:hanging="720"/>
    </w:pPr>
    <w:rPr>
      <w:rFonts w:asciiTheme="minorHAnsi" w:eastAsiaTheme="minorHAnsi" w:hAnsiTheme="minorHAnsi" w:cstheme="minorBidi"/>
      <w:kern w:val="2"/>
      <w:sz w:val="24"/>
      <w:szCs w:val="24"/>
      <w:lang w:val="en"/>
      <w14:ligatures w14:val="standardContextual"/>
    </w:rPr>
  </w:style>
  <w:style w:type="paragraph" w:customStyle="1" w:styleId="Default">
    <w:name w:val="Default"/>
    <w:rsid w:val="004269A5"/>
    <w:pPr>
      <w:widowControl/>
      <w:adjustRightInd w:val="0"/>
    </w:pPr>
    <w:rPr>
      <w:rFonts w:ascii="Trebuchet MS" w:eastAsia="MS Mincho" w:hAnsi="Trebuchet MS" w:cs="Trebuchet MS"/>
      <w:color w:val="000000"/>
      <w:sz w:val="24"/>
      <w:szCs w:val="24"/>
      <w:lang w:val="en" w:eastAsia="id-ID"/>
    </w:rPr>
  </w:style>
  <w:style w:type="character" w:styleId="Hyperlink">
    <w:name w:val="Hyperlink"/>
    <w:basedOn w:val="DefaultParagraphFont"/>
    <w:uiPriority w:val="99"/>
    <w:unhideWhenUsed/>
    <w:rsid w:val="004269A5"/>
    <w:rPr>
      <w:color w:val="0000FF" w:themeColor="hyperlink"/>
      <w:u w:val="single"/>
    </w:rPr>
  </w:style>
  <w:style w:type="character" w:styleId="UnresolvedMention">
    <w:name w:val="Unresolved Mention"/>
    <w:basedOn w:val="DefaultParagraphFont"/>
    <w:uiPriority w:val="99"/>
    <w:semiHidden/>
    <w:unhideWhenUsed/>
    <w:rsid w:val="00426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orcid.org/0000-0002-0418-6629" TargetMode="External"/><Relationship Id="rId18" Type="http://schemas.openxmlformats.org/officeDocument/2006/relationships/image" Target="media/image5.png"/><Relationship Id="rId26" Type="http://schemas.openxmlformats.org/officeDocument/2006/relationships/hyperlink" Target="https://www.scopus.com/pages/organization/60000485" TargetMode="External"/><Relationship Id="rId3" Type="http://schemas.openxmlformats.org/officeDocument/2006/relationships/webSettings" Target="webSettings.xml"/><Relationship Id="rId21" Type="http://schemas.openxmlformats.org/officeDocument/2006/relationships/hyperlink" Target="https://www.scopus.com/pages/organization/60025797" TargetMode="External"/><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orcid.org/0000-0002-4718-2871" TargetMode="External"/><Relationship Id="rId17" Type="http://schemas.openxmlformats.org/officeDocument/2006/relationships/chart" Target="charts/chart3.xml"/><Relationship Id="rId25" Type="http://schemas.openxmlformats.org/officeDocument/2006/relationships/hyperlink" Target="https://www.scopus.com/pages/organization/60000485"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4.png"/><Relationship Id="rId20" Type="http://schemas.openxmlformats.org/officeDocument/2006/relationships/hyperlink" Target="https://www.scopus.com/pages/organization/60025797" TargetMode="External"/><Relationship Id="rId29" Type="http://schemas.openxmlformats.org/officeDocument/2006/relationships/image" Target="media/image8.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orcid.org/0000-0002-6414-3014" TargetMode="External"/><Relationship Id="rId24" Type="http://schemas.openxmlformats.org/officeDocument/2006/relationships/hyperlink" Target="https://www.scopus.com/pages/organization/60013610" TargetMode="External"/><Relationship Id="rId32"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chart" Target="charts/chart2.xml"/><Relationship Id="rId23" Type="http://schemas.openxmlformats.org/officeDocument/2006/relationships/hyperlink" Target="https://www.scopus.com/pages/organization/60000485" TargetMode="External"/><Relationship Id="rId28" Type="http://schemas.openxmlformats.org/officeDocument/2006/relationships/image" Target="media/image7.png"/><Relationship Id="rId10" Type="http://schemas.openxmlformats.org/officeDocument/2006/relationships/hyperlink" Target="https://orcid.org/0000-0002-0418-6629" TargetMode="External"/><Relationship Id="rId19" Type="http://schemas.openxmlformats.org/officeDocument/2006/relationships/image" Target="media/image6.png"/><Relationship Id="rId31" Type="http://schemas.openxmlformats.org/officeDocument/2006/relationships/image" Target="media/image10.png"/><Relationship Id="rId4" Type="http://schemas.openxmlformats.org/officeDocument/2006/relationships/footnotes" Target="footnotes.xml"/><Relationship Id="rId9" Type="http://schemas.openxmlformats.org/officeDocument/2006/relationships/hyperlink" Target="http://www.njh.com.ng/" TargetMode="External"/><Relationship Id="rId14" Type="http://schemas.openxmlformats.org/officeDocument/2006/relationships/chart" Target="charts/chart1.xml"/><Relationship Id="rId22" Type="http://schemas.openxmlformats.org/officeDocument/2006/relationships/hyperlink" Target="https://www.scopus.com/pages/organization/60000485" TargetMode="External"/><Relationship Id="rId27" Type="http://schemas.openxmlformats.org/officeDocument/2006/relationships/hyperlink" Target="https://www.scopus.com/pages/organization/60025797" TargetMode="External"/><Relationship Id="rId30" Type="http://schemas.openxmlformats.org/officeDocument/2006/relationships/image" Target="media/image9.png"/><Relationship Id="rId8"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galah\Downloads\Annual_Production_bibliometrix_2025-12-19%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galah\Downloads\Annual_Total_Citation_per_Year_bibliometrix_2025-12-1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Articles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Sheet1!$A$3:$A$31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cat>
          <c:val>
            <c:numRef>
              <c:f>Sheet1!$B$3:$B$31</c:f>
              <c:numCache>
                <c:formatCode>General</c:formatCode>
                <c:ptCount val="29"/>
                <c:pt idx="0">
                  <c:v>2</c:v>
                </c:pt>
                <c:pt idx="1">
                  <c:v>1</c:v>
                </c:pt>
                <c:pt idx="2">
                  <c:v>2</c:v>
                </c:pt>
                <c:pt idx="3">
                  <c:v>2</c:v>
                </c:pt>
                <c:pt idx="4">
                  <c:v>1</c:v>
                </c:pt>
                <c:pt idx="5">
                  <c:v>4</c:v>
                </c:pt>
                <c:pt idx="6">
                  <c:v>1</c:v>
                </c:pt>
                <c:pt idx="7">
                  <c:v>2</c:v>
                </c:pt>
                <c:pt idx="8">
                  <c:v>4</c:v>
                </c:pt>
                <c:pt idx="9">
                  <c:v>3</c:v>
                </c:pt>
                <c:pt idx="10">
                  <c:v>6</c:v>
                </c:pt>
                <c:pt idx="11">
                  <c:v>3</c:v>
                </c:pt>
                <c:pt idx="12">
                  <c:v>3</c:v>
                </c:pt>
                <c:pt idx="13">
                  <c:v>5</c:v>
                </c:pt>
                <c:pt idx="14">
                  <c:v>3</c:v>
                </c:pt>
                <c:pt idx="15">
                  <c:v>2</c:v>
                </c:pt>
                <c:pt idx="16">
                  <c:v>4</c:v>
                </c:pt>
                <c:pt idx="17">
                  <c:v>1</c:v>
                </c:pt>
                <c:pt idx="18">
                  <c:v>5</c:v>
                </c:pt>
                <c:pt idx="19">
                  <c:v>10</c:v>
                </c:pt>
                <c:pt idx="20">
                  <c:v>7</c:v>
                </c:pt>
                <c:pt idx="21">
                  <c:v>2</c:v>
                </c:pt>
                <c:pt idx="22">
                  <c:v>7</c:v>
                </c:pt>
                <c:pt idx="23">
                  <c:v>7</c:v>
                </c:pt>
                <c:pt idx="24">
                  <c:v>5</c:v>
                </c:pt>
                <c:pt idx="25">
                  <c:v>7</c:v>
                </c:pt>
                <c:pt idx="26">
                  <c:v>2</c:v>
                </c:pt>
                <c:pt idx="27">
                  <c:v>6</c:v>
                </c:pt>
                <c:pt idx="28">
                  <c:v>4</c:v>
                </c:pt>
              </c:numCache>
            </c:numRef>
          </c:val>
          <c:extLst>
            <c:ext xmlns:c16="http://schemas.microsoft.com/office/drawing/2014/chart" uri="{C3380CC4-5D6E-409C-BE32-E72D297353CC}">
              <c16:uniqueId val="{00000000-5FCC-4C53-B67B-ADEF154705B5}"/>
            </c:ext>
          </c:extLst>
        </c:ser>
        <c:dLbls>
          <c:showLegendKey val="0"/>
          <c:showVal val="1"/>
          <c:showCatName val="0"/>
          <c:showSerName val="0"/>
          <c:showPercent val="0"/>
          <c:showBubbleSize val="0"/>
        </c:dLbls>
        <c:gapWidth val="75"/>
        <c:axId val="1979181119"/>
        <c:axId val="1979171039"/>
      </c:barChart>
      <c:catAx>
        <c:axId val="1979181119"/>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79171039"/>
        <c:crosses val="autoZero"/>
        <c:auto val="1"/>
        <c:lblAlgn val="ctr"/>
        <c:lblOffset val="100"/>
        <c:noMultiLvlLbl val="0"/>
      </c:catAx>
      <c:valAx>
        <c:axId val="1979171039"/>
        <c:scaling>
          <c:orientation val="minMax"/>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7918111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Sheet1!$I$2</c:f>
              <c:strCache>
                <c:ptCount val="1"/>
                <c:pt idx="0">
                  <c:v>MeanTCperYear</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Sheet1!$H$3:$H$31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xVal>
          <c:yVal>
            <c:numRef>
              <c:f>Sheet1!$I$3:$I$31</c:f>
              <c:numCache>
                <c:formatCode>0.00</c:formatCode>
                <c:ptCount val="29"/>
                <c:pt idx="0">
                  <c:v>0.26</c:v>
                </c:pt>
                <c:pt idx="1">
                  <c:v>0.11</c:v>
                </c:pt>
                <c:pt idx="2">
                  <c:v>1.89</c:v>
                </c:pt>
                <c:pt idx="3">
                  <c:v>1.46</c:v>
                </c:pt>
                <c:pt idx="4">
                  <c:v>0.92</c:v>
                </c:pt>
                <c:pt idx="5">
                  <c:v>0.75</c:v>
                </c:pt>
                <c:pt idx="6">
                  <c:v>0</c:v>
                </c:pt>
                <c:pt idx="7">
                  <c:v>0.86</c:v>
                </c:pt>
                <c:pt idx="8">
                  <c:v>2.02</c:v>
                </c:pt>
                <c:pt idx="9">
                  <c:v>1.43</c:v>
                </c:pt>
                <c:pt idx="10">
                  <c:v>0.89</c:v>
                </c:pt>
                <c:pt idx="11">
                  <c:v>0.61</c:v>
                </c:pt>
                <c:pt idx="12">
                  <c:v>1.29</c:v>
                </c:pt>
                <c:pt idx="13">
                  <c:v>1.52</c:v>
                </c:pt>
                <c:pt idx="14">
                  <c:v>1.18</c:v>
                </c:pt>
                <c:pt idx="15">
                  <c:v>0.43</c:v>
                </c:pt>
                <c:pt idx="16">
                  <c:v>0.69</c:v>
                </c:pt>
                <c:pt idx="17">
                  <c:v>0.08</c:v>
                </c:pt>
                <c:pt idx="18">
                  <c:v>0.73</c:v>
                </c:pt>
                <c:pt idx="19">
                  <c:v>1.5</c:v>
                </c:pt>
                <c:pt idx="20">
                  <c:v>3.32</c:v>
                </c:pt>
                <c:pt idx="21">
                  <c:v>3</c:v>
                </c:pt>
                <c:pt idx="22">
                  <c:v>3.33</c:v>
                </c:pt>
                <c:pt idx="23">
                  <c:v>1.05</c:v>
                </c:pt>
                <c:pt idx="24">
                  <c:v>0.92</c:v>
                </c:pt>
                <c:pt idx="25">
                  <c:v>1.25</c:v>
                </c:pt>
                <c:pt idx="26">
                  <c:v>1.5</c:v>
                </c:pt>
                <c:pt idx="27">
                  <c:v>2</c:v>
                </c:pt>
                <c:pt idx="28">
                  <c:v>1</c:v>
                </c:pt>
              </c:numCache>
            </c:numRef>
          </c:yVal>
          <c:smooth val="0"/>
          <c:extLst>
            <c:ext xmlns:c16="http://schemas.microsoft.com/office/drawing/2014/chart" uri="{C3380CC4-5D6E-409C-BE32-E72D297353CC}">
              <c16:uniqueId val="{00000000-C1D4-4599-A662-7DBE180E6F63}"/>
            </c:ext>
          </c:extLst>
        </c:ser>
        <c:dLbls>
          <c:dLblPos val="r"/>
          <c:showLegendKey val="0"/>
          <c:showVal val="1"/>
          <c:showCatName val="1"/>
          <c:showSerName val="0"/>
          <c:showPercent val="0"/>
          <c:showBubbleSize val="0"/>
        </c:dLbls>
        <c:axId val="2093148032"/>
        <c:axId val="2093142752"/>
      </c:scatterChart>
      <c:valAx>
        <c:axId val="2093148032"/>
        <c:scaling>
          <c:orientation val="minMax"/>
          <c:max val="2025"/>
        </c:scaling>
        <c:delete val="0"/>
        <c:axPos val="b"/>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3142752"/>
        <c:crosses val="autoZero"/>
        <c:crossBetween val="midCat"/>
        <c:majorUnit val="1"/>
      </c:valAx>
      <c:valAx>
        <c:axId val="20931427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3148032"/>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Sheet1!$D$2</c:f>
              <c:strCache>
                <c:ptCount val="1"/>
                <c:pt idx="0">
                  <c:v>University of Valladolid</c:v>
                </c:pt>
              </c:strCache>
            </c:strRef>
          </c:tx>
          <c:spPr>
            <a:ln w="28575" cap="rnd">
              <a:solidFill>
                <a:schemeClr val="accent1"/>
              </a:solidFill>
              <a:round/>
            </a:ln>
            <a:effectLst/>
          </c:spPr>
          <c:marker>
            <c:symbol val="none"/>
          </c:marker>
          <c:cat>
            <c:numRef>
              <c:f>Sheet1!$E$1:$AG$1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cat>
          <c:val>
            <c:numRef>
              <c:f>Sheet1!$E$2:$AG$2</c:f>
              <c:numCache>
                <c:formatCode>General</c:formatCode>
                <c:ptCount val="29"/>
                <c:pt idx="0">
                  <c:v>1</c:v>
                </c:pt>
                <c:pt idx="1">
                  <c:v>2</c:v>
                </c:pt>
                <c:pt idx="2">
                  <c:v>3</c:v>
                </c:pt>
                <c:pt idx="3">
                  <c:v>4</c:v>
                </c:pt>
                <c:pt idx="4">
                  <c:v>4</c:v>
                </c:pt>
                <c:pt idx="5">
                  <c:v>4</c:v>
                </c:pt>
                <c:pt idx="6">
                  <c:v>4</c:v>
                </c:pt>
                <c:pt idx="7">
                  <c:v>4</c:v>
                </c:pt>
                <c:pt idx="8">
                  <c:v>5</c:v>
                </c:pt>
                <c:pt idx="9">
                  <c:v>5</c:v>
                </c:pt>
                <c:pt idx="10">
                  <c:v>6</c:v>
                </c:pt>
                <c:pt idx="11">
                  <c:v>6</c:v>
                </c:pt>
                <c:pt idx="12">
                  <c:v>6</c:v>
                </c:pt>
                <c:pt idx="13">
                  <c:v>6</c:v>
                </c:pt>
                <c:pt idx="14">
                  <c:v>7</c:v>
                </c:pt>
                <c:pt idx="15">
                  <c:v>7</c:v>
                </c:pt>
                <c:pt idx="16">
                  <c:v>7</c:v>
                </c:pt>
                <c:pt idx="17">
                  <c:v>7</c:v>
                </c:pt>
                <c:pt idx="18">
                  <c:v>8</c:v>
                </c:pt>
                <c:pt idx="19">
                  <c:v>8</c:v>
                </c:pt>
                <c:pt idx="20">
                  <c:v>8</c:v>
                </c:pt>
                <c:pt idx="21">
                  <c:v>8</c:v>
                </c:pt>
                <c:pt idx="22">
                  <c:v>10</c:v>
                </c:pt>
                <c:pt idx="23">
                  <c:v>11</c:v>
                </c:pt>
                <c:pt idx="24">
                  <c:v>11</c:v>
                </c:pt>
                <c:pt idx="25">
                  <c:v>11</c:v>
                </c:pt>
                <c:pt idx="26">
                  <c:v>11</c:v>
                </c:pt>
                <c:pt idx="27">
                  <c:v>11</c:v>
                </c:pt>
                <c:pt idx="28">
                  <c:v>12</c:v>
                </c:pt>
              </c:numCache>
            </c:numRef>
          </c:val>
          <c:smooth val="0"/>
          <c:extLst>
            <c:ext xmlns:c16="http://schemas.microsoft.com/office/drawing/2014/chart" uri="{C3380CC4-5D6E-409C-BE32-E72D297353CC}">
              <c16:uniqueId val="{00000000-4F4E-4385-B9CB-970763473F3A}"/>
            </c:ext>
          </c:extLst>
        </c:ser>
        <c:ser>
          <c:idx val="1"/>
          <c:order val="1"/>
          <c:tx>
            <c:strRef>
              <c:f>Sheet1!$D$3</c:f>
              <c:strCache>
                <c:ptCount val="1"/>
                <c:pt idx="0">
                  <c:v>Graphic Era Hill University</c:v>
                </c:pt>
              </c:strCache>
            </c:strRef>
          </c:tx>
          <c:spPr>
            <a:ln w="28575" cap="rnd">
              <a:solidFill>
                <a:schemeClr val="accent2"/>
              </a:solidFill>
              <a:round/>
            </a:ln>
            <a:effectLst/>
          </c:spPr>
          <c:marker>
            <c:symbol val="none"/>
          </c:marker>
          <c:cat>
            <c:numRef>
              <c:f>Sheet1!$E$1:$AG$1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cat>
          <c:val>
            <c:numRef>
              <c:f>Sheet1!$E$3:$AG$3</c:f>
              <c:numCache>
                <c:formatCode>General</c:formatCode>
                <c:ptCount val="2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c:v>
                </c:pt>
                <c:pt idx="20">
                  <c:v>3</c:v>
                </c:pt>
                <c:pt idx="21">
                  <c:v>3</c:v>
                </c:pt>
                <c:pt idx="22">
                  <c:v>3</c:v>
                </c:pt>
                <c:pt idx="23">
                  <c:v>3</c:v>
                </c:pt>
                <c:pt idx="24">
                  <c:v>5</c:v>
                </c:pt>
                <c:pt idx="25">
                  <c:v>7</c:v>
                </c:pt>
                <c:pt idx="26">
                  <c:v>7</c:v>
                </c:pt>
                <c:pt idx="27">
                  <c:v>7</c:v>
                </c:pt>
                <c:pt idx="28">
                  <c:v>7</c:v>
                </c:pt>
              </c:numCache>
            </c:numRef>
          </c:val>
          <c:smooth val="0"/>
          <c:extLst>
            <c:ext xmlns:c16="http://schemas.microsoft.com/office/drawing/2014/chart" uri="{C3380CC4-5D6E-409C-BE32-E72D297353CC}">
              <c16:uniqueId val="{00000001-4F4E-4385-B9CB-970763473F3A}"/>
            </c:ext>
          </c:extLst>
        </c:ser>
        <c:ser>
          <c:idx val="2"/>
          <c:order val="2"/>
          <c:tx>
            <c:strRef>
              <c:f>Sheet1!$D$4</c:f>
              <c:strCache>
                <c:ptCount val="1"/>
                <c:pt idx="0">
                  <c:v>Universite de la Reunion</c:v>
                </c:pt>
              </c:strCache>
            </c:strRef>
          </c:tx>
          <c:spPr>
            <a:ln w="28575" cap="rnd">
              <a:solidFill>
                <a:schemeClr val="accent3"/>
              </a:solidFill>
              <a:round/>
            </a:ln>
            <a:effectLst/>
          </c:spPr>
          <c:marker>
            <c:symbol val="none"/>
          </c:marker>
          <c:cat>
            <c:numRef>
              <c:f>Sheet1!$E$1:$AG$1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cat>
          <c:val>
            <c:numRef>
              <c:f>Sheet1!$E$4:$AG$4</c:f>
              <c:numCache>
                <c:formatCode>General</c:formatCode>
                <c:ptCount val="29"/>
                <c:pt idx="0">
                  <c:v>0</c:v>
                </c:pt>
                <c:pt idx="1">
                  <c:v>0</c:v>
                </c:pt>
                <c:pt idx="2">
                  <c:v>1</c:v>
                </c:pt>
                <c:pt idx="3">
                  <c:v>2</c:v>
                </c:pt>
                <c:pt idx="4">
                  <c:v>2</c:v>
                </c:pt>
                <c:pt idx="5">
                  <c:v>2</c:v>
                </c:pt>
                <c:pt idx="6">
                  <c:v>2</c:v>
                </c:pt>
                <c:pt idx="7">
                  <c:v>2</c:v>
                </c:pt>
                <c:pt idx="8">
                  <c:v>3</c:v>
                </c:pt>
                <c:pt idx="9">
                  <c:v>3</c:v>
                </c:pt>
                <c:pt idx="10">
                  <c:v>3</c:v>
                </c:pt>
                <c:pt idx="11">
                  <c:v>3</c:v>
                </c:pt>
                <c:pt idx="12">
                  <c:v>3</c:v>
                </c:pt>
                <c:pt idx="13">
                  <c:v>4</c:v>
                </c:pt>
                <c:pt idx="14">
                  <c:v>4</c:v>
                </c:pt>
                <c:pt idx="15">
                  <c:v>4</c:v>
                </c:pt>
                <c:pt idx="16">
                  <c:v>4</c:v>
                </c:pt>
                <c:pt idx="17">
                  <c:v>4</c:v>
                </c:pt>
                <c:pt idx="18">
                  <c:v>5</c:v>
                </c:pt>
                <c:pt idx="19">
                  <c:v>5</c:v>
                </c:pt>
                <c:pt idx="20">
                  <c:v>5</c:v>
                </c:pt>
                <c:pt idx="21">
                  <c:v>5</c:v>
                </c:pt>
                <c:pt idx="22">
                  <c:v>5</c:v>
                </c:pt>
                <c:pt idx="23">
                  <c:v>5</c:v>
                </c:pt>
                <c:pt idx="24">
                  <c:v>6</c:v>
                </c:pt>
                <c:pt idx="25">
                  <c:v>6</c:v>
                </c:pt>
                <c:pt idx="26">
                  <c:v>6</c:v>
                </c:pt>
                <c:pt idx="27">
                  <c:v>6</c:v>
                </c:pt>
                <c:pt idx="28">
                  <c:v>6</c:v>
                </c:pt>
              </c:numCache>
            </c:numRef>
          </c:val>
          <c:smooth val="0"/>
          <c:extLst>
            <c:ext xmlns:c16="http://schemas.microsoft.com/office/drawing/2014/chart" uri="{C3380CC4-5D6E-409C-BE32-E72D297353CC}">
              <c16:uniqueId val="{00000002-4F4E-4385-B9CB-970763473F3A}"/>
            </c:ext>
          </c:extLst>
        </c:ser>
        <c:ser>
          <c:idx val="3"/>
          <c:order val="3"/>
          <c:tx>
            <c:strRef>
              <c:f>Sheet1!$D$5</c:f>
              <c:strCache>
                <c:ptCount val="1"/>
                <c:pt idx="0">
                  <c:v>Universidade Estadual de Campinas</c:v>
                </c:pt>
              </c:strCache>
            </c:strRef>
          </c:tx>
          <c:spPr>
            <a:ln w="28575" cap="rnd">
              <a:solidFill>
                <a:schemeClr val="accent4"/>
              </a:solidFill>
              <a:round/>
            </a:ln>
            <a:effectLst/>
          </c:spPr>
          <c:marker>
            <c:symbol val="none"/>
          </c:marker>
          <c:cat>
            <c:numRef>
              <c:f>Sheet1!$E$1:$AG$1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cat>
          <c:val>
            <c:numRef>
              <c:f>Sheet1!$E$5:$AG$5</c:f>
              <c:numCache>
                <c:formatCode>General</c:formatCode>
                <c:ptCount val="29"/>
                <c:pt idx="0">
                  <c:v>0</c:v>
                </c:pt>
                <c:pt idx="1">
                  <c:v>0</c:v>
                </c:pt>
                <c:pt idx="2">
                  <c:v>0</c:v>
                </c:pt>
                <c:pt idx="3">
                  <c:v>0</c:v>
                </c:pt>
                <c:pt idx="4">
                  <c:v>0</c:v>
                </c:pt>
                <c:pt idx="5">
                  <c:v>0</c:v>
                </c:pt>
                <c:pt idx="6">
                  <c:v>0</c:v>
                </c:pt>
                <c:pt idx="7">
                  <c:v>0</c:v>
                </c:pt>
                <c:pt idx="8">
                  <c:v>0</c:v>
                </c:pt>
                <c:pt idx="9">
                  <c:v>0</c:v>
                </c:pt>
                <c:pt idx="10">
                  <c:v>0</c:v>
                </c:pt>
                <c:pt idx="11">
                  <c:v>0</c:v>
                </c:pt>
                <c:pt idx="12">
                  <c:v>1</c:v>
                </c:pt>
                <c:pt idx="13">
                  <c:v>3</c:v>
                </c:pt>
                <c:pt idx="14">
                  <c:v>3</c:v>
                </c:pt>
                <c:pt idx="15">
                  <c:v>3</c:v>
                </c:pt>
                <c:pt idx="16">
                  <c:v>3</c:v>
                </c:pt>
                <c:pt idx="17">
                  <c:v>3</c:v>
                </c:pt>
                <c:pt idx="18">
                  <c:v>3</c:v>
                </c:pt>
                <c:pt idx="19">
                  <c:v>4</c:v>
                </c:pt>
                <c:pt idx="20">
                  <c:v>5</c:v>
                </c:pt>
                <c:pt idx="21">
                  <c:v>5</c:v>
                </c:pt>
                <c:pt idx="22">
                  <c:v>5</c:v>
                </c:pt>
                <c:pt idx="23">
                  <c:v>5</c:v>
                </c:pt>
                <c:pt idx="24">
                  <c:v>5</c:v>
                </c:pt>
                <c:pt idx="25">
                  <c:v>5</c:v>
                </c:pt>
                <c:pt idx="26">
                  <c:v>5</c:v>
                </c:pt>
                <c:pt idx="27">
                  <c:v>5</c:v>
                </c:pt>
                <c:pt idx="28">
                  <c:v>5</c:v>
                </c:pt>
              </c:numCache>
            </c:numRef>
          </c:val>
          <c:smooth val="0"/>
          <c:extLst>
            <c:ext xmlns:c16="http://schemas.microsoft.com/office/drawing/2014/chart" uri="{C3380CC4-5D6E-409C-BE32-E72D297353CC}">
              <c16:uniqueId val="{00000003-4F4E-4385-B9CB-970763473F3A}"/>
            </c:ext>
          </c:extLst>
        </c:ser>
        <c:ser>
          <c:idx val="4"/>
          <c:order val="4"/>
          <c:tx>
            <c:strRef>
              <c:f>Sheet1!$D$6</c:f>
              <c:strCache>
                <c:ptCount val="1"/>
                <c:pt idx="0">
                  <c:v>Universidad Federal de Santa Catarina</c:v>
                </c:pt>
              </c:strCache>
            </c:strRef>
          </c:tx>
          <c:spPr>
            <a:ln w="28575" cap="rnd">
              <a:solidFill>
                <a:schemeClr val="accent5"/>
              </a:solidFill>
              <a:round/>
            </a:ln>
            <a:effectLst/>
          </c:spPr>
          <c:marker>
            <c:symbol val="none"/>
          </c:marker>
          <c:cat>
            <c:numRef>
              <c:f>Sheet1!$E$1:$AG$1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cat>
          <c:val>
            <c:numRef>
              <c:f>Sheet1!$E$6:$AG$6</c:f>
              <c:numCache>
                <c:formatCode>General</c:formatCode>
                <c:ptCount val="29"/>
                <c:pt idx="0">
                  <c:v>0</c:v>
                </c:pt>
                <c:pt idx="1">
                  <c:v>0</c:v>
                </c:pt>
                <c:pt idx="2">
                  <c:v>0</c:v>
                </c:pt>
                <c:pt idx="3">
                  <c:v>0</c:v>
                </c:pt>
                <c:pt idx="4">
                  <c:v>0</c:v>
                </c:pt>
                <c:pt idx="5">
                  <c:v>0</c:v>
                </c:pt>
                <c:pt idx="6">
                  <c:v>0</c:v>
                </c:pt>
                <c:pt idx="7">
                  <c:v>0</c:v>
                </c:pt>
                <c:pt idx="8">
                  <c:v>1</c:v>
                </c:pt>
                <c:pt idx="9">
                  <c:v>1</c:v>
                </c:pt>
                <c:pt idx="10">
                  <c:v>1</c:v>
                </c:pt>
                <c:pt idx="11">
                  <c:v>1</c:v>
                </c:pt>
                <c:pt idx="12">
                  <c:v>1</c:v>
                </c:pt>
                <c:pt idx="13">
                  <c:v>1</c:v>
                </c:pt>
                <c:pt idx="14">
                  <c:v>1</c:v>
                </c:pt>
                <c:pt idx="15">
                  <c:v>1</c:v>
                </c:pt>
                <c:pt idx="16">
                  <c:v>1</c:v>
                </c:pt>
                <c:pt idx="17">
                  <c:v>1</c:v>
                </c:pt>
                <c:pt idx="18">
                  <c:v>1</c:v>
                </c:pt>
                <c:pt idx="19">
                  <c:v>1</c:v>
                </c:pt>
                <c:pt idx="20">
                  <c:v>2</c:v>
                </c:pt>
                <c:pt idx="21">
                  <c:v>2</c:v>
                </c:pt>
                <c:pt idx="22">
                  <c:v>3</c:v>
                </c:pt>
                <c:pt idx="23">
                  <c:v>3</c:v>
                </c:pt>
                <c:pt idx="24">
                  <c:v>4</c:v>
                </c:pt>
                <c:pt idx="25">
                  <c:v>4</c:v>
                </c:pt>
                <c:pt idx="26">
                  <c:v>4</c:v>
                </c:pt>
                <c:pt idx="27">
                  <c:v>4</c:v>
                </c:pt>
                <c:pt idx="28">
                  <c:v>4</c:v>
                </c:pt>
              </c:numCache>
            </c:numRef>
          </c:val>
          <c:smooth val="0"/>
          <c:extLst>
            <c:ext xmlns:c16="http://schemas.microsoft.com/office/drawing/2014/chart" uri="{C3380CC4-5D6E-409C-BE32-E72D297353CC}">
              <c16:uniqueId val="{00000004-4F4E-4385-B9CB-970763473F3A}"/>
            </c:ext>
          </c:extLst>
        </c:ser>
        <c:ser>
          <c:idx val="5"/>
          <c:order val="5"/>
          <c:tx>
            <c:strRef>
              <c:f>Sheet1!$D$7</c:f>
              <c:strCache>
                <c:ptCount val="1"/>
                <c:pt idx="0">
                  <c:v>Universidad de Salamanca</c:v>
                </c:pt>
              </c:strCache>
            </c:strRef>
          </c:tx>
          <c:spPr>
            <a:ln w="28575" cap="rnd">
              <a:solidFill>
                <a:schemeClr val="accent6"/>
              </a:solidFill>
              <a:round/>
            </a:ln>
            <a:effectLst/>
          </c:spPr>
          <c:marker>
            <c:symbol val="none"/>
          </c:marker>
          <c:cat>
            <c:numRef>
              <c:f>Sheet1!$E$1:$AG$1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cat>
          <c:val>
            <c:numRef>
              <c:f>Sheet1!$E$7:$AG$7</c:f>
              <c:numCache>
                <c:formatCode>General</c:formatCode>
                <c:ptCount val="29"/>
                <c:pt idx="0">
                  <c:v>1</c:v>
                </c:pt>
                <c:pt idx="1">
                  <c:v>1</c:v>
                </c:pt>
                <c:pt idx="2">
                  <c:v>2</c:v>
                </c:pt>
                <c:pt idx="3">
                  <c:v>3</c:v>
                </c:pt>
                <c:pt idx="4">
                  <c:v>3</c:v>
                </c:pt>
                <c:pt idx="5">
                  <c:v>3</c:v>
                </c:pt>
                <c:pt idx="6">
                  <c:v>3</c:v>
                </c:pt>
                <c:pt idx="7">
                  <c:v>3</c:v>
                </c:pt>
                <c:pt idx="8">
                  <c:v>3</c:v>
                </c:pt>
                <c:pt idx="9">
                  <c:v>3</c:v>
                </c:pt>
                <c:pt idx="10">
                  <c:v>3</c:v>
                </c:pt>
                <c:pt idx="11">
                  <c:v>3</c:v>
                </c:pt>
                <c:pt idx="12">
                  <c:v>3</c:v>
                </c:pt>
                <c:pt idx="13">
                  <c:v>3</c:v>
                </c:pt>
                <c:pt idx="14">
                  <c:v>4</c:v>
                </c:pt>
                <c:pt idx="15">
                  <c:v>4</c:v>
                </c:pt>
                <c:pt idx="16">
                  <c:v>4</c:v>
                </c:pt>
                <c:pt idx="17">
                  <c:v>4</c:v>
                </c:pt>
                <c:pt idx="18">
                  <c:v>4</c:v>
                </c:pt>
                <c:pt idx="19">
                  <c:v>4</c:v>
                </c:pt>
                <c:pt idx="20">
                  <c:v>4</c:v>
                </c:pt>
                <c:pt idx="21">
                  <c:v>4</c:v>
                </c:pt>
                <c:pt idx="22">
                  <c:v>4</c:v>
                </c:pt>
                <c:pt idx="23">
                  <c:v>4</c:v>
                </c:pt>
                <c:pt idx="24">
                  <c:v>4</c:v>
                </c:pt>
                <c:pt idx="25">
                  <c:v>4</c:v>
                </c:pt>
                <c:pt idx="26">
                  <c:v>4</c:v>
                </c:pt>
                <c:pt idx="27">
                  <c:v>4</c:v>
                </c:pt>
                <c:pt idx="28">
                  <c:v>4</c:v>
                </c:pt>
              </c:numCache>
            </c:numRef>
          </c:val>
          <c:smooth val="0"/>
          <c:extLst>
            <c:ext xmlns:c16="http://schemas.microsoft.com/office/drawing/2014/chart" uri="{C3380CC4-5D6E-409C-BE32-E72D297353CC}">
              <c16:uniqueId val="{00000005-4F4E-4385-B9CB-970763473F3A}"/>
            </c:ext>
          </c:extLst>
        </c:ser>
        <c:ser>
          <c:idx val="6"/>
          <c:order val="6"/>
          <c:tx>
            <c:strRef>
              <c:f>Sheet1!$D$8</c:f>
              <c:strCache>
                <c:ptCount val="1"/>
                <c:pt idx="0">
                  <c:v>Universidad de Sevilla</c:v>
                </c:pt>
              </c:strCache>
            </c:strRef>
          </c:tx>
          <c:spPr>
            <a:ln w="28575" cap="rnd">
              <a:solidFill>
                <a:schemeClr val="accent1">
                  <a:lumMod val="60000"/>
                </a:schemeClr>
              </a:solidFill>
              <a:round/>
            </a:ln>
            <a:effectLst/>
          </c:spPr>
          <c:marker>
            <c:symbol val="none"/>
          </c:marker>
          <c:cat>
            <c:numRef>
              <c:f>Sheet1!$E$1:$AG$1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cat>
          <c:val>
            <c:numRef>
              <c:f>Sheet1!$E$8:$AG$8</c:f>
              <c:numCache>
                <c:formatCode>General</c:formatCode>
                <c:ptCount val="2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c:v>
                </c:pt>
                <c:pt idx="19">
                  <c:v>1</c:v>
                </c:pt>
                <c:pt idx="20">
                  <c:v>2</c:v>
                </c:pt>
                <c:pt idx="21">
                  <c:v>2</c:v>
                </c:pt>
                <c:pt idx="22">
                  <c:v>3</c:v>
                </c:pt>
                <c:pt idx="23">
                  <c:v>3</c:v>
                </c:pt>
                <c:pt idx="24">
                  <c:v>3</c:v>
                </c:pt>
                <c:pt idx="25">
                  <c:v>4</c:v>
                </c:pt>
                <c:pt idx="26">
                  <c:v>4</c:v>
                </c:pt>
                <c:pt idx="27">
                  <c:v>4</c:v>
                </c:pt>
                <c:pt idx="28">
                  <c:v>4</c:v>
                </c:pt>
              </c:numCache>
            </c:numRef>
          </c:val>
          <c:smooth val="0"/>
          <c:extLst>
            <c:ext xmlns:c16="http://schemas.microsoft.com/office/drawing/2014/chart" uri="{C3380CC4-5D6E-409C-BE32-E72D297353CC}">
              <c16:uniqueId val="{00000006-4F4E-4385-B9CB-970763473F3A}"/>
            </c:ext>
          </c:extLst>
        </c:ser>
        <c:ser>
          <c:idx val="7"/>
          <c:order val="7"/>
          <c:tx>
            <c:strRef>
              <c:f>Sheet1!$D$9</c:f>
              <c:strCache>
                <c:ptCount val="1"/>
                <c:pt idx="0">
                  <c:v>Universidade Estadual de Maringa</c:v>
                </c:pt>
              </c:strCache>
            </c:strRef>
          </c:tx>
          <c:spPr>
            <a:ln w="28575" cap="rnd">
              <a:solidFill>
                <a:schemeClr val="accent2">
                  <a:lumMod val="60000"/>
                </a:schemeClr>
              </a:solidFill>
              <a:round/>
            </a:ln>
            <a:effectLst/>
          </c:spPr>
          <c:marker>
            <c:symbol val="none"/>
          </c:marker>
          <c:cat>
            <c:numRef>
              <c:f>Sheet1!$E$1:$AG$1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cat>
          <c:val>
            <c:numRef>
              <c:f>Sheet1!$E$9:$AG$9</c:f>
              <c:numCache>
                <c:formatCode>General</c:formatCode>
                <c:ptCount val="29"/>
                <c:pt idx="0">
                  <c:v>0</c:v>
                </c:pt>
                <c:pt idx="1">
                  <c:v>0</c:v>
                </c:pt>
                <c:pt idx="2">
                  <c:v>0</c:v>
                </c:pt>
                <c:pt idx="3">
                  <c:v>0</c:v>
                </c:pt>
                <c:pt idx="4">
                  <c:v>0</c:v>
                </c:pt>
                <c:pt idx="5">
                  <c:v>0</c:v>
                </c:pt>
                <c:pt idx="6">
                  <c:v>0</c:v>
                </c:pt>
                <c:pt idx="7">
                  <c:v>0</c:v>
                </c:pt>
                <c:pt idx="8">
                  <c:v>0</c:v>
                </c:pt>
                <c:pt idx="9">
                  <c:v>0</c:v>
                </c:pt>
                <c:pt idx="10">
                  <c:v>0</c:v>
                </c:pt>
                <c:pt idx="11">
                  <c:v>0</c:v>
                </c:pt>
                <c:pt idx="12">
                  <c:v>1</c:v>
                </c:pt>
                <c:pt idx="13">
                  <c:v>2</c:v>
                </c:pt>
                <c:pt idx="14">
                  <c:v>2</c:v>
                </c:pt>
                <c:pt idx="15">
                  <c:v>2</c:v>
                </c:pt>
                <c:pt idx="16">
                  <c:v>2</c:v>
                </c:pt>
                <c:pt idx="17">
                  <c:v>2</c:v>
                </c:pt>
                <c:pt idx="18">
                  <c:v>2</c:v>
                </c:pt>
                <c:pt idx="19">
                  <c:v>2</c:v>
                </c:pt>
                <c:pt idx="20">
                  <c:v>2</c:v>
                </c:pt>
                <c:pt idx="21">
                  <c:v>2</c:v>
                </c:pt>
                <c:pt idx="22">
                  <c:v>2</c:v>
                </c:pt>
                <c:pt idx="23">
                  <c:v>2</c:v>
                </c:pt>
                <c:pt idx="24">
                  <c:v>2</c:v>
                </c:pt>
                <c:pt idx="25">
                  <c:v>2</c:v>
                </c:pt>
                <c:pt idx="26">
                  <c:v>2</c:v>
                </c:pt>
                <c:pt idx="27">
                  <c:v>2</c:v>
                </c:pt>
                <c:pt idx="28">
                  <c:v>3</c:v>
                </c:pt>
              </c:numCache>
            </c:numRef>
          </c:val>
          <c:smooth val="0"/>
          <c:extLst>
            <c:ext xmlns:c16="http://schemas.microsoft.com/office/drawing/2014/chart" uri="{C3380CC4-5D6E-409C-BE32-E72D297353CC}">
              <c16:uniqueId val="{00000007-4F4E-4385-B9CB-970763473F3A}"/>
            </c:ext>
          </c:extLst>
        </c:ser>
        <c:ser>
          <c:idx val="8"/>
          <c:order val="8"/>
          <c:tx>
            <c:strRef>
              <c:f>Sheet1!$D$10</c:f>
              <c:strCache>
                <c:ptCount val="1"/>
                <c:pt idx="0">
                  <c:v>Saveetha School of Engineering</c:v>
                </c:pt>
              </c:strCache>
            </c:strRef>
          </c:tx>
          <c:spPr>
            <a:ln w="28575" cap="rnd">
              <a:solidFill>
                <a:schemeClr val="accent3">
                  <a:lumMod val="60000"/>
                </a:schemeClr>
              </a:solidFill>
              <a:round/>
            </a:ln>
            <a:effectLst/>
          </c:spPr>
          <c:marker>
            <c:symbol val="none"/>
          </c:marker>
          <c:cat>
            <c:numRef>
              <c:f>Sheet1!$E$1:$AG$1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cat>
          <c:val>
            <c:numRef>
              <c:f>Sheet1!$E$10:$AG$10</c:f>
              <c:numCache>
                <c:formatCode>General</c:formatCode>
                <c:ptCount val="2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1</c:v>
                </c:pt>
                <c:pt idx="26">
                  <c:v>1</c:v>
                </c:pt>
                <c:pt idx="27">
                  <c:v>3</c:v>
                </c:pt>
                <c:pt idx="28">
                  <c:v>3</c:v>
                </c:pt>
              </c:numCache>
            </c:numRef>
          </c:val>
          <c:smooth val="0"/>
          <c:extLst>
            <c:ext xmlns:c16="http://schemas.microsoft.com/office/drawing/2014/chart" uri="{C3380CC4-5D6E-409C-BE32-E72D297353CC}">
              <c16:uniqueId val="{00000008-4F4E-4385-B9CB-970763473F3A}"/>
            </c:ext>
          </c:extLst>
        </c:ser>
        <c:ser>
          <c:idx val="9"/>
          <c:order val="9"/>
          <c:tx>
            <c:strRef>
              <c:f>Sheet1!$D$11</c:f>
              <c:strCache>
                <c:ptCount val="1"/>
                <c:pt idx="0">
                  <c:v>Universidade Federal do Rio de Janeiro</c:v>
                </c:pt>
              </c:strCache>
            </c:strRef>
          </c:tx>
          <c:spPr>
            <a:ln w="28575" cap="rnd">
              <a:solidFill>
                <a:schemeClr val="accent4">
                  <a:lumMod val="60000"/>
                </a:schemeClr>
              </a:solidFill>
              <a:round/>
            </a:ln>
            <a:effectLst/>
          </c:spPr>
          <c:marker>
            <c:symbol val="none"/>
          </c:marker>
          <c:cat>
            <c:numRef>
              <c:f>Sheet1!$E$1:$AG$1</c:f>
              <c:numCache>
                <c:formatCode>General</c:formatCode>
                <c:ptCount val="29"/>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pt idx="27">
                  <c:v>2024</c:v>
                </c:pt>
                <c:pt idx="28">
                  <c:v>2025</c:v>
                </c:pt>
              </c:numCache>
            </c:numRef>
          </c:cat>
          <c:val>
            <c:numRef>
              <c:f>Sheet1!$E$11:$AG$11</c:f>
              <c:numCache>
                <c:formatCode>General</c:formatCode>
                <c:ptCount val="2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1</c:v>
                </c:pt>
                <c:pt idx="21">
                  <c:v>1</c:v>
                </c:pt>
                <c:pt idx="22">
                  <c:v>2</c:v>
                </c:pt>
                <c:pt idx="23">
                  <c:v>2</c:v>
                </c:pt>
                <c:pt idx="24">
                  <c:v>2</c:v>
                </c:pt>
                <c:pt idx="25">
                  <c:v>2</c:v>
                </c:pt>
                <c:pt idx="26">
                  <c:v>2</c:v>
                </c:pt>
                <c:pt idx="27">
                  <c:v>2</c:v>
                </c:pt>
                <c:pt idx="28">
                  <c:v>2</c:v>
                </c:pt>
              </c:numCache>
            </c:numRef>
          </c:val>
          <c:smooth val="0"/>
          <c:extLst>
            <c:ext xmlns:c16="http://schemas.microsoft.com/office/drawing/2014/chart" uri="{C3380CC4-5D6E-409C-BE32-E72D297353CC}">
              <c16:uniqueId val="{00000009-4F4E-4385-B9CB-970763473F3A}"/>
            </c:ext>
          </c:extLst>
        </c:ser>
        <c:dLbls>
          <c:showLegendKey val="0"/>
          <c:showVal val="0"/>
          <c:showCatName val="0"/>
          <c:showSerName val="0"/>
          <c:showPercent val="0"/>
          <c:showBubbleSize val="0"/>
        </c:dLbls>
        <c:smooth val="0"/>
        <c:axId val="467214303"/>
        <c:axId val="467220063"/>
      </c:lineChart>
      <c:catAx>
        <c:axId val="4672143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67220063"/>
        <c:crosses val="autoZero"/>
        <c:auto val="1"/>
        <c:lblAlgn val="ctr"/>
        <c:lblOffset val="100"/>
        <c:noMultiLvlLbl val="0"/>
      </c:catAx>
      <c:valAx>
        <c:axId val="4672200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672143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24</Pages>
  <Words>32115</Words>
  <Characters>183058</Characters>
  <Application>Microsoft Office Word</Application>
  <DocSecurity>0</DocSecurity>
  <Lines>1525</Lines>
  <Paragraphs>429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Morgan</dc:creator>
  <cp:lastModifiedBy>My Computer</cp:lastModifiedBy>
  <cp:revision>8</cp:revision>
  <dcterms:created xsi:type="dcterms:W3CDTF">2025-12-22T07:24:00Z</dcterms:created>
  <dcterms:modified xsi:type="dcterms:W3CDTF">2025-12-22T08:26:00Z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2025-10-23T00:00:00Z</vt:filetime>
  </property>
  <property fmtid="{D5CDD505-2E9C-101B-9397-08002B2CF9AE}" pid="3" name="Creator">
    <vt:lpwstr>Microsoft® Word 2010</vt:lpwstr>
  </property>
  <property fmtid="{D5CDD505-2E9C-101B-9397-08002B2CF9AE}" pid="4" name="LastSaved">
    <vt:filetime>2025-12-21T00:00:00Z</vt:filetime>
  </property>
  <property fmtid="{D5CDD505-2E9C-101B-9397-08002B2CF9AE}" pid="5" name="Producer">
    <vt:lpwstr>3-Heights(TM) PDF Security Shell 4.8.25.2 (http://www.pdf-tools.com)</vt:lpwstr>
  </property>
</Properties>
</file>