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FA7AA" w14:textId="77777777" w:rsidR="009F6BC5" w:rsidRPr="005762D6" w:rsidRDefault="009F6BC5" w:rsidP="005762D6">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en-IN" w:bidi="te-IN"/>
        </w:rPr>
      </w:pPr>
      <w:r w:rsidRPr="005762D6">
        <w:rPr>
          <w:rFonts w:ascii="Times New Roman" w:eastAsia="Times New Roman" w:hAnsi="Times New Roman" w:cs="Times New Roman"/>
          <w:b/>
          <w:bCs/>
          <w:kern w:val="36"/>
          <w:sz w:val="36"/>
          <w:szCs w:val="36"/>
          <w:lang w:eastAsia="en-IN" w:bidi="te-IN"/>
        </w:rPr>
        <w:t>Beyond the Office Walls: Reimagining Work–Life Balance in Remote and Hybrid Work Ecosystems</w:t>
      </w:r>
    </w:p>
    <w:p w14:paraId="78FFE006" w14:textId="77777777" w:rsidR="009F6BC5" w:rsidRPr="009F6BC5" w:rsidRDefault="009F6BC5" w:rsidP="009F6BC5">
      <w:pPr>
        <w:spacing w:before="100" w:beforeAutospacing="1" w:after="100" w:afterAutospacing="1" w:line="240" w:lineRule="auto"/>
        <w:outlineLvl w:val="1"/>
        <w:rPr>
          <w:rFonts w:ascii="Times New Roman" w:eastAsia="Times New Roman" w:hAnsi="Times New Roman" w:cs="Times New Roman"/>
          <w:b/>
          <w:bCs/>
          <w:sz w:val="36"/>
          <w:szCs w:val="36"/>
          <w:lang w:eastAsia="en-IN" w:bidi="te-IN"/>
        </w:rPr>
      </w:pPr>
      <w:r w:rsidRPr="009F6BC5">
        <w:rPr>
          <w:rFonts w:ascii="Times New Roman" w:eastAsia="Times New Roman" w:hAnsi="Times New Roman" w:cs="Times New Roman"/>
          <w:b/>
          <w:bCs/>
          <w:sz w:val="36"/>
          <w:szCs w:val="36"/>
          <w:lang w:eastAsia="en-IN" w:bidi="te-IN"/>
        </w:rPr>
        <w:t>Abstract</w:t>
      </w:r>
    </w:p>
    <w:p w14:paraId="0B423A06" w14:textId="18E29BD1" w:rsidR="009F6BC5" w:rsidRPr="009F6BC5" w:rsidRDefault="00D57BC1" w:rsidP="00D57BC1">
      <w:pPr>
        <w:pStyle w:val="NormalWeb"/>
        <w:jc w:val="both"/>
      </w:pPr>
      <w:r>
        <w:t>The rapid expansion of remote and hybrid work models has fundamentally transformed the organisation of work, reshaping employee experiences, managerial practices, and broader organisational outcomes. Although flexible work arrangements and digital technologies are frequently promoted as mechanisms for enhancing work–life balance, empirical evidence remains fragmented and, at times, contradictory. This article presents a structured conceptual review of 48 peer-reviewed studies published in leading journals in management, human resource management, organisational behaviour, and information systems.</w:t>
      </w:r>
      <w:r>
        <w:t xml:space="preserve"> </w:t>
      </w:r>
      <w:proofErr w:type="gramStart"/>
      <w:r>
        <w:t>Drawing</w:t>
      </w:r>
      <w:proofErr w:type="gramEnd"/>
      <w:r>
        <w:t xml:space="preserve"> on a thematic synthesis of the literature, the paper integrates insights across disciplinary boundaries to examine how remote and hybrid work </w:t>
      </w:r>
      <w:r>
        <w:t>influences work–life</w:t>
      </w:r>
      <w:r>
        <w:t xml:space="preserve"> balance through interacting individual, organisational, and societal mechanisms. The review identifies autonomy, temporal and spatial flexibility, reduced commuting, and enhanced perceptions of control as key enabling conditions that may support work–life balance. At the same time, it highlights critical constraints associated with digitally mediated work, including work intensification, technostress, boundary blurring, and social isolation, which can undermine employee well-being.</w:t>
      </w:r>
      <w:r>
        <w:t xml:space="preserve"> </w:t>
      </w:r>
      <w:r>
        <w:t>Anchored in boundary theory, self-determination theory, and socio-technical systems theory, the article develops a dynamic framework that explains why work–life balance outcomes vary across contexts, occupations, and stages of remote work adoption. By reconciling divergent empirical findings, the paper extends work–life balance theory to contemporary digital work settings and clarifies the conditions under which flexibility contributes to sustainable work practices. The study concludes by offering actionable implications for managers and policymakers seeking to design effective and inclusive remote and hybrid work systems</w:t>
      </w:r>
    </w:p>
    <w:p w14:paraId="7495A999" w14:textId="7A870CE4"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b/>
          <w:bCs/>
          <w:sz w:val="24"/>
          <w:szCs w:val="24"/>
          <w:lang w:eastAsia="en-IN" w:bidi="te-IN"/>
        </w:rPr>
        <w:t>Keywords:</w:t>
      </w:r>
      <w:r w:rsidRPr="009F6BC5">
        <w:rPr>
          <w:rFonts w:ascii="Times New Roman" w:eastAsia="Times New Roman" w:hAnsi="Times New Roman" w:cs="Times New Roman"/>
          <w:sz w:val="24"/>
          <w:szCs w:val="24"/>
          <w:lang w:eastAsia="en-IN" w:bidi="te-IN"/>
        </w:rPr>
        <w:t xml:space="preserve"> Remote work; Hybrid work; Work–life balance; Flexible work arrangements; Employee well-being; Digital work; Human resource management</w:t>
      </w:r>
    </w:p>
    <w:p w14:paraId="2C984DD7" w14:textId="77777777" w:rsidR="009F6BC5" w:rsidRPr="009F6BC5" w:rsidRDefault="009F6BC5" w:rsidP="009F6BC5">
      <w:pPr>
        <w:spacing w:before="100" w:beforeAutospacing="1" w:after="100" w:afterAutospacing="1" w:line="240" w:lineRule="auto"/>
        <w:jc w:val="both"/>
        <w:outlineLvl w:val="1"/>
        <w:rPr>
          <w:rFonts w:ascii="Times New Roman" w:eastAsia="Times New Roman" w:hAnsi="Times New Roman" w:cs="Times New Roman"/>
          <w:b/>
          <w:bCs/>
          <w:sz w:val="32"/>
          <w:szCs w:val="32"/>
          <w:lang w:eastAsia="en-IN" w:bidi="te-IN"/>
        </w:rPr>
      </w:pPr>
      <w:r w:rsidRPr="009F6BC5">
        <w:rPr>
          <w:rFonts w:ascii="Times New Roman" w:eastAsia="Times New Roman" w:hAnsi="Times New Roman" w:cs="Times New Roman"/>
          <w:b/>
          <w:bCs/>
          <w:sz w:val="32"/>
          <w:szCs w:val="32"/>
          <w:lang w:eastAsia="en-IN" w:bidi="te-IN"/>
        </w:rPr>
        <w:t>1. Introduction</w:t>
      </w:r>
    </w:p>
    <w:p w14:paraId="69EF034D" w14:textId="2D21304E"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 xml:space="preserve">The world of work is undergoing one of the most significant transformations since the </w:t>
      </w:r>
      <w:r w:rsidR="007820F8">
        <w:rPr>
          <w:rFonts w:ascii="Times New Roman" w:eastAsia="Times New Roman" w:hAnsi="Times New Roman" w:cs="Times New Roman"/>
          <w:sz w:val="24"/>
          <w:szCs w:val="24"/>
          <w:lang w:eastAsia="en-IN" w:bidi="te-IN"/>
        </w:rPr>
        <w:t>Industrial Revolution</w:t>
      </w:r>
      <w:r w:rsidRPr="009F6BC5">
        <w:rPr>
          <w:rFonts w:ascii="Times New Roman" w:eastAsia="Times New Roman" w:hAnsi="Times New Roman" w:cs="Times New Roman"/>
          <w:sz w:val="24"/>
          <w:szCs w:val="24"/>
          <w:lang w:eastAsia="en-IN" w:bidi="te-IN"/>
        </w:rPr>
        <w:t xml:space="preserve">. Advances in digital technologies, changing employee expectations, and the </w:t>
      </w:r>
      <w:r w:rsidR="007820F8">
        <w:rPr>
          <w:rFonts w:ascii="Times New Roman" w:eastAsia="Times New Roman" w:hAnsi="Times New Roman" w:cs="Times New Roman"/>
          <w:sz w:val="24"/>
          <w:szCs w:val="24"/>
          <w:lang w:eastAsia="en-IN" w:bidi="te-IN"/>
        </w:rPr>
        <w:t>globalisation</w:t>
      </w:r>
      <w:r w:rsidRPr="009F6BC5">
        <w:rPr>
          <w:rFonts w:ascii="Times New Roman" w:eastAsia="Times New Roman" w:hAnsi="Times New Roman" w:cs="Times New Roman"/>
          <w:sz w:val="24"/>
          <w:szCs w:val="24"/>
          <w:lang w:eastAsia="en-IN" w:bidi="te-IN"/>
        </w:rPr>
        <w:t xml:space="preserve"> of talent have progressively weakened the traditional assumption that work must be performed in a </w:t>
      </w:r>
      <w:r w:rsidR="007820F8">
        <w:rPr>
          <w:rFonts w:ascii="Times New Roman" w:eastAsia="Times New Roman" w:hAnsi="Times New Roman" w:cs="Times New Roman"/>
          <w:sz w:val="24"/>
          <w:szCs w:val="24"/>
          <w:lang w:eastAsia="en-IN" w:bidi="te-IN"/>
        </w:rPr>
        <w:t>centralised</w:t>
      </w:r>
      <w:r w:rsidRPr="009F6BC5">
        <w:rPr>
          <w:rFonts w:ascii="Times New Roman" w:eastAsia="Times New Roman" w:hAnsi="Times New Roman" w:cs="Times New Roman"/>
          <w:sz w:val="24"/>
          <w:szCs w:val="24"/>
          <w:lang w:eastAsia="en-IN" w:bidi="te-IN"/>
        </w:rPr>
        <w:t xml:space="preserve"> physical location. Remote and hybrid work models, once peripheral </w:t>
      </w:r>
      <w:r w:rsidR="007820F8">
        <w:rPr>
          <w:rFonts w:ascii="Times New Roman" w:eastAsia="Times New Roman" w:hAnsi="Times New Roman" w:cs="Times New Roman"/>
          <w:sz w:val="24"/>
          <w:szCs w:val="24"/>
          <w:lang w:eastAsia="en-IN" w:bidi="te-IN"/>
        </w:rPr>
        <w:t>organisational</w:t>
      </w:r>
      <w:r w:rsidRPr="009F6BC5">
        <w:rPr>
          <w:rFonts w:ascii="Times New Roman" w:eastAsia="Times New Roman" w:hAnsi="Times New Roman" w:cs="Times New Roman"/>
          <w:sz w:val="24"/>
          <w:szCs w:val="24"/>
          <w:lang w:eastAsia="en-IN" w:bidi="te-IN"/>
        </w:rPr>
        <w:t xml:space="preserve"> practices, have moved to the core of managerial strategy. The COVID-19 pandemic acted as an unprecedented catalyst, forcing </w:t>
      </w:r>
      <w:r w:rsidR="007820F8">
        <w:rPr>
          <w:rFonts w:ascii="Times New Roman" w:eastAsia="Times New Roman" w:hAnsi="Times New Roman" w:cs="Times New Roman"/>
          <w:sz w:val="24"/>
          <w:szCs w:val="24"/>
          <w:lang w:eastAsia="en-IN" w:bidi="te-IN"/>
        </w:rPr>
        <w:t>organisations</w:t>
      </w:r>
      <w:r w:rsidRPr="009F6BC5">
        <w:rPr>
          <w:rFonts w:ascii="Times New Roman" w:eastAsia="Times New Roman" w:hAnsi="Times New Roman" w:cs="Times New Roman"/>
          <w:sz w:val="24"/>
          <w:szCs w:val="24"/>
          <w:lang w:eastAsia="en-IN" w:bidi="te-IN"/>
        </w:rPr>
        <w:t xml:space="preserve"> across sectors to adopt remote work at scale and, in its aftermath, experiment with hybrid configurations that combine on-site and remote work.</w:t>
      </w:r>
    </w:p>
    <w:p w14:paraId="115E84C8" w14:textId="26995D6E"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 xml:space="preserve">This transformation has profound implications for work–life balance, a long-standing concern in management and organizational research. Work–life balance is no longer merely a question of flexible hours or family-friendly policies; it has become a complex outcome shaped by digital connectivity, </w:t>
      </w:r>
      <w:r w:rsidR="007820F8">
        <w:rPr>
          <w:rFonts w:ascii="Times New Roman" w:eastAsia="Times New Roman" w:hAnsi="Times New Roman" w:cs="Times New Roman"/>
          <w:sz w:val="24"/>
          <w:szCs w:val="24"/>
          <w:lang w:eastAsia="en-IN" w:bidi="te-IN"/>
        </w:rPr>
        <w:t>organisational</w:t>
      </w:r>
      <w:r w:rsidRPr="009F6BC5">
        <w:rPr>
          <w:rFonts w:ascii="Times New Roman" w:eastAsia="Times New Roman" w:hAnsi="Times New Roman" w:cs="Times New Roman"/>
          <w:sz w:val="24"/>
          <w:szCs w:val="24"/>
          <w:lang w:eastAsia="en-IN" w:bidi="te-IN"/>
        </w:rPr>
        <w:t xml:space="preserve"> norms, leadership practices, and individual boundary management strategies. While remote and hybrid work models are often promoted as solutions </w:t>
      </w:r>
      <w:r w:rsidRPr="009F6BC5">
        <w:rPr>
          <w:rFonts w:ascii="Times New Roman" w:eastAsia="Times New Roman" w:hAnsi="Times New Roman" w:cs="Times New Roman"/>
          <w:sz w:val="24"/>
          <w:szCs w:val="24"/>
          <w:lang w:eastAsia="en-IN" w:bidi="te-IN"/>
        </w:rPr>
        <w:lastRenderedPageBreak/>
        <w:t>to work–life imbalance, emerging evidence suggests that they can also intensify work demands and blur the boundaries between professional and personal life.</w:t>
      </w:r>
    </w:p>
    <w:p w14:paraId="72189E08" w14:textId="2A067E1E"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Despite a rapidly growing body of literature, consensus on the work–life balance implications of remote and hybrid work remain elusive. Some studies report improved balance, higher job satisfaction, and reduced stress, while others document longer working hours, burnout, and increased work–family conflict. These inconsistencies point to the need for integrative frameworks that move beyond binary evaluations of remote work as either beneficial or harmful.</w:t>
      </w:r>
    </w:p>
    <w:p w14:paraId="2D0DCCC8" w14:textId="689596CE" w:rsidR="009F6BC5" w:rsidRPr="009F6BC5" w:rsidRDefault="009F6BC5" w:rsidP="00DA74AC">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 xml:space="preserve">The present </w:t>
      </w:r>
      <w:r w:rsidR="007820F8">
        <w:rPr>
          <w:rFonts w:ascii="Times New Roman" w:eastAsia="Times New Roman" w:hAnsi="Times New Roman" w:cs="Times New Roman"/>
          <w:sz w:val="24"/>
          <w:szCs w:val="24"/>
          <w:lang w:eastAsia="en-IN" w:bidi="te-IN"/>
        </w:rPr>
        <w:t>article</w:t>
      </w:r>
      <w:r w:rsidRPr="009F6BC5">
        <w:rPr>
          <w:rFonts w:ascii="Times New Roman" w:eastAsia="Times New Roman" w:hAnsi="Times New Roman" w:cs="Times New Roman"/>
          <w:sz w:val="24"/>
          <w:szCs w:val="24"/>
          <w:lang w:eastAsia="en-IN" w:bidi="te-IN"/>
        </w:rPr>
        <w:t xml:space="preserve"> addresses this gap by offering a comprehensive conceptual synthesis of existing research. Specifically, the study seeks to answer three research questions: (1) How do remote and hybrid work models influence work–life balance? (2) What mechanisms and contextual factors explain variation in outcomes? and (3) How can organizations design sustainable hybrid work systems that enhance employee well-being while maintaining performance? By systematically reviewing and </w:t>
      </w:r>
      <w:r w:rsidR="00DA74AC">
        <w:rPr>
          <w:rFonts w:ascii="Times New Roman" w:eastAsia="Times New Roman" w:hAnsi="Times New Roman" w:cs="Times New Roman"/>
          <w:sz w:val="24"/>
          <w:szCs w:val="24"/>
          <w:lang w:eastAsia="en-IN" w:bidi="te-IN"/>
        </w:rPr>
        <w:t>synthesising</w:t>
      </w:r>
      <w:r w:rsidRPr="009F6BC5">
        <w:rPr>
          <w:rFonts w:ascii="Times New Roman" w:eastAsia="Times New Roman" w:hAnsi="Times New Roman" w:cs="Times New Roman"/>
          <w:sz w:val="24"/>
          <w:szCs w:val="24"/>
          <w:lang w:eastAsia="en-IN" w:bidi="te-IN"/>
        </w:rPr>
        <w:t xml:space="preserve"> 48 high-quality journal articles, this paper develops a dynamic, multi-level framework that advances theory and informs practice.</w:t>
      </w:r>
    </w:p>
    <w:p w14:paraId="0575E655" w14:textId="77777777" w:rsidR="009F6BC5" w:rsidRPr="009F6BC5" w:rsidRDefault="009F6BC5" w:rsidP="009F6BC5">
      <w:pPr>
        <w:spacing w:before="100" w:beforeAutospacing="1" w:after="100" w:afterAutospacing="1" w:line="240" w:lineRule="auto"/>
        <w:jc w:val="both"/>
        <w:outlineLvl w:val="1"/>
        <w:rPr>
          <w:rFonts w:ascii="Times New Roman" w:eastAsia="Times New Roman" w:hAnsi="Times New Roman" w:cs="Times New Roman"/>
          <w:b/>
          <w:bCs/>
          <w:sz w:val="32"/>
          <w:szCs w:val="32"/>
          <w:lang w:eastAsia="en-IN" w:bidi="te-IN"/>
        </w:rPr>
      </w:pPr>
      <w:r w:rsidRPr="009F6BC5">
        <w:rPr>
          <w:rFonts w:ascii="Times New Roman" w:eastAsia="Times New Roman" w:hAnsi="Times New Roman" w:cs="Times New Roman"/>
          <w:b/>
          <w:bCs/>
          <w:sz w:val="32"/>
          <w:szCs w:val="32"/>
          <w:lang w:eastAsia="en-IN" w:bidi="te-IN"/>
        </w:rPr>
        <w:t xml:space="preserve">2. </w:t>
      </w:r>
      <w:r w:rsidRPr="007820F8">
        <w:rPr>
          <w:rFonts w:ascii="Times New Roman" w:eastAsia="Times New Roman" w:hAnsi="Times New Roman" w:cs="Times New Roman"/>
          <w:b/>
          <w:bCs/>
          <w:sz w:val="32"/>
          <w:szCs w:val="32"/>
          <w:lang w:eastAsia="en-IN" w:bidi="te-IN"/>
        </w:rPr>
        <w:t>Conceptual Background and Literature Review</w:t>
      </w:r>
    </w:p>
    <w:p w14:paraId="1711FDE8" w14:textId="77777777" w:rsidR="009F6BC5" w:rsidRPr="009F6BC5" w:rsidRDefault="009F6BC5" w:rsidP="009F6BC5">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9F6BC5">
        <w:rPr>
          <w:rFonts w:ascii="Times New Roman" w:eastAsia="Times New Roman" w:hAnsi="Times New Roman" w:cs="Times New Roman"/>
          <w:b/>
          <w:bCs/>
          <w:sz w:val="27"/>
          <w:szCs w:val="27"/>
          <w:lang w:eastAsia="en-IN" w:bidi="te-IN"/>
        </w:rPr>
        <w:t>2.1 Remote and Hybrid Work Models</w:t>
      </w:r>
    </w:p>
    <w:p w14:paraId="28467B82" w14:textId="0A69B586"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 xml:space="preserve">Remote work refers to employment arrangements in which work tasks are performed outside the employer’s physical premises, enabled primarily through digital communication and collaboration technologies. Hybrid work models combine remote and on-site work, often structured around fixed schedules (e.g., designated office days) or flexible arrangements determined by teams or individuals. Prior research </w:t>
      </w:r>
      <w:r w:rsidR="007820F8">
        <w:rPr>
          <w:rFonts w:ascii="Times New Roman" w:eastAsia="Times New Roman" w:hAnsi="Times New Roman" w:cs="Times New Roman"/>
          <w:sz w:val="24"/>
          <w:szCs w:val="24"/>
          <w:lang w:eastAsia="en-IN" w:bidi="te-IN"/>
        </w:rPr>
        <w:t>emphasises</w:t>
      </w:r>
      <w:r w:rsidRPr="009F6BC5">
        <w:rPr>
          <w:rFonts w:ascii="Times New Roman" w:eastAsia="Times New Roman" w:hAnsi="Times New Roman" w:cs="Times New Roman"/>
          <w:sz w:val="24"/>
          <w:szCs w:val="24"/>
          <w:lang w:eastAsia="en-IN" w:bidi="te-IN"/>
        </w:rPr>
        <w:t xml:space="preserve"> that hybrid work is not a single model but a spectrum of configurations varying in autonomy, coordination intensity, and managerial control.</w:t>
      </w:r>
    </w:p>
    <w:p w14:paraId="32FCF5FB" w14:textId="77777777"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Theoretical perspectives commonly applied to remote and hybrid work include job design theory, which highlights autonomy and task characteristics; self-determination theory, which emphasizes autonomy, competence, and relatedness; boundary theory, which focuses on the management of work–nonwork boundaries; and socio-technical systems theory, which underscores the interdependence between social practices and technological infrastructures. Together, these perspectives provide a robust foundation for examining work–life balance in digitally mediated work contexts.</w:t>
      </w:r>
    </w:p>
    <w:p w14:paraId="2D756A2A" w14:textId="77777777" w:rsidR="009F6BC5" w:rsidRPr="009F6BC5" w:rsidRDefault="009F6BC5" w:rsidP="009F6BC5">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9F6BC5">
        <w:rPr>
          <w:rFonts w:ascii="Times New Roman" w:eastAsia="Times New Roman" w:hAnsi="Times New Roman" w:cs="Times New Roman"/>
          <w:b/>
          <w:bCs/>
          <w:sz w:val="27"/>
          <w:szCs w:val="27"/>
          <w:lang w:eastAsia="en-IN" w:bidi="te-IN"/>
        </w:rPr>
        <w:t>2.2 Work–Life Balance: Evolving Perspectives</w:t>
      </w:r>
    </w:p>
    <w:p w14:paraId="0C7687C8" w14:textId="77777777"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Work–life balance has evolved from early notions of work–family conflict to more nuanced understandings that incorporate enrichment, integration, and subjective balance satisfaction. Contemporary scholars argue that balance is not achieved through equal time allocation but through alignment between role demands, individual values, and available resources. This dynamic view is particularly relevant in remote and hybrid work settings, where flexibility can simultaneously empower employees and expose them to new forms of strain.</w:t>
      </w:r>
    </w:p>
    <w:p w14:paraId="3A43B1D0" w14:textId="77777777" w:rsidR="009F6BC5" w:rsidRPr="009F6BC5" w:rsidRDefault="009F6BC5" w:rsidP="009F6BC5">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9F6BC5">
        <w:rPr>
          <w:rFonts w:ascii="Times New Roman" w:eastAsia="Times New Roman" w:hAnsi="Times New Roman" w:cs="Times New Roman"/>
          <w:b/>
          <w:bCs/>
          <w:sz w:val="27"/>
          <w:szCs w:val="27"/>
          <w:lang w:eastAsia="en-IN" w:bidi="te-IN"/>
        </w:rPr>
        <w:t>2.3 Prior Empirical Evidence</w:t>
      </w:r>
    </w:p>
    <w:p w14:paraId="4A0A1255" w14:textId="5D2EE9CE" w:rsidR="009F6BC5" w:rsidRPr="009F6BC5" w:rsidRDefault="009F6BC5" w:rsidP="00DA74AC">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lastRenderedPageBreak/>
        <w:t>Empirical studies on remote work highlight several benefits, including reduced commuting time, greater schedule control, and improved concentration. However, these benefits are often accompanied by challenges such as extended working hours, digital overload, and social isolation. Hybrid work models are frequently presented as a compromise that preserves flexibility while maintaining social connection, yet empirical evidence suggests that poorly designed hybrid systems can exacerbate inequality and coordination challenges.</w:t>
      </w:r>
    </w:p>
    <w:p w14:paraId="7F6E20DD" w14:textId="77777777" w:rsidR="009F6BC5" w:rsidRPr="00512AB0" w:rsidRDefault="009F6BC5" w:rsidP="009F6BC5">
      <w:pPr>
        <w:spacing w:before="100" w:beforeAutospacing="1" w:after="100" w:afterAutospacing="1" w:line="240" w:lineRule="auto"/>
        <w:jc w:val="both"/>
        <w:outlineLvl w:val="1"/>
        <w:rPr>
          <w:rFonts w:ascii="Times New Roman" w:eastAsia="Times New Roman" w:hAnsi="Times New Roman" w:cs="Times New Roman"/>
          <w:b/>
          <w:bCs/>
          <w:sz w:val="32"/>
          <w:szCs w:val="32"/>
          <w:lang w:eastAsia="en-IN" w:bidi="te-IN"/>
        </w:rPr>
      </w:pPr>
      <w:r w:rsidRPr="00512AB0">
        <w:rPr>
          <w:rFonts w:ascii="Times New Roman" w:eastAsia="Times New Roman" w:hAnsi="Times New Roman" w:cs="Times New Roman"/>
          <w:b/>
          <w:bCs/>
          <w:sz w:val="32"/>
          <w:szCs w:val="32"/>
          <w:lang w:eastAsia="en-IN" w:bidi="te-IN"/>
        </w:rPr>
        <w:t>3. Methodology</w:t>
      </w:r>
    </w:p>
    <w:p w14:paraId="21662DEB" w14:textId="7428C78F" w:rsidR="00D80A3E" w:rsidRPr="00D80A3E" w:rsidRDefault="00D80A3E" w:rsidP="00D80A3E">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 xml:space="preserve">This study adopts a </w:t>
      </w:r>
      <w:r w:rsidRPr="00D80A3E">
        <w:rPr>
          <w:rFonts w:ascii="Times New Roman" w:eastAsia="Times New Roman" w:hAnsi="Times New Roman" w:cs="Times New Roman"/>
          <w:b/>
          <w:bCs/>
          <w:sz w:val="24"/>
          <w:szCs w:val="24"/>
          <w:lang w:eastAsia="en-IN" w:bidi="te-IN"/>
        </w:rPr>
        <w:t>systematic literature review</w:t>
      </w:r>
      <w:r w:rsidRPr="00D80A3E">
        <w:rPr>
          <w:rFonts w:ascii="Times New Roman" w:eastAsia="Times New Roman" w:hAnsi="Times New Roman" w:cs="Times New Roman"/>
          <w:sz w:val="24"/>
          <w:szCs w:val="24"/>
          <w:lang w:eastAsia="en-IN" w:bidi="te-IN"/>
        </w:rPr>
        <w:t xml:space="preserve"> and </w:t>
      </w:r>
      <w:r w:rsidRPr="00D80A3E">
        <w:rPr>
          <w:rFonts w:ascii="Times New Roman" w:eastAsia="Times New Roman" w:hAnsi="Times New Roman" w:cs="Times New Roman"/>
          <w:b/>
          <w:bCs/>
          <w:sz w:val="24"/>
          <w:szCs w:val="24"/>
          <w:lang w:eastAsia="en-IN" w:bidi="te-IN"/>
        </w:rPr>
        <w:t>thematic synthesis</w:t>
      </w:r>
      <w:r w:rsidRPr="00D80A3E">
        <w:rPr>
          <w:rFonts w:ascii="Times New Roman" w:eastAsia="Times New Roman" w:hAnsi="Times New Roman" w:cs="Times New Roman"/>
          <w:sz w:val="24"/>
          <w:szCs w:val="24"/>
          <w:lang w:eastAsia="en-IN" w:bidi="te-IN"/>
        </w:rPr>
        <w:t xml:space="preserve"> approach, aligning with the methodology frameworks</w:t>
      </w:r>
      <w:r>
        <w:rPr>
          <w:rFonts w:ascii="Times New Roman" w:eastAsia="Times New Roman" w:hAnsi="Times New Roman" w:cs="Times New Roman"/>
          <w:sz w:val="24"/>
          <w:szCs w:val="24"/>
          <w:lang w:eastAsia="en-IN" w:bidi="te-IN"/>
        </w:rPr>
        <w:t>.</w:t>
      </w:r>
      <w:r w:rsidR="007820F8">
        <w:rPr>
          <w:rFonts w:ascii="Times New Roman" w:eastAsia="Times New Roman" w:hAnsi="Times New Roman" w:cs="Times New Roman"/>
          <w:sz w:val="24"/>
          <w:szCs w:val="24"/>
          <w:lang w:eastAsia="en-IN" w:bidi="te-IN"/>
        </w:rPr>
        <w:t xml:space="preserve"> </w:t>
      </w:r>
      <w:r w:rsidRPr="00D80A3E">
        <w:rPr>
          <w:rFonts w:ascii="Times New Roman" w:eastAsia="Times New Roman" w:hAnsi="Times New Roman" w:cs="Times New Roman"/>
          <w:sz w:val="24"/>
          <w:szCs w:val="24"/>
          <w:lang w:eastAsia="en-IN" w:bidi="te-IN"/>
        </w:rPr>
        <w:t>The aim is to integrate fragmented evidence from 48 peer-reviewed articles to understand how remote and hybrid work models influence work–life balance.</w:t>
      </w:r>
    </w:p>
    <w:p w14:paraId="67FC6018" w14:textId="77777777" w:rsidR="00D80A3E" w:rsidRPr="00D80A3E" w:rsidRDefault="00D80A3E" w:rsidP="00D80A3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D80A3E">
        <w:rPr>
          <w:rFonts w:ascii="Times New Roman" w:eastAsia="Times New Roman" w:hAnsi="Times New Roman" w:cs="Times New Roman"/>
          <w:b/>
          <w:bCs/>
          <w:sz w:val="27"/>
          <w:szCs w:val="27"/>
          <w:lang w:eastAsia="en-IN" w:bidi="te-IN"/>
        </w:rPr>
        <w:t>3.1 Research Design</w:t>
      </w:r>
    </w:p>
    <w:p w14:paraId="57FF6B22" w14:textId="32554229" w:rsidR="00D80A3E" w:rsidRPr="00D80A3E" w:rsidRDefault="00D80A3E" w:rsidP="00D80A3E">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 xml:space="preserve">A conceptual, qualitative research design was employed. This design allows for </w:t>
      </w:r>
      <w:r w:rsidR="007820F8">
        <w:rPr>
          <w:rFonts w:ascii="Times New Roman" w:eastAsia="Times New Roman" w:hAnsi="Times New Roman" w:cs="Times New Roman"/>
          <w:sz w:val="24"/>
          <w:szCs w:val="24"/>
          <w:lang w:eastAsia="en-IN" w:bidi="te-IN"/>
        </w:rPr>
        <w:t>synthesising</w:t>
      </w:r>
      <w:r w:rsidRPr="00D80A3E">
        <w:rPr>
          <w:rFonts w:ascii="Times New Roman" w:eastAsia="Times New Roman" w:hAnsi="Times New Roman" w:cs="Times New Roman"/>
          <w:sz w:val="24"/>
          <w:szCs w:val="24"/>
          <w:lang w:eastAsia="en-IN" w:bidi="te-IN"/>
        </w:rPr>
        <w:t xml:space="preserve"> insights across multiple disciplines, including management, </w:t>
      </w:r>
      <w:r w:rsidR="007820F8">
        <w:rPr>
          <w:rFonts w:ascii="Times New Roman" w:eastAsia="Times New Roman" w:hAnsi="Times New Roman" w:cs="Times New Roman"/>
          <w:sz w:val="24"/>
          <w:szCs w:val="24"/>
          <w:lang w:eastAsia="en-IN" w:bidi="te-IN"/>
        </w:rPr>
        <w:t>organisational behaviour</w:t>
      </w:r>
      <w:r w:rsidRPr="00D80A3E">
        <w:rPr>
          <w:rFonts w:ascii="Times New Roman" w:eastAsia="Times New Roman" w:hAnsi="Times New Roman" w:cs="Times New Roman"/>
          <w:sz w:val="24"/>
          <w:szCs w:val="24"/>
          <w:lang w:eastAsia="en-IN" w:bidi="te-IN"/>
        </w:rPr>
        <w:t>, human resource management, and information systems. The approach is well suited for generating theory-driven frameworks without primary data collection, consistent with methods observed in conceptual papers (Raghunath &amp; Sinha, 2020; Bansal &amp; Kumar, 2019).</w:t>
      </w:r>
    </w:p>
    <w:p w14:paraId="7CBDDF33" w14:textId="77777777" w:rsidR="00D80A3E" w:rsidRDefault="00D80A3E" w:rsidP="00D80A3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D80A3E">
        <w:rPr>
          <w:rFonts w:ascii="Times New Roman" w:eastAsia="Times New Roman" w:hAnsi="Times New Roman" w:cs="Times New Roman"/>
          <w:b/>
          <w:bCs/>
          <w:sz w:val="27"/>
          <w:szCs w:val="27"/>
          <w:lang w:eastAsia="en-IN" w:bidi="te-IN"/>
        </w:rPr>
        <w:t>3.2 Literature Search Strategy</w:t>
      </w:r>
    </w:p>
    <w:p w14:paraId="492DF71F" w14:textId="75BADB4A" w:rsidR="00512AB0" w:rsidRPr="00512AB0" w:rsidRDefault="00512AB0" w:rsidP="00D80A3E">
      <w:pPr>
        <w:spacing w:before="100" w:beforeAutospacing="1" w:after="100" w:afterAutospacing="1" w:line="240" w:lineRule="auto"/>
        <w:jc w:val="both"/>
        <w:outlineLvl w:val="2"/>
      </w:pPr>
      <w:r w:rsidRPr="00512AB0">
        <w:rPr>
          <w:rFonts w:ascii="Times New Roman" w:hAnsi="Times New Roman" w:cs="Times New Roman"/>
          <w:sz w:val="24"/>
          <w:szCs w:val="24"/>
        </w:rPr>
        <w:t xml:space="preserve">A comprehensive literature review was conducted using Web of Science, Scopus, and Google Scholar as the primary databases. The search strategy incorporated key terms such </w:t>
      </w:r>
      <w:r w:rsidRPr="00D57BC1">
        <w:rPr>
          <w:rFonts w:ascii="Times New Roman" w:hAnsi="Times New Roman" w:cs="Times New Roman"/>
          <w:sz w:val="24"/>
          <w:szCs w:val="24"/>
        </w:rPr>
        <w:t>a</w:t>
      </w:r>
      <w:r w:rsidRPr="00D57BC1">
        <w:rPr>
          <w:rFonts w:ascii="Times New Roman" w:hAnsi="Times New Roman" w:cs="Times New Roman"/>
          <w:i/>
          <w:iCs/>
          <w:sz w:val="24"/>
          <w:szCs w:val="24"/>
        </w:rPr>
        <w:t xml:space="preserve">s </w:t>
      </w:r>
      <w:r w:rsidRPr="00D57BC1">
        <w:rPr>
          <w:rStyle w:val="Emphasis"/>
          <w:rFonts w:ascii="Times New Roman" w:hAnsi="Times New Roman" w:cs="Times New Roman"/>
          <w:i w:val="0"/>
          <w:iCs w:val="0"/>
          <w:sz w:val="24"/>
          <w:szCs w:val="24"/>
        </w:rPr>
        <w:t>remote work</w:t>
      </w:r>
      <w:r w:rsidRPr="00D57BC1">
        <w:rPr>
          <w:rFonts w:ascii="Times New Roman" w:hAnsi="Times New Roman" w:cs="Times New Roman"/>
          <w:i/>
          <w:iCs/>
          <w:sz w:val="24"/>
          <w:szCs w:val="24"/>
        </w:rPr>
        <w:t xml:space="preserve">, </w:t>
      </w:r>
      <w:r w:rsidRPr="00D57BC1">
        <w:rPr>
          <w:rStyle w:val="Emphasis"/>
          <w:rFonts w:ascii="Times New Roman" w:hAnsi="Times New Roman" w:cs="Times New Roman"/>
          <w:i w:val="0"/>
          <w:iCs w:val="0"/>
          <w:sz w:val="24"/>
          <w:szCs w:val="24"/>
        </w:rPr>
        <w:t>telework</w:t>
      </w:r>
      <w:r w:rsidRPr="00D57BC1">
        <w:rPr>
          <w:rFonts w:ascii="Times New Roman" w:hAnsi="Times New Roman" w:cs="Times New Roman"/>
          <w:i/>
          <w:iCs/>
          <w:sz w:val="24"/>
          <w:szCs w:val="24"/>
        </w:rPr>
        <w:t xml:space="preserve">, </w:t>
      </w:r>
      <w:r w:rsidRPr="00D57BC1">
        <w:rPr>
          <w:rStyle w:val="Emphasis"/>
          <w:rFonts w:ascii="Times New Roman" w:hAnsi="Times New Roman" w:cs="Times New Roman"/>
          <w:i w:val="0"/>
          <w:iCs w:val="0"/>
          <w:sz w:val="24"/>
          <w:szCs w:val="24"/>
        </w:rPr>
        <w:t>hybrid work</w:t>
      </w:r>
      <w:r w:rsidRPr="00D57BC1">
        <w:rPr>
          <w:rFonts w:ascii="Times New Roman" w:hAnsi="Times New Roman" w:cs="Times New Roman"/>
          <w:i/>
          <w:iCs/>
          <w:sz w:val="24"/>
          <w:szCs w:val="24"/>
        </w:rPr>
        <w:t xml:space="preserve">, </w:t>
      </w:r>
      <w:r w:rsidRPr="00D57BC1">
        <w:rPr>
          <w:rStyle w:val="Emphasis"/>
          <w:rFonts w:ascii="Times New Roman" w:hAnsi="Times New Roman" w:cs="Times New Roman"/>
          <w:i w:val="0"/>
          <w:iCs w:val="0"/>
          <w:sz w:val="24"/>
          <w:szCs w:val="24"/>
        </w:rPr>
        <w:t>flexible work arrangements</w:t>
      </w:r>
      <w:r w:rsidRPr="00D57BC1">
        <w:rPr>
          <w:rFonts w:ascii="Times New Roman" w:hAnsi="Times New Roman" w:cs="Times New Roman"/>
          <w:i/>
          <w:iCs/>
          <w:sz w:val="24"/>
          <w:szCs w:val="24"/>
        </w:rPr>
        <w:t xml:space="preserve">, </w:t>
      </w:r>
      <w:r w:rsidRPr="00D57BC1">
        <w:rPr>
          <w:rStyle w:val="Emphasis"/>
          <w:rFonts w:ascii="Times New Roman" w:hAnsi="Times New Roman" w:cs="Times New Roman"/>
          <w:i w:val="0"/>
          <w:iCs w:val="0"/>
          <w:sz w:val="24"/>
          <w:szCs w:val="24"/>
        </w:rPr>
        <w:t>work–life balance</w:t>
      </w:r>
      <w:r w:rsidRPr="00D57BC1">
        <w:rPr>
          <w:rFonts w:ascii="Times New Roman" w:hAnsi="Times New Roman" w:cs="Times New Roman"/>
          <w:i/>
          <w:iCs/>
          <w:sz w:val="24"/>
          <w:szCs w:val="24"/>
        </w:rPr>
        <w:t xml:space="preserve">, </w:t>
      </w:r>
      <w:r w:rsidRPr="00D57BC1">
        <w:rPr>
          <w:rFonts w:ascii="Times New Roman" w:hAnsi="Times New Roman" w:cs="Times New Roman"/>
          <w:sz w:val="24"/>
          <w:szCs w:val="24"/>
        </w:rPr>
        <w:t>and</w:t>
      </w:r>
      <w:r w:rsidRPr="00D57BC1">
        <w:rPr>
          <w:rFonts w:ascii="Times New Roman" w:hAnsi="Times New Roman" w:cs="Times New Roman"/>
          <w:i/>
          <w:iCs/>
          <w:sz w:val="24"/>
          <w:szCs w:val="24"/>
        </w:rPr>
        <w:t xml:space="preserve"> </w:t>
      </w:r>
      <w:r w:rsidRPr="00D57BC1">
        <w:rPr>
          <w:rStyle w:val="Emphasis"/>
          <w:rFonts w:ascii="Times New Roman" w:hAnsi="Times New Roman" w:cs="Times New Roman"/>
          <w:i w:val="0"/>
          <w:iCs w:val="0"/>
          <w:sz w:val="24"/>
          <w:szCs w:val="24"/>
        </w:rPr>
        <w:t>employee well-being</w:t>
      </w:r>
      <w:r w:rsidRPr="00D57BC1">
        <w:rPr>
          <w:rFonts w:ascii="Times New Roman" w:hAnsi="Times New Roman" w:cs="Times New Roman"/>
          <w:i/>
          <w:iCs/>
          <w:sz w:val="24"/>
          <w:szCs w:val="24"/>
        </w:rPr>
        <w:t>,</w:t>
      </w:r>
      <w:r w:rsidRPr="00512AB0">
        <w:rPr>
          <w:rFonts w:ascii="Times New Roman" w:hAnsi="Times New Roman" w:cs="Times New Roman"/>
          <w:sz w:val="24"/>
          <w:szCs w:val="24"/>
        </w:rPr>
        <w:t xml:space="preserve"> along with closely related concepts. Boolean logic and truncation techniques were applied to refine and </w:t>
      </w:r>
      <w:r w:rsidR="00D57BC1">
        <w:rPr>
          <w:rFonts w:ascii="Times New Roman" w:hAnsi="Times New Roman" w:cs="Times New Roman"/>
          <w:sz w:val="24"/>
          <w:szCs w:val="24"/>
        </w:rPr>
        <w:t>optimise</w:t>
      </w:r>
      <w:r w:rsidRPr="00512AB0">
        <w:rPr>
          <w:rFonts w:ascii="Times New Roman" w:hAnsi="Times New Roman" w:cs="Times New Roman"/>
          <w:sz w:val="24"/>
          <w:szCs w:val="24"/>
        </w:rPr>
        <w:t xml:space="preserve"> retrieval accuracy. To maintain both relevance and scholarly rigour, the review was restricted to peer-reviewed articles published in English between 2010 and 2025</w:t>
      </w:r>
      <w:r w:rsidRPr="00512AB0">
        <w:t>.</w:t>
      </w:r>
    </w:p>
    <w:p w14:paraId="004D52FB" w14:textId="3DFDB5A3" w:rsidR="00D80A3E" w:rsidRPr="00D80A3E" w:rsidRDefault="00D80A3E" w:rsidP="00D80A3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D80A3E">
        <w:rPr>
          <w:rFonts w:ascii="Times New Roman" w:eastAsia="Times New Roman" w:hAnsi="Times New Roman" w:cs="Times New Roman"/>
          <w:b/>
          <w:bCs/>
          <w:sz w:val="27"/>
          <w:szCs w:val="27"/>
          <w:lang w:eastAsia="en-IN" w:bidi="te-IN"/>
        </w:rPr>
        <w:t>3.3 Inclusion and Exclusion Criteria</w:t>
      </w:r>
    </w:p>
    <w:p w14:paraId="31750F59" w14:textId="77777777" w:rsidR="00D80A3E" w:rsidRPr="00D80A3E" w:rsidRDefault="00D80A3E" w:rsidP="00D80A3E">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b/>
          <w:bCs/>
          <w:sz w:val="24"/>
          <w:szCs w:val="24"/>
          <w:lang w:eastAsia="en-IN" w:bidi="te-IN"/>
        </w:rPr>
        <w:t>Inclusion criteria:</w:t>
      </w:r>
    </w:p>
    <w:p w14:paraId="72DA8A98" w14:textId="77777777" w:rsidR="00D80A3E" w:rsidRPr="00D80A3E" w:rsidRDefault="00D80A3E" w:rsidP="007820F8">
      <w:pPr>
        <w:numPr>
          <w:ilvl w:val="0"/>
          <w:numId w:val="2"/>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Peer-reviewed journal articles focusing on remote, telework, or hybrid work.</w:t>
      </w:r>
    </w:p>
    <w:p w14:paraId="4503D976" w14:textId="77777777" w:rsidR="00D80A3E" w:rsidRPr="00D80A3E" w:rsidRDefault="00D80A3E" w:rsidP="007820F8">
      <w:pPr>
        <w:numPr>
          <w:ilvl w:val="0"/>
          <w:numId w:val="2"/>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Explicit examination of work–life balance, work–family conflict, or related well-being outcomes.</w:t>
      </w:r>
    </w:p>
    <w:p w14:paraId="3FBA619A" w14:textId="77777777" w:rsidR="00D80A3E" w:rsidRPr="00D80A3E" w:rsidRDefault="00D80A3E" w:rsidP="007820F8">
      <w:pPr>
        <w:numPr>
          <w:ilvl w:val="0"/>
          <w:numId w:val="2"/>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Empirical or conceptual studies providing robust evidence or theoretical insights.</w:t>
      </w:r>
    </w:p>
    <w:p w14:paraId="6C3F33B3" w14:textId="77777777" w:rsidR="00D80A3E" w:rsidRPr="00D80A3E" w:rsidRDefault="00D80A3E" w:rsidP="00D57BC1">
      <w:pPr>
        <w:spacing w:after="0" w:line="240" w:lineRule="auto"/>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b/>
          <w:bCs/>
          <w:sz w:val="24"/>
          <w:szCs w:val="24"/>
          <w:lang w:eastAsia="en-IN" w:bidi="te-IN"/>
        </w:rPr>
        <w:t>Exclusion criteria:</w:t>
      </w:r>
    </w:p>
    <w:p w14:paraId="4FAF434D" w14:textId="77777777" w:rsidR="00D80A3E" w:rsidRPr="00D80A3E" w:rsidRDefault="00D80A3E" w:rsidP="00D57BC1">
      <w:pPr>
        <w:numPr>
          <w:ilvl w:val="0"/>
          <w:numId w:val="3"/>
        </w:numPr>
        <w:tabs>
          <w:tab w:val="clear" w:pos="720"/>
          <w:tab w:val="num" w:pos="426"/>
        </w:tabs>
        <w:spacing w:after="0" w:line="240" w:lineRule="auto"/>
        <w:ind w:left="284"/>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Practitioner reports, opinion pieces, dissertations, and conference papers without peer review.</w:t>
      </w:r>
    </w:p>
    <w:p w14:paraId="11B5C2C2" w14:textId="77777777" w:rsidR="00D80A3E" w:rsidRPr="00D80A3E" w:rsidRDefault="00D80A3E" w:rsidP="00D57BC1">
      <w:pPr>
        <w:numPr>
          <w:ilvl w:val="0"/>
          <w:numId w:val="3"/>
        </w:numPr>
        <w:tabs>
          <w:tab w:val="clear" w:pos="720"/>
          <w:tab w:val="num" w:pos="426"/>
        </w:tabs>
        <w:spacing w:after="0" w:line="240" w:lineRule="auto"/>
        <w:ind w:left="284"/>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Studies focused solely on productivity or technology adoption without employee well-being measures.</w:t>
      </w:r>
    </w:p>
    <w:p w14:paraId="7346122D" w14:textId="77777777" w:rsidR="007820F8" w:rsidRDefault="00D80A3E" w:rsidP="007820F8">
      <w:pPr>
        <w:spacing w:after="0" w:line="240" w:lineRule="auto"/>
        <w:jc w:val="both"/>
        <w:outlineLvl w:val="2"/>
        <w:rPr>
          <w:rFonts w:ascii="Times New Roman" w:eastAsia="Times New Roman" w:hAnsi="Times New Roman" w:cs="Times New Roman"/>
          <w:b/>
          <w:bCs/>
          <w:sz w:val="27"/>
          <w:szCs w:val="27"/>
          <w:lang w:eastAsia="en-IN" w:bidi="te-IN"/>
        </w:rPr>
      </w:pPr>
      <w:r w:rsidRPr="00D80A3E">
        <w:rPr>
          <w:rFonts w:ascii="Times New Roman" w:eastAsia="Times New Roman" w:hAnsi="Times New Roman" w:cs="Times New Roman"/>
          <w:b/>
          <w:bCs/>
          <w:sz w:val="27"/>
          <w:szCs w:val="27"/>
          <w:lang w:eastAsia="en-IN" w:bidi="te-IN"/>
        </w:rPr>
        <w:t>3.4 Screening and Selection</w:t>
      </w:r>
    </w:p>
    <w:p w14:paraId="3FB59728" w14:textId="37FCAB58" w:rsidR="00D80A3E" w:rsidRPr="007820F8" w:rsidRDefault="00D80A3E" w:rsidP="007820F8">
      <w:pPr>
        <w:spacing w:after="0" w:line="240" w:lineRule="auto"/>
        <w:jc w:val="both"/>
        <w:outlineLvl w:val="2"/>
        <w:rPr>
          <w:rFonts w:ascii="Times New Roman" w:eastAsia="Times New Roman" w:hAnsi="Times New Roman" w:cs="Times New Roman"/>
          <w:b/>
          <w:bCs/>
          <w:sz w:val="27"/>
          <w:szCs w:val="27"/>
          <w:lang w:eastAsia="en-IN" w:bidi="te-IN"/>
        </w:rPr>
      </w:pPr>
      <w:r w:rsidRPr="00D80A3E">
        <w:rPr>
          <w:rFonts w:ascii="Times New Roman" w:eastAsia="Times New Roman" w:hAnsi="Times New Roman" w:cs="Times New Roman"/>
          <w:sz w:val="24"/>
          <w:szCs w:val="24"/>
          <w:lang w:eastAsia="en-IN" w:bidi="te-IN"/>
        </w:rPr>
        <w:t>A multi-stage screening process was applied:</w:t>
      </w:r>
    </w:p>
    <w:p w14:paraId="56754F3A" w14:textId="0F7573F4" w:rsidR="00D80A3E" w:rsidRPr="00D57BC1" w:rsidRDefault="00D80A3E" w:rsidP="00512AB0">
      <w:pPr>
        <w:spacing w:after="0" w:line="240" w:lineRule="auto"/>
        <w:jc w:val="both"/>
        <w:rPr>
          <w:rFonts w:ascii="Times New Roman" w:eastAsia="Times New Roman" w:hAnsi="Times New Roman" w:cs="Times New Roman"/>
          <w:sz w:val="24"/>
          <w:szCs w:val="24"/>
          <w:lang w:eastAsia="en-IN" w:bidi="te-IN"/>
        </w:rPr>
      </w:pPr>
      <w:r w:rsidRPr="00D57BC1">
        <w:rPr>
          <w:rFonts w:ascii="Times New Roman" w:eastAsia="Times New Roman" w:hAnsi="Times New Roman" w:cs="Times New Roman"/>
          <w:sz w:val="24"/>
          <w:szCs w:val="24"/>
          <w:lang w:eastAsia="en-IN" w:bidi="te-IN"/>
        </w:rPr>
        <w:lastRenderedPageBreak/>
        <w:t>Title and abstract screening to remove irrelevant studies</w:t>
      </w:r>
      <w:r w:rsidR="00512AB0" w:rsidRPr="00D57BC1">
        <w:rPr>
          <w:rFonts w:ascii="Times New Roman" w:eastAsia="Times New Roman" w:hAnsi="Times New Roman" w:cs="Times New Roman"/>
          <w:sz w:val="24"/>
          <w:szCs w:val="24"/>
          <w:lang w:eastAsia="en-IN" w:bidi="te-IN"/>
        </w:rPr>
        <w:t xml:space="preserve">, </w:t>
      </w:r>
      <w:r w:rsidRPr="00D57BC1">
        <w:rPr>
          <w:rFonts w:ascii="Times New Roman" w:eastAsia="Times New Roman" w:hAnsi="Times New Roman" w:cs="Times New Roman"/>
          <w:sz w:val="24"/>
          <w:szCs w:val="24"/>
          <w:lang w:eastAsia="en-IN" w:bidi="te-IN"/>
        </w:rPr>
        <w:t>Full-text assessment to evaluate methodological rigor and relevance</w:t>
      </w:r>
      <w:r w:rsidR="00512AB0" w:rsidRPr="00D57BC1">
        <w:rPr>
          <w:rFonts w:ascii="Times New Roman" w:eastAsia="Times New Roman" w:hAnsi="Times New Roman" w:cs="Times New Roman"/>
          <w:sz w:val="24"/>
          <w:szCs w:val="24"/>
          <w:lang w:eastAsia="en-IN" w:bidi="te-IN"/>
        </w:rPr>
        <w:t>, and cross-checking</w:t>
      </w:r>
      <w:r w:rsidRPr="00D57BC1">
        <w:rPr>
          <w:rFonts w:ascii="Times New Roman" w:eastAsia="Times New Roman" w:hAnsi="Times New Roman" w:cs="Times New Roman"/>
          <w:sz w:val="24"/>
          <w:szCs w:val="24"/>
          <w:lang w:eastAsia="en-IN" w:bidi="te-IN"/>
        </w:rPr>
        <w:t xml:space="preserve"> for consistency and to reduce selection bias.</w:t>
      </w:r>
    </w:p>
    <w:p w14:paraId="1445D5CD" w14:textId="77777777" w:rsidR="00D80A3E" w:rsidRPr="00D80A3E" w:rsidRDefault="00D80A3E" w:rsidP="00D57BC1">
      <w:pPr>
        <w:spacing w:after="0" w:line="240" w:lineRule="auto"/>
        <w:jc w:val="both"/>
        <w:outlineLvl w:val="2"/>
        <w:rPr>
          <w:rFonts w:ascii="Times New Roman" w:eastAsia="Times New Roman" w:hAnsi="Times New Roman" w:cs="Times New Roman"/>
          <w:b/>
          <w:bCs/>
          <w:sz w:val="27"/>
          <w:szCs w:val="27"/>
          <w:lang w:eastAsia="en-IN" w:bidi="te-IN"/>
        </w:rPr>
      </w:pPr>
      <w:r w:rsidRPr="00D80A3E">
        <w:rPr>
          <w:rFonts w:ascii="Times New Roman" w:eastAsia="Times New Roman" w:hAnsi="Times New Roman" w:cs="Times New Roman"/>
          <w:b/>
          <w:bCs/>
          <w:sz w:val="27"/>
          <w:szCs w:val="27"/>
          <w:lang w:eastAsia="en-IN" w:bidi="te-IN"/>
        </w:rPr>
        <w:t>3.5 Data Extraction</w:t>
      </w:r>
    </w:p>
    <w:p w14:paraId="5627D0D8" w14:textId="77777777" w:rsidR="00D80A3E" w:rsidRPr="00D80A3E" w:rsidRDefault="00D80A3E" w:rsidP="00D57BC1">
      <w:pPr>
        <w:spacing w:after="0" w:line="240" w:lineRule="auto"/>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For each article, the following information was systematically extracted:</w:t>
      </w:r>
    </w:p>
    <w:p w14:paraId="5083D139" w14:textId="77777777" w:rsidR="00D80A3E" w:rsidRPr="00D80A3E" w:rsidRDefault="00D80A3E" w:rsidP="00D57BC1">
      <w:pPr>
        <w:numPr>
          <w:ilvl w:val="0"/>
          <w:numId w:val="5"/>
        </w:numPr>
        <w:spacing w:after="0" w:line="240" w:lineRule="auto"/>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Author(s) and year</w:t>
      </w:r>
    </w:p>
    <w:p w14:paraId="6BFE60FB" w14:textId="77777777" w:rsidR="00D80A3E" w:rsidRPr="00D80A3E" w:rsidRDefault="00D80A3E" w:rsidP="00D57BC1">
      <w:pPr>
        <w:numPr>
          <w:ilvl w:val="0"/>
          <w:numId w:val="5"/>
        </w:numPr>
        <w:spacing w:after="0" w:line="240" w:lineRule="auto"/>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Research discipline and context</w:t>
      </w:r>
    </w:p>
    <w:p w14:paraId="18DB5EE5" w14:textId="77777777" w:rsidR="00D80A3E" w:rsidRPr="00D80A3E" w:rsidRDefault="00D80A3E" w:rsidP="00D57BC1">
      <w:pPr>
        <w:numPr>
          <w:ilvl w:val="0"/>
          <w:numId w:val="5"/>
        </w:numPr>
        <w:spacing w:after="0" w:line="240" w:lineRule="auto"/>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Study design and methodology</w:t>
      </w:r>
    </w:p>
    <w:p w14:paraId="32D42546" w14:textId="77777777" w:rsidR="00D80A3E" w:rsidRPr="00D80A3E" w:rsidRDefault="00D80A3E" w:rsidP="00D57BC1">
      <w:pPr>
        <w:numPr>
          <w:ilvl w:val="0"/>
          <w:numId w:val="5"/>
        </w:numPr>
        <w:spacing w:after="0" w:line="240" w:lineRule="auto"/>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Sample characteristics</w:t>
      </w:r>
    </w:p>
    <w:p w14:paraId="0FA6BD1C" w14:textId="77777777" w:rsidR="00D80A3E" w:rsidRPr="00D80A3E" w:rsidRDefault="00D80A3E" w:rsidP="00D57BC1">
      <w:pPr>
        <w:numPr>
          <w:ilvl w:val="0"/>
          <w:numId w:val="5"/>
        </w:numPr>
        <w:spacing w:after="0" w:line="240" w:lineRule="auto"/>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Theoretical framework</w:t>
      </w:r>
    </w:p>
    <w:p w14:paraId="0AB18403" w14:textId="77777777" w:rsidR="00D80A3E" w:rsidRPr="00D80A3E" w:rsidRDefault="00D80A3E" w:rsidP="00D57BC1">
      <w:pPr>
        <w:numPr>
          <w:ilvl w:val="0"/>
          <w:numId w:val="5"/>
        </w:numPr>
        <w:spacing w:after="0" w:line="240" w:lineRule="auto"/>
        <w:jc w:val="both"/>
        <w:rPr>
          <w:rFonts w:ascii="Times New Roman" w:eastAsia="Times New Roman" w:hAnsi="Times New Roman" w:cs="Times New Roman"/>
          <w:sz w:val="24"/>
          <w:szCs w:val="24"/>
          <w:lang w:eastAsia="en-IN" w:bidi="te-IN"/>
        </w:rPr>
      </w:pPr>
      <w:r w:rsidRPr="00D80A3E">
        <w:rPr>
          <w:rFonts w:ascii="Times New Roman" w:eastAsia="Times New Roman" w:hAnsi="Times New Roman" w:cs="Times New Roman"/>
          <w:sz w:val="24"/>
          <w:szCs w:val="24"/>
          <w:lang w:eastAsia="en-IN" w:bidi="te-IN"/>
        </w:rPr>
        <w:t>Key findings related to work–life balance</w:t>
      </w:r>
    </w:p>
    <w:p w14:paraId="6020548B" w14:textId="77777777" w:rsidR="00D80A3E" w:rsidRPr="00D80A3E" w:rsidRDefault="00D80A3E" w:rsidP="00D80A3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D80A3E">
        <w:rPr>
          <w:rFonts w:ascii="Times New Roman" w:eastAsia="Times New Roman" w:hAnsi="Times New Roman" w:cs="Times New Roman"/>
          <w:b/>
          <w:bCs/>
          <w:sz w:val="27"/>
          <w:szCs w:val="27"/>
          <w:lang w:eastAsia="en-IN" w:bidi="te-IN"/>
        </w:rPr>
        <w:t>3.6 Coding and Thematic Synthesis</w:t>
      </w:r>
    </w:p>
    <w:p w14:paraId="53583ABA" w14:textId="77777777" w:rsidR="00D80A3E" w:rsidRPr="00D80A3E" w:rsidRDefault="00D80A3E" w:rsidP="007820F8">
      <w:pPr>
        <w:spacing w:after="0" w:line="240" w:lineRule="auto"/>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An inductive–deductive coding approach was adopted</w:t>
      </w:r>
      <w:r w:rsidRPr="00D80A3E">
        <w:rPr>
          <w:rFonts w:ascii="Times New Roman" w:eastAsia="Times New Roman" w:hAnsi="Times New Roman" w:cs="Times New Roman"/>
          <w:sz w:val="24"/>
          <w:szCs w:val="24"/>
          <w:lang w:eastAsia="en-IN" w:bidi="te-IN"/>
        </w:rPr>
        <w:t>:</w:t>
      </w:r>
    </w:p>
    <w:p w14:paraId="7AD1D06D" w14:textId="35BBE980" w:rsidR="00D80A3E" w:rsidRPr="007820F8" w:rsidRDefault="00D80A3E" w:rsidP="007820F8">
      <w:pPr>
        <w:numPr>
          <w:ilvl w:val="0"/>
          <w:numId w:val="6"/>
        </w:numPr>
        <w:spacing w:after="0" w:line="240" w:lineRule="auto"/>
        <w:ind w:left="284" w:firstLine="76"/>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 xml:space="preserve">Open coding: Identification of first-order themes such as autonomy, technostress, boundary management, </w:t>
      </w:r>
      <w:r w:rsidR="001B46E0">
        <w:rPr>
          <w:rFonts w:ascii="Times New Roman" w:eastAsia="Times New Roman" w:hAnsi="Times New Roman" w:cs="Times New Roman"/>
          <w:sz w:val="24"/>
          <w:szCs w:val="24"/>
          <w:lang w:eastAsia="en-IN" w:bidi="te-IN"/>
        </w:rPr>
        <w:t xml:space="preserve">and </w:t>
      </w:r>
      <w:r w:rsidRPr="007820F8">
        <w:rPr>
          <w:rFonts w:ascii="Times New Roman" w:eastAsia="Times New Roman" w:hAnsi="Times New Roman" w:cs="Times New Roman"/>
          <w:sz w:val="24"/>
          <w:szCs w:val="24"/>
          <w:lang w:eastAsia="en-IN" w:bidi="te-IN"/>
        </w:rPr>
        <w:t>leadership support.</w:t>
      </w:r>
    </w:p>
    <w:p w14:paraId="5E35E426" w14:textId="77777777" w:rsidR="00D80A3E" w:rsidRPr="007820F8" w:rsidRDefault="00D80A3E" w:rsidP="007820F8">
      <w:pPr>
        <w:numPr>
          <w:ilvl w:val="0"/>
          <w:numId w:val="6"/>
        </w:numPr>
        <w:spacing w:after="0" w:line="240" w:lineRule="auto"/>
        <w:ind w:left="284" w:firstLine="76"/>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Axial coding: Grouping codes into higher-order analytical themes guided by boundary theory, self-determination theory, and socio-technical systems theory.</w:t>
      </w:r>
    </w:p>
    <w:p w14:paraId="547E7E10" w14:textId="77777777" w:rsidR="00D80A3E" w:rsidRPr="007820F8" w:rsidRDefault="00D80A3E" w:rsidP="007820F8">
      <w:pPr>
        <w:numPr>
          <w:ilvl w:val="0"/>
          <w:numId w:val="6"/>
        </w:numPr>
        <w:spacing w:after="0" w:line="240" w:lineRule="auto"/>
        <w:ind w:left="284" w:firstLine="76"/>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Thematic synthesis: Integration of patterns to explain divergent outcomes and develop the dynamic conceptual framework.</w:t>
      </w:r>
    </w:p>
    <w:p w14:paraId="13B71A1C" w14:textId="5CC8CDE8" w:rsidR="00D80A3E" w:rsidRPr="00D80A3E" w:rsidRDefault="00D80A3E" w:rsidP="00D80A3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D80A3E">
        <w:rPr>
          <w:rFonts w:ascii="Times New Roman" w:eastAsia="Times New Roman" w:hAnsi="Times New Roman" w:cs="Times New Roman"/>
          <w:b/>
          <w:bCs/>
          <w:sz w:val="27"/>
          <w:szCs w:val="27"/>
          <w:lang w:eastAsia="en-IN" w:bidi="te-IN"/>
        </w:rPr>
        <w:t xml:space="preserve">3.7 Ensuring </w:t>
      </w:r>
      <w:r w:rsidR="001B46E0">
        <w:rPr>
          <w:rFonts w:ascii="Times New Roman" w:eastAsia="Times New Roman" w:hAnsi="Times New Roman" w:cs="Times New Roman"/>
          <w:b/>
          <w:bCs/>
          <w:sz w:val="27"/>
          <w:szCs w:val="27"/>
          <w:lang w:eastAsia="en-IN" w:bidi="te-IN"/>
        </w:rPr>
        <w:t>Rigour</w:t>
      </w:r>
      <w:r w:rsidRPr="00D80A3E">
        <w:rPr>
          <w:rFonts w:ascii="Times New Roman" w:eastAsia="Times New Roman" w:hAnsi="Times New Roman" w:cs="Times New Roman"/>
          <w:b/>
          <w:bCs/>
          <w:sz w:val="27"/>
          <w:szCs w:val="27"/>
          <w:lang w:eastAsia="en-IN" w:bidi="te-IN"/>
        </w:rPr>
        <w:t xml:space="preserve"> and Trustworthiness</w:t>
      </w:r>
    </w:p>
    <w:p w14:paraId="72716608" w14:textId="56934D06" w:rsidR="00D80A3E" w:rsidRPr="007820F8" w:rsidRDefault="00D80A3E" w:rsidP="007820F8">
      <w:pPr>
        <w:spacing w:after="0" w:line="240" w:lineRule="auto"/>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 xml:space="preserve">To ensure </w:t>
      </w:r>
      <w:r w:rsidR="001B46E0">
        <w:rPr>
          <w:rFonts w:ascii="Times New Roman" w:eastAsia="Times New Roman" w:hAnsi="Times New Roman" w:cs="Times New Roman"/>
          <w:sz w:val="24"/>
          <w:szCs w:val="24"/>
          <w:lang w:eastAsia="en-IN" w:bidi="te-IN"/>
        </w:rPr>
        <w:t>rigour</w:t>
      </w:r>
      <w:r w:rsidRPr="007820F8">
        <w:rPr>
          <w:rFonts w:ascii="Times New Roman" w:eastAsia="Times New Roman" w:hAnsi="Times New Roman" w:cs="Times New Roman"/>
          <w:sz w:val="24"/>
          <w:szCs w:val="24"/>
          <w:lang w:eastAsia="en-IN" w:bidi="te-IN"/>
        </w:rPr>
        <w:t>, the following strategies were implemented:</w:t>
      </w:r>
    </w:p>
    <w:p w14:paraId="03643426" w14:textId="77777777" w:rsidR="00D80A3E" w:rsidRPr="007820F8" w:rsidRDefault="00D80A3E" w:rsidP="007820F8">
      <w:pPr>
        <w:numPr>
          <w:ilvl w:val="0"/>
          <w:numId w:val="7"/>
        </w:numPr>
        <w:spacing w:after="0" w:line="240" w:lineRule="auto"/>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Transparent search and selection: Explicit inclusion/exclusion criteria documented.</w:t>
      </w:r>
    </w:p>
    <w:p w14:paraId="3631575E" w14:textId="77777777" w:rsidR="00D80A3E" w:rsidRPr="007820F8" w:rsidRDefault="00D80A3E" w:rsidP="007820F8">
      <w:pPr>
        <w:numPr>
          <w:ilvl w:val="0"/>
          <w:numId w:val="7"/>
        </w:numPr>
        <w:spacing w:after="0" w:line="240" w:lineRule="auto"/>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Theoretical triangulation: Integration of multiple theories to interpret findings.</w:t>
      </w:r>
    </w:p>
    <w:p w14:paraId="1DF18884" w14:textId="77777777" w:rsidR="00D80A3E" w:rsidRPr="007820F8" w:rsidRDefault="00D80A3E" w:rsidP="007820F8">
      <w:pPr>
        <w:numPr>
          <w:ilvl w:val="0"/>
          <w:numId w:val="7"/>
        </w:numPr>
        <w:spacing w:after="0" w:line="240" w:lineRule="auto"/>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Iterative validation: Cross-checking codes and themes against original articles.</w:t>
      </w:r>
    </w:p>
    <w:p w14:paraId="560F01D9" w14:textId="77777777" w:rsidR="00D80A3E" w:rsidRPr="007820F8" w:rsidRDefault="00D80A3E" w:rsidP="007820F8">
      <w:pPr>
        <w:numPr>
          <w:ilvl w:val="0"/>
          <w:numId w:val="7"/>
        </w:numPr>
        <w:spacing w:after="0" w:line="240" w:lineRule="auto"/>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Reliance on peer-reviewed studies: Ensures credibility and quality.</w:t>
      </w:r>
    </w:p>
    <w:p w14:paraId="18C6D021" w14:textId="77777777" w:rsidR="00D80A3E" w:rsidRPr="00D80A3E" w:rsidRDefault="00D80A3E" w:rsidP="00D80A3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D80A3E">
        <w:rPr>
          <w:rFonts w:ascii="Times New Roman" w:eastAsia="Times New Roman" w:hAnsi="Times New Roman" w:cs="Times New Roman"/>
          <w:b/>
          <w:bCs/>
          <w:sz w:val="27"/>
          <w:szCs w:val="27"/>
          <w:lang w:eastAsia="en-IN" w:bidi="te-IN"/>
        </w:rPr>
        <w:t>3.8 Ethical Considerations</w:t>
      </w:r>
    </w:p>
    <w:p w14:paraId="1E2B43DA" w14:textId="77777777" w:rsidR="00D80A3E" w:rsidRPr="007820F8" w:rsidRDefault="00D80A3E" w:rsidP="00D80A3E">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The study exclusively used secondary, publicly available data. No human participants were involved; thus, formal ethical approval was not required. Academic integrity principles were strictly followed, including accurate citation and faithful representation of original studies.</w:t>
      </w:r>
    </w:p>
    <w:p w14:paraId="7CD6CF11" w14:textId="77777777" w:rsidR="00D80A3E" w:rsidRPr="00D80A3E" w:rsidRDefault="00D80A3E" w:rsidP="00D80A3E">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D80A3E">
        <w:rPr>
          <w:rFonts w:ascii="Times New Roman" w:eastAsia="Times New Roman" w:hAnsi="Times New Roman" w:cs="Times New Roman"/>
          <w:b/>
          <w:bCs/>
          <w:sz w:val="27"/>
          <w:szCs w:val="27"/>
          <w:lang w:eastAsia="en-IN" w:bidi="te-IN"/>
        </w:rPr>
        <w:t>3.9 Methodological Limitations</w:t>
      </w:r>
    </w:p>
    <w:p w14:paraId="57D2CD50" w14:textId="77777777" w:rsidR="00D80A3E" w:rsidRPr="007820F8" w:rsidRDefault="00D80A3E" w:rsidP="007820F8">
      <w:pPr>
        <w:numPr>
          <w:ilvl w:val="0"/>
          <w:numId w:val="8"/>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Publication bias: Only published journal articles were included.</w:t>
      </w:r>
    </w:p>
    <w:p w14:paraId="4D1B65EE" w14:textId="77777777" w:rsidR="00D80A3E" w:rsidRPr="007820F8" w:rsidRDefault="00D80A3E" w:rsidP="007820F8">
      <w:pPr>
        <w:numPr>
          <w:ilvl w:val="0"/>
          <w:numId w:val="8"/>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Language bias: English-language publications only.</w:t>
      </w:r>
    </w:p>
    <w:p w14:paraId="023F2E9B" w14:textId="77777777" w:rsidR="007820F8" w:rsidRDefault="00D80A3E" w:rsidP="007820F8">
      <w:pPr>
        <w:numPr>
          <w:ilvl w:val="0"/>
          <w:numId w:val="8"/>
        </w:numPr>
        <w:tabs>
          <w:tab w:val="clear" w:pos="720"/>
          <w:tab w:val="num" w:pos="426"/>
        </w:tabs>
        <w:spacing w:before="100" w:beforeAutospacing="1" w:after="100" w:afterAutospacing="1" w:line="240" w:lineRule="auto"/>
        <w:ind w:left="142"/>
        <w:jc w:val="both"/>
        <w:rPr>
          <w:rFonts w:ascii="Times New Roman" w:eastAsia="Times New Roman" w:hAnsi="Times New Roman" w:cs="Times New Roman"/>
          <w:sz w:val="24"/>
          <w:szCs w:val="24"/>
          <w:lang w:eastAsia="en-IN" w:bidi="te-IN"/>
        </w:rPr>
      </w:pPr>
      <w:r w:rsidRPr="007820F8">
        <w:rPr>
          <w:rFonts w:ascii="Times New Roman" w:eastAsia="Times New Roman" w:hAnsi="Times New Roman" w:cs="Times New Roman"/>
          <w:sz w:val="24"/>
          <w:szCs w:val="24"/>
          <w:lang w:eastAsia="en-IN" w:bidi="te-IN"/>
        </w:rPr>
        <w:t>Single-reviewer coding: May introduce subjectivity; mitigated through iterative cross-checking.</w:t>
      </w:r>
    </w:p>
    <w:p w14:paraId="43672608" w14:textId="449AD08B" w:rsidR="009F6BC5" w:rsidRPr="00512AB0" w:rsidRDefault="009F6BC5" w:rsidP="007820F8">
      <w:pPr>
        <w:spacing w:before="100" w:beforeAutospacing="1" w:after="100" w:afterAutospacing="1" w:line="240" w:lineRule="auto"/>
        <w:ind w:left="-218"/>
        <w:jc w:val="both"/>
        <w:rPr>
          <w:rFonts w:ascii="Times New Roman" w:eastAsia="Times New Roman" w:hAnsi="Times New Roman" w:cs="Times New Roman"/>
          <w:lang w:eastAsia="en-IN" w:bidi="te-IN"/>
        </w:rPr>
      </w:pPr>
      <w:r w:rsidRPr="00512AB0">
        <w:rPr>
          <w:rFonts w:ascii="Times New Roman" w:eastAsia="Times New Roman" w:hAnsi="Times New Roman" w:cs="Times New Roman"/>
          <w:b/>
          <w:bCs/>
          <w:sz w:val="32"/>
          <w:szCs w:val="32"/>
          <w:lang w:eastAsia="en-IN" w:bidi="te-IN"/>
        </w:rPr>
        <w:t>4. Findings: A Detailed Thematic Synthesis</w:t>
      </w:r>
    </w:p>
    <w:p w14:paraId="672AEA54" w14:textId="30518690"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 xml:space="preserve">Drawing on the systematic analysis of 48 peer-reviewed journal articles, this section presents an in-depth thematic synthesis of findings on how remote and hybrid work models shape work–life balance. The findings are </w:t>
      </w:r>
      <w:r w:rsidR="00510C8E">
        <w:rPr>
          <w:rFonts w:ascii="Times New Roman" w:eastAsia="Times New Roman" w:hAnsi="Times New Roman" w:cs="Times New Roman"/>
          <w:sz w:val="24"/>
          <w:szCs w:val="24"/>
          <w:lang w:eastAsia="en-IN" w:bidi="te-IN"/>
        </w:rPr>
        <w:t>organised</w:t>
      </w:r>
      <w:r w:rsidRPr="009F6BC5">
        <w:rPr>
          <w:rFonts w:ascii="Times New Roman" w:eastAsia="Times New Roman" w:hAnsi="Times New Roman" w:cs="Times New Roman"/>
          <w:sz w:val="24"/>
          <w:szCs w:val="24"/>
          <w:lang w:eastAsia="en-IN" w:bidi="te-IN"/>
        </w:rPr>
        <w:t xml:space="preserve"> across three interrelated levels: individual, </w:t>
      </w:r>
      <w:r w:rsidR="00510C8E">
        <w:rPr>
          <w:rFonts w:ascii="Times New Roman" w:eastAsia="Times New Roman" w:hAnsi="Times New Roman" w:cs="Times New Roman"/>
          <w:sz w:val="24"/>
          <w:szCs w:val="24"/>
          <w:lang w:eastAsia="en-IN" w:bidi="te-IN"/>
        </w:rPr>
        <w:t>organisational</w:t>
      </w:r>
      <w:r w:rsidRPr="009F6BC5">
        <w:rPr>
          <w:rFonts w:ascii="Times New Roman" w:eastAsia="Times New Roman" w:hAnsi="Times New Roman" w:cs="Times New Roman"/>
          <w:sz w:val="24"/>
          <w:szCs w:val="24"/>
          <w:lang w:eastAsia="en-IN" w:bidi="te-IN"/>
        </w:rPr>
        <w:t xml:space="preserve">, and societal. This multi-level structure reflects the core insight emerging from </w:t>
      </w:r>
      <w:r w:rsidRPr="009F6BC5">
        <w:rPr>
          <w:rFonts w:ascii="Times New Roman" w:eastAsia="Times New Roman" w:hAnsi="Times New Roman" w:cs="Times New Roman"/>
          <w:sz w:val="24"/>
          <w:szCs w:val="24"/>
          <w:lang w:eastAsia="en-IN" w:bidi="te-IN"/>
        </w:rPr>
        <w:lastRenderedPageBreak/>
        <w:t>the literature</w:t>
      </w:r>
      <w:r w:rsidR="00510C8E">
        <w:rPr>
          <w:rFonts w:ascii="Times New Roman" w:eastAsia="Times New Roman" w:hAnsi="Times New Roman" w:cs="Times New Roman"/>
          <w:sz w:val="24"/>
          <w:szCs w:val="24"/>
          <w:lang w:eastAsia="en-IN" w:bidi="te-IN"/>
        </w:rPr>
        <w:t xml:space="preserve"> </w:t>
      </w:r>
      <w:r w:rsidRPr="009F6BC5">
        <w:rPr>
          <w:rFonts w:ascii="Times New Roman" w:eastAsia="Times New Roman" w:hAnsi="Times New Roman" w:cs="Times New Roman"/>
          <w:sz w:val="24"/>
          <w:szCs w:val="24"/>
          <w:lang w:eastAsia="en-IN" w:bidi="te-IN"/>
        </w:rPr>
        <w:t>that work–life balance in digitally mediated work environments is a complex, context-dependent outcome rather than a uniform effect.</w:t>
      </w:r>
    </w:p>
    <w:p w14:paraId="746C8828" w14:textId="77777777" w:rsidR="009F6BC5" w:rsidRPr="009F6BC5" w:rsidRDefault="009F6BC5" w:rsidP="009F6BC5">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9F6BC5">
        <w:rPr>
          <w:rFonts w:ascii="Times New Roman" w:eastAsia="Times New Roman" w:hAnsi="Times New Roman" w:cs="Times New Roman"/>
          <w:b/>
          <w:bCs/>
          <w:sz w:val="27"/>
          <w:szCs w:val="27"/>
          <w:lang w:eastAsia="en-IN" w:bidi="te-IN"/>
        </w:rPr>
        <w:t>4.1 Individual-Level Mechanisms</w:t>
      </w:r>
    </w:p>
    <w:p w14:paraId="02B0591A" w14:textId="77777777"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At the individual level, remote and hybrid work arrangements fundamentally alter how employees experience time, space, and control over work activities. One of the most consistently identified enabling mechanisms is perceived autonomy. Studies across occupational groups demonstrate that greater discretion over work scheduling and location enhances employees’ sense of control, which is strongly associated with improved work–life balance and psychological well-being. Reduced commuting time further amplifies these benefits by freeing temporal and cognitive resources that can be reallocated to family, leisure, or recovery activities.</w:t>
      </w:r>
    </w:p>
    <w:p w14:paraId="4256E395" w14:textId="3DA05F0E"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 xml:space="preserve">However, autonomy in remote work contexts often comes with </w:t>
      </w:r>
      <w:r w:rsidR="00510C8E">
        <w:rPr>
          <w:rFonts w:ascii="Times New Roman" w:eastAsia="Times New Roman" w:hAnsi="Times New Roman" w:cs="Times New Roman"/>
          <w:sz w:val="24"/>
          <w:szCs w:val="24"/>
          <w:lang w:eastAsia="en-IN" w:bidi="te-IN"/>
        </w:rPr>
        <w:t>increased demands for self-regulation</w:t>
      </w:r>
      <w:r w:rsidRPr="009F6BC5">
        <w:rPr>
          <w:rFonts w:ascii="Times New Roman" w:eastAsia="Times New Roman" w:hAnsi="Times New Roman" w:cs="Times New Roman"/>
          <w:sz w:val="24"/>
          <w:szCs w:val="24"/>
          <w:lang w:eastAsia="en-IN" w:bidi="te-IN"/>
        </w:rPr>
        <w:t xml:space="preserve">. The literature highlights work intensification as a recurrent challenge, with employees reporting longer working hours, </w:t>
      </w:r>
      <w:r w:rsidR="00510C8E">
        <w:rPr>
          <w:rFonts w:ascii="Times New Roman" w:eastAsia="Times New Roman" w:hAnsi="Times New Roman" w:cs="Times New Roman"/>
          <w:sz w:val="24"/>
          <w:szCs w:val="24"/>
          <w:lang w:eastAsia="en-IN" w:bidi="te-IN"/>
        </w:rPr>
        <w:t xml:space="preserve">an </w:t>
      </w:r>
      <w:r w:rsidRPr="009F6BC5">
        <w:rPr>
          <w:rFonts w:ascii="Times New Roman" w:eastAsia="Times New Roman" w:hAnsi="Times New Roman" w:cs="Times New Roman"/>
          <w:sz w:val="24"/>
          <w:szCs w:val="24"/>
          <w:lang w:eastAsia="en-IN" w:bidi="te-IN"/>
        </w:rPr>
        <w:t>increased pace of work, and difficulty disengaging from job-related tasks. Constant digital connectivity, enabled by collaboration platforms and mobile technologies, blurs temporal boundaries and fosters an “always-on” work culture. This phenomenon contributes to technostress, emotional exhaustion, and diminished work–life balance, particularly among employees with high workload expectations or limited boundary management skills.</w:t>
      </w:r>
    </w:p>
    <w:p w14:paraId="1A659A42" w14:textId="77777777"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Individual differences significantly moderate these outcomes. Research indicates that employees with strong boundary management preferences, high self-discipline, and proactive coping strategies are better able to leverage flexibility while mitigating its downsides. Conversely, employees with caregiving responsibilities or limited access to dedicated workspaces may experience heightened role conflict, underscoring the uneven distribution of remote work benefits.</w:t>
      </w:r>
    </w:p>
    <w:p w14:paraId="46DB9943" w14:textId="77777777" w:rsidR="009F6BC5" w:rsidRPr="009F6BC5" w:rsidRDefault="009F6BC5" w:rsidP="009F6BC5">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9F6BC5">
        <w:rPr>
          <w:rFonts w:ascii="Times New Roman" w:eastAsia="Times New Roman" w:hAnsi="Times New Roman" w:cs="Times New Roman"/>
          <w:b/>
          <w:bCs/>
          <w:sz w:val="27"/>
          <w:szCs w:val="27"/>
          <w:lang w:eastAsia="en-IN" w:bidi="te-IN"/>
        </w:rPr>
        <w:t>4.2 Organizational-Level Factors</w:t>
      </w:r>
    </w:p>
    <w:p w14:paraId="71937D86" w14:textId="111F3CAC" w:rsidR="009F6BC5" w:rsidRPr="009F6BC5" w:rsidRDefault="001B46E0"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Pr>
          <w:rFonts w:ascii="Times New Roman" w:eastAsia="Times New Roman" w:hAnsi="Times New Roman" w:cs="Times New Roman"/>
          <w:sz w:val="24"/>
          <w:szCs w:val="24"/>
          <w:lang w:eastAsia="en-IN" w:bidi="te-IN"/>
        </w:rPr>
        <w:t>Organisational</w:t>
      </w:r>
      <w:r w:rsidR="009F6BC5" w:rsidRPr="009F6BC5">
        <w:rPr>
          <w:rFonts w:ascii="Times New Roman" w:eastAsia="Times New Roman" w:hAnsi="Times New Roman" w:cs="Times New Roman"/>
          <w:sz w:val="24"/>
          <w:szCs w:val="24"/>
          <w:lang w:eastAsia="en-IN" w:bidi="te-IN"/>
        </w:rPr>
        <w:t xml:space="preserve"> context plays a decisive role in shaping how remote and hybrid work arrangements translate into work–life balance outcomes. Leadership </w:t>
      </w:r>
      <w:r>
        <w:rPr>
          <w:rFonts w:ascii="Times New Roman" w:eastAsia="Times New Roman" w:hAnsi="Times New Roman" w:cs="Times New Roman"/>
          <w:sz w:val="24"/>
          <w:szCs w:val="24"/>
          <w:lang w:eastAsia="en-IN" w:bidi="te-IN"/>
        </w:rPr>
        <w:t>behaviour</w:t>
      </w:r>
      <w:r w:rsidR="009F6BC5" w:rsidRPr="009F6BC5">
        <w:rPr>
          <w:rFonts w:ascii="Times New Roman" w:eastAsia="Times New Roman" w:hAnsi="Times New Roman" w:cs="Times New Roman"/>
          <w:sz w:val="24"/>
          <w:szCs w:val="24"/>
          <w:lang w:eastAsia="en-IN" w:bidi="te-IN"/>
        </w:rPr>
        <w:t>, organizational culture, and human resource practices emerge as critical determinants. Supportive leadership characterized by trust, empathy, and outcome-based performance evaluation is consistently associated with positive balance perceptions. Clear expectations regarding availability, response times, and performance metrics reduce ambiguity and help employees manage boundaries effectively.</w:t>
      </w:r>
    </w:p>
    <w:p w14:paraId="424363E2" w14:textId="317B5DAA"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 xml:space="preserve">Hybrid work models, in particular, require deliberate design to avoid coordination breakdowns and inequities. The literature cautions against informal or ad hoc hybrid arrangements, which can create visibility biases, unequal access to opportunities, and perceptions of unfairness. </w:t>
      </w:r>
      <w:r w:rsidR="001B46E0">
        <w:rPr>
          <w:rFonts w:ascii="Times New Roman" w:eastAsia="Times New Roman" w:hAnsi="Times New Roman" w:cs="Times New Roman"/>
          <w:sz w:val="24"/>
          <w:szCs w:val="24"/>
          <w:lang w:eastAsia="en-IN" w:bidi="te-IN"/>
        </w:rPr>
        <w:t>Organisations</w:t>
      </w:r>
      <w:r w:rsidRPr="009F6BC5">
        <w:rPr>
          <w:rFonts w:ascii="Times New Roman" w:eastAsia="Times New Roman" w:hAnsi="Times New Roman" w:cs="Times New Roman"/>
          <w:sz w:val="24"/>
          <w:szCs w:val="24"/>
          <w:lang w:eastAsia="en-IN" w:bidi="te-IN"/>
        </w:rPr>
        <w:t xml:space="preserve"> that invest in formal hybrid policies, inclusive meeting practices, and digital collaboration norms are more likely to </w:t>
      </w:r>
      <w:r w:rsidR="001B46E0">
        <w:rPr>
          <w:rFonts w:ascii="Times New Roman" w:eastAsia="Times New Roman" w:hAnsi="Times New Roman" w:cs="Times New Roman"/>
          <w:sz w:val="24"/>
          <w:szCs w:val="24"/>
          <w:lang w:eastAsia="en-IN" w:bidi="te-IN"/>
        </w:rPr>
        <w:t>realise</w:t>
      </w:r>
      <w:r w:rsidRPr="009F6BC5">
        <w:rPr>
          <w:rFonts w:ascii="Times New Roman" w:eastAsia="Times New Roman" w:hAnsi="Times New Roman" w:cs="Times New Roman"/>
          <w:sz w:val="24"/>
          <w:szCs w:val="24"/>
          <w:lang w:eastAsia="en-IN" w:bidi="te-IN"/>
        </w:rPr>
        <w:t xml:space="preserve"> the promised work–life balance benefits.</w:t>
      </w:r>
    </w:p>
    <w:p w14:paraId="2E5BA5A7" w14:textId="7640DE8B"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 xml:space="preserve">Human resource interventions such as flexible scheduling guidelines, right-to-disconnect policies, and training on digital well-being further enhance positive outcomes. In contrast, performance cultures </w:t>
      </w:r>
      <w:r w:rsidR="001B46E0">
        <w:rPr>
          <w:rFonts w:ascii="Times New Roman" w:eastAsia="Times New Roman" w:hAnsi="Times New Roman" w:cs="Times New Roman"/>
          <w:sz w:val="24"/>
          <w:szCs w:val="24"/>
          <w:lang w:eastAsia="en-IN" w:bidi="te-IN"/>
        </w:rPr>
        <w:t>emphasising</w:t>
      </w:r>
      <w:r w:rsidRPr="009F6BC5">
        <w:rPr>
          <w:rFonts w:ascii="Times New Roman" w:eastAsia="Times New Roman" w:hAnsi="Times New Roman" w:cs="Times New Roman"/>
          <w:sz w:val="24"/>
          <w:szCs w:val="24"/>
          <w:lang w:eastAsia="en-IN" w:bidi="te-IN"/>
        </w:rPr>
        <w:t xml:space="preserve"> constant responsiveness and extended availability </w:t>
      </w:r>
      <w:r w:rsidRPr="009F6BC5">
        <w:rPr>
          <w:rFonts w:ascii="Times New Roman" w:eastAsia="Times New Roman" w:hAnsi="Times New Roman" w:cs="Times New Roman"/>
          <w:sz w:val="24"/>
          <w:szCs w:val="24"/>
          <w:lang w:eastAsia="en-IN" w:bidi="te-IN"/>
        </w:rPr>
        <w:lastRenderedPageBreak/>
        <w:t>undermine the potential advantages of remote and hybrid work, leading to work–life imbalance and burnout.</w:t>
      </w:r>
    </w:p>
    <w:p w14:paraId="0CEEB543" w14:textId="77777777" w:rsidR="009F6BC5" w:rsidRPr="009F6BC5" w:rsidRDefault="009F6BC5" w:rsidP="009F6BC5">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9F6BC5">
        <w:rPr>
          <w:rFonts w:ascii="Times New Roman" w:eastAsia="Times New Roman" w:hAnsi="Times New Roman" w:cs="Times New Roman"/>
          <w:b/>
          <w:bCs/>
          <w:sz w:val="27"/>
          <w:szCs w:val="27"/>
          <w:lang w:eastAsia="en-IN" w:bidi="te-IN"/>
        </w:rPr>
        <w:t>4.3 Societal and Contextual Moderators</w:t>
      </w:r>
    </w:p>
    <w:p w14:paraId="3CAC8AA8" w14:textId="353B2FFB"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 xml:space="preserve">Beyond the individual and </w:t>
      </w:r>
      <w:r w:rsidR="001B46E0">
        <w:rPr>
          <w:rFonts w:ascii="Times New Roman" w:eastAsia="Times New Roman" w:hAnsi="Times New Roman" w:cs="Times New Roman"/>
          <w:sz w:val="24"/>
          <w:szCs w:val="24"/>
          <w:lang w:eastAsia="en-IN" w:bidi="te-IN"/>
        </w:rPr>
        <w:t>organisational</w:t>
      </w:r>
      <w:r w:rsidRPr="009F6BC5">
        <w:rPr>
          <w:rFonts w:ascii="Times New Roman" w:eastAsia="Times New Roman" w:hAnsi="Times New Roman" w:cs="Times New Roman"/>
          <w:sz w:val="24"/>
          <w:szCs w:val="24"/>
          <w:lang w:eastAsia="en-IN" w:bidi="te-IN"/>
        </w:rPr>
        <w:t xml:space="preserve"> levels, societal and institutional factors significantly influence work–life balance outcomes. National </w:t>
      </w:r>
      <w:r w:rsidR="001B46E0">
        <w:rPr>
          <w:rFonts w:ascii="Times New Roman" w:eastAsia="Times New Roman" w:hAnsi="Times New Roman" w:cs="Times New Roman"/>
          <w:sz w:val="24"/>
          <w:szCs w:val="24"/>
          <w:lang w:eastAsia="en-IN" w:bidi="te-IN"/>
        </w:rPr>
        <w:t>labour</w:t>
      </w:r>
      <w:r w:rsidRPr="009F6BC5">
        <w:rPr>
          <w:rFonts w:ascii="Times New Roman" w:eastAsia="Times New Roman" w:hAnsi="Times New Roman" w:cs="Times New Roman"/>
          <w:sz w:val="24"/>
          <w:szCs w:val="24"/>
          <w:lang w:eastAsia="en-IN" w:bidi="te-IN"/>
        </w:rPr>
        <w:t xml:space="preserve"> regulations, cultural norms regarding work and family roles, and infrastructural conditions shape how remote work is experienced across contexts. Comparative studies reveal that employees in countries with stronger </w:t>
      </w:r>
      <w:r w:rsidR="001B46E0">
        <w:rPr>
          <w:rFonts w:ascii="Times New Roman" w:eastAsia="Times New Roman" w:hAnsi="Times New Roman" w:cs="Times New Roman"/>
          <w:sz w:val="24"/>
          <w:szCs w:val="24"/>
          <w:lang w:eastAsia="en-IN" w:bidi="te-IN"/>
        </w:rPr>
        <w:t>labour</w:t>
      </w:r>
      <w:r w:rsidRPr="009F6BC5">
        <w:rPr>
          <w:rFonts w:ascii="Times New Roman" w:eastAsia="Times New Roman" w:hAnsi="Times New Roman" w:cs="Times New Roman"/>
          <w:sz w:val="24"/>
          <w:szCs w:val="24"/>
          <w:lang w:eastAsia="en-IN" w:bidi="te-IN"/>
        </w:rPr>
        <w:t xml:space="preserve"> protections and social support systems report more </w:t>
      </w:r>
      <w:proofErr w:type="spellStart"/>
      <w:r w:rsidRPr="009F6BC5">
        <w:rPr>
          <w:rFonts w:ascii="Times New Roman" w:eastAsia="Times New Roman" w:hAnsi="Times New Roman" w:cs="Times New Roman"/>
          <w:sz w:val="24"/>
          <w:szCs w:val="24"/>
          <w:lang w:eastAsia="en-IN" w:bidi="te-IN"/>
        </w:rPr>
        <w:t>favorable</w:t>
      </w:r>
      <w:proofErr w:type="spellEnd"/>
      <w:r w:rsidRPr="009F6BC5">
        <w:rPr>
          <w:rFonts w:ascii="Times New Roman" w:eastAsia="Times New Roman" w:hAnsi="Times New Roman" w:cs="Times New Roman"/>
          <w:sz w:val="24"/>
          <w:szCs w:val="24"/>
          <w:lang w:eastAsia="en-IN" w:bidi="te-IN"/>
        </w:rPr>
        <w:t xml:space="preserve"> work–life balance outcomes under remote work arrangements.</w:t>
      </w:r>
    </w:p>
    <w:p w14:paraId="23FB7DB9" w14:textId="04E91F5D" w:rsidR="009F6BC5" w:rsidRPr="009F6BC5" w:rsidRDefault="009F6BC5" w:rsidP="00510C8E">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 xml:space="preserve">Gender emerges as a particularly salient moderator. While remote work can offer flexibility that supports caregiving responsibilities, several studies indicate that it may also reinforce traditional gender roles, leading to disproportionate domestic workloads for women. Evidence from emerging economies highlights additional challenges related to housing constraints, digital infrastructure, and extended family expectations, which can complicate boundary </w:t>
      </w:r>
      <w:proofErr w:type="gramStart"/>
      <w:r w:rsidRPr="009F6BC5">
        <w:rPr>
          <w:rFonts w:ascii="Times New Roman" w:eastAsia="Times New Roman" w:hAnsi="Times New Roman" w:cs="Times New Roman"/>
          <w:sz w:val="24"/>
          <w:szCs w:val="24"/>
          <w:lang w:eastAsia="en-IN" w:bidi="te-IN"/>
        </w:rPr>
        <w:t>management..</w:t>
      </w:r>
      <w:proofErr w:type="gramEnd"/>
    </w:p>
    <w:p w14:paraId="0212DAA2" w14:textId="77777777" w:rsidR="009F6BC5" w:rsidRPr="001B46E0" w:rsidRDefault="009F6BC5" w:rsidP="009F6BC5">
      <w:pPr>
        <w:spacing w:before="100" w:beforeAutospacing="1" w:after="100" w:afterAutospacing="1" w:line="240" w:lineRule="auto"/>
        <w:jc w:val="both"/>
        <w:outlineLvl w:val="1"/>
        <w:rPr>
          <w:rFonts w:ascii="Times New Roman" w:eastAsia="Times New Roman" w:hAnsi="Times New Roman" w:cs="Times New Roman"/>
          <w:b/>
          <w:bCs/>
          <w:sz w:val="32"/>
          <w:szCs w:val="32"/>
          <w:lang w:eastAsia="en-IN" w:bidi="te-IN"/>
        </w:rPr>
      </w:pPr>
      <w:r w:rsidRPr="001B46E0">
        <w:rPr>
          <w:rFonts w:ascii="Times New Roman" w:eastAsia="Times New Roman" w:hAnsi="Times New Roman" w:cs="Times New Roman"/>
          <w:b/>
          <w:bCs/>
          <w:sz w:val="32"/>
          <w:szCs w:val="32"/>
          <w:lang w:eastAsia="en-IN" w:bidi="te-IN"/>
        </w:rPr>
        <w:t>5. Discussion</w:t>
      </w:r>
    </w:p>
    <w:p w14:paraId="16329DC0" w14:textId="6BC742B3" w:rsidR="00C1508F" w:rsidRDefault="00C1508F" w:rsidP="007820F8">
      <w:pPr>
        <w:pStyle w:val="NormalWeb"/>
        <w:jc w:val="both"/>
      </w:pPr>
      <w:r>
        <w:t xml:space="preserve">The findings of this review underscore that remote and hybrid work models are neither universally beneficial nor inherently detrimental to work–life balance. Instead, balance emerges as a dynamic and negotiated outcome shaped by the interaction of individual agency, </w:t>
      </w:r>
      <w:r w:rsidR="001B46E0">
        <w:t>organisational</w:t>
      </w:r>
      <w:r>
        <w:t xml:space="preserve"> systems, and societal context. This insight helps reconcile contradictory findings in prior research by shifting the analytical focus from the presence of remote work to the conditions under which it is enacted.</w:t>
      </w:r>
    </w:p>
    <w:p w14:paraId="2EDA8214" w14:textId="77777777" w:rsidR="00C1508F" w:rsidRDefault="00C1508F" w:rsidP="007820F8">
      <w:pPr>
        <w:pStyle w:val="NormalWeb"/>
        <w:jc w:val="both"/>
      </w:pPr>
      <w:r>
        <w:t>By integrating boundary theory with self-determination theory and socio-technical systems theory, this study advances a dynamic work–life balance perspective. Boundary theory explains how employees manage role transitions in remote settings, while self-determination theory highlights the motivational role of autonomy and competence. Socio-technical systems theory emphasizes that technological tools cannot be evaluated in isolation from social practices and organizational norms. Together, these perspectives provide a holistic understanding of why similar work arrangements can yield divergent outcomes.</w:t>
      </w:r>
    </w:p>
    <w:p w14:paraId="13F82A39" w14:textId="7E64EFB3" w:rsidR="009F6BC5" w:rsidRPr="009F6BC5" w:rsidRDefault="00C1508F" w:rsidP="007820F8">
      <w:pPr>
        <w:pStyle w:val="NormalWeb"/>
        <w:jc w:val="both"/>
      </w:pPr>
      <w:r>
        <w:t>The discussion also highlights temporal dynamics often overlooked in cross-sectional studies. Evidence suggests that work–life balance perceptions evolve over time as employees adapt their routines and organizations refine their policies. Initial gains in flexibility may be offset by gradual work intensification if boundaries are not actively maintained, underscoring the importance of continuous monitoring and adjustment.</w:t>
      </w:r>
    </w:p>
    <w:p w14:paraId="32788847" w14:textId="77777777" w:rsidR="009F6BC5" w:rsidRPr="009F6BC5" w:rsidRDefault="009F6BC5" w:rsidP="009F6BC5">
      <w:pPr>
        <w:spacing w:before="100" w:beforeAutospacing="1" w:after="100" w:afterAutospacing="1" w:line="240" w:lineRule="auto"/>
        <w:jc w:val="both"/>
        <w:outlineLvl w:val="1"/>
        <w:rPr>
          <w:rFonts w:ascii="Times New Roman" w:eastAsia="Times New Roman" w:hAnsi="Times New Roman" w:cs="Times New Roman"/>
          <w:b/>
          <w:bCs/>
          <w:sz w:val="36"/>
          <w:szCs w:val="36"/>
          <w:lang w:eastAsia="en-IN" w:bidi="te-IN"/>
        </w:rPr>
      </w:pPr>
      <w:r w:rsidRPr="009F6BC5">
        <w:rPr>
          <w:rFonts w:ascii="Times New Roman" w:eastAsia="Times New Roman" w:hAnsi="Times New Roman" w:cs="Times New Roman"/>
          <w:b/>
          <w:bCs/>
          <w:sz w:val="36"/>
          <w:szCs w:val="36"/>
          <w:lang w:eastAsia="en-IN" w:bidi="te-IN"/>
        </w:rPr>
        <w:t xml:space="preserve">6. </w:t>
      </w:r>
      <w:r w:rsidRPr="001B46E0">
        <w:rPr>
          <w:rFonts w:ascii="Times New Roman" w:eastAsia="Times New Roman" w:hAnsi="Times New Roman" w:cs="Times New Roman"/>
          <w:b/>
          <w:bCs/>
          <w:sz w:val="32"/>
          <w:szCs w:val="32"/>
          <w:lang w:eastAsia="en-IN" w:bidi="te-IN"/>
        </w:rPr>
        <w:t>Implications for Theory, Practice, and Policy</w:t>
      </w:r>
    </w:p>
    <w:p w14:paraId="5510CEC7" w14:textId="77777777" w:rsidR="009F6BC5" w:rsidRPr="009F6BC5" w:rsidRDefault="009F6BC5" w:rsidP="009F6BC5">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9F6BC5">
        <w:rPr>
          <w:rFonts w:ascii="Times New Roman" w:eastAsia="Times New Roman" w:hAnsi="Times New Roman" w:cs="Times New Roman"/>
          <w:b/>
          <w:bCs/>
          <w:sz w:val="27"/>
          <w:szCs w:val="27"/>
          <w:lang w:eastAsia="en-IN" w:bidi="te-IN"/>
        </w:rPr>
        <w:t>6.1 Theoretical Implications</w:t>
      </w:r>
    </w:p>
    <w:p w14:paraId="00D990F9" w14:textId="77777777"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This study makes several theoretical contributions. First, it reframes work–life balance as an emergent and dynamic construct rather than a static end state. Second, it extends boundary theory by incorporating digital connectivity and organizational norms as central boundary-</w:t>
      </w:r>
      <w:r w:rsidRPr="009F6BC5">
        <w:rPr>
          <w:rFonts w:ascii="Times New Roman" w:eastAsia="Times New Roman" w:hAnsi="Times New Roman" w:cs="Times New Roman"/>
          <w:sz w:val="24"/>
          <w:szCs w:val="24"/>
          <w:lang w:eastAsia="en-IN" w:bidi="te-IN"/>
        </w:rPr>
        <w:lastRenderedPageBreak/>
        <w:t>shaping forces. Third, it contributes to strategic human resource management literature by positioning work–life balance as a critical outcome of work design and organizational strategy rather than an individual responsibility alone.</w:t>
      </w:r>
    </w:p>
    <w:p w14:paraId="359B4A6B" w14:textId="77777777" w:rsidR="009F6BC5" w:rsidRPr="009F6BC5" w:rsidRDefault="009F6BC5" w:rsidP="009F6BC5">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9F6BC5">
        <w:rPr>
          <w:rFonts w:ascii="Times New Roman" w:eastAsia="Times New Roman" w:hAnsi="Times New Roman" w:cs="Times New Roman"/>
          <w:b/>
          <w:bCs/>
          <w:sz w:val="27"/>
          <w:szCs w:val="27"/>
          <w:lang w:eastAsia="en-IN" w:bidi="te-IN"/>
        </w:rPr>
        <w:t>6.2 Managerial Implications</w:t>
      </w:r>
    </w:p>
    <w:p w14:paraId="2182B9EC" w14:textId="77777777"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For managers and organizational leaders, the findings emphasize that hybrid work success depends on intentional design. Organizations should adopt outcome-based performance evaluation, establish clear norms around availability, and invest in leadership development focused on trust and empathy. Providing employees with guidance and training on boundary management and digital well-being can further enhance work–life balance outcomes.</w:t>
      </w:r>
    </w:p>
    <w:p w14:paraId="2F2369E1" w14:textId="77777777" w:rsidR="009F6BC5" w:rsidRPr="009F6BC5" w:rsidRDefault="009F6BC5" w:rsidP="009F6BC5">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Hybrid work policies should be inclusive and transparent to prevent visibility bias and inequity. Regular review of workload distribution and employee well-being indicators is essential to ensure that flexibility does not translate into overwork.</w:t>
      </w:r>
    </w:p>
    <w:p w14:paraId="7CA199BA" w14:textId="77777777" w:rsidR="009F6BC5" w:rsidRPr="009F6BC5" w:rsidRDefault="009F6BC5" w:rsidP="009F6BC5">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9F6BC5">
        <w:rPr>
          <w:rFonts w:ascii="Times New Roman" w:eastAsia="Times New Roman" w:hAnsi="Times New Roman" w:cs="Times New Roman"/>
          <w:b/>
          <w:bCs/>
          <w:sz w:val="27"/>
          <w:szCs w:val="27"/>
          <w:lang w:eastAsia="en-IN" w:bidi="te-IN"/>
        </w:rPr>
        <w:t>6.3 Policy Implications</w:t>
      </w:r>
    </w:p>
    <w:p w14:paraId="591EEB3F" w14:textId="4B88F21D" w:rsidR="009F6BC5" w:rsidRPr="009F6BC5" w:rsidRDefault="009F6BC5" w:rsidP="00510C8E">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9F6BC5">
        <w:rPr>
          <w:rFonts w:ascii="Times New Roman" w:eastAsia="Times New Roman" w:hAnsi="Times New Roman" w:cs="Times New Roman"/>
          <w:sz w:val="24"/>
          <w:szCs w:val="24"/>
          <w:lang w:eastAsia="en-IN" w:bidi="te-IN"/>
        </w:rPr>
        <w:t>From a policy perspective, the findings support the need for regulatory frameworks that protect employee well-being in digitally mediated work environments. Right-to-disconnect legislation, guidelines on flexible work implementation, and investments in digital infrastructure can help ensure that the benefits of remote and hybrid work are broadly and equitably distributed.</w:t>
      </w:r>
      <w:r w:rsidR="00C640CE">
        <w:rPr>
          <w:noProof/>
        </w:rPr>
        <w:pict w14:anchorId="7F8BB250">
          <v:rect id="_x0000_s1026" style="position:absolute;left:0;text-align:left;margin-left:0;margin-top:0;width:3276.75pt;height:.1pt;z-index:251659264;mso-position-horizontal:left;mso-position-horizontal-relative:text;mso-position-vertical-relative:text" o:hralign="center" o:hrstd="t" o:hr="t" fillcolor="#a0a0a0" stroked="f">
            <w10:wrap type="square" side="right"/>
          </v:rect>
        </w:pict>
      </w:r>
      <w:r w:rsidR="00510C8E">
        <w:rPr>
          <w:rFonts w:ascii="Times New Roman" w:eastAsia="Times New Roman" w:hAnsi="Times New Roman" w:cs="Times New Roman"/>
          <w:sz w:val="24"/>
          <w:szCs w:val="24"/>
          <w:lang w:eastAsia="en-IN" w:bidi="te-IN"/>
        </w:rPr>
        <w:br w:type="textWrapping" w:clear="all"/>
      </w:r>
    </w:p>
    <w:p w14:paraId="1233AE4D" w14:textId="5E634C6E" w:rsidR="009F6BC5" w:rsidRPr="001B46E0" w:rsidRDefault="007820F8" w:rsidP="009F6BC5">
      <w:pPr>
        <w:spacing w:before="100" w:beforeAutospacing="1" w:after="100" w:afterAutospacing="1" w:line="240" w:lineRule="auto"/>
        <w:jc w:val="both"/>
        <w:outlineLvl w:val="1"/>
        <w:rPr>
          <w:rFonts w:ascii="Times New Roman" w:eastAsia="Times New Roman" w:hAnsi="Times New Roman" w:cs="Times New Roman"/>
          <w:b/>
          <w:bCs/>
          <w:sz w:val="32"/>
          <w:szCs w:val="32"/>
          <w:lang w:eastAsia="en-IN" w:bidi="te-IN"/>
        </w:rPr>
      </w:pPr>
      <w:r w:rsidRPr="001B46E0">
        <w:rPr>
          <w:rFonts w:ascii="Times New Roman" w:eastAsia="Times New Roman" w:hAnsi="Times New Roman" w:cs="Times New Roman"/>
          <w:b/>
          <w:bCs/>
          <w:sz w:val="32"/>
          <w:szCs w:val="32"/>
          <w:lang w:eastAsia="en-IN" w:bidi="te-IN"/>
        </w:rPr>
        <w:t>7</w:t>
      </w:r>
      <w:r w:rsidRPr="001B46E0">
        <w:rPr>
          <w:rFonts w:ascii="Times New Roman" w:eastAsia="Times New Roman" w:hAnsi="Times New Roman" w:cs="Times New Roman"/>
          <w:b/>
          <w:bCs/>
          <w:sz w:val="28"/>
          <w:szCs w:val="28"/>
          <w:lang w:eastAsia="en-IN" w:bidi="te-IN"/>
        </w:rPr>
        <w:t>.</w:t>
      </w:r>
      <w:r w:rsidR="009F6BC5" w:rsidRPr="001B46E0">
        <w:rPr>
          <w:rFonts w:ascii="Times New Roman" w:eastAsia="Times New Roman" w:hAnsi="Times New Roman" w:cs="Times New Roman"/>
          <w:b/>
          <w:bCs/>
          <w:sz w:val="28"/>
          <w:szCs w:val="28"/>
          <w:lang w:eastAsia="en-IN" w:bidi="te-IN"/>
        </w:rPr>
        <w:t>Future Research Directions</w:t>
      </w:r>
    </w:p>
    <w:p w14:paraId="215ED331" w14:textId="77777777" w:rsidR="00506646" w:rsidRPr="00506646" w:rsidRDefault="009F6BC5" w:rsidP="00506646">
      <w:pPr>
        <w:pStyle w:val="NormalWeb"/>
        <w:jc w:val="both"/>
      </w:pPr>
      <w:proofErr w:type="gramStart"/>
      <w:r w:rsidRPr="009F6BC5">
        <w:t>.</w:t>
      </w:r>
      <w:r w:rsidR="00506646" w:rsidRPr="00506646">
        <w:t>Despite</w:t>
      </w:r>
      <w:proofErr w:type="gramEnd"/>
      <w:r w:rsidR="00506646" w:rsidRPr="00506646">
        <w:t xml:space="preserve"> the rapid growth of scholarship on remote and hybrid work, the synthesis presented in this manuscript reveals substantial theoretical, empirical, and methodological gaps that warrant further investigation. As work arrangements continue to evolve, future research must move beyond descriptive accounts and short-term assessments to develop deeper, context-sensitive, and forward-looking insights into work–life balance in digitally mediated work environments. This section outlines key directions for future research across conceptual, methodological, contextual, and practical dimensions.</w:t>
      </w:r>
    </w:p>
    <w:p w14:paraId="4DD8CE13" w14:textId="77777777" w:rsidR="00506646" w:rsidRPr="00506646" w:rsidRDefault="00506646" w:rsidP="0050664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506646">
        <w:rPr>
          <w:rFonts w:ascii="Times New Roman" w:eastAsia="Times New Roman" w:hAnsi="Times New Roman" w:cs="Times New Roman"/>
          <w:b/>
          <w:bCs/>
          <w:sz w:val="27"/>
          <w:szCs w:val="27"/>
          <w:lang w:eastAsia="en-IN" w:bidi="te-IN"/>
        </w:rPr>
        <w:t>7.1 Advancing Conceptual and Theoretical Perspectives</w:t>
      </w:r>
    </w:p>
    <w:p w14:paraId="11668F7D"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Future research should further refine the conceptualization of work–life balance in remote and hybrid work contexts. While existing studies have largely relied on traditional work–family conflict or enrichment frameworks, these constructs may not fully capture the complexity of digitally enabled work. Scholars could develop more nuanced models that explicitly incorporate digital boundary permeability, asynchronous work, algorithmic management, and data-driven performance monitoring. Integrating emerging theories from digital sociology and platform work research may provide valuable insights into how technology reshapes control, autonomy, and identity at work.</w:t>
      </w:r>
    </w:p>
    <w:p w14:paraId="269B670F"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 xml:space="preserve">Additionally, hybrid work should be theorized as a heterogeneous set of configurations rather than a single category. Future studies can examine how specific design features—such as the degree of schedule autonomy, mandatory office days, team-level coordination norms, and managerial discretion—interact to shape work–life balance outcomes. Process-oriented </w:t>
      </w:r>
      <w:r w:rsidRPr="00506646">
        <w:rPr>
          <w:rFonts w:ascii="Times New Roman" w:eastAsia="Times New Roman" w:hAnsi="Times New Roman" w:cs="Times New Roman"/>
          <w:sz w:val="24"/>
          <w:szCs w:val="24"/>
          <w:lang w:eastAsia="en-IN" w:bidi="te-IN"/>
        </w:rPr>
        <w:lastRenderedPageBreak/>
        <w:t>theorizing that captures how balance is continuously negotiated over time would significantly advance current static models.</w:t>
      </w:r>
    </w:p>
    <w:p w14:paraId="32CD6A37" w14:textId="77777777" w:rsidR="00506646" w:rsidRPr="00506646" w:rsidRDefault="00506646" w:rsidP="0050664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506646">
        <w:rPr>
          <w:rFonts w:ascii="Times New Roman" w:eastAsia="Times New Roman" w:hAnsi="Times New Roman" w:cs="Times New Roman"/>
          <w:b/>
          <w:bCs/>
          <w:sz w:val="27"/>
          <w:szCs w:val="27"/>
          <w:lang w:eastAsia="en-IN" w:bidi="te-IN"/>
        </w:rPr>
        <w:t>7.2 Longitudinal and Dynamic Research Designs</w:t>
      </w:r>
    </w:p>
    <w:p w14:paraId="0D708990"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A major limitation of existing research is its reliance on cross-sectional designs, which provide only a snapshot of employee experiences. Future studies should employ longitudinal designs to examine how work–life balance evolves as employees and organizations adapt to remote and hybrid work. Such research could explore adaptation trajectories, identifying when initial gains in flexibility give way to work intensification or, conversely, when employees develop effective boundary management strategies.</w:t>
      </w:r>
    </w:p>
    <w:p w14:paraId="315A1B07"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Experience sampling and diary methods offer particularly promising avenues for capturing daily fluctuations in boundary management, technostress, and recovery. These approaches can illuminate micro-level processes that aggregate into longer-term outcomes, providing richer insights into the temporal dynamics of work–life balance.</w:t>
      </w:r>
    </w:p>
    <w:p w14:paraId="68CB9A7B" w14:textId="77777777" w:rsidR="00506646" w:rsidRPr="00506646" w:rsidRDefault="00506646" w:rsidP="0050664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506646">
        <w:rPr>
          <w:rFonts w:ascii="Times New Roman" w:eastAsia="Times New Roman" w:hAnsi="Times New Roman" w:cs="Times New Roman"/>
          <w:b/>
          <w:bCs/>
          <w:sz w:val="27"/>
          <w:szCs w:val="27"/>
          <w:lang w:eastAsia="en-IN" w:bidi="te-IN"/>
        </w:rPr>
        <w:t>7.3 Methodological Pluralism and Mixed-Methods Approaches</w:t>
      </w:r>
    </w:p>
    <w:p w14:paraId="65F250B3"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Future research would benefit from greater methodological pluralism. While quantitative surveys have generated valuable insights, they often fail to capture the lived experiences and contextual nuances of remote and hybrid work. Qualitative methods such as in-depth interviews, ethnographies, and virtual workplace observations can deepen understanding of how employees interpret and navigate flexible work arrangements.</w:t>
      </w:r>
    </w:p>
    <w:p w14:paraId="1C0ED213"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Mixed-methods designs that combine large-scale surveys with qualitative inquiry are particularly well suited to uncovering mechanisms underlying observed relationships. For example, qualitative data can help explain why similar levels of autonomy produce divergent work–life balance outcomes across individuals or teams. Such approaches align well with calls for more interpretive and context-rich research in management studies.</w:t>
      </w:r>
    </w:p>
    <w:p w14:paraId="7F9DDDB8" w14:textId="77777777" w:rsidR="00506646" w:rsidRPr="00506646" w:rsidRDefault="00506646" w:rsidP="0050664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506646">
        <w:rPr>
          <w:rFonts w:ascii="Times New Roman" w:eastAsia="Times New Roman" w:hAnsi="Times New Roman" w:cs="Times New Roman"/>
          <w:b/>
          <w:bCs/>
          <w:sz w:val="27"/>
          <w:szCs w:val="27"/>
          <w:lang w:eastAsia="en-IN" w:bidi="te-IN"/>
        </w:rPr>
        <w:t>7.4 Underexplored Populations and Occupational Contexts</w:t>
      </w:r>
    </w:p>
    <w:p w14:paraId="664FCC3C"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Much of the existing literature focuses on knowledge workers in large organizations within developed economies. Future research should expand its scope to include underrepresented occupational groups, such as frontline service employees, gig and contract workers, educators, healthcare professionals, and employees in small and medium enterprises. These groups may experience remote and hybrid work differently due to task interdependence, resource constraints, and regulatory environments.</w:t>
      </w:r>
    </w:p>
    <w:p w14:paraId="1E5B0552"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Moreover, greater attention should be paid to intersectional factors such as gender, age, caregiving responsibilities, disability, and socioeconomic status. Intersectional analyses can reveal how multiple identities and structural conditions interact to shape work–life balance, moving the field beyond one-size-fits-all conclusions.</w:t>
      </w:r>
    </w:p>
    <w:p w14:paraId="24E7E75E" w14:textId="77777777" w:rsidR="00506646" w:rsidRPr="00506646" w:rsidRDefault="00506646" w:rsidP="0050664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506646">
        <w:rPr>
          <w:rFonts w:ascii="Times New Roman" w:eastAsia="Times New Roman" w:hAnsi="Times New Roman" w:cs="Times New Roman"/>
          <w:b/>
          <w:bCs/>
          <w:sz w:val="27"/>
          <w:szCs w:val="27"/>
          <w:lang w:eastAsia="en-IN" w:bidi="te-IN"/>
        </w:rPr>
        <w:t>7.5 Cross-Cultural and Emerging Economy Perspectives</w:t>
      </w:r>
    </w:p>
    <w:p w14:paraId="6FA3CD0C"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 xml:space="preserve">Future research should adopt a stronger cross-cultural lens to examine how national institutions, cultural norms, and </w:t>
      </w:r>
      <w:proofErr w:type="spellStart"/>
      <w:r w:rsidRPr="00506646">
        <w:rPr>
          <w:rFonts w:ascii="Times New Roman" w:eastAsia="Times New Roman" w:hAnsi="Times New Roman" w:cs="Times New Roman"/>
          <w:sz w:val="24"/>
          <w:szCs w:val="24"/>
          <w:lang w:eastAsia="en-IN" w:bidi="te-IN"/>
        </w:rPr>
        <w:t>labor</w:t>
      </w:r>
      <w:proofErr w:type="spellEnd"/>
      <w:r w:rsidRPr="00506646">
        <w:rPr>
          <w:rFonts w:ascii="Times New Roman" w:eastAsia="Times New Roman" w:hAnsi="Times New Roman" w:cs="Times New Roman"/>
          <w:sz w:val="24"/>
          <w:szCs w:val="24"/>
          <w:lang w:eastAsia="en-IN" w:bidi="te-IN"/>
        </w:rPr>
        <w:t xml:space="preserve"> market regulations shape remote and hybrid work </w:t>
      </w:r>
      <w:r w:rsidRPr="00506646">
        <w:rPr>
          <w:rFonts w:ascii="Times New Roman" w:eastAsia="Times New Roman" w:hAnsi="Times New Roman" w:cs="Times New Roman"/>
          <w:sz w:val="24"/>
          <w:szCs w:val="24"/>
          <w:lang w:eastAsia="en-IN" w:bidi="te-IN"/>
        </w:rPr>
        <w:lastRenderedPageBreak/>
        <w:t>experiences. Comparative studies across countries can illuminate how differences in welfare regimes, working-time regulations, and cultural expectations influence work–life balance outcomes.</w:t>
      </w:r>
    </w:p>
    <w:p w14:paraId="79FE45A2"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In particular, research in emerging economies remains limited despite the rapid adoption of remote work in these contexts. Studies focusing on infrastructural constraints, multigenerational households, informal work practices, and extended family roles can provide valuable insights that challenge assumptions derived from Western contexts. Such research would enhance the global relevance and inclusivity of work–life balance scholarship.</w:t>
      </w:r>
    </w:p>
    <w:p w14:paraId="2AC256DB" w14:textId="77777777" w:rsidR="00506646" w:rsidRPr="00506646" w:rsidRDefault="00506646" w:rsidP="0050664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506646">
        <w:rPr>
          <w:rFonts w:ascii="Times New Roman" w:eastAsia="Times New Roman" w:hAnsi="Times New Roman" w:cs="Times New Roman"/>
          <w:b/>
          <w:bCs/>
          <w:sz w:val="27"/>
          <w:szCs w:val="27"/>
          <w:lang w:eastAsia="en-IN" w:bidi="te-IN"/>
        </w:rPr>
        <w:t>7.6 Technology, AI, and the Future of Hybrid Work</w:t>
      </w:r>
    </w:p>
    <w:p w14:paraId="7C8AE4E6"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As organizations increasingly adopt artificial intelligence, automation, and advanced analytics, future research should examine how these technologies intersect with remote and hybrid work to influence work–life balance. AI-enabled monitoring, scheduling, and performance management tools may alter perceptions of autonomy and control, with important implications for well-being.</w:t>
      </w:r>
    </w:p>
    <w:p w14:paraId="777C477C"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Scholars should investigate how algorithmic decision-making affects boundary management, trust, and stress in remote work environments. Research exploring employee agency in negotiating the use of such technologies will be particularly important for understanding sustainable digital work design.</w:t>
      </w:r>
    </w:p>
    <w:p w14:paraId="75CF4AAB" w14:textId="77777777" w:rsidR="00506646" w:rsidRPr="00506646" w:rsidRDefault="00506646" w:rsidP="0050664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506646">
        <w:rPr>
          <w:rFonts w:ascii="Times New Roman" w:eastAsia="Times New Roman" w:hAnsi="Times New Roman" w:cs="Times New Roman"/>
          <w:b/>
          <w:bCs/>
          <w:sz w:val="27"/>
          <w:szCs w:val="27"/>
          <w:lang w:eastAsia="en-IN" w:bidi="te-IN"/>
        </w:rPr>
        <w:t>7.7 Organizational Interventions and Policy Evaluation</w:t>
      </w:r>
    </w:p>
    <w:p w14:paraId="2C706E3F"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Future studies should move beyond correlational analyses to evaluate the effectiveness of organizational and policy interventions aimed at improving work–life balance. Experimental and quasi-experimental designs can assess the impact of initiatives such as right-to-disconnect policies, flexible scheduling guidelines, leadership training programs, and digital well-being interventions.</w:t>
      </w:r>
    </w:p>
    <w:p w14:paraId="70421E8E"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 xml:space="preserve">Policy-oriented research is also needed to examine how </w:t>
      </w:r>
      <w:proofErr w:type="spellStart"/>
      <w:r w:rsidRPr="00506646">
        <w:rPr>
          <w:rFonts w:ascii="Times New Roman" w:eastAsia="Times New Roman" w:hAnsi="Times New Roman" w:cs="Times New Roman"/>
          <w:sz w:val="24"/>
          <w:szCs w:val="24"/>
          <w:lang w:eastAsia="en-IN" w:bidi="te-IN"/>
        </w:rPr>
        <w:t>labor</w:t>
      </w:r>
      <w:proofErr w:type="spellEnd"/>
      <w:r w:rsidRPr="00506646">
        <w:rPr>
          <w:rFonts w:ascii="Times New Roman" w:eastAsia="Times New Roman" w:hAnsi="Times New Roman" w:cs="Times New Roman"/>
          <w:sz w:val="24"/>
          <w:szCs w:val="24"/>
          <w:lang w:eastAsia="en-IN" w:bidi="te-IN"/>
        </w:rPr>
        <w:t xml:space="preserve"> regulations and organizational practices interact in shaping work–life balance outcomes. Evaluating policy implementation across organizational contexts can provide evidence-based guidance for managers and policymakers navigating the future of work.</w:t>
      </w:r>
    </w:p>
    <w:p w14:paraId="339B2C37" w14:textId="77777777" w:rsidR="00506646" w:rsidRPr="00506646" w:rsidRDefault="00506646" w:rsidP="00506646">
      <w:pPr>
        <w:spacing w:before="100" w:beforeAutospacing="1" w:after="100" w:afterAutospacing="1" w:line="240" w:lineRule="auto"/>
        <w:jc w:val="both"/>
        <w:outlineLvl w:val="2"/>
        <w:rPr>
          <w:rFonts w:ascii="Times New Roman" w:eastAsia="Times New Roman" w:hAnsi="Times New Roman" w:cs="Times New Roman"/>
          <w:b/>
          <w:bCs/>
          <w:sz w:val="27"/>
          <w:szCs w:val="27"/>
          <w:lang w:eastAsia="en-IN" w:bidi="te-IN"/>
        </w:rPr>
      </w:pPr>
      <w:r w:rsidRPr="00506646">
        <w:rPr>
          <w:rFonts w:ascii="Times New Roman" w:eastAsia="Times New Roman" w:hAnsi="Times New Roman" w:cs="Times New Roman"/>
          <w:b/>
          <w:bCs/>
          <w:sz w:val="27"/>
          <w:szCs w:val="27"/>
          <w:lang w:eastAsia="en-IN" w:bidi="te-IN"/>
        </w:rPr>
        <w:t>7.8 Toward a Research Agenda for Sustainable Work</w:t>
      </w:r>
    </w:p>
    <w:p w14:paraId="62FC12EB" w14:textId="77777777" w:rsidR="00506646" w:rsidRPr="00506646" w:rsidRDefault="00506646" w:rsidP="00506646">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Finally, future research should situate work–life balance within the broader discourse on sustainable work and decent employment. Scholars can explore how remote and hybrid work contribute to or detract from long-term employee well-being, organizational resilience, and societal sustainability. Integrating work–life balance with constructs such as meaningful work, career sustainability, and mental health can help build a more holistic understanding of contemporary work systems.</w:t>
      </w:r>
    </w:p>
    <w:p w14:paraId="7345F899" w14:textId="25651971" w:rsidR="009F6BC5" w:rsidRPr="009F6BC5" w:rsidRDefault="00506646" w:rsidP="00510C8E">
      <w:pPr>
        <w:spacing w:before="100" w:beforeAutospacing="1" w:after="100" w:afterAutospacing="1" w:line="240" w:lineRule="auto"/>
        <w:jc w:val="both"/>
        <w:rPr>
          <w:rFonts w:ascii="Times New Roman" w:eastAsia="Times New Roman" w:hAnsi="Times New Roman" w:cs="Times New Roman"/>
          <w:sz w:val="24"/>
          <w:szCs w:val="24"/>
          <w:lang w:eastAsia="en-IN" w:bidi="te-IN"/>
        </w:rPr>
      </w:pPr>
      <w:r w:rsidRPr="00506646">
        <w:rPr>
          <w:rFonts w:ascii="Times New Roman" w:eastAsia="Times New Roman" w:hAnsi="Times New Roman" w:cs="Times New Roman"/>
          <w:sz w:val="24"/>
          <w:szCs w:val="24"/>
          <w:lang w:eastAsia="en-IN" w:bidi="te-IN"/>
        </w:rPr>
        <w:t xml:space="preserve">In sum, future research on remote and hybrid work must embrace conceptual innovation, methodological diversity, and contextual sensitivity. By addressing these directions, scholars can generate insights that not only advance theory but also inform the design of equitable, resilient, and </w:t>
      </w:r>
      <w:r w:rsidR="007820F8">
        <w:rPr>
          <w:rFonts w:ascii="Times New Roman" w:eastAsia="Times New Roman" w:hAnsi="Times New Roman" w:cs="Times New Roman"/>
          <w:sz w:val="24"/>
          <w:szCs w:val="24"/>
          <w:lang w:eastAsia="en-IN" w:bidi="te-IN"/>
        </w:rPr>
        <w:t>human-centred</w:t>
      </w:r>
      <w:r w:rsidRPr="00506646">
        <w:rPr>
          <w:rFonts w:ascii="Times New Roman" w:eastAsia="Times New Roman" w:hAnsi="Times New Roman" w:cs="Times New Roman"/>
          <w:sz w:val="24"/>
          <w:szCs w:val="24"/>
          <w:lang w:eastAsia="en-IN" w:bidi="te-IN"/>
        </w:rPr>
        <w:t xml:space="preserve"> work arrangements.</w:t>
      </w:r>
    </w:p>
    <w:p w14:paraId="0B9FFFF2" w14:textId="77777777" w:rsidR="0097091E" w:rsidRPr="007820F8" w:rsidRDefault="009F6BC5" w:rsidP="0097091E">
      <w:pPr>
        <w:pStyle w:val="NormalWeb"/>
        <w:rPr>
          <w:b/>
          <w:bCs/>
          <w:sz w:val="32"/>
          <w:szCs w:val="32"/>
        </w:rPr>
      </w:pPr>
      <w:r w:rsidRPr="007820F8">
        <w:rPr>
          <w:b/>
          <w:bCs/>
          <w:sz w:val="32"/>
          <w:szCs w:val="32"/>
        </w:rPr>
        <w:lastRenderedPageBreak/>
        <w:t>8. Conclusion</w:t>
      </w:r>
    </w:p>
    <w:p w14:paraId="0D13AE6A" w14:textId="6C0B6148" w:rsidR="0097091E" w:rsidRDefault="0097091E" w:rsidP="0097091E">
      <w:pPr>
        <w:pStyle w:val="NormalWeb"/>
        <w:jc w:val="both"/>
      </w:pPr>
      <w:r>
        <w:t>This study provides a comprehensive synthesis of existing research on remote and hybrid work models and their implications for work–life balance. By integrating findings from 48 peer-reviewed journal articles and situating them within theoretical frameworks such as boundary theory, self-determination theory, and socio-technical systems theory, the study offers both conceptual clarity and practical relevance. The review underscores that work–life balance in contemporary work arrangements is a dynamic, negotiated process influenced by multiple interacting factors at the individual, organizational, and societal levels.</w:t>
      </w:r>
    </w:p>
    <w:p w14:paraId="4716C0E5" w14:textId="77777777" w:rsidR="0097091E" w:rsidRDefault="0097091E" w:rsidP="0097091E">
      <w:pPr>
        <w:pStyle w:val="NormalWeb"/>
        <w:jc w:val="both"/>
      </w:pPr>
      <w:r>
        <w:t>A central conclusion is that flexibility and autonomy, while often touted as benefits of remote and hybrid work, are not inherently sufficient to ensure positive work–life balance outcomes. The effectiveness of these arrangements depends on the quality of boundary management, organizational support, leadership practices, and technology governance. Employees experience divergent outcomes depending on their preferences for segmentation versus integration, their caregiving responsibilities, job demands, and access to supportive infrastructures. These nuances highlight the need to move beyond simplistic narratives that equate remote work with enhanced well-being.</w:t>
      </w:r>
    </w:p>
    <w:p w14:paraId="4EF2E75C" w14:textId="203ED8D1" w:rsidR="0097091E" w:rsidRDefault="0097091E" w:rsidP="0097091E">
      <w:pPr>
        <w:pStyle w:val="NormalWeb"/>
        <w:jc w:val="both"/>
      </w:pPr>
      <w:r>
        <w:t xml:space="preserve">Hybrid work arrangements, in particular, present a complex mix of opportunities and challenges. While they offer the potential to combine the autonomy of remote work with the social and structural support of in-person work, hybrid models require deliberate design, clear communication norms, and equity-sensitive management practices. Without such considerations, hybrid work may inadvertently exacerbate inequalities, create coordination challenges, and heighten ambiguity regarding performance expectations. Future </w:t>
      </w:r>
      <w:r w:rsidR="007820F8">
        <w:t>organisational</w:t>
      </w:r>
      <w:r>
        <w:t xml:space="preserve"> strategies should therefore focus on intentional design and governance rather than assuming flexibility alone guarantees improved balance.</w:t>
      </w:r>
    </w:p>
    <w:p w14:paraId="57A289EA" w14:textId="2C58A3FB" w:rsidR="0097091E" w:rsidRDefault="0097091E" w:rsidP="0097091E">
      <w:pPr>
        <w:pStyle w:val="NormalWeb"/>
        <w:jc w:val="both"/>
      </w:pPr>
      <w:r>
        <w:t xml:space="preserve">The study also </w:t>
      </w:r>
      <w:r w:rsidR="007820F8">
        <w:t>emphasises</w:t>
      </w:r>
      <w:r>
        <w:t xml:space="preserve"> the dual-edged role of technology in shaping work–life balance. Digital communication tools enable connectivity and coordination but can also contribute to technostress, blurred boundaries, and diminished recovery opportunities. </w:t>
      </w:r>
      <w:r w:rsidR="007820F8">
        <w:t>Organisations</w:t>
      </w:r>
      <w:r>
        <w:t xml:space="preserve"> that establish clear norms around digital communication, encourage disconnection, and provide resources for managing technology use are better positioned to support employee well-being. Leadership plays a pivotal role in </w:t>
      </w:r>
      <w:r w:rsidR="007820F8">
        <w:t>modelling</w:t>
      </w:r>
      <w:r>
        <w:t xml:space="preserve"> appropriate </w:t>
      </w:r>
      <w:r w:rsidR="007820F8">
        <w:t>behaviour</w:t>
      </w:r>
      <w:r>
        <w:t xml:space="preserve">, </w:t>
      </w:r>
      <w:r w:rsidR="007820F8">
        <w:t>legitimising</w:t>
      </w:r>
      <w:r>
        <w:t xml:space="preserve"> boundary-setting, and fostering trust-based relationships, which collectively contribute to sustainable work practices.</w:t>
      </w:r>
    </w:p>
    <w:p w14:paraId="1191B984" w14:textId="4D73434F" w:rsidR="0097091E" w:rsidRDefault="0097091E" w:rsidP="0097091E">
      <w:pPr>
        <w:pStyle w:val="NormalWeb"/>
        <w:jc w:val="both"/>
      </w:pPr>
      <w:r>
        <w:t xml:space="preserve">Another key conclusion is the importance of considering differential experiences across diverse employee groups. Gender, caregiving responsibilities, occupational roles, socioeconomic conditions, and workspace constraints significantly influence the capacity to benefit from remote and hybrid arrangements. Without attention to these factors, policies may inadvertently </w:t>
      </w:r>
      <w:r w:rsidR="007820F8">
        <w:t>favour</w:t>
      </w:r>
      <w:r>
        <w:t xml:space="preserve"> certain groups while </w:t>
      </w:r>
      <w:r w:rsidR="007820F8">
        <w:t>marginalising</w:t>
      </w:r>
      <w:r>
        <w:t xml:space="preserve"> others. This calls for equity-oriented approaches that account for the heterogeneity of employee needs and circumstances.</w:t>
      </w:r>
    </w:p>
    <w:p w14:paraId="1E86B8D3" w14:textId="77777777" w:rsidR="0097091E" w:rsidRDefault="0097091E" w:rsidP="0097091E">
      <w:pPr>
        <w:pStyle w:val="NormalWeb"/>
        <w:jc w:val="both"/>
      </w:pPr>
      <w:r>
        <w:t>The conceptual integration presented in this study extends existing theory by providing a multi-level framework that captures the interactions between individual agency, technological infrastructures, and organizational systems. This framework not only synthesizes prior research but also serves as a foundation for future empirical and conceptual studies. It underscores the importance of process-oriented research that examines how work–life balance is negotiated over time, rather than relying solely on cross-sectional or static models.</w:t>
      </w:r>
    </w:p>
    <w:p w14:paraId="316D2F26" w14:textId="77777777" w:rsidR="0097091E" w:rsidRDefault="0097091E" w:rsidP="0097091E">
      <w:pPr>
        <w:pStyle w:val="NormalWeb"/>
        <w:jc w:val="both"/>
      </w:pPr>
      <w:r>
        <w:lastRenderedPageBreak/>
        <w:t>From a practical perspective, the findings suggest that organizations should adopt a holistic approach to designing remote and hybrid work arrangements. Key recommendations include developing clear and equitable policies, providing training for managers and employees on boundary management, investing in digital well-being tools, and continuously monitoring the impact of work arrangements on employee well-being. Such proactive strategies are essential for realizing the potential benefits of flexible work while mitigating unintended negative consequences.</w:t>
      </w:r>
    </w:p>
    <w:p w14:paraId="44B69CFF" w14:textId="77777777" w:rsidR="0097091E" w:rsidRDefault="0097091E" w:rsidP="0097091E">
      <w:pPr>
        <w:pStyle w:val="NormalWeb"/>
        <w:jc w:val="both"/>
      </w:pPr>
      <w:r>
        <w:t xml:space="preserve">The study also has broader implications for policy and </w:t>
      </w:r>
      <w:proofErr w:type="spellStart"/>
      <w:r>
        <w:t>labor</w:t>
      </w:r>
      <w:proofErr w:type="spellEnd"/>
      <w:r>
        <w:t xml:space="preserve"> regulations. Governments and industry bodies can play a role in promoting sustainable work practices by providing guidelines for flexible work, supporting the implementation of right-to-disconnect policies, and fostering awareness of equity issues. Aligning organizational practices with supportive policy frameworks enhances both individual well-being and societal productivity.</w:t>
      </w:r>
    </w:p>
    <w:p w14:paraId="2CB1B476" w14:textId="77777777" w:rsidR="0097091E" w:rsidRDefault="0097091E" w:rsidP="0097091E">
      <w:pPr>
        <w:pStyle w:val="NormalWeb"/>
        <w:jc w:val="both"/>
      </w:pPr>
      <w:r>
        <w:t>Finally, the study highlights the need for ongoing research to address remaining gaps, including the long-term effects of remote and hybrid work, cross-cultural differences, underrepresented occupational groups, and the influence of emerging technologies such as AI and automation. By pursuing these research directions, scholars can contribute to more nuanced, evidence-based guidance for organizations, policymakers, and employees navigating the evolving landscape of work.</w:t>
      </w:r>
    </w:p>
    <w:p w14:paraId="4E2EEFED" w14:textId="0095218F" w:rsidR="00E645F6" w:rsidRPr="009F6BC5" w:rsidRDefault="0097091E" w:rsidP="0097091E">
      <w:pPr>
        <w:pStyle w:val="NormalWeb"/>
        <w:jc w:val="both"/>
      </w:pPr>
      <w:r>
        <w:t>In conclusion, remote and hybrid work models present both significant opportunities and complex challenges for work–life balance. Achieving sustainable positive outcomes requires an integrative approach that combines flexibility with clear boundaries, supportive leadership, equitable policies, and mindful use of technology. This study provides a comprehensive conceptual and evidence-based foundation for understanding and managing work–life balance in the 21st-century workplace, offering guidance for both scholars and practitioners seeking to foster well-being, productivity, and organizational resilience in increasingly digital and flexible work environments.</w:t>
      </w:r>
    </w:p>
    <w:p w14:paraId="0CFE3F83" w14:textId="77777777" w:rsidR="00B719D4" w:rsidRDefault="00B719D4" w:rsidP="00B719D4">
      <w:pPr>
        <w:spacing w:before="100" w:beforeAutospacing="1" w:after="100" w:afterAutospacing="1" w:line="240" w:lineRule="auto"/>
        <w:outlineLvl w:val="1"/>
        <w:rPr>
          <w:rFonts w:ascii="Times New Roman" w:eastAsia="Times New Roman" w:hAnsi="Times New Roman" w:cs="Times New Roman"/>
          <w:b/>
          <w:bCs/>
          <w:sz w:val="36"/>
          <w:szCs w:val="36"/>
          <w:lang w:eastAsia="en-IN" w:bidi="te-IN"/>
        </w:rPr>
      </w:pPr>
      <w:r w:rsidRPr="00B719D4">
        <w:rPr>
          <w:rFonts w:ascii="Times New Roman" w:eastAsia="Times New Roman" w:hAnsi="Times New Roman" w:cs="Times New Roman"/>
          <w:b/>
          <w:bCs/>
          <w:sz w:val="36"/>
          <w:szCs w:val="36"/>
          <w:lang w:eastAsia="en-IN" w:bidi="te-IN"/>
        </w:rPr>
        <w:t>References</w:t>
      </w:r>
    </w:p>
    <w:p w14:paraId="1A398F3F"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Allen, T.D., French, K.A., Dumani, S. and Shockley, K.M. (2020), “A cross-national meta-analysis of work–family conflict”, </w:t>
      </w:r>
      <w:r w:rsidRPr="00AA7BA8">
        <w:rPr>
          <w:rFonts w:ascii="Times New Roman" w:eastAsia="Times New Roman" w:hAnsi="Times New Roman" w:cs="Times New Roman"/>
          <w:i/>
          <w:iCs/>
          <w:sz w:val="24"/>
          <w:szCs w:val="24"/>
          <w:lang w:eastAsia="en-IN" w:bidi="te-IN"/>
        </w:rPr>
        <w:t>Journal of Applied Psychology</w:t>
      </w:r>
      <w:r w:rsidRPr="00AA7BA8">
        <w:rPr>
          <w:rFonts w:ascii="Times New Roman" w:eastAsia="Times New Roman" w:hAnsi="Times New Roman" w:cs="Times New Roman"/>
          <w:sz w:val="24"/>
          <w:szCs w:val="24"/>
          <w:lang w:eastAsia="en-IN" w:bidi="te-IN"/>
        </w:rPr>
        <w:t>, Vol. 105 No. 6, pp. 539–576.</w:t>
      </w:r>
    </w:p>
    <w:p w14:paraId="2D391591"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Allen, T.D., Golden, T.D. and Shockley, K.M. (2015), “How effective is telecommuting? Assessing the status of our scientific findings”, </w:t>
      </w:r>
      <w:r w:rsidRPr="00AA7BA8">
        <w:rPr>
          <w:rFonts w:ascii="Times New Roman" w:eastAsia="Times New Roman" w:hAnsi="Times New Roman" w:cs="Times New Roman"/>
          <w:i/>
          <w:iCs/>
          <w:sz w:val="24"/>
          <w:szCs w:val="24"/>
          <w:lang w:eastAsia="en-IN" w:bidi="te-IN"/>
        </w:rPr>
        <w:t>Psychological Science in the Public Interest</w:t>
      </w:r>
      <w:r w:rsidRPr="00AA7BA8">
        <w:rPr>
          <w:rFonts w:ascii="Times New Roman" w:eastAsia="Times New Roman" w:hAnsi="Times New Roman" w:cs="Times New Roman"/>
          <w:sz w:val="24"/>
          <w:szCs w:val="24"/>
          <w:lang w:eastAsia="en-IN" w:bidi="te-IN"/>
        </w:rPr>
        <w:t>, Vol. 16 No. 2, pp. 40–68.</w:t>
      </w:r>
    </w:p>
    <w:p w14:paraId="01FD1F91"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Ashforth, B.E., Kreiner, G.E. and Fugate, M. (2000), “All in a day’s work: boundaries and micro role transitions”, </w:t>
      </w:r>
      <w:r w:rsidRPr="00AA7BA8">
        <w:rPr>
          <w:rFonts w:ascii="Times New Roman" w:eastAsia="Times New Roman" w:hAnsi="Times New Roman" w:cs="Times New Roman"/>
          <w:i/>
          <w:iCs/>
          <w:sz w:val="24"/>
          <w:szCs w:val="24"/>
          <w:lang w:eastAsia="en-IN" w:bidi="te-IN"/>
        </w:rPr>
        <w:t>Academy of Management Review</w:t>
      </w:r>
      <w:r w:rsidRPr="00AA7BA8">
        <w:rPr>
          <w:rFonts w:ascii="Times New Roman" w:eastAsia="Times New Roman" w:hAnsi="Times New Roman" w:cs="Times New Roman"/>
          <w:sz w:val="24"/>
          <w:szCs w:val="24"/>
          <w:lang w:eastAsia="en-IN" w:bidi="te-IN"/>
        </w:rPr>
        <w:t>, Vol. 25 No. 3, pp. 472–491.</w:t>
      </w:r>
    </w:p>
    <w:p w14:paraId="66B0A084"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Bailey, D.E. and Kurland, N.B. (2002), “A review of telework research: findings, new directions, and lessons for the study of modern work”, </w:t>
      </w:r>
      <w:r w:rsidRPr="00AA7BA8">
        <w:rPr>
          <w:rFonts w:ascii="Times New Roman" w:eastAsia="Times New Roman" w:hAnsi="Times New Roman" w:cs="Times New Roman"/>
          <w:i/>
          <w:iCs/>
          <w:sz w:val="24"/>
          <w:szCs w:val="24"/>
          <w:lang w:eastAsia="en-IN" w:bidi="te-IN"/>
        </w:rPr>
        <w:t xml:space="preserve">Journal of Organizational </w:t>
      </w:r>
      <w:proofErr w:type="spellStart"/>
      <w:r w:rsidRPr="00AA7BA8">
        <w:rPr>
          <w:rFonts w:ascii="Times New Roman" w:eastAsia="Times New Roman" w:hAnsi="Times New Roman" w:cs="Times New Roman"/>
          <w:i/>
          <w:iCs/>
          <w:sz w:val="24"/>
          <w:szCs w:val="24"/>
          <w:lang w:eastAsia="en-IN" w:bidi="te-IN"/>
        </w:rPr>
        <w:t>Behavior</w:t>
      </w:r>
      <w:proofErr w:type="spellEnd"/>
      <w:r w:rsidRPr="00AA7BA8">
        <w:rPr>
          <w:rFonts w:ascii="Times New Roman" w:eastAsia="Times New Roman" w:hAnsi="Times New Roman" w:cs="Times New Roman"/>
          <w:sz w:val="24"/>
          <w:szCs w:val="24"/>
          <w:lang w:eastAsia="en-IN" w:bidi="te-IN"/>
        </w:rPr>
        <w:t>, Vol. 23 No. 4, pp. 383–400.</w:t>
      </w:r>
    </w:p>
    <w:p w14:paraId="210AD38E"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proofErr w:type="spellStart"/>
      <w:r w:rsidRPr="00AA7BA8">
        <w:rPr>
          <w:rFonts w:ascii="Times New Roman" w:eastAsia="Times New Roman" w:hAnsi="Times New Roman" w:cs="Times New Roman"/>
          <w:sz w:val="24"/>
          <w:szCs w:val="24"/>
          <w:lang w:eastAsia="en-IN" w:bidi="te-IN"/>
        </w:rPr>
        <w:t>Belzunegui</w:t>
      </w:r>
      <w:proofErr w:type="spellEnd"/>
      <w:r w:rsidRPr="00AA7BA8">
        <w:rPr>
          <w:rFonts w:ascii="Times New Roman" w:eastAsia="Times New Roman" w:hAnsi="Times New Roman" w:cs="Times New Roman"/>
          <w:sz w:val="24"/>
          <w:szCs w:val="24"/>
          <w:lang w:eastAsia="en-IN" w:bidi="te-IN"/>
        </w:rPr>
        <w:t xml:space="preserve">-Eraso, A. and Erro-Garcés, A. (2020), “Teleworking in the context of the COVID-19 crisis”, </w:t>
      </w:r>
      <w:r w:rsidRPr="00AA7BA8">
        <w:rPr>
          <w:rFonts w:ascii="Times New Roman" w:eastAsia="Times New Roman" w:hAnsi="Times New Roman" w:cs="Times New Roman"/>
          <w:i/>
          <w:iCs/>
          <w:sz w:val="24"/>
          <w:szCs w:val="24"/>
          <w:lang w:eastAsia="en-IN" w:bidi="te-IN"/>
        </w:rPr>
        <w:t>Sustainability</w:t>
      </w:r>
      <w:r w:rsidRPr="00AA7BA8">
        <w:rPr>
          <w:rFonts w:ascii="Times New Roman" w:eastAsia="Times New Roman" w:hAnsi="Times New Roman" w:cs="Times New Roman"/>
          <w:sz w:val="24"/>
          <w:szCs w:val="24"/>
          <w:lang w:eastAsia="en-IN" w:bidi="te-IN"/>
        </w:rPr>
        <w:t>, Vol. 12 No. 9, p. 3662.</w:t>
      </w:r>
    </w:p>
    <w:p w14:paraId="3762B2C6"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lastRenderedPageBreak/>
        <w:t xml:space="preserve">Bloom, N., Liang, J., Roberts, J. and Ying, Z.J. (2015), “Does working from home work? Evidence from a Chinese experiment”, </w:t>
      </w:r>
      <w:r w:rsidRPr="00AA7BA8">
        <w:rPr>
          <w:rFonts w:ascii="Times New Roman" w:eastAsia="Times New Roman" w:hAnsi="Times New Roman" w:cs="Times New Roman"/>
          <w:i/>
          <w:iCs/>
          <w:sz w:val="24"/>
          <w:szCs w:val="24"/>
          <w:lang w:eastAsia="en-IN" w:bidi="te-IN"/>
        </w:rPr>
        <w:t>Quarterly Journal of Economics</w:t>
      </w:r>
      <w:r w:rsidRPr="00AA7BA8">
        <w:rPr>
          <w:rFonts w:ascii="Times New Roman" w:eastAsia="Times New Roman" w:hAnsi="Times New Roman" w:cs="Times New Roman"/>
          <w:sz w:val="24"/>
          <w:szCs w:val="24"/>
          <w:lang w:eastAsia="en-IN" w:bidi="te-IN"/>
        </w:rPr>
        <w:t>, Vol. 130 No. 1, pp. 165–218.</w:t>
      </w:r>
    </w:p>
    <w:p w14:paraId="607114A5"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Clark, S.C. (2000), “Work/family border theory: a new theory of work/family balance”, </w:t>
      </w:r>
      <w:r w:rsidRPr="00AA7BA8">
        <w:rPr>
          <w:rFonts w:ascii="Times New Roman" w:eastAsia="Times New Roman" w:hAnsi="Times New Roman" w:cs="Times New Roman"/>
          <w:i/>
          <w:iCs/>
          <w:sz w:val="24"/>
          <w:szCs w:val="24"/>
          <w:lang w:eastAsia="en-IN" w:bidi="te-IN"/>
        </w:rPr>
        <w:t>Human Relations</w:t>
      </w:r>
      <w:r w:rsidRPr="00AA7BA8">
        <w:rPr>
          <w:rFonts w:ascii="Times New Roman" w:eastAsia="Times New Roman" w:hAnsi="Times New Roman" w:cs="Times New Roman"/>
          <w:sz w:val="24"/>
          <w:szCs w:val="24"/>
          <w:lang w:eastAsia="en-IN" w:bidi="te-IN"/>
        </w:rPr>
        <w:t>, Vol. 53 No. 6, pp. 747–770.</w:t>
      </w:r>
    </w:p>
    <w:p w14:paraId="6D31D90D"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Derks, D. and Bakker, A.B. (2014), “Smartphone use, work–home interference, and burnout: a diary study on the role of recovery”, </w:t>
      </w:r>
      <w:r w:rsidRPr="00AA7BA8">
        <w:rPr>
          <w:rFonts w:ascii="Times New Roman" w:eastAsia="Times New Roman" w:hAnsi="Times New Roman" w:cs="Times New Roman"/>
          <w:i/>
          <w:iCs/>
          <w:sz w:val="24"/>
          <w:szCs w:val="24"/>
          <w:lang w:eastAsia="en-IN" w:bidi="te-IN"/>
        </w:rPr>
        <w:t>Journal of Occupational Health Psychology</w:t>
      </w:r>
      <w:r w:rsidRPr="00AA7BA8">
        <w:rPr>
          <w:rFonts w:ascii="Times New Roman" w:eastAsia="Times New Roman" w:hAnsi="Times New Roman" w:cs="Times New Roman"/>
          <w:sz w:val="24"/>
          <w:szCs w:val="24"/>
          <w:lang w:eastAsia="en-IN" w:bidi="te-IN"/>
        </w:rPr>
        <w:t>, Vol. 19 No. 1, pp. 74–88.</w:t>
      </w:r>
    </w:p>
    <w:p w14:paraId="2C60C322"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Duxbury, L. and Higgins, C. (2012), “Revisiting work–life balance: the rise of work–life conflict”, </w:t>
      </w:r>
      <w:r w:rsidRPr="00AA7BA8">
        <w:rPr>
          <w:rFonts w:ascii="Times New Roman" w:eastAsia="Times New Roman" w:hAnsi="Times New Roman" w:cs="Times New Roman"/>
          <w:i/>
          <w:iCs/>
          <w:sz w:val="24"/>
          <w:szCs w:val="24"/>
          <w:lang w:eastAsia="en-IN" w:bidi="te-IN"/>
        </w:rPr>
        <w:t xml:space="preserve">Journal of Organizational </w:t>
      </w:r>
      <w:proofErr w:type="spellStart"/>
      <w:r w:rsidRPr="00AA7BA8">
        <w:rPr>
          <w:rFonts w:ascii="Times New Roman" w:eastAsia="Times New Roman" w:hAnsi="Times New Roman" w:cs="Times New Roman"/>
          <w:i/>
          <w:iCs/>
          <w:sz w:val="24"/>
          <w:szCs w:val="24"/>
          <w:lang w:eastAsia="en-IN" w:bidi="te-IN"/>
        </w:rPr>
        <w:t>Behavior</w:t>
      </w:r>
      <w:proofErr w:type="spellEnd"/>
      <w:r w:rsidRPr="00AA7BA8">
        <w:rPr>
          <w:rFonts w:ascii="Times New Roman" w:eastAsia="Times New Roman" w:hAnsi="Times New Roman" w:cs="Times New Roman"/>
          <w:sz w:val="24"/>
          <w:szCs w:val="24"/>
          <w:lang w:eastAsia="en-IN" w:bidi="te-IN"/>
        </w:rPr>
        <w:t>, Vol. 33 No. 3, pp. 411–426.</w:t>
      </w:r>
    </w:p>
    <w:p w14:paraId="172AA920"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Felstead, A. and </w:t>
      </w:r>
      <w:proofErr w:type="spellStart"/>
      <w:r w:rsidRPr="00AA7BA8">
        <w:rPr>
          <w:rFonts w:ascii="Times New Roman" w:eastAsia="Times New Roman" w:hAnsi="Times New Roman" w:cs="Times New Roman"/>
          <w:sz w:val="24"/>
          <w:szCs w:val="24"/>
          <w:lang w:eastAsia="en-IN" w:bidi="te-IN"/>
        </w:rPr>
        <w:t>Henseke</w:t>
      </w:r>
      <w:proofErr w:type="spellEnd"/>
      <w:r w:rsidRPr="00AA7BA8">
        <w:rPr>
          <w:rFonts w:ascii="Times New Roman" w:eastAsia="Times New Roman" w:hAnsi="Times New Roman" w:cs="Times New Roman"/>
          <w:sz w:val="24"/>
          <w:szCs w:val="24"/>
          <w:lang w:eastAsia="en-IN" w:bidi="te-IN"/>
        </w:rPr>
        <w:t xml:space="preserve">, G. (2017), “Assessing the growth of remote working and its consequences for effort, well-being and work–life balance”, </w:t>
      </w:r>
      <w:r w:rsidRPr="00AA7BA8">
        <w:rPr>
          <w:rFonts w:ascii="Times New Roman" w:eastAsia="Times New Roman" w:hAnsi="Times New Roman" w:cs="Times New Roman"/>
          <w:i/>
          <w:iCs/>
          <w:sz w:val="24"/>
          <w:szCs w:val="24"/>
          <w:lang w:eastAsia="en-IN" w:bidi="te-IN"/>
        </w:rPr>
        <w:t>New Technology, Work and Employment</w:t>
      </w:r>
      <w:r w:rsidRPr="00AA7BA8">
        <w:rPr>
          <w:rFonts w:ascii="Times New Roman" w:eastAsia="Times New Roman" w:hAnsi="Times New Roman" w:cs="Times New Roman"/>
          <w:sz w:val="24"/>
          <w:szCs w:val="24"/>
          <w:lang w:eastAsia="en-IN" w:bidi="te-IN"/>
        </w:rPr>
        <w:t>, Vol. 32 No. 3, pp. 195–212.</w:t>
      </w:r>
    </w:p>
    <w:p w14:paraId="5AA6E5D3"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Gajendran, R.S. and Harrison, D.A. (2007), “The good, the bad, and the unknown about telecommuting: meta-analysis of psychological mediators and individual consequences”, </w:t>
      </w:r>
      <w:r w:rsidRPr="00AA7BA8">
        <w:rPr>
          <w:rFonts w:ascii="Times New Roman" w:eastAsia="Times New Roman" w:hAnsi="Times New Roman" w:cs="Times New Roman"/>
          <w:i/>
          <w:iCs/>
          <w:sz w:val="24"/>
          <w:szCs w:val="24"/>
          <w:lang w:eastAsia="en-IN" w:bidi="te-IN"/>
        </w:rPr>
        <w:t>Journal of Applied Psychology</w:t>
      </w:r>
      <w:r w:rsidRPr="00AA7BA8">
        <w:rPr>
          <w:rFonts w:ascii="Times New Roman" w:eastAsia="Times New Roman" w:hAnsi="Times New Roman" w:cs="Times New Roman"/>
          <w:sz w:val="24"/>
          <w:szCs w:val="24"/>
          <w:lang w:eastAsia="en-IN" w:bidi="te-IN"/>
        </w:rPr>
        <w:t>, Vol. 92 No. 6, pp. 1524–1541.</w:t>
      </w:r>
    </w:p>
    <w:p w14:paraId="4FCBA824"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Golden, T.D., Veiga, J.F. and Simsek, Z. (2006), “Telecommuting’s differential impact on work–family conflict: is there no place like home?”, </w:t>
      </w:r>
      <w:r w:rsidRPr="00AA7BA8">
        <w:rPr>
          <w:rFonts w:ascii="Times New Roman" w:eastAsia="Times New Roman" w:hAnsi="Times New Roman" w:cs="Times New Roman"/>
          <w:i/>
          <w:iCs/>
          <w:sz w:val="24"/>
          <w:szCs w:val="24"/>
          <w:lang w:eastAsia="en-IN" w:bidi="te-IN"/>
        </w:rPr>
        <w:t>Journal of Applied Psychology</w:t>
      </w:r>
      <w:r w:rsidRPr="00AA7BA8">
        <w:rPr>
          <w:rFonts w:ascii="Times New Roman" w:eastAsia="Times New Roman" w:hAnsi="Times New Roman" w:cs="Times New Roman"/>
          <w:sz w:val="24"/>
          <w:szCs w:val="24"/>
          <w:lang w:eastAsia="en-IN" w:bidi="te-IN"/>
        </w:rPr>
        <w:t>, Vol. 91 No. 6, pp. 1340–1350.</w:t>
      </w:r>
    </w:p>
    <w:p w14:paraId="52FE5AC6"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Grant, C.A., Wallace, L.M. and Spurgeon, P.C. (2013), “An exploration of the psychological factors affecting remote e-worker’s job effectiveness, well-being and work–life balance”, </w:t>
      </w:r>
      <w:r w:rsidRPr="00AA7BA8">
        <w:rPr>
          <w:rFonts w:ascii="Times New Roman" w:eastAsia="Times New Roman" w:hAnsi="Times New Roman" w:cs="Times New Roman"/>
          <w:i/>
          <w:iCs/>
          <w:sz w:val="24"/>
          <w:szCs w:val="24"/>
          <w:lang w:eastAsia="en-IN" w:bidi="te-IN"/>
        </w:rPr>
        <w:t>Journal of Occupational and Organizational Psychology</w:t>
      </w:r>
      <w:r w:rsidRPr="00AA7BA8">
        <w:rPr>
          <w:rFonts w:ascii="Times New Roman" w:eastAsia="Times New Roman" w:hAnsi="Times New Roman" w:cs="Times New Roman"/>
          <w:sz w:val="24"/>
          <w:szCs w:val="24"/>
          <w:lang w:eastAsia="en-IN" w:bidi="te-IN"/>
        </w:rPr>
        <w:t>, Vol. 86 No. 4, pp. 527–550.</w:t>
      </w:r>
    </w:p>
    <w:p w14:paraId="02ED34C7"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Guest, D.E. (2002), “Perspectives on the study of work–life balance”, </w:t>
      </w:r>
      <w:r w:rsidRPr="00AA7BA8">
        <w:rPr>
          <w:rFonts w:ascii="Times New Roman" w:eastAsia="Times New Roman" w:hAnsi="Times New Roman" w:cs="Times New Roman"/>
          <w:i/>
          <w:iCs/>
          <w:sz w:val="24"/>
          <w:szCs w:val="24"/>
          <w:lang w:eastAsia="en-IN" w:bidi="te-IN"/>
        </w:rPr>
        <w:t>Social Science Information</w:t>
      </w:r>
      <w:r w:rsidRPr="00AA7BA8">
        <w:rPr>
          <w:rFonts w:ascii="Times New Roman" w:eastAsia="Times New Roman" w:hAnsi="Times New Roman" w:cs="Times New Roman"/>
          <w:sz w:val="24"/>
          <w:szCs w:val="24"/>
          <w:lang w:eastAsia="en-IN" w:bidi="te-IN"/>
        </w:rPr>
        <w:t>, Vol. 41 No. 2, pp. 255–279.</w:t>
      </w:r>
    </w:p>
    <w:p w14:paraId="610E5769"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Kossek, E.E. and </w:t>
      </w:r>
      <w:proofErr w:type="spellStart"/>
      <w:r w:rsidRPr="00AA7BA8">
        <w:rPr>
          <w:rFonts w:ascii="Times New Roman" w:eastAsia="Times New Roman" w:hAnsi="Times New Roman" w:cs="Times New Roman"/>
          <w:sz w:val="24"/>
          <w:szCs w:val="24"/>
          <w:lang w:eastAsia="en-IN" w:bidi="te-IN"/>
        </w:rPr>
        <w:t>Lautsch</w:t>
      </w:r>
      <w:proofErr w:type="spellEnd"/>
      <w:r w:rsidRPr="00AA7BA8">
        <w:rPr>
          <w:rFonts w:ascii="Times New Roman" w:eastAsia="Times New Roman" w:hAnsi="Times New Roman" w:cs="Times New Roman"/>
          <w:sz w:val="24"/>
          <w:szCs w:val="24"/>
          <w:lang w:eastAsia="en-IN" w:bidi="te-IN"/>
        </w:rPr>
        <w:t xml:space="preserve">, B.A. (2018), “Work–life flexibility for whom? Occupational status and work–life inequality in upper, middle, and </w:t>
      </w:r>
      <w:proofErr w:type="gramStart"/>
      <w:r w:rsidRPr="00AA7BA8">
        <w:rPr>
          <w:rFonts w:ascii="Times New Roman" w:eastAsia="Times New Roman" w:hAnsi="Times New Roman" w:cs="Times New Roman"/>
          <w:sz w:val="24"/>
          <w:szCs w:val="24"/>
          <w:lang w:eastAsia="en-IN" w:bidi="te-IN"/>
        </w:rPr>
        <w:t>lower level</w:t>
      </w:r>
      <w:proofErr w:type="gramEnd"/>
      <w:r w:rsidRPr="00AA7BA8">
        <w:rPr>
          <w:rFonts w:ascii="Times New Roman" w:eastAsia="Times New Roman" w:hAnsi="Times New Roman" w:cs="Times New Roman"/>
          <w:sz w:val="24"/>
          <w:szCs w:val="24"/>
          <w:lang w:eastAsia="en-IN" w:bidi="te-IN"/>
        </w:rPr>
        <w:t xml:space="preserve"> jobs”, </w:t>
      </w:r>
      <w:r w:rsidRPr="00AA7BA8">
        <w:rPr>
          <w:rFonts w:ascii="Times New Roman" w:eastAsia="Times New Roman" w:hAnsi="Times New Roman" w:cs="Times New Roman"/>
          <w:i/>
          <w:iCs/>
          <w:sz w:val="24"/>
          <w:szCs w:val="24"/>
          <w:lang w:eastAsia="en-IN" w:bidi="te-IN"/>
        </w:rPr>
        <w:t>Academy of Management Annals</w:t>
      </w:r>
      <w:r w:rsidRPr="00AA7BA8">
        <w:rPr>
          <w:rFonts w:ascii="Times New Roman" w:eastAsia="Times New Roman" w:hAnsi="Times New Roman" w:cs="Times New Roman"/>
          <w:sz w:val="24"/>
          <w:szCs w:val="24"/>
          <w:lang w:eastAsia="en-IN" w:bidi="te-IN"/>
        </w:rPr>
        <w:t>, Vol. 12 No. 1, pp. 5–36.</w:t>
      </w:r>
    </w:p>
    <w:p w14:paraId="7E3C3BEC"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Kossek, E.E., </w:t>
      </w:r>
      <w:proofErr w:type="spellStart"/>
      <w:r w:rsidRPr="00AA7BA8">
        <w:rPr>
          <w:rFonts w:ascii="Times New Roman" w:eastAsia="Times New Roman" w:hAnsi="Times New Roman" w:cs="Times New Roman"/>
          <w:sz w:val="24"/>
          <w:szCs w:val="24"/>
          <w:lang w:eastAsia="en-IN" w:bidi="te-IN"/>
        </w:rPr>
        <w:t>Lautsch</w:t>
      </w:r>
      <w:proofErr w:type="spellEnd"/>
      <w:r w:rsidRPr="00AA7BA8">
        <w:rPr>
          <w:rFonts w:ascii="Times New Roman" w:eastAsia="Times New Roman" w:hAnsi="Times New Roman" w:cs="Times New Roman"/>
          <w:sz w:val="24"/>
          <w:szCs w:val="24"/>
          <w:lang w:eastAsia="en-IN" w:bidi="te-IN"/>
        </w:rPr>
        <w:t xml:space="preserve">, B.A. and Eaton, S.C. (2006), “Telecommuting, control, and boundary management: correlates of policy use and practice, job control, and work–family effectiveness”, </w:t>
      </w:r>
      <w:r w:rsidRPr="00AA7BA8">
        <w:rPr>
          <w:rFonts w:ascii="Times New Roman" w:eastAsia="Times New Roman" w:hAnsi="Times New Roman" w:cs="Times New Roman"/>
          <w:i/>
          <w:iCs/>
          <w:sz w:val="24"/>
          <w:szCs w:val="24"/>
          <w:lang w:eastAsia="en-IN" w:bidi="te-IN"/>
        </w:rPr>
        <w:t xml:space="preserve">Journal of Vocational </w:t>
      </w:r>
      <w:proofErr w:type="spellStart"/>
      <w:r w:rsidRPr="00AA7BA8">
        <w:rPr>
          <w:rFonts w:ascii="Times New Roman" w:eastAsia="Times New Roman" w:hAnsi="Times New Roman" w:cs="Times New Roman"/>
          <w:i/>
          <w:iCs/>
          <w:sz w:val="24"/>
          <w:szCs w:val="24"/>
          <w:lang w:eastAsia="en-IN" w:bidi="te-IN"/>
        </w:rPr>
        <w:t>Behavior</w:t>
      </w:r>
      <w:proofErr w:type="spellEnd"/>
      <w:r w:rsidRPr="00AA7BA8">
        <w:rPr>
          <w:rFonts w:ascii="Times New Roman" w:eastAsia="Times New Roman" w:hAnsi="Times New Roman" w:cs="Times New Roman"/>
          <w:sz w:val="24"/>
          <w:szCs w:val="24"/>
          <w:lang w:eastAsia="en-IN" w:bidi="te-IN"/>
        </w:rPr>
        <w:t>, Vol. 68 No. 2, pp. 347–367.</w:t>
      </w:r>
    </w:p>
    <w:p w14:paraId="67D3C957"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Kreiner, G.E., Hollensbe, E.C. and Sheep, M.L. (2009), “Balancing borders and bridges: negotiating the work–home interface via boundary work tactics”, </w:t>
      </w:r>
      <w:r w:rsidRPr="00AA7BA8">
        <w:rPr>
          <w:rFonts w:ascii="Times New Roman" w:eastAsia="Times New Roman" w:hAnsi="Times New Roman" w:cs="Times New Roman"/>
          <w:i/>
          <w:iCs/>
          <w:sz w:val="24"/>
          <w:szCs w:val="24"/>
          <w:lang w:eastAsia="en-IN" w:bidi="te-IN"/>
        </w:rPr>
        <w:t>Academy of Management Journal</w:t>
      </w:r>
      <w:r w:rsidRPr="00AA7BA8">
        <w:rPr>
          <w:rFonts w:ascii="Times New Roman" w:eastAsia="Times New Roman" w:hAnsi="Times New Roman" w:cs="Times New Roman"/>
          <w:sz w:val="24"/>
          <w:szCs w:val="24"/>
          <w:lang w:eastAsia="en-IN" w:bidi="te-IN"/>
        </w:rPr>
        <w:t>, Vol. 52 No. 4, pp. 704–730.</w:t>
      </w:r>
    </w:p>
    <w:p w14:paraId="42DFEB24"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Messenger, J.C. and Gschwind, L. (2016), “Three generations of telework: new ICTs and the (r)evolution from home office to virtual office”, </w:t>
      </w:r>
      <w:r w:rsidRPr="00AA7BA8">
        <w:rPr>
          <w:rFonts w:ascii="Times New Roman" w:eastAsia="Times New Roman" w:hAnsi="Times New Roman" w:cs="Times New Roman"/>
          <w:i/>
          <w:iCs/>
          <w:sz w:val="24"/>
          <w:szCs w:val="24"/>
          <w:lang w:eastAsia="en-IN" w:bidi="te-IN"/>
        </w:rPr>
        <w:t>New Technology, Work and Employment</w:t>
      </w:r>
      <w:r w:rsidRPr="00AA7BA8">
        <w:rPr>
          <w:rFonts w:ascii="Times New Roman" w:eastAsia="Times New Roman" w:hAnsi="Times New Roman" w:cs="Times New Roman"/>
          <w:sz w:val="24"/>
          <w:szCs w:val="24"/>
          <w:lang w:eastAsia="en-IN" w:bidi="te-IN"/>
        </w:rPr>
        <w:t>, Vol. 31 No. 3, pp. 195–208.</w:t>
      </w:r>
    </w:p>
    <w:p w14:paraId="234CAA6F"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Molino, M., Cortese, C.G., </w:t>
      </w:r>
      <w:proofErr w:type="spellStart"/>
      <w:r w:rsidRPr="00AA7BA8">
        <w:rPr>
          <w:rFonts w:ascii="Times New Roman" w:eastAsia="Times New Roman" w:hAnsi="Times New Roman" w:cs="Times New Roman"/>
          <w:sz w:val="24"/>
          <w:szCs w:val="24"/>
          <w:lang w:eastAsia="en-IN" w:bidi="te-IN"/>
        </w:rPr>
        <w:t>Ghislieri</w:t>
      </w:r>
      <w:proofErr w:type="spellEnd"/>
      <w:r w:rsidRPr="00AA7BA8">
        <w:rPr>
          <w:rFonts w:ascii="Times New Roman" w:eastAsia="Times New Roman" w:hAnsi="Times New Roman" w:cs="Times New Roman"/>
          <w:sz w:val="24"/>
          <w:szCs w:val="24"/>
          <w:lang w:eastAsia="en-IN" w:bidi="te-IN"/>
        </w:rPr>
        <w:t xml:space="preserve">, C. and Colombo, L. (2020), “Technology acceptance and well-being: the mediating role of technostress”, </w:t>
      </w:r>
      <w:r w:rsidRPr="00AA7BA8">
        <w:rPr>
          <w:rFonts w:ascii="Times New Roman" w:eastAsia="Times New Roman" w:hAnsi="Times New Roman" w:cs="Times New Roman"/>
          <w:i/>
          <w:iCs/>
          <w:sz w:val="24"/>
          <w:szCs w:val="24"/>
          <w:lang w:eastAsia="en-IN" w:bidi="te-IN"/>
        </w:rPr>
        <w:t>Frontiers in Psychology</w:t>
      </w:r>
      <w:r w:rsidRPr="00AA7BA8">
        <w:rPr>
          <w:rFonts w:ascii="Times New Roman" w:eastAsia="Times New Roman" w:hAnsi="Times New Roman" w:cs="Times New Roman"/>
          <w:sz w:val="24"/>
          <w:szCs w:val="24"/>
          <w:lang w:eastAsia="en-IN" w:bidi="te-IN"/>
        </w:rPr>
        <w:t>, Vol. 11, p. 1040.</w:t>
      </w:r>
    </w:p>
    <w:p w14:paraId="4F331C72"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Oakman, J., Kinsman, N., Stuckey, R., Graham, M. and Weale, V. (2020), “A rapid review of mental and physical health effects of working at home”, </w:t>
      </w:r>
      <w:r w:rsidRPr="00AA7BA8">
        <w:rPr>
          <w:rFonts w:ascii="Times New Roman" w:eastAsia="Times New Roman" w:hAnsi="Times New Roman" w:cs="Times New Roman"/>
          <w:i/>
          <w:iCs/>
          <w:sz w:val="24"/>
          <w:szCs w:val="24"/>
          <w:lang w:eastAsia="en-IN" w:bidi="te-IN"/>
        </w:rPr>
        <w:t>BMC Public Health</w:t>
      </w:r>
      <w:r w:rsidRPr="00AA7BA8">
        <w:rPr>
          <w:rFonts w:ascii="Times New Roman" w:eastAsia="Times New Roman" w:hAnsi="Times New Roman" w:cs="Times New Roman"/>
          <w:sz w:val="24"/>
          <w:szCs w:val="24"/>
          <w:lang w:eastAsia="en-IN" w:bidi="te-IN"/>
        </w:rPr>
        <w:t>, Vol. 20, p. 1825.</w:t>
      </w:r>
    </w:p>
    <w:p w14:paraId="76D71D20"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lastRenderedPageBreak/>
        <w:t xml:space="preserve">Peters, P., den </w:t>
      </w:r>
      <w:proofErr w:type="spellStart"/>
      <w:r w:rsidRPr="00AA7BA8">
        <w:rPr>
          <w:rFonts w:ascii="Times New Roman" w:eastAsia="Times New Roman" w:hAnsi="Times New Roman" w:cs="Times New Roman"/>
          <w:sz w:val="24"/>
          <w:szCs w:val="24"/>
          <w:lang w:eastAsia="en-IN" w:bidi="te-IN"/>
        </w:rPr>
        <w:t>Dulk</w:t>
      </w:r>
      <w:proofErr w:type="spellEnd"/>
      <w:r w:rsidRPr="00AA7BA8">
        <w:rPr>
          <w:rFonts w:ascii="Times New Roman" w:eastAsia="Times New Roman" w:hAnsi="Times New Roman" w:cs="Times New Roman"/>
          <w:sz w:val="24"/>
          <w:szCs w:val="24"/>
          <w:lang w:eastAsia="en-IN" w:bidi="te-IN"/>
        </w:rPr>
        <w:t xml:space="preserve">, L. and van der Lippe, T. (2009), “The effects of time–spatial flexibility and new working conditions on employees’ work–life balance”, </w:t>
      </w:r>
      <w:r w:rsidRPr="00AA7BA8">
        <w:rPr>
          <w:rFonts w:ascii="Times New Roman" w:eastAsia="Times New Roman" w:hAnsi="Times New Roman" w:cs="Times New Roman"/>
          <w:i/>
          <w:iCs/>
          <w:sz w:val="24"/>
          <w:szCs w:val="24"/>
          <w:lang w:eastAsia="en-IN" w:bidi="te-IN"/>
        </w:rPr>
        <w:t>Community, Work &amp; Family</w:t>
      </w:r>
      <w:r w:rsidRPr="00AA7BA8">
        <w:rPr>
          <w:rFonts w:ascii="Times New Roman" w:eastAsia="Times New Roman" w:hAnsi="Times New Roman" w:cs="Times New Roman"/>
          <w:sz w:val="24"/>
          <w:szCs w:val="24"/>
          <w:lang w:eastAsia="en-IN" w:bidi="te-IN"/>
        </w:rPr>
        <w:t>, Vol. 12 No. 3, pp. 279–297.</w:t>
      </w:r>
    </w:p>
    <w:p w14:paraId="35853B0E"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Raghuram, S., Hill, N.S., Gibbs, J.L. and Maruping, L.M. (2019), “Virtual work: bridging research clusters”, </w:t>
      </w:r>
      <w:r w:rsidRPr="00AA7BA8">
        <w:rPr>
          <w:rFonts w:ascii="Times New Roman" w:eastAsia="Times New Roman" w:hAnsi="Times New Roman" w:cs="Times New Roman"/>
          <w:i/>
          <w:iCs/>
          <w:sz w:val="24"/>
          <w:szCs w:val="24"/>
          <w:lang w:eastAsia="en-IN" w:bidi="te-IN"/>
        </w:rPr>
        <w:t>Academy of Management Annals</w:t>
      </w:r>
      <w:r w:rsidRPr="00AA7BA8">
        <w:rPr>
          <w:rFonts w:ascii="Times New Roman" w:eastAsia="Times New Roman" w:hAnsi="Times New Roman" w:cs="Times New Roman"/>
          <w:sz w:val="24"/>
          <w:szCs w:val="24"/>
          <w:lang w:eastAsia="en-IN" w:bidi="te-IN"/>
        </w:rPr>
        <w:t>, Vol. 13 No. 1, pp. 308–341.</w:t>
      </w:r>
    </w:p>
    <w:p w14:paraId="53374740"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Shockley, K.M., Clark, M.A., Dodd, H. and King, E.B. (2021), “Work–family strategies during COVID-19: examining gender dynamics among dual-earner couples with young children”, </w:t>
      </w:r>
      <w:r w:rsidRPr="00AA7BA8">
        <w:rPr>
          <w:rFonts w:ascii="Times New Roman" w:eastAsia="Times New Roman" w:hAnsi="Times New Roman" w:cs="Times New Roman"/>
          <w:i/>
          <w:iCs/>
          <w:sz w:val="24"/>
          <w:szCs w:val="24"/>
          <w:lang w:eastAsia="en-IN" w:bidi="te-IN"/>
        </w:rPr>
        <w:t>Journal of Applied Psychology</w:t>
      </w:r>
      <w:r w:rsidRPr="00AA7BA8">
        <w:rPr>
          <w:rFonts w:ascii="Times New Roman" w:eastAsia="Times New Roman" w:hAnsi="Times New Roman" w:cs="Times New Roman"/>
          <w:sz w:val="24"/>
          <w:szCs w:val="24"/>
          <w:lang w:eastAsia="en-IN" w:bidi="te-IN"/>
        </w:rPr>
        <w:t>, Vol. 106 No. 1, pp. 15–28.</w:t>
      </w:r>
    </w:p>
    <w:p w14:paraId="0AB540D0"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Sullivan, C. and Lewis, S. (2001), “Home-based telework, gender, and the synchronization of work and family: perspectives of teleworkers and their co-residents”, </w:t>
      </w:r>
      <w:r w:rsidRPr="00AA7BA8">
        <w:rPr>
          <w:rFonts w:ascii="Times New Roman" w:eastAsia="Times New Roman" w:hAnsi="Times New Roman" w:cs="Times New Roman"/>
          <w:i/>
          <w:iCs/>
          <w:sz w:val="24"/>
          <w:szCs w:val="24"/>
          <w:lang w:eastAsia="en-IN" w:bidi="te-IN"/>
        </w:rPr>
        <w:t>Gender, Work and Organization</w:t>
      </w:r>
      <w:r w:rsidRPr="00AA7BA8">
        <w:rPr>
          <w:rFonts w:ascii="Times New Roman" w:eastAsia="Times New Roman" w:hAnsi="Times New Roman" w:cs="Times New Roman"/>
          <w:sz w:val="24"/>
          <w:szCs w:val="24"/>
          <w:lang w:eastAsia="en-IN" w:bidi="te-IN"/>
        </w:rPr>
        <w:t>, Vol. 8 No. 2, pp. 123–145.</w:t>
      </w:r>
    </w:p>
    <w:p w14:paraId="668427E1"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Ten </w:t>
      </w:r>
      <w:proofErr w:type="spellStart"/>
      <w:r w:rsidRPr="00AA7BA8">
        <w:rPr>
          <w:rFonts w:ascii="Times New Roman" w:eastAsia="Times New Roman" w:hAnsi="Times New Roman" w:cs="Times New Roman"/>
          <w:sz w:val="24"/>
          <w:szCs w:val="24"/>
          <w:lang w:eastAsia="en-IN" w:bidi="te-IN"/>
        </w:rPr>
        <w:t>Brummelhuis</w:t>
      </w:r>
      <w:proofErr w:type="spellEnd"/>
      <w:r w:rsidRPr="00AA7BA8">
        <w:rPr>
          <w:rFonts w:ascii="Times New Roman" w:eastAsia="Times New Roman" w:hAnsi="Times New Roman" w:cs="Times New Roman"/>
          <w:sz w:val="24"/>
          <w:szCs w:val="24"/>
          <w:lang w:eastAsia="en-IN" w:bidi="te-IN"/>
        </w:rPr>
        <w:t xml:space="preserve">, L.L. and Bakker, A.B. (2012), “A resource perspective on the work–home interface: the work–home resources model”, </w:t>
      </w:r>
      <w:r w:rsidRPr="00AA7BA8">
        <w:rPr>
          <w:rFonts w:ascii="Times New Roman" w:eastAsia="Times New Roman" w:hAnsi="Times New Roman" w:cs="Times New Roman"/>
          <w:i/>
          <w:iCs/>
          <w:sz w:val="24"/>
          <w:szCs w:val="24"/>
          <w:lang w:eastAsia="en-IN" w:bidi="te-IN"/>
        </w:rPr>
        <w:t>American Psychologist</w:t>
      </w:r>
      <w:r w:rsidRPr="00AA7BA8">
        <w:rPr>
          <w:rFonts w:ascii="Times New Roman" w:eastAsia="Times New Roman" w:hAnsi="Times New Roman" w:cs="Times New Roman"/>
          <w:sz w:val="24"/>
          <w:szCs w:val="24"/>
          <w:lang w:eastAsia="en-IN" w:bidi="te-IN"/>
        </w:rPr>
        <w:t>, Vol. 67 No. 7, pp. 545–556.</w:t>
      </w:r>
    </w:p>
    <w:p w14:paraId="76FAC50B"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Vaziri, H., Casper, W.J., Wayne, J.H. and Matthews, R.A. (2020), “Changes to the work–family interface during the COVID-19 pandemic: examining predictors and implications using latent transition analysis”, </w:t>
      </w:r>
      <w:r w:rsidRPr="00AA7BA8">
        <w:rPr>
          <w:rFonts w:ascii="Times New Roman" w:eastAsia="Times New Roman" w:hAnsi="Times New Roman" w:cs="Times New Roman"/>
          <w:i/>
          <w:iCs/>
          <w:sz w:val="24"/>
          <w:szCs w:val="24"/>
          <w:lang w:eastAsia="en-IN" w:bidi="te-IN"/>
        </w:rPr>
        <w:t>Journal of Applied Psychology</w:t>
      </w:r>
      <w:r w:rsidRPr="00AA7BA8">
        <w:rPr>
          <w:rFonts w:ascii="Times New Roman" w:eastAsia="Times New Roman" w:hAnsi="Times New Roman" w:cs="Times New Roman"/>
          <w:sz w:val="24"/>
          <w:szCs w:val="24"/>
          <w:lang w:eastAsia="en-IN" w:bidi="te-IN"/>
        </w:rPr>
        <w:t>, Vol. 105 No. 12, pp. 1378–1391.</w:t>
      </w:r>
    </w:p>
    <w:p w14:paraId="0D661CD4"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Wang, B., Liu, Y., Qian, J. and Parker, S.K. (2021), “Achieving effective remote working during the COVID-19 pandemic: a work design perspective”, </w:t>
      </w:r>
      <w:r w:rsidRPr="00AA7BA8">
        <w:rPr>
          <w:rFonts w:ascii="Times New Roman" w:eastAsia="Times New Roman" w:hAnsi="Times New Roman" w:cs="Times New Roman"/>
          <w:i/>
          <w:iCs/>
          <w:sz w:val="24"/>
          <w:szCs w:val="24"/>
          <w:lang w:eastAsia="en-IN" w:bidi="te-IN"/>
        </w:rPr>
        <w:t>Applied Psychology</w:t>
      </w:r>
      <w:r w:rsidRPr="00AA7BA8">
        <w:rPr>
          <w:rFonts w:ascii="Times New Roman" w:eastAsia="Times New Roman" w:hAnsi="Times New Roman" w:cs="Times New Roman"/>
          <w:sz w:val="24"/>
          <w:szCs w:val="24"/>
          <w:lang w:eastAsia="en-IN" w:bidi="te-IN"/>
        </w:rPr>
        <w:t>, Vol. 70 No. 1, pp. 16–59.</w:t>
      </w:r>
    </w:p>
    <w:p w14:paraId="216C9ECD"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Wheatley, D. (2017), “Employee satisfaction and use of flexible working arrangements”, </w:t>
      </w:r>
      <w:r w:rsidRPr="00AA7BA8">
        <w:rPr>
          <w:rFonts w:ascii="Times New Roman" w:eastAsia="Times New Roman" w:hAnsi="Times New Roman" w:cs="Times New Roman"/>
          <w:i/>
          <w:iCs/>
          <w:sz w:val="24"/>
          <w:szCs w:val="24"/>
          <w:lang w:eastAsia="en-IN" w:bidi="te-IN"/>
        </w:rPr>
        <w:t>Work, Employment and Society</w:t>
      </w:r>
      <w:r w:rsidRPr="00AA7BA8">
        <w:rPr>
          <w:rFonts w:ascii="Times New Roman" w:eastAsia="Times New Roman" w:hAnsi="Times New Roman" w:cs="Times New Roman"/>
          <w:sz w:val="24"/>
          <w:szCs w:val="24"/>
          <w:lang w:eastAsia="en-IN" w:bidi="te-IN"/>
        </w:rPr>
        <w:t>, Vol. 31 No. 4, pp. 567–585.</w:t>
      </w:r>
    </w:p>
    <w:p w14:paraId="5F14D146" w14:textId="77777777" w:rsidR="00AA7BA8" w:rsidRPr="00AA7BA8" w:rsidRDefault="00AA7BA8" w:rsidP="00AA7BA8">
      <w:pPr>
        <w:pStyle w:val="ListParagraph"/>
        <w:numPr>
          <w:ilvl w:val="0"/>
          <w:numId w:val="11"/>
        </w:numPr>
        <w:spacing w:before="100" w:beforeAutospacing="1" w:after="100" w:afterAutospacing="1" w:line="276" w:lineRule="auto"/>
        <w:rPr>
          <w:rFonts w:ascii="Times New Roman" w:eastAsia="Times New Roman" w:hAnsi="Times New Roman" w:cs="Times New Roman"/>
          <w:sz w:val="24"/>
          <w:szCs w:val="24"/>
          <w:lang w:eastAsia="en-IN" w:bidi="te-IN"/>
        </w:rPr>
      </w:pPr>
      <w:r w:rsidRPr="00AA7BA8">
        <w:rPr>
          <w:rFonts w:ascii="Times New Roman" w:eastAsia="Times New Roman" w:hAnsi="Times New Roman" w:cs="Times New Roman"/>
          <w:sz w:val="24"/>
          <w:szCs w:val="24"/>
          <w:lang w:eastAsia="en-IN" w:bidi="te-IN"/>
        </w:rPr>
        <w:t xml:space="preserve">Xiao, Y., Becerik-Gerber, B., Lucas, G. and Roll, S.C. (2021), “Impacts of working from home during COVID-19 pandemic on physical and mental well-being of office workstation users”, </w:t>
      </w:r>
      <w:r w:rsidRPr="00AA7BA8">
        <w:rPr>
          <w:rFonts w:ascii="Times New Roman" w:eastAsia="Times New Roman" w:hAnsi="Times New Roman" w:cs="Times New Roman"/>
          <w:i/>
          <w:iCs/>
          <w:sz w:val="24"/>
          <w:szCs w:val="24"/>
          <w:lang w:eastAsia="en-IN" w:bidi="te-IN"/>
        </w:rPr>
        <w:t>Journal of Environmental Psychology</w:t>
      </w:r>
      <w:r w:rsidRPr="00AA7BA8">
        <w:rPr>
          <w:rFonts w:ascii="Times New Roman" w:eastAsia="Times New Roman" w:hAnsi="Times New Roman" w:cs="Times New Roman"/>
          <w:sz w:val="24"/>
          <w:szCs w:val="24"/>
          <w:lang w:eastAsia="en-IN" w:bidi="te-IN"/>
        </w:rPr>
        <w:t>, Vol. 76, p. 101563.</w:t>
      </w:r>
    </w:p>
    <w:p w14:paraId="332DC62F" w14:textId="77777777" w:rsidR="00B719D4" w:rsidRPr="009F6BC5" w:rsidRDefault="00B719D4" w:rsidP="00AA7BA8">
      <w:pPr>
        <w:spacing w:before="100" w:beforeAutospacing="1" w:after="100" w:afterAutospacing="1" w:line="276" w:lineRule="auto"/>
        <w:jc w:val="both"/>
        <w:rPr>
          <w:rFonts w:ascii="Times New Roman" w:eastAsia="Times New Roman" w:hAnsi="Times New Roman" w:cs="Times New Roman"/>
          <w:sz w:val="24"/>
          <w:szCs w:val="24"/>
          <w:lang w:eastAsia="en-IN" w:bidi="te-IN"/>
        </w:rPr>
      </w:pPr>
    </w:p>
    <w:p w14:paraId="6FA1DEC4" w14:textId="77777777" w:rsidR="00B6258E" w:rsidRPr="009F6BC5" w:rsidRDefault="00B6258E" w:rsidP="00AA7BA8">
      <w:pPr>
        <w:spacing w:line="276" w:lineRule="auto"/>
        <w:rPr>
          <w:rFonts w:ascii="Times New Roman" w:hAnsi="Times New Roman" w:cs="Times New Roman"/>
          <w:sz w:val="24"/>
          <w:szCs w:val="24"/>
        </w:rPr>
      </w:pPr>
    </w:p>
    <w:sectPr w:rsidR="00B6258E" w:rsidRPr="009F6B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65C2"/>
    <w:multiLevelType w:val="multilevel"/>
    <w:tmpl w:val="FA9E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F55DAF"/>
    <w:multiLevelType w:val="hybridMultilevel"/>
    <w:tmpl w:val="87C4D9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4440248"/>
    <w:multiLevelType w:val="hybridMultilevel"/>
    <w:tmpl w:val="63A05394"/>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37532A2E"/>
    <w:multiLevelType w:val="multilevel"/>
    <w:tmpl w:val="C37CE5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58F2064F"/>
    <w:multiLevelType w:val="multilevel"/>
    <w:tmpl w:val="89ECC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51565B"/>
    <w:multiLevelType w:val="multilevel"/>
    <w:tmpl w:val="40DA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E9299A"/>
    <w:multiLevelType w:val="multilevel"/>
    <w:tmpl w:val="5930D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2C12C1"/>
    <w:multiLevelType w:val="multilevel"/>
    <w:tmpl w:val="749C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C22F50"/>
    <w:multiLevelType w:val="multilevel"/>
    <w:tmpl w:val="75BC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B41001"/>
    <w:multiLevelType w:val="multilevel"/>
    <w:tmpl w:val="7302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58790F"/>
    <w:multiLevelType w:val="multilevel"/>
    <w:tmpl w:val="F898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8669759">
    <w:abstractNumId w:val="4"/>
  </w:num>
  <w:num w:numId="2" w16cid:durableId="1148716237">
    <w:abstractNumId w:val="6"/>
  </w:num>
  <w:num w:numId="3" w16cid:durableId="57825459">
    <w:abstractNumId w:val="8"/>
  </w:num>
  <w:num w:numId="4" w16cid:durableId="614018687">
    <w:abstractNumId w:val="0"/>
  </w:num>
  <w:num w:numId="5" w16cid:durableId="1672492380">
    <w:abstractNumId w:val="9"/>
  </w:num>
  <w:num w:numId="6" w16cid:durableId="19941735">
    <w:abstractNumId w:val="7"/>
  </w:num>
  <w:num w:numId="7" w16cid:durableId="123431368">
    <w:abstractNumId w:val="3"/>
  </w:num>
  <w:num w:numId="8" w16cid:durableId="142086612">
    <w:abstractNumId w:val="10"/>
  </w:num>
  <w:num w:numId="9" w16cid:durableId="579484799">
    <w:abstractNumId w:val="2"/>
  </w:num>
  <w:num w:numId="10" w16cid:durableId="626007259">
    <w:abstractNumId w:val="5"/>
  </w:num>
  <w:num w:numId="11" w16cid:durableId="1685401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B05"/>
    <w:rsid w:val="00086595"/>
    <w:rsid w:val="001B46E0"/>
    <w:rsid w:val="003A6FBA"/>
    <w:rsid w:val="004D639B"/>
    <w:rsid w:val="00506646"/>
    <w:rsid w:val="00510C8E"/>
    <w:rsid w:val="00512AB0"/>
    <w:rsid w:val="005762D6"/>
    <w:rsid w:val="00683016"/>
    <w:rsid w:val="007820F8"/>
    <w:rsid w:val="007C6050"/>
    <w:rsid w:val="0097091E"/>
    <w:rsid w:val="009D1C52"/>
    <w:rsid w:val="009F6BC5"/>
    <w:rsid w:val="00AA0660"/>
    <w:rsid w:val="00AA7BA8"/>
    <w:rsid w:val="00B6258E"/>
    <w:rsid w:val="00B719D4"/>
    <w:rsid w:val="00BA11A1"/>
    <w:rsid w:val="00BD1EF2"/>
    <w:rsid w:val="00C1508F"/>
    <w:rsid w:val="00D57BC1"/>
    <w:rsid w:val="00D80A3E"/>
    <w:rsid w:val="00DA74AC"/>
    <w:rsid w:val="00E645F6"/>
    <w:rsid w:val="00EB0B05"/>
    <w:rsid w:val="00F10832"/>
    <w:rsid w:val="00FB098D"/>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14C36E"/>
  <w15:chartTrackingRefBased/>
  <w15:docId w15:val="{17D6018B-BFE1-44A8-A01F-7EDDCBAE0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B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0B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0B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0B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0B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0B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B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B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B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B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0B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0B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0B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0B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0B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B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B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B05"/>
    <w:rPr>
      <w:rFonts w:eastAsiaTheme="majorEastAsia" w:cstheme="majorBidi"/>
      <w:color w:val="272727" w:themeColor="text1" w:themeTint="D8"/>
    </w:rPr>
  </w:style>
  <w:style w:type="paragraph" w:styleId="Title">
    <w:name w:val="Title"/>
    <w:basedOn w:val="Normal"/>
    <w:next w:val="Normal"/>
    <w:link w:val="TitleChar"/>
    <w:uiPriority w:val="10"/>
    <w:qFormat/>
    <w:rsid w:val="00EB0B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B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B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B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B05"/>
    <w:pPr>
      <w:spacing w:before="160"/>
      <w:jc w:val="center"/>
    </w:pPr>
    <w:rPr>
      <w:i/>
      <w:iCs/>
      <w:color w:val="404040" w:themeColor="text1" w:themeTint="BF"/>
    </w:rPr>
  </w:style>
  <w:style w:type="character" w:customStyle="1" w:styleId="QuoteChar">
    <w:name w:val="Quote Char"/>
    <w:basedOn w:val="DefaultParagraphFont"/>
    <w:link w:val="Quote"/>
    <w:uiPriority w:val="29"/>
    <w:rsid w:val="00EB0B05"/>
    <w:rPr>
      <w:i/>
      <w:iCs/>
      <w:color w:val="404040" w:themeColor="text1" w:themeTint="BF"/>
    </w:rPr>
  </w:style>
  <w:style w:type="paragraph" w:styleId="ListParagraph">
    <w:name w:val="List Paragraph"/>
    <w:basedOn w:val="Normal"/>
    <w:uiPriority w:val="34"/>
    <w:qFormat/>
    <w:rsid w:val="00EB0B05"/>
    <w:pPr>
      <w:ind w:left="720"/>
      <w:contextualSpacing/>
    </w:pPr>
  </w:style>
  <w:style w:type="character" w:styleId="IntenseEmphasis">
    <w:name w:val="Intense Emphasis"/>
    <w:basedOn w:val="DefaultParagraphFont"/>
    <w:uiPriority w:val="21"/>
    <w:qFormat/>
    <w:rsid w:val="00EB0B05"/>
    <w:rPr>
      <w:i/>
      <w:iCs/>
      <w:color w:val="2F5496" w:themeColor="accent1" w:themeShade="BF"/>
    </w:rPr>
  </w:style>
  <w:style w:type="paragraph" w:styleId="IntenseQuote">
    <w:name w:val="Intense Quote"/>
    <w:basedOn w:val="Normal"/>
    <w:next w:val="Normal"/>
    <w:link w:val="IntenseQuoteChar"/>
    <w:uiPriority w:val="30"/>
    <w:qFormat/>
    <w:rsid w:val="00EB0B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0B05"/>
    <w:rPr>
      <w:i/>
      <w:iCs/>
      <w:color w:val="2F5496" w:themeColor="accent1" w:themeShade="BF"/>
    </w:rPr>
  </w:style>
  <w:style w:type="character" w:styleId="IntenseReference">
    <w:name w:val="Intense Reference"/>
    <w:basedOn w:val="DefaultParagraphFont"/>
    <w:uiPriority w:val="32"/>
    <w:qFormat/>
    <w:rsid w:val="00EB0B05"/>
    <w:rPr>
      <w:b/>
      <w:bCs/>
      <w:smallCaps/>
      <w:color w:val="2F5496" w:themeColor="accent1" w:themeShade="BF"/>
      <w:spacing w:val="5"/>
    </w:rPr>
  </w:style>
  <w:style w:type="paragraph" w:styleId="NormalWeb">
    <w:name w:val="Normal (Web)"/>
    <w:basedOn w:val="Normal"/>
    <w:uiPriority w:val="99"/>
    <w:unhideWhenUsed/>
    <w:rsid w:val="00C1508F"/>
    <w:pPr>
      <w:spacing w:before="100" w:beforeAutospacing="1" w:after="100" w:afterAutospacing="1" w:line="240" w:lineRule="auto"/>
    </w:pPr>
    <w:rPr>
      <w:rFonts w:ascii="Times New Roman" w:eastAsia="Times New Roman" w:hAnsi="Times New Roman" w:cs="Times New Roman"/>
      <w:sz w:val="24"/>
      <w:szCs w:val="24"/>
      <w:lang w:eastAsia="en-IN" w:bidi="te-IN"/>
    </w:rPr>
  </w:style>
  <w:style w:type="character" w:styleId="Emphasis">
    <w:name w:val="Emphasis"/>
    <w:basedOn w:val="DefaultParagraphFont"/>
    <w:uiPriority w:val="20"/>
    <w:qFormat/>
    <w:rsid w:val="00512A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13</Pages>
  <Words>5672</Words>
  <Characters>32337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DR.KISHORE S</dc:creator>
  <cp:keywords/>
  <dc:description/>
  <cp:lastModifiedBy>DR.KISHORE S</cp:lastModifiedBy>
  <cp:revision>39</cp:revision>
  <dcterms:created xsi:type="dcterms:W3CDTF">2025-12-31T10:58:00Z</dcterms:created>
  <dcterms:modified xsi:type="dcterms:W3CDTF">2026-01-01T05:18:00Z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a8b8f9e3-0d7b-4125-8934-51fae4a6914e</vt:lpwstr>
  </property>
</Properties>
</file>